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8F9" w14:textId="77777777" w:rsidR="00BA3919" w:rsidRDefault="00BA3919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1D13D8FA" w14:textId="77777777" w:rsidR="00BA3919" w:rsidRDefault="00BA3919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D13D8FB" w14:textId="77777777" w:rsidR="00BA3919" w:rsidRDefault="00BA3919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instabil forrásokról és a hozzájuk kapcsolódó likviditási előírásokról </w:t>
      </w:r>
    </w:p>
    <w:p w14:paraId="1D13D8FC" w14:textId="77777777" w:rsidR="00BA3919" w:rsidRDefault="00BA3919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D13D8FD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„A tőkemegfelelés belső értékelési folyamata (</w:t>
      </w:r>
      <w:proofErr w:type="spellStart"/>
      <w:r w:rsidRPr="000809FC">
        <w:rPr>
          <w:sz w:val="23"/>
          <w:szCs w:val="23"/>
        </w:rPr>
        <w:t>ICAAP</w:t>
      </w:r>
      <w:proofErr w:type="spellEnd"/>
      <w:r w:rsidRPr="000809FC">
        <w:rPr>
          <w:sz w:val="23"/>
          <w:szCs w:val="23"/>
        </w:rPr>
        <w:t>), a likviditás megfelelőségének belső értékelési folyamata (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>) és felügyeleti felülvizsgálatuk, valamint az üzleti modell elemzés (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)” című módszertani kézikönyv (a továbbiakban: </w:t>
      </w:r>
      <w:proofErr w:type="spellStart"/>
      <w:r w:rsidRPr="000809FC">
        <w:rPr>
          <w:sz w:val="23"/>
          <w:szCs w:val="23"/>
        </w:rPr>
        <w:t>ICAAP</w:t>
      </w:r>
      <w:proofErr w:type="spellEnd"/>
      <w:r w:rsidRPr="000809FC">
        <w:rPr>
          <w:sz w:val="23"/>
          <w:szCs w:val="23"/>
        </w:rPr>
        <w:t xml:space="preserve">,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és 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 vizsgálatról szóló kézikönyv) részét képezi a 11. számú melléklet, amely áttekinti azokat a likviditási szempontból kockázatos portfóliókat</w:t>
      </w:r>
      <w:r>
        <w:rPr>
          <w:rStyle w:val="Lbjegyzet-hivatkozs"/>
          <w:sz w:val="23"/>
          <w:szCs w:val="23"/>
        </w:rPr>
        <w:footnoteReference w:id="2"/>
      </w:r>
      <w:r w:rsidRPr="000809FC">
        <w:rPr>
          <w:sz w:val="23"/>
          <w:szCs w:val="23"/>
        </w:rPr>
        <w:t>, amelyek tekintetében az MNB az intézmények belső kockázatértékelésekor többlet puffereket vár el, illetve amelyeket fokozott figyelemmel ellenőriz. Az itt közzétett instabil portfóliókat az MNB évente felülvizsgálja.</w:t>
      </w:r>
    </w:p>
    <w:p w14:paraId="1D13D8FE" w14:textId="77777777" w:rsidR="00BA3919" w:rsidRDefault="00BA3919" w:rsidP="000809FC">
      <w:pPr>
        <w:pStyle w:val="Default"/>
        <w:spacing w:line="276" w:lineRule="auto"/>
        <w:jc w:val="both"/>
      </w:pPr>
    </w:p>
    <w:p w14:paraId="1D13D8FF" w14:textId="77777777" w:rsidR="00BA3919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 likviditás tartása az érintett intézményektől. Az MNB főszabályként a többlet-követelményt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mutatóra, az instabil portfólióknál megjelölt elvárt szint és a fennálló 1. pilléres követelmény különbségeként írja elő</w:t>
      </w:r>
      <w:r>
        <w:rPr>
          <w:sz w:val="23"/>
          <w:szCs w:val="23"/>
        </w:rPr>
        <w:t xml:space="preserve"> többlet kiáramlásként, mely csökkenthető a beáramlási korlát miatt kizárt összegekkel</w:t>
      </w:r>
      <w:r w:rsidRPr="000809FC">
        <w:rPr>
          <w:sz w:val="23"/>
          <w:szCs w:val="23"/>
        </w:rPr>
        <w:t>.</w:t>
      </w:r>
      <w:r w:rsidRPr="00D17B3B">
        <w:rPr>
          <w:sz w:val="23"/>
          <w:szCs w:val="23"/>
        </w:rPr>
        <w:t xml:space="preserve">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párbeszéd után engedélyezhető, hogy a kiáramlást az intézmény más, figyelembe nem vett összegekkel fedezze (pl. hitelkeretekkel).</w:t>
      </w:r>
      <w:r>
        <w:rPr>
          <w:sz w:val="23"/>
          <w:szCs w:val="23"/>
        </w:rPr>
        <w:t xml:space="preserve"> Az MNB a következő képlettel határozza meg a többletkövetelménnyel módosított </w:t>
      </w:r>
      <w:proofErr w:type="spellStart"/>
      <w:r>
        <w:rPr>
          <w:sz w:val="23"/>
          <w:szCs w:val="23"/>
        </w:rPr>
        <w:t>LCR</w:t>
      </w:r>
      <w:proofErr w:type="spellEnd"/>
      <w:r>
        <w:rPr>
          <w:sz w:val="23"/>
          <w:szCs w:val="23"/>
        </w:rPr>
        <w:t xml:space="preserve"> mutatót:</w:t>
      </w:r>
    </w:p>
    <w:p w14:paraId="1D13D900" w14:textId="77777777" w:rsidR="00BA3919" w:rsidRDefault="00BA3919" w:rsidP="00355D51">
      <w:pPr>
        <w:jc w:val="center"/>
      </w:pPr>
      <w:proofErr w:type="spellStart"/>
      <w:r>
        <w:t>LCR</w:t>
      </w:r>
      <w:proofErr w:type="spellEnd"/>
      <w:r>
        <w:t xml:space="preserve"> II = </w:t>
      </w:r>
      <w:proofErr w:type="spellStart"/>
      <w:r>
        <w:t>HQLA</w:t>
      </w:r>
      <w:proofErr w:type="spellEnd"/>
      <w:r>
        <w:t>/[OUT-</w:t>
      </w:r>
      <w:proofErr w:type="gramStart"/>
      <w:r>
        <w:t>min(</w:t>
      </w:r>
      <w:proofErr w:type="spellStart"/>
      <w:proofErr w:type="gramEnd"/>
      <w:r>
        <w:t>IN;OUT</w:t>
      </w:r>
      <w:proofErr w:type="spellEnd"/>
      <w:r>
        <w:t>*0,75)+</w:t>
      </w:r>
      <w:proofErr w:type="spellStart"/>
      <w:r>
        <w:t>max</w:t>
      </w:r>
      <w:proofErr w:type="spellEnd"/>
      <w:r>
        <w:t>(</w:t>
      </w:r>
      <w:proofErr w:type="spellStart"/>
      <w:r>
        <w:t>ILAAP-max</w:t>
      </w:r>
      <w:proofErr w:type="spellEnd"/>
      <w:r>
        <w:t>{IN-OUT*0,75;0};0)]</w:t>
      </w:r>
    </w:p>
    <w:p w14:paraId="1D13D901" w14:textId="77777777" w:rsidR="00BA3919" w:rsidRDefault="00BA3919" w:rsidP="00355D51">
      <w:pPr>
        <w:ind w:left="426"/>
      </w:pPr>
      <w:proofErr w:type="spellStart"/>
      <w:r>
        <w:t>ILAAP</w:t>
      </w:r>
      <w:proofErr w:type="spellEnd"/>
      <w:r>
        <w:t>: kiáramlásként meghatározott többlet-követelmények</w:t>
      </w:r>
    </w:p>
    <w:p w14:paraId="1D13D902" w14:textId="77777777" w:rsidR="00BA3919" w:rsidRDefault="00BA3919" w:rsidP="000809FC">
      <w:pPr>
        <w:ind w:left="360"/>
        <w:rPr>
          <w:sz w:val="23"/>
          <w:szCs w:val="23"/>
        </w:rPr>
      </w:pPr>
    </w:p>
    <w:p w14:paraId="1D13D903" w14:textId="77777777" w:rsidR="00BA3919" w:rsidRPr="000809FC" w:rsidRDefault="00BA3919" w:rsidP="000809FC">
      <w:pPr>
        <w:ind w:left="360"/>
        <w:rPr>
          <w:sz w:val="23"/>
          <w:szCs w:val="23"/>
        </w:rPr>
      </w:pPr>
      <w:r>
        <w:rPr>
          <w:sz w:val="23"/>
          <w:szCs w:val="23"/>
        </w:rPr>
        <w:t>A fenti módszertantól</w:t>
      </w:r>
      <w:r w:rsidRPr="000809FC">
        <w:rPr>
          <w:sz w:val="23"/>
          <w:szCs w:val="23"/>
        </w:rPr>
        <w:t xml:space="preserve"> való eltérés az adott portfóliónál külön megjelölésre kerül. Amennyiben az adott portfóliónál módszertan nem került meghatározásra, az intézménynek saját kockázatértékelése szerint kell a többlet-követelményeket megállapítania. Az MNB valamennyi portfólió esetén elvárja, hogy az intézmények mutassák be számára, hogyan kezelik instabil portfólióikat az 1., illetve a 2. pillér keretében.</w:t>
      </w:r>
    </w:p>
    <w:p w14:paraId="1D13D904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elvárja, hogy a tájékoztatóban szereplő portfóliók kockázatait az intézmény maga is értékelje, és szükség esetén a tájékoztatóban foglaltaknál nagyobb likviditási puffert képezzen a 2. pillérben.</w:t>
      </w:r>
    </w:p>
    <w:p w14:paraId="1D13D905" w14:textId="77777777" w:rsidR="00BA3919" w:rsidRDefault="00BA3919" w:rsidP="000809FC">
      <w:pPr>
        <w:pStyle w:val="Default"/>
        <w:spacing w:line="276" w:lineRule="auto"/>
        <w:jc w:val="both"/>
      </w:pPr>
    </w:p>
    <w:p w14:paraId="1D13D906" w14:textId="77777777" w:rsidR="00BA3919" w:rsidRDefault="00BA3919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Amennyiben a vizsgált intézmény kellően alátámasztja az általa használt modell vagy a kialakított gyakorlat megfelelőségét, az MNB eltérhet a Tájékoztatóban </w:t>
      </w:r>
      <w:r w:rsidRPr="00161D3F">
        <w:rPr>
          <w:sz w:val="23"/>
          <w:szCs w:val="23"/>
        </w:rPr>
        <w:lastRenderedPageBreak/>
        <w:t xml:space="preserve">foglaltaktól az instabil portfóliók vonatkozásában. A </w:t>
      </w:r>
      <w:r>
        <w:rPr>
          <w:sz w:val="23"/>
          <w:szCs w:val="23"/>
        </w:rPr>
        <w:t>jelen melléklet 1. pontja szerint a nagybetéteknél alkalmazandó</w:t>
      </w:r>
      <w:r w:rsidRPr="00161D3F">
        <w:rPr>
          <w:sz w:val="23"/>
          <w:szCs w:val="23"/>
        </w:rPr>
        <w:t xml:space="preserve"> 100 százalékos kiáramlás elvárása nem képezi mérlegelés tárgyát. Az MNB a többlet-követelmények meghatározása során figyelembe veszi a rendszerszintű likviditási kockázatokat is.</w:t>
      </w:r>
    </w:p>
    <w:p w14:paraId="1D13D907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a versenysemlegesség és az egyenlő elbírálás elve alapján az elvárásokat egységesen alkalmazza minden érintett piaci szereplővel szemben. Ez azt is jelenti, hogy a hazai összevont alapú felügyelet alá nem tartozó pénz- és tőkepiaci szereplők (beleértve a Magyarországon tevékenykedő fióktelepeket is) esetében is elvárja az alábbi feltételeknek megfelelő piaci viselkedést, amelyeknek egyéb felügyeleti eszközökkel, illetőleg a nemzetközi együttműködés során szerez érvényt.</w:t>
      </w:r>
    </w:p>
    <w:p w14:paraId="1D13D908" w14:textId="77777777" w:rsidR="00BA3919" w:rsidRDefault="00BA3919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instabil portfóliókra képzett többlet likviditást az MNB az éves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felülvizsgálat során ellenőrzi a honlapon található „Adatbekérés az instabil forrásokellenőrzéséhez” elnevezésű adatbekérő segítségével. Az adatbekérőt a vizsgálat által megadott vizsgált időpontra a vizsgálat szintjének (egyedi/konszolidált) megfelelően kell kitölteni. Konszolidált szintű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felülvizsgálat esetén a külföldi leányvállalatok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kockázatonként külön meg kell képezni rá a többlet likviditást, de az egy ügyletre képzett 1. és 2. pilléres kiáramlásra a 100 százalékos érték felső határt jelent. Ezen Tájékoztató által használt fogalmakat (pl.: lakossági betét) az </w:t>
      </w:r>
      <w:r w:rsidRPr="00F20238">
        <w:rPr>
          <w:sz w:val="23"/>
          <w:szCs w:val="23"/>
        </w:rPr>
        <w:t>(EU) 2015/61 felhatalmazáson alapuló bizottsági rendelet</w:t>
      </w:r>
      <w:r>
        <w:rPr>
          <w:sz w:val="23"/>
          <w:szCs w:val="23"/>
        </w:rPr>
        <w:t>ben (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>
        <w:rPr>
          <w:sz w:val="23"/>
          <w:szCs w:val="23"/>
        </w:rPr>
        <w:t>) meghatározottak szerint kell alkalmazni.</w:t>
      </w:r>
    </w:p>
    <w:p w14:paraId="1D13D909" w14:textId="77777777" w:rsidR="00BA3919" w:rsidRDefault="00BA3919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D13D90A" w14:textId="77777777" w:rsidR="00BA3919" w:rsidRDefault="00BA3919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 MNB által kiemelten kezelt kockázatok, amelyek a </w:t>
      </w:r>
      <w:proofErr w:type="spellStart"/>
      <w:r>
        <w:rPr>
          <w:b/>
          <w:bCs/>
          <w:i/>
          <w:iCs/>
          <w:sz w:val="23"/>
          <w:szCs w:val="23"/>
        </w:rPr>
        <w:t>CRD</w:t>
      </w:r>
      <w:proofErr w:type="spellEnd"/>
      <w:r>
        <w:rPr>
          <w:b/>
          <w:bCs/>
          <w:i/>
          <w:iCs/>
          <w:sz w:val="23"/>
          <w:szCs w:val="23"/>
        </w:rPr>
        <w:t>/</w:t>
      </w:r>
      <w:proofErr w:type="spellStart"/>
      <w:r>
        <w:rPr>
          <w:b/>
          <w:bCs/>
          <w:i/>
          <w:iCs/>
          <w:sz w:val="23"/>
          <w:szCs w:val="23"/>
        </w:rPr>
        <w:t>CRR</w:t>
      </w:r>
      <w:proofErr w:type="spellEnd"/>
      <w:r>
        <w:rPr>
          <w:b/>
          <w:bCs/>
          <w:i/>
          <w:iCs/>
          <w:sz w:val="23"/>
          <w:szCs w:val="23"/>
        </w:rPr>
        <w:t xml:space="preserve"> hatálya alá tartozó intézményeknél felmerülhetnek:</w:t>
      </w:r>
    </w:p>
    <w:p w14:paraId="1D13D90B" w14:textId="77777777" w:rsidR="00BA3919" w:rsidRDefault="00BA3919" w:rsidP="001C26F8">
      <w:pPr>
        <w:pStyle w:val="Cmsor1"/>
        <w:jc w:val="both"/>
      </w:pPr>
      <w:r>
        <w:t>Nagybetétesek</w:t>
      </w:r>
    </w:p>
    <w:p w14:paraId="1D13D90C" w14:textId="77777777" w:rsidR="00BA3919" w:rsidRPr="000809FC" w:rsidRDefault="00BA3919" w:rsidP="000809FC">
      <w:pPr>
        <w:ind w:left="360"/>
        <w:rPr>
          <w:b/>
          <w:sz w:val="23"/>
          <w:szCs w:val="23"/>
        </w:rPr>
      </w:pPr>
      <w:r w:rsidRPr="000809FC">
        <w:rPr>
          <w:sz w:val="23"/>
          <w:szCs w:val="23"/>
        </w:rPr>
        <w:t xml:space="preserve">A hagyományos kereskedelmi banki likviditási kockázatkezelés arra épül, hogy a sok, független látra szóló, vagy rövid távra lekötött betét portfóliószinten stabil állományt alkot, így az intézmény felhasználhatja hosszú befektetések finanszírozására. A jogszabályi előírások feltételezik, hogy a </w:t>
      </w:r>
      <w:proofErr w:type="spellStart"/>
      <w:r w:rsidRPr="000809FC">
        <w:rPr>
          <w:sz w:val="23"/>
          <w:szCs w:val="23"/>
        </w:rPr>
        <w:t>granularitás</w:t>
      </w:r>
      <w:proofErr w:type="spellEnd"/>
      <w:r w:rsidRPr="000809FC">
        <w:rPr>
          <w:sz w:val="23"/>
          <w:szCs w:val="23"/>
        </w:rPr>
        <w:t xml:space="preserve"> teljesül, amikor lakossági, vagy vállalati betétállományt veszik figyelembe. A </w:t>
      </w:r>
      <w:proofErr w:type="spellStart"/>
      <w:r w:rsidRPr="000809FC">
        <w:rPr>
          <w:sz w:val="23"/>
          <w:szCs w:val="23"/>
        </w:rPr>
        <w:t>betétesi</w:t>
      </w:r>
      <w:proofErr w:type="spellEnd"/>
      <w:r w:rsidRPr="000809FC">
        <w:rPr>
          <w:sz w:val="23"/>
          <w:szCs w:val="23"/>
        </w:rPr>
        <w:t xml:space="preserve"> koncentráció így többletkockázatot jelent a jogszabályi követelményekhez képest. A nagybetétesek nagyobb alkupozíciója miatt szakmailag indokolt korai visszavonási opciókkal számolni. </w:t>
      </w:r>
      <w:r w:rsidRPr="000809FC">
        <w:rPr>
          <w:b/>
          <w:sz w:val="23"/>
          <w:szCs w:val="23"/>
        </w:rPr>
        <w:t xml:space="preserve">Az MNB elvárja, hogy az intézmények a nagybetétesek limit feletti állományára az </w:t>
      </w:r>
      <w:proofErr w:type="spellStart"/>
      <w:r w:rsidRPr="000809FC">
        <w:rPr>
          <w:b/>
          <w:sz w:val="23"/>
          <w:szCs w:val="23"/>
        </w:rPr>
        <w:t>LCR</w:t>
      </w:r>
      <w:proofErr w:type="spellEnd"/>
      <w:r w:rsidRPr="000809FC">
        <w:rPr>
          <w:b/>
          <w:sz w:val="23"/>
          <w:szCs w:val="23"/>
        </w:rPr>
        <w:t xml:space="preserve"> mutató számításkor az első pillérrel összevontan összesen 100 százalék kiáramlást számoljanak.</w:t>
      </w:r>
    </w:p>
    <w:p w14:paraId="1D13D90D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többlet-kiáramlást a ’C_76.00.A380</w:t>
      </w:r>
      <w:r w:rsidRPr="000809FC">
        <w:rPr>
          <w:sz w:val="23"/>
          <w:szCs w:val="23"/>
        </w:rPr>
        <w:tab/>
        <w:t xml:space="preserve">1.5.1.__A </w:t>
      </w:r>
      <w:proofErr w:type="spellStart"/>
      <w:r w:rsidRPr="000809FC">
        <w:rPr>
          <w:sz w:val="23"/>
          <w:szCs w:val="23"/>
        </w:rPr>
        <w:t>CRD</w:t>
      </w:r>
      <w:proofErr w:type="spellEnd"/>
      <w:r w:rsidRPr="000809FC">
        <w:rPr>
          <w:sz w:val="23"/>
          <w:szCs w:val="23"/>
        </w:rPr>
        <w:t xml:space="preserve"> 105. cikkében meghatározott II. pillér szerinti követelmény’ cellában kell jelenteni</w:t>
      </w:r>
      <w:r>
        <w:rPr>
          <w:sz w:val="23"/>
          <w:szCs w:val="23"/>
        </w:rPr>
        <w:t xml:space="preserve"> – a beáramlási korlátba ütköző összeggel való csökkentés figyelembevétele nélkül</w:t>
      </w:r>
      <w:r w:rsidRPr="000809FC">
        <w:rPr>
          <w:sz w:val="23"/>
          <w:szCs w:val="23"/>
        </w:rPr>
        <w:t>. A ’C_76.00.W’ táblában nem kell jelenteni.</w:t>
      </w:r>
    </w:p>
    <w:p w14:paraId="1D13D90E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 </w:t>
      </w:r>
      <w:proofErr w:type="spellStart"/>
      <w:r w:rsidRPr="000809FC">
        <w:rPr>
          <w:sz w:val="23"/>
          <w:szCs w:val="23"/>
        </w:rPr>
        <w:t>nagybetétesi</w:t>
      </w:r>
      <w:proofErr w:type="spellEnd"/>
      <w:r w:rsidRPr="000809FC">
        <w:rPr>
          <w:sz w:val="23"/>
          <w:szCs w:val="23"/>
        </w:rPr>
        <w:t xml:space="preserve"> koncentráció különösen a kisebb intézményeknél jelentkezik, ezért az arányosság elve itt nem alkalmazandó.</w:t>
      </w:r>
    </w:p>
    <w:p w14:paraId="1D13D90F" w14:textId="77777777" w:rsidR="00BA3919" w:rsidRPr="000809FC" w:rsidRDefault="00BA3919" w:rsidP="000809FC">
      <w:pPr>
        <w:ind w:left="360"/>
        <w:rPr>
          <w:sz w:val="23"/>
          <w:szCs w:val="23"/>
          <w:u w:val="single"/>
        </w:rPr>
      </w:pPr>
      <w:r w:rsidRPr="000809FC">
        <w:rPr>
          <w:sz w:val="23"/>
          <w:szCs w:val="23"/>
          <w:u w:val="single"/>
        </w:rPr>
        <w:t>Módszertani segédlet</w:t>
      </w:r>
    </w:p>
    <w:p w14:paraId="1D13D910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>Nagybetétes: ügyfélcsoportokat összevontan kell kezelni</w:t>
      </w:r>
      <w:r>
        <w:rPr>
          <w:rStyle w:val="Lbjegyzet-hivatkozs"/>
          <w:sz w:val="23"/>
          <w:szCs w:val="23"/>
        </w:rPr>
        <w:footnoteReference w:id="3"/>
      </w:r>
      <w:r w:rsidRPr="000809FC">
        <w:rPr>
          <w:sz w:val="23"/>
          <w:szCs w:val="23"/>
        </w:rPr>
        <w:t>, az adatszolgáltatóval egy irányítási csoportba tartozó intézményeket nem kell figyelembe venni (anya, leány, testvér, saját alapkezelő által kezelt alapok); bankok kivételével minden egyéb típusú ügyfél.</w:t>
      </w:r>
    </w:p>
    <w:p w14:paraId="1D13D911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Betét: 10GA definíció szerint, ki lehet zárni a </w:t>
      </w:r>
      <w:proofErr w:type="spellStart"/>
      <w:r w:rsidRPr="000809FC">
        <w:rPr>
          <w:sz w:val="23"/>
          <w:szCs w:val="23"/>
        </w:rPr>
        <w:t>repó</w:t>
      </w:r>
      <w:proofErr w:type="spellEnd"/>
      <w:r w:rsidRPr="000809FC">
        <w:rPr>
          <w:sz w:val="23"/>
          <w:szCs w:val="23"/>
        </w:rPr>
        <w:t xml:space="preserve"> keretében szerzett forrásokat, a felvett hiteleket és az óvadékként lekötött betéteket</w:t>
      </w:r>
      <w:r>
        <w:rPr>
          <w:rStyle w:val="Lbjegyzet-hivatkozs"/>
          <w:sz w:val="23"/>
          <w:szCs w:val="23"/>
        </w:rPr>
        <w:footnoteReference w:id="4"/>
      </w:r>
      <w:r w:rsidRPr="000809FC">
        <w:rPr>
          <w:sz w:val="23"/>
          <w:szCs w:val="23"/>
        </w:rPr>
        <w:t>; nem lehet egyéb lekötéssel, vagy más indokkal további forrásokat kizárni.</w:t>
      </w:r>
    </w:p>
    <w:p w14:paraId="1D13D912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Limit: </w:t>
      </w:r>
      <w:r>
        <w:rPr>
          <w:sz w:val="23"/>
          <w:szCs w:val="23"/>
        </w:rPr>
        <w:t>1</w:t>
      </w:r>
      <w:r w:rsidRPr="000809FC">
        <w:rPr>
          <w:sz w:val="23"/>
          <w:szCs w:val="23"/>
        </w:rPr>
        <w:t xml:space="preserve"> százaléka a betétállománynak; M01-es tábla Betétek könyv szerinti értéke bankok kivételével 673-(675+676+689+694).</w:t>
      </w:r>
    </w:p>
    <w:p w14:paraId="1D13D913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Többlet-kiáramlás: a betétek limit feletti részére kell alkalmazni, a többletnek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>-ben már elszámolt kiáramlást kell 100 százalékra emelnie</w:t>
      </w:r>
      <w:r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 w:rsidRPr="000809FC">
        <w:rPr>
          <w:sz w:val="23"/>
          <w:szCs w:val="23"/>
        </w:rPr>
        <w:t>ülönböző kiáramlású betétek esetén a</w:t>
      </w:r>
      <w:r>
        <w:rPr>
          <w:sz w:val="23"/>
          <w:szCs w:val="23"/>
        </w:rPr>
        <w:t xml:space="preserve"> limit feletti betétek átlagos kiáramlási súlyához</w:t>
      </w:r>
      <w:r w:rsidRPr="000809FC">
        <w:rPr>
          <w:sz w:val="23"/>
          <w:szCs w:val="23"/>
        </w:rPr>
        <w:t xml:space="preserve"> képest kell a többletet meghatározni</w:t>
      </w:r>
      <w:r>
        <w:rPr>
          <w:sz w:val="23"/>
          <w:szCs w:val="23"/>
        </w:rPr>
        <w:t>, feltételezve, hogy a legmagasabb kiáramlási súllyal rendelkező betétek kerülnek a limit fölé</w:t>
      </w:r>
      <w:r>
        <w:rPr>
          <w:rStyle w:val="Lbjegyzet-hivatkozs"/>
          <w:sz w:val="23"/>
          <w:szCs w:val="23"/>
        </w:rPr>
        <w:footnoteReference w:id="5"/>
      </w:r>
      <w:r w:rsidRPr="000809FC">
        <w:rPr>
          <w:sz w:val="23"/>
          <w:szCs w:val="23"/>
        </w:rPr>
        <w:t>.</w:t>
      </w:r>
    </w:p>
    <w:p w14:paraId="1D13D914" w14:textId="77777777" w:rsidR="00BA3919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többletet devizabontás nélkül kell meghatározni, de a likviditási puffer devizális összetételére vonatkozó általános elvárás érvényes</w:t>
      </w:r>
    </w:p>
    <w:p w14:paraId="1D13D915" w14:textId="77777777" w:rsidR="00BA3919" w:rsidRPr="000809FC" w:rsidRDefault="00BA3919" w:rsidP="000809FC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többlet követelmények az </w:t>
      </w:r>
      <w:proofErr w:type="spellStart"/>
      <w:r>
        <w:rPr>
          <w:sz w:val="23"/>
          <w:szCs w:val="23"/>
        </w:rPr>
        <w:t>NSFR</w:t>
      </w:r>
      <w:proofErr w:type="spellEnd"/>
      <w:r>
        <w:rPr>
          <w:sz w:val="23"/>
          <w:szCs w:val="23"/>
        </w:rPr>
        <w:t xml:space="preserve"> tekintetében is alkalmazandóak, annyi változtatással, hogy a betétek limit feletti része nem biztosíthat stabil finanszírozást. Az </w:t>
      </w:r>
      <w:proofErr w:type="spellStart"/>
      <w:r>
        <w:rPr>
          <w:sz w:val="23"/>
          <w:szCs w:val="23"/>
        </w:rPr>
        <w:t>LCR</w:t>
      </w:r>
      <w:proofErr w:type="spellEnd"/>
      <w:r>
        <w:rPr>
          <w:sz w:val="23"/>
          <w:szCs w:val="23"/>
        </w:rPr>
        <w:t xml:space="preserve"> és </w:t>
      </w:r>
      <w:proofErr w:type="spellStart"/>
      <w:r>
        <w:rPr>
          <w:sz w:val="23"/>
          <w:szCs w:val="23"/>
        </w:rPr>
        <w:t>NSFR</w:t>
      </w:r>
      <w:proofErr w:type="spellEnd"/>
      <w:r>
        <w:rPr>
          <w:sz w:val="23"/>
          <w:szCs w:val="23"/>
        </w:rPr>
        <w:t xml:space="preserve"> eltérő súlyai miatt a két többletkövetelmény nem egyezik. Az </w:t>
      </w:r>
      <w:proofErr w:type="spellStart"/>
      <w:r>
        <w:rPr>
          <w:sz w:val="23"/>
          <w:szCs w:val="23"/>
        </w:rPr>
        <w:t>NSFR</w:t>
      </w:r>
      <w:proofErr w:type="spellEnd"/>
      <w:r>
        <w:rPr>
          <w:sz w:val="23"/>
          <w:szCs w:val="23"/>
        </w:rPr>
        <w:t xml:space="preserve"> többletkövetelmény számszerűsítése a rendszeres adatszolgáltatást nem érinti. Annak bank általi mérése és teljesítése az </w:t>
      </w:r>
      <w:proofErr w:type="spellStart"/>
      <w:r>
        <w:rPr>
          <w:sz w:val="23"/>
          <w:szCs w:val="23"/>
        </w:rPr>
        <w:t>NSFR</w:t>
      </w:r>
      <w:proofErr w:type="spellEnd"/>
      <w:r>
        <w:rPr>
          <w:sz w:val="23"/>
          <w:szCs w:val="23"/>
        </w:rPr>
        <w:t xml:space="preserve"> hatálybalépésétől elvárt. Az MNB a 10GA alapján becsléssel és vizsgálatok alkalmával fogja ellenőrizni a megfelelést.</w:t>
      </w:r>
    </w:p>
    <w:p w14:paraId="1D13D916" w14:textId="77777777" w:rsidR="00BA3919" w:rsidRDefault="00BA3919" w:rsidP="001C26F8">
      <w:pPr>
        <w:pStyle w:val="Cmsor1"/>
        <w:jc w:val="both"/>
      </w:pPr>
      <w:r>
        <w:t>Felmondható betétek</w:t>
      </w:r>
    </w:p>
    <w:p w14:paraId="1D13D917" w14:textId="0B46ECE1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lekötött, de feltörhető betétek tekintetében a felhalmozott kamat elvesztése </w:t>
      </w:r>
      <w:r>
        <w:rPr>
          <w:sz w:val="23"/>
          <w:szCs w:val="23"/>
        </w:rPr>
        <w:t>egy esetleges</w:t>
      </w:r>
      <w:r w:rsidRPr="000809FC">
        <w:rPr>
          <w:sz w:val="23"/>
          <w:szCs w:val="23"/>
        </w:rPr>
        <w:t xml:space="preserve">alacsony kamatkörnyezetben nem jelent megfelelő ösztönzést a betét lejáratának kivárására, ezért </w:t>
      </w:r>
      <w:proofErr w:type="spellStart"/>
      <w:r w:rsidRPr="000809FC">
        <w:rPr>
          <w:sz w:val="23"/>
          <w:szCs w:val="23"/>
        </w:rPr>
        <w:t>reziduális</w:t>
      </w:r>
      <w:proofErr w:type="spellEnd"/>
      <w:r w:rsidRPr="000809FC">
        <w:rPr>
          <w:sz w:val="23"/>
          <w:szCs w:val="23"/>
        </w:rPr>
        <w:t xml:space="preserve"> likviditási kockázat jelentkezik a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szabályozáshoz képest (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25. cikk (4) b)).</w:t>
      </w:r>
    </w:p>
    <w:p w14:paraId="1D13D918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automatikus többlet-követelményt ezen portfólióval szemben. Viszont elvárás, hogy az intézmények jogilag vizsgálják a lekötött lakossági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lejárat előtti felmondhatóságát, </w:t>
      </w:r>
      <w:proofErr w:type="spellStart"/>
      <w:r w:rsidRPr="000809FC">
        <w:rPr>
          <w:sz w:val="23"/>
          <w:szCs w:val="23"/>
        </w:rPr>
        <w:t>statisztikailag</w:t>
      </w:r>
      <w:proofErr w:type="spellEnd"/>
      <w:r w:rsidRPr="000809FC">
        <w:rPr>
          <w:sz w:val="23"/>
          <w:szCs w:val="23"/>
        </w:rPr>
        <w:t xml:space="preserve"> elemezzék a bekövetkezett felmondásokat, és szükség esetén számszerűsítsék a többlet-kiáramlást, és képezzék meg a fedezetét.</w:t>
      </w:r>
    </w:p>
    <w:p w14:paraId="1D13D919" w14:textId="77777777" w:rsidR="00BA3919" w:rsidRPr="008E2190" w:rsidRDefault="00BA3919" w:rsidP="000809FC">
      <w:pPr>
        <w:ind w:left="360"/>
      </w:pPr>
      <w:r w:rsidRPr="000809FC">
        <w:rPr>
          <w:sz w:val="23"/>
          <w:szCs w:val="23"/>
        </w:rPr>
        <w:t xml:space="preserve">Érintett mutatók: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>, stressz tesztek</w:t>
      </w:r>
    </w:p>
    <w:p w14:paraId="1D13D91A" w14:textId="77777777" w:rsidR="00BA3919" w:rsidRDefault="00BA3919" w:rsidP="001C26F8">
      <w:pPr>
        <w:pStyle w:val="Cmsor1"/>
        <w:jc w:val="both"/>
      </w:pPr>
      <w:r>
        <w:lastRenderedPageBreak/>
        <w:t>Felmondott betétek</w:t>
      </w:r>
    </w:p>
    <w:p w14:paraId="1D13D91B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magyar piacon a felmondott betétekről jelentős részben csak a felmondási idő letelte után rendelkeznek, ezért ezek a betétek nagyobb kockázatot jelentenek, mint ami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szabályozásban tükröződik (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25. cikk (4) b) második bekezdés (csak másik hitelintézet részére való kifizetés esetén kell 100% kiáramlást számolni)). Az említett szabályozásban nem lakossági betétek esetében nincs is rendelkezés a feltört betét magasabb kiáramlási </w:t>
      </w:r>
      <w:proofErr w:type="spellStart"/>
      <w:r w:rsidRPr="000809FC">
        <w:rPr>
          <w:sz w:val="23"/>
          <w:szCs w:val="23"/>
        </w:rPr>
        <w:t>faktoráról</w:t>
      </w:r>
      <w:proofErr w:type="spellEnd"/>
      <w:r w:rsidRPr="000809FC">
        <w:rPr>
          <w:sz w:val="23"/>
          <w:szCs w:val="23"/>
        </w:rPr>
        <w:t xml:space="preserve">. </w:t>
      </w:r>
    </w:p>
    <w:p w14:paraId="1D13D91C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automatikus többlet-követelményt ezen portfólióval szemben. Az intézményekkel szemben viszont elvárás, hogy </w:t>
      </w:r>
      <w:proofErr w:type="spellStart"/>
      <w:r w:rsidRPr="000809FC">
        <w:rPr>
          <w:sz w:val="23"/>
          <w:szCs w:val="23"/>
        </w:rPr>
        <w:t>statisztikailag</w:t>
      </w:r>
      <w:proofErr w:type="spellEnd"/>
      <w:r w:rsidRPr="000809FC">
        <w:rPr>
          <w:sz w:val="23"/>
          <w:szCs w:val="23"/>
        </w:rPr>
        <w:t xml:space="preserve"> is vizsgálják a feltörési periódusban lévő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átlagos állományát és ezen betétek stabilitását. Amennyiben a hatás materiális, számszerűsítsék a többlet-kiáramlást és képezzék meg a fedezetét.</w:t>
      </w:r>
    </w:p>
    <w:p w14:paraId="1D13D91D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Érintett mutatók: </w:t>
      </w:r>
      <w:proofErr w:type="spellStart"/>
      <w:r w:rsidRPr="000809FC">
        <w:rPr>
          <w:sz w:val="23"/>
          <w:szCs w:val="23"/>
        </w:rPr>
        <w:t>LCR</w:t>
      </w:r>
      <w:proofErr w:type="spellEnd"/>
    </w:p>
    <w:p w14:paraId="1D13D91E" w14:textId="77777777" w:rsidR="00BA3919" w:rsidRDefault="00BA3919" w:rsidP="004328F3">
      <w:pPr>
        <w:pStyle w:val="Cmsor1"/>
        <w:jc w:val="both"/>
      </w:pPr>
      <w:r>
        <w:t>31-60 nap alatt felmondható betétek</w:t>
      </w:r>
    </w:p>
    <w:p w14:paraId="1D13D91F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kockázatként azonosította a 31 nap alatt feltörhető betéteket. Ez a fajta feltörési záradék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mutatót javítja, azonban jelentős működési jellegű kockázat kapcsolódik hozzá. Egyrészt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megfelelését ritkán, vagy késéssel ellenőrzi (pl. csak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jelentés beküldési határideje előtt néhány nappal).</w:t>
      </w:r>
    </w:p>
    <w:p w14:paraId="1D13D920" w14:textId="77777777" w:rsidR="00BA3919" w:rsidRPr="002246C1" w:rsidRDefault="00BA3919" w:rsidP="002246C1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automatikus többlet-követelményt ezen portfólióval szemben. Az intézményekkel szemben viszont elvárás, hogy mérjék fel a 31-60 nap alatt feltörhető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állományát, illetve vizsgálják felül belső folyamataikat olyan szempontból, hogy ezen betétek feltörését mikor észleli a likviditáskezelésért felelős terület, és ez biztosítja-e az </w:t>
      </w:r>
      <w:proofErr w:type="spellStart"/>
      <w:r w:rsidRPr="000809FC">
        <w:rPr>
          <w:sz w:val="23"/>
          <w:szCs w:val="23"/>
        </w:rPr>
        <w:t>LCR</w:t>
      </w:r>
      <w:proofErr w:type="spellEnd"/>
      <w:r w:rsidRPr="000809FC">
        <w:rPr>
          <w:sz w:val="23"/>
          <w:szCs w:val="23"/>
        </w:rPr>
        <w:t xml:space="preserve"> követelmények állandó teljesítését. Elvárt, hogy az intézmény szükség esetén számszerűsítse a többlet-puffer mértékét.</w:t>
      </w:r>
    </w:p>
    <w:p w14:paraId="1D13D921" w14:textId="77777777" w:rsidR="00BA3919" w:rsidRDefault="00BA3919" w:rsidP="001C26F8">
      <w:pPr>
        <w:pStyle w:val="Cmsor1"/>
        <w:jc w:val="both"/>
      </w:pPr>
      <w:r>
        <w:t>Hitelkeretek elmaradó rögzítései</w:t>
      </w:r>
    </w:p>
    <w:p w14:paraId="1D13D922" w14:textId="77777777" w:rsidR="00BA3919" w:rsidRPr="000809FC" w:rsidRDefault="00BA3919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hiányosságot jelent.</w:t>
      </w:r>
    </w:p>
    <w:p w14:paraId="1D13D923" w14:textId="77777777" w:rsidR="00BA3919" w:rsidRDefault="00BA3919" w:rsidP="000809FC">
      <w:pPr>
        <w:ind w:left="360"/>
      </w:pPr>
      <w:r w:rsidRPr="000809FC">
        <w:rPr>
          <w:sz w:val="23"/>
          <w:szCs w:val="23"/>
        </w:rPr>
        <w:t xml:space="preserve">Az MNB nem határoz meg automatikus többlet-követelményt ezen portfólióval szemben, azonban az MNB elvárja az intézményektől, hogy becsüljék meg a nem rögzített hitelkeretek átlagos állományát, és erre vonatkozóan </w:t>
      </w: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23. cikk és a kapcsolódó MNB </w:t>
      </w:r>
      <w:proofErr w:type="spellStart"/>
      <w:r w:rsidRPr="000809FC">
        <w:rPr>
          <w:sz w:val="23"/>
          <w:szCs w:val="23"/>
        </w:rPr>
        <w:t>Q&amp;A</w:t>
      </w:r>
      <w:proofErr w:type="spellEnd"/>
      <w:r>
        <w:rPr>
          <w:rStyle w:val="Lbjegyzet-hivatkozs"/>
          <w:sz w:val="23"/>
          <w:szCs w:val="23"/>
        </w:rPr>
        <w:footnoteReference w:id="6"/>
      </w:r>
      <w:r w:rsidRPr="000809FC">
        <w:rPr>
          <w:sz w:val="23"/>
          <w:szCs w:val="23"/>
        </w:rPr>
        <w:t xml:space="preserve"> szerint határozzák meg a többlet-kiáramlást és képezzék meg a fedezetét.</w:t>
      </w:r>
    </w:p>
    <w:p w14:paraId="1D13D924" w14:textId="77777777" w:rsidR="00BA3919" w:rsidRDefault="00BA3919" w:rsidP="00250402">
      <w:pPr>
        <w:pStyle w:val="Cmsor1"/>
        <w:jc w:val="both"/>
      </w:pPr>
      <w:bookmarkStart w:id="0" w:name="_Hlk53501444"/>
      <w:r>
        <w:lastRenderedPageBreak/>
        <w:t xml:space="preserve">Egyedi </w:t>
      </w:r>
      <w:proofErr w:type="spellStart"/>
      <w:r>
        <w:t>árazású</w:t>
      </w:r>
      <w:proofErr w:type="spellEnd"/>
      <w:r>
        <w:t xml:space="preserve"> betétek</w:t>
      </w:r>
    </w:p>
    <w:p w14:paraId="1D13D925" w14:textId="77777777" w:rsidR="00BA3919" w:rsidRDefault="00BA3919" w:rsidP="002504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Egyes nagyvállalatok olyan saját likviditáskezeléssel rendelkeznek, mely viselkedésében inkább egy pénzügyi vállalkozásra hasonlítanak. Különösen nagy kockázatnak értékeljük az 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betétlekötéseket. Elvárt ezen betétállomány monitorozása, illetve annak vizsgálata, hogy a jogszabály által megkövetelt 40 százalékos kiáramlás tükrözi-e a betétkivonás kockázatát. Addicionális rizikófaktor, ha a vállalat vélhetően több bank kamatajánlatát kérte be, és az alapján döntött a betételhelyezéskor a bank mellett, illetve, ha a vállalattal nincs, vagy elenyésző az egyéb kapcsolat (pl. számlaforgalom). Az érintett állomány minél pontosabb definiálása az intézmény feladata. Az MNB a vizsgálatok során az objektíven meghatározható</w:t>
      </w:r>
      <w:r w:rsidRPr="00AF56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 kéri részletezni.</w:t>
      </w:r>
    </w:p>
    <w:p w14:paraId="1D13D926" w14:textId="77777777" w:rsidR="00BA3919" w:rsidRDefault="00BA3919" w:rsidP="0077134C">
      <w:pPr>
        <w:pStyle w:val="Cmsor1"/>
        <w:jc w:val="both"/>
      </w:pPr>
      <w:bookmarkStart w:id="1" w:name="_Hlk54955236"/>
      <w:r>
        <w:t>Ügynöki tevékenység keretében elhelyezett betétek (</w:t>
      </w:r>
      <w:proofErr w:type="spellStart"/>
      <w:r>
        <w:t>fiduciary</w:t>
      </w:r>
      <w:proofErr w:type="spellEnd"/>
      <w:r>
        <w:t xml:space="preserve"> </w:t>
      </w:r>
      <w:proofErr w:type="spellStart"/>
      <w:r>
        <w:t>deopist</w:t>
      </w:r>
      <w:proofErr w:type="spellEnd"/>
      <w:r>
        <w:t>)</w:t>
      </w:r>
    </w:p>
    <w:bookmarkEnd w:id="1"/>
    <w:p w14:paraId="1D13D927" w14:textId="77777777" w:rsidR="00BA3919" w:rsidRDefault="00BA3919" w:rsidP="0077134C">
      <w:pPr>
        <w:ind w:left="360"/>
        <w:rPr>
          <w:sz w:val="23"/>
          <w:szCs w:val="23"/>
        </w:rPr>
      </w:pPr>
      <w:r w:rsidRPr="001D124A">
        <w:rPr>
          <w:sz w:val="23"/>
          <w:szCs w:val="23"/>
        </w:rPr>
        <w:t xml:space="preserve">Azon esetekben mikor egy harmadik fél </w:t>
      </w:r>
      <w:r>
        <w:rPr>
          <w:sz w:val="23"/>
          <w:szCs w:val="23"/>
        </w:rPr>
        <w:t>(</w:t>
      </w:r>
      <w:r w:rsidRPr="001D124A">
        <w:rPr>
          <w:sz w:val="23"/>
          <w:szCs w:val="23"/>
        </w:rPr>
        <w:t>megbízási szerződés keretében</w:t>
      </w:r>
      <w:r>
        <w:rPr>
          <w:sz w:val="23"/>
          <w:szCs w:val="23"/>
        </w:rPr>
        <w:t>)</w:t>
      </w:r>
      <w:r w:rsidRPr="001D124A">
        <w:rPr>
          <w:sz w:val="23"/>
          <w:szCs w:val="23"/>
        </w:rPr>
        <w:t xml:space="preserve"> vagyonkezelőként </w:t>
      </w:r>
      <w:r>
        <w:rPr>
          <w:sz w:val="23"/>
          <w:szCs w:val="23"/>
        </w:rPr>
        <w:t xml:space="preserve">helyez el betétet az intézménynél, annak karakterisztikája eltérhet az „eredeti betétes” viselkedési normáitól és inkább pénzügyi ügyfélre hasonlít. </w:t>
      </w:r>
    </w:p>
    <w:p w14:paraId="1D13D928" w14:textId="77777777" w:rsidR="00BA3919" w:rsidRDefault="00BA3919" w:rsidP="0077134C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elvárt, hogy azonosítsák az ilyen – és pontos definíció híján a hasonló – betétportfóliókat, és vizsgálják stabilitásukat.</w:t>
      </w:r>
    </w:p>
    <w:p w14:paraId="1D13D929" w14:textId="77777777" w:rsidR="00BA3919" w:rsidRPr="000809FC" w:rsidRDefault="00BA3919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Szükséges megjegyezni, hogy a 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>
        <w:rPr>
          <w:sz w:val="23"/>
          <w:szCs w:val="23"/>
        </w:rPr>
        <w:t xml:space="preserve"> 27. cikk (6) bekezdése alapján betétközvetítő ügynökök kizárásra kerülnek az operatív kapcsolatból.</w:t>
      </w:r>
    </w:p>
    <w:p w14:paraId="1D13D92A" w14:textId="77777777" w:rsidR="00BA3919" w:rsidRDefault="00BA3919" w:rsidP="00250402">
      <w:pPr>
        <w:pStyle w:val="Cmsor1"/>
        <w:jc w:val="both"/>
      </w:pPr>
      <w:r>
        <w:t>befektetési szolgáltatás keretében kezelt ügyfélpénzek</w:t>
      </w:r>
    </w:p>
    <w:p w14:paraId="1D13D92B" w14:textId="77777777" w:rsidR="00BA3919" w:rsidRDefault="00BA3919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vizsgálja, hogy a befektetési szolgáltatás keretében kezelt ügyfélpénzeket a bank milyen konstrukció keretében kezeli (betéti számla, vagy ügyfélszámla), illetve eszköz oldalon mennyire valósul meg a saját eszközöktől történő elkülönített kezelés.</w:t>
      </w:r>
    </w:p>
    <w:p w14:paraId="1D13D92C" w14:textId="77777777" w:rsidR="00BA3919" w:rsidRDefault="00BA3919" w:rsidP="00250402">
      <w:pPr>
        <w:pStyle w:val="Cmsor1"/>
        <w:jc w:val="both"/>
      </w:pPr>
      <w:proofErr w:type="spellStart"/>
      <w:r>
        <w:t>LCR</w:t>
      </w:r>
      <w:proofErr w:type="spellEnd"/>
      <w:r>
        <w:t xml:space="preserve"> konszolidációs kör</w:t>
      </w:r>
    </w:p>
    <w:p w14:paraId="1D13D92D" w14:textId="77777777" w:rsidR="00BA3919" w:rsidRDefault="00BA3919" w:rsidP="006240A7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csoportszintű </w:t>
      </w:r>
      <w:proofErr w:type="spellStart"/>
      <w:r>
        <w:rPr>
          <w:sz w:val="23"/>
          <w:szCs w:val="23"/>
        </w:rPr>
        <w:t>LCR</w:t>
      </w:r>
      <w:proofErr w:type="spellEnd"/>
      <w:r>
        <w:rPr>
          <w:sz w:val="23"/>
          <w:szCs w:val="23"/>
        </w:rPr>
        <w:t xml:space="preserve"> számításakor az intézménynek törekednie kell, hogy az összes összevont felügyelet alá tartozó vállalkozást figyelembe vegye. Az MNB elfogadja, ha erre az arányosság elve alapján nem </w:t>
      </w:r>
      <w:proofErr w:type="spellStart"/>
      <w:r>
        <w:rPr>
          <w:sz w:val="23"/>
          <w:szCs w:val="23"/>
        </w:rPr>
        <w:t>teljeskörűen</w:t>
      </w:r>
      <w:proofErr w:type="spellEnd"/>
      <w:r>
        <w:rPr>
          <w:sz w:val="23"/>
          <w:szCs w:val="23"/>
        </w:rPr>
        <w:t xml:space="preserve"> (pl. becslésekkel, kihagyásokkal) kerül sor. Az azonban elvárt, hogy rendszeresen mérjék fel, mekkora a potenciális hatása a becsléseknek.</w:t>
      </w:r>
    </w:p>
    <w:p w14:paraId="1D13D92E" w14:textId="77777777" w:rsidR="00BA3919" w:rsidRDefault="00BA3919" w:rsidP="00250402">
      <w:pPr>
        <w:pStyle w:val="Cmsor1"/>
        <w:jc w:val="both"/>
      </w:pPr>
      <w:proofErr w:type="spellStart"/>
      <w:r>
        <w:t>step</w:t>
      </w:r>
      <w:proofErr w:type="spellEnd"/>
      <w:r>
        <w:t xml:space="preserve">-in </w:t>
      </w:r>
      <w:proofErr w:type="spellStart"/>
      <w:r>
        <w:t>risk</w:t>
      </w:r>
      <w:proofErr w:type="spellEnd"/>
    </w:p>
    <w:p w14:paraId="1D13D92F" w14:textId="77777777" w:rsidR="00BA3919" w:rsidRDefault="00BA3919" w:rsidP="007930B5">
      <w:pPr>
        <w:ind w:left="360"/>
        <w:rPr>
          <w:sz w:val="21"/>
          <w:szCs w:val="21"/>
        </w:rPr>
      </w:pPr>
      <w:r>
        <w:rPr>
          <w:sz w:val="23"/>
          <w:szCs w:val="23"/>
        </w:rPr>
        <w:t xml:space="preserve">Likviditási kockázatot jelent, hogy bizonyos, a </w:t>
      </w:r>
      <w:proofErr w:type="spellStart"/>
      <w:r>
        <w:rPr>
          <w:sz w:val="23"/>
          <w:szCs w:val="23"/>
        </w:rPr>
        <w:t>prudenciális</w:t>
      </w:r>
      <w:proofErr w:type="spellEnd"/>
      <w:r>
        <w:rPr>
          <w:sz w:val="23"/>
          <w:szCs w:val="23"/>
        </w:rPr>
        <w:t xml:space="preserve"> konszolidációba nem, de a tágan értelmezett bankcsoporthoz tartozó entitások esetében a bank likviditási segítséget nyújt. Az egész csoportot érintő reputációs kockázat elkerülése érdekében sor kerülhet hitelnyújtásra jogi kötelezettség nélkül, vagy a bank eltekinthet egyoldalú felmondási opciójának gyakorlásáról. Ilyen jelentős ügyfélkör a saját alapkezelő által kezelt befektetési alapok, különösen, ha az alap nevében </w:t>
      </w:r>
      <w:r>
        <w:rPr>
          <w:sz w:val="23"/>
          <w:szCs w:val="23"/>
        </w:rPr>
        <w:lastRenderedPageBreak/>
        <w:t xml:space="preserve">benne van a bank neve. A banknak fel kell mérnie, hogy egy az alapokat érintő kivonási hullám milyen likviditási kockázatokat rejt. Az alap eszközeinek likviditási szempontú megítélésekor az </w:t>
      </w:r>
      <w:proofErr w:type="spellStart"/>
      <w:r>
        <w:rPr>
          <w:sz w:val="23"/>
          <w:szCs w:val="23"/>
        </w:rPr>
        <w:t>LCR</w:t>
      </w:r>
      <w:proofErr w:type="spellEnd"/>
      <w:r>
        <w:rPr>
          <w:sz w:val="23"/>
          <w:szCs w:val="23"/>
        </w:rPr>
        <w:t xml:space="preserve"> 30 napos időtávját kell figyelembe venni. Mivel a likvid eszközök árfolyamkockázata a befektetőé, az </w:t>
      </w:r>
      <w:proofErr w:type="spellStart"/>
      <w:r>
        <w:rPr>
          <w:sz w:val="23"/>
          <w:szCs w:val="23"/>
        </w:rPr>
        <w:t>LCR</w:t>
      </w:r>
      <w:proofErr w:type="spellEnd"/>
      <w:r>
        <w:rPr>
          <w:sz w:val="23"/>
          <w:szCs w:val="23"/>
        </w:rPr>
        <w:t xml:space="preserve"> szerinti </w:t>
      </w:r>
      <w:proofErr w:type="spellStart"/>
      <w:r>
        <w:rPr>
          <w:sz w:val="23"/>
          <w:szCs w:val="23"/>
        </w:rPr>
        <w:t>haircutokat</w:t>
      </w:r>
      <w:proofErr w:type="spellEnd"/>
      <w:r>
        <w:rPr>
          <w:sz w:val="23"/>
          <w:szCs w:val="23"/>
        </w:rPr>
        <w:t xml:space="preserve"> nem kell alkalmazni. A kiáramlás becslésekor a befektetőket betétbiztosítás nélküli betéteseknek kell tekinteni. Kockázatcsökkentő tényezőként lehet figyelembe venni a zárt végű alapokat és T+31 napos és hosszabb visszaváltási periódusú befektetési jegyeket, de tekintettel kell lenni arra, hogy a bank általi likviditási segítségnyújtás a befektetési jegyek ügyféltől történő megvásárlásával, vagy újak lejegyzésével is megvalósulhat. A</w:t>
      </w:r>
      <w:r w:rsidRPr="007930B5">
        <w:rPr>
          <w:sz w:val="21"/>
          <w:szCs w:val="21"/>
        </w:rPr>
        <w:t>z egyik alap többlete nem alkalmazható a másik hiányának pótlására</w:t>
      </w:r>
      <w:r>
        <w:rPr>
          <w:sz w:val="21"/>
          <w:szCs w:val="21"/>
        </w:rPr>
        <w:t>.</w:t>
      </w:r>
    </w:p>
    <w:p w14:paraId="1D13D930" w14:textId="77777777" w:rsidR="00BA3919" w:rsidRDefault="00BA3919" w:rsidP="00D2669F">
      <w:pPr>
        <w:pStyle w:val="Cmsor1"/>
        <w:jc w:val="both"/>
      </w:pPr>
      <w:r>
        <w:t>Lejárati eltérés</w:t>
      </w:r>
    </w:p>
    <w:p w14:paraId="1D13D931" w14:textId="77777777" w:rsidR="00BA3919" w:rsidRDefault="00BA3919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</w:t>
      </w:r>
      <w:r w:rsidRPr="004A2371">
        <w:rPr>
          <w:sz w:val="23"/>
          <w:szCs w:val="23"/>
        </w:rPr>
        <w:t xml:space="preserve">z MNB a likviditási és finanszírozási kockázatok értékelése és folyamatos </w:t>
      </w:r>
      <w:proofErr w:type="spellStart"/>
      <w:r w:rsidRPr="004A2371">
        <w:rPr>
          <w:sz w:val="23"/>
          <w:szCs w:val="23"/>
        </w:rPr>
        <w:t>monitoringja</w:t>
      </w:r>
      <w:proofErr w:type="spellEnd"/>
      <w:r w:rsidRPr="004A2371">
        <w:rPr>
          <w:sz w:val="23"/>
          <w:szCs w:val="23"/>
        </w:rPr>
        <w:t xml:space="preserve"> során használt mutatókat kibővíti a lejárati eltéréssel</w:t>
      </w:r>
      <w:r>
        <w:rPr>
          <w:sz w:val="23"/>
          <w:szCs w:val="23"/>
        </w:rPr>
        <w:t xml:space="preserve">. A kockázat nem egyes portfóliókhoz, hanem az egész mérleghez kapcsolódik. </w:t>
      </w:r>
    </w:p>
    <w:p w14:paraId="1D13D932" w14:textId="77777777" w:rsidR="00BA3919" w:rsidRDefault="00BA3919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számításokhoz a C_66 lejárati összhang tábla adatait használjuk fel, melynek adatminőségét és átcsoportosításhoz használt modelljeit az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vizsgálatok keretében ellenőrizzük.</w:t>
      </w:r>
    </w:p>
    <w:p w14:paraId="1D13D933" w14:textId="77777777" w:rsidR="00BA3919" w:rsidRDefault="00BA3919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a saját módszertan alapján történő mérés (és limitekkel történő kezelés) várt el</w:t>
      </w:r>
      <w:r>
        <w:rPr>
          <w:rStyle w:val="Lbjegyzet-hivatkozs"/>
          <w:sz w:val="23"/>
          <w:szCs w:val="23"/>
        </w:rPr>
        <w:footnoteReference w:id="7"/>
      </w:r>
      <w:r>
        <w:rPr>
          <w:sz w:val="23"/>
          <w:szCs w:val="23"/>
        </w:rPr>
        <w:t>. De szükséges a C_66 adatminőségének ellenőrzése, illetve a saját és MNB módszertan főbb különbségeinek magyarázata.</w:t>
      </w:r>
    </w:p>
    <w:p w14:paraId="1D13D934" w14:textId="77777777" w:rsidR="00BA3919" w:rsidRDefault="00BA3919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által használt mutató leírása:</w:t>
      </w:r>
    </w:p>
    <w:p w14:paraId="1D13D935" w14:textId="77777777" w:rsidR="00BA3919" w:rsidRPr="004476D7" w:rsidRDefault="00BA3919" w:rsidP="00D2669F">
      <w:pPr>
        <w:pStyle w:val="Listaszerbekezds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t>A kiinduló kiegyensúlyozó kapacitást csökkentjük az átcsoportosított kiáramlásokkal, növeljük az átcsoportosított beáramlásokkal, módosítjuk a kiegyensúlyozó kapacitás változásával és csökkentjük az átcsoportosított hitelkeret-lehívásokkal. Vesszük a minimumértéket az 1-30 nap; 1-12 hónap és 1-5 év időtávokon. A lejárati eltérés így 3 értéket jelöl, a 3 vizsgált időtávnak megfelelően.</w:t>
      </w:r>
    </w:p>
    <w:p w14:paraId="1D13D936" w14:textId="77777777" w:rsidR="00BA3919" w:rsidRDefault="00BA3919" w:rsidP="00D2669F">
      <w:pPr>
        <w:ind w:left="360"/>
        <w:rPr>
          <w:sz w:val="23"/>
          <w:szCs w:val="23"/>
        </w:rPr>
      </w:pPr>
    </w:p>
    <w:p w14:paraId="1D13D937" w14:textId="77777777" w:rsidR="00BA3919" w:rsidRPr="004476D7" w:rsidRDefault="00BA3919" w:rsidP="00D2669F">
      <w:pPr>
        <w:pStyle w:val="Listaszerbekezds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t>C_66.01b1080;1 - C_66.01.a</w:t>
      </w:r>
      <w:proofErr w:type="gramStart"/>
      <w:r w:rsidRPr="004476D7">
        <w:rPr>
          <w:sz w:val="23"/>
          <w:szCs w:val="23"/>
        </w:rPr>
        <w:t>0380;O</w:t>
      </w:r>
      <w:proofErr w:type="gramEnd"/>
      <w:r w:rsidRPr="004476D7">
        <w:rPr>
          <w:sz w:val="23"/>
          <w:szCs w:val="23"/>
        </w:rPr>
        <w:t xml:space="preserve"> - (C_66.01.c1270;[O+1] - C_66.01.a0260;O) + C_66.01.a0700;O + (C_66.01.c1280;[O+1] - C_66.01.a0590;O) + C_66.01.a1070;O + C_66.01.c1290;O , ahol ’O’ jelöli a hátralévő lejárati oszlopokat, melyek celláit 1-től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össze kell adni, így kapjuk meg a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számolt kumulált lejárati eltérést. A mutatót minden lejáratra kiszámoljuk (T=1-től 21-ig), és vesszük a minimumértéket az 1-30 nap (T=1-10); 1-12 hónap (T=11-</w:t>
      </w:r>
      <w:proofErr w:type="gramStart"/>
      <w:r w:rsidRPr="004476D7">
        <w:rPr>
          <w:sz w:val="23"/>
          <w:szCs w:val="23"/>
        </w:rPr>
        <w:t>18 )</w:t>
      </w:r>
      <w:proofErr w:type="gramEnd"/>
      <w:r w:rsidRPr="004476D7">
        <w:rPr>
          <w:sz w:val="23"/>
          <w:szCs w:val="23"/>
        </w:rPr>
        <w:t xml:space="preserve"> és 1-5 év (T=19-20) időtávokon.  (O a kumuláláshoz használt index, T pedig az időtáv ameddig a kumulálás megtörténik.)</w:t>
      </w:r>
    </w:p>
    <w:p w14:paraId="1D13D938" w14:textId="77777777" w:rsidR="00BA3919" w:rsidRPr="004476D7" w:rsidRDefault="00644AC2" w:rsidP="00D2669F">
      <w:pPr>
        <w:pStyle w:val="Listaszerbekezds"/>
        <w:numPr>
          <w:ilvl w:val="0"/>
          <w:numId w:val="35"/>
        </w:numPr>
        <w:tabs>
          <w:tab w:val="left" w:pos="1693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min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1,…,10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11,…,18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19,20</m:t>
                    </m:r>
                  </m:e>
                </m:eqArr>
              </m:e>
            </m:d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>⁡</m:t>
        </m:r>
        <m:r>
          <w:rPr>
            <w:rFonts w:ascii="Cambria Math" w:hAnsi="Cambria Math"/>
            <w:sz w:val="18"/>
            <w:szCs w:val="18"/>
          </w:rPr>
          <m:t>[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C_66.01b1080;1 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/>
                <w:sz w:val="18"/>
                <w:szCs w:val="18"/>
              </w:rPr>
              <m:t>O=1,…,T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{- C_66.01.a0380;O - 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 xml:space="preserve">C_66.01.c1270;[O+1] - C_66.01.a0260;O)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+ C_66.01.a0700;O + (C_66.01.c1280;[O+1] -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C_66.01.a0590;O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) +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C_66.01.a1070;O + C_66.01.c1290;O}]</m:t>
            </m:r>
          </m:e>
        </m:nary>
      </m:oMath>
    </w:p>
    <w:bookmarkEnd w:id="0"/>
    <w:p w14:paraId="1D13D939" w14:textId="77777777" w:rsidR="00BA3919" w:rsidRPr="007930B5" w:rsidRDefault="00BA3919" w:rsidP="007930B5">
      <w:pPr>
        <w:ind w:left="360"/>
        <w:rPr>
          <w:sz w:val="23"/>
          <w:szCs w:val="23"/>
        </w:rPr>
      </w:pPr>
    </w:p>
    <w:sectPr w:rsidR="00BA3919" w:rsidRPr="007930B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D942" w14:textId="77777777" w:rsidR="00BA3919" w:rsidRDefault="00BA3919">
      <w:pPr>
        <w:spacing w:after="0" w:line="240" w:lineRule="auto"/>
      </w:pPr>
      <w:r>
        <w:separator/>
      </w:r>
    </w:p>
  </w:endnote>
  <w:endnote w:type="continuationSeparator" w:id="0">
    <w:p w14:paraId="1D13D944" w14:textId="77777777" w:rsidR="00BA3919" w:rsidRDefault="00BA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D93E" w14:textId="77777777" w:rsidR="00BA3919" w:rsidRPr="00AC6950" w:rsidRDefault="00BA3919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D93A" w14:textId="77777777" w:rsidR="00BA3919" w:rsidRDefault="00BA3919">
      <w:r>
        <w:separator/>
      </w:r>
    </w:p>
  </w:footnote>
  <w:footnote w:type="continuationSeparator" w:id="0">
    <w:p w14:paraId="1D13D93B" w14:textId="77777777" w:rsidR="00BA3919" w:rsidRDefault="00BA3919">
      <w:r>
        <w:continuationSeparator/>
      </w:r>
    </w:p>
  </w:footnote>
  <w:footnote w:type="continuationNotice" w:id="1">
    <w:p w14:paraId="1D13D93C" w14:textId="77777777" w:rsidR="00BA3919" w:rsidRDefault="00BA3919">
      <w:pPr>
        <w:spacing w:after="0" w:line="240" w:lineRule="auto"/>
      </w:pPr>
    </w:p>
  </w:footnote>
  <w:footnote w:id="2">
    <w:p w14:paraId="1D13D93F" w14:textId="77777777" w:rsidR="00BA3919" w:rsidRPr="000809FC" w:rsidRDefault="00BA3919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likviditási többlet-kockázat elsősorban források esetén azonosítható, de kapcsolódhat eszközökhöz, vagy mérlegen kívüli tételekhez is.</w:t>
      </w:r>
    </w:p>
  </w:footnote>
  <w:footnote w:id="3">
    <w:p w14:paraId="1D13D940" w14:textId="77777777" w:rsidR="00BA3919" w:rsidRPr="000809FC" w:rsidRDefault="00BA3919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nagybetétesek és a limit közelében lévő ügyfelek esetében elvárt az ügyfélcsoport részletesebb azonosítása (</w:t>
      </w:r>
      <w:proofErr w:type="spellStart"/>
      <w:r w:rsidRPr="000809FC">
        <w:rPr>
          <w:color w:val="auto"/>
        </w:rPr>
        <w:t>Opten</w:t>
      </w:r>
      <w:proofErr w:type="spellEnd"/>
      <w:r w:rsidRPr="000809FC">
        <w:rPr>
          <w:color w:val="auto"/>
        </w:rPr>
        <w:t xml:space="preserve"> alapján közös ügyvezető magánszemélyek </w:t>
      </w:r>
      <w:proofErr w:type="spellStart"/>
      <w:r w:rsidRPr="000809FC">
        <w:rPr>
          <w:color w:val="auto"/>
        </w:rPr>
        <w:t>stb</w:t>
      </w:r>
      <w:proofErr w:type="spellEnd"/>
      <w:r w:rsidRPr="000809FC">
        <w:rPr>
          <w:color w:val="auto"/>
        </w:rPr>
        <w:t>)</w:t>
      </w:r>
    </w:p>
  </w:footnote>
  <w:footnote w:id="4">
    <w:p w14:paraId="1D13D941" w14:textId="77777777" w:rsidR="00BA3919" w:rsidRPr="000809FC" w:rsidRDefault="00BA3919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kibocsátott kötvényeket sem kell figyelembe venni, azok a 10GA-ban sem szerepelnek.</w:t>
      </w:r>
    </w:p>
  </w:footnote>
  <w:footnote w:id="5">
    <w:p w14:paraId="1D13D942" w14:textId="77777777" w:rsidR="00BA3919" w:rsidRPr="000809FC" w:rsidRDefault="00BA3919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Ha egy nagybetétesnek minősülő vállalatnak van 40 operatív forint betétje, amelyből 30-at fedez a betétbiztosítás, továbbá 100 egyéb forint betétje, illetve a limit </w:t>
      </w:r>
      <w:r>
        <w:rPr>
          <w:color w:val="auto"/>
        </w:rPr>
        <w:t>35</w:t>
      </w:r>
      <w:r w:rsidRPr="000809FC">
        <w:rPr>
          <w:color w:val="auto"/>
        </w:rPr>
        <w:t>, akkor a limit feletti részre, 40+100-</w:t>
      </w:r>
      <w:r>
        <w:rPr>
          <w:color w:val="auto"/>
        </w:rPr>
        <w:t>35</w:t>
      </w:r>
      <w:r w:rsidRPr="000809FC">
        <w:rPr>
          <w:color w:val="auto"/>
        </w:rPr>
        <w:t>=</w:t>
      </w:r>
      <w:r>
        <w:rPr>
          <w:color w:val="auto"/>
        </w:rPr>
        <w:t>105</w:t>
      </w:r>
      <w:r w:rsidRPr="000809FC">
        <w:rPr>
          <w:color w:val="auto"/>
        </w:rPr>
        <w:t xml:space="preserve"> betétre kell többlet-kiáramlást számolni. A</w:t>
      </w:r>
      <w:r>
        <w:rPr>
          <w:color w:val="auto"/>
        </w:rPr>
        <w:t xml:space="preserve"> legmagasabb kiáramlási faktorral rendelkező betéti részeket kell limit felettinek tekinteni, azaz a 100 egyéb betétet, illetve a betétbiztosítással nem fedezett operatív betétből 5-öt. Ezeknek a</w:t>
      </w:r>
      <w:r w:rsidRPr="000809FC">
        <w:rPr>
          <w:color w:val="auto"/>
        </w:rPr>
        <w:t xml:space="preserve">z 1. pilléres átlagos kiáramlási </w:t>
      </w:r>
      <w:proofErr w:type="spellStart"/>
      <w:r w:rsidRPr="000809FC">
        <w:rPr>
          <w:color w:val="auto"/>
        </w:rPr>
        <w:t>faktor</w:t>
      </w:r>
      <w:r>
        <w:rPr>
          <w:color w:val="auto"/>
        </w:rPr>
        <w:t>a</w:t>
      </w:r>
      <w:proofErr w:type="spellEnd"/>
      <w:r w:rsidRPr="000809FC">
        <w:rPr>
          <w:color w:val="auto"/>
        </w:rPr>
        <w:t xml:space="preserve"> (</w:t>
      </w:r>
      <w:r>
        <w:rPr>
          <w:color w:val="auto"/>
        </w:rPr>
        <w:t>5</w:t>
      </w:r>
      <w:r w:rsidRPr="000809FC">
        <w:rPr>
          <w:color w:val="auto"/>
        </w:rPr>
        <w:t>x25%+100x40</w:t>
      </w:r>
      <w:proofErr w:type="gramStart"/>
      <w:r w:rsidRPr="000809FC">
        <w:rPr>
          <w:color w:val="auto"/>
        </w:rPr>
        <w:t>%)/</w:t>
      </w:r>
      <w:proofErr w:type="gramEnd"/>
      <w:r w:rsidRPr="000809FC">
        <w:rPr>
          <w:color w:val="auto"/>
        </w:rPr>
        <w:t>(</w:t>
      </w:r>
      <w:r>
        <w:rPr>
          <w:color w:val="auto"/>
        </w:rPr>
        <w:t>5</w:t>
      </w:r>
      <w:r w:rsidRPr="000809FC">
        <w:rPr>
          <w:color w:val="auto"/>
        </w:rPr>
        <w:t>+100)=</w:t>
      </w:r>
      <w:r>
        <w:rPr>
          <w:color w:val="auto"/>
        </w:rPr>
        <w:t>39,3</w:t>
      </w:r>
      <w:r w:rsidRPr="000809FC">
        <w:rPr>
          <w:color w:val="auto"/>
        </w:rPr>
        <w:t xml:space="preserve">%, így a többlet nominális értéke </w:t>
      </w:r>
      <w:r>
        <w:rPr>
          <w:color w:val="auto"/>
        </w:rPr>
        <w:t>105</w:t>
      </w:r>
      <w:r w:rsidRPr="000809FC">
        <w:rPr>
          <w:color w:val="auto"/>
        </w:rPr>
        <w:t>x(1-</w:t>
      </w:r>
      <w:r>
        <w:rPr>
          <w:color w:val="auto"/>
        </w:rPr>
        <w:t>39,3</w:t>
      </w:r>
      <w:r w:rsidRPr="000809FC">
        <w:rPr>
          <w:color w:val="auto"/>
        </w:rPr>
        <w:t>%)=</w:t>
      </w:r>
      <w:r>
        <w:rPr>
          <w:color w:val="auto"/>
        </w:rPr>
        <w:t>63,75</w:t>
      </w:r>
      <w:r w:rsidRPr="000809FC">
        <w:rPr>
          <w:color w:val="auto"/>
        </w:rPr>
        <w:t>.</w:t>
      </w:r>
    </w:p>
  </w:footnote>
  <w:footnote w:id="6">
    <w:p w14:paraId="1D13D943" w14:textId="77777777" w:rsidR="00BA3919" w:rsidRDefault="00BA39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584C9C">
          <w:rPr>
            <w:rStyle w:val="Hiperhivatkozs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  <w:footnote w:id="7">
    <w:p w14:paraId="1D13D944" w14:textId="77777777" w:rsidR="00BA3919" w:rsidRDefault="00BA3919" w:rsidP="00D2669F">
      <w:pPr>
        <w:pStyle w:val="Lbjegyzetszveg"/>
      </w:pPr>
      <w:r>
        <w:rPr>
          <w:rStyle w:val="Lbjegyzet-hivatkozs"/>
        </w:rPr>
        <w:footnoteRef/>
      </w:r>
      <w:r>
        <w:t xml:space="preserve"> Mint például, de nem korlátozva a továbbiakra: összevont és </w:t>
      </w:r>
      <w:r w:rsidRPr="00131F20">
        <w:t xml:space="preserve">devizális megbontás, </w:t>
      </w:r>
      <w:r>
        <w:t>lejárat (</w:t>
      </w:r>
      <w:r w:rsidRPr="00131F20">
        <w:t>rövid/hosszú táv</w:t>
      </w:r>
      <w:r>
        <w:t>)</w:t>
      </w:r>
      <w:r w:rsidRPr="00131F20">
        <w:t>, szerződéses/átcsoportosított/stressz</w:t>
      </w:r>
      <w:r>
        <w:t xml:space="preserve"> szerinti kiáramlás</w:t>
      </w:r>
      <w:r w:rsidRPr="00131F20">
        <w:t>, volumen limit / idő limit (Time-</w:t>
      </w:r>
      <w:proofErr w:type="spellStart"/>
      <w:r w:rsidRPr="00131F20">
        <w:t>to</w:t>
      </w:r>
      <w:proofErr w:type="spellEnd"/>
      <w:r w:rsidRPr="00131F20">
        <w:t>-</w:t>
      </w:r>
      <w:proofErr w:type="spellStart"/>
      <w:r w:rsidRPr="00131F20">
        <w:t>wall</w:t>
      </w:r>
      <w:proofErr w:type="spellEnd"/>
      <w:r w:rsidRPr="00131F20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D93D" w14:textId="77777777" w:rsidR="00BA3919" w:rsidRPr="00AC6950" w:rsidRDefault="00BA3919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BA"/>
    <w:multiLevelType w:val="hybridMultilevel"/>
    <w:tmpl w:val="C4B6EF6E"/>
    <w:lvl w:ilvl="0" w:tplc="B9BAC96A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6DA4C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B86F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7284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06D2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A4E7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16E8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402E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9EE4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1F345343"/>
    <w:multiLevelType w:val="hybridMultilevel"/>
    <w:tmpl w:val="D8A600EE"/>
    <w:lvl w:ilvl="0" w:tplc="77CE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63C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04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47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03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64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26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E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C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BF9"/>
    <w:multiLevelType w:val="hybridMultilevel"/>
    <w:tmpl w:val="87CE830E"/>
    <w:lvl w:ilvl="0" w:tplc="52DE7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45A3EDC" w:tentative="1">
      <w:start w:val="1"/>
      <w:numFmt w:val="lowerLetter"/>
      <w:lvlText w:val="%2."/>
      <w:lvlJc w:val="left"/>
      <w:pPr>
        <w:ind w:left="1440" w:hanging="360"/>
      </w:pPr>
    </w:lvl>
    <w:lvl w:ilvl="2" w:tplc="FE081988" w:tentative="1">
      <w:start w:val="1"/>
      <w:numFmt w:val="lowerRoman"/>
      <w:lvlText w:val="%3."/>
      <w:lvlJc w:val="right"/>
      <w:pPr>
        <w:ind w:left="2160" w:hanging="180"/>
      </w:pPr>
    </w:lvl>
    <w:lvl w:ilvl="3" w:tplc="C8586786" w:tentative="1">
      <w:start w:val="1"/>
      <w:numFmt w:val="decimal"/>
      <w:lvlText w:val="%4."/>
      <w:lvlJc w:val="left"/>
      <w:pPr>
        <w:ind w:left="2880" w:hanging="360"/>
      </w:pPr>
    </w:lvl>
    <w:lvl w:ilvl="4" w:tplc="F93AAE94" w:tentative="1">
      <w:start w:val="1"/>
      <w:numFmt w:val="lowerLetter"/>
      <w:lvlText w:val="%5."/>
      <w:lvlJc w:val="left"/>
      <w:pPr>
        <w:ind w:left="3600" w:hanging="360"/>
      </w:pPr>
    </w:lvl>
    <w:lvl w:ilvl="5" w:tplc="E5EC363E" w:tentative="1">
      <w:start w:val="1"/>
      <w:numFmt w:val="lowerRoman"/>
      <w:lvlText w:val="%6."/>
      <w:lvlJc w:val="right"/>
      <w:pPr>
        <w:ind w:left="4320" w:hanging="180"/>
      </w:pPr>
    </w:lvl>
    <w:lvl w:ilvl="6" w:tplc="6B225174" w:tentative="1">
      <w:start w:val="1"/>
      <w:numFmt w:val="decimal"/>
      <w:lvlText w:val="%7."/>
      <w:lvlJc w:val="left"/>
      <w:pPr>
        <w:ind w:left="5040" w:hanging="360"/>
      </w:pPr>
    </w:lvl>
    <w:lvl w:ilvl="7" w:tplc="5BFE9A68" w:tentative="1">
      <w:start w:val="1"/>
      <w:numFmt w:val="lowerLetter"/>
      <w:lvlText w:val="%8."/>
      <w:lvlJc w:val="left"/>
      <w:pPr>
        <w:ind w:left="5760" w:hanging="360"/>
      </w:pPr>
    </w:lvl>
    <w:lvl w:ilvl="8" w:tplc="260E5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30CE"/>
    <w:multiLevelType w:val="hybridMultilevel"/>
    <w:tmpl w:val="3CE239C0"/>
    <w:lvl w:ilvl="0" w:tplc="013CBEE2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1DE84C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B8DC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6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A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C1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66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B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E1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852"/>
    <w:multiLevelType w:val="hybridMultilevel"/>
    <w:tmpl w:val="CB760136"/>
    <w:lvl w:ilvl="0" w:tplc="6A7C6D4A">
      <w:start w:val="1"/>
      <w:numFmt w:val="decimal"/>
      <w:lvlText w:val="%1."/>
      <w:lvlJc w:val="left"/>
      <w:pPr>
        <w:ind w:left="720" w:hanging="360"/>
      </w:pPr>
    </w:lvl>
    <w:lvl w:ilvl="1" w:tplc="21725472" w:tentative="1">
      <w:start w:val="1"/>
      <w:numFmt w:val="lowerLetter"/>
      <w:lvlText w:val="%2."/>
      <w:lvlJc w:val="left"/>
      <w:pPr>
        <w:ind w:left="1440" w:hanging="360"/>
      </w:pPr>
    </w:lvl>
    <w:lvl w:ilvl="2" w:tplc="F940B1E6" w:tentative="1">
      <w:start w:val="1"/>
      <w:numFmt w:val="lowerRoman"/>
      <w:lvlText w:val="%3."/>
      <w:lvlJc w:val="right"/>
      <w:pPr>
        <w:ind w:left="2160" w:hanging="180"/>
      </w:pPr>
    </w:lvl>
    <w:lvl w:ilvl="3" w:tplc="6130D7FE" w:tentative="1">
      <w:start w:val="1"/>
      <w:numFmt w:val="decimal"/>
      <w:lvlText w:val="%4."/>
      <w:lvlJc w:val="left"/>
      <w:pPr>
        <w:ind w:left="2880" w:hanging="360"/>
      </w:pPr>
    </w:lvl>
    <w:lvl w:ilvl="4" w:tplc="D3E46854" w:tentative="1">
      <w:start w:val="1"/>
      <w:numFmt w:val="lowerLetter"/>
      <w:lvlText w:val="%5."/>
      <w:lvlJc w:val="left"/>
      <w:pPr>
        <w:ind w:left="3600" w:hanging="360"/>
      </w:pPr>
    </w:lvl>
    <w:lvl w:ilvl="5" w:tplc="BF36F1CC" w:tentative="1">
      <w:start w:val="1"/>
      <w:numFmt w:val="lowerRoman"/>
      <w:lvlText w:val="%6."/>
      <w:lvlJc w:val="right"/>
      <w:pPr>
        <w:ind w:left="4320" w:hanging="180"/>
      </w:pPr>
    </w:lvl>
    <w:lvl w:ilvl="6" w:tplc="E6C2607C" w:tentative="1">
      <w:start w:val="1"/>
      <w:numFmt w:val="decimal"/>
      <w:lvlText w:val="%7."/>
      <w:lvlJc w:val="left"/>
      <w:pPr>
        <w:ind w:left="5040" w:hanging="360"/>
      </w:pPr>
    </w:lvl>
    <w:lvl w:ilvl="7" w:tplc="EBD85E14" w:tentative="1">
      <w:start w:val="1"/>
      <w:numFmt w:val="lowerLetter"/>
      <w:lvlText w:val="%8."/>
      <w:lvlJc w:val="left"/>
      <w:pPr>
        <w:ind w:left="5760" w:hanging="360"/>
      </w:pPr>
    </w:lvl>
    <w:lvl w:ilvl="8" w:tplc="BB3A4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26CC"/>
    <w:multiLevelType w:val="hybridMultilevel"/>
    <w:tmpl w:val="8B2C7E86"/>
    <w:lvl w:ilvl="0" w:tplc="C116E7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0E5E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A89E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EC65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8EE3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B2FA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D011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F8C6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6C92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6656B"/>
    <w:multiLevelType w:val="hybridMultilevel"/>
    <w:tmpl w:val="303027B6"/>
    <w:lvl w:ilvl="0" w:tplc="BCB2754A">
      <w:start w:val="1"/>
      <w:numFmt w:val="decimal"/>
      <w:lvlText w:val="%1."/>
      <w:lvlJc w:val="left"/>
      <w:pPr>
        <w:ind w:left="720" w:hanging="360"/>
      </w:pPr>
    </w:lvl>
    <w:lvl w:ilvl="1" w:tplc="0BECCF0A" w:tentative="1">
      <w:start w:val="1"/>
      <w:numFmt w:val="lowerLetter"/>
      <w:lvlText w:val="%2."/>
      <w:lvlJc w:val="left"/>
      <w:pPr>
        <w:ind w:left="1440" w:hanging="360"/>
      </w:pPr>
    </w:lvl>
    <w:lvl w:ilvl="2" w:tplc="27763AB0" w:tentative="1">
      <w:start w:val="1"/>
      <w:numFmt w:val="lowerRoman"/>
      <w:lvlText w:val="%3."/>
      <w:lvlJc w:val="right"/>
      <w:pPr>
        <w:ind w:left="2160" w:hanging="180"/>
      </w:pPr>
    </w:lvl>
    <w:lvl w:ilvl="3" w:tplc="D8C81214" w:tentative="1">
      <w:start w:val="1"/>
      <w:numFmt w:val="decimal"/>
      <w:lvlText w:val="%4."/>
      <w:lvlJc w:val="left"/>
      <w:pPr>
        <w:ind w:left="2880" w:hanging="360"/>
      </w:pPr>
    </w:lvl>
    <w:lvl w:ilvl="4" w:tplc="E2F2EF48" w:tentative="1">
      <w:start w:val="1"/>
      <w:numFmt w:val="lowerLetter"/>
      <w:lvlText w:val="%5."/>
      <w:lvlJc w:val="left"/>
      <w:pPr>
        <w:ind w:left="3600" w:hanging="360"/>
      </w:pPr>
    </w:lvl>
    <w:lvl w:ilvl="5" w:tplc="63423170" w:tentative="1">
      <w:start w:val="1"/>
      <w:numFmt w:val="lowerRoman"/>
      <w:lvlText w:val="%6."/>
      <w:lvlJc w:val="right"/>
      <w:pPr>
        <w:ind w:left="4320" w:hanging="180"/>
      </w:pPr>
    </w:lvl>
    <w:lvl w:ilvl="6" w:tplc="E5D49BB0" w:tentative="1">
      <w:start w:val="1"/>
      <w:numFmt w:val="decimal"/>
      <w:lvlText w:val="%7."/>
      <w:lvlJc w:val="left"/>
      <w:pPr>
        <w:ind w:left="5040" w:hanging="360"/>
      </w:pPr>
    </w:lvl>
    <w:lvl w:ilvl="7" w:tplc="57023976" w:tentative="1">
      <w:start w:val="1"/>
      <w:numFmt w:val="lowerLetter"/>
      <w:lvlText w:val="%8."/>
      <w:lvlJc w:val="left"/>
      <w:pPr>
        <w:ind w:left="5760" w:hanging="360"/>
      </w:pPr>
    </w:lvl>
    <w:lvl w:ilvl="8" w:tplc="E0A8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76FB"/>
    <w:multiLevelType w:val="hybridMultilevel"/>
    <w:tmpl w:val="AF70EF36"/>
    <w:lvl w:ilvl="0" w:tplc="DE9A7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7078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3A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B89B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B41C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F262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720B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2A0F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8C4F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8881">
    <w:abstractNumId w:val="5"/>
  </w:num>
  <w:num w:numId="2" w16cid:durableId="1855652846">
    <w:abstractNumId w:val="3"/>
  </w:num>
  <w:num w:numId="3" w16cid:durableId="1639604725">
    <w:abstractNumId w:val="7"/>
  </w:num>
  <w:num w:numId="4" w16cid:durableId="1419791332">
    <w:abstractNumId w:val="1"/>
  </w:num>
  <w:num w:numId="5" w16cid:durableId="416249105">
    <w:abstractNumId w:val="2"/>
  </w:num>
  <w:num w:numId="6" w16cid:durableId="761226361">
    <w:abstractNumId w:val="10"/>
  </w:num>
  <w:num w:numId="7" w16cid:durableId="1264656324">
    <w:abstractNumId w:val="4"/>
  </w:num>
  <w:num w:numId="8" w16cid:durableId="1611619483">
    <w:abstractNumId w:val="17"/>
  </w:num>
  <w:num w:numId="9" w16cid:durableId="2096247414">
    <w:abstractNumId w:val="10"/>
    <w:lvlOverride w:ilvl="0">
      <w:startOverride w:val="1"/>
    </w:lvlOverride>
  </w:num>
  <w:num w:numId="10" w16cid:durableId="758914530">
    <w:abstractNumId w:val="18"/>
  </w:num>
  <w:num w:numId="11" w16cid:durableId="425659825">
    <w:abstractNumId w:val="11"/>
  </w:num>
  <w:num w:numId="12" w16cid:durableId="666903762">
    <w:abstractNumId w:val="8"/>
  </w:num>
  <w:num w:numId="13" w16cid:durableId="610936983">
    <w:abstractNumId w:val="7"/>
  </w:num>
  <w:num w:numId="14" w16cid:durableId="271938641">
    <w:abstractNumId w:val="7"/>
  </w:num>
  <w:num w:numId="15" w16cid:durableId="479350991">
    <w:abstractNumId w:val="7"/>
  </w:num>
  <w:num w:numId="16" w16cid:durableId="309868315">
    <w:abstractNumId w:val="7"/>
  </w:num>
  <w:num w:numId="17" w16cid:durableId="1405224928">
    <w:abstractNumId w:val="7"/>
  </w:num>
  <w:num w:numId="18" w16cid:durableId="2048988067">
    <w:abstractNumId w:val="7"/>
  </w:num>
  <w:num w:numId="19" w16cid:durableId="534395070">
    <w:abstractNumId w:val="12"/>
  </w:num>
  <w:num w:numId="20" w16cid:durableId="922030125">
    <w:abstractNumId w:val="9"/>
  </w:num>
  <w:num w:numId="21" w16cid:durableId="133958140">
    <w:abstractNumId w:val="13"/>
  </w:num>
  <w:num w:numId="22" w16cid:durableId="1716002728">
    <w:abstractNumId w:val="15"/>
  </w:num>
  <w:num w:numId="23" w16cid:durableId="1163469149">
    <w:abstractNumId w:val="10"/>
    <w:lvlOverride w:ilvl="0">
      <w:startOverride w:val="1"/>
    </w:lvlOverride>
  </w:num>
  <w:num w:numId="24" w16cid:durableId="317615947">
    <w:abstractNumId w:val="10"/>
    <w:lvlOverride w:ilvl="0">
      <w:startOverride w:val="1"/>
    </w:lvlOverride>
  </w:num>
  <w:num w:numId="25" w16cid:durableId="1475222285">
    <w:abstractNumId w:val="10"/>
    <w:lvlOverride w:ilvl="0">
      <w:startOverride w:val="1"/>
    </w:lvlOverride>
  </w:num>
  <w:num w:numId="26" w16cid:durableId="884030044">
    <w:abstractNumId w:val="10"/>
    <w:lvlOverride w:ilvl="0">
      <w:startOverride w:val="1"/>
    </w:lvlOverride>
  </w:num>
  <w:num w:numId="27" w16cid:durableId="677970498">
    <w:abstractNumId w:val="10"/>
    <w:lvlOverride w:ilvl="0">
      <w:startOverride w:val="1"/>
    </w:lvlOverride>
  </w:num>
  <w:num w:numId="28" w16cid:durableId="549148147">
    <w:abstractNumId w:val="10"/>
    <w:lvlOverride w:ilvl="0">
      <w:startOverride w:val="1"/>
    </w:lvlOverride>
  </w:num>
  <w:num w:numId="29" w16cid:durableId="386029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615448792">
    <w:abstractNumId w:val="6"/>
  </w:num>
  <w:num w:numId="31" w16cid:durableId="1793940521">
    <w:abstractNumId w:val="10"/>
    <w:lvlOverride w:ilvl="0">
      <w:startOverride w:val="1"/>
    </w:lvlOverride>
  </w:num>
  <w:num w:numId="32" w16cid:durableId="2020307716">
    <w:abstractNumId w:val="7"/>
  </w:num>
  <w:num w:numId="33" w16cid:durableId="1733577510">
    <w:abstractNumId w:val="0"/>
  </w:num>
  <w:num w:numId="34" w16cid:durableId="518083591">
    <w:abstractNumId w:val="16"/>
  </w:num>
  <w:num w:numId="35" w16cid:durableId="2112314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9"/>
    <w:rsid w:val="00644AC2"/>
    <w:rsid w:val="00B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3D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4AC2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644AC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44AC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44AC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44AC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44AC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44AC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4AC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4AC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4AC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44AC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44AC2"/>
  </w:style>
  <w:style w:type="table" w:customStyle="1" w:styleId="tblzat-mtrix">
    <w:name w:val="táblázat - mátrix"/>
    <w:basedOn w:val="Normltblzat"/>
    <w:uiPriority w:val="2"/>
    <w:qFormat/>
    <w:rsid w:val="00644A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44A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44AC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44AC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44AC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644A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AC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44AC2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AC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44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4AC2"/>
  </w:style>
  <w:style w:type="paragraph" w:styleId="llb">
    <w:name w:val="footer"/>
    <w:basedOn w:val="Norml"/>
    <w:link w:val="llbChar"/>
    <w:uiPriority w:val="99"/>
    <w:semiHidden/>
    <w:unhideWhenUsed/>
    <w:rsid w:val="00644A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44AC2"/>
  </w:style>
  <w:style w:type="paragraph" w:customStyle="1" w:styleId="Szmozs">
    <w:name w:val="Számozás"/>
    <w:basedOn w:val="Norml"/>
    <w:uiPriority w:val="4"/>
    <w:qFormat/>
    <w:rsid w:val="00644AC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44AC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44AC2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44AC2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44AC2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644AC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44AC2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44AC2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44AC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44AC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4AC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4AC2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4AC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44AC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44AC2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44AC2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44AC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44AC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44AC2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4AC2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644AC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4AC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44AC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4AC2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4AC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644AC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44AC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44AC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44AC2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44AC2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644AC2"/>
  </w:style>
  <w:style w:type="character" w:styleId="Finomhivatkozs">
    <w:name w:val="Subtle Reference"/>
    <w:basedOn w:val="Bekezdsalapbettpusa"/>
    <w:uiPriority w:val="31"/>
    <w:rsid w:val="00644AC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44AC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44AC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44AC2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44AC2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44AC2"/>
  </w:style>
  <w:style w:type="paragraph" w:styleId="Alcm">
    <w:name w:val="Subtitle"/>
    <w:basedOn w:val="Norml"/>
    <w:next w:val="Norml"/>
    <w:link w:val="AlcmChar"/>
    <w:uiPriority w:val="11"/>
    <w:rsid w:val="00644AC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44AC2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44AC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44AC2"/>
  </w:style>
  <w:style w:type="paragraph" w:customStyle="1" w:styleId="Erskiemels1">
    <w:name w:val="Erős kiemelés1"/>
    <w:basedOn w:val="Norml"/>
    <w:link w:val="ErskiemelsChar"/>
    <w:uiPriority w:val="5"/>
    <w:qFormat/>
    <w:rsid w:val="00644AC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44AC2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644AC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44AC2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44AC2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4AC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44AC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44AC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44AC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44AC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44AC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44AC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44AC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44AC2"/>
  </w:style>
  <w:style w:type="character" w:styleId="Kiemels2">
    <w:name w:val="Strong"/>
    <w:basedOn w:val="Bekezdsalapbettpusa"/>
    <w:uiPriority w:val="22"/>
    <w:rsid w:val="00644AC2"/>
    <w:rPr>
      <w:b/>
      <w:bCs/>
    </w:rPr>
  </w:style>
  <w:style w:type="character" w:styleId="Kiemels">
    <w:name w:val="Emphasis"/>
    <w:basedOn w:val="Bekezdsalapbettpusa"/>
    <w:uiPriority w:val="6"/>
    <w:qFormat/>
    <w:rsid w:val="00644AC2"/>
    <w:rPr>
      <w:i/>
      <w:iCs/>
    </w:rPr>
  </w:style>
  <w:style w:type="paragraph" w:styleId="Nincstrkz">
    <w:name w:val="No Spacing"/>
    <w:basedOn w:val="Norml"/>
    <w:uiPriority w:val="1"/>
    <w:rsid w:val="00644AC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44AC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44AC2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44AC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4AC2"/>
    <w:rPr>
      <w:b/>
      <w:i/>
    </w:rPr>
  </w:style>
  <w:style w:type="character" w:styleId="Erskiemels">
    <w:name w:val="Intense Emphasis"/>
    <w:basedOn w:val="Bekezdsalapbettpusa"/>
    <w:uiPriority w:val="21"/>
    <w:rsid w:val="00644AC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44AC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44AC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44AC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644A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44AC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44AC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44A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44AC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44AC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644AC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44AC2"/>
  </w:style>
  <w:style w:type="paragraph" w:customStyle="1" w:styleId="ENNormalBox">
    <w:name w:val="EN_Normal_Box"/>
    <w:basedOn w:val="Norml"/>
    <w:uiPriority w:val="1"/>
    <w:qFormat/>
    <w:rsid w:val="00644AC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44AC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44AC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44AC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44AC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44AC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44A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44AC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44AC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44AC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44AC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44AC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44AC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44AC2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644AC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44AC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44AC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44AC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44AC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44AC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44AC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44AC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44AC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44AC2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644AC2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nhideWhenUsed/>
    <w:rsid w:val="0060526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052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60526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265"/>
    <w:rPr>
      <w:b/>
      <w:bCs/>
    </w:rPr>
  </w:style>
  <w:style w:type="character" w:styleId="Lbjegyzet-hivatkozs">
    <w:name w:val="footnote reference"/>
    <w:basedOn w:val="Bekezdsalapbettpusa"/>
    <w:uiPriority w:val="99"/>
    <w:semiHidden/>
    <w:unhideWhenUsed/>
    <w:rsid w:val="00F20238"/>
    <w:rPr>
      <w:vertAlign w:val="superscript"/>
    </w:rPr>
  </w:style>
  <w:style w:type="paragraph" w:styleId="Vltozat">
    <w:name w:val="Revision"/>
    <w:hidden/>
    <w:uiPriority w:val="99"/>
    <w:semiHidden/>
    <w:rsid w:val="00E6515A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l"/>
    <w:uiPriority w:val="5"/>
    <w:qFormat/>
    <w:rsid w:val="001775C9"/>
    <w:rPr>
      <w:b/>
      <w:i/>
    </w:rPr>
  </w:style>
  <w:style w:type="paragraph" w:customStyle="1" w:styleId="Erskiemels5">
    <w:name w:val="Erős kiemelés5"/>
    <w:basedOn w:val="Norml"/>
    <w:uiPriority w:val="5"/>
    <w:qFormat/>
    <w:rsid w:val="00676CEE"/>
    <w:rPr>
      <w:b/>
      <w:i/>
    </w:rPr>
  </w:style>
  <w:style w:type="paragraph" w:customStyle="1" w:styleId="Erskiemels6">
    <w:name w:val="Erős kiemelés6"/>
    <w:basedOn w:val="Norml"/>
    <w:uiPriority w:val="5"/>
    <w:qFormat/>
    <w:rsid w:val="009D6FCF"/>
    <w:rPr>
      <w:b/>
      <w:i/>
    </w:rPr>
  </w:style>
  <w:style w:type="paragraph" w:customStyle="1" w:styleId="Erskiemels7">
    <w:name w:val="Erős kiemelés7"/>
    <w:basedOn w:val="Norml"/>
    <w:uiPriority w:val="5"/>
    <w:qFormat/>
    <w:rsid w:val="002533D8"/>
    <w:rPr>
      <w:b/>
      <w:i/>
    </w:rPr>
  </w:style>
  <w:style w:type="paragraph" w:customStyle="1" w:styleId="Erskiemels8">
    <w:name w:val="Erős kiemelés8"/>
    <w:basedOn w:val="Norml"/>
    <w:uiPriority w:val="5"/>
    <w:qFormat/>
    <w:rsid w:val="00D17B3B"/>
    <w:rPr>
      <w:b/>
      <w:i/>
    </w:rPr>
  </w:style>
  <w:style w:type="paragraph" w:customStyle="1" w:styleId="Erskiemels9">
    <w:name w:val="Erős kiemelés9"/>
    <w:basedOn w:val="Norml"/>
    <w:uiPriority w:val="5"/>
    <w:qFormat/>
    <w:rsid w:val="00021C72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355D5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B973DF0A4C4BC4B9FECD799C59DB813" ma:contentTypeVersion="3" ma:contentTypeDescription="Új dokumentum létrehozása." ma:contentTypeScope="" ma:versionID="4ce0035ec12de1f91f1d97f6e7bd0c88">
  <xsd:schema xmlns:xsd="http://www.w3.org/2001/XMLSchema" xmlns:xs="http://www.w3.org/2001/XMLSchema" xmlns:p="http://schemas.microsoft.com/office/2006/metadata/properties" xmlns:ns2="b0a17294-c345-40e1-82be-56c6f5eaa619" xmlns:ns3="f25ea746-34a7-4d1d-9117-a3621dc91354" targetNamespace="http://schemas.microsoft.com/office/2006/metadata/properties" ma:root="true" ma:fieldsID="b32c1b564ff2073a71ea4b21b9484bd2" ns2:_="" ns3:_="">
    <xsd:import namespace="b0a17294-c345-40e1-82be-56c6f5eaa619"/>
    <xsd:import namespace="f25ea746-34a7-4d1d-9117-a3621dc91354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7294-c345-40e1-82be-56c6f5eaa619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ea746-34a7-4d1d-9117-a3621dc9135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D xmlns="b0a17294-c345-40e1-82be-56c6f5eaa619">552979</DocumentID>
  </documentManagement>
</p:properties>
</file>

<file path=customXml/itemProps1.xml><?xml version="1.0" encoding="utf-8"?>
<ds:datastoreItem xmlns:ds="http://schemas.openxmlformats.org/officeDocument/2006/customXml" ds:itemID="{2CC9E54B-00E0-478B-AEE0-43F9F8FF9510}">
  <ds:schemaRefs/>
</ds:datastoreItem>
</file>

<file path=customXml/itemProps2.xml><?xml version="1.0" encoding="utf-8"?>
<ds:datastoreItem xmlns:ds="http://schemas.openxmlformats.org/officeDocument/2006/customXml" ds:itemID="{EDDCB245-38AC-49C6-B892-7C0DFE03F5FF}">
  <ds:schemaRefs/>
</ds:datastoreItem>
</file>

<file path=customXml/itemProps3.xml><?xml version="1.0" encoding="utf-8"?>
<ds:datastoreItem xmlns:ds="http://schemas.openxmlformats.org/officeDocument/2006/customXml" ds:itemID="{7EFF6E6A-D9EC-427E-B6F1-5C2DF3ADA1D8}">
  <ds:schemaRefs/>
</ds:datastoreItem>
</file>

<file path=customXml/itemProps4.xml><?xml version="1.0" encoding="utf-8"?>
<ds:datastoreItem xmlns:ds="http://schemas.openxmlformats.org/officeDocument/2006/customXml" ds:itemID="{2F88B855-3ACB-4651-9D64-ACE358B0EC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14001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2023-12-11T12:40:00Z</dcterms:created>
  <dcterms:modified xsi:type="dcterms:W3CDTF">2023-12-13T10:18:00Z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0x0101000B973DF0A4C4BC4B9FECD799C59DB813</vt:lpwstr>
  </property>
  <property fmtid="{D5CDD505-2E9C-101B-9397-08002B2CF9AE}" pid="3" name="Érvényességi idő">
    <vt:filetime>2028-12-11T12:40:27Z</vt:filetime>
  </property>
  <property fmtid="{D5CDD505-2E9C-101B-9397-08002B2CF9AE}" pid="4" name="Érvényességet beállító">
    <vt:lpwstr>varadimi</vt:lpwstr>
  </property>
  <property fmtid="{D5CDD505-2E9C-101B-9397-08002B2CF9AE}" pid="5" name="Érvényességi idő első beállítása">
    <vt:filetime>2023-12-11T12:40:27Z</vt:filetime>
  </property>
</Properties>
</file>