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CC4B" w14:textId="77777777" w:rsidR="004504B2" w:rsidRPr="002840AB" w:rsidRDefault="004504B2" w:rsidP="005B0757">
      <w:pPr>
        <w:tabs>
          <w:tab w:val="left" w:pos="1843"/>
        </w:tabs>
        <w:spacing w:after="0" w:line="240" w:lineRule="auto"/>
        <w:jc w:val="center"/>
        <w:rPr>
          <w:rFonts w:ascii="Arial" w:hAnsi="Arial" w:cs="Arial"/>
          <w:b/>
        </w:rPr>
      </w:pPr>
      <w:r w:rsidRPr="002840AB">
        <w:rPr>
          <w:rFonts w:ascii="Arial" w:hAnsi="Arial" w:cs="Arial"/>
          <w:b/>
        </w:rPr>
        <w:t>A Magyar Nemzeti Bank elnökének</w:t>
      </w:r>
      <w:bookmarkStart w:id="0" w:name="HUMANSOFTiktatoszam"/>
      <w:bookmarkStart w:id="1" w:name="HUMANSOFTdatumHUN"/>
      <w:bookmarkEnd w:id="0"/>
      <w:bookmarkEnd w:id="1"/>
    </w:p>
    <w:p w14:paraId="70411FFA" w14:textId="1E8A2A69" w:rsidR="004504B2" w:rsidRPr="002840AB" w:rsidRDefault="004D5B64" w:rsidP="005B0757">
      <w:pPr>
        <w:spacing w:after="0" w:line="240" w:lineRule="auto"/>
        <w:jc w:val="center"/>
        <w:rPr>
          <w:rFonts w:ascii="Arial" w:hAnsi="Arial" w:cs="Arial"/>
          <w:b/>
        </w:rPr>
      </w:pPr>
      <w:r>
        <w:rPr>
          <w:rFonts w:ascii="Arial" w:hAnsi="Arial" w:cs="Arial"/>
          <w:b/>
        </w:rPr>
        <w:t>15</w:t>
      </w:r>
      <w:r w:rsidR="004504B2" w:rsidRPr="002840AB">
        <w:rPr>
          <w:rFonts w:ascii="Arial" w:hAnsi="Arial" w:cs="Arial"/>
          <w:b/>
        </w:rPr>
        <w:t>/201</w:t>
      </w:r>
      <w:r w:rsidR="009645E0" w:rsidRPr="002840AB">
        <w:rPr>
          <w:rFonts w:ascii="Arial" w:hAnsi="Arial" w:cs="Arial"/>
          <w:b/>
        </w:rPr>
        <w:t>9</w:t>
      </w:r>
      <w:r w:rsidR="004504B2" w:rsidRPr="002840AB">
        <w:rPr>
          <w:rFonts w:ascii="Arial" w:hAnsi="Arial" w:cs="Arial"/>
          <w:b/>
        </w:rPr>
        <w:t>. (</w:t>
      </w:r>
      <w:r>
        <w:rPr>
          <w:rFonts w:ascii="Arial" w:hAnsi="Arial" w:cs="Arial"/>
          <w:b/>
        </w:rPr>
        <w:t>IV. 17.</w:t>
      </w:r>
      <w:r w:rsidR="004504B2" w:rsidRPr="002840AB">
        <w:rPr>
          <w:rFonts w:ascii="Arial" w:hAnsi="Arial" w:cs="Arial"/>
          <w:b/>
        </w:rPr>
        <w:t>) MNB rendelete</w:t>
      </w:r>
    </w:p>
    <w:p w14:paraId="0D74A5A5" w14:textId="1F0C3BA2" w:rsidR="00417995" w:rsidRPr="002840AB" w:rsidRDefault="00FD3EAB" w:rsidP="005B0757">
      <w:pPr>
        <w:spacing w:after="0" w:line="240" w:lineRule="auto"/>
        <w:jc w:val="center"/>
        <w:rPr>
          <w:rFonts w:ascii="Arial" w:hAnsi="Arial" w:cs="Arial"/>
          <w:b/>
        </w:rPr>
      </w:pPr>
      <w:r w:rsidRPr="002840AB">
        <w:rPr>
          <w:rFonts w:ascii="Arial" w:hAnsi="Arial" w:cs="Arial"/>
          <w:b/>
        </w:rPr>
        <w:t>adatszolgáltatási tárgyú</w:t>
      </w:r>
      <w:r w:rsidR="007C47BE" w:rsidRPr="002840AB">
        <w:rPr>
          <w:rFonts w:ascii="Arial" w:hAnsi="Arial" w:cs="Arial"/>
          <w:b/>
        </w:rPr>
        <w:t xml:space="preserve"> MNB rendelet</w:t>
      </w:r>
      <w:r w:rsidRPr="002840AB">
        <w:rPr>
          <w:rFonts w:ascii="Arial" w:hAnsi="Arial" w:cs="Arial"/>
          <w:b/>
        </w:rPr>
        <w:t>ek</w:t>
      </w:r>
      <w:r w:rsidR="007C47BE" w:rsidRPr="002840AB">
        <w:rPr>
          <w:rFonts w:ascii="Arial" w:hAnsi="Arial" w:cs="Arial"/>
          <w:b/>
        </w:rPr>
        <w:t xml:space="preserve"> módosításáról</w:t>
      </w:r>
    </w:p>
    <w:p w14:paraId="4F036D1A" w14:textId="1809BBFB" w:rsidR="00896F85" w:rsidRPr="002840AB" w:rsidRDefault="00896F85" w:rsidP="00566616">
      <w:pPr>
        <w:spacing w:after="0" w:line="240" w:lineRule="auto"/>
        <w:jc w:val="center"/>
        <w:rPr>
          <w:rFonts w:ascii="Arial" w:hAnsi="Arial" w:cs="Arial"/>
          <w:b/>
        </w:rPr>
      </w:pPr>
    </w:p>
    <w:p w14:paraId="487D48E0" w14:textId="77777777" w:rsidR="004E6501" w:rsidRPr="002840AB" w:rsidRDefault="004E6501" w:rsidP="00566616">
      <w:pPr>
        <w:spacing w:after="0" w:line="240" w:lineRule="auto"/>
        <w:jc w:val="center"/>
        <w:rPr>
          <w:rFonts w:ascii="Arial" w:hAnsi="Arial" w:cs="Arial"/>
          <w:b/>
        </w:rPr>
      </w:pPr>
    </w:p>
    <w:p w14:paraId="517D6732" w14:textId="77777777" w:rsidR="007C47BE" w:rsidRPr="002840AB" w:rsidRDefault="007C47BE" w:rsidP="004E6501">
      <w:pPr>
        <w:spacing w:after="0" w:line="240" w:lineRule="auto"/>
        <w:jc w:val="center"/>
        <w:rPr>
          <w:rFonts w:ascii="Arial" w:hAnsi="Arial" w:cs="Arial"/>
          <w:b/>
        </w:rPr>
      </w:pPr>
    </w:p>
    <w:p w14:paraId="52ECC074" w14:textId="77777777" w:rsidR="009E5B37" w:rsidRPr="002840AB" w:rsidRDefault="004504B2" w:rsidP="005B0757">
      <w:pPr>
        <w:spacing w:after="0" w:line="240" w:lineRule="auto"/>
        <w:ind w:right="26" w:firstLine="142"/>
        <w:rPr>
          <w:rFonts w:ascii="Arial" w:hAnsi="Arial" w:cs="Arial"/>
        </w:rPr>
      </w:pPr>
      <w:r w:rsidRPr="002840AB">
        <w:rPr>
          <w:rFonts w:ascii="Arial" w:hAnsi="Arial" w:cs="Arial"/>
        </w:rPr>
        <w:t xml:space="preserve">A Magyar Nemzeti Bankról szóló 2013. évi CXXXIX. törvény 171. § (1) bekezdés i) pontjában kapott felhatalmazás alapján, </w:t>
      </w:r>
    </w:p>
    <w:p w14:paraId="5FA0136E" w14:textId="49F0C7B7" w:rsidR="009E5B37" w:rsidRPr="002840AB" w:rsidRDefault="004504B2" w:rsidP="005B0757">
      <w:pPr>
        <w:spacing w:after="0" w:line="240" w:lineRule="auto"/>
        <w:ind w:right="26" w:firstLine="142"/>
        <w:rPr>
          <w:rFonts w:ascii="Arial" w:hAnsi="Arial" w:cs="Arial"/>
        </w:rPr>
      </w:pPr>
      <w:r w:rsidRPr="002840AB">
        <w:rPr>
          <w:rFonts w:ascii="Arial" w:hAnsi="Arial" w:cs="Arial"/>
        </w:rPr>
        <w:t xml:space="preserve">a Magyar Nemzeti Bankról szóló 2013. évi CXXXIX. törvény 4. § </w:t>
      </w:r>
      <w:r w:rsidR="009616D3" w:rsidRPr="002840AB">
        <w:rPr>
          <w:rFonts w:ascii="Arial" w:hAnsi="Arial" w:cs="Arial"/>
        </w:rPr>
        <w:t>(6)</w:t>
      </w:r>
      <w:r w:rsidR="00451BC8" w:rsidRPr="002840AB">
        <w:rPr>
          <w:rFonts w:ascii="Arial" w:hAnsi="Arial" w:cs="Arial"/>
        </w:rPr>
        <w:t xml:space="preserve"> </w:t>
      </w:r>
      <w:r w:rsidR="00781C2A" w:rsidRPr="002840AB">
        <w:rPr>
          <w:rFonts w:ascii="Arial" w:hAnsi="Arial" w:cs="Arial"/>
        </w:rPr>
        <w:t xml:space="preserve">és (9) </w:t>
      </w:r>
      <w:r w:rsidRPr="002840AB">
        <w:rPr>
          <w:rFonts w:ascii="Arial" w:hAnsi="Arial" w:cs="Arial"/>
        </w:rPr>
        <w:t>bekezdésében meghatározott feladatkörömben eljárva</w:t>
      </w:r>
      <w:r w:rsidR="009E5B37" w:rsidRPr="002840AB">
        <w:rPr>
          <w:rFonts w:ascii="Arial" w:hAnsi="Arial" w:cs="Arial"/>
        </w:rPr>
        <w:t>,</w:t>
      </w:r>
    </w:p>
    <w:p w14:paraId="1B165561" w14:textId="19F6A4FE" w:rsidR="009E5B37" w:rsidRPr="002840AB" w:rsidRDefault="009E5B37" w:rsidP="005B0757">
      <w:pPr>
        <w:spacing w:after="0" w:line="240" w:lineRule="auto"/>
        <w:ind w:right="26" w:firstLine="142"/>
        <w:rPr>
          <w:rFonts w:ascii="Arial" w:hAnsi="Arial" w:cs="Arial"/>
        </w:rPr>
      </w:pPr>
      <w:r w:rsidRPr="002840AB">
        <w:rPr>
          <w:rFonts w:ascii="Arial" w:hAnsi="Arial" w:cs="Arial"/>
        </w:rPr>
        <w:t xml:space="preserve">a </w:t>
      </w:r>
      <w:r w:rsidR="00F0035A" w:rsidRPr="002840AB">
        <w:rPr>
          <w:rFonts w:ascii="Arial" w:hAnsi="Arial" w:cs="Arial"/>
        </w:rPr>
        <w:t xml:space="preserve">2. </w:t>
      </w:r>
      <w:r w:rsidR="005330AB" w:rsidRPr="002840AB">
        <w:rPr>
          <w:rFonts w:ascii="Arial" w:hAnsi="Arial" w:cs="Arial"/>
        </w:rPr>
        <w:t>§</w:t>
      </w:r>
      <w:r w:rsidR="00EB56F2" w:rsidRPr="002840AB">
        <w:rPr>
          <w:rFonts w:ascii="Arial" w:hAnsi="Arial" w:cs="Arial"/>
        </w:rPr>
        <w:t xml:space="preserve"> tekintetében a </w:t>
      </w:r>
      <w:r w:rsidRPr="002840AB">
        <w:rPr>
          <w:rFonts w:ascii="Arial" w:hAnsi="Arial" w:cs="Arial"/>
        </w:rPr>
        <w:t>Magyar Nemzeti Bankról szóló 2013. évi CXXXIX. törvény 4. § (6) bekezdésében meghatározott feladatkörömben eljárva</w:t>
      </w:r>
    </w:p>
    <w:p w14:paraId="42D62BBA" w14:textId="77777777" w:rsidR="004504B2" w:rsidRPr="002840AB" w:rsidRDefault="004504B2" w:rsidP="005B0757">
      <w:pPr>
        <w:spacing w:after="0" w:line="240" w:lineRule="auto"/>
        <w:ind w:right="26" w:firstLine="142"/>
        <w:rPr>
          <w:rFonts w:ascii="Arial" w:hAnsi="Arial" w:cs="Arial"/>
        </w:rPr>
      </w:pPr>
      <w:r w:rsidRPr="002840AB">
        <w:rPr>
          <w:rFonts w:ascii="Arial" w:hAnsi="Arial" w:cs="Arial"/>
        </w:rPr>
        <w:t>a következőket rendelem el:</w:t>
      </w:r>
    </w:p>
    <w:p w14:paraId="2D584EF8" w14:textId="77777777" w:rsidR="004504B2" w:rsidRPr="002840AB" w:rsidRDefault="004504B2" w:rsidP="00566616">
      <w:pPr>
        <w:spacing w:after="0" w:line="240" w:lineRule="auto"/>
        <w:ind w:right="26"/>
        <w:rPr>
          <w:rFonts w:ascii="Arial" w:hAnsi="Arial" w:cs="Arial"/>
        </w:rPr>
      </w:pPr>
    </w:p>
    <w:p w14:paraId="270D184F" w14:textId="6BEEF60D" w:rsidR="0083188B" w:rsidRPr="002840AB" w:rsidRDefault="00D14B0F" w:rsidP="005B0757">
      <w:pPr>
        <w:autoSpaceDE w:val="0"/>
        <w:autoSpaceDN w:val="0"/>
        <w:adjustRightInd w:val="0"/>
        <w:spacing w:after="0" w:line="240" w:lineRule="auto"/>
        <w:ind w:right="26" w:firstLine="142"/>
        <w:rPr>
          <w:rFonts w:ascii="Arial" w:hAnsi="Arial" w:cs="Arial"/>
        </w:rPr>
      </w:pPr>
      <w:r w:rsidRPr="002840AB">
        <w:rPr>
          <w:rFonts w:ascii="Arial" w:hAnsi="Arial" w:cs="Arial"/>
          <w:b/>
          <w:bCs/>
        </w:rPr>
        <w:t xml:space="preserve">1. § </w:t>
      </w:r>
      <w:r w:rsidR="000A525D" w:rsidRPr="002840AB">
        <w:rPr>
          <w:rFonts w:ascii="Arial" w:hAnsi="Arial" w:cs="Arial"/>
          <w:bCs/>
        </w:rPr>
        <w:t>(1)</w:t>
      </w:r>
      <w:r w:rsidR="000A525D" w:rsidRPr="002840AB">
        <w:rPr>
          <w:rFonts w:ascii="Arial" w:hAnsi="Arial" w:cs="Arial"/>
          <w:b/>
          <w:bCs/>
        </w:rPr>
        <w:t xml:space="preserve"> </w:t>
      </w:r>
      <w:r w:rsidRPr="002840AB">
        <w:rPr>
          <w:rFonts w:ascii="Arial" w:hAnsi="Arial" w:cs="Arial"/>
          <w:bCs/>
        </w:rPr>
        <w:t>A</w:t>
      </w:r>
      <w:r w:rsidRPr="002840AB">
        <w:rPr>
          <w:rFonts w:ascii="Arial" w:hAnsi="Arial" w:cs="Arial"/>
        </w:rPr>
        <w:t xml:space="preserve"> pénz- és hitelpiaci szervezetek által a jegybanki információs rendszerhez elsődlegesen a Magyar Nemzeti Bank felügyeleti feladatai ellátása érdekében teljesítendő adatszolgáltatási kötelezettségekről szóló </w:t>
      </w:r>
      <w:r w:rsidR="0083188B" w:rsidRPr="002840AB">
        <w:rPr>
          <w:rFonts w:ascii="Arial" w:hAnsi="Arial" w:cs="Arial"/>
        </w:rPr>
        <w:t>36</w:t>
      </w:r>
      <w:r w:rsidRPr="002840AB">
        <w:rPr>
          <w:rFonts w:ascii="Arial" w:hAnsi="Arial" w:cs="Arial"/>
        </w:rPr>
        <w:t>/201</w:t>
      </w:r>
      <w:r w:rsidR="0083188B" w:rsidRPr="002840AB">
        <w:rPr>
          <w:rFonts w:ascii="Arial" w:hAnsi="Arial" w:cs="Arial"/>
        </w:rPr>
        <w:t>8</w:t>
      </w:r>
      <w:r w:rsidRPr="002840AB">
        <w:rPr>
          <w:rFonts w:ascii="Arial" w:hAnsi="Arial" w:cs="Arial"/>
        </w:rPr>
        <w:t xml:space="preserve">. (XI. </w:t>
      </w:r>
      <w:r w:rsidR="0083188B" w:rsidRPr="002840AB">
        <w:rPr>
          <w:rFonts w:ascii="Arial" w:hAnsi="Arial" w:cs="Arial"/>
        </w:rPr>
        <w:t>13</w:t>
      </w:r>
      <w:r w:rsidRPr="002840AB">
        <w:rPr>
          <w:rFonts w:ascii="Arial" w:hAnsi="Arial" w:cs="Arial"/>
        </w:rPr>
        <w:t xml:space="preserve">.) MNB rendelet </w:t>
      </w:r>
      <w:r w:rsidR="001037A0" w:rsidRPr="002840AB">
        <w:rPr>
          <w:rFonts w:ascii="Arial" w:hAnsi="Arial" w:cs="Arial"/>
        </w:rPr>
        <w:t>[a továbbiakban: 36/2018. (XI. 13.) MNB rendelet]</w:t>
      </w:r>
      <w:r w:rsidR="000A525D" w:rsidRPr="002840AB">
        <w:rPr>
          <w:rFonts w:ascii="Arial" w:hAnsi="Arial" w:cs="Arial"/>
        </w:rPr>
        <w:t xml:space="preserve"> 2. melléklete az 1. melléklet szerint módosul.</w:t>
      </w:r>
    </w:p>
    <w:p w14:paraId="2B916DF1" w14:textId="49624FCD" w:rsidR="00BA737A" w:rsidRPr="002840AB" w:rsidRDefault="00BA737A" w:rsidP="005B0757">
      <w:pPr>
        <w:autoSpaceDE w:val="0"/>
        <w:autoSpaceDN w:val="0"/>
        <w:adjustRightInd w:val="0"/>
        <w:spacing w:after="0" w:line="240" w:lineRule="auto"/>
        <w:ind w:right="26" w:firstLine="142"/>
        <w:rPr>
          <w:rFonts w:ascii="Arial" w:hAnsi="Arial" w:cs="Arial"/>
        </w:rPr>
      </w:pPr>
      <w:r w:rsidRPr="002840AB">
        <w:rPr>
          <w:rFonts w:ascii="Arial" w:hAnsi="Arial" w:cs="Arial"/>
        </w:rPr>
        <w:t>(2) A 36/2018. (XI. 13.) MNB rendelet 3. melléklete a 2. melléklet szerint módosul.</w:t>
      </w:r>
    </w:p>
    <w:p w14:paraId="7C5F3C04" w14:textId="5B9C47B5" w:rsidR="00D0190B" w:rsidRPr="002840AB" w:rsidRDefault="00BA737A" w:rsidP="005161EB">
      <w:pPr>
        <w:autoSpaceDE w:val="0"/>
        <w:autoSpaceDN w:val="0"/>
        <w:adjustRightInd w:val="0"/>
        <w:spacing w:after="0" w:line="240" w:lineRule="auto"/>
        <w:ind w:right="26" w:firstLine="142"/>
        <w:rPr>
          <w:rFonts w:ascii="Arial" w:hAnsi="Arial" w:cs="Arial"/>
        </w:rPr>
      </w:pPr>
      <w:r w:rsidRPr="002840AB">
        <w:rPr>
          <w:rFonts w:ascii="Arial" w:hAnsi="Arial" w:cs="Arial"/>
        </w:rPr>
        <w:t xml:space="preserve">(3) A 36/2018. (XI. 13.) MNB rendelet </w:t>
      </w:r>
    </w:p>
    <w:p w14:paraId="0B31F066" w14:textId="01D13F04" w:rsidR="0001471E" w:rsidRPr="002840AB" w:rsidRDefault="00D0190B"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 xml:space="preserve">a) </w:t>
      </w:r>
      <w:r w:rsidR="005161EB" w:rsidRPr="002840AB">
        <w:rPr>
          <w:rFonts w:ascii="Arial" w:hAnsi="Arial" w:cs="Arial"/>
        </w:rPr>
        <w:t xml:space="preserve">2. melléklet „ÖSSZEFOGLALÓ TÁBLA EGYEDI JELENTÉSEK” megnevezésű táblázat </w:t>
      </w:r>
      <w:r w:rsidR="0001471E" w:rsidRPr="002840AB">
        <w:rPr>
          <w:rFonts w:ascii="Arial" w:hAnsi="Arial" w:cs="Arial"/>
          <w:iCs/>
        </w:rPr>
        <w:t>3</w:t>
      </w:r>
      <w:r w:rsidRPr="002840AB">
        <w:rPr>
          <w:rFonts w:ascii="Arial" w:hAnsi="Arial" w:cs="Arial"/>
          <w:iCs/>
        </w:rPr>
        <w:t>5</w:t>
      </w:r>
      <w:r w:rsidR="0001471E" w:rsidRPr="002840AB">
        <w:rPr>
          <w:rFonts w:ascii="Arial" w:hAnsi="Arial" w:cs="Arial"/>
          <w:iCs/>
        </w:rPr>
        <w:t xml:space="preserve">. sora szerinti </w:t>
      </w:r>
      <w:r w:rsidRPr="002840AB">
        <w:rPr>
          <w:rFonts w:ascii="Arial" w:hAnsi="Arial" w:cs="Arial"/>
          <w:iCs/>
        </w:rPr>
        <w:t>4LAN táblakódú felügyeleti jelentés</w:t>
      </w:r>
      <w:r w:rsidR="0001471E" w:rsidRPr="002840AB">
        <w:rPr>
          <w:rFonts w:ascii="Arial" w:hAnsi="Arial" w:cs="Arial"/>
          <w:iCs/>
        </w:rPr>
        <w:t xml:space="preserve"> tekintetében a</w:t>
      </w:r>
      <w:r w:rsidR="00EA1DA0" w:rsidRPr="002840AB">
        <w:rPr>
          <w:rFonts w:ascii="Arial" w:hAnsi="Arial" w:cs="Arial"/>
          <w:iCs/>
        </w:rPr>
        <w:t xml:space="preserve"> beküldési határidőt</w:t>
      </w:r>
      <w:r w:rsidR="0001471E" w:rsidRPr="002840AB">
        <w:rPr>
          <w:rFonts w:ascii="Arial" w:hAnsi="Arial" w:cs="Arial"/>
          <w:iCs/>
        </w:rPr>
        <w:t xml:space="preserve"> meghatározó mezőben a „11” szövegrész helyébe a „12” szöveg,</w:t>
      </w:r>
    </w:p>
    <w:p w14:paraId="7C1D405D" w14:textId="5417583E" w:rsidR="00EA1DA0" w:rsidRPr="002840AB" w:rsidRDefault="00EA1DA0"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 xml:space="preserve">b) </w:t>
      </w:r>
      <w:r w:rsidR="005161EB" w:rsidRPr="002840AB">
        <w:rPr>
          <w:rFonts w:ascii="Arial" w:hAnsi="Arial" w:cs="Arial"/>
        </w:rPr>
        <w:t xml:space="preserve">2. melléklet „ÖSSZEFOGLALÓ TÁBLA EGYEDI JELENTÉSEK” megnevezésű táblázat </w:t>
      </w:r>
      <w:r w:rsidRPr="002840AB">
        <w:rPr>
          <w:rFonts w:ascii="Arial" w:hAnsi="Arial" w:cs="Arial"/>
          <w:iCs/>
        </w:rPr>
        <w:t xml:space="preserve">36. sora szerinti </w:t>
      </w:r>
      <w:r w:rsidR="00290EB0" w:rsidRPr="002840AB">
        <w:rPr>
          <w:rFonts w:ascii="Arial" w:hAnsi="Arial" w:cs="Arial"/>
          <w:iCs/>
        </w:rPr>
        <w:t xml:space="preserve">Cashflow </w:t>
      </w:r>
      <w:r w:rsidRPr="002840AB">
        <w:rPr>
          <w:rFonts w:ascii="Arial" w:hAnsi="Arial" w:cs="Arial"/>
          <w:iCs/>
        </w:rPr>
        <w:t>táblakódú felügyeleti jelentés tekintetében a beküldési határidőt meghatározó mezőben a „1</w:t>
      </w:r>
      <w:r w:rsidR="00290EB0" w:rsidRPr="002840AB">
        <w:rPr>
          <w:rFonts w:ascii="Arial" w:hAnsi="Arial" w:cs="Arial"/>
          <w:iCs/>
        </w:rPr>
        <w:t>2</w:t>
      </w:r>
      <w:r w:rsidRPr="002840AB">
        <w:rPr>
          <w:rFonts w:ascii="Arial" w:hAnsi="Arial" w:cs="Arial"/>
          <w:iCs/>
        </w:rPr>
        <w:t>” szövegrész helyébe a „1</w:t>
      </w:r>
      <w:r w:rsidR="00290EB0" w:rsidRPr="002840AB">
        <w:rPr>
          <w:rFonts w:ascii="Arial" w:hAnsi="Arial" w:cs="Arial"/>
          <w:iCs/>
        </w:rPr>
        <w:t>3</w:t>
      </w:r>
      <w:r w:rsidRPr="002840AB">
        <w:rPr>
          <w:rFonts w:ascii="Arial" w:hAnsi="Arial" w:cs="Arial"/>
          <w:iCs/>
        </w:rPr>
        <w:t>” szöveg,</w:t>
      </w:r>
    </w:p>
    <w:p w14:paraId="093B2EB8" w14:textId="738516BF" w:rsidR="00EA1DA0" w:rsidRPr="002840AB" w:rsidRDefault="00EA1DA0" w:rsidP="00566616">
      <w:pPr>
        <w:autoSpaceDE w:val="0"/>
        <w:autoSpaceDN w:val="0"/>
        <w:adjustRightInd w:val="0"/>
        <w:spacing w:after="0" w:line="240" w:lineRule="auto"/>
        <w:ind w:right="26" w:firstLine="142"/>
        <w:rPr>
          <w:rFonts w:ascii="Arial" w:hAnsi="Arial" w:cs="Arial"/>
          <w:iCs/>
        </w:rPr>
      </w:pPr>
      <w:r w:rsidRPr="002840AB">
        <w:rPr>
          <w:rFonts w:ascii="Arial" w:hAnsi="Arial" w:cs="Arial"/>
          <w:iCs/>
        </w:rPr>
        <w:t xml:space="preserve">c) </w:t>
      </w:r>
      <w:r w:rsidR="005161EB" w:rsidRPr="002840AB">
        <w:rPr>
          <w:rFonts w:ascii="Arial" w:hAnsi="Arial" w:cs="Arial"/>
        </w:rPr>
        <w:t xml:space="preserve">2. melléklet „ÖSSZEFOGLALÓ TÁBLA EGYEDI JELENTÉSEK” megnevezésű táblázat </w:t>
      </w:r>
      <w:r w:rsidRPr="002840AB">
        <w:rPr>
          <w:rFonts w:ascii="Arial" w:hAnsi="Arial" w:cs="Arial"/>
          <w:iCs/>
        </w:rPr>
        <w:t>3</w:t>
      </w:r>
      <w:r w:rsidR="00290EB0" w:rsidRPr="002840AB">
        <w:rPr>
          <w:rFonts w:ascii="Arial" w:hAnsi="Arial" w:cs="Arial"/>
          <w:iCs/>
        </w:rPr>
        <w:t>7</w:t>
      </w:r>
      <w:r w:rsidRPr="002840AB">
        <w:rPr>
          <w:rFonts w:ascii="Arial" w:hAnsi="Arial" w:cs="Arial"/>
          <w:iCs/>
        </w:rPr>
        <w:t xml:space="preserve">. sora szerinti </w:t>
      </w:r>
      <w:proofErr w:type="spellStart"/>
      <w:r w:rsidR="00290EB0" w:rsidRPr="002840AB">
        <w:rPr>
          <w:rFonts w:ascii="Arial" w:hAnsi="Arial" w:cs="Arial"/>
          <w:iCs/>
        </w:rPr>
        <w:t>ACashflow</w:t>
      </w:r>
      <w:proofErr w:type="spellEnd"/>
      <w:r w:rsidRPr="002840AB">
        <w:rPr>
          <w:rFonts w:ascii="Arial" w:hAnsi="Arial" w:cs="Arial"/>
          <w:iCs/>
        </w:rPr>
        <w:t xml:space="preserve"> táblakódú felügyeleti jelentés tekintetében a beküldési határidőt meghatározó mezőben a „1</w:t>
      </w:r>
      <w:r w:rsidR="00290EB0" w:rsidRPr="002840AB">
        <w:rPr>
          <w:rFonts w:ascii="Arial" w:hAnsi="Arial" w:cs="Arial"/>
          <w:iCs/>
        </w:rPr>
        <w:t>2</w:t>
      </w:r>
      <w:r w:rsidRPr="002840AB">
        <w:rPr>
          <w:rFonts w:ascii="Arial" w:hAnsi="Arial" w:cs="Arial"/>
          <w:iCs/>
        </w:rPr>
        <w:t>” szövegrész helyébe a „1</w:t>
      </w:r>
      <w:r w:rsidR="00290EB0" w:rsidRPr="002840AB">
        <w:rPr>
          <w:rFonts w:ascii="Arial" w:hAnsi="Arial" w:cs="Arial"/>
          <w:iCs/>
        </w:rPr>
        <w:t>3</w:t>
      </w:r>
      <w:r w:rsidRPr="002840AB">
        <w:rPr>
          <w:rFonts w:ascii="Arial" w:hAnsi="Arial" w:cs="Arial"/>
          <w:iCs/>
        </w:rPr>
        <w:t>” szöveg</w:t>
      </w:r>
      <w:r w:rsidR="005161EB" w:rsidRPr="002840AB">
        <w:rPr>
          <w:rFonts w:ascii="Arial" w:hAnsi="Arial" w:cs="Arial"/>
          <w:iCs/>
        </w:rPr>
        <w:t>,</w:t>
      </w:r>
    </w:p>
    <w:p w14:paraId="53C68D07" w14:textId="700E3718" w:rsidR="005161EB" w:rsidRPr="002840AB" w:rsidRDefault="00A92BC7" w:rsidP="005161EB">
      <w:pPr>
        <w:autoSpaceDE w:val="0"/>
        <w:autoSpaceDN w:val="0"/>
        <w:adjustRightInd w:val="0"/>
        <w:spacing w:after="0" w:line="240" w:lineRule="auto"/>
        <w:ind w:right="26" w:firstLine="142"/>
        <w:rPr>
          <w:rFonts w:ascii="Arial" w:hAnsi="Arial" w:cs="Arial"/>
        </w:rPr>
      </w:pPr>
      <w:r w:rsidRPr="002840AB">
        <w:rPr>
          <w:rFonts w:ascii="Arial" w:hAnsi="Arial" w:cs="Arial"/>
        </w:rPr>
        <w:t>d) 3. melléklet II. 28. pontjában</w:t>
      </w:r>
      <w:r w:rsidR="001401EE" w:rsidRPr="002840AB">
        <w:rPr>
          <w:rFonts w:ascii="Arial" w:hAnsi="Arial" w:cs="Arial"/>
        </w:rPr>
        <w:t xml:space="preserve"> a „100%-</w:t>
      </w:r>
      <w:proofErr w:type="spellStart"/>
      <w:r w:rsidR="001401EE" w:rsidRPr="002840AB">
        <w:rPr>
          <w:rFonts w:ascii="Arial" w:hAnsi="Arial" w:cs="Arial"/>
        </w:rPr>
        <w:t>ához</w:t>
      </w:r>
      <w:proofErr w:type="spellEnd"/>
      <w:r w:rsidR="001401EE" w:rsidRPr="002840AB">
        <w:rPr>
          <w:rFonts w:ascii="Arial" w:hAnsi="Arial" w:cs="Arial"/>
        </w:rPr>
        <w:t>” szövegrész helyébe a „125%-</w:t>
      </w:r>
      <w:proofErr w:type="spellStart"/>
      <w:r w:rsidR="001401EE" w:rsidRPr="002840AB">
        <w:rPr>
          <w:rFonts w:ascii="Arial" w:hAnsi="Arial" w:cs="Arial"/>
        </w:rPr>
        <w:t>ához</w:t>
      </w:r>
      <w:proofErr w:type="spellEnd"/>
      <w:r w:rsidR="001401EE" w:rsidRPr="002840AB">
        <w:rPr>
          <w:rFonts w:ascii="Arial" w:hAnsi="Arial" w:cs="Arial"/>
        </w:rPr>
        <w:t>” szöveg,</w:t>
      </w:r>
    </w:p>
    <w:p w14:paraId="6C647EA4" w14:textId="4306B628" w:rsidR="001401EE" w:rsidRPr="002840AB" w:rsidRDefault="001401EE" w:rsidP="005161EB">
      <w:pPr>
        <w:autoSpaceDE w:val="0"/>
        <w:autoSpaceDN w:val="0"/>
        <w:adjustRightInd w:val="0"/>
        <w:spacing w:after="0" w:line="240" w:lineRule="auto"/>
        <w:ind w:right="26" w:firstLine="142"/>
        <w:rPr>
          <w:rFonts w:ascii="Arial" w:hAnsi="Arial" w:cs="Arial"/>
        </w:rPr>
      </w:pPr>
      <w:r w:rsidRPr="002840AB">
        <w:rPr>
          <w:rFonts w:ascii="Arial" w:hAnsi="Arial" w:cs="Arial"/>
        </w:rPr>
        <w:t>e) 3. melléklet II. 31. pontjában a „</w:t>
      </w:r>
      <w:r w:rsidR="009A16C1" w:rsidRPr="002840AB">
        <w:rPr>
          <w:rFonts w:ascii="Arial" w:hAnsi="Arial" w:cs="Arial"/>
          <w:snapToGrid w:val="0"/>
        </w:rPr>
        <w:t>Hpt. 79. § (2) bekezdésében előírt szavatolótőke követelmény 5%-a, míg az összbefektetések könyv szerinti (nettó) értéke nem haladhatja meg a Hpt. 79. § (2) bekezdésben előírt szavatolótőke követelmény 100 %-át</w:t>
      </w:r>
      <w:r w:rsidR="00FA7EF7" w:rsidRPr="002840AB">
        <w:rPr>
          <w:rFonts w:ascii="Arial" w:hAnsi="Arial" w:cs="Arial"/>
          <w:snapToGrid w:val="0"/>
        </w:rPr>
        <w:t>” szövegrész helyébe a „szavatolótőke 5%-a, míg az összbefektetések könyv szerinti (nettó) értéke nem haladhatja meg a szavatolótőke 125 %-át</w:t>
      </w:r>
      <w:r w:rsidR="00C71B22" w:rsidRPr="002840AB">
        <w:rPr>
          <w:rFonts w:ascii="Arial" w:hAnsi="Arial" w:cs="Arial"/>
          <w:snapToGrid w:val="0"/>
        </w:rPr>
        <w:t>” szöveg</w:t>
      </w:r>
    </w:p>
    <w:p w14:paraId="2E279508" w14:textId="0DF38F98" w:rsidR="00BA737A" w:rsidRPr="002840AB" w:rsidRDefault="00290EB0" w:rsidP="005B0757">
      <w:pPr>
        <w:autoSpaceDE w:val="0"/>
        <w:autoSpaceDN w:val="0"/>
        <w:adjustRightInd w:val="0"/>
        <w:spacing w:after="0" w:line="240" w:lineRule="auto"/>
        <w:ind w:right="26" w:firstLine="142"/>
        <w:rPr>
          <w:rFonts w:ascii="Arial" w:hAnsi="Arial" w:cs="Arial"/>
        </w:rPr>
      </w:pPr>
      <w:r w:rsidRPr="002840AB">
        <w:rPr>
          <w:rFonts w:ascii="Arial" w:hAnsi="Arial" w:cs="Arial"/>
        </w:rPr>
        <w:t>lép.</w:t>
      </w:r>
    </w:p>
    <w:p w14:paraId="688AA4F0" w14:textId="1B0872C4" w:rsidR="00BA737A" w:rsidRPr="002840AB" w:rsidRDefault="00BA737A" w:rsidP="005B0757">
      <w:pPr>
        <w:autoSpaceDE w:val="0"/>
        <w:autoSpaceDN w:val="0"/>
        <w:adjustRightInd w:val="0"/>
        <w:spacing w:after="0" w:line="240" w:lineRule="auto"/>
        <w:ind w:right="26" w:firstLine="142"/>
        <w:rPr>
          <w:rFonts w:ascii="Arial" w:hAnsi="Arial" w:cs="Arial"/>
        </w:rPr>
      </w:pPr>
    </w:p>
    <w:p w14:paraId="56648507" w14:textId="0BF87902" w:rsidR="00B25631" w:rsidRPr="002840AB" w:rsidRDefault="00242299" w:rsidP="005B0757">
      <w:pPr>
        <w:autoSpaceDE w:val="0"/>
        <w:autoSpaceDN w:val="0"/>
        <w:adjustRightInd w:val="0"/>
        <w:spacing w:after="0" w:line="240" w:lineRule="auto"/>
        <w:ind w:right="26" w:firstLine="142"/>
        <w:rPr>
          <w:rFonts w:ascii="Arial" w:hAnsi="Arial" w:cs="Arial"/>
        </w:rPr>
      </w:pPr>
      <w:r w:rsidRPr="002840AB">
        <w:rPr>
          <w:rFonts w:ascii="Arial" w:hAnsi="Arial" w:cs="Arial"/>
          <w:b/>
          <w:bCs/>
        </w:rPr>
        <w:t>2</w:t>
      </w:r>
      <w:r w:rsidR="004504B2" w:rsidRPr="002840AB">
        <w:rPr>
          <w:rFonts w:ascii="Arial" w:hAnsi="Arial" w:cs="Arial"/>
          <w:b/>
          <w:bCs/>
        </w:rPr>
        <w:t>. §</w:t>
      </w:r>
      <w:r w:rsidR="004504B2" w:rsidRPr="002840AB">
        <w:rPr>
          <w:rFonts w:ascii="Arial" w:hAnsi="Arial" w:cs="Arial"/>
          <w:bCs/>
        </w:rPr>
        <w:t xml:space="preserve"> </w:t>
      </w:r>
      <w:r w:rsidR="002D5525" w:rsidRPr="002840AB">
        <w:rPr>
          <w:rFonts w:ascii="Arial" w:hAnsi="Arial" w:cs="Arial"/>
          <w:bCs/>
        </w:rPr>
        <w:t xml:space="preserve">(1) </w:t>
      </w:r>
      <w:r w:rsidR="004504B2" w:rsidRPr="002840AB">
        <w:rPr>
          <w:rFonts w:ascii="Arial" w:hAnsi="Arial" w:cs="Arial"/>
          <w:bCs/>
        </w:rPr>
        <w:t>A</w:t>
      </w:r>
      <w:r w:rsidR="004504B2" w:rsidRPr="002840AB">
        <w:rPr>
          <w:rFonts w:ascii="Arial" w:hAnsi="Arial" w:cs="Arial"/>
        </w:rPr>
        <w:t xml:space="preserve"> </w:t>
      </w:r>
      <w:r w:rsidR="00FA3D4D" w:rsidRPr="002840AB">
        <w:rPr>
          <w:rFonts w:ascii="Arial" w:hAnsi="Arial" w:cs="Arial"/>
        </w:rPr>
        <w:t xml:space="preserve">jegybanki információs rendszerhez elsődlegesen a Magyar Nemzeti Bank alapvető feladatai ellátása érdekében teljesítendő adatszolgáltatási kötelezettségekről szóló </w:t>
      </w:r>
      <w:r w:rsidR="001037A0" w:rsidRPr="002840AB">
        <w:rPr>
          <w:rFonts w:ascii="Arial" w:hAnsi="Arial" w:cs="Arial"/>
        </w:rPr>
        <w:t>38</w:t>
      </w:r>
      <w:r w:rsidR="00FA3D4D" w:rsidRPr="002840AB">
        <w:rPr>
          <w:rFonts w:ascii="Arial" w:hAnsi="Arial" w:cs="Arial"/>
        </w:rPr>
        <w:t>/201</w:t>
      </w:r>
      <w:r w:rsidR="001037A0" w:rsidRPr="002840AB">
        <w:rPr>
          <w:rFonts w:ascii="Arial" w:hAnsi="Arial" w:cs="Arial"/>
        </w:rPr>
        <w:t>8</w:t>
      </w:r>
      <w:r w:rsidR="00FA3D4D" w:rsidRPr="002840AB">
        <w:rPr>
          <w:rFonts w:ascii="Arial" w:hAnsi="Arial" w:cs="Arial"/>
        </w:rPr>
        <w:t xml:space="preserve">. (XI. </w:t>
      </w:r>
      <w:r w:rsidR="008613E3" w:rsidRPr="002840AB">
        <w:rPr>
          <w:rFonts w:ascii="Arial" w:hAnsi="Arial" w:cs="Arial"/>
        </w:rPr>
        <w:t>1</w:t>
      </w:r>
      <w:r w:rsidR="001037A0" w:rsidRPr="002840AB">
        <w:rPr>
          <w:rFonts w:ascii="Arial" w:hAnsi="Arial" w:cs="Arial"/>
        </w:rPr>
        <w:t>4</w:t>
      </w:r>
      <w:r w:rsidR="00FA3D4D" w:rsidRPr="002840AB">
        <w:rPr>
          <w:rFonts w:ascii="Arial" w:hAnsi="Arial" w:cs="Arial"/>
        </w:rPr>
        <w:t>.) MNB rendelet</w:t>
      </w:r>
      <w:r w:rsidR="004504B2" w:rsidRPr="002840AB">
        <w:rPr>
          <w:rFonts w:ascii="Arial" w:hAnsi="Arial" w:cs="Arial"/>
        </w:rPr>
        <w:t xml:space="preserve"> </w:t>
      </w:r>
      <w:r w:rsidR="00EE0463" w:rsidRPr="002840AB">
        <w:rPr>
          <w:rFonts w:ascii="Arial" w:hAnsi="Arial" w:cs="Arial"/>
        </w:rPr>
        <w:t>[</w:t>
      </w:r>
      <w:r w:rsidR="004504B2" w:rsidRPr="002840AB">
        <w:rPr>
          <w:rFonts w:ascii="Arial" w:hAnsi="Arial" w:cs="Arial"/>
        </w:rPr>
        <w:t xml:space="preserve">a továbbiakban: </w:t>
      </w:r>
      <w:r w:rsidR="001037A0" w:rsidRPr="002840AB">
        <w:rPr>
          <w:rFonts w:ascii="Arial" w:hAnsi="Arial" w:cs="Arial"/>
        </w:rPr>
        <w:t>38</w:t>
      </w:r>
      <w:r w:rsidR="00EE0463" w:rsidRPr="002840AB">
        <w:rPr>
          <w:rFonts w:ascii="Arial" w:hAnsi="Arial" w:cs="Arial"/>
        </w:rPr>
        <w:t>/201</w:t>
      </w:r>
      <w:r w:rsidR="001037A0" w:rsidRPr="002840AB">
        <w:rPr>
          <w:rFonts w:ascii="Arial" w:hAnsi="Arial" w:cs="Arial"/>
        </w:rPr>
        <w:t>8</w:t>
      </w:r>
      <w:r w:rsidR="00EE0463" w:rsidRPr="002840AB">
        <w:rPr>
          <w:rFonts w:ascii="Arial" w:hAnsi="Arial" w:cs="Arial"/>
        </w:rPr>
        <w:t>. (XI.</w:t>
      </w:r>
      <w:r w:rsidR="00F07432" w:rsidRPr="002840AB">
        <w:rPr>
          <w:rFonts w:ascii="Arial" w:hAnsi="Arial" w:cs="Arial"/>
        </w:rPr>
        <w:t xml:space="preserve"> </w:t>
      </w:r>
      <w:r w:rsidR="00BA680F" w:rsidRPr="002840AB">
        <w:rPr>
          <w:rFonts w:ascii="Arial" w:hAnsi="Arial" w:cs="Arial"/>
        </w:rPr>
        <w:t>1</w:t>
      </w:r>
      <w:r w:rsidR="001037A0" w:rsidRPr="002840AB">
        <w:rPr>
          <w:rFonts w:ascii="Arial" w:hAnsi="Arial" w:cs="Arial"/>
        </w:rPr>
        <w:t>4</w:t>
      </w:r>
      <w:r w:rsidR="004504B2" w:rsidRPr="002840AB">
        <w:rPr>
          <w:rFonts w:ascii="Arial" w:hAnsi="Arial" w:cs="Arial"/>
        </w:rPr>
        <w:t>.)</w:t>
      </w:r>
      <w:r w:rsidR="001F1773" w:rsidRPr="002840AB">
        <w:rPr>
          <w:rFonts w:ascii="Arial" w:hAnsi="Arial" w:cs="Arial"/>
        </w:rPr>
        <w:t xml:space="preserve"> MNB rendelet] 1. melléklete a </w:t>
      </w:r>
      <w:r w:rsidR="004F7B29" w:rsidRPr="002840AB">
        <w:rPr>
          <w:rFonts w:ascii="Arial" w:hAnsi="Arial" w:cs="Arial"/>
        </w:rPr>
        <w:t>3.</w:t>
      </w:r>
      <w:r w:rsidR="001F1773" w:rsidRPr="002840AB">
        <w:rPr>
          <w:rFonts w:ascii="Arial" w:hAnsi="Arial" w:cs="Arial"/>
        </w:rPr>
        <w:t xml:space="preserve"> melléklet szerint módosul.</w:t>
      </w:r>
    </w:p>
    <w:p w14:paraId="69503C1A" w14:textId="69525E36" w:rsidR="001F1773" w:rsidRPr="002840AB" w:rsidRDefault="001F1773" w:rsidP="005B0757">
      <w:pPr>
        <w:autoSpaceDE w:val="0"/>
        <w:autoSpaceDN w:val="0"/>
        <w:adjustRightInd w:val="0"/>
        <w:spacing w:after="0" w:line="240" w:lineRule="auto"/>
        <w:ind w:right="26" w:firstLine="142"/>
        <w:rPr>
          <w:rFonts w:ascii="Arial" w:hAnsi="Arial" w:cs="Arial"/>
        </w:rPr>
      </w:pPr>
      <w:r w:rsidRPr="002840AB">
        <w:rPr>
          <w:rFonts w:ascii="Arial" w:hAnsi="Arial" w:cs="Arial"/>
        </w:rPr>
        <w:t>(</w:t>
      </w:r>
      <w:r w:rsidR="004F7B29" w:rsidRPr="002840AB">
        <w:rPr>
          <w:rFonts w:ascii="Arial" w:hAnsi="Arial" w:cs="Arial"/>
        </w:rPr>
        <w:t>2</w:t>
      </w:r>
      <w:r w:rsidRPr="002840AB">
        <w:rPr>
          <w:rFonts w:ascii="Arial" w:hAnsi="Arial" w:cs="Arial"/>
        </w:rPr>
        <w:t xml:space="preserve">) </w:t>
      </w:r>
      <w:r w:rsidR="002B1477" w:rsidRPr="002840AB">
        <w:rPr>
          <w:rFonts w:ascii="Arial" w:hAnsi="Arial" w:cs="Arial"/>
        </w:rPr>
        <w:t xml:space="preserve">A </w:t>
      </w:r>
      <w:r w:rsidR="003564E2" w:rsidRPr="002840AB">
        <w:rPr>
          <w:rFonts w:ascii="Arial" w:hAnsi="Arial" w:cs="Arial"/>
        </w:rPr>
        <w:t xml:space="preserve">38/2018. (XI. 14.) MNB rendelet </w:t>
      </w:r>
      <w:r w:rsidR="002B1477" w:rsidRPr="002840AB">
        <w:rPr>
          <w:rFonts w:ascii="Arial" w:hAnsi="Arial" w:cs="Arial"/>
        </w:rPr>
        <w:t xml:space="preserve">2. melléklete a </w:t>
      </w:r>
      <w:r w:rsidR="004F7B29" w:rsidRPr="002840AB">
        <w:rPr>
          <w:rFonts w:ascii="Arial" w:hAnsi="Arial" w:cs="Arial"/>
        </w:rPr>
        <w:t>4.</w:t>
      </w:r>
      <w:r w:rsidR="002B1477" w:rsidRPr="002840AB">
        <w:rPr>
          <w:rFonts w:ascii="Arial" w:hAnsi="Arial" w:cs="Arial"/>
        </w:rPr>
        <w:t xml:space="preserve"> melléklet szerint módosul.</w:t>
      </w:r>
    </w:p>
    <w:p w14:paraId="461E9420" w14:textId="27310871" w:rsidR="00366F78" w:rsidRPr="002840AB" w:rsidRDefault="00F60CF5" w:rsidP="005B0757">
      <w:pPr>
        <w:autoSpaceDE w:val="0"/>
        <w:autoSpaceDN w:val="0"/>
        <w:adjustRightInd w:val="0"/>
        <w:spacing w:after="0" w:line="240" w:lineRule="auto"/>
        <w:ind w:right="26" w:firstLine="142"/>
        <w:rPr>
          <w:rFonts w:ascii="Arial" w:hAnsi="Arial" w:cs="Arial"/>
        </w:rPr>
      </w:pPr>
      <w:r w:rsidRPr="002840AB">
        <w:rPr>
          <w:rFonts w:ascii="Arial" w:hAnsi="Arial" w:cs="Arial"/>
        </w:rPr>
        <w:t>(</w:t>
      </w:r>
      <w:r w:rsidR="004F7B29" w:rsidRPr="002840AB">
        <w:rPr>
          <w:rFonts w:ascii="Arial" w:hAnsi="Arial" w:cs="Arial"/>
        </w:rPr>
        <w:t>3</w:t>
      </w:r>
      <w:r w:rsidRPr="002840AB">
        <w:rPr>
          <w:rFonts w:ascii="Arial" w:hAnsi="Arial" w:cs="Arial"/>
        </w:rPr>
        <w:t xml:space="preserve">) A </w:t>
      </w:r>
      <w:r w:rsidR="003564E2" w:rsidRPr="002840AB">
        <w:rPr>
          <w:rFonts w:ascii="Arial" w:hAnsi="Arial" w:cs="Arial"/>
        </w:rPr>
        <w:t xml:space="preserve">38/2018. (XI. 14.) MNB rendelet </w:t>
      </w:r>
    </w:p>
    <w:p w14:paraId="5CBFEDA0" w14:textId="0057B996" w:rsidR="006200F4" w:rsidRPr="002840AB" w:rsidRDefault="00712EDD" w:rsidP="005B0757">
      <w:pPr>
        <w:autoSpaceDE w:val="0"/>
        <w:autoSpaceDN w:val="0"/>
        <w:adjustRightInd w:val="0"/>
        <w:spacing w:after="0" w:line="240" w:lineRule="auto"/>
        <w:ind w:right="26" w:firstLine="142"/>
        <w:rPr>
          <w:rFonts w:ascii="Arial" w:hAnsi="Arial" w:cs="Arial"/>
        </w:rPr>
      </w:pPr>
      <w:r w:rsidRPr="002840AB">
        <w:rPr>
          <w:rFonts w:ascii="Arial" w:hAnsi="Arial" w:cs="Arial"/>
        </w:rPr>
        <w:t xml:space="preserve">a) </w:t>
      </w:r>
      <w:r w:rsidR="00E12647" w:rsidRPr="002840AB">
        <w:rPr>
          <w:rFonts w:ascii="Arial" w:hAnsi="Arial" w:cs="Arial"/>
          <w:iCs/>
        </w:rPr>
        <w:t xml:space="preserve">1. melléklet I. pontjában foglalt táblázat </w:t>
      </w:r>
      <w:r w:rsidR="00373920" w:rsidRPr="002840AB">
        <w:rPr>
          <w:rFonts w:ascii="Arial" w:hAnsi="Arial" w:cs="Arial"/>
          <w:iCs/>
        </w:rPr>
        <w:t>2. sora szerinti AL8 MNB azonosító kódú adatszolgáltatás tekintetében az adatszolgáltatás megnevezését meghatározó mezőben az „</w:t>
      </w:r>
      <w:proofErr w:type="spellStart"/>
      <w:r w:rsidR="003E01E2" w:rsidRPr="002840AB">
        <w:rPr>
          <w:rFonts w:ascii="Arial" w:hAnsi="Arial" w:cs="Arial"/>
          <w:iCs/>
        </w:rPr>
        <w:t>NHP</w:t>
      </w:r>
      <w:proofErr w:type="spellEnd"/>
      <w:r w:rsidR="003E01E2" w:rsidRPr="002840AB">
        <w:rPr>
          <w:rFonts w:ascii="Arial" w:hAnsi="Arial" w:cs="Arial"/>
          <w:iCs/>
        </w:rPr>
        <w:t xml:space="preserve"> és az</w:t>
      </w:r>
      <w:r w:rsidR="00373920" w:rsidRPr="002840AB">
        <w:rPr>
          <w:rFonts w:ascii="Arial" w:hAnsi="Arial" w:cs="Arial"/>
          <w:iCs/>
        </w:rPr>
        <w:t xml:space="preserve"> </w:t>
      </w:r>
      <w:proofErr w:type="spellStart"/>
      <w:r w:rsidR="00373920" w:rsidRPr="002840AB">
        <w:rPr>
          <w:rFonts w:ascii="Arial" w:hAnsi="Arial" w:cs="Arial"/>
          <w:iCs/>
        </w:rPr>
        <w:t>NHP</w:t>
      </w:r>
      <w:proofErr w:type="spellEnd"/>
      <w:r w:rsidR="00E86187" w:rsidRPr="002840AB">
        <w:rPr>
          <w:rFonts w:ascii="Arial" w:hAnsi="Arial" w:cs="Arial"/>
          <w:iCs/>
        </w:rPr>
        <w:t>+” szövegrész helyébe az „</w:t>
      </w:r>
      <w:proofErr w:type="spellStart"/>
      <w:r w:rsidR="003E01E2" w:rsidRPr="002840AB">
        <w:rPr>
          <w:rFonts w:ascii="Arial" w:hAnsi="Arial" w:cs="Arial"/>
          <w:iCs/>
        </w:rPr>
        <w:t>NHP</w:t>
      </w:r>
      <w:proofErr w:type="spellEnd"/>
      <w:r w:rsidR="003E01E2" w:rsidRPr="002840AB">
        <w:rPr>
          <w:rFonts w:ascii="Arial" w:hAnsi="Arial" w:cs="Arial"/>
          <w:iCs/>
        </w:rPr>
        <w:t xml:space="preserve">, az </w:t>
      </w:r>
      <w:proofErr w:type="spellStart"/>
      <w:r w:rsidR="00E86187" w:rsidRPr="002840AB">
        <w:rPr>
          <w:rFonts w:ascii="Arial" w:hAnsi="Arial" w:cs="Arial"/>
          <w:iCs/>
        </w:rPr>
        <w:t>NHP</w:t>
      </w:r>
      <w:proofErr w:type="spellEnd"/>
      <w:r w:rsidR="00E86187" w:rsidRPr="002840AB">
        <w:rPr>
          <w:rFonts w:ascii="Arial" w:hAnsi="Arial" w:cs="Arial"/>
          <w:iCs/>
        </w:rPr>
        <w:t xml:space="preserve">+ és az </w:t>
      </w:r>
      <w:proofErr w:type="spellStart"/>
      <w:r w:rsidR="00E86187" w:rsidRPr="002840AB">
        <w:rPr>
          <w:rFonts w:ascii="Arial" w:hAnsi="Arial" w:cs="Arial"/>
          <w:iCs/>
        </w:rPr>
        <w:t>NHP</w:t>
      </w:r>
      <w:proofErr w:type="spellEnd"/>
      <w:r w:rsidR="00E86187" w:rsidRPr="002840AB">
        <w:rPr>
          <w:rFonts w:ascii="Arial" w:hAnsi="Arial" w:cs="Arial"/>
          <w:iCs/>
        </w:rPr>
        <w:t xml:space="preserve"> </w:t>
      </w:r>
      <w:r w:rsidR="00E86187" w:rsidRPr="002840AB">
        <w:rPr>
          <w:rFonts w:ascii="Arial" w:hAnsi="Arial" w:cs="Arial"/>
          <w:i/>
          <w:iCs/>
        </w:rPr>
        <w:t>fix</w:t>
      </w:r>
      <w:r w:rsidR="00E86187" w:rsidRPr="002840AB">
        <w:rPr>
          <w:rFonts w:ascii="Arial" w:hAnsi="Arial" w:cs="Arial"/>
          <w:iCs/>
        </w:rPr>
        <w:t>” szöveg, az adatszolgáltatás</w:t>
      </w:r>
      <w:r w:rsidR="004F22D7" w:rsidRPr="002840AB">
        <w:rPr>
          <w:rFonts w:ascii="Arial" w:hAnsi="Arial" w:cs="Arial"/>
          <w:iCs/>
        </w:rPr>
        <w:t xml:space="preserve"> adatszolgáltatói körét meghatározó mezőben</w:t>
      </w:r>
      <w:r w:rsidR="00E77E7E" w:rsidRPr="002840AB">
        <w:rPr>
          <w:rFonts w:ascii="Arial" w:hAnsi="Arial" w:cs="Arial"/>
          <w:iCs/>
        </w:rPr>
        <w:t xml:space="preserve"> az „</w:t>
      </w:r>
      <w:r w:rsidR="00E77E7E" w:rsidRPr="002840AB">
        <w:rPr>
          <w:rFonts w:ascii="Arial" w:hAnsi="Arial" w:cs="Arial"/>
        </w:rPr>
        <w:t xml:space="preserve">illetve a Növekedési Hitelprogram Pluszban (a továbbiakban: </w:t>
      </w:r>
      <w:proofErr w:type="spellStart"/>
      <w:r w:rsidR="00E77E7E" w:rsidRPr="002840AB">
        <w:rPr>
          <w:rFonts w:ascii="Arial" w:hAnsi="Arial" w:cs="Arial"/>
        </w:rPr>
        <w:t>NHP</w:t>
      </w:r>
      <w:proofErr w:type="spellEnd"/>
      <w:r w:rsidR="00E77E7E" w:rsidRPr="002840AB">
        <w:rPr>
          <w:rFonts w:ascii="Arial" w:hAnsi="Arial" w:cs="Arial"/>
        </w:rPr>
        <w:t xml:space="preserve">+)” szövegrész helyébe az „a Növekedési Hitelprogram Pluszban (a továbbiakban: </w:t>
      </w:r>
      <w:proofErr w:type="spellStart"/>
      <w:r w:rsidR="00E77E7E" w:rsidRPr="002840AB">
        <w:rPr>
          <w:rFonts w:ascii="Arial" w:hAnsi="Arial" w:cs="Arial"/>
        </w:rPr>
        <w:t>NHP</w:t>
      </w:r>
      <w:proofErr w:type="spellEnd"/>
      <w:r w:rsidR="00E77E7E" w:rsidRPr="002840AB">
        <w:rPr>
          <w:rFonts w:ascii="Arial" w:hAnsi="Arial" w:cs="Arial"/>
        </w:rPr>
        <w:t xml:space="preserve">+), illetve a Növekedési Hitelprogram Fixben (a továbbiakban: </w:t>
      </w:r>
      <w:proofErr w:type="spellStart"/>
      <w:r w:rsidR="00E77E7E" w:rsidRPr="002840AB">
        <w:rPr>
          <w:rFonts w:ascii="Arial" w:hAnsi="Arial" w:cs="Arial"/>
        </w:rPr>
        <w:t>NHP</w:t>
      </w:r>
      <w:proofErr w:type="spellEnd"/>
      <w:r w:rsidR="00E77E7E" w:rsidRPr="002840AB">
        <w:rPr>
          <w:rFonts w:ascii="Arial" w:hAnsi="Arial" w:cs="Arial"/>
        </w:rPr>
        <w:t xml:space="preserve"> </w:t>
      </w:r>
      <w:r w:rsidR="00E77E7E" w:rsidRPr="002840AB">
        <w:rPr>
          <w:rFonts w:ascii="Arial" w:hAnsi="Arial" w:cs="Arial"/>
          <w:i/>
        </w:rPr>
        <w:t>fix</w:t>
      </w:r>
      <w:r w:rsidR="00E77E7E" w:rsidRPr="002840AB">
        <w:rPr>
          <w:rFonts w:ascii="Arial" w:hAnsi="Arial" w:cs="Arial"/>
        </w:rPr>
        <w:t>)</w:t>
      </w:r>
      <w:r w:rsidR="00384F15" w:rsidRPr="002840AB">
        <w:rPr>
          <w:rFonts w:ascii="Arial" w:hAnsi="Arial" w:cs="Arial"/>
        </w:rPr>
        <w:t>” szöveg, az adatszolgáltatás határidejét meghatározó mezőben a „</w:t>
      </w:r>
      <w:r w:rsidR="00232E91" w:rsidRPr="002840AB">
        <w:rPr>
          <w:rFonts w:ascii="Arial" w:hAnsi="Arial" w:cs="Arial"/>
        </w:rPr>
        <w:t xml:space="preserve">pillére </w:t>
      </w:r>
      <w:r w:rsidR="00384F15" w:rsidRPr="002840AB">
        <w:rPr>
          <w:rFonts w:ascii="Arial" w:hAnsi="Arial" w:cs="Arial"/>
        </w:rPr>
        <w:t xml:space="preserve">és az </w:t>
      </w:r>
      <w:proofErr w:type="spellStart"/>
      <w:r w:rsidR="00384F15" w:rsidRPr="002840AB">
        <w:rPr>
          <w:rFonts w:ascii="Arial" w:hAnsi="Arial" w:cs="Arial"/>
        </w:rPr>
        <w:t>NHP</w:t>
      </w:r>
      <w:proofErr w:type="spellEnd"/>
      <w:r w:rsidR="00384F15" w:rsidRPr="002840AB">
        <w:rPr>
          <w:rFonts w:ascii="Arial" w:hAnsi="Arial" w:cs="Arial"/>
        </w:rPr>
        <w:t>+</w:t>
      </w:r>
      <w:r w:rsidR="00232E91" w:rsidRPr="002840AB">
        <w:rPr>
          <w:rFonts w:ascii="Arial" w:hAnsi="Arial" w:cs="Arial"/>
        </w:rPr>
        <w:t xml:space="preserve">” szövegrész helyébe a „pillére, az </w:t>
      </w:r>
      <w:proofErr w:type="spellStart"/>
      <w:r w:rsidR="00232E91" w:rsidRPr="002840AB">
        <w:rPr>
          <w:rFonts w:ascii="Arial" w:hAnsi="Arial" w:cs="Arial"/>
        </w:rPr>
        <w:t>NHP</w:t>
      </w:r>
      <w:proofErr w:type="spellEnd"/>
      <w:r w:rsidR="00232E91" w:rsidRPr="002840AB">
        <w:rPr>
          <w:rFonts w:ascii="Arial" w:hAnsi="Arial" w:cs="Arial"/>
        </w:rPr>
        <w:t xml:space="preserve">+ és az </w:t>
      </w:r>
      <w:proofErr w:type="spellStart"/>
      <w:r w:rsidR="00232E91" w:rsidRPr="002840AB">
        <w:rPr>
          <w:rFonts w:ascii="Arial" w:hAnsi="Arial" w:cs="Arial"/>
        </w:rPr>
        <w:t>NHP</w:t>
      </w:r>
      <w:proofErr w:type="spellEnd"/>
      <w:r w:rsidR="00232E91" w:rsidRPr="002840AB">
        <w:rPr>
          <w:rFonts w:ascii="Arial" w:hAnsi="Arial" w:cs="Arial"/>
        </w:rPr>
        <w:t xml:space="preserve"> </w:t>
      </w:r>
      <w:r w:rsidR="00232E91" w:rsidRPr="002840AB">
        <w:rPr>
          <w:rFonts w:ascii="Arial" w:hAnsi="Arial" w:cs="Arial"/>
          <w:i/>
        </w:rPr>
        <w:t>fix</w:t>
      </w:r>
      <w:r w:rsidR="00232E91" w:rsidRPr="002840AB">
        <w:rPr>
          <w:rFonts w:ascii="Arial" w:hAnsi="Arial" w:cs="Arial"/>
        </w:rPr>
        <w:t>” szöveg,</w:t>
      </w:r>
    </w:p>
    <w:p w14:paraId="1E2571EF" w14:textId="75254CA2" w:rsidR="00D66D24" w:rsidRPr="002840AB" w:rsidRDefault="006200F4"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b)</w:t>
      </w:r>
      <w:r w:rsidR="006707C1" w:rsidRPr="002840AB">
        <w:rPr>
          <w:rFonts w:ascii="Arial" w:hAnsi="Arial" w:cs="Arial"/>
          <w:iCs/>
        </w:rPr>
        <w:t xml:space="preserve"> </w:t>
      </w:r>
      <w:r w:rsidR="00E12647" w:rsidRPr="002840AB">
        <w:rPr>
          <w:rFonts w:ascii="Arial" w:hAnsi="Arial" w:cs="Arial"/>
          <w:iCs/>
        </w:rPr>
        <w:t xml:space="preserve">1. melléklet I. pontjában foglalt táblázat </w:t>
      </w:r>
      <w:r w:rsidR="00EE07AF" w:rsidRPr="002840AB">
        <w:rPr>
          <w:rFonts w:ascii="Arial" w:hAnsi="Arial" w:cs="Arial"/>
          <w:iCs/>
        </w:rPr>
        <w:t>3</w:t>
      </w:r>
      <w:r w:rsidR="00D66D24" w:rsidRPr="002840AB">
        <w:rPr>
          <w:rFonts w:ascii="Arial" w:hAnsi="Arial" w:cs="Arial"/>
          <w:iCs/>
        </w:rPr>
        <w:t xml:space="preserve">. sora szerinti </w:t>
      </w:r>
      <w:r w:rsidR="00EE07AF" w:rsidRPr="002840AB">
        <w:rPr>
          <w:rFonts w:ascii="Arial" w:hAnsi="Arial" w:cs="Arial"/>
          <w:iCs/>
        </w:rPr>
        <w:t>D01</w:t>
      </w:r>
      <w:r w:rsidR="00D66D24" w:rsidRPr="002840AB">
        <w:rPr>
          <w:rFonts w:ascii="Arial" w:hAnsi="Arial" w:cs="Arial"/>
          <w:iCs/>
        </w:rPr>
        <w:t xml:space="preserve"> MNB azonosító kódú adatszolgáltatás tekintetében az adatszolgáltat</w:t>
      </w:r>
      <w:r w:rsidR="00EE07AF" w:rsidRPr="002840AB">
        <w:rPr>
          <w:rFonts w:ascii="Arial" w:hAnsi="Arial" w:cs="Arial"/>
          <w:iCs/>
        </w:rPr>
        <w:t>ás határidejét</w:t>
      </w:r>
      <w:r w:rsidR="00D66D24" w:rsidRPr="002840AB">
        <w:rPr>
          <w:rFonts w:ascii="Arial" w:hAnsi="Arial" w:cs="Arial"/>
          <w:iCs/>
        </w:rPr>
        <w:t xml:space="preserve"> meghatározó mezőben a „</w:t>
      </w:r>
      <w:r w:rsidR="00EE07AF" w:rsidRPr="002840AB">
        <w:rPr>
          <w:rFonts w:ascii="Arial" w:hAnsi="Arial" w:cs="Arial"/>
          <w:iCs/>
        </w:rPr>
        <w:t>11:30</w:t>
      </w:r>
      <w:r w:rsidR="00D66D24" w:rsidRPr="002840AB">
        <w:rPr>
          <w:rFonts w:ascii="Arial" w:hAnsi="Arial" w:cs="Arial"/>
          <w:iCs/>
        </w:rPr>
        <w:t>” szövegrész helyébe a „</w:t>
      </w:r>
      <w:r w:rsidR="00BA5FD4" w:rsidRPr="002840AB">
        <w:rPr>
          <w:rFonts w:ascii="Arial" w:hAnsi="Arial" w:cs="Arial"/>
          <w:iCs/>
        </w:rPr>
        <w:t>12:00</w:t>
      </w:r>
      <w:r w:rsidR="00D66D24" w:rsidRPr="002840AB">
        <w:rPr>
          <w:rFonts w:ascii="Arial" w:hAnsi="Arial" w:cs="Arial"/>
          <w:iCs/>
        </w:rPr>
        <w:t>” szöveg,</w:t>
      </w:r>
    </w:p>
    <w:p w14:paraId="610ACF3E" w14:textId="32AD587E" w:rsidR="001F36ED" w:rsidRPr="002840AB" w:rsidRDefault="006200F4"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c</w:t>
      </w:r>
      <w:r w:rsidR="00D66D24" w:rsidRPr="002840AB">
        <w:rPr>
          <w:rFonts w:ascii="Arial" w:hAnsi="Arial" w:cs="Arial"/>
          <w:iCs/>
        </w:rPr>
        <w:t>)</w:t>
      </w:r>
      <w:r w:rsidR="00B6094C" w:rsidRPr="002840AB">
        <w:rPr>
          <w:rFonts w:ascii="Arial" w:hAnsi="Arial" w:cs="Arial"/>
          <w:iCs/>
        </w:rPr>
        <w:t xml:space="preserve"> </w:t>
      </w:r>
      <w:r w:rsidR="00E12647" w:rsidRPr="002840AB">
        <w:rPr>
          <w:rFonts w:ascii="Arial" w:hAnsi="Arial" w:cs="Arial"/>
          <w:iCs/>
        </w:rPr>
        <w:t xml:space="preserve">1. melléklet I. pontjában foglalt táblázat </w:t>
      </w:r>
      <w:r w:rsidR="001F36ED" w:rsidRPr="002840AB">
        <w:rPr>
          <w:rFonts w:ascii="Arial" w:hAnsi="Arial" w:cs="Arial"/>
          <w:iCs/>
        </w:rPr>
        <w:t>4. sora szerinti D02 MNB azonosító kódú adatszolgáltatás tekintetében az adatszolgáltatás határidejét meghatározó mezőben a „</w:t>
      </w:r>
      <w:r w:rsidR="000118E6" w:rsidRPr="002840AB">
        <w:rPr>
          <w:rFonts w:ascii="Arial" w:hAnsi="Arial" w:cs="Arial"/>
          <w:iCs/>
        </w:rPr>
        <w:t>munkanap</w:t>
      </w:r>
      <w:r w:rsidR="001F36ED" w:rsidRPr="002840AB">
        <w:rPr>
          <w:rFonts w:ascii="Arial" w:hAnsi="Arial" w:cs="Arial"/>
          <w:iCs/>
        </w:rPr>
        <w:t>” szövegrész helyébe a „</w:t>
      </w:r>
      <w:r w:rsidR="000118E6" w:rsidRPr="002840AB">
        <w:rPr>
          <w:rFonts w:ascii="Arial" w:hAnsi="Arial" w:cs="Arial"/>
          <w:iCs/>
        </w:rPr>
        <w:t>munkanap</w:t>
      </w:r>
      <w:r w:rsidR="00510401">
        <w:rPr>
          <w:rFonts w:ascii="Arial" w:hAnsi="Arial" w:cs="Arial"/>
          <w:iCs/>
        </w:rPr>
        <w:t xml:space="preserve"> </w:t>
      </w:r>
      <w:r w:rsidR="001F36ED" w:rsidRPr="002840AB">
        <w:rPr>
          <w:rFonts w:ascii="Arial" w:hAnsi="Arial" w:cs="Arial"/>
          <w:iCs/>
        </w:rPr>
        <w:t>12:00</w:t>
      </w:r>
      <w:r w:rsidR="000118E6" w:rsidRPr="002840AB">
        <w:rPr>
          <w:rFonts w:ascii="Arial" w:hAnsi="Arial" w:cs="Arial"/>
          <w:iCs/>
        </w:rPr>
        <w:t xml:space="preserve"> óra</w:t>
      </w:r>
      <w:r w:rsidR="001F36ED" w:rsidRPr="002840AB">
        <w:rPr>
          <w:rFonts w:ascii="Arial" w:hAnsi="Arial" w:cs="Arial"/>
          <w:iCs/>
        </w:rPr>
        <w:t>” szöveg,</w:t>
      </w:r>
    </w:p>
    <w:p w14:paraId="26286B95" w14:textId="2647FD63" w:rsidR="001F36ED" w:rsidRPr="002840AB" w:rsidRDefault="006200F4"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d</w:t>
      </w:r>
      <w:r w:rsidR="001F36ED" w:rsidRPr="002840AB">
        <w:rPr>
          <w:rFonts w:ascii="Arial" w:hAnsi="Arial" w:cs="Arial"/>
          <w:iCs/>
        </w:rPr>
        <w:t xml:space="preserve">) </w:t>
      </w:r>
      <w:r w:rsidR="00E12647" w:rsidRPr="002840AB">
        <w:rPr>
          <w:rFonts w:ascii="Arial" w:hAnsi="Arial" w:cs="Arial"/>
          <w:iCs/>
        </w:rPr>
        <w:t xml:space="preserve">1. melléklet I. pontjában foglalt táblázat </w:t>
      </w:r>
      <w:r w:rsidR="000118E6" w:rsidRPr="002840AB">
        <w:rPr>
          <w:rFonts w:ascii="Arial" w:hAnsi="Arial" w:cs="Arial"/>
          <w:iCs/>
        </w:rPr>
        <w:t>46</w:t>
      </w:r>
      <w:r w:rsidR="001F36ED" w:rsidRPr="002840AB">
        <w:rPr>
          <w:rFonts w:ascii="Arial" w:hAnsi="Arial" w:cs="Arial"/>
          <w:iCs/>
        </w:rPr>
        <w:t xml:space="preserve">. sora szerinti </w:t>
      </w:r>
      <w:r w:rsidR="000118E6" w:rsidRPr="002840AB">
        <w:rPr>
          <w:rFonts w:ascii="Arial" w:hAnsi="Arial" w:cs="Arial"/>
          <w:iCs/>
        </w:rPr>
        <w:t>K14</w:t>
      </w:r>
      <w:r w:rsidR="001F36ED" w:rsidRPr="002840AB">
        <w:rPr>
          <w:rFonts w:ascii="Arial" w:hAnsi="Arial" w:cs="Arial"/>
          <w:iCs/>
        </w:rPr>
        <w:t xml:space="preserve"> MNB azonosító kódú adatszolgáltatás tekintetében az adatszolgáltatás határidejét meghatározó mezőben a „11:30” szövegrész helyébe a „12:00” szöveg</w:t>
      </w:r>
      <w:r w:rsidR="002F69F6" w:rsidRPr="002840AB">
        <w:rPr>
          <w:rFonts w:ascii="Arial" w:hAnsi="Arial" w:cs="Arial"/>
          <w:iCs/>
        </w:rPr>
        <w:t>,</w:t>
      </w:r>
    </w:p>
    <w:p w14:paraId="32D08F5D" w14:textId="77164065" w:rsidR="00797661" w:rsidRPr="002840AB" w:rsidRDefault="00506DD2"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e) 2. melléklet I. B. 3</w:t>
      </w:r>
      <w:r w:rsidR="007A2CAB" w:rsidRPr="002840AB">
        <w:rPr>
          <w:rFonts w:ascii="Arial" w:hAnsi="Arial" w:cs="Arial"/>
          <w:iCs/>
        </w:rPr>
        <w:t>. pont 3.2., 3.5. és 3.6. alpontjában az „L74</w:t>
      </w:r>
      <w:r w:rsidR="0072226A" w:rsidRPr="002840AB">
        <w:rPr>
          <w:rFonts w:ascii="Arial" w:hAnsi="Arial" w:cs="Arial"/>
          <w:iCs/>
        </w:rPr>
        <w:t xml:space="preserve"> és P56” szövegrész</w:t>
      </w:r>
      <w:r w:rsidR="002804FC">
        <w:rPr>
          <w:rFonts w:ascii="Arial" w:hAnsi="Arial" w:cs="Arial"/>
          <w:iCs/>
        </w:rPr>
        <w:t>ek</w:t>
      </w:r>
      <w:r w:rsidR="0072226A" w:rsidRPr="002840AB">
        <w:rPr>
          <w:rFonts w:ascii="Arial" w:hAnsi="Arial" w:cs="Arial"/>
          <w:iCs/>
        </w:rPr>
        <w:t xml:space="preserve"> helyébe az </w:t>
      </w:r>
      <w:r w:rsidR="002804FC">
        <w:rPr>
          <w:rFonts w:ascii="Arial" w:hAnsi="Arial" w:cs="Arial"/>
          <w:iCs/>
        </w:rPr>
        <w:t>„</w:t>
      </w:r>
      <w:r w:rsidR="0072226A" w:rsidRPr="002840AB">
        <w:rPr>
          <w:rFonts w:ascii="Arial" w:hAnsi="Arial" w:cs="Arial"/>
          <w:iCs/>
        </w:rPr>
        <w:t xml:space="preserve">L74, P56, P67, P68, </w:t>
      </w:r>
      <w:r w:rsidR="00980F17">
        <w:rPr>
          <w:rFonts w:ascii="Arial" w:hAnsi="Arial" w:cs="Arial"/>
          <w:iCs/>
        </w:rPr>
        <w:t xml:space="preserve">P69, </w:t>
      </w:r>
      <w:r w:rsidR="0072226A" w:rsidRPr="002840AB">
        <w:rPr>
          <w:rFonts w:ascii="Arial" w:hAnsi="Arial" w:cs="Arial"/>
          <w:iCs/>
        </w:rPr>
        <w:t>W08” szöveg,</w:t>
      </w:r>
    </w:p>
    <w:p w14:paraId="014C0005" w14:textId="691E216C" w:rsidR="00506DD2" w:rsidRPr="002840AB" w:rsidRDefault="00506DD2"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lastRenderedPageBreak/>
        <w:t>f)</w:t>
      </w:r>
      <w:r w:rsidR="00190A28" w:rsidRPr="002840AB">
        <w:rPr>
          <w:rFonts w:ascii="Arial" w:hAnsi="Arial" w:cs="Arial"/>
          <w:iCs/>
        </w:rPr>
        <w:t xml:space="preserve"> 2. melléklet I. E. 7. pontjában</w:t>
      </w:r>
      <w:r w:rsidR="004A7AF4" w:rsidRPr="002840AB">
        <w:rPr>
          <w:rFonts w:ascii="Arial" w:hAnsi="Arial" w:cs="Arial"/>
          <w:iCs/>
        </w:rPr>
        <w:t xml:space="preserve"> az „adatszolgáltatások a megelőző nap” szövegrész helyébe a „</w:t>
      </w:r>
      <w:r w:rsidR="004A7AF4" w:rsidRPr="002840AB">
        <w:rPr>
          <w:rFonts w:ascii="Arial" w:hAnsi="Arial" w:cs="Arial"/>
        </w:rPr>
        <w:t>D01, D02 és K14 MNB azonosító kódú adatszolgáltatás a következő – nem bankszünnap – munkanap 12 óráig, a</w:t>
      </w:r>
      <w:r w:rsidR="00C865E9" w:rsidRPr="002840AB">
        <w:rPr>
          <w:rFonts w:ascii="Arial" w:hAnsi="Arial" w:cs="Arial"/>
        </w:rPr>
        <w:t>z egyéb</w:t>
      </w:r>
      <w:r w:rsidR="004A7AF4" w:rsidRPr="002840AB">
        <w:rPr>
          <w:rFonts w:ascii="Arial" w:hAnsi="Arial" w:cs="Arial"/>
        </w:rPr>
        <w:t xml:space="preserve"> napi adatszolgáltatás</w:t>
      </w:r>
      <w:r w:rsidR="00C05018" w:rsidRPr="002840AB">
        <w:rPr>
          <w:rFonts w:ascii="Arial" w:hAnsi="Arial" w:cs="Arial"/>
        </w:rPr>
        <w:t>ok</w:t>
      </w:r>
      <w:r w:rsidR="004A7AF4" w:rsidRPr="002840AB">
        <w:rPr>
          <w:rFonts w:ascii="Arial" w:hAnsi="Arial" w:cs="Arial"/>
        </w:rPr>
        <w:t xml:space="preserve"> a megelőző munkanap</w:t>
      </w:r>
      <w:r w:rsidR="00416421" w:rsidRPr="002840AB">
        <w:rPr>
          <w:rFonts w:ascii="Arial" w:hAnsi="Arial" w:cs="Arial"/>
        </w:rPr>
        <w:t>” szöveg,</w:t>
      </w:r>
    </w:p>
    <w:p w14:paraId="25D1AB78" w14:textId="1A3D40B4" w:rsidR="002F69F6" w:rsidRPr="002840AB" w:rsidRDefault="00506DD2" w:rsidP="005B0757">
      <w:pPr>
        <w:autoSpaceDE w:val="0"/>
        <w:autoSpaceDN w:val="0"/>
        <w:adjustRightInd w:val="0"/>
        <w:spacing w:after="0" w:line="240" w:lineRule="auto"/>
        <w:ind w:right="26" w:firstLine="142"/>
        <w:rPr>
          <w:rFonts w:ascii="Arial" w:hAnsi="Arial" w:cs="Arial"/>
          <w:iCs/>
        </w:rPr>
      </w:pPr>
      <w:r w:rsidRPr="002840AB">
        <w:rPr>
          <w:rFonts w:ascii="Arial" w:hAnsi="Arial" w:cs="Arial"/>
          <w:iCs/>
        </w:rPr>
        <w:t>g</w:t>
      </w:r>
      <w:r w:rsidR="002F69F6" w:rsidRPr="002840AB">
        <w:rPr>
          <w:rFonts w:ascii="Arial" w:hAnsi="Arial" w:cs="Arial"/>
          <w:iCs/>
        </w:rPr>
        <w:t>) 2. melléklet II. pontjában az AL8 MNB azonosító kódú adatszolgáltatás táblája címében az</w:t>
      </w:r>
      <w:r w:rsidR="00222594" w:rsidRPr="002840AB">
        <w:rPr>
          <w:rFonts w:ascii="Arial" w:hAnsi="Arial" w:cs="Arial"/>
          <w:iCs/>
        </w:rPr>
        <w:t xml:space="preserve"> „</w:t>
      </w:r>
      <w:proofErr w:type="spellStart"/>
      <w:r w:rsidR="0034002C" w:rsidRPr="002840AB">
        <w:rPr>
          <w:rFonts w:ascii="Arial" w:hAnsi="Arial" w:cs="Arial"/>
          <w:iCs/>
        </w:rPr>
        <w:t>NHP</w:t>
      </w:r>
      <w:proofErr w:type="spellEnd"/>
      <w:r w:rsidR="0034002C" w:rsidRPr="002840AB">
        <w:rPr>
          <w:rFonts w:ascii="Arial" w:hAnsi="Arial" w:cs="Arial"/>
          <w:iCs/>
        </w:rPr>
        <w:t xml:space="preserve"> és az</w:t>
      </w:r>
      <w:r w:rsidR="00222594" w:rsidRPr="002840AB">
        <w:rPr>
          <w:rFonts w:ascii="Arial" w:hAnsi="Arial" w:cs="Arial"/>
          <w:iCs/>
        </w:rPr>
        <w:t xml:space="preserve"> </w:t>
      </w:r>
      <w:proofErr w:type="spellStart"/>
      <w:r w:rsidR="00222594" w:rsidRPr="002840AB">
        <w:rPr>
          <w:rFonts w:ascii="Arial" w:hAnsi="Arial" w:cs="Arial"/>
          <w:iCs/>
        </w:rPr>
        <w:t>NHP</w:t>
      </w:r>
      <w:proofErr w:type="spellEnd"/>
      <w:r w:rsidR="00222594" w:rsidRPr="002840AB">
        <w:rPr>
          <w:rFonts w:ascii="Arial" w:hAnsi="Arial" w:cs="Arial"/>
          <w:iCs/>
        </w:rPr>
        <w:t>+” szövegrész helyébe az „</w:t>
      </w:r>
      <w:proofErr w:type="spellStart"/>
      <w:r w:rsidR="0034002C" w:rsidRPr="002840AB">
        <w:rPr>
          <w:rFonts w:ascii="Arial" w:hAnsi="Arial" w:cs="Arial"/>
          <w:iCs/>
        </w:rPr>
        <w:t>NHP</w:t>
      </w:r>
      <w:proofErr w:type="spellEnd"/>
      <w:r w:rsidR="0034002C" w:rsidRPr="002840AB">
        <w:rPr>
          <w:rFonts w:ascii="Arial" w:hAnsi="Arial" w:cs="Arial"/>
          <w:iCs/>
        </w:rPr>
        <w:t xml:space="preserve">, az </w:t>
      </w:r>
      <w:proofErr w:type="spellStart"/>
      <w:r w:rsidR="00222594" w:rsidRPr="002840AB">
        <w:rPr>
          <w:rFonts w:ascii="Arial" w:hAnsi="Arial" w:cs="Arial"/>
          <w:iCs/>
        </w:rPr>
        <w:t>NHP</w:t>
      </w:r>
      <w:proofErr w:type="spellEnd"/>
      <w:r w:rsidR="00222594" w:rsidRPr="002840AB">
        <w:rPr>
          <w:rFonts w:ascii="Arial" w:hAnsi="Arial" w:cs="Arial"/>
          <w:iCs/>
        </w:rPr>
        <w:t xml:space="preserve">+ és az </w:t>
      </w:r>
      <w:proofErr w:type="spellStart"/>
      <w:r w:rsidR="00222594" w:rsidRPr="002840AB">
        <w:rPr>
          <w:rFonts w:ascii="Arial" w:hAnsi="Arial" w:cs="Arial"/>
          <w:iCs/>
        </w:rPr>
        <w:t>NHP</w:t>
      </w:r>
      <w:proofErr w:type="spellEnd"/>
      <w:r w:rsidR="00222594" w:rsidRPr="002840AB">
        <w:rPr>
          <w:rFonts w:ascii="Arial" w:hAnsi="Arial" w:cs="Arial"/>
          <w:iCs/>
        </w:rPr>
        <w:t xml:space="preserve"> </w:t>
      </w:r>
      <w:r w:rsidR="00222594" w:rsidRPr="002840AB">
        <w:rPr>
          <w:rFonts w:ascii="Arial" w:hAnsi="Arial" w:cs="Arial"/>
          <w:i/>
          <w:iCs/>
        </w:rPr>
        <w:t>fix</w:t>
      </w:r>
      <w:r w:rsidR="00222594" w:rsidRPr="002840AB">
        <w:rPr>
          <w:rFonts w:ascii="Arial" w:hAnsi="Arial" w:cs="Arial"/>
          <w:iCs/>
        </w:rPr>
        <w:t>” szöveg</w:t>
      </w:r>
    </w:p>
    <w:p w14:paraId="4AF8E17A" w14:textId="77777777" w:rsidR="00712EDD" w:rsidRPr="002840AB" w:rsidRDefault="00DC5DFB" w:rsidP="005B0757">
      <w:pPr>
        <w:autoSpaceDE w:val="0"/>
        <w:autoSpaceDN w:val="0"/>
        <w:adjustRightInd w:val="0"/>
        <w:spacing w:after="0" w:line="240" w:lineRule="auto"/>
        <w:ind w:right="26" w:firstLine="142"/>
        <w:rPr>
          <w:rFonts w:ascii="Arial" w:hAnsi="Arial" w:cs="Arial"/>
        </w:rPr>
      </w:pPr>
      <w:r w:rsidRPr="002840AB">
        <w:rPr>
          <w:rFonts w:ascii="Arial" w:hAnsi="Arial" w:cs="Arial"/>
        </w:rPr>
        <w:t>lép.</w:t>
      </w:r>
      <w:r w:rsidR="00C55C92" w:rsidRPr="002840AB">
        <w:rPr>
          <w:rFonts w:ascii="Arial" w:hAnsi="Arial" w:cs="Arial"/>
        </w:rPr>
        <w:t xml:space="preserve"> </w:t>
      </w:r>
    </w:p>
    <w:p w14:paraId="576C6381" w14:textId="77777777" w:rsidR="004F7B29" w:rsidRPr="002840AB" w:rsidRDefault="004F7B29" w:rsidP="004F7B29">
      <w:pPr>
        <w:autoSpaceDE w:val="0"/>
        <w:autoSpaceDN w:val="0"/>
        <w:adjustRightInd w:val="0"/>
        <w:spacing w:after="0" w:line="240" w:lineRule="auto"/>
        <w:ind w:right="26" w:firstLine="142"/>
        <w:rPr>
          <w:rFonts w:ascii="Arial" w:hAnsi="Arial" w:cs="Arial"/>
          <w:b/>
          <w:bCs/>
        </w:rPr>
      </w:pPr>
    </w:p>
    <w:p w14:paraId="0AF6EB9C" w14:textId="66189080" w:rsidR="004504B2" w:rsidRPr="002840AB" w:rsidRDefault="007514B5" w:rsidP="005B0757">
      <w:pPr>
        <w:autoSpaceDE w:val="0"/>
        <w:autoSpaceDN w:val="0"/>
        <w:adjustRightInd w:val="0"/>
        <w:spacing w:after="0" w:line="240" w:lineRule="auto"/>
        <w:ind w:right="26" w:firstLine="142"/>
        <w:rPr>
          <w:rFonts w:ascii="Arial" w:hAnsi="Arial" w:cs="Arial"/>
        </w:rPr>
      </w:pPr>
      <w:r w:rsidRPr="002840AB">
        <w:rPr>
          <w:rFonts w:ascii="Arial" w:hAnsi="Arial" w:cs="Arial"/>
          <w:b/>
          <w:bCs/>
        </w:rPr>
        <w:t>3</w:t>
      </w:r>
      <w:r w:rsidR="004504B2" w:rsidRPr="002840AB">
        <w:rPr>
          <w:rFonts w:ascii="Arial" w:hAnsi="Arial" w:cs="Arial"/>
          <w:b/>
          <w:bCs/>
        </w:rPr>
        <w:t xml:space="preserve">. § </w:t>
      </w:r>
      <w:r w:rsidR="0056495F" w:rsidRPr="002840AB">
        <w:rPr>
          <w:rFonts w:ascii="Arial" w:hAnsi="Arial" w:cs="Arial"/>
          <w:bCs/>
        </w:rPr>
        <w:t>(1)</w:t>
      </w:r>
      <w:r w:rsidR="0056495F" w:rsidRPr="002840AB">
        <w:rPr>
          <w:rFonts w:ascii="Arial" w:hAnsi="Arial" w:cs="Arial"/>
          <w:b/>
          <w:bCs/>
        </w:rPr>
        <w:t xml:space="preserve"> </w:t>
      </w:r>
      <w:r w:rsidR="004504B2" w:rsidRPr="002840AB">
        <w:rPr>
          <w:rFonts w:ascii="Arial" w:hAnsi="Arial" w:cs="Arial"/>
        </w:rPr>
        <w:t>Ez a rendelet</w:t>
      </w:r>
      <w:r w:rsidR="000B09B2" w:rsidRPr="002840AB">
        <w:rPr>
          <w:rFonts w:ascii="Arial" w:hAnsi="Arial" w:cs="Arial"/>
        </w:rPr>
        <w:t xml:space="preserve"> </w:t>
      </w:r>
      <w:r w:rsidRPr="002840AB">
        <w:rPr>
          <w:rFonts w:ascii="Arial" w:hAnsi="Arial" w:cs="Arial"/>
        </w:rPr>
        <w:t>– a (2) és (3) bekezdésben foglaltak kivételével – a kihirdetését követő napon</w:t>
      </w:r>
      <w:r w:rsidR="00DC4428" w:rsidRPr="002840AB">
        <w:rPr>
          <w:rFonts w:ascii="Arial" w:hAnsi="Arial" w:cs="Arial"/>
        </w:rPr>
        <w:t xml:space="preserve"> lép hatályba.</w:t>
      </w:r>
    </w:p>
    <w:p w14:paraId="497822EA" w14:textId="5EE3B824" w:rsidR="0072015F" w:rsidRPr="002840AB" w:rsidRDefault="0072015F" w:rsidP="005B0757">
      <w:pPr>
        <w:autoSpaceDE w:val="0"/>
        <w:autoSpaceDN w:val="0"/>
        <w:adjustRightInd w:val="0"/>
        <w:spacing w:after="0" w:line="240" w:lineRule="auto"/>
        <w:ind w:right="26" w:firstLine="142"/>
        <w:rPr>
          <w:rFonts w:ascii="Arial" w:hAnsi="Arial" w:cs="Arial"/>
        </w:rPr>
      </w:pPr>
      <w:r w:rsidRPr="002840AB">
        <w:rPr>
          <w:rFonts w:ascii="Arial" w:hAnsi="Arial" w:cs="Arial"/>
        </w:rPr>
        <w:t>(2) Az 1. § (</w:t>
      </w:r>
      <w:r w:rsidR="00521248" w:rsidRPr="002840AB">
        <w:rPr>
          <w:rFonts w:ascii="Arial" w:hAnsi="Arial" w:cs="Arial"/>
        </w:rPr>
        <w:t>2</w:t>
      </w:r>
      <w:r w:rsidRPr="002840AB">
        <w:rPr>
          <w:rFonts w:ascii="Arial" w:hAnsi="Arial" w:cs="Arial"/>
        </w:rPr>
        <w:t xml:space="preserve">) bekezdése és </w:t>
      </w:r>
      <w:r w:rsidR="00521248" w:rsidRPr="002840AB">
        <w:rPr>
          <w:rFonts w:ascii="Arial" w:hAnsi="Arial" w:cs="Arial"/>
        </w:rPr>
        <w:t xml:space="preserve">(3) bekezdés </w:t>
      </w:r>
      <w:proofErr w:type="gramStart"/>
      <w:r w:rsidR="00521248" w:rsidRPr="002840AB">
        <w:rPr>
          <w:rFonts w:ascii="Arial" w:hAnsi="Arial" w:cs="Arial"/>
        </w:rPr>
        <w:t>a)-</w:t>
      </w:r>
      <w:proofErr w:type="gramEnd"/>
      <w:r w:rsidR="00521248" w:rsidRPr="002840AB">
        <w:rPr>
          <w:rFonts w:ascii="Arial" w:hAnsi="Arial" w:cs="Arial"/>
        </w:rPr>
        <w:t xml:space="preserve">c) pontja, </w:t>
      </w:r>
      <w:r w:rsidRPr="002840AB">
        <w:rPr>
          <w:rFonts w:ascii="Arial" w:hAnsi="Arial" w:cs="Arial"/>
        </w:rPr>
        <w:t>a 2. § (</w:t>
      </w:r>
      <w:r w:rsidR="003356F4" w:rsidRPr="002840AB">
        <w:rPr>
          <w:rFonts w:ascii="Arial" w:hAnsi="Arial" w:cs="Arial"/>
        </w:rPr>
        <w:t>3</w:t>
      </w:r>
      <w:r w:rsidRPr="002840AB">
        <w:rPr>
          <w:rFonts w:ascii="Arial" w:hAnsi="Arial" w:cs="Arial"/>
        </w:rPr>
        <w:t>) bekezdés</w:t>
      </w:r>
      <w:r w:rsidR="003356F4" w:rsidRPr="002840AB">
        <w:rPr>
          <w:rFonts w:ascii="Arial" w:hAnsi="Arial" w:cs="Arial"/>
        </w:rPr>
        <w:t xml:space="preserve"> </w:t>
      </w:r>
      <w:r w:rsidR="006969A5">
        <w:rPr>
          <w:rFonts w:ascii="Arial" w:hAnsi="Arial" w:cs="Arial"/>
        </w:rPr>
        <w:t>b</w:t>
      </w:r>
      <w:r w:rsidR="00FF333A" w:rsidRPr="002840AB">
        <w:rPr>
          <w:rFonts w:ascii="Arial" w:hAnsi="Arial" w:cs="Arial"/>
        </w:rPr>
        <w:t>)</w:t>
      </w:r>
      <w:r w:rsidR="006969A5">
        <w:rPr>
          <w:rFonts w:ascii="Arial" w:hAnsi="Arial" w:cs="Arial"/>
        </w:rPr>
        <w:t>-d)</w:t>
      </w:r>
      <w:r w:rsidR="00424892">
        <w:rPr>
          <w:rFonts w:ascii="Arial" w:hAnsi="Arial" w:cs="Arial"/>
        </w:rPr>
        <w:t xml:space="preserve"> és f)</w:t>
      </w:r>
      <w:r w:rsidR="00FF333A" w:rsidRPr="002840AB">
        <w:rPr>
          <w:rFonts w:ascii="Arial" w:hAnsi="Arial" w:cs="Arial"/>
        </w:rPr>
        <w:t xml:space="preserve"> pontja</w:t>
      </w:r>
      <w:r w:rsidR="00521248" w:rsidRPr="002840AB">
        <w:rPr>
          <w:rFonts w:ascii="Arial" w:hAnsi="Arial" w:cs="Arial"/>
        </w:rPr>
        <w:t xml:space="preserve">, </w:t>
      </w:r>
      <w:r w:rsidR="00722449">
        <w:rPr>
          <w:rFonts w:ascii="Arial" w:hAnsi="Arial" w:cs="Arial"/>
        </w:rPr>
        <w:t>a 3. melléklet 2. pontja</w:t>
      </w:r>
      <w:r w:rsidR="00DE0F89">
        <w:rPr>
          <w:rFonts w:ascii="Arial" w:hAnsi="Arial" w:cs="Arial"/>
        </w:rPr>
        <w:t xml:space="preserve">, </w:t>
      </w:r>
      <w:r w:rsidR="00521248" w:rsidRPr="002840AB">
        <w:rPr>
          <w:rFonts w:ascii="Arial" w:hAnsi="Arial" w:cs="Arial"/>
        </w:rPr>
        <w:t>valamint a</w:t>
      </w:r>
      <w:r w:rsidR="003B59D4" w:rsidRPr="002840AB">
        <w:rPr>
          <w:rFonts w:ascii="Arial" w:hAnsi="Arial" w:cs="Arial"/>
        </w:rPr>
        <w:t xml:space="preserve"> 4. melléklet </w:t>
      </w:r>
      <w:r w:rsidR="006969A5">
        <w:rPr>
          <w:rFonts w:ascii="Arial" w:hAnsi="Arial" w:cs="Arial"/>
        </w:rPr>
        <w:t>2., 3.</w:t>
      </w:r>
      <w:r w:rsidR="001572AB">
        <w:rPr>
          <w:rFonts w:ascii="Arial" w:hAnsi="Arial" w:cs="Arial"/>
        </w:rPr>
        <w:t>, 5.</w:t>
      </w:r>
      <w:r w:rsidR="006969A5">
        <w:rPr>
          <w:rFonts w:ascii="Arial" w:hAnsi="Arial" w:cs="Arial"/>
        </w:rPr>
        <w:t xml:space="preserve"> és </w:t>
      </w:r>
      <w:r w:rsidR="00DE0F89">
        <w:rPr>
          <w:rFonts w:ascii="Arial" w:hAnsi="Arial" w:cs="Arial"/>
        </w:rPr>
        <w:t>7.</w:t>
      </w:r>
      <w:r w:rsidR="003B59D4" w:rsidRPr="002840AB">
        <w:rPr>
          <w:rFonts w:ascii="Arial" w:hAnsi="Arial" w:cs="Arial"/>
        </w:rPr>
        <w:t xml:space="preserve"> pontja</w:t>
      </w:r>
      <w:r w:rsidRPr="002840AB">
        <w:rPr>
          <w:rFonts w:ascii="Arial" w:hAnsi="Arial" w:cs="Arial"/>
        </w:rPr>
        <w:t xml:space="preserve"> 201</w:t>
      </w:r>
      <w:r w:rsidR="002020E4" w:rsidRPr="002840AB">
        <w:rPr>
          <w:rFonts w:ascii="Arial" w:hAnsi="Arial" w:cs="Arial"/>
        </w:rPr>
        <w:t>9. július 1-jén lép hatályba.</w:t>
      </w:r>
    </w:p>
    <w:p w14:paraId="52768573" w14:textId="7782511C" w:rsidR="002020E4" w:rsidRDefault="002020E4" w:rsidP="005B0757">
      <w:pPr>
        <w:autoSpaceDE w:val="0"/>
        <w:autoSpaceDN w:val="0"/>
        <w:adjustRightInd w:val="0"/>
        <w:spacing w:after="0" w:line="240" w:lineRule="auto"/>
        <w:ind w:right="26" w:firstLine="142"/>
        <w:rPr>
          <w:rFonts w:ascii="Arial" w:hAnsi="Arial" w:cs="Arial"/>
        </w:rPr>
      </w:pPr>
      <w:r w:rsidRPr="002840AB">
        <w:rPr>
          <w:rFonts w:ascii="Arial" w:hAnsi="Arial" w:cs="Arial"/>
        </w:rPr>
        <w:t xml:space="preserve">(3) A </w:t>
      </w:r>
      <w:r w:rsidR="003450FB" w:rsidRPr="002840AB">
        <w:rPr>
          <w:rFonts w:ascii="Arial" w:hAnsi="Arial" w:cs="Arial"/>
        </w:rPr>
        <w:t>4</w:t>
      </w:r>
      <w:r w:rsidRPr="002840AB">
        <w:rPr>
          <w:rFonts w:ascii="Arial" w:hAnsi="Arial" w:cs="Arial"/>
        </w:rPr>
        <w:t xml:space="preserve">. melléklet </w:t>
      </w:r>
      <w:r w:rsidR="000926F9" w:rsidRPr="002840AB">
        <w:rPr>
          <w:rFonts w:ascii="Arial" w:hAnsi="Arial" w:cs="Arial"/>
        </w:rPr>
        <w:t>4</w:t>
      </w:r>
      <w:r w:rsidRPr="002840AB">
        <w:rPr>
          <w:rFonts w:ascii="Arial" w:hAnsi="Arial" w:cs="Arial"/>
        </w:rPr>
        <w:t xml:space="preserve">. pontja </w:t>
      </w:r>
      <w:r w:rsidR="005330AB" w:rsidRPr="002840AB">
        <w:rPr>
          <w:rFonts w:ascii="Arial" w:hAnsi="Arial" w:cs="Arial"/>
        </w:rPr>
        <w:t>2019. október 1-jén lép hatályba.</w:t>
      </w:r>
    </w:p>
    <w:p w14:paraId="582FCCB4" w14:textId="77777777" w:rsidR="00E512A3" w:rsidRPr="00E512A3" w:rsidRDefault="00E512A3" w:rsidP="00E512A3">
      <w:pPr>
        <w:autoSpaceDE w:val="0"/>
        <w:autoSpaceDN w:val="0"/>
        <w:adjustRightInd w:val="0"/>
        <w:spacing w:after="0"/>
        <w:ind w:firstLine="142"/>
        <w:jc w:val="center"/>
        <w:rPr>
          <w:rFonts w:ascii="Arial" w:eastAsia="Times New Roman" w:hAnsi="Arial" w:cs="Arial"/>
          <w:bCs/>
        </w:rPr>
      </w:pPr>
    </w:p>
    <w:p w14:paraId="3CCCF453" w14:textId="77777777" w:rsidR="00E512A3" w:rsidRPr="00E512A3" w:rsidRDefault="00E512A3" w:rsidP="00E512A3">
      <w:pPr>
        <w:autoSpaceDE w:val="0"/>
        <w:autoSpaceDN w:val="0"/>
        <w:adjustRightInd w:val="0"/>
        <w:spacing w:after="0"/>
        <w:ind w:firstLine="142"/>
        <w:jc w:val="center"/>
        <w:rPr>
          <w:rFonts w:ascii="Arial" w:eastAsia="Times New Roman" w:hAnsi="Arial" w:cs="Arial"/>
          <w:bCs/>
        </w:rPr>
      </w:pPr>
    </w:p>
    <w:p w14:paraId="1DC5F350" w14:textId="77777777" w:rsidR="00E512A3" w:rsidRPr="00E512A3" w:rsidRDefault="00E512A3" w:rsidP="00E512A3">
      <w:pPr>
        <w:autoSpaceDE w:val="0"/>
        <w:autoSpaceDN w:val="0"/>
        <w:adjustRightInd w:val="0"/>
        <w:spacing w:after="0"/>
        <w:ind w:firstLine="142"/>
        <w:jc w:val="center"/>
        <w:rPr>
          <w:rFonts w:ascii="Arial" w:eastAsia="Times New Roman" w:hAnsi="Arial" w:cs="Arial"/>
          <w:bCs/>
        </w:rPr>
      </w:pPr>
    </w:p>
    <w:p w14:paraId="4E1411C3" w14:textId="77777777" w:rsidR="00E512A3" w:rsidRPr="00E512A3" w:rsidRDefault="00E512A3" w:rsidP="00E512A3">
      <w:pPr>
        <w:autoSpaceDE w:val="0"/>
        <w:autoSpaceDN w:val="0"/>
        <w:adjustRightInd w:val="0"/>
        <w:spacing w:after="0"/>
        <w:ind w:firstLine="142"/>
        <w:jc w:val="center"/>
        <w:rPr>
          <w:rFonts w:ascii="Arial" w:eastAsia="Times New Roman" w:hAnsi="Arial" w:cs="Arial"/>
          <w:bCs/>
        </w:rPr>
      </w:pPr>
    </w:p>
    <w:p w14:paraId="72FA4D8A" w14:textId="77777777" w:rsidR="00E512A3" w:rsidRPr="00E512A3" w:rsidRDefault="00E512A3" w:rsidP="00E512A3">
      <w:pPr>
        <w:autoSpaceDE w:val="0"/>
        <w:autoSpaceDN w:val="0"/>
        <w:adjustRightInd w:val="0"/>
        <w:spacing w:after="0"/>
        <w:ind w:firstLine="142"/>
        <w:jc w:val="center"/>
        <w:rPr>
          <w:rFonts w:ascii="Arial" w:eastAsia="Times New Roman" w:hAnsi="Arial" w:cs="Arial"/>
          <w:bCs/>
        </w:rPr>
      </w:pPr>
    </w:p>
    <w:p w14:paraId="077D8FF6" w14:textId="45CC5EB5" w:rsidR="00E512A3" w:rsidRPr="00E512A3" w:rsidRDefault="00E512A3" w:rsidP="00E512A3">
      <w:pPr>
        <w:autoSpaceDE w:val="0"/>
        <w:autoSpaceDN w:val="0"/>
        <w:adjustRightInd w:val="0"/>
        <w:spacing w:after="0"/>
        <w:ind w:firstLine="142"/>
        <w:jc w:val="center"/>
        <w:rPr>
          <w:rFonts w:ascii="Arial" w:eastAsia="Times New Roman" w:hAnsi="Arial" w:cs="Arial"/>
          <w:bCs/>
        </w:rPr>
      </w:pPr>
      <w:r w:rsidRPr="00E512A3">
        <w:rPr>
          <w:rFonts w:ascii="Arial" w:eastAsia="Times New Roman" w:hAnsi="Arial" w:cs="Arial"/>
          <w:bCs/>
        </w:rPr>
        <w:t>Dr. Matolcsy György</w:t>
      </w:r>
      <w:r w:rsidR="00FA752D">
        <w:rPr>
          <w:rFonts w:ascii="Arial" w:eastAsia="Times New Roman" w:hAnsi="Arial" w:cs="Arial"/>
          <w:bCs/>
        </w:rPr>
        <w:t xml:space="preserve"> s.k.</w:t>
      </w:r>
    </w:p>
    <w:p w14:paraId="6E0BDD25" w14:textId="4F9BF79E" w:rsidR="00E512A3" w:rsidRPr="002840AB" w:rsidRDefault="00E512A3" w:rsidP="006D688D">
      <w:pPr>
        <w:autoSpaceDE w:val="0"/>
        <w:autoSpaceDN w:val="0"/>
        <w:adjustRightInd w:val="0"/>
        <w:spacing w:after="0"/>
        <w:ind w:firstLine="142"/>
        <w:jc w:val="center"/>
        <w:rPr>
          <w:rFonts w:ascii="Arial" w:hAnsi="Arial" w:cs="Arial"/>
        </w:rPr>
      </w:pPr>
      <w:r w:rsidRPr="00E512A3">
        <w:rPr>
          <w:rFonts w:ascii="Arial" w:eastAsia="Times New Roman" w:hAnsi="Arial" w:cs="Arial"/>
          <w:bCs/>
        </w:rPr>
        <w:t>a Magyar Nemzeti Bank elnöke</w:t>
      </w:r>
    </w:p>
    <w:p w14:paraId="207A3D2E" w14:textId="77777777" w:rsidR="00B81318" w:rsidRDefault="00B81318">
      <w:pPr>
        <w:spacing w:after="0" w:line="240" w:lineRule="auto"/>
        <w:jc w:val="left"/>
        <w:rPr>
          <w:rFonts w:ascii="Arial" w:hAnsi="Arial" w:cs="Arial"/>
          <w:iCs/>
        </w:rPr>
      </w:pPr>
    </w:p>
    <w:p w14:paraId="549CF581" w14:textId="77777777" w:rsidR="003A0A5E" w:rsidRDefault="003A0A5E">
      <w:pPr>
        <w:spacing w:after="0" w:line="240" w:lineRule="auto"/>
        <w:jc w:val="left"/>
        <w:rPr>
          <w:rFonts w:ascii="Arial" w:hAnsi="Arial" w:cs="Arial"/>
          <w:iCs/>
        </w:rPr>
      </w:pPr>
      <w:r>
        <w:rPr>
          <w:rFonts w:ascii="Arial" w:hAnsi="Arial" w:cs="Arial"/>
          <w:iCs/>
        </w:rPr>
        <w:br w:type="page"/>
      </w:r>
    </w:p>
    <w:p w14:paraId="6CDC3A5E" w14:textId="7A808AF5" w:rsidR="00BA5D7A" w:rsidRPr="002840AB" w:rsidRDefault="00995610" w:rsidP="00B81318">
      <w:pPr>
        <w:spacing w:after="0" w:line="240" w:lineRule="auto"/>
        <w:jc w:val="left"/>
        <w:rPr>
          <w:rFonts w:ascii="Arial" w:hAnsi="Arial" w:cs="Arial"/>
          <w:iCs/>
        </w:rPr>
      </w:pPr>
      <w:r w:rsidRPr="002840AB">
        <w:rPr>
          <w:rFonts w:ascii="Arial" w:hAnsi="Arial" w:cs="Arial"/>
          <w:iCs/>
        </w:rPr>
        <w:lastRenderedPageBreak/>
        <w:t>1</w:t>
      </w:r>
      <w:r w:rsidR="00BA5D7A" w:rsidRPr="002840AB">
        <w:rPr>
          <w:rFonts w:ascii="Arial" w:hAnsi="Arial" w:cs="Arial"/>
          <w:iCs/>
        </w:rPr>
        <w:t xml:space="preserve">. melléklet a </w:t>
      </w:r>
      <w:r w:rsidR="004D5B64">
        <w:rPr>
          <w:rFonts w:ascii="Arial" w:hAnsi="Arial" w:cs="Arial"/>
          <w:iCs/>
        </w:rPr>
        <w:t>15/2019. (IV. 17.)</w:t>
      </w:r>
      <w:r w:rsidR="00BA5D7A" w:rsidRPr="002840AB">
        <w:rPr>
          <w:rFonts w:ascii="Arial" w:hAnsi="Arial" w:cs="Arial"/>
          <w:iCs/>
        </w:rPr>
        <w:t xml:space="preserve"> MNB rendelethez</w:t>
      </w:r>
    </w:p>
    <w:p w14:paraId="57B82A4C" w14:textId="6CD8635B" w:rsidR="008D278B" w:rsidRDefault="008D278B" w:rsidP="000E4AE9">
      <w:pPr>
        <w:spacing w:after="0" w:line="240" w:lineRule="auto"/>
        <w:rPr>
          <w:rFonts w:ascii="Arial" w:hAnsi="Arial" w:cs="Arial"/>
          <w:iCs/>
        </w:rPr>
      </w:pPr>
    </w:p>
    <w:p w14:paraId="4468898D" w14:textId="77777777" w:rsidR="00644A32" w:rsidRPr="002840AB" w:rsidRDefault="00644A32" w:rsidP="000E4AE9">
      <w:pPr>
        <w:spacing w:after="0" w:line="240" w:lineRule="auto"/>
        <w:rPr>
          <w:rFonts w:ascii="Arial" w:hAnsi="Arial" w:cs="Arial"/>
          <w:iCs/>
        </w:rPr>
      </w:pPr>
    </w:p>
    <w:p w14:paraId="4F3B9314" w14:textId="6AB807E9" w:rsidR="00E93DC6" w:rsidRPr="002840AB" w:rsidRDefault="005C04E1" w:rsidP="000E4AE9">
      <w:pPr>
        <w:spacing w:after="0" w:line="240" w:lineRule="auto"/>
        <w:rPr>
          <w:rFonts w:ascii="Arial" w:hAnsi="Arial" w:cs="Arial"/>
          <w:bCs/>
          <w:kern w:val="36"/>
        </w:rPr>
      </w:pPr>
      <w:r w:rsidRPr="002840AB">
        <w:rPr>
          <w:rFonts w:ascii="Arial" w:hAnsi="Arial" w:cs="Arial"/>
          <w:iCs/>
        </w:rPr>
        <w:t>1. A</w:t>
      </w:r>
      <w:r w:rsidR="00E93DC6" w:rsidRPr="002840AB">
        <w:rPr>
          <w:rFonts w:ascii="Arial" w:hAnsi="Arial" w:cs="Arial"/>
          <w:iCs/>
        </w:rPr>
        <w:t xml:space="preserve"> </w:t>
      </w:r>
      <w:r w:rsidR="00CE2959" w:rsidRPr="002840AB">
        <w:rPr>
          <w:rFonts w:ascii="Arial" w:hAnsi="Arial" w:cs="Arial"/>
          <w:iCs/>
        </w:rPr>
        <w:t>3</w:t>
      </w:r>
      <w:r w:rsidR="00E76B21" w:rsidRPr="002840AB">
        <w:rPr>
          <w:rFonts w:ascii="Arial" w:hAnsi="Arial" w:cs="Arial"/>
          <w:iCs/>
        </w:rPr>
        <w:t>6</w:t>
      </w:r>
      <w:r w:rsidR="00E93DC6" w:rsidRPr="002840AB">
        <w:rPr>
          <w:rFonts w:ascii="Arial" w:hAnsi="Arial" w:cs="Arial"/>
          <w:iCs/>
        </w:rPr>
        <w:t>/201</w:t>
      </w:r>
      <w:r w:rsidR="00CE2959" w:rsidRPr="002840AB">
        <w:rPr>
          <w:rFonts w:ascii="Arial" w:hAnsi="Arial" w:cs="Arial"/>
          <w:iCs/>
        </w:rPr>
        <w:t>8</w:t>
      </w:r>
      <w:r w:rsidR="00E93DC6" w:rsidRPr="002840AB">
        <w:rPr>
          <w:rFonts w:ascii="Arial" w:hAnsi="Arial" w:cs="Arial"/>
          <w:iCs/>
        </w:rPr>
        <w:t>. (XI. 1</w:t>
      </w:r>
      <w:r w:rsidR="00E76B21" w:rsidRPr="002840AB">
        <w:rPr>
          <w:rFonts w:ascii="Arial" w:hAnsi="Arial" w:cs="Arial"/>
          <w:iCs/>
        </w:rPr>
        <w:t>3</w:t>
      </w:r>
      <w:r w:rsidR="00E93DC6" w:rsidRPr="002840AB">
        <w:rPr>
          <w:rFonts w:ascii="Arial" w:hAnsi="Arial" w:cs="Arial"/>
          <w:iCs/>
        </w:rPr>
        <w:t>.) MNB rendelet</w:t>
      </w:r>
      <w:r w:rsidR="00B20404" w:rsidRPr="002840AB">
        <w:rPr>
          <w:rFonts w:ascii="Arial" w:hAnsi="Arial" w:cs="Arial"/>
          <w:iCs/>
        </w:rPr>
        <w:t xml:space="preserve"> </w:t>
      </w:r>
      <w:r w:rsidR="00E76B21" w:rsidRPr="002840AB">
        <w:rPr>
          <w:rFonts w:ascii="Arial" w:hAnsi="Arial" w:cs="Arial"/>
          <w:iCs/>
        </w:rPr>
        <w:t>2</w:t>
      </w:r>
      <w:r w:rsidR="00B20404" w:rsidRPr="002840AB">
        <w:rPr>
          <w:rFonts w:ascii="Arial" w:hAnsi="Arial" w:cs="Arial"/>
          <w:iCs/>
        </w:rPr>
        <w:t>. melléklet „</w:t>
      </w:r>
      <w:r w:rsidR="00B20404" w:rsidRPr="002840AB">
        <w:rPr>
          <w:rFonts w:ascii="Arial" w:hAnsi="Arial" w:cs="Arial"/>
          <w:bCs/>
          <w:kern w:val="36"/>
        </w:rPr>
        <w:t>ÖSSZEFOGLALÓ TÁBLA</w:t>
      </w:r>
      <w:r w:rsidR="00E76B21" w:rsidRPr="002840AB">
        <w:rPr>
          <w:rFonts w:ascii="Arial" w:hAnsi="Arial" w:cs="Arial"/>
          <w:bCs/>
          <w:kern w:val="36"/>
        </w:rPr>
        <w:t xml:space="preserve"> EGYEDI JELENTÉSEK</w:t>
      </w:r>
      <w:r w:rsidR="00B20404" w:rsidRPr="002840AB">
        <w:rPr>
          <w:rFonts w:ascii="Arial" w:hAnsi="Arial" w:cs="Arial"/>
          <w:bCs/>
          <w:kern w:val="36"/>
        </w:rPr>
        <w:t>” megnevezésű táblázat</w:t>
      </w:r>
      <w:r w:rsidR="00920B77" w:rsidRPr="002840AB">
        <w:rPr>
          <w:rFonts w:ascii="Arial" w:hAnsi="Arial" w:cs="Arial"/>
          <w:bCs/>
          <w:kern w:val="36"/>
        </w:rPr>
        <w:t xml:space="preserve"> 1-19. sora szerinti felügyeleti jelentés tekint</w:t>
      </w:r>
      <w:r w:rsidR="00316742" w:rsidRPr="002840AB">
        <w:rPr>
          <w:rFonts w:ascii="Arial" w:hAnsi="Arial" w:cs="Arial"/>
          <w:bCs/>
          <w:kern w:val="36"/>
        </w:rPr>
        <w:t xml:space="preserve">etében az adatszolgáltatásra kötelezettek körét meghatározó mezők helyébe </w:t>
      </w:r>
      <w:r w:rsidR="00A464F4" w:rsidRPr="002840AB">
        <w:rPr>
          <w:rFonts w:ascii="Arial" w:hAnsi="Arial" w:cs="Arial"/>
          <w:bCs/>
          <w:kern w:val="36"/>
        </w:rPr>
        <w:t xml:space="preserve">a következő </w:t>
      </w:r>
      <w:r w:rsidR="00316742" w:rsidRPr="002840AB">
        <w:rPr>
          <w:rFonts w:ascii="Arial" w:hAnsi="Arial" w:cs="Arial"/>
          <w:bCs/>
          <w:kern w:val="36"/>
        </w:rPr>
        <w:t>mezők lépnek</w:t>
      </w:r>
      <w:r w:rsidR="00986EEB" w:rsidRPr="002840AB">
        <w:rPr>
          <w:rFonts w:ascii="Arial" w:hAnsi="Arial" w:cs="Arial"/>
          <w:bCs/>
          <w:kern w:val="36"/>
        </w:rPr>
        <w:t>:</w:t>
      </w:r>
    </w:p>
    <w:p w14:paraId="3B864E91" w14:textId="77777777" w:rsidR="00986EEB" w:rsidRPr="002840AB" w:rsidRDefault="00986EEB" w:rsidP="000E4AE9">
      <w:pPr>
        <w:spacing w:after="0" w:line="240" w:lineRule="auto"/>
        <w:rPr>
          <w:rFonts w:ascii="Arial" w:hAnsi="Arial" w:cs="Arial"/>
          <w:iCs/>
        </w:rPr>
      </w:pPr>
    </w:p>
    <w:tbl>
      <w:tblPr>
        <w:tblW w:w="0" w:type="auto"/>
        <w:tblInd w:w="846" w:type="dxa"/>
        <w:tblCellMar>
          <w:left w:w="70" w:type="dxa"/>
          <w:right w:w="70" w:type="dxa"/>
        </w:tblCellMar>
        <w:tblLook w:val="04A0" w:firstRow="1" w:lastRow="0" w:firstColumn="1" w:lastColumn="0" w:noHBand="0" w:noVBand="1"/>
      </w:tblPr>
      <w:tblGrid>
        <w:gridCol w:w="322"/>
        <w:gridCol w:w="1378"/>
        <w:gridCol w:w="3686"/>
        <w:gridCol w:w="289"/>
      </w:tblGrid>
      <w:tr w:rsidR="00830180" w:rsidRPr="002840AB" w14:paraId="7263D436" w14:textId="61A5FDEA" w:rsidTr="00830180">
        <w:trPr>
          <w:trHeight w:val="531"/>
        </w:trPr>
        <w:tc>
          <w:tcPr>
            <w:tcW w:w="322" w:type="dxa"/>
            <w:tcBorders>
              <w:right w:val="single" w:sz="4" w:space="0" w:color="auto"/>
            </w:tcBorders>
          </w:tcPr>
          <w:p w14:paraId="4B659943" w14:textId="77777777" w:rsidR="00A73CF3" w:rsidRPr="002840AB" w:rsidRDefault="00A73CF3" w:rsidP="00566616">
            <w:pPr>
              <w:spacing w:after="0" w:line="240" w:lineRule="auto"/>
              <w:jc w:val="center"/>
              <w:rPr>
                <w:rFonts w:ascii="Arial" w:eastAsia="Times New Roman" w:hAnsi="Arial" w:cs="Arial"/>
                <w:bCs/>
                <w:i/>
              </w:rPr>
            </w:pPr>
          </w:p>
          <w:p w14:paraId="64EA0328" w14:textId="189D3391" w:rsidR="007A096A" w:rsidRPr="002840AB" w:rsidRDefault="007A096A" w:rsidP="007A096A">
            <w:pPr>
              <w:spacing w:after="0" w:line="240" w:lineRule="auto"/>
              <w:jc w:val="right"/>
              <w:rPr>
                <w:rFonts w:ascii="Arial" w:eastAsia="Times New Roman" w:hAnsi="Arial" w:cs="Arial"/>
                <w:bCs/>
                <w:i/>
              </w:rPr>
            </w:pPr>
            <w:r w:rsidRPr="002840AB">
              <w:rPr>
                <w:rFonts w:ascii="Arial" w:eastAsia="Times New Roman" w:hAnsi="Arial" w:cs="Arial"/>
                <w:bCs/>
                <w:i/>
              </w:rPr>
              <w:t>„</w:t>
            </w:r>
          </w:p>
        </w:tc>
        <w:tc>
          <w:tcPr>
            <w:tcW w:w="1378" w:type="dxa"/>
            <w:tcBorders>
              <w:top w:val="single" w:sz="4" w:space="0" w:color="auto"/>
              <w:left w:val="single" w:sz="4" w:space="0" w:color="auto"/>
              <w:bottom w:val="single" w:sz="4" w:space="0" w:color="auto"/>
              <w:right w:val="single" w:sz="4" w:space="0" w:color="auto"/>
            </w:tcBorders>
          </w:tcPr>
          <w:p w14:paraId="5BEFBE76" w14:textId="12AF29F9" w:rsidR="00A73CF3" w:rsidRPr="002840AB" w:rsidRDefault="00A73CF3" w:rsidP="00566616">
            <w:pPr>
              <w:spacing w:after="0" w:line="240" w:lineRule="auto"/>
              <w:jc w:val="center"/>
              <w:rPr>
                <w:rFonts w:ascii="Arial" w:eastAsia="Times New Roman" w:hAnsi="Arial" w:cs="Arial"/>
                <w:bCs/>
                <w:i/>
              </w:rPr>
            </w:pPr>
          </w:p>
        </w:tc>
        <w:tc>
          <w:tcPr>
            <w:tcW w:w="3686"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176AAC61" w14:textId="030FAD2D" w:rsidR="00A73CF3" w:rsidRPr="002840AB" w:rsidRDefault="00A73CF3" w:rsidP="00621208">
            <w:pPr>
              <w:spacing w:after="0" w:line="240" w:lineRule="auto"/>
              <w:jc w:val="center"/>
              <w:rPr>
                <w:rFonts w:ascii="Arial" w:eastAsia="Times New Roman" w:hAnsi="Arial" w:cs="Arial"/>
                <w:bCs/>
                <w:i/>
              </w:rPr>
            </w:pPr>
            <w:r w:rsidRPr="002840AB">
              <w:rPr>
                <w:rFonts w:ascii="Arial" w:eastAsia="Times New Roman" w:hAnsi="Arial" w:cs="Arial"/>
                <w:bCs/>
                <w:i/>
              </w:rPr>
              <w:t>(Adatszolgáltatásra kötelezettek)</w:t>
            </w:r>
          </w:p>
        </w:tc>
        <w:tc>
          <w:tcPr>
            <w:tcW w:w="289" w:type="dxa"/>
            <w:tcBorders>
              <w:left w:val="single" w:sz="4" w:space="0" w:color="auto"/>
            </w:tcBorders>
          </w:tcPr>
          <w:p w14:paraId="380AEC59" w14:textId="77777777" w:rsidR="00A73CF3" w:rsidRPr="002840AB" w:rsidRDefault="00A73CF3" w:rsidP="00621208">
            <w:pPr>
              <w:spacing w:after="0" w:line="240" w:lineRule="auto"/>
              <w:jc w:val="center"/>
              <w:rPr>
                <w:rFonts w:ascii="Arial" w:eastAsia="Times New Roman" w:hAnsi="Arial" w:cs="Arial"/>
                <w:bCs/>
                <w:i/>
              </w:rPr>
            </w:pPr>
          </w:p>
        </w:tc>
      </w:tr>
      <w:tr w:rsidR="00830180" w:rsidRPr="002840AB" w14:paraId="07ADA98A" w14:textId="1619F338" w:rsidTr="00830180">
        <w:trPr>
          <w:trHeight w:val="341"/>
        </w:trPr>
        <w:tc>
          <w:tcPr>
            <w:tcW w:w="322" w:type="dxa"/>
            <w:tcBorders>
              <w:right w:val="single" w:sz="4" w:space="0" w:color="auto"/>
            </w:tcBorders>
          </w:tcPr>
          <w:p w14:paraId="7C0AA941"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7AD106B0" w14:textId="0087FD3C"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(SF0101)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FA7D82" w14:textId="4E433116"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7C94597F" w14:textId="77777777" w:rsidR="00A73CF3" w:rsidRPr="002840AB" w:rsidRDefault="00A73CF3" w:rsidP="00621208">
            <w:pPr>
              <w:spacing w:after="0" w:line="240" w:lineRule="auto"/>
              <w:rPr>
                <w:rFonts w:ascii="Arial" w:eastAsia="Times New Roman" w:hAnsi="Arial" w:cs="Arial"/>
              </w:rPr>
            </w:pPr>
          </w:p>
        </w:tc>
      </w:tr>
      <w:tr w:rsidR="00830180" w:rsidRPr="002840AB" w14:paraId="25646260" w14:textId="623A5924" w:rsidTr="00830180">
        <w:trPr>
          <w:trHeight w:val="344"/>
        </w:trPr>
        <w:tc>
          <w:tcPr>
            <w:tcW w:w="322" w:type="dxa"/>
            <w:tcBorders>
              <w:right w:val="single" w:sz="4" w:space="0" w:color="auto"/>
            </w:tcBorders>
          </w:tcPr>
          <w:p w14:paraId="2D4A2182"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2C4DC749" w14:textId="400C273D"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(SF0102)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EE2FF2E" w14:textId="6F3489E9"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737AAB97" w14:textId="77777777" w:rsidR="00A73CF3" w:rsidRPr="002840AB" w:rsidRDefault="00A73CF3" w:rsidP="00621208">
            <w:pPr>
              <w:spacing w:after="0" w:line="240" w:lineRule="auto"/>
              <w:rPr>
                <w:rFonts w:ascii="Arial" w:eastAsia="Times New Roman" w:hAnsi="Arial" w:cs="Arial"/>
              </w:rPr>
            </w:pPr>
          </w:p>
        </w:tc>
      </w:tr>
      <w:tr w:rsidR="00830180" w:rsidRPr="002840AB" w14:paraId="24D7BD96" w14:textId="4415C72D" w:rsidTr="00830180">
        <w:trPr>
          <w:trHeight w:val="407"/>
        </w:trPr>
        <w:tc>
          <w:tcPr>
            <w:tcW w:w="322" w:type="dxa"/>
            <w:tcBorders>
              <w:right w:val="single" w:sz="4" w:space="0" w:color="auto"/>
            </w:tcBorders>
          </w:tcPr>
          <w:p w14:paraId="28D260CF"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171ECE7A" w14:textId="0FF4439C"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(SF0103)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3E3CA62" w14:textId="4D9BAF8C"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1286E4FD" w14:textId="77777777" w:rsidR="00A73CF3" w:rsidRPr="002840AB" w:rsidRDefault="00A73CF3" w:rsidP="00621208">
            <w:pPr>
              <w:spacing w:after="0" w:line="240" w:lineRule="auto"/>
              <w:rPr>
                <w:rFonts w:ascii="Arial" w:eastAsia="Times New Roman" w:hAnsi="Arial" w:cs="Arial"/>
              </w:rPr>
            </w:pPr>
          </w:p>
        </w:tc>
      </w:tr>
      <w:tr w:rsidR="00830180" w:rsidRPr="002840AB" w14:paraId="37719DB9" w14:textId="5C0B7701" w:rsidTr="00830180">
        <w:trPr>
          <w:trHeight w:val="407"/>
        </w:trPr>
        <w:tc>
          <w:tcPr>
            <w:tcW w:w="322" w:type="dxa"/>
            <w:tcBorders>
              <w:right w:val="single" w:sz="4" w:space="0" w:color="auto"/>
            </w:tcBorders>
          </w:tcPr>
          <w:p w14:paraId="798AA6CC"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1915495A" w14:textId="29D8B453"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ABBCAA" w14:textId="68AA6A18"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3EE14AF0" w14:textId="77777777" w:rsidR="00A73CF3" w:rsidRPr="002840AB" w:rsidRDefault="00A73CF3" w:rsidP="00621208">
            <w:pPr>
              <w:spacing w:after="0" w:line="240" w:lineRule="auto"/>
              <w:rPr>
                <w:rFonts w:ascii="Arial" w:eastAsia="Times New Roman" w:hAnsi="Arial" w:cs="Arial"/>
              </w:rPr>
            </w:pPr>
          </w:p>
        </w:tc>
      </w:tr>
      <w:tr w:rsidR="00830180" w:rsidRPr="002840AB" w14:paraId="1F7DB57B" w14:textId="6404B067" w:rsidTr="00830180">
        <w:trPr>
          <w:trHeight w:val="407"/>
        </w:trPr>
        <w:tc>
          <w:tcPr>
            <w:tcW w:w="322" w:type="dxa"/>
            <w:tcBorders>
              <w:right w:val="single" w:sz="4" w:space="0" w:color="auto"/>
            </w:tcBorders>
          </w:tcPr>
          <w:p w14:paraId="1245F9F4"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01774105" w14:textId="572DC75C"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70615C3" w14:textId="6CB50B8F"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22F049BE" w14:textId="77777777" w:rsidR="00A73CF3" w:rsidRPr="002840AB" w:rsidRDefault="00A73CF3" w:rsidP="00621208">
            <w:pPr>
              <w:spacing w:after="0" w:line="240" w:lineRule="auto"/>
              <w:rPr>
                <w:rFonts w:ascii="Arial" w:eastAsia="Times New Roman" w:hAnsi="Arial" w:cs="Arial"/>
              </w:rPr>
            </w:pPr>
          </w:p>
        </w:tc>
      </w:tr>
      <w:tr w:rsidR="00830180" w:rsidRPr="002840AB" w14:paraId="360860B7" w14:textId="7749CE32" w:rsidTr="00830180">
        <w:trPr>
          <w:trHeight w:val="413"/>
        </w:trPr>
        <w:tc>
          <w:tcPr>
            <w:tcW w:w="322" w:type="dxa"/>
            <w:tcBorders>
              <w:right w:val="single" w:sz="4" w:space="0" w:color="auto"/>
            </w:tcBorders>
          </w:tcPr>
          <w:p w14:paraId="15899D6D"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0390EEE0" w14:textId="2192BDD7"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(SF040102)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28B082" w14:textId="78895BEA"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65783BA3" w14:textId="77777777" w:rsidR="00A73CF3" w:rsidRPr="002840AB" w:rsidRDefault="00A73CF3" w:rsidP="00621208">
            <w:pPr>
              <w:spacing w:after="0" w:line="240" w:lineRule="auto"/>
              <w:rPr>
                <w:rFonts w:ascii="Arial" w:eastAsia="Times New Roman" w:hAnsi="Arial" w:cs="Arial"/>
              </w:rPr>
            </w:pPr>
          </w:p>
        </w:tc>
      </w:tr>
      <w:tr w:rsidR="00830180" w:rsidRPr="002840AB" w14:paraId="544E77E7" w14:textId="5094D692" w:rsidTr="00830180">
        <w:trPr>
          <w:trHeight w:val="418"/>
        </w:trPr>
        <w:tc>
          <w:tcPr>
            <w:tcW w:w="322" w:type="dxa"/>
            <w:tcBorders>
              <w:right w:val="single" w:sz="4" w:space="0" w:color="auto"/>
            </w:tcBorders>
          </w:tcPr>
          <w:p w14:paraId="6A2C05F5"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7A731F20" w14:textId="5B691A8A"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(SF040301)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D7DF5E1" w14:textId="489820A9"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78F890A1" w14:textId="77777777" w:rsidR="00A73CF3" w:rsidRPr="002840AB" w:rsidRDefault="00A73CF3" w:rsidP="00621208">
            <w:pPr>
              <w:spacing w:after="0" w:line="240" w:lineRule="auto"/>
              <w:rPr>
                <w:rFonts w:ascii="Arial" w:eastAsia="Times New Roman" w:hAnsi="Arial" w:cs="Arial"/>
              </w:rPr>
            </w:pPr>
          </w:p>
        </w:tc>
      </w:tr>
      <w:tr w:rsidR="00830180" w:rsidRPr="002840AB" w14:paraId="0816304F" w14:textId="72D15869" w:rsidTr="00830180">
        <w:trPr>
          <w:trHeight w:val="424"/>
        </w:trPr>
        <w:tc>
          <w:tcPr>
            <w:tcW w:w="322" w:type="dxa"/>
            <w:tcBorders>
              <w:right w:val="single" w:sz="4" w:space="0" w:color="auto"/>
            </w:tcBorders>
          </w:tcPr>
          <w:p w14:paraId="73B1D4E2"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615AB77A" w14:textId="0B5AE491"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(SF040401)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3DA600" w14:textId="0F29C897"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6439B1F2" w14:textId="77777777" w:rsidR="00A73CF3" w:rsidRPr="002840AB" w:rsidRDefault="00A73CF3" w:rsidP="00621208">
            <w:pPr>
              <w:spacing w:after="0" w:line="240" w:lineRule="auto"/>
              <w:rPr>
                <w:rFonts w:ascii="Arial" w:eastAsia="Times New Roman" w:hAnsi="Arial" w:cs="Arial"/>
              </w:rPr>
            </w:pPr>
          </w:p>
        </w:tc>
      </w:tr>
      <w:tr w:rsidR="00830180" w:rsidRPr="002840AB" w14:paraId="2CA061B7" w14:textId="146C9038" w:rsidTr="00830180">
        <w:trPr>
          <w:trHeight w:val="417"/>
        </w:trPr>
        <w:tc>
          <w:tcPr>
            <w:tcW w:w="322" w:type="dxa"/>
            <w:tcBorders>
              <w:right w:val="single" w:sz="4" w:space="0" w:color="auto"/>
            </w:tcBorders>
          </w:tcPr>
          <w:p w14:paraId="37F52D06"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5648062A" w14:textId="38FF4839"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(SF0801)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214D54" w14:textId="5101107C"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23E57F20" w14:textId="77777777" w:rsidR="00A73CF3" w:rsidRPr="002840AB" w:rsidRDefault="00A73CF3" w:rsidP="00621208">
            <w:pPr>
              <w:spacing w:after="0" w:line="240" w:lineRule="auto"/>
              <w:rPr>
                <w:rFonts w:ascii="Arial" w:eastAsia="Times New Roman" w:hAnsi="Arial" w:cs="Arial"/>
              </w:rPr>
            </w:pPr>
          </w:p>
        </w:tc>
      </w:tr>
      <w:tr w:rsidR="00830180" w:rsidRPr="002840AB" w14:paraId="51376DB2" w14:textId="364AACBE" w:rsidTr="00830180">
        <w:trPr>
          <w:trHeight w:val="409"/>
        </w:trPr>
        <w:tc>
          <w:tcPr>
            <w:tcW w:w="322" w:type="dxa"/>
            <w:tcBorders>
              <w:right w:val="single" w:sz="4" w:space="0" w:color="auto"/>
            </w:tcBorders>
          </w:tcPr>
          <w:p w14:paraId="7C8DDA46"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1FD166ED" w14:textId="53CD0D8E"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(SF0802)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66437A" w14:textId="30E257C3"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69D1BEC0" w14:textId="77777777" w:rsidR="00A73CF3" w:rsidRPr="002840AB" w:rsidRDefault="00A73CF3" w:rsidP="00621208">
            <w:pPr>
              <w:spacing w:after="0" w:line="240" w:lineRule="auto"/>
              <w:rPr>
                <w:rFonts w:ascii="Arial" w:eastAsia="Times New Roman" w:hAnsi="Arial" w:cs="Arial"/>
              </w:rPr>
            </w:pPr>
          </w:p>
        </w:tc>
      </w:tr>
      <w:tr w:rsidR="00830180" w:rsidRPr="002840AB" w14:paraId="1319B261" w14:textId="2E8FC1C3" w:rsidTr="00830180">
        <w:trPr>
          <w:trHeight w:val="415"/>
        </w:trPr>
        <w:tc>
          <w:tcPr>
            <w:tcW w:w="322" w:type="dxa"/>
            <w:tcBorders>
              <w:right w:val="single" w:sz="4" w:space="0" w:color="auto"/>
            </w:tcBorders>
          </w:tcPr>
          <w:p w14:paraId="173DB1AD"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56781F5A" w14:textId="68FB9987"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(SF0901)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57A9CB" w14:textId="764DB133"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5C0932E6" w14:textId="77777777" w:rsidR="00A73CF3" w:rsidRPr="002840AB" w:rsidRDefault="00A73CF3" w:rsidP="00621208">
            <w:pPr>
              <w:spacing w:after="0" w:line="240" w:lineRule="auto"/>
              <w:rPr>
                <w:rFonts w:ascii="Arial" w:eastAsia="Times New Roman" w:hAnsi="Arial" w:cs="Arial"/>
              </w:rPr>
            </w:pPr>
          </w:p>
        </w:tc>
      </w:tr>
      <w:tr w:rsidR="00830180" w:rsidRPr="002840AB" w14:paraId="3B95559E" w14:textId="67F29252" w:rsidTr="00830180">
        <w:trPr>
          <w:trHeight w:val="279"/>
        </w:trPr>
        <w:tc>
          <w:tcPr>
            <w:tcW w:w="322" w:type="dxa"/>
            <w:tcBorders>
              <w:right w:val="single" w:sz="4" w:space="0" w:color="auto"/>
            </w:tcBorders>
          </w:tcPr>
          <w:p w14:paraId="11E3CDF4"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5BDD00B6" w14:textId="34D60753"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(SF0902)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8713F47" w14:textId="1D93D7CF"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5FE43BCA" w14:textId="77777777" w:rsidR="00A73CF3" w:rsidRPr="002840AB" w:rsidRDefault="00A73CF3" w:rsidP="00621208">
            <w:pPr>
              <w:spacing w:after="0" w:line="240" w:lineRule="auto"/>
              <w:rPr>
                <w:rFonts w:ascii="Arial" w:eastAsia="Times New Roman" w:hAnsi="Arial" w:cs="Arial"/>
              </w:rPr>
            </w:pPr>
          </w:p>
        </w:tc>
      </w:tr>
      <w:tr w:rsidR="00830180" w:rsidRPr="002840AB" w14:paraId="0C4AA11C" w14:textId="51D692B7" w:rsidTr="00830180">
        <w:trPr>
          <w:trHeight w:val="411"/>
        </w:trPr>
        <w:tc>
          <w:tcPr>
            <w:tcW w:w="322" w:type="dxa"/>
            <w:tcBorders>
              <w:right w:val="single" w:sz="4" w:space="0" w:color="auto"/>
            </w:tcBorders>
          </w:tcPr>
          <w:p w14:paraId="779D6C94"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6B026B88" w14:textId="6B60B219"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E43824" w14:textId="4BCAD16D"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2FC76A9F" w14:textId="77777777" w:rsidR="00A73CF3" w:rsidRPr="002840AB" w:rsidRDefault="00A73CF3" w:rsidP="00621208">
            <w:pPr>
              <w:spacing w:after="0" w:line="240" w:lineRule="auto"/>
              <w:rPr>
                <w:rFonts w:ascii="Arial" w:eastAsia="Times New Roman" w:hAnsi="Arial" w:cs="Arial"/>
              </w:rPr>
            </w:pPr>
          </w:p>
        </w:tc>
      </w:tr>
      <w:tr w:rsidR="00830180" w:rsidRPr="002840AB" w14:paraId="01C561C5" w14:textId="10521E12" w:rsidTr="00830180">
        <w:trPr>
          <w:trHeight w:val="416"/>
        </w:trPr>
        <w:tc>
          <w:tcPr>
            <w:tcW w:w="322" w:type="dxa"/>
            <w:tcBorders>
              <w:right w:val="single" w:sz="4" w:space="0" w:color="auto"/>
            </w:tcBorders>
          </w:tcPr>
          <w:p w14:paraId="65BB2F53"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26137575" w14:textId="6D5B6193"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(SF1301)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8DCB84" w14:textId="3ED12966"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395856E1" w14:textId="77777777" w:rsidR="00A73CF3" w:rsidRPr="002840AB" w:rsidRDefault="00A73CF3" w:rsidP="00621208">
            <w:pPr>
              <w:spacing w:after="0" w:line="240" w:lineRule="auto"/>
              <w:rPr>
                <w:rFonts w:ascii="Arial" w:eastAsia="Times New Roman" w:hAnsi="Arial" w:cs="Arial"/>
              </w:rPr>
            </w:pPr>
          </w:p>
        </w:tc>
      </w:tr>
      <w:tr w:rsidR="00830180" w:rsidRPr="002840AB" w14:paraId="08D7E133" w14:textId="0D09D460" w:rsidTr="00830180">
        <w:trPr>
          <w:trHeight w:val="409"/>
        </w:trPr>
        <w:tc>
          <w:tcPr>
            <w:tcW w:w="322" w:type="dxa"/>
            <w:tcBorders>
              <w:right w:val="single" w:sz="4" w:space="0" w:color="auto"/>
            </w:tcBorders>
          </w:tcPr>
          <w:p w14:paraId="580E407F"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0C447BBD" w14:textId="591364C8"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(SF1302)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A4BCBD8" w14:textId="792E0FFC"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4D252A29" w14:textId="77777777" w:rsidR="00A73CF3" w:rsidRPr="002840AB" w:rsidRDefault="00A73CF3" w:rsidP="00621208">
            <w:pPr>
              <w:spacing w:after="0" w:line="240" w:lineRule="auto"/>
              <w:rPr>
                <w:rFonts w:ascii="Arial" w:eastAsia="Times New Roman" w:hAnsi="Arial" w:cs="Arial"/>
              </w:rPr>
            </w:pPr>
          </w:p>
        </w:tc>
      </w:tr>
      <w:tr w:rsidR="00830180" w:rsidRPr="002840AB" w14:paraId="7F036A97" w14:textId="25CF4515" w:rsidTr="00830180">
        <w:trPr>
          <w:trHeight w:val="427"/>
        </w:trPr>
        <w:tc>
          <w:tcPr>
            <w:tcW w:w="322" w:type="dxa"/>
            <w:tcBorders>
              <w:right w:val="single" w:sz="4" w:space="0" w:color="auto"/>
            </w:tcBorders>
          </w:tcPr>
          <w:p w14:paraId="188F11A7"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5CE70D82" w14:textId="35CD1AEF"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(SF1303)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6FE25F8" w14:textId="77281FE5"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1B99F678" w14:textId="77777777" w:rsidR="00A73CF3" w:rsidRPr="002840AB" w:rsidRDefault="00A73CF3" w:rsidP="00621208">
            <w:pPr>
              <w:spacing w:after="0" w:line="240" w:lineRule="auto"/>
              <w:rPr>
                <w:rFonts w:ascii="Arial" w:eastAsia="Times New Roman" w:hAnsi="Arial" w:cs="Arial"/>
              </w:rPr>
            </w:pPr>
          </w:p>
        </w:tc>
      </w:tr>
      <w:tr w:rsidR="00830180" w:rsidRPr="002840AB" w14:paraId="52730049" w14:textId="7C912A23" w:rsidTr="00830180">
        <w:trPr>
          <w:trHeight w:val="407"/>
        </w:trPr>
        <w:tc>
          <w:tcPr>
            <w:tcW w:w="322" w:type="dxa"/>
            <w:tcBorders>
              <w:right w:val="single" w:sz="4" w:space="0" w:color="auto"/>
            </w:tcBorders>
          </w:tcPr>
          <w:p w14:paraId="28C2C26D"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411D1858" w14:textId="43A4EA71"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3BBA9E" w14:textId="595C7D04"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680A8B08" w14:textId="77777777" w:rsidR="00A73CF3" w:rsidRPr="002840AB" w:rsidRDefault="00A73CF3" w:rsidP="00621208">
            <w:pPr>
              <w:spacing w:after="0" w:line="240" w:lineRule="auto"/>
              <w:rPr>
                <w:rFonts w:ascii="Arial" w:eastAsia="Times New Roman" w:hAnsi="Arial" w:cs="Arial"/>
              </w:rPr>
            </w:pPr>
          </w:p>
        </w:tc>
      </w:tr>
      <w:tr w:rsidR="00830180" w:rsidRPr="002840AB" w14:paraId="3D270E45" w14:textId="778497BB" w:rsidTr="00830180">
        <w:trPr>
          <w:trHeight w:val="413"/>
        </w:trPr>
        <w:tc>
          <w:tcPr>
            <w:tcW w:w="322" w:type="dxa"/>
            <w:tcBorders>
              <w:right w:val="single" w:sz="4" w:space="0" w:color="auto"/>
            </w:tcBorders>
          </w:tcPr>
          <w:p w14:paraId="4D97703E"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20DED5E6" w14:textId="52A98D1D"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(SF43)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FC0A92E" w14:textId="4C34E0CA" w:rsidR="00A73CF3" w:rsidRPr="002840AB" w:rsidRDefault="00A73CF3" w:rsidP="00621208">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34BDDB5E" w14:textId="77777777" w:rsidR="00A73CF3" w:rsidRPr="002840AB" w:rsidRDefault="00A73CF3" w:rsidP="00621208">
            <w:pPr>
              <w:spacing w:after="0" w:line="240" w:lineRule="auto"/>
              <w:rPr>
                <w:rFonts w:ascii="Arial" w:eastAsia="Times New Roman" w:hAnsi="Arial" w:cs="Arial"/>
              </w:rPr>
            </w:pPr>
          </w:p>
        </w:tc>
      </w:tr>
      <w:tr w:rsidR="00830180" w:rsidRPr="002840AB" w14:paraId="5C451BC4" w14:textId="7295777E" w:rsidTr="00830180">
        <w:trPr>
          <w:trHeight w:val="418"/>
        </w:trPr>
        <w:tc>
          <w:tcPr>
            <w:tcW w:w="322" w:type="dxa"/>
            <w:tcBorders>
              <w:right w:val="single" w:sz="4" w:space="0" w:color="auto"/>
            </w:tcBorders>
          </w:tcPr>
          <w:p w14:paraId="087E9E25" w14:textId="77777777" w:rsidR="00A73CF3" w:rsidRPr="002840AB" w:rsidRDefault="00A73CF3" w:rsidP="00566616">
            <w:pPr>
              <w:spacing w:after="0" w:line="240" w:lineRule="auto"/>
              <w:rPr>
                <w:rFonts w:ascii="Arial" w:eastAsia="Times New Roman" w:hAnsi="Arial" w:cs="Arial"/>
                <w:i/>
              </w:rPr>
            </w:pPr>
          </w:p>
        </w:tc>
        <w:tc>
          <w:tcPr>
            <w:tcW w:w="1378" w:type="dxa"/>
            <w:tcBorders>
              <w:top w:val="single" w:sz="4" w:space="0" w:color="auto"/>
              <w:left w:val="single" w:sz="4" w:space="0" w:color="auto"/>
              <w:bottom w:val="single" w:sz="4" w:space="0" w:color="auto"/>
              <w:right w:val="single" w:sz="4" w:space="0" w:color="auto"/>
            </w:tcBorders>
            <w:vAlign w:val="center"/>
          </w:tcPr>
          <w:p w14:paraId="1E5B4EA0" w14:textId="45B9EB24" w:rsidR="00A73CF3" w:rsidRPr="002840AB" w:rsidRDefault="00A73CF3" w:rsidP="00566616">
            <w:pPr>
              <w:spacing w:after="0" w:line="240" w:lineRule="auto"/>
              <w:rPr>
                <w:rFonts w:ascii="Arial" w:eastAsia="Times New Roman" w:hAnsi="Arial" w:cs="Arial"/>
                <w:i/>
              </w:rPr>
            </w:pPr>
            <w:r w:rsidRPr="002840AB">
              <w:rPr>
                <w:rFonts w:ascii="Arial" w:eastAsia="Times New Roman" w:hAnsi="Arial" w:cs="Arial"/>
                <w:i/>
              </w:rPr>
              <w:t>(SF46)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FE416A2" w14:textId="23A07329" w:rsidR="00A73CF3" w:rsidRPr="002840AB" w:rsidRDefault="00A73CF3" w:rsidP="00566616">
            <w:pPr>
              <w:spacing w:after="0" w:line="240" w:lineRule="auto"/>
              <w:rPr>
                <w:rFonts w:ascii="Arial" w:eastAsia="Times New Roman" w:hAnsi="Arial" w:cs="Arial"/>
              </w:rPr>
            </w:pPr>
            <w:r w:rsidRPr="002840AB">
              <w:rPr>
                <w:rFonts w:ascii="Arial" w:eastAsia="Times New Roman" w:hAnsi="Arial" w:cs="Arial"/>
              </w:rPr>
              <w:t xml:space="preserve">hitelintézet, hitelintézeti típusú </w:t>
            </w:r>
            <w:proofErr w:type="spellStart"/>
            <w:r w:rsidRPr="002840AB">
              <w:rPr>
                <w:rFonts w:ascii="Arial" w:eastAsia="Times New Roman" w:hAnsi="Arial" w:cs="Arial"/>
              </w:rPr>
              <w:t>EGT</w:t>
            </w:r>
            <w:proofErr w:type="spellEnd"/>
            <w:r w:rsidRPr="002840AB">
              <w:rPr>
                <w:rFonts w:ascii="Arial" w:eastAsia="Times New Roman" w:hAnsi="Arial" w:cs="Arial"/>
              </w:rPr>
              <w:t>-fióktelep</w:t>
            </w:r>
          </w:p>
        </w:tc>
        <w:tc>
          <w:tcPr>
            <w:tcW w:w="289" w:type="dxa"/>
            <w:tcBorders>
              <w:left w:val="single" w:sz="4" w:space="0" w:color="auto"/>
            </w:tcBorders>
          </w:tcPr>
          <w:p w14:paraId="6B160E83" w14:textId="5324AEBB" w:rsidR="00A73CF3" w:rsidRPr="002840AB" w:rsidRDefault="007A096A" w:rsidP="00566616">
            <w:pPr>
              <w:spacing w:after="0" w:line="240" w:lineRule="auto"/>
              <w:rPr>
                <w:rFonts w:ascii="Arial" w:eastAsia="Times New Roman" w:hAnsi="Arial" w:cs="Arial"/>
              </w:rPr>
            </w:pPr>
            <w:r w:rsidRPr="002840AB">
              <w:rPr>
                <w:rFonts w:ascii="Arial" w:eastAsia="Times New Roman" w:hAnsi="Arial" w:cs="Arial"/>
              </w:rPr>
              <w:t>”</w:t>
            </w:r>
          </w:p>
        </w:tc>
      </w:tr>
    </w:tbl>
    <w:p w14:paraId="4FABB37E" w14:textId="77777777" w:rsidR="00986EEB" w:rsidRPr="002840AB" w:rsidRDefault="00986EEB" w:rsidP="000E4AE9">
      <w:pPr>
        <w:spacing w:after="0" w:line="240" w:lineRule="auto"/>
        <w:rPr>
          <w:rFonts w:ascii="Arial" w:hAnsi="Arial" w:cs="Arial"/>
          <w:iCs/>
        </w:rPr>
      </w:pPr>
    </w:p>
    <w:p w14:paraId="0911CEFB" w14:textId="0C859767" w:rsidR="00C01E5E" w:rsidRPr="002840AB" w:rsidRDefault="00C01E5E">
      <w:pPr>
        <w:spacing w:after="0" w:line="240" w:lineRule="auto"/>
        <w:jc w:val="left"/>
        <w:rPr>
          <w:rFonts w:ascii="Arial" w:hAnsi="Arial" w:cs="Arial"/>
          <w:iCs/>
        </w:rPr>
      </w:pPr>
      <w:r w:rsidRPr="002840AB">
        <w:rPr>
          <w:rFonts w:ascii="Arial" w:hAnsi="Arial" w:cs="Arial"/>
          <w:iCs/>
        </w:rPr>
        <w:br w:type="page"/>
      </w:r>
    </w:p>
    <w:p w14:paraId="7C0DFF50" w14:textId="1D9F74F6" w:rsidR="004B7355" w:rsidRPr="002840AB" w:rsidRDefault="00C01E5E" w:rsidP="000E4AE9">
      <w:pPr>
        <w:spacing w:after="0" w:line="240" w:lineRule="auto"/>
        <w:rPr>
          <w:rFonts w:ascii="Arial" w:hAnsi="Arial" w:cs="Arial"/>
          <w:iCs/>
        </w:rPr>
      </w:pPr>
      <w:r w:rsidRPr="002840AB">
        <w:rPr>
          <w:rFonts w:ascii="Arial" w:hAnsi="Arial" w:cs="Arial"/>
          <w:iCs/>
        </w:rPr>
        <w:lastRenderedPageBreak/>
        <w:t xml:space="preserve">2. melléklet a </w:t>
      </w:r>
      <w:r w:rsidR="004D5B64">
        <w:rPr>
          <w:rFonts w:ascii="Arial" w:hAnsi="Arial" w:cs="Arial"/>
          <w:iCs/>
        </w:rPr>
        <w:t>15</w:t>
      </w:r>
      <w:r w:rsidRPr="002840AB">
        <w:rPr>
          <w:rFonts w:ascii="Arial" w:hAnsi="Arial" w:cs="Arial"/>
          <w:iCs/>
        </w:rPr>
        <w:t>/201</w:t>
      </w:r>
      <w:r w:rsidR="000E4AE9" w:rsidRPr="002840AB">
        <w:rPr>
          <w:rFonts w:ascii="Arial" w:hAnsi="Arial" w:cs="Arial"/>
          <w:iCs/>
        </w:rPr>
        <w:t>9</w:t>
      </w:r>
      <w:r w:rsidRPr="002840AB">
        <w:rPr>
          <w:rFonts w:ascii="Arial" w:hAnsi="Arial" w:cs="Arial"/>
          <w:iCs/>
        </w:rPr>
        <w:t>. (</w:t>
      </w:r>
      <w:r w:rsidR="004D5B64">
        <w:rPr>
          <w:rFonts w:ascii="Arial" w:hAnsi="Arial" w:cs="Arial"/>
          <w:iCs/>
        </w:rPr>
        <w:t>IV. 17.)</w:t>
      </w:r>
      <w:r w:rsidRPr="002840AB">
        <w:rPr>
          <w:rFonts w:ascii="Arial" w:hAnsi="Arial" w:cs="Arial"/>
          <w:iCs/>
        </w:rPr>
        <w:t xml:space="preserve"> MNB rendelethez</w:t>
      </w:r>
    </w:p>
    <w:p w14:paraId="62848D9F" w14:textId="7971CAD9" w:rsidR="00B07A03" w:rsidRDefault="00B07A03" w:rsidP="000E4AE9">
      <w:pPr>
        <w:spacing w:after="0" w:line="240" w:lineRule="auto"/>
        <w:rPr>
          <w:rFonts w:ascii="Arial" w:hAnsi="Arial" w:cs="Arial"/>
          <w:iCs/>
        </w:rPr>
      </w:pPr>
    </w:p>
    <w:p w14:paraId="1D7FE4DD" w14:textId="77777777" w:rsidR="00644A32" w:rsidRPr="002840AB" w:rsidRDefault="00644A32" w:rsidP="000E4AE9">
      <w:pPr>
        <w:spacing w:after="0" w:line="240" w:lineRule="auto"/>
        <w:rPr>
          <w:rFonts w:ascii="Arial" w:hAnsi="Arial" w:cs="Arial"/>
          <w:iCs/>
        </w:rPr>
      </w:pPr>
    </w:p>
    <w:p w14:paraId="622A73AC" w14:textId="77777777" w:rsidR="00A46E24" w:rsidRPr="002840AB" w:rsidRDefault="00A46E24" w:rsidP="000E4AE9">
      <w:pPr>
        <w:spacing w:line="240" w:lineRule="auto"/>
        <w:rPr>
          <w:rFonts w:ascii="Arial" w:hAnsi="Arial" w:cs="Arial"/>
          <w:snapToGrid w:val="0"/>
        </w:rPr>
      </w:pPr>
      <w:r w:rsidRPr="002840AB">
        <w:rPr>
          <w:rFonts w:ascii="Arial" w:hAnsi="Arial" w:cs="Arial"/>
          <w:snapToGrid w:val="0"/>
        </w:rPr>
        <w:t>1. A 36/2018. (XI. 13.) MNB rendelet 3. melléklet II. 24. és 25. pontja helyébe a következő rendelkezések lépnek:</w:t>
      </w:r>
    </w:p>
    <w:p w14:paraId="6945B766" w14:textId="5A9EEA9E" w:rsidR="00DF48CB" w:rsidRPr="002840AB" w:rsidRDefault="00A46E24" w:rsidP="000E4AE9">
      <w:pPr>
        <w:pStyle w:val="Cmsor4"/>
        <w:numPr>
          <w:ilvl w:val="0"/>
          <w:numId w:val="0"/>
        </w:numPr>
        <w:spacing w:before="0" w:after="0" w:line="240" w:lineRule="auto"/>
        <w:rPr>
          <w:rFonts w:ascii="Arial" w:hAnsi="Arial" w:cs="Arial"/>
          <w:color w:val="auto"/>
          <w:szCs w:val="20"/>
        </w:rPr>
      </w:pPr>
      <w:r w:rsidRPr="002840AB">
        <w:rPr>
          <w:rFonts w:ascii="Arial" w:hAnsi="Arial" w:cs="Arial"/>
          <w:color w:val="auto"/>
          <w:szCs w:val="20"/>
        </w:rPr>
        <w:t>„</w:t>
      </w:r>
      <w:r w:rsidR="00DF48CB" w:rsidRPr="002840AB">
        <w:rPr>
          <w:rFonts w:ascii="Arial" w:hAnsi="Arial" w:cs="Arial"/>
          <w:b/>
          <w:color w:val="auto"/>
          <w:szCs w:val="20"/>
        </w:rPr>
        <w:t>24. 4LAN Egyes mérlegtételek állománya</w:t>
      </w:r>
    </w:p>
    <w:p w14:paraId="73FAEEAC" w14:textId="77777777" w:rsidR="00A46E24" w:rsidRPr="002840AB" w:rsidRDefault="00A46E24" w:rsidP="000E4AE9">
      <w:pPr>
        <w:spacing w:after="0" w:line="240" w:lineRule="auto"/>
        <w:rPr>
          <w:rFonts w:ascii="Arial" w:eastAsia="Calibri" w:hAnsi="Arial" w:cs="Arial"/>
        </w:rPr>
      </w:pPr>
    </w:p>
    <w:p w14:paraId="4AB866F3" w14:textId="1D9B9048" w:rsidR="00DF48CB" w:rsidRPr="002840AB" w:rsidRDefault="00DF48CB" w:rsidP="000E4AE9">
      <w:pPr>
        <w:spacing w:after="120" w:line="240" w:lineRule="auto"/>
        <w:rPr>
          <w:rFonts w:ascii="Arial" w:eastAsia="Calibri" w:hAnsi="Arial" w:cs="Arial"/>
        </w:rPr>
      </w:pPr>
      <w:r w:rsidRPr="002840AB">
        <w:rPr>
          <w:rFonts w:ascii="Arial" w:eastAsia="Calibri" w:hAnsi="Arial" w:cs="Arial"/>
        </w:rPr>
        <w:t>A tábla a hitelintézetek statisztikai mérlege kiemelt eszköz és forrás oldali tételeinek állományait tartalmazza. A betétek, hitelkövetelések és hiteltartozások és a kibocsátott hitelviszonyt megtestesítő értékpapírok állománya</w:t>
      </w:r>
      <w:r w:rsidRPr="002840AB">
        <w:rPr>
          <w:rFonts w:ascii="Arial" w:hAnsi="Arial" w:cs="Arial"/>
        </w:rPr>
        <w:t xml:space="preserve"> az instrumentum bruttó tőkeösszegét takarja, a statisztikai felhalmozott kamatát, értékvesztését, továbbá statisztikai értékelési különbözetét nem tartalmazza. Az eszközoldali hitelviszonyt megtestesítő értékpapírok állománya sorokon a nettó könyv szerinti érték az értékvesztéssel növelve jelentendő.</w:t>
      </w:r>
    </w:p>
    <w:p w14:paraId="1F524E86" w14:textId="77777777" w:rsidR="00DF48CB" w:rsidRPr="002840AB" w:rsidRDefault="00DF48CB" w:rsidP="000E4AE9">
      <w:pPr>
        <w:spacing w:after="120" w:line="240" w:lineRule="auto"/>
        <w:rPr>
          <w:rFonts w:ascii="Arial" w:eastAsia="Calibri" w:hAnsi="Arial" w:cs="Arial"/>
        </w:rPr>
      </w:pPr>
      <w:r w:rsidRPr="002840AB">
        <w:rPr>
          <w:rFonts w:ascii="Arial" w:eastAsia="Calibri" w:hAnsi="Arial" w:cs="Arial"/>
        </w:rPr>
        <w:t xml:space="preserve">Az </w:t>
      </w:r>
      <w:r w:rsidRPr="002840AB">
        <w:rPr>
          <w:rFonts w:ascii="Arial" w:hAnsi="Arial" w:cs="Arial"/>
        </w:rPr>
        <w:t>eszköz és forrás tételeket mindig eredeti lejáratuk alapján kell lejárati kategóriákba sorolni. A tábla adatai információt nyújtanak</w:t>
      </w:r>
      <w:r w:rsidRPr="002840AB">
        <w:rPr>
          <w:rFonts w:ascii="Arial" w:eastAsia="Calibri" w:hAnsi="Arial" w:cs="Arial"/>
        </w:rPr>
        <w:t xml:space="preserve"> a hitelintézetek rövidtávú likviditási helyzetének megítéléséhez. Egyes forrástételeket a hátralévő futamidő szerint is be kell mutatni.</w:t>
      </w:r>
    </w:p>
    <w:p w14:paraId="339B20C7" w14:textId="77777777" w:rsidR="00DF48CB" w:rsidRPr="002840AB" w:rsidRDefault="00DF48CB" w:rsidP="000E4AE9">
      <w:pPr>
        <w:spacing w:after="120" w:line="240" w:lineRule="auto"/>
        <w:rPr>
          <w:rFonts w:ascii="Arial" w:hAnsi="Arial" w:cs="Arial"/>
        </w:rPr>
      </w:pPr>
      <w:bookmarkStart w:id="2" w:name="_Hlk3900008"/>
      <w:r w:rsidRPr="002840AB">
        <w:rPr>
          <w:rFonts w:ascii="Arial" w:hAnsi="Arial" w:cs="Arial"/>
        </w:rPr>
        <w:t xml:space="preserve">A külföldön fióktelepet működtető magyarországi hitelintézet táblájában a külföldi fióktelepek adatai a hitelintézet adataival együtt szerepelnek. Esetükben az alapvető feladatokhoz kapcsolódó adatszolgáltatási </w:t>
      </w:r>
      <w:proofErr w:type="spellStart"/>
      <w:r w:rsidRPr="002840AB">
        <w:rPr>
          <w:rFonts w:ascii="Arial" w:hAnsi="Arial" w:cs="Arial"/>
        </w:rPr>
        <w:t>MNBr</w:t>
      </w:r>
      <w:proofErr w:type="spellEnd"/>
      <w:r w:rsidRPr="002840AB">
        <w:rPr>
          <w:rFonts w:ascii="Arial" w:hAnsi="Arial" w:cs="Arial"/>
        </w:rPr>
        <w:t xml:space="preserve">. szerinti M01 MNB azonosító kódú adatszolgáltatás 02. „Hitelintézetek statisztikai mérlege - az adatszolgáltató külföldi fióktelepekkel együttes adatai” táblájának hivatkozásai az </w:t>
      </w:r>
      <w:proofErr w:type="spellStart"/>
      <w:r w:rsidRPr="002840AB">
        <w:rPr>
          <w:rFonts w:ascii="Arial" w:hAnsi="Arial" w:cs="Arial"/>
        </w:rPr>
        <w:t>irányadóak</w:t>
      </w:r>
      <w:proofErr w:type="spellEnd"/>
      <w:r w:rsidRPr="002840AB">
        <w:rPr>
          <w:rFonts w:ascii="Arial" w:hAnsi="Arial" w:cs="Arial"/>
        </w:rPr>
        <w:t>.</w:t>
      </w:r>
    </w:p>
    <w:bookmarkEnd w:id="2"/>
    <w:p w14:paraId="58B82DB7" w14:textId="7704A6F4" w:rsidR="00153F04" w:rsidRPr="002840AB" w:rsidRDefault="00153F04" w:rsidP="00153F04">
      <w:pPr>
        <w:spacing w:after="120" w:line="240" w:lineRule="auto"/>
        <w:rPr>
          <w:rFonts w:ascii="Arial" w:eastAsia="Calibri" w:hAnsi="Arial" w:cs="Arial"/>
        </w:rPr>
      </w:pPr>
      <w:r w:rsidRPr="002840AB">
        <w:rPr>
          <w:rFonts w:ascii="Arial" w:eastAsia="Calibri" w:hAnsi="Arial" w:cs="Arial"/>
        </w:rPr>
        <w:t xml:space="preserve">Az azonnali </w:t>
      </w:r>
      <w:r w:rsidR="005049BF">
        <w:rPr>
          <w:rFonts w:ascii="Arial" w:eastAsia="Calibri" w:hAnsi="Arial" w:cs="Arial"/>
        </w:rPr>
        <w:t>elszámolás</w:t>
      </w:r>
      <w:r w:rsidRPr="002840AB">
        <w:rPr>
          <w:rFonts w:ascii="Arial" w:eastAsia="Calibri" w:hAnsi="Arial" w:cs="Arial"/>
        </w:rPr>
        <w:t xml:space="preserve"> keretében a napi zárást követően</w:t>
      </w:r>
      <w:r w:rsidR="000656AA">
        <w:rPr>
          <w:rFonts w:ascii="Arial" w:eastAsia="Calibri" w:hAnsi="Arial" w:cs="Arial"/>
        </w:rPr>
        <w:t xml:space="preserve"> lebonyolított</w:t>
      </w:r>
      <w:r w:rsidRPr="002840AB">
        <w:rPr>
          <w:rFonts w:ascii="Arial" w:eastAsia="Calibri" w:hAnsi="Arial" w:cs="Arial"/>
        </w:rPr>
        <w:t xml:space="preserve"> tranzakciókat a tárgynapot követő munkanapra vonatkozóan küldendő jelentésben kell szerepeltetni (a pénteki zárást követően elszámolt, illetve a szombati és a vasárnapi tranzakciókat a hétfői munkanapra vonatkozó jelentésben kell szerepeltetni, kedden).</w:t>
      </w:r>
    </w:p>
    <w:p w14:paraId="3B5B3C74" w14:textId="77777777" w:rsidR="00DF48CB" w:rsidRPr="002840AB" w:rsidRDefault="00DF48CB" w:rsidP="000E4AE9">
      <w:pPr>
        <w:spacing w:line="240" w:lineRule="auto"/>
        <w:rPr>
          <w:rFonts w:ascii="Arial" w:hAnsi="Arial" w:cs="Arial"/>
        </w:rPr>
      </w:pPr>
      <w:r w:rsidRPr="002840AB">
        <w:rPr>
          <w:rFonts w:ascii="Arial" w:hAnsi="Arial" w:cs="Arial"/>
        </w:rPr>
        <w:t>Ha az adatszolgáltatás vonatkozási időpontja bankszünnapra esik, és azon a napon bármilyen ügylet lebonyolítására sor került, arra vonatkozóan az adatszolgáltatást minden esetben teljesíteni kell.</w:t>
      </w:r>
    </w:p>
    <w:p w14:paraId="362B097B" w14:textId="77777777" w:rsidR="00DF48CB" w:rsidRPr="002840AB" w:rsidRDefault="00DF48CB" w:rsidP="000E4AE9">
      <w:pPr>
        <w:spacing w:line="240" w:lineRule="auto"/>
        <w:rPr>
          <w:rFonts w:ascii="Arial" w:hAnsi="Arial" w:cs="Arial"/>
        </w:rPr>
      </w:pPr>
      <w:r w:rsidRPr="002840AB">
        <w:rPr>
          <w:rFonts w:ascii="Arial" w:hAnsi="Arial" w:cs="Arial"/>
        </w:rPr>
        <w:t>Ha az adatszolgáltatás vonatkozási időpontja bankszünnapra esik, de azon a napon ügyletkötés nem történt, akkor aznapra nemleges adatszolgáltatást kell beküldeni.</w:t>
      </w:r>
    </w:p>
    <w:p w14:paraId="1B4765C4" w14:textId="08B5818B" w:rsidR="00DF48CB" w:rsidRPr="002840AB" w:rsidRDefault="00DF48CB" w:rsidP="000E4AE9">
      <w:pPr>
        <w:spacing w:after="0" w:line="240" w:lineRule="auto"/>
        <w:rPr>
          <w:rFonts w:ascii="Arial" w:hAnsi="Arial" w:cs="Arial"/>
        </w:rPr>
      </w:pPr>
      <w:r w:rsidRPr="002840AB">
        <w:rPr>
          <w:rFonts w:ascii="Arial" w:hAnsi="Arial" w:cs="Arial"/>
        </w:rPr>
        <w:t>Ha az adatszolgáltatás teljesítési határideje bankszünnapra esik, és ezért az adatszolgáltató aznap adatszolgáltatást nem tud küldeni, akkor a bankszünnapon teljesítendő adatszolgáltatásokat a következő – nem bankszünnap – munkanapon kell határidőre teljesíteni.</w:t>
      </w:r>
    </w:p>
    <w:p w14:paraId="1D17BF8F" w14:textId="77777777" w:rsidR="00DF48CB" w:rsidRPr="002840AB" w:rsidRDefault="00DF48CB" w:rsidP="000E4AE9">
      <w:pPr>
        <w:spacing w:after="0" w:line="240" w:lineRule="auto"/>
        <w:rPr>
          <w:rFonts w:ascii="Arial" w:hAnsi="Arial" w:cs="Arial"/>
        </w:rPr>
      </w:pPr>
    </w:p>
    <w:p w14:paraId="331CA2FF" w14:textId="77777777" w:rsidR="00DF48CB" w:rsidRPr="002840AB" w:rsidRDefault="00DF48CB" w:rsidP="000E4AE9">
      <w:pPr>
        <w:spacing w:after="0" w:line="240" w:lineRule="auto"/>
        <w:rPr>
          <w:rFonts w:ascii="Arial" w:hAnsi="Arial" w:cs="Arial"/>
          <w:b/>
          <w:snapToGrid w:val="0"/>
        </w:rPr>
      </w:pPr>
      <w:r w:rsidRPr="002840AB">
        <w:rPr>
          <w:rFonts w:ascii="Arial" w:hAnsi="Arial" w:cs="Arial"/>
          <w:b/>
          <w:snapToGrid w:val="0"/>
        </w:rPr>
        <w:t>A tábla sorai</w:t>
      </w:r>
    </w:p>
    <w:p w14:paraId="6CA5E681" w14:textId="77777777" w:rsidR="00DF48CB" w:rsidRPr="002840AB" w:rsidRDefault="00DF48CB" w:rsidP="000E4AE9">
      <w:pPr>
        <w:spacing w:after="0" w:line="240" w:lineRule="auto"/>
        <w:rPr>
          <w:rFonts w:ascii="Arial" w:hAnsi="Arial" w:cs="Arial"/>
          <w:snapToGrid w:val="0"/>
        </w:rPr>
      </w:pPr>
    </w:p>
    <w:tbl>
      <w:tblPr>
        <w:tblW w:w="0" w:type="auto"/>
        <w:tblLayout w:type="fixed"/>
        <w:tblCellMar>
          <w:left w:w="70" w:type="dxa"/>
          <w:right w:w="70" w:type="dxa"/>
        </w:tblCellMar>
        <w:tblLook w:val="0000" w:firstRow="0" w:lastRow="0" w:firstColumn="0" w:lastColumn="0" w:noHBand="0" w:noVBand="0"/>
      </w:tblPr>
      <w:tblGrid>
        <w:gridCol w:w="1346"/>
        <w:gridCol w:w="3969"/>
        <w:gridCol w:w="3898"/>
      </w:tblGrid>
      <w:tr w:rsidR="00DF48CB" w:rsidRPr="002840AB" w14:paraId="2059A5A3" w14:textId="77777777" w:rsidTr="005F5E88">
        <w:trPr>
          <w:trHeight w:val="745"/>
        </w:trPr>
        <w:tc>
          <w:tcPr>
            <w:tcW w:w="1346" w:type="dxa"/>
            <w:tcBorders>
              <w:top w:val="single" w:sz="12" w:space="0" w:color="auto"/>
              <w:left w:val="single" w:sz="12" w:space="0" w:color="auto"/>
              <w:bottom w:val="single" w:sz="12" w:space="0" w:color="auto"/>
              <w:right w:val="single" w:sz="2" w:space="0" w:color="000000"/>
            </w:tcBorders>
            <w:vAlign w:val="center"/>
          </w:tcPr>
          <w:p w14:paraId="3388C2D9" w14:textId="77777777" w:rsidR="00DF48CB" w:rsidRPr="002840AB" w:rsidRDefault="00DF48CB" w:rsidP="006C26AC">
            <w:pPr>
              <w:autoSpaceDE w:val="0"/>
              <w:autoSpaceDN w:val="0"/>
              <w:adjustRightInd w:val="0"/>
              <w:spacing w:line="240" w:lineRule="auto"/>
              <w:jc w:val="center"/>
              <w:rPr>
                <w:rFonts w:ascii="Arial" w:hAnsi="Arial" w:cs="Arial"/>
                <w:b/>
              </w:rPr>
            </w:pPr>
            <w:r w:rsidRPr="002840AB">
              <w:rPr>
                <w:rFonts w:ascii="Arial" w:hAnsi="Arial" w:cs="Arial"/>
                <w:b/>
              </w:rPr>
              <w:t>SOR</w:t>
            </w:r>
          </w:p>
        </w:tc>
        <w:tc>
          <w:tcPr>
            <w:tcW w:w="3969" w:type="dxa"/>
            <w:tcBorders>
              <w:top w:val="single" w:sz="12" w:space="0" w:color="auto"/>
              <w:left w:val="single" w:sz="2" w:space="0" w:color="000000"/>
              <w:bottom w:val="single" w:sz="12" w:space="0" w:color="auto"/>
              <w:right w:val="single" w:sz="6" w:space="0" w:color="auto"/>
            </w:tcBorders>
            <w:vAlign w:val="center"/>
          </w:tcPr>
          <w:p w14:paraId="20A7CC89" w14:textId="77777777" w:rsidR="00DF48CB" w:rsidRPr="002840AB" w:rsidRDefault="00DF48CB" w:rsidP="006C26AC">
            <w:pPr>
              <w:autoSpaceDE w:val="0"/>
              <w:autoSpaceDN w:val="0"/>
              <w:adjustRightInd w:val="0"/>
              <w:spacing w:line="240" w:lineRule="auto"/>
              <w:jc w:val="center"/>
              <w:rPr>
                <w:rFonts w:ascii="Arial" w:hAnsi="Arial" w:cs="Arial"/>
                <w:b/>
              </w:rPr>
            </w:pPr>
            <w:r w:rsidRPr="002840AB">
              <w:rPr>
                <w:rFonts w:ascii="Arial" w:hAnsi="Arial" w:cs="Arial"/>
                <w:b/>
              </w:rPr>
              <w:t>MEGNEVEZÉS</w:t>
            </w:r>
          </w:p>
        </w:tc>
        <w:tc>
          <w:tcPr>
            <w:tcW w:w="3898" w:type="dxa"/>
            <w:tcBorders>
              <w:top w:val="single" w:sz="12" w:space="0" w:color="auto"/>
              <w:left w:val="single" w:sz="6" w:space="0" w:color="auto"/>
              <w:bottom w:val="single" w:sz="12" w:space="0" w:color="auto"/>
              <w:right w:val="single" w:sz="12" w:space="0" w:color="auto"/>
            </w:tcBorders>
            <w:vAlign w:val="center"/>
          </w:tcPr>
          <w:p w14:paraId="605E651B" w14:textId="363767D2" w:rsidR="00DF48CB" w:rsidRPr="002840AB" w:rsidRDefault="00DF48CB" w:rsidP="006C26AC">
            <w:pPr>
              <w:autoSpaceDE w:val="0"/>
              <w:autoSpaceDN w:val="0"/>
              <w:adjustRightInd w:val="0"/>
              <w:spacing w:line="240" w:lineRule="auto"/>
              <w:jc w:val="center"/>
              <w:rPr>
                <w:rFonts w:ascii="Arial" w:hAnsi="Arial" w:cs="Arial"/>
                <w:b/>
                <w:bCs/>
              </w:rPr>
            </w:pPr>
            <w:r w:rsidRPr="002840AB">
              <w:rPr>
                <w:rFonts w:ascii="Arial" w:hAnsi="Arial" w:cs="Arial"/>
                <w:b/>
                <w:bCs/>
              </w:rPr>
              <w:t xml:space="preserve">HIVATKOZÁS [alapvető feladatokhoz kapcsolódó adatszolgáltatási </w:t>
            </w:r>
            <w:proofErr w:type="spellStart"/>
            <w:r w:rsidRPr="002840AB">
              <w:rPr>
                <w:rFonts w:ascii="Arial" w:hAnsi="Arial" w:cs="Arial"/>
                <w:b/>
                <w:bCs/>
              </w:rPr>
              <w:t>MNBr</w:t>
            </w:r>
            <w:proofErr w:type="spellEnd"/>
            <w:r w:rsidRPr="002840AB">
              <w:rPr>
                <w:rFonts w:ascii="Arial" w:hAnsi="Arial" w:cs="Arial"/>
                <w:b/>
                <w:bCs/>
              </w:rPr>
              <w:t>. szerinti M01 MNB azonosító kódú adatszolgáltatás, illetve a 4LAN és a 10GB kódú tábla vonatkozó sorai]</w:t>
            </w:r>
          </w:p>
        </w:tc>
      </w:tr>
      <w:tr w:rsidR="00DF48CB" w:rsidRPr="002840AB" w14:paraId="7A7D5804" w14:textId="77777777" w:rsidTr="005F5E88">
        <w:trPr>
          <w:trHeight w:val="639"/>
        </w:trPr>
        <w:tc>
          <w:tcPr>
            <w:tcW w:w="1346" w:type="dxa"/>
            <w:tcBorders>
              <w:top w:val="single" w:sz="12" w:space="0" w:color="auto"/>
              <w:left w:val="single" w:sz="12" w:space="0" w:color="auto"/>
              <w:bottom w:val="single" w:sz="6" w:space="0" w:color="auto"/>
              <w:right w:val="single" w:sz="6" w:space="0" w:color="auto"/>
            </w:tcBorders>
            <w:vAlign w:val="center"/>
          </w:tcPr>
          <w:p w14:paraId="2A34161D"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w:t>
            </w:r>
          </w:p>
        </w:tc>
        <w:tc>
          <w:tcPr>
            <w:tcW w:w="3969" w:type="dxa"/>
            <w:tcBorders>
              <w:top w:val="single" w:sz="12" w:space="0" w:color="auto"/>
              <w:left w:val="single" w:sz="6" w:space="0" w:color="auto"/>
              <w:bottom w:val="single" w:sz="6" w:space="0" w:color="auto"/>
              <w:right w:val="single" w:sz="6" w:space="0" w:color="auto"/>
            </w:tcBorders>
            <w:vAlign w:val="center"/>
          </w:tcPr>
          <w:p w14:paraId="2B411D58" w14:textId="77777777" w:rsidR="00DF48CB" w:rsidRPr="002840AB" w:rsidRDefault="00DF48CB" w:rsidP="006C26AC">
            <w:pPr>
              <w:spacing w:line="240" w:lineRule="auto"/>
              <w:rPr>
                <w:rFonts w:ascii="Arial" w:hAnsi="Arial" w:cs="Arial"/>
              </w:rPr>
            </w:pPr>
            <w:r w:rsidRPr="002840AB">
              <w:rPr>
                <w:rFonts w:ascii="Arial" w:hAnsi="Arial" w:cs="Arial"/>
              </w:rPr>
              <w:t>Eszköz oldali tételek</w:t>
            </w:r>
          </w:p>
        </w:tc>
        <w:tc>
          <w:tcPr>
            <w:tcW w:w="3898" w:type="dxa"/>
            <w:tcBorders>
              <w:top w:val="single" w:sz="12" w:space="0" w:color="auto"/>
              <w:left w:val="single" w:sz="6" w:space="0" w:color="auto"/>
              <w:bottom w:val="single" w:sz="6" w:space="0" w:color="auto"/>
              <w:right w:val="single" w:sz="12" w:space="0" w:color="auto"/>
            </w:tcBorders>
            <w:shd w:val="clear" w:color="auto" w:fill="BFBFBF"/>
            <w:vAlign w:val="center"/>
          </w:tcPr>
          <w:p w14:paraId="7C0F8564" w14:textId="77777777" w:rsidR="00DF48CB" w:rsidRPr="002840AB" w:rsidRDefault="00DF48CB" w:rsidP="006C26AC">
            <w:pPr>
              <w:spacing w:line="240" w:lineRule="auto"/>
              <w:rPr>
                <w:rFonts w:ascii="Arial" w:hAnsi="Arial" w:cs="Arial"/>
              </w:rPr>
            </w:pPr>
          </w:p>
        </w:tc>
      </w:tr>
      <w:tr w:rsidR="00DF48CB" w:rsidRPr="002840AB" w14:paraId="515AD47B" w14:textId="77777777" w:rsidTr="005F5E88">
        <w:trPr>
          <w:trHeight w:val="305"/>
        </w:trPr>
        <w:tc>
          <w:tcPr>
            <w:tcW w:w="1346" w:type="dxa"/>
            <w:tcBorders>
              <w:top w:val="single" w:sz="6" w:space="0" w:color="auto"/>
              <w:left w:val="single" w:sz="12" w:space="0" w:color="auto"/>
              <w:bottom w:val="single" w:sz="6" w:space="0" w:color="auto"/>
              <w:right w:val="single" w:sz="6" w:space="0" w:color="auto"/>
            </w:tcBorders>
            <w:vAlign w:val="center"/>
          </w:tcPr>
          <w:p w14:paraId="35A69A0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w:t>
            </w:r>
          </w:p>
        </w:tc>
        <w:tc>
          <w:tcPr>
            <w:tcW w:w="3969" w:type="dxa"/>
            <w:tcBorders>
              <w:top w:val="single" w:sz="6" w:space="0" w:color="auto"/>
              <w:left w:val="single" w:sz="6" w:space="0" w:color="auto"/>
              <w:bottom w:val="single" w:sz="6" w:space="0" w:color="auto"/>
              <w:right w:val="single" w:sz="6" w:space="0" w:color="auto"/>
            </w:tcBorders>
            <w:vAlign w:val="center"/>
          </w:tcPr>
          <w:p w14:paraId="53709D4B" w14:textId="77777777" w:rsidR="00DF48CB" w:rsidRPr="002840AB" w:rsidRDefault="00DF48CB" w:rsidP="006C26AC">
            <w:pPr>
              <w:spacing w:line="240" w:lineRule="auto"/>
              <w:rPr>
                <w:rFonts w:ascii="Arial" w:hAnsi="Arial" w:cs="Arial"/>
              </w:rPr>
            </w:pPr>
            <w:r w:rsidRPr="002840AB">
              <w:rPr>
                <w:rFonts w:ascii="Arial" w:hAnsi="Arial" w:cs="Arial"/>
              </w:rPr>
              <w:t>Likvid eszközök</w:t>
            </w:r>
          </w:p>
        </w:tc>
        <w:tc>
          <w:tcPr>
            <w:tcW w:w="3898" w:type="dxa"/>
            <w:tcBorders>
              <w:top w:val="single" w:sz="6" w:space="0" w:color="auto"/>
              <w:left w:val="single" w:sz="6" w:space="0" w:color="auto"/>
              <w:bottom w:val="single" w:sz="6" w:space="0" w:color="auto"/>
              <w:right w:val="single" w:sz="12" w:space="0" w:color="auto"/>
            </w:tcBorders>
            <w:shd w:val="clear" w:color="auto" w:fill="BFBFBF"/>
            <w:vAlign w:val="center"/>
          </w:tcPr>
          <w:p w14:paraId="224F2568" w14:textId="77777777" w:rsidR="00DF48CB" w:rsidRPr="002840AB" w:rsidRDefault="00DF48CB" w:rsidP="006C26AC">
            <w:pPr>
              <w:spacing w:line="240" w:lineRule="auto"/>
              <w:rPr>
                <w:rFonts w:ascii="Arial" w:hAnsi="Arial" w:cs="Arial"/>
              </w:rPr>
            </w:pPr>
          </w:p>
        </w:tc>
      </w:tr>
      <w:tr w:rsidR="00DF48CB" w:rsidRPr="002840AB" w14:paraId="357D5FBB" w14:textId="77777777" w:rsidTr="005F5E88">
        <w:trPr>
          <w:trHeight w:val="305"/>
        </w:trPr>
        <w:tc>
          <w:tcPr>
            <w:tcW w:w="1346" w:type="dxa"/>
            <w:tcBorders>
              <w:top w:val="single" w:sz="6" w:space="0" w:color="auto"/>
              <w:left w:val="single" w:sz="12" w:space="0" w:color="auto"/>
              <w:bottom w:val="single" w:sz="6" w:space="0" w:color="auto"/>
              <w:right w:val="single" w:sz="6" w:space="0" w:color="auto"/>
            </w:tcBorders>
            <w:vAlign w:val="center"/>
          </w:tcPr>
          <w:p w14:paraId="24965A63"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4LAN111</w:t>
            </w:r>
          </w:p>
        </w:tc>
        <w:tc>
          <w:tcPr>
            <w:tcW w:w="3969" w:type="dxa"/>
            <w:tcBorders>
              <w:top w:val="single" w:sz="6" w:space="0" w:color="auto"/>
              <w:left w:val="single" w:sz="6" w:space="0" w:color="auto"/>
              <w:bottom w:val="single" w:sz="6" w:space="0" w:color="auto"/>
              <w:right w:val="single" w:sz="6" w:space="0" w:color="auto"/>
            </w:tcBorders>
            <w:vAlign w:val="center"/>
          </w:tcPr>
          <w:p w14:paraId="37164A6D" w14:textId="77777777" w:rsidR="00DF48CB" w:rsidRPr="002840AB" w:rsidRDefault="00DF48CB" w:rsidP="006C26AC">
            <w:pPr>
              <w:spacing w:line="240" w:lineRule="auto"/>
              <w:rPr>
                <w:rFonts w:ascii="Arial" w:hAnsi="Arial" w:cs="Arial"/>
              </w:rPr>
            </w:pPr>
            <w:r w:rsidRPr="002840AB">
              <w:rPr>
                <w:rFonts w:ascii="Arial" w:hAnsi="Arial" w:cs="Arial"/>
              </w:rPr>
              <w:t>Készpénz (pénztár)</w:t>
            </w:r>
          </w:p>
        </w:tc>
        <w:tc>
          <w:tcPr>
            <w:tcW w:w="3898" w:type="dxa"/>
            <w:tcBorders>
              <w:top w:val="single" w:sz="6" w:space="0" w:color="auto"/>
              <w:left w:val="single" w:sz="6" w:space="0" w:color="auto"/>
              <w:bottom w:val="single" w:sz="6" w:space="0" w:color="auto"/>
              <w:right w:val="single" w:sz="12" w:space="0" w:color="auto"/>
            </w:tcBorders>
            <w:vAlign w:val="center"/>
          </w:tcPr>
          <w:p w14:paraId="6D3215DB" w14:textId="77777777" w:rsidR="00DF48CB" w:rsidRPr="002840AB" w:rsidRDefault="00DF48CB" w:rsidP="006C26AC">
            <w:pPr>
              <w:spacing w:line="240" w:lineRule="auto"/>
              <w:rPr>
                <w:rFonts w:ascii="Arial" w:hAnsi="Arial" w:cs="Arial"/>
              </w:rPr>
            </w:pPr>
            <w:r w:rsidRPr="002840AB">
              <w:rPr>
                <w:rFonts w:ascii="Arial" w:hAnsi="Arial" w:cs="Arial"/>
              </w:rPr>
              <w:t>M01 01/02 tábla 002 sor</w:t>
            </w:r>
          </w:p>
        </w:tc>
      </w:tr>
      <w:tr w:rsidR="00DF48CB" w:rsidRPr="002840AB" w14:paraId="36821573" w14:textId="77777777" w:rsidTr="005F5E88">
        <w:trPr>
          <w:trHeight w:val="368"/>
        </w:trPr>
        <w:tc>
          <w:tcPr>
            <w:tcW w:w="1346" w:type="dxa"/>
            <w:tcBorders>
              <w:top w:val="single" w:sz="6" w:space="0" w:color="auto"/>
              <w:left w:val="single" w:sz="12" w:space="0" w:color="auto"/>
              <w:bottom w:val="single" w:sz="6" w:space="0" w:color="auto"/>
              <w:right w:val="single" w:sz="6" w:space="0" w:color="auto"/>
            </w:tcBorders>
            <w:vAlign w:val="center"/>
          </w:tcPr>
          <w:p w14:paraId="25CE5570"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4LAN112</w:t>
            </w:r>
          </w:p>
        </w:tc>
        <w:tc>
          <w:tcPr>
            <w:tcW w:w="3969" w:type="dxa"/>
            <w:tcBorders>
              <w:top w:val="single" w:sz="6" w:space="0" w:color="auto"/>
              <w:left w:val="single" w:sz="6" w:space="0" w:color="auto"/>
              <w:bottom w:val="single" w:sz="6" w:space="0" w:color="auto"/>
              <w:right w:val="single" w:sz="6" w:space="0" w:color="auto"/>
            </w:tcBorders>
            <w:vAlign w:val="center"/>
          </w:tcPr>
          <w:p w14:paraId="77B06E9E" w14:textId="77777777" w:rsidR="00DF48CB" w:rsidRPr="002840AB" w:rsidRDefault="00DF48CB" w:rsidP="006C26AC">
            <w:pPr>
              <w:spacing w:line="240" w:lineRule="auto"/>
              <w:rPr>
                <w:rFonts w:ascii="Arial" w:hAnsi="Arial" w:cs="Arial"/>
              </w:rPr>
            </w:pPr>
            <w:r w:rsidRPr="002840AB">
              <w:rPr>
                <w:rFonts w:ascii="Arial" w:hAnsi="Arial" w:cs="Arial"/>
              </w:rPr>
              <w:t>Látra szóló és folyószámla betétek</w:t>
            </w:r>
          </w:p>
        </w:tc>
        <w:tc>
          <w:tcPr>
            <w:tcW w:w="3898" w:type="dxa"/>
            <w:tcBorders>
              <w:top w:val="single" w:sz="6" w:space="0" w:color="auto"/>
              <w:left w:val="single" w:sz="6" w:space="0" w:color="auto"/>
              <w:bottom w:val="single" w:sz="6" w:space="0" w:color="auto"/>
              <w:right w:val="single" w:sz="12" w:space="0" w:color="auto"/>
            </w:tcBorders>
            <w:vAlign w:val="center"/>
          </w:tcPr>
          <w:p w14:paraId="4690A7CC" w14:textId="77777777" w:rsidR="00DF48CB" w:rsidRPr="002840AB" w:rsidRDefault="00DF48CB" w:rsidP="006C26AC">
            <w:pPr>
              <w:spacing w:line="240" w:lineRule="auto"/>
              <w:rPr>
                <w:rFonts w:ascii="Arial" w:hAnsi="Arial" w:cs="Arial"/>
              </w:rPr>
            </w:pPr>
            <w:r w:rsidRPr="002840AB">
              <w:rPr>
                <w:rFonts w:ascii="Arial" w:hAnsi="Arial" w:cs="Arial"/>
              </w:rPr>
              <w:t>M01 01/02 tábla 005 + 006 + 007 + 008 sorok</w:t>
            </w:r>
          </w:p>
        </w:tc>
      </w:tr>
      <w:tr w:rsidR="00DF48CB" w:rsidRPr="002840AB" w14:paraId="1313FCB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377DBC89"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4LAN1121</w:t>
            </w:r>
          </w:p>
        </w:tc>
        <w:tc>
          <w:tcPr>
            <w:tcW w:w="3969" w:type="dxa"/>
            <w:tcBorders>
              <w:top w:val="single" w:sz="6" w:space="0" w:color="auto"/>
              <w:left w:val="single" w:sz="6" w:space="0" w:color="auto"/>
              <w:bottom w:val="single" w:sz="6" w:space="0" w:color="auto"/>
              <w:right w:val="single" w:sz="6" w:space="0" w:color="auto"/>
            </w:tcBorders>
            <w:vAlign w:val="center"/>
          </w:tcPr>
          <w:p w14:paraId="6DB6B2DA" w14:textId="77777777" w:rsidR="00DF48CB" w:rsidRPr="002840AB" w:rsidRDefault="00DF48CB" w:rsidP="006C26AC">
            <w:pPr>
              <w:spacing w:line="240" w:lineRule="auto"/>
              <w:rPr>
                <w:rFonts w:ascii="Arial" w:hAnsi="Arial" w:cs="Arial"/>
              </w:rPr>
            </w:pPr>
            <w:r w:rsidRPr="002840AB">
              <w:rPr>
                <w:rFonts w:ascii="Arial" w:hAnsi="Arial" w:cs="Arial"/>
              </w:rPr>
              <w:t>ebből: Központi Bank</w:t>
            </w:r>
          </w:p>
        </w:tc>
        <w:tc>
          <w:tcPr>
            <w:tcW w:w="3898" w:type="dxa"/>
            <w:tcBorders>
              <w:top w:val="single" w:sz="6" w:space="0" w:color="auto"/>
              <w:left w:val="single" w:sz="6" w:space="0" w:color="auto"/>
              <w:bottom w:val="single" w:sz="6" w:space="0" w:color="auto"/>
              <w:right w:val="single" w:sz="12" w:space="0" w:color="auto"/>
            </w:tcBorders>
            <w:vAlign w:val="center"/>
          </w:tcPr>
          <w:p w14:paraId="14F8424B" w14:textId="77777777" w:rsidR="00DF48CB" w:rsidRPr="002840AB" w:rsidRDefault="00DF48CB" w:rsidP="006C26AC">
            <w:pPr>
              <w:spacing w:line="240" w:lineRule="auto"/>
              <w:rPr>
                <w:rFonts w:ascii="Arial" w:hAnsi="Arial" w:cs="Arial"/>
              </w:rPr>
            </w:pPr>
            <w:r w:rsidRPr="002840AB">
              <w:rPr>
                <w:rFonts w:ascii="Arial" w:hAnsi="Arial" w:cs="Arial"/>
              </w:rPr>
              <w:t>M01 01/02 tábla 005 sor</w:t>
            </w:r>
          </w:p>
        </w:tc>
      </w:tr>
      <w:tr w:rsidR="00DF48CB" w:rsidRPr="002840AB" w14:paraId="0B821416"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00D26DD8"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4LAN113</w:t>
            </w:r>
          </w:p>
        </w:tc>
        <w:tc>
          <w:tcPr>
            <w:tcW w:w="3969" w:type="dxa"/>
            <w:tcBorders>
              <w:top w:val="single" w:sz="6" w:space="0" w:color="auto"/>
              <w:left w:val="single" w:sz="6" w:space="0" w:color="auto"/>
              <w:bottom w:val="single" w:sz="6" w:space="0" w:color="auto"/>
              <w:right w:val="single" w:sz="6" w:space="0" w:color="auto"/>
            </w:tcBorders>
            <w:vAlign w:val="center"/>
          </w:tcPr>
          <w:p w14:paraId="23CCB2E4" w14:textId="77777777" w:rsidR="00DF48CB" w:rsidRPr="002840AB" w:rsidRDefault="00DF48CB" w:rsidP="006C26AC">
            <w:pPr>
              <w:spacing w:line="240" w:lineRule="auto"/>
              <w:rPr>
                <w:rFonts w:ascii="Arial" w:hAnsi="Arial" w:cs="Arial"/>
              </w:rPr>
            </w:pPr>
            <w:r w:rsidRPr="002840AB">
              <w:rPr>
                <w:rFonts w:ascii="Arial" w:hAnsi="Arial" w:cs="Arial"/>
                <w:b/>
              </w:rPr>
              <w:t>Hitelviszonyt megtestesítő értékpapírok nettó könyv szerinti értéke</w:t>
            </w:r>
            <w:r w:rsidRPr="002840AB">
              <w:rPr>
                <w:rFonts w:ascii="Arial" w:hAnsi="Arial" w:cs="Arial"/>
              </w:rPr>
              <w:t xml:space="preserve">, </w:t>
            </w:r>
            <w:r w:rsidRPr="002840AB">
              <w:rPr>
                <w:rFonts w:ascii="Arial" w:hAnsi="Arial" w:cs="Arial"/>
                <w:b/>
              </w:rPr>
              <w:t>rövid</w:t>
            </w:r>
            <w:r w:rsidRPr="002840AB">
              <w:rPr>
                <w:rFonts w:ascii="Arial" w:hAnsi="Arial" w:cs="Arial"/>
              </w:rPr>
              <w:t xml:space="preserve"> + </w:t>
            </w:r>
            <w:r w:rsidRPr="002840AB">
              <w:rPr>
                <w:rFonts w:ascii="Arial" w:hAnsi="Arial" w:cs="Arial"/>
                <w:b/>
              </w:rPr>
              <w:t>Hitelviszonyt megtestesítő értékpapírok nettó könyv szerinti értéke,</w:t>
            </w:r>
            <w:r w:rsidRPr="002840AB">
              <w:rPr>
                <w:rFonts w:ascii="Arial" w:hAnsi="Arial" w:cs="Arial"/>
              </w:rPr>
              <w:t xml:space="preserve"> </w:t>
            </w:r>
            <w:r w:rsidRPr="002840AB">
              <w:rPr>
                <w:rFonts w:ascii="Arial" w:hAnsi="Arial" w:cs="Arial"/>
                <w:b/>
              </w:rPr>
              <w:t>hosszú</w:t>
            </w:r>
            <w:r w:rsidRPr="002840AB">
              <w:rPr>
                <w:rFonts w:ascii="Arial" w:hAnsi="Arial" w:cs="Arial"/>
              </w:rPr>
              <w:t xml:space="preserve"> + </w:t>
            </w:r>
            <w:r w:rsidRPr="002840AB">
              <w:rPr>
                <w:rFonts w:ascii="Arial" w:hAnsi="Arial" w:cs="Arial"/>
                <w:b/>
              </w:rPr>
              <w:t>Hitelviszonyt megtestesítő értékpapírok értékvesztése, rövid +</w:t>
            </w:r>
            <w:r w:rsidRPr="002840AB">
              <w:rPr>
                <w:rFonts w:ascii="Arial" w:hAnsi="Arial" w:cs="Arial"/>
              </w:rPr>
              <w:t xml:space="preserve"> </w:t>
            </w:r>
            <w:r w:rsidRPr="002840AB">
              <w:rPr>
                <w:rFonts w:ascii="Arial" w:hAnsi="Arial" w:cs="Arial"/>
                <w:b/>
              </w:rPr>
              <w:t xml:space="preserve">Hitelviszonyt </w:t>
            </w:r>
            <w:r w:rsidRPr="002840AB">
              <w:rPr>
                <w:rFonts w:ascii="Arial" w:hAnsi="Arial" w:cs="Arial"/>
                <w:b/>
              </w:rPr>
              <w:lastRenderedPageBreak/>
              <w:t>megtestesítő értékpapírok értékvesztése, hosszú</w:t>
            </w:r>
            <w:r w:rsidRPr="002840AB">
              <w:rPr>
                <w:rFonts w:ascii="Arial" w:hAnsi="Arial" w:cs="Arial"/>
              </w:rPr>
              <w:t xml:space="preserve"> - </w:t>
            </w:r>
            <w:r w:rsidRPr="002840AB">
              <w:rPr>
                <w:rFonts w:ascii="Arial" w:hAnsi="Arial" w:cs="Arial"/>
                <w:i/>
              </w:rPr>
              <w:t>Belföld, Központi kormányzat, Központi bank</w:t>
            </w:r>
          </w:p>
        </w:tc>
        <w:tc>
          <w:tcPr>
            <w:tcW w:w="3898" w:type="dxa"/>
            <w:tcBorders>
              <w:top w:val="single" w:sz="6" w:space="0" w:color="auto"/>
              <w:left w:val="single" w:sz="6" w:space="0" w:color="auto"/>
              <w:bottom w:val="single" w:sz="6" w:space="0" w:color="auto"/>
              <w:right w:val="single" w:sz="12" w:space="0" w:color="auto"/>
            </w:tcBorders>
            <w:vAlign w:val="center"/>
          </w:tcPr>
          <w:p w14:paraId="7EF789E0" w14:textId="77777777" w:rsidR="00DF48CB" w:rsidRPr="002840AB" w:rsidRDefault="00DF48CB" w:rsidP="006C26AC">
            <w:pPr>
              <w:spacing w:line="240" w:lineRule="auto"/>
              <w:rPr>
                <w:rFonts w:ascii="Arial" w:hAnsi="Arial" w:cs="Arial"/>
              </w:rPr>
            </w:pPr>
            <w:r w:rsidRPr="002840AB">
              <w:rPr>
                <w:rFonts w:ascii="Arial" w:hAnsi="Arial" w:cs="Arial"/>
              </w:rPr>
              <w:lastRenderedPageBreak/>
              <w:t xml:space="preserve">M01 01/02 tábla 311 + 332 - 268 - 289 -262 - 283 - 305 - 326 sorok </w:t>
            </w:r>
          </w:p>
          <w:p w14:paraId="797152CA" w14:textId="77777777" w:rsidR="00DF48CB" w:rsidRPr="002840AB" w:rsidRDefault="00DF48CB" w:rsidP="006C26AC">
            <w:pPr>
              <w:spacing w:line="240" w:lineRule="auto"/>
              <w:rPr>
                <w:rFonts w:ascii="Arial" w:hAnsi="Arial" w:cs="Arial"/>
              </w:rPr>
            </w:pPr>
          </w:p>
        </w:tc>
      </w:tr>
      <w:tr w:rsidR="00DF48CB" w:rsidRPr="002840AB" w14:paraId="38872C81"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849377B"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4LAN1131</w:t>
            </w:r>
          </w:p>
        </w:tc>
        <w:tc>
          <w:tcPr>
            <w:tcW w:w="3969" w:type="dxa"/>
            <w:tcBorders>
              <w:top w:val="single" w:sz="6" w:space="0" w:color="auto"/>
              <w:left w:val="single" w:sz="6" w:space="0" w:color="auto"/>
              <w:bottom w:val="single" w:sz="6" w:space="0" w:color="auto"/>
              <w:right w:val="single" w:sz="6" w:space="0" w:color="auto"/>
            </w:tcBorders>
            <w:vAlign w:val="center"/>
          </w:tcPr>
          <w:p w14:paraId="4BE238F5" w14:textId="77777777" w:rsidR="00DF48CB" w:rsidRPr="002840AB" w:rsidRDefault="00DF48CB" w:rsidP="006C26AC">
            <w:pPr>
              <w:spacing w:line="240" w:lineRule="auto"/>
              <w:rPr>
                <w:rFonts w:ascii="Arial" w:hAnsi="Arial" w:cs="Arial"/>
              </w:rPr>
            </w:pPr>
            <w:r w:rsidRPr="002840AB">
              <w:rPr>
                <w:rFonts w:ascii="Arial" w:hAnsi="Arial" w:cs="Arial"/>
              </w:rPr>
              <w:t>ebből: szabad rendelkezésű</w:t>
            </w:r>
          </w:p>
        </w:tc>
        <w:tc>
          <w:tcPr>
            <w:tcW w:w="3898" w:type="dxa"/>
            <w:tcBorders>
              <w:top w:val="single" w:sz="6" w:space="0" w:color="auto"/>
              <w:left w:val="single" w:sz="6" w:space="0" w:color="auto"/>
              <w:bottom w:val="single" w:sz="6" w:space="0" w:color="auto"/>
              <w:right w:val="single" w:sz="12" w:space="0" w:color="auto"/>
            </w:tcBorders>
            <w:vAlign w:val="center"/>
          </w:tcPr>
          <w:p w14:paraId="40AFEF96" w14:textId="77777777" w:rsidR="00DF48CB" w:rsidRPr="002840AB" w:rsidRDefault="00DF48CB" w:rsidP="006C26AC">
            <w:pPr>
              <w:spacing w:line="240" w:lineRule="auto"/>
              <w:rPr>
                <w:rFonts w:ascii="Arial" w:hAnsi="Arial" w:cs="Arial"/>
              </w:rPr>
            </w:pPr>
            <w:r w:rsidRPr="002840AB">
              <w:rPr>
                <w:rFonts w:ascii="Arial" w:hAnsi="Arial" w:cs="Arial"/>
              </w:rPr>
              <w:t>ideértve a lekötött, de ki nem használt hitelkerethez kapcsolódó értékpapírokat is</w:t>
            </w:r>
          </w:p>
        </w:tc>
      </w:tr>
      <w:tr w:rsidR="00DF48CB" w:rsidRPr="002840AB" w14:paraId="7DF8AA8D"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34C310A1"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4LAN12</w:t>
            </w:r>
          </w:p>
        </w:tc>
        <w:tc>
          <w:tcPr>
            <w:tcW w:w="3969" w:type="dxa"/>
            <w:tcBorders>
              <w:top w:val="single" w:sz="6" w:space="0" w:color="auto"/>
              <w:left w:val="single" w:sz="6" w:space="0" w:color="auto"/>
              <w:bottom w:val="single" w:sz="6" w:space="0" w:color="auto"/>
              <w:right w:val="single" w:sz="6" w:space="0" w:color="auto"/>
            </w:tcBorders>
            <w:vAlign w:val="center"/>
          </w:tcPr>
          <w:p w14:paraId="3A61BA12" w14:textId="77777777" w:rsidR="00DF48CB" w:rsidRPr="002840AB" w:rsidRDefault="00DF48CB" w:rsidP="006C26AC">
            <w:pPr>
              <w:spacing w:line="240" w:lineRule="auto"/>
              <w:rPr>
                <w:rFonts w:ascii="Arial" w:hAnsi="Arial" w:cs="Arial"/>
              </w:rPr>
            </w:pPr>
            <w:r w:rsidRPr="002840AB">
              <w:rPr>
                <w:rFonts w:ascii="Arial" w:hAnsi="Arial" w:cs="Arial"/>
              </w:rPr>
              <w:t>Jegybankkal szembeni követelés</w:t>
            </w:r>
          </w:p>
        </w:tc>
        <w:tc>
          <w:tcPr>
            <w:tcW w:w="3898" w:type="dxa"/>
            <w:tcBorders>
              <w:top w:val="single" w:sz="6" w:space="0" w:color="auto"/>
              <w:left w:val="single" w:sz="6" w:space="0" w:color="auto"/>
              <w:bottom w:val="single" w:sz="6" w:space="0" w:color="auto"/>
              <w:right w:val="single" w:sz="12" w:space="0" w:color="auto"/>
            </w:tcBorders>
            <w:vAlign w:val="center"/>
          </w:tcPr>
          <w:p w14:paraId="522C0640" w14:textId="77777777" w:rsidR="00DF48CB" w:rsidRPr="002840AB" w:rsidRDefault="00DF48CB" w:rsidP="006C26AC">
            <w:pPr>
              <w:spacing w:line="240" w:lineRule="auto"/>
              <w:rPr>
                <w:rFonts w:ascii="Arial" w:hAnsi="Arial" w:cs="Arial"/>
              </w:rPr>
            </w:pPr>
            <w:r w:rsidRPr="002840AB">
              <w:rPr>
                <w:rFonts w:ascii="Arial" w:hAnsi="Arial" w:cs="Arial"/>
              </w:rPr>
              <w:t>4LAN121+4LAN122</w:t>
            </w:r>
          </w:p>
        </w:tc>
      </w:tr>
      <w:tr w:rsidR="00DF48CB" w:rsidRPr="002840AB" w14:paraId="7B1792D2"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7B3D33E"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4LAN121</w:t>
            </w:r>
          </w:p>
        </w:tc>
        <w:tc>
          <w:tcPr>
            <w:tcW w:w="3969" w:type="dxa"/>
            <w:tcBorders>
              <w:top w:val="single" w:sz="6" w:space="0" w:color="auto"/>
              <w:left w:val="single" w:sz="6" w:space="0" w:color="auto"/>
              <w:bottom w:val="single" w:sz="6" w:space="0" w:color="auto"/>
              <w:right w:val="single" w:sz="6" w:space="0" w:color="auto"/>
            </w:tcBorders>
            <w:vAlign w:val="center"/>
          </w:tcPr>
          <w:p w14:paraId="58BBBA47" w14:textId="77777777" w:rsidR="00DF48CB" w:rsidRPr="002840AB" w:rsidRDefault="00DF48CB" w:rsidP="006C26AC">
            <w:pPr>
              <w:spacing w:line="240" w:lineRule="auto"/>
              <w:rPr>
                <w:rFonts w:ascii="Arial" w:hAnsi="Arial" w:cs="Arial"/>
              </w:rPr>
            </w:pPr>
            <w:proofErr w:type="spellStart"/>
            <w:r w:rsidRPr="002840AB">
              <w:rPr>
                <w:rFonts w:ascii="Arial" w:hAnsi="Arial" w:cs="Arial"/>
                <w:b/>
              </w:rPr>
              <w:t>Repóügyletekből</w:t>
            </w:r>
            <w:proofErr w:type="spellEnd"/>
            <w:r w:rsidRPr="002840AB">
              <w:rPr>
                <w:rFonts w:ascii="Arial" w:hAnsi="Arial" w:cs="Arial"/>
                <w:b/>
              </w:rPr>
              <w:t xml:space="preserve"> eredő követelés + Folyószámla hitel + Egyéb hitel, rövid</w:t>
            </w:r>
            <w:r w:rsidRPr="002840AB">
              <w:rPr>
                <w:rFonts w:ascii="Arial" w:hAnsi="Arial" w:cs="Arial"/>
                <w:i/>
              </w:rPr>
              <w:t xml:space="preserve"> – Belföld, Központi bank</w:t>
            </w:r>
          </w:p>
        </w:tc>
        <w:tc>
          <w:tcPr>
            <w:tcW w:w="3898" w:type="dxa"/>
            <w:tcBorders>
              <w:top w:val="single" w:sz="6" w:space="0" w:color="auto"/>
              <w:left w:val="single" w:sz="6" w:space="0" w:color="auto"/>
              <w:bottom w:val="single" w:sz="6" w:space="0" w:color="auto"/>
              <w:right w:val="single" w:sz="12" w:space="0" w:color="auto"/>
            </w:tcBorders>
            <w:vAlign w:val="center"/>
          </w:tcPr>
          <w:p w14:paraId="34E61DF2" w14:textId="77777777" w:rsidR="00DF48CB" w:rsidRPr="002840AB" w:rsidRDefault="00DF48CB" w:rsidP="006C26AC">
            <w:pPr>
              <w:spacing w:line="240" w:lineRule="auto"/>
              <w:rPr>
                <w:rFonts w:ascii="Arial" w:hAnsi="Arial" w:cs="Arial"/>
              </w:rPr>
            </w:pPr>
            <w:r w:rsidRPr="002840AB">
              <w:rPr>
                <w:rFonts w:ascii="Arial" w:hAnsi="Arial" w:cs="Arial"/>
              </w:rPr>
              <w:t>M01 01/02 tábla 009 + 040 + 064 + 088 sorok</w:t>
            </w:r>
          </w:p>
        </w:tc>
      </w:tr>
      <w:tr w:rsidR="00DF48CB" w:rsidRPr="002840AB" w14:paraId="103B511D"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52686E2F"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4LAN122</w:t>
            </w:r>
          </w:p>
        </w:tc>
        <w:tc>
          <w:tcPr>
            <w:tcW w:w="3969" w:type="dxa"/>
            <w:tcBorders>
              <w:top w:val="single" w:sz="6" w:space="0" w:color="auto"/>
              <w:left w:val="single" w:sz="6" w:space="0" w:color="auto"/>
              <w:bottom w:val="single" w:sz="6" w:space="0" w:color="auto"/>
              <w:right w:val="single" w:sz="6" w:space="0" w:color="auto"/>
            </w:tcBorders>
            <w:vAlign w:val="center"/>
          </w:tcPr>
          <w:p w14:paraId="0B57F07F" w14:textId="77777777" w:rsidR="00DF48CB" w:rsidRPr="002840AB" w:rsidRDefault="00DF48CB" w:rsidP="006C26AC">
            <w:pPr>
              <w:spacing w:line="240" w:lineRule="auto"/>
              <w:rPr>
                <w:rFonts w:ascii="Arial" w:hAnsi="Arial" w:cs="Arial"/>
              </w:rPr>
            </w:pPr>
            <w:r w:rsidRPr="002840AB">
              <w:rPr>
                <w:rFonts w:ascii="Arial" w:hAnsi="Arial" w:cs="Arial"/>
                <w:b/>
              </w:rPr>
              <w:t>Lekötött betétek, hosszú, Egyéb hitel, hosszú,</w:t>
            </w:r>
            <w:r w:rsidRPr="002840AB">
              <w:rPr>
                <w:rFonts w:ascii="Arial" w:hAnsi="Arial" w:cs="Arial"/>
              </w:rPr>
              <w:t xml:space="preserve"> </w:t>
            </w:r>
            <w:r w:rsidRPr="002840AB">
              <w:rPr>
                <w:rFonts w:ascii="Arial" w:hAnsi="Arial" w:cs="Arial"/>
                <w:b/>
              </w:rPr>
              <w:t>legfeljebb 5 éves</w:t>
            </w:r>
            <w:r w:rsidRPr="002840AB">
              <w:rPr>
                <w:rFonts w:ascii="Arial" w:hAnsi="Arial" w:cs="Arial"/>
              </w:rPr>
              <w:t xml:space="preserve"> </w:t>
            </w:r>
            <w:r w:rsidRPr="002840AB">
              <w:rPr>
                <w:rFonts w:ascii="Arial" w:hAnsi="Arial" w:cs="Arial"/>
                <w:b/>
              </w:rPr>
              <w:t>+ Egyéb hitel, hosszú, 5 éven túl</w:t>
            </w:r>
            <w:r w:rsidRPr="002840AB">
              <w:rPr>
                <w:rFonts w:ascii="Arial" w:hAnsi="Arial" w:cs="Arial"/>
              </w:rPr>
              <w:t xml:space="preserve"> </w:t>
            </w:r>
            <w:r w:rsidRPr="002840AB">
              <w:rPr>
                <w:rFonts w:ascii="Arial" w:hAnsi="Arial" w:cs="Arial"/>
                <w:i/>
              </w:rPr>
              <w:t>– Belföld, Központi bank</w:t>
            </w:r>
          </w:p>
        </w:tc>
        <w:tc>
          <w:tcPr>
            <w:tcW w:w="3898" w:type="dxa"/>
            <w:tcBorders>
              <w:top w:val="single" w:sz="6" w:space="0" w:color="auto"/>
              <w:left w:val="single" w:sz="6" w:space="0" w:color="auto"/>
              <w:bottom w:val="single" w:sz="6" w:space="0" w:color="auto"/>
              <w:right w:val="single" w:sz="12" w:space="0" w:color="auto"/>
            </w:tcBorders>
            <w:vAlign w:val="center"/>
          </w:tcPr>
          <w:p w14:paraId="47B1EF6F" w14:textId="77777777" w:rsidR="00DF48CB" w:rsidRPr="002840AB" w:rsidRDefault="00DF48CB" w:rsidP="006C26AC">
            <w:pPr>
              <w:spacing w:line="240" w:lineRule="auto"/>
              <w:rPr>
                <w:rFonts w:ascii="Arial" w:hAnsi="Arial" w:cs="Arial"/>
              </w:rPr>
            </w:pPr>
            <w:r w:rsidRPr="002840AB">
              <w:rPr>
                <w:rFonts w:ascii="Arial" w:hAnsi="Arial" w:cs="Arial"/>
              </w:rPr>
              <w:t>M01 01/02 tábla 013 + 112 + 136 sorok</w:t>
            </w:r>
          </w:p>
        </w:tc>
      </w:tr>
      <w:tr w:rsidR="00DF48CB" w:rsidRPr="002840AB" w14:paraId="542FB5BB"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EA38C91"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4LAN13</w:t>
            </w:r>
          </w:p>
        </w:tc>
        <w:tc>
          <w:tcPr>
            <w:tcW w:w="3969" w:type="dxa"/>
            <w:tcBorders>
              <w:top w:val="single" w:sz="6" w:space="0" w:color="auto"/>
              <w:left w:val="single" w:sz="6" w:space="0" w:color="auto"/>
              <w:bottom w:val="single" w:sz="6" w:space="0" w:color="auto"/>
              <w:right w:val="single" w:sz="6" w:space="0" w:color="auto"/>
            </w:tcBorders>
            <w:vAlign w:val="center"/>
          </w:tcPr>
          <w:p w14:paraId="73547801" w14:textId="77777777" w:rsidR="00DF48CB" w:rsidRPr="002840AB" w:rsidRDefault="00DF48CB" w:rsidP="006C26AC">
            <w:pPr>
              <w:spacing w:line="240" w:lineRule="auto"/>
              <w:rPr>
                <w:rFonts w:ascii="Arial" w:hAnsi="Arial" w:cs="Arial"/>
              </w:rPr>
            </w:pPr>
            <w:r w:rsidRPr="002840AB">
              <w:rPr>
                <w:rFonts w:ascii="Arial" w:hAnsi="Arial" w:cs="Arial"/>
              </w:rPr>
              <w:t>Bel- és külföldi hitelintézetekkel szembeni követelés</w:t>
            </w:r>
          </w:p>
        </w:tc>
        <w:tc>
          <w:tcPr>
            <w:tcW w:w="3898" w:type="dxa"/>
            <w:tcBorders>
              <w:top w:val="single" w:sz="6" w:space="0" w:color="auto"/>
              <w:left w:val="single" w:sz="6" w:space="0" w:color="auto"/>
              <w:bottom w:val="single" w:sz="6" w:space="0" w:color="auto"/>
              <w:right w:val="single" w:sz="12" w:space="0" w:color="auto"/>
            </w:tcBorders>
            <w:vAlign w:val="center"/>
          </w:tcPr>
          <w:p w14:paraId="0A8CBCB2" w14:textId="77777777" w:rsidR="00DF48CB" w:rsidRPr="002840AB" w:rsidRDefault="00DF48CB" w:rsidP="006C26AC">
            <w:pPr>
              <w:spacing w:line="240" w:lineRule="auto"/>
              <w:rPr>
                <w:rFonts w:ascii="Arial" w:hAnsi="Arial" w:cs="Arial"/>
              </w:rPr>
            </w:pPr>
            <w:r w:rsidRPr="002840AB">
              <w:rPr>
                <w:rFonts w:ascii="Arial" w:hAnsi="Arial" w:cs="Arial"/>
              </w:rPr>
              <w:t>4LAN131+4LAN132</w:t>
            </w:r>
          </w:p>
        </w:tc>
      </w:tr>
      <w:tr w:rsidR="00DF48CB" w:rsidRPr="002840AB" w14:paraId="496F0B67"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55BA232"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4LAN131</w:t>
            </w:r>
          </w:p>
        </w:tc>
        <w:tc>
          <w:tcPr>
            <w:tcW w:w="3969" w:type="dxa"/>
            <w:tcBorders>
              <w:top w:val="single" w:sz="6" w:space="0" w:color="auto"/>
              <w:left w:val="single" w:sz="6" w:space="0" w:color="auto"/>
              <w:bottom w:val="single" w:sz="6" w:space="0" w:color="auto"/>
              <w:right w:val="single" w:sz="6" w:space="0" w:color="auto"/>
            </w:tcBorders>
            <w:vAlign w:val="center"/>
          </w:tcPr>
          <w:p w14:paraId="676A3B24" w14:textId="77777777" w:rsidR="00DF48CB" w:rsidRPr="002840AB" w:rsidRDefault="00DF48CB" w:rsidP="006C26AC">
            <w:pPr>
              <w:spacing w:line="240" w:lineRule="auto"/>
              <w:rPr>
                <w:rFonts w:ascii="Arial" w:hAnsi="Arial" w:cs="Arial"/>
              </w:rPr>
            </w:pPr>
            <w:r w:rsidRPr="002840AB">
              <w:rPr>
                <w:rFonts w:ascii="Arial" w:hAnsi="Arial" w:cs="Arial"/>
                <w:b/>
              </w:rPr>
              <w:t>Látra szóló és folyószámla betétek</w:t>
            </w:r>
            <w:r w:rsidRPr="002840AB">
              <w:rPr>
                <w:rFonts w:ascii="Arial" w:hAnsi="Arial" w:cs="Arial"/>
              </w:rPr>
              <w:t xml:space="preserve"> + </w:t>
            </w:r>
            <w:r w:rsidRPr="002840AB">
              <w:rPr>
                <w:rFonts w:ascii="Arial" w:hAnsi="Arial" w:cs="Arial"/>
                <w:b/>
              </w:rPr>
              <w:t xml:space="preserve">Lekötött betétek, rövid </w:t>
            </w:r>
            <w:r w:rsidRPr="002840AB">
              <w:rPr>
                <w:rFonts w:ascii="Arial" w:hAnsi="Arial" w:cs="Arial"/>
              </w:rPr>
              <w:t xml:space="preserve">+ </w:t>
            </w:r>
            <w:proofErr w:type="spellStart"/>
            <w:r w:rsidRPr="002840AB">
              <w:rPr>
                <w:rFonts w:ascii="Arial" w:hAnsi="Arial" w:cs="Arial"/>
                <w:b/>
              </w:rPr>
              <w:t>Repóügyletekből</w:t>
            </w:r>
            <w:proofErr w:type="spellEnd"/>
            <w:r w:rsidRPr="002840AB">
              <w:rPr>
                <w:rFonts w:ascii="Arial" w:hAnsi="Arial" w:cs="Arial"/>
                <w:b/>
              </w:rPr>
              <w:t xml:space="preserve"> eredő követelés + Folyószámlahitel + Egyéb hitel, rövid + Hitelviszonyt megtestesítő értékpapírok értékvesztése, rövid</w:t>
            </w:r>
            <w:r w:rsidRPr="002840AB">
              <w:rPr>
                <w:rFonts w:ascii="Arial" w:hAnsi="Arial" w:cs="Arial"/>
                <w:b/>
                <w:i/>
              </w:rPr>
              <w:t xml:space="preserve"> </w:t>
            </w:r>
            <w:r w:rsidRPr="002840AB">
              <w:rPr>
                <w:rFonts w:ascii="Arial" w:hAnsi="Arial" w:cs="Arial"/>
                <w:b/>
              </w:rPr>
              <w:t xml:space="preserve">+ Hitelviszonyt megtestesítő értékpapírok nettó könyv szerinti értéke, rövid - </w:t>
            </w:r>
            <w:r w:rsidRPr="002840AB">
              <w:rPr>
                <w:rFonts w:ascii="Arial" w:hAnsi="Arial" w:cs="Arial"/>
                <w:i/>
              </w:rPr>
              <w:t>Belföld</w:t>
            </w:r>
            <w:r w:rsidRPr="002840AB">
              <w:rPr>
                <w:rFonts w:ascii="Arial" w:hAnsi="Arial" w:cs="Arial"/>
              </w:rPr>
              <w:t xml:space="preserve">, </w:t>
            </w:r>
            <w:r w:rsidRPr="002840AB">
              <w:rPr>
                <w:rFonts w:ascii="Arial" w:hAnsi="Arial" w:cs="Arial"/>
                <w:i/>
              </w:rPr>
              <w:t>Hitelintézetek</w:t>
            </w:r>
            <w:r w:rsidRPr="002840AB">
              <w:rPr>
                <w:rFonts w:ascii="Arial" w:hAnsi="Arial" w:cs="Arial"/>
              </w:rPr>
              <w:t xml:space="preserve">, </w:t>
            </w:r>
            <w:proofErr w:type="spellStart"/>
            <w:r w:rsidRPr="002840AB">
              <w:rPr>
                <w:rFonts w:ascii="Arial" w:hAnsi="Arial" w:cs="Arial"/>
                <w:i/>
              </w:rPr>
              <w:t>GMU</w:t>
            </w:r>
            <w:proofErr w:type="spellEnd"/>
            <w:r w:rsidRPr="002840AB">
              <w:rPr>
                <w:rFonts w:ascii="Arial" w:hAnsi="Arial" w:cs="Arial"/>
                <w:i/>
              </w:rPr>
              <w:t xml:space="preserve">, Monetáris </w:t>
            </w:r>
            <w:proofErr w:type="spellStart"/>
            <w:r w:rsidRPr="002840AB">
              <w:rPr>
                <w:rFonts w:ascii="Arial" w:hAnsi="Arial" w:cs="Arial"/>
                <w:i/>
              </w:rPr>
              <w:t>pü</w:t>
            </w:r>
            <w:proofErr w:type="spellEnd"/>
            <w:r w:rsidRPr="002840AB">
              <w:rPr>
                <w:rFonts w:ascii="Arial" w:hAnsi="Arial" w:cs="Arial"/>
                <w:i/>
              </w:rPr>
              <w:t>-i intézmények</w:t>
            </w:r>
            <w:r w:rsidRPr="002840AB">
              <w:rPr>
                <w:rFonts w:ascii="Arial" w:hAnsi="Arial" w:cs="Arial"/>
              </w:rPr>
              <w:t xml:space="preserve">, </w:t>
            </w:r>
            <w:r w:rsidRPr="002840AB">
              <w:rPr>
                <w:rFonts w:ascii="Arial" w:hAnsi="Arial" w:cs="Arial"/>
                <w:i/>
              </w:rPr>
              <w:t xml:space="preserve">Egyéb külföld, </w:t>
            </w:r>
            <w:proofErr w:type="spellStart"/>
            <w:r w:rsidRPr="002840AB">
              <w:rPr>
                <w:rFonts w:ascii="Arial" w:hAnsi="Arial" w:cs="Arial"/>
                <w:i/>
              </w:rPr>
              <w:t>Monteráris</w:t>
            </w:r>
            <w:proofErr w:type="spellEnd"/>
            <w:r w:rsidRPr="002840AB">
              <w:rPr>
                <w:rFonts w:ascii="Arial" w:hAnsi="Arial" w:cs="Arial"/>
                <w:i/>
              </w:rPr>
              <w:t xml:space="preserve"> </w:t>
            </w:r>
            <w:proofErr w:type="spellStart"/>
            <w:r w:rsidRPr="002840AB">
              <w:rPr>
                <w:rFonts w:ascii="Arial" w:hAnsi="Arial" w:cs="Arial"/>
                <w:i/>
              </w:rPr>
              <w:t>pü</w:t>
            </w:r>
            <w:proofErr w:type="spellEnd"/>
            <w:r w:rsidRPr="002840AB">
              <w:rPr>
                <w:rFonts w:ascii="Arial" w:hAnsi="Arial" w:cs="Arial"/>
                <w:i/>
              </w:rPr>
              <w:t xml:space="preserve">-i intézmények </w:t>
            </w:r>
          </w:p>
          <w:p w14:paraId="716BD241" w14:textId="77777777" w:rsidR="00DF48CB" w:rsidRPr="002840AB" w:rsidRDefault="00DF48CB" w:rsidP="006C26AC">
            <w:pPr>
              <w:spacing w:line="240" w:lineRule="auto"/>
              <w:rPr>
                <w:rFonts w:ascii="Arial" w:hAnsi="Arial" w:cs="Arial"/>
              </w:rPr>
            </w:pPr>
          </w:p>
        </w:tc>
        <w:tc>
          <w:tcPr>
            <w:tcW w:w="3898" w:type="dxa"/>
            <w:tcBorders>
              <w:top w:val="single" w:sz="6" w:space="0" w:color="auto"/>
              <w:left w:val="single" w:sz="6" w:space="0" w:color="auto"/>
              <w:bottom w:val="single" w:sz="6" w:space="0" w:color="auto"/>
              <w:right w:val="single" w:sz="12" w:space="0" w:color="auto"/>
            </w:tcBorders>
            <w:vAlign w:val="center"/>
          </w:tcPr>
          <w:p w14:paraId="506E0352" w14:textId="0696B138" w:rsidR="00DF48CB" w:rsidRPr="002840AB" w:rsidRDefault="00DF48CB" w:rsidP="006C26AC">
            <w:pPr>
              <w:spacing w:line="240" w:lineRule="auto"/>
              <w:rPr>
                <w:rFonts w:ascii="Arial" w:hAnsi="Arial" w:cs="Arial"/>
              </w:rPr>
            </w:pPr>
            <w:r w:rsidRPr="002840AB">
              <w:rPr>
                <w:rFonts w:ascii="Arial" w:hAnsi="Arial" w:cs="Arial"/>
              </w:rPr>
              <w:t>M01 01/02 tábla 010</w:t>
            </w:r>
            <w:r w:rsidR="00854F4D" w:rsidRPr="002840AB">
              <w:rPr>
                <w:rFonts w:ascii="Arial" w:hAnsi="Arial" w:cs="Arial"/>
              </w:rPr>
              <w:t xml:space="preserve"> </w:t>
            </w:r>
            <w:r w:rsidRPr="002840AB">
              <w:rPr>
                <w:rFonts w:ascii="Arial" w:hAnsi="Arial" w:cs="Arial"/>
              </w:rPr>
              <w:t>+</w:t>
            </w:r>
            <w:r w:rsidR="00854F4D" w:rsidRPr="002840AB">
              <w:rPr>
                <w:rFonts w:ascii="Arial" w:hAnsi="Arial" w:cs="Arial"/>
              </w:rPr>
              <w:t xml:space="preserve"> </w:t>
            </w:r>
            <w:r w:rsidRPr="002840AB">
              <w:rPr>
                <w:rFonts w:ascii="Arial" w:hAnsi="Arial" w:cs="Arial"/>
              </w:rPr>
              <w:t>011</w:t>
            </w:r>
            <w:r w:rsidR="00854F4D" w:rsidRPr="002840AB">
              <w:rPr>
                <w:rFonts w:ascii="Arial" w:hAnsi="Arial" w:cs="Arial"/>
              </w:rPr>
              <w:t xml:space="preserve"> </w:t>
            </w:r>
            <w:r w:rsidRPr="002840AB">
              <w:rPr>
                <w:rFonts w:ascii="Arial" w:hAnsi="Arial" w:cs="Arial"/>
              </w:rPr>
              <w:t>+</w:t>
            </w:r>
            <w:r w:rsidR="00854F4D" w:rsidRPr="002840AB">
              <w:rPr>
                <w:rFonts w:ascii="Arial" w:hAnsi="Arial" w:cs="Arial"/>
              </w:rPr>
              <w:t xml:space="preserve"> </w:t>
            </w:r>
            <w:r w:rsidRPr="002840AB">
              <w:rPr>
                <w:rFonts w:ascii="Arial" w:hAnsi="Arial" w:cs="Arial"/>
              </w:rPr>
              <w:t xml:space="preserve">012 + 041+ 054+ 059 + 065 + 078 + 083 + 089 + 102+ 107 - 263 - 273- 278 + 306 + 316 + 321 sorok </w:t>
            </w:r>
          </w:p>
          <w:p w14:paraId="2782366F" w14:textId="77777777" w:rsidR="00DF48CB" w:rsidRPr="002840AB" w:rsidRDefault="00DF48CB" w:rsidP="006C26AC">
            <w:pPr>
              <w:spacing w:line="240" w:lineRule="auto"/>
              <w:rPr>
                <w:rFonts w:ascii="Arial" w:hAnsi="Arial" w:cs="Arial"/>
              </w:rPr>
            </w:pPr>
          </w:p>
        </w:tc>
      </w:tr>
      <w:tr w:rsidR="00DF48CB" w:rsidRPr="002840AB" w14:paraId="7809D55E"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4154868"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4LAN132</w:t>
            </w:r>
          </w:p>
        </w:tc>
        <w:tc>
          <w:tcPr>
            <w:tcW w:w="3969" w:type="dxa"/>
            <w:tcBorders>
              <w:top w:val="single" w:sz="6" w:space="0" w:color="auto"/>
              <w:left w:val="single" w:sz="6" w:space="0" w:color="auto"/>
              <w:bottom w:val="single" w:sz="6" w:space="0" w:color="auto"/>
              <w:right w:val="single" w:sz="6" w:space="0" w:color="auto"/>
            </w:tcBorders>
            <w:vAlign w:val="center"/>
          </w:tcPr>
          <w:p w14:paraId="7F879D63"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hosszú + Egyéb hitel, hosszú, legfeljebb 5 éves + Egyéb hitel, hosszú, 5 éven túl + Hitelviszonyt megtestesítő értékpapírok értékvesztése, hosszú + Hitelviszonyt megtestesítő értékpapírok nettó könyv szerinti értéke, hosszú - </w:t>
            </w:r>
            <w:r w:rsidRPr="002840AB">
              <w:rPr>
                <w:rFonts w:ascii="Arial" w:hAnsi="Arial" w:cs="Arial"/>
                <w:i/>
              </w:rPr>
              <w:t>Belföld</w:t>
            </w:r>
            <w:r w:rsidRPr="002840AB">
              <w:rPr>
                <w:rFonts w:ascii="Arial" w:hAnsi="Arial" w:cs="Arial"/>
              </w:rPr>
              <w:t xml:space="preserve">, </w:t>
            </w:r>
            <w:r w:rsidRPr="002840AB">
              <w:rPr>
                <w:rFonts w:ascii="Arial" w:hAnsi="Arial" w:cs="Arial"/>
                <w:i/>
              </w:rPr>
              <w:t>Hitelintézetek</w:t>
            </w:r>
            <w:r w:rsidRPr="002840AB">
              <w:rPr>
                <w:rFonts w:ascii="Arial" w:hAnsi="Arial" w:cs="Arial"/>
              </w:rPr>
              <w:t xml:space="preserve">, </w:t>
            </w:r>
            <w:proofErr w:type="spellStart"/>
            <w:r w:rsidRPr="002840AB">
              <w:rPr>
                <w:rFonts w:ascii="Arial" w:hAnsi="Arial" w:cs="Arial"/>
                <w:i/>
              </w:rPr>
              <w:t>GMU</w:t>
            </w:r>
            <w:proofErr w:type="spellEnd"/>
            <w:r w:rsidRPr="002840AB">
              <w:rPr>
                <w:rFonts w:ascii="Arial" w:hAnsi="Arial" w:cs="Arial"/>
                <w:i/>
              </w:rPr>
              <w:t xml:space="preserve">, Monetáris </w:t>
            </w:r>
            <w:proofErr w:type="spellStart"/>
            <w:r w:rsidRPr="002840AB">
              <w:rPr>
                <w:rFonts w:ascii="Arial" w:hAnsi="Arial" w:cs="Arial"/>
                <w:i/>
              </w:rPr>
              <w:t>pü</w:t>
            </w:r>
            <w:proofErr w:type="spellEnd"/>
            <w:r w:rsidRPr="002840AB">
              <w:rPr>
                <w:rFonts w:ascii="Arial" w:hAnsi="Arial" w:cs="Arial"/>
                <w:i/>
              </w:rPr>
              <w:t>-i intézmények</w:t>
            </w:r>
            <w:r w:rsidRPr="002840AB">
              <w:rPr>
                <w:rFonts w:ascii="Arial" w:hAnsi="Arial" w:cs="Arial"/>
              </w:rPr>
              <w:t xml:space="preserve">, </w:t>
            </w:r>
            <w:r w:rsidRPr="002840AB">
              <w:rPr>
                <w:rFonts w:ascii="Arial" w:hAnsi="Arial" w:cs="Arial"/>
                <w:i/>
              </w:rPr>
              <w:t xml:space="preserve">Egyéb külföld, </w:t>
            </w:r>
            <w:proofErr w:type="spellStart"/>
            <w:r w:rsidRPr="002840AB">
              <w:rPr>
                <w:rFonts w:ascii="Arial" w:hAnsi="Arial" w:cs="Arial"/>
                <w:i/>
              </w:rPr>
              <w:t>Monteráris</w:t>
            </w:r>
            <w:proofErr w:type="spellEnd"/>
            <w:r w:rsidRPr="002840AB">
              <w:rPr>
                <w:rFonts w:ascii="Arial" w:hAnsi="Arial" w:cs="Arial"/>
                <w:i/>
              </w:rPr>
              <w:t xml:space="preserve"> </w:t>
            </w:r>
            <w:proofErr w:type="spellStart"/>
            <w:r w:rsidRPr="002840AB">
              <w:rPr>
                <w:rFonts w:ascii="Arial" w:hAnsi="Arial" w:cs="Arial"/>
                <w:i/>
              </w:rPr>
              <w:t>pü</w:t>
            </w:r>
            <w:proofErr w:type="spellEnd"/>
            <w:r w:rsidRPr="002840AB">
              <w:rPr>
                <w:rFonts w:ascii="Arial" w:hAnsi="Arial" w:cs="Arial"/>
                <w:i/>
              </w:rPr>
              <w:t>-i intézmények</w:t>
            </w:r>
          </w:p>
        </w:tc>
        <w:tc>
          <w:tcPr>
            <w:tcW w:w="3898" w:type="dxa"/>
            <w:tcBorders>
              <w:top w:val="single" w:sz="6" w:space="0" w:color="auto"/>
              <w:left w:val="single" w:sz="6" w:space="0" w:color="auto"/>
              <w:bottom w:val="single" w:sz="6" w:space="0" w:color="auto"/>
              <w:right w:val="single" w:sz="12" w:space="0" w:color="auto"/>
            </w:tcBorders>
            <w:vAlign w:val="center"/>
          </w:tcPr>
          <w:p w14:paraId="10ADD67B" w14:textId="77777777" w:rsidR="00DF48CB" w:rsidRPr="002840AB" w:rsidRDefault="00DF48CB" w:rsidP="006C26AC">
            <w:pPr>
              <w:spacing w:line="240" w:lineRule="auto"/>
              <w:rPr>
                <w:rFonts w:ascii="Arial" w:hAnsi="Arial" w:cs="Arial"/>
              </w:rPr>
            </w:pPr>
            <w:r w:rsidRPr="002840AB">
              <w:rPr>
                <w:rFonts w:ascii="Arial" w:hAnsi="Arial" w:cs="Arial"/>
              </w:rPr>
              <w:t xml:space="preserve">M01 01/02 tábla 014 + 015 + 016 + 113 + 126 + 131 + 137 + 150 + 155 - 284 - 294 - 299 + 327 + 337 + 342 sorok </w:t>
            </w:r>
          </w:p>
        </w:tc>
      </w:tr>
      <w:tr w:rsidR="00DF48CB" w:rsidRPr="002840AB" w14:paraId="2D487DD1"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C4B6931"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4LAN14</w:t>
            </w:r>
          </w:p>
        </w:tc>
        <w:tc>
          <w:tcPr>
            <w:tcW w:w="3969" w:type="dxa"/>
            <w:tcBorders>
              <w:top w:val="single" w:sz="6" w:space="0" w:color="auto"/>
              <w:left w:val="single" w:sz="6" w:space="0" w:color="auto"/>
              <w:bottom w:val="single" w:sz="6" w:space="0" w:color="auto"/>
              <w:right w:val="single" w:sz="6" w:space="0" w:color="auto"/>
            </w:tcBorders>
            <w:vAlign w:val="center"/>
          </w:tcPr>
          <w:p w14:paraId="640F41F5" w14:textId="77777777" w:rsidR="00DF48CB" w:rsidRPr="002840AB" w:rsidRDefault="00DF48CB" w:rsidP="006C26AC">
            <w:pPr>
              <w:spacing w:line="240" w:lineRule="auto"/>
              <w:rPr>
                <w:rFonts w:ascii="Arial" w:hAnsi="Arial" w:cs="Arial"/>
              </w:rPr>
            </w:pPr>
            <w:r w:rsidRPr="002840AB">
              <w:rPr>
                <w:rFonts w:ascii="Arial" w:hAnsi="Arial" w:cs="Arial"/>
              </w:rPr>
              <w:t xml:space="preserve">Pénzpiaci alapokkal, egyéb pénzügyi közvetítőkkel, pénzügyi </w:t>
            </w:r>
            <w:proofErr w:type="spellStart"/>
            <w:r w:rsidRPr="002840AB">
              <w:rPr>
                <w:rFonts w:ascii="Arial" w:hAnsi="Arial" w:cs="Arial"/>
              </w:rPr>
              <w:t>kieg</w:t>
            </w:r>
            <w:proofErr w:type="spellEnd"/>
            <w:r w:rsidRPr="002840AB">
              <w:rPr>
                <w:rFonts w:ascii="Arial" w:hAnsi="Arial" w:cs="Arial"/>
              </w:rPr>
              <w:t>. tev.et végzőkkel, biztosítókkal és nyugdíjpénztárakkal szembeni követelés (belföldi)</w:t>
            </w:r>
          </w:p>
        </w:tc>
        <w:tc>
          <w:tcPr>
            <w:tcW w:w="3898" w:type="dxa"/>
            <w:tcBorders>
              <w:top w:val="single" w:sz="6" w:space="0" w:color="auto"/>
              <w:left w:val="single" w:sz="6" w:space="0" w:color="auto"/>
              <w:bottom w:val="single" w:sz="6" w:space="0" w:color="auto"/>
              <w:right w:val="single" w:sz="12" w:space="0" w:color="auto"/>
            </w:tcBorders>
            <w:vAlign w:val="center"/>
          </w:tcPr>
          <w:p w14:paraId="386246F2" w14:textId="77777777" w:rsidR="00DF48CB" w:rsidRPr="002840AB" w:rsidRDefault="00DF48CB" w:rsidP="006C26AC">
            <w:pPr>
              <w:spacing w:line="240" w:lineRule="auto"/>
              <w:rPr>
                <w:rFonts w:ascii="Arial" w:hAnsi="Arial" w:cs="Arial"/>
              </w:rPr>
            </w:pPr>
            <w:r w:rsidRPr="002840AB">
              <w:rPr>
                <w:rFonts w:ascii="Arial" w:hAnsi="Arial" w:cs="Arial"/>
              </w:rPr>
              <w:t>= 4LAN141+4LAN142</w:t>
            </w:r>
          </w:p>
        </w:tc>
      </w:tr>
      <w:tr w:rsidR="00DF48CB" w:rsidRPr="002840AB" w14:paraId="688C93A1" w14:textId="77777777" w:rsidTr="005F5E88">
        <w:trPr>
          <w:trHeight w:val="987"/>
        </w:trPr>
        <w:tc>
          <w:tcPr>
            <w:tcW w:w="1346" w:type="dxa"/>
            <w:tcBorders>
              <w:top w:val="single" w:sz="6" w:space="0" w:color="auto"/>
              <w:left w:val="single" w:sz="12" w:space="0" w:color="auto"/>
              <w:bottom w:val="single" w:sz="6" w:space="0" w:color="auto"/>
              <w:right w:val="single" w:sz="6" w:space="0" w:color="auto"/>
            </w:tcBorders>
            <w:vAlign w:val="center"/>
          </w:tcPr>
          <w:p w14:paraId="510F94D7" w14:textId="77777777" w:rsidR="00DF48CB" w:rsidRPr="002840AB" w:rsidRDefault="00DF48CB" w:rsidP="000E4AE9">
            <w:pPr>
              <w:autoSpaceDE w:val="0"/>
              <w:autoSpaceDN w:val="0"/>
              <w:adjustRightInd w:val="0"/>
              <w:spacing w:line="240" w:lineRule="auto"/>
              <w:rPr>
                <w:rFonts w:ascii="Arial" w:hAnsi="Arial" w:cs="Arial"/>
              </w:rPr>
            </w:pPr>
            <w:r w:rsidRPr="002840AB">
              <w:rPr>
                <w:rFonts w:ascii="Arial" w:hAnsi="Arial" w:cs="Arial"/>
              </w:rPr>
              <w:t>4LAN141</w:t>
            </w:r>
          </w:p>
        </w:tc>
        <w:tc>
          <w:tcPr>
            <w:tcW w:w="3969" w:type="dxa"/>
            <w:tcBorders>
              <w:top w:val="single" w:sz="6" w:space="0" w:color="auto"/>
              <w:left w:val="single" w:sz="6" w:space="0" w:color="auto"/>
              <w:bottom w:val="single" w:sz="6" w:space="0" w:color="auto"/>
              <w:right w:val="single" w:sz="6" w:space="0" w:color="auto"/>
            </w:tcBorders>
            <w:vAlign w:val="center"/>
          </w:tcPr>
          <w:p w14:paraId="5DCDD4BF" w14:textId="77777777" w:rsidR="00DF48CB" w:rsidRPr="002840AB" w:rsidRDefault="00DF48CB" w:rsidP="000E4AE9">
            <w:pPr>
              <w:spacing w:line="240" w:lineRule="auto"/>
              <w:rPr>
                <w:rFonts w:ascii="Arial" w:hAnsi="Arial" w:cs="Arial"/>
              </w:rPr>
            </w:pPr>
            <w:proofErr w:type="spellStart"/>
            <w:r w:rsidRPr="002840AB">
              <w:rPr>
                <w:rFonts w:ascii="Arial" w:hAnsi="Arial" w:cs="Arial"/>
                <w:b/>
              </w:rPr>
              <w:t>Repóügyletekből</w:t>
            </w:r>
            <w:proofErr w:type="spellEnd"/>
            <w:r w:rsidRPr="002840AB">
              <w:rPr>
                <w:rFonts w:ascii="Arial" w:hAnsi="Arial" w:cs="Arial"/>
                <w:b/>
              </w:rPr>
              <w:t xml:space="preserve"> eredő követelés + Folyószámlahitel + Egyéb hitel, rövid – </w:t>
            </w:r>
            <w:r w:rsidRPr="002840AB">
              <w:rPr>
                <w:rFonts w:ascii="Arial" w:hAnsi="Arial" w:cs="Arial"/>
                <w:i/>
              </w:rPr>
              <w:t>Belföld, Pénzpiaci alapok, Befektetési alapok, Egyéb pénzügyi közvetítők, Pénzügyi kiegészítő tevékenységet végzők, Biztosítók, Nyugdíjpénztárak</w:t>
            </w:r>
            <w:r w:rsidRPr="002840AB">
              <w:rPr>
                <w:rFonts w:ascii="Arial" w:hAnsi="Arial" w:cs="Arial"/>
                <w:b/>
              </w:rPr>
              <w:t xml:space="preserve"> +</w:t>
            </w:r>
            <w:r w:rsidRPr="002840AB">
              <w:rPr>
                <w:rFonts w:ascii="Arial" w:hAnsi="Arial" w:cs="Arial"/>
              </w:rPr>
              <w:t xml:space="preserve"> </w:t>
            </w:r>
            <w:r w:rsidRPr="002840AB">
              <w:rPr>
                <w:rFonts w:ascii="Arial" w:hAnsi="Arial" w:cs="Arial"/>
                <w:b/>
              </w:rPr>
              <w:t>Hitelviszonyt megtestesítő értékpapírok értékvesztése, rövid</w:t>
            </w:r>
            <w:r w:rsidRPr="002840AB">
              <w:rPr>
                <w:rFonts w:ascii="Arial" w:hAnsi="Arial" w:cs="Arial"/>
                <w:b/>
                <w:i/>
              </w:rPr>
              <w:t xml:space="preserve"> </w:t>
            </w:r>
            <w:r w:rsidRPr="002840AB">
              <w:rPr>
                <w:rFonts w:ascii="Arial" w:hAnsi="Arial" w:cs="Arial"/>
                <w:b/>
              </w:rPr>
              <w:t xml:space="preserve">+ Hitelviszonyt megtestesítő értékpapírok nettó könyv szerinti értéke, rövid – </w:t>
            </w:r>
            <w:r w:rsidRPr="002840AB">
              <w:rPr>
                <w:rFonts w:ascii="Arial" w:hAnsi="Arial" w:cs="Arial"/>
                <w:i/>
              </w:rPr>
              <w:t xml:space="preserve">Belföld, Egyéb pénzügyi közvetítők, Pénzügyi kiegészítő </w:t>
            </w:r>
            <w:r w:rsidRPr="002840AB">
              <w:rPr>
                <w:rFonts w:ascii="Arial" w:hAnsi="Arial" w:cs="Arial"/>
                <w:i/>
              </w:rPr>
              <w:lastRenderedPageBreak/>
              <w:t>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3C6778A8" w14:textId="77777777" w:rsidR="00DF48CB" w:rsidRPr="002840AB" w:rsidRDefault="00DF48CB" w:rsidP="000E4AE9">
            <w:pPr>
              <w:spacing w:line="240" w:lineRule="auto"/>
              <w:rPr>
                <w:rFonts w:ascii="Arial" w:hAnsi="Arial" w:cs="Arial"/>
              </w:rPr>
            </w:pPr>
            <w:r w:rsidRPr="002840AB">
              <w:rPr>
                <w:rFonts w:ascii="Arial" w:hAnsi="Arial" w:cs="Arial"/>
              </w:rPr>
              <w:lastRenderedPageBreak/>
              <w:t>M01 01/02 tábla 042 + 043 + 044 + 045 + 046 + 047 + 066 + 067 + 068 + 069 + 070 + 071 + 090 + 091+ 092 + 093 + 094 + 095 + 264 + 265 + 266 + 267 + 307+ 308 + 309 + 310 sorok</w:t>
            </w:r>
          </w:p>
        </w:tc>
      </w:tr>
      <w:tr w:rsidR="00DF48CB" w:rsidRPr="002840AB" w14:paraId="60326A47"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4087614"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4LAN142</w:t>
            </w:r>
          </w:p>
        </w:tc>
        <w:tc>
          <w:tcPr>
            <w:tcW w:w="3969" w:type="dxa"/>
            <w:tcBorders>
              <w:top w:val="single" w:sz="6" w:space="0" w:color="auto"/>
              <w:left w:val="single" w:sz="6" w:space="0" w:color="auto"/>
              <w:bottom w:val="single" w:sz="6" w:space="0" w:color="auto"/>
              <w:right w:val="single" w:sz="6" w:space="0" w:color="auto"/>
            </w:tcBorders>
            <w:vAlign w:val="center"/>
          </w:tcPr>
          <w:p w14:paraId="03A6E15E" w14:textId="77777777" w:rsidR="00DF48CB" w:rsidRPr="002840AB" w:rsidRDefault="00DF48CB" w:rsidP="006C26AC">
            <w:pPr>
              <w:spacing w:line="240" w:lineRule="auto"/>
              <w:rPr>
                <w:rFonts w:ascii="Arial" w:hAnsi="Arial" w:cs="Arial"/>
              </w:rPr>
            </w:pPr>
            <w:r w:rsidRPr="002840AB">
              <w:rPr>
                <w:rFonts w:ascii="Arial" w:hAnsi="Arial" w:cs="Arial"/>
                <w:b/>
              </w:rPr>
              <w:t xml:space="preserve">Egyéb hitel, hosszú, legfeljebb 5 éves + Egyéb hitel, hosszú, 5 éven túl – </w:t>
            </w:r>
            <w:r w:rsidRPr="002840AB">
              <w:rPr>
                <w:rFonts w:ascii="Arial" w:hAnsi="Arial" w:cs="Arial"/>
                <w:i/>
              </w:rPr>
              <w:t>Belföld, Pénzpiaci alapok, Befektetési alapok, Egyéb pénzügyi közvetítők, Pénzügyi kiegészítő tevékenységet végzők, Biztosítók, Nyugdíjpénztárak</w:t>
            </w:r>
            <w:r w:rsidRPr="002840AB">
              <w:rPr>
                <w:rFonts w:ascii="Arial" w:hAnsi="Arial" w:cs="Arial"/>
                <w:b/>
              </w:rPr>
              <w:t xml:space="preserve"> + Hitelviszonyt megtestesítő értékpapírok értékvesztése, hosszú + Hitelviszonyt megtestesítő értékpapírok nettó könyv szerinti értéke, hosszú – </w:t>
            </w:r>
            <w:r w:rsidRPr="002840AB">
              <w:rPr>
                <w:rFonts w:ascii="Arial" w:hAnsi="Arial" w:cs="Arial"/>
                <w:i/>
              </w:rPr>
              <w:t>Belföld, Egyéb pénzügyi közvetítők, Pénzügyi kiegészítő 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34208F9E" w14:textId="77777777" w:rsidR="00DF48CB" w:rsidRPr="002840AB" w:rsidRDefault="00DF48CB" w:rsidP="006C26AC">
            <w:pPr>
              <w:spacing w:line="240" w:lineRule="auto"/>
              <w:rPr>
                <w:rFonts w:ascii="Arial" w:hAnsi="Arial" w:cs="Arial"/>
              </w:rPr>
            </w:pPr>
            <w:r w:rsidRPr="002840AB">
              <w:rPr>
                <w:rFonts w:ascii="Arial" w:hAnsi="Arial" w:cs="Arial"/>
              </w:rPr>
              <w:t>M01 01/02 tábla 114 + 115 + 116 + 117 + 118 + 119 + 138 + 139 + 140 + 141 + 142 + 143 + 285 + 286 + 287 + 288 + 328 + 329 + 330 + 331 sorok</w:t>
            </w:r>
          </w:p>
        </w:tc>
      </w:tr>
      <w:tr w:rsidR="00DF48CB" w:rsidRPr="002840AB" w14:paraId="130573E8"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09240362"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w:t>
            </w:r>
          </w:p>
        </w:tc>
        <w:tc>
          <w:tcPr>
            <w:tcW w:w="3969" w:type="dxa"/>
            <w:tcBorders>
              <w:top w:val="single" w:sz="6" w:space="0" w:color="auto"/>
              <w:left w:val="single" w:sz="6" w:space="0" w:color="auto"/>
              <w:bottom w:val="single" w:sz="6" w:space="0" w:color="auto"/>
              <w:right w:val="single" w:sz="6" w:space="0" w:color="auto"/>
            </w:tcBorders>
            <w:vAlign w:val="center"/>
          </w:tcPr>
          <w:p w14:paraId="45A2750F" w14:textId="77777777" w:rsidR="00DF48CB" w:rsidRPr="002840AB" w:rsidRDefault="00DF48CB" w:rsidP="006C26AC">
            <w:pPr>
              <w:spacing w:line="240" w:lineRule="auto"/>
              <w:rPr>
                <w:rFonts w:ascii="Arial" w:hAnsi="Arial" w:cs="Arial"/>
              </w:rPr>
            </w:pPr>
            <w:r w:rsidRPr="002840AB">
              <w:rPr>
                <w:rFonts w:ascii="Arial" w:hAnsi="Arial" w:cs="Arial"/>
              </w:rPr>
              <w:t>Egyéb szektorokkal szembeni hitelek és hiteljellegű követelések</w:t>
            </w:r>
          </w:p>
        </w:tc>
        <w:tc>
          <w:tcPr>
            <w:tcW w:w="3898" w:type="dxa"/>
            <w:tcBorders>
              <w:top w:val="single" w:sz="6" w:space="0" w:color="auto"/>
              <w:left w:val="single" w:sz="6" w:space="0" w:color="auto"/>
              <w:bottom w:val="single" w:sz="6" w:space="0" w:color="auto"/>
              <w:right w:val="single" w:sz="12" w:space="0" w:color="auto"/>
            </w:tcBorders>
            <w:vAlign w:val="center"/>
          </w:tcPr>
          <w:p w14:paraId="04718B9B" w14:textId="77777777" w:rsidR="00DF48CB" w:rsidRPr="002840AB" w:rsidRDefault="00DF48CB" w:rsidP="006C26AC">
            <w:pPr>
              <w:spacing w:line="240" w:lineRule="auto"/>
              <w:rPr>
                <w:rFonts w:ascii="Arial" w:hAnsi="Arial" w:cs="Arial"/>
              </w:rPr>
            </w:pPr>
            <w:r w:rsidRPr="002840AB">
              <w:rPr>
                <w:rFonts w:ascii="Arial" w:hAnsi="Arial" w:cs="Arial"/>
              </w:rPr>
              <w:t>4LAN151+4LNA152+4LAN153</w:t>
            </w:r>
          </w:p>
        </w:tc>
      </w:tr>
      <w:tr w:rsidR="00DF48CB" w:rsidRPr="002840AB" w14:paraId="21D6E9D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533C4068"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4LAN151</w:t>
            </w:r>
          </w:p>
        </w:tc>
        <w:tc>
          <w:tcPr>
            <w:tcW w:w="3969" w:type="dxa"/>
            <w:tcBorders>
              <w:top w:val="single" w:sz="6" w:space="0" w:color="auto"/>
              <w:left w:val="single" w:sz="6" w:space="0" w:color="auto"/>
              <w:bottom w:val="single" w:sz="6" w:space="0" w:color="auto"/>
              <w:right w:val="single" w:sz="6" w:space="0" w:color="auto"/>
            </w:tcBorders>
            <w:vAlign w:val="center"/>
          </w:tcPr>
          <w:p w14:paraId="497FA74E" w14:textId="77777777" w:rsidR="00DF48CB" w:rsidRPr="002840AB" w:rsidRDefault="00DF48CB" w:rsidP="006C26AC">
            <w:pPr>
              <w:spacing w:line="240" w:lineRule="auto"/>
              <w:rPr>
                <w:rFonts w:ascii="Arial" w:hAnsi="Arial" w:cs="Arial"/>
              </w:rPr>
            </w:pPr>
            <w:r w:rsidRPr="002840AB">
              <w:rPr>
                <w:rFonts w:ascii="Arial" w:hAnsi="Arial" w:cs="Arial"/>
              </w:rPr>
              <w:t xml:space="preserve">Hitelkövetelések bruttó tőkeösszege és </w:t>
            </w:r>
            <w:r w:rsidRPr="002840AB">
              <w:rPr>
                <w:rFonts w:ascii="Arial" w:hAnsi="Arial" w:cs="Arial"/>
                <w:b/>
              </w:rPr>
              <w:t>Hitelviszonyt megtestesítő értékpapírok</w:t>
            </w:r>
            <w:r w:rsidRPr="002840AB">
              <w:rPr>
                <w:rFonts w:ascii="Arial" w:hAnsi="Arial" w:cs="Arial"/>
              </w:rPr>
              <w:t xml:space="preserve"> – Belföld, Nem pénzügyi vállalatok</w:t>
            </w:r>
          </w:p>
        </w:tc>
        <w:tc>
          <w:tcPr>
            <w:tcW w:w="3898" w:type="dxa"/>
            <w:tcBorders>
              <w:top w:val="single" w:sz="6" w:space="0" w:color="auto"/>
              <w:left w:val="single" w:sz="6" w:space="0" w:color="auto"/>
              <w:bottom w:val="single" w:sz="6" w:space="0" w:color="auto"/>
              <w:right w:val="single" w:sz="12" w:space="0" w:color="auto"/>
            </w:tcBorders>
            <w:vAlign w:val="center"/>
          </w:tcPr>
          <w:p w14:paraId="414226CA" w14:textId="77777777" w:rsidR="00DF48CB" w:rsidRPr="002840AB" w:rsidRDefault="00DF48CB" w:rsidP="006C26AC">
            <w:pPr>
              <w:spacing w:line="240" w:lineRule="auto"/>
              <w:rPr>
                <w:rFonts w:ascii="Arial" w:hAnsi="Arial" w:cs="Arial"/>
              </w:rPr>
            </w:pPr>
            <w:r w:rsidRPr="002840AB">
              <w:rPr>
                <w:rFonts w:ascii="Arial" w:hAnsi="Arial" w:cs="Arial"/>
              </w:rPr>
              <w:t>4LAN1511+4LAN1512</w:t>
            </w:r>
          </w:p>
        </w:tc>
      </w:tr>
      <w:tr w:rsidR="00DF48CB" w:rsidRPr="002840AB" w14:paraId="2B980DA1"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CD61B33"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4LAN1511</w:t>
            </w:r>
          </w:p>
        </w:tc>
        <w:tc>
          <w:tcPr>
            <w:tcW w:w="3969" w:type="dxa"/>
            <w:tcBorders>
              <w:top w:val="single" w:sz="6" w:space="0" w:color="auto"/>
              <w:left w:val="single" w:sz="6" w:space="0" w:color="auto"/>
              <w:bottom w:val="single" w:sz="6" w:space="0" w:color="auto"/>
              <w:right w:val="single" w:sz="6" w:space="0" w:color="auto"/>
            </w:tcBorders>
            <w:vAlign w:val="center"/>
          </w:tcPr>
          <w:p w14:paraId="4CDE468C" w14:textId="77777777" w:rsidR="00DF48CB" w:rsidRPr="002840AB" w:rsidRDefault="00DF48CB" w:rsidP="006C26AC">
            <w:pPr>
              <w:spacing w:line="240" w:lineRule="auto"/>
              <w:rPr>
                <w:rFonts w:ascii="Arial" w:hAnsi="Arial" w:cs="Arial"/>
              </w:rPr>
            </w:pPr>
            <w:r w:rsidRPr="002840AB">
              <w:rPr>
                <w:rFonts w:ascii="Arial" w:hAnsi="Arial" w:cs="Arial"/>
                <w:b/>
              </w:rPr>
              <w:t>Folyószámlahitel hitel</w:t>
            </w:r>
            <w:r w:rsidRPr="002840AB">
              <w:rPr>
                <w:rFonts w:ascii="Arial" w:hAnsi="Arial" w:cs="Arial"/>
              </w:rPr>
              <w:t xml:space="preserve"> – Belföld, Nem pénzügyi vállalatok</w:t>
            </w:r>
          </w:p>
        </w:tc>
        <w:tc>
          <w:tcPr>
            <w:tcW w:w="3898" w:type="dxa"/>
            <w:tcBorders>
              <w:top w:val="single" w:sz="6" w:space="0" w:color="auto"/>
              <w:left w:val="single" w:sz="6" w:space="0" w:color="auto"/>
              <w:bottom w:val="single" w:sz="6" w:space="0" w:color="auto"/>
              <w:right w:val="single" w:sz="12" w:space="0" w:color="auto"/>
            </w:tcBorders>
            <w:vAlign w:val="center"/>
          </w:tcPr>
          <w:p w14:paraId="06454C98" w14:textId="77777777" w:rsidR="00DF48CB" w:rsidRPr="002840AB" w:rsidRDefault="00DF48CB" w:rsidP="006C26AC">
            <w:pPr>
              <w:spacing w:line="240" w:lineRule="auto"/>
              <w:rPr>
                <w:rFonts w:ascii="Arial" w:hAnsi="Arial" w:cs="Arial"/>
              </w:rPr>
            </w:pPr>
            <w:r w:rsidRPr="002840AB">
              <w:rPr>
                <w:rFonts w:ascii="Arial" w:hAnsi="Arial" w:cs="Arial"/>
              </w:rPr>
              <w:t>M01 01/02 tábla 063 sor</w:t>
            </w:r>
          </w:p>
        </w:tc>
      </w:tr>
      <w:tr w:rsidR="00DF48CB" w:rsidRPr="002840AB" w14:paraId="25DABF60"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034FABFD"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4LAN1512</w:t>
            </w:r>
          </w:p>
        </w:tc>
        <w:tc>
          <w:tcPr>
            <w:tcW w:w="3969" w:type="dxa"/>
            <w:tcBorders>
              <w:top w:val="single" w:sz="6" w:space="0" w:color="auto"/>
              <w:left w:val="single" w:sz="6" w:space="0" w:color="auto"/>
              <w:bottom w:val="single" w:sz="6" w:space="0" w:color="auto"/>
              <w:right w:val="single" w:sz="6" w:space="0" w:color="auto"/>
            </w:tcBorders>
            <w:vAlign w:val="center"/>
          </w:tcPr>
          <w:p w14:paraId="2285BBDD" w14:textId="77777777" w:rsidR="00DF48CB" w:rsidRPr="002840AB" w:rsidRDefault="00DF48CB" w:rsidP="006C26AC">
            <w:pPr>
              <w:spacing w:line="240" w:lineRule="auto"/>
              <w:rPr>
                <w:rFonts w:ascii="Arial" w:hAnsi="Arial" w:cs="Arial"/>
              </w:rPr>
            </w:pPr>
            <w:proofErr w:type="spellStart"/>
            <w:r w:rsidRPr="002840AB">
              <w:rPr>
                <w:rFonts w:ascii="Arial" w:hAnsi="Arial" w:cs="Arial"/>
                <w:b/>
              </w:rPr>
              <w:t>Repóügyletekből</w:t>
            </w:r>
            <w:proofErr w:type="spellEnd"/>
            <w:r w:rsidRPr="002840AB">
              <w:rPr>
                <w:rFonts w:ascii="Arial" w:hAnsi="Arial" w:cs="Arial"/>
                <w:b/>
              </w:rPr>
              <w:t xml:space="preserve"> eredő követelés + Egyéb hitel, rövid + Egyéb hitel, hosszú, legfeljebb 5 éves + Egyéb hitel, hosszú, 5 éven túl + Hitelviszonyt megtestesítő értékpapírok értékvesztése, rövid</w:t>
            </w:r>
            <w:r w:rsidRPr="002840AB">
              <w:rPr>
                <w:rFonts w:ascii="Arial" w:hAnsi="Arial" w:cs="Arial"/>
                <w:b/>
                <w:i/>
              </w:rPr>
              <w:t xml:space="preserve"> </w:t>
            </w:r>
            <w:r w:rsidRPr="002840AB">
              <w:rPr>
                <w:rFonts w:ascii="Arial" w:hAnsi="Arial" w:cs="Arial"/>
                <w:b/>
              </w:rPr>
              <w:t xml:space="preserve">+ Hitelviszonyt megtestesítő értékpapírok nettó könyv szerinti értéke, rövid + Hitelviszonyt megtestesítő értékpapírok értékvesztése, hosszú + Hitelviszonyt megtestesítő értékpapírok nettó könyv szerinti értéke, hosszú </w:t>
            </w:r>
            <w:r w:rsidRPr="002840AB">
              <w:rPr>
                <w:rFonts w:ascii="Arial" w:hAnsi="Arial" w:cs="Arial"/>
              </w:rPr>
              <w:t>– Belföld, Nem pénzügyi vállalatok</w:t>
            </w:r>
          </w:p>
        </w:tc>
        <w:tc>
          <w:tcPr>
            <w:tcW w:w="3898" w:type="dxa"/>
            <w:tcBorders>
              <w:top w:val="single" w:sz="6" w:space="0" w:color="auto"/>
              <w:left w:val="single" w:sz="6" w:space="0" w:color="auto"/>
              <w:bottom w:val="single" w:sz="6" w:space="0" w:color="auto"/>
              <w:right w:val="single" w:sz="12" w:space="0" w:color="auto"/>
            </w:tcBorders>
            <w:vAlign w:val="center"/>
          </w:tcPr>
          <w:p w14:paraId="7F84D48A" w14:textId="77777777" w:rsidR="00DF48CB" w:rsidRPr="002840AB" w:rsidRDefault="00DF48CB" w:rsidP="006C26AC">
            <w:pPr>
              <w:spacing w:line="240" w:lineRule="auto"/>
              <w:rPr>
                <w:rFonts w:ascii="Arial" w:hAnsi="Arial" w:cs="Arial"/>
              </w:rPr>
            </w:pPr>
            <w:r w:rsidRPr="002840AB">
              <w:rPr>
                <w:rFonts w:ascii="Arial" w:hAnsi="Arial" w:cs="Arial"/>
              </w:rPr>
              <w:t>M01 01/02 tábla 039 + 087 + 111 + 135 + 261 + 282 + 304 + 325 sorok</w:t>
            </w:r>
          </w:p>
        </w:tc>
      </w:tr>
      <w:tr w:rsidR="00DF48CB" w:rsidRPr="002840AB" w14:paraId="2E43306D" w14:textId="77777777" w:rsidTr="00B244B7">
        <w:trPr>
          <w:trHeight w:val="1002"/>
        </w:trPr>
        <w:tc>
          <w:tcPr>
            <w:tcW w:w="1346" w:type="dxa"/>
            <w:tcBorders>
              <w:top w:val="single" w:sz="6" w:space="0" w:color="auto"/>
              <w:left w:val="single" w:sz="12" w:space="0" w:color="auto"/>
              <w:bottom w:val="single" w:sz="6" w:space="0" w:color="auto"/>
              <w:right w:val="single" w:sz="6" w:space="0" w:color="auto"/>
            </w:tcBorders>
            <w:vAlign w:val="center"/>
          </w:tcPr>
          <w:p w14:paraId="53EC887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4LAN152</w:t>
            </w:r>
          </w:p>
          <w:p w14:paraId="343CE93F" w14:textId="77777777" w:rsidR="00DF48CB" w:rsidRPr="002840AB" w:rsidRDefault="00DF48CB" w:rsidP="006C26AC">
            <w:pPr>
              <w:autoSpaceDE w:val="0"/>
              <w:autoSpaceDN w:val="0"/>
              <w:adjustRightInd w:val="0"/>
              <w:spacing w:line="240" w:lineRule="auto"/>
              <w:rPr>
                <w:rFonts w:ascii="Arial" w:hAnsi="Arial" w:cs="Arial"/>
              </w:rPr>
            </w:pPr>
          </w:p>
        </w:tc>
        <w:tc>
          <w:tcPr>
            <w:tcW w:w="3969" w:type="dxa"/>
            <w:tcBorders>
              <w:top w:val="single" w:sz="6" w:space="0" w:color="auto"/>
              <w:left w:val="single" w:sz="6" w:space="0" w:color="auto"/>
              <w:bottom w:val="single" w:sz="6" w:space="0" w:color="auto"/>
              <w:right w:val="single" w:sz="6" w:space="0" w:color="auto"/>
            </w:tcBorders>
            <w:vAlign w:val="center"/>
          </w:tcPr>
          <w:p w14:paraId="1FCCD474" w14:textId="77777777" w:rsidR="00DF48CB" w:rsidRPr="002840AB" w:rsidRDefault="00DF48CB" w:rsidP="006C26AC">
            <w:pPr>
              <w:spacing w:line="240" w:lineRule="auto"/>
              <w:rPr>
                <w:rFonts w:ascii="Arial" w:hAnsi="Arial" w:cs="Arial"/>
              </w:rPr>
            </w:pPr>
            <w:r w:rsidRPr="002840AB">
              <w:rPr>
                <w:rFonts w:ascii="Arial" w:hAnsi="Arial" w:cs="Arial"/>
                <w:b/>
              </w:rPr>
              <w:t xml:space="preserve">Hitelkövetelések bruttó tőkeösszege és Hitelviszonyt megtestesítő értékpapírok </w:t>
            </w:r>
            <w:r w:rsidRPr="002840AB">
              <w:rPr>
                <w:rFonts w:ascii="Arial" w:hAnsi="Arial" w:cs="Arial"/>
              </w:rPr>
              <w:t>– Belföld, Háztartások, Háztartásokat segítő nonprofit int</w:t>
            </w:r>
          </w:p>
          <w:p w14:paraId="0FFF3352" w14:textId="77777777" w:rsidR="00DF48CB" w:rsidRPr="002840AB" w:rsidRDefault="00DF48CB" w:rsidP="006C26AC">
            <w:pPr>
              <w:spacing w:line="240" w:lineRule="auto"/>
              <w:rPr>
                <w:rFonts w:ascii="Arial" w:hAnsi="Arial" w:cs="Arial"/>
              </w:rPr>
            </w:pPr>
          </w:p>
        </w:tc>
        <w:tc>
          <w:tcPr>
            <w:tcW w:w="3898" w:type="dxa"/>
            <w:tcBorders>
              <w:top w:val="single" w:sz="6" w:space="0" w:color="auto"/>
              <w:left w:val="single" w:sz="6" w:space="0" w:color="auto"/>
              <w:bottom w:val="single" w:sz="6" w:space="0" w:color="auto"/>
              <w:right w:val="single" w:sz="12" w:space="0" w:color="auto"/>
            </w:tcBorders>
            <w:vAlign w:val="center"/>
          </w:tcPr>
          <w:p w14:paraId="4C6087B6" w14:textId="77777777" w:rsidR="00DF48CB" w:rsidRPr="002840AB" w:rsidRDefault="00DF48CB" w:rsidP="006C26AC">
            <w:pPr>
              <w:spacing w:line="240" w:lineRule="auto"/>
              <w:rPr>
                <w:rFonts w:ascii="Arial" w:hAnsi="Arial" w:cs="Arial"/>
              </w:rPr>
            </w:pPr>
            <w:r w:rsidRPr="002840AB">
              <w:rPr>
                <w:rFonts w:ascii="Arial" w:hAnsi="Arial" w:cs="Arial"/>
              </w:rPr>
              <w:t>4LAN1521+4LAN1522</w:t>
            </w:r>
          </w:p>
        </w:tc>
      </w:tr>
      <w:tr w:rsidR="00DF48CB" w:rsidRPr="002840AB" w14:paraId="20705DA8"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62A5A13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4LAN1521</w:t>
            </w:r>
          </w:p>
        </w:tc>
        <w:tc>
          <w:tcPr>
            <w:tcW w:w="3969" w:type="dxa"/>
            <w:tcBorders>
              <w:top w:val="single" w:sz="6" w:space="0" w:color="auto"/>
              <w:left w:val="single" w:sz="6" w:space="0" w:color="auto"/>
              <w:bottom w:val="single" w:sz="6" w:space="0" w:color="auto"/>
              <w:right w:val="single" w:sz="6" w:space="0" w:color="auto"/>
            </w:tcBorders>
            <w:vAlign w:val="center"/>
          </w:tcPr>
          <w:p w14:paraId="07275A42" w14:textId="77777777" w:rsidR="00DF48CB" w:rsidRPr="002840AB" w:rsidRDefault="00DF48CB" w:rsidP="006C26AC">
            <w:pPr>
              <w:spacing w:line="240" w:lineRule="auto"/>
              <w:rPr>
                <w:rFonts w:ascii="Arial" w:hAnsi="Arial" w:cs="Arial"/>
              </w:rPr>
            </w:pPr>
            <w:r w:rsidRPr="002840AB">
              <w:rPr>
                <w:rFonts w:ascii="Arial" w:hAnsi="Arial" w:cs="Arial"/>
                <w:b/>
              </w:rPr>
              <w:t>Folyószámlahitel hitel</w:t>
            </w:r>
            <w:r w:rsidRPr="002840AB">
              <w:rPr>
                <w:rFonts w:ascii="Arial" w:hAnsi="Arial" w:cs="Arial"/>
              </w:rPr>
              <w:t xml:space="preserve"> – Belföld, Háztartások,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0BBE5931" w14:textId="77777777" w:rsidR="00DF48CB" w:rsidRPr="002840AB" w:rsidRDefault="00DF48CB" w:rsidP="006C26AC">
            <w:pPr>
              <w:spacing w:line="240" w:lineRule="auto"/>
              <w:rPr>
                <w:rFonts w:ascii="Arial" w:hAnsi="Arial" w:cs="Arial"/>
              </w:rPr>
            </w:pPr>
            <w:r w:rsidRPr="002840AB">
              <w:rPr>
                <w:rFonts w:ascii="Arial" w:hAnsi="Arial" w:cs="Arial"/>
              </w:rPr>
              <w:t>M01 01/02 tábla 075 + 076 sorok</w:t>
            </w:r>
          </w:p>
        </w:tc>
      </w:tr>
      <w:tr w:rsidR="00DF48CB" w:rsidRPr="002840AB" w14:paraId="6A12D9C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1C5B9FF"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4LAN1522</w:t>
            </w:r>
          </w:p>
          <w:p w14:paraId="697D1572" w14:textId="77777777" w:rsidR="00DF48CB" w:rsidRPr="002840AB" w:rsidRDefault="00DF48CB" w:rsidP="006C26AC">
            <w:pPr>
              <w:autoSpaceDE w:val="0"/>
              <w:autoSpaceDN w:val="0"/>
              <w:adjustRightInd w:val="0"/>
              <w:spacing w:line="240" w:lineRule="auto"/>
              <w:rPr>
                <w:rFonts w:ascii="Arial" w:hAnsi="Arial" w:cs="Arial"/>
              </w:rPr>
            </w:pPr>
          </w:p>
          <w:p w14:paraId="7EAC9DE3" w14:textId="77777777" w:rsidR="00DF48CB" w:rsidRPr="002840AB" w:rsidRDefault="00DF48CB" w:rsidP="006C26AC">
            <w:pPr>
              <w:autoSpaceDE w:val="0"/>
              <w:autoSpaceDN w:val="0"/>
              <w:adjustRightInd w:val="0"/>
              <w:spacing w:line="240" w:lineRule="auto"/>
              <w:rPr>
                <w:rFonts w:ascii="Arial" w:hAnsi="Arial" w:cs="Arial"/>
              </w:rPr>
            </w:pPr>
          </w:p>
        </w:tc>
        <w:tc>
          <w:tcPr>
            <w:tcW w:w="3969" w:type="dxa"/>
            <w:tcBorders>
              <w:top w:val="single" w:sz="6" w:space="0" w:color="auto"/>
              <w:left w:val="single" w:sz="6" w:space="0" w:color="auto"/>
              <w:bottom w:val="single" w:sz="6" w:space="0" w:color="auto"/>
              <w:right w:val="single" w:sz="6" w:space="0" w:color="auto"/>
            </w:tcBorders>
            <w:vAlign w:val="center"/>
          </w:tcPr>
          <w:p w14:paraId="3F3207C0" w14:textId="77777777" w:rsidR="00DF48CB" w:rsidRPr="002840AB" w:rsidRDefault="00DF48CB" w:rsidP="006C26AC">
            <w:pPr>
              <w:spacing w:line="240" w:lineRule="auto"/>
              <w:rPr>
                <w:rFonts w:ascii="Arial" w:hAnsi="Arial" w:cs="Arial"/>
              </w:rPr>
            </w:pPr>
            <w:proofErr w:type="spellStart"/>
            <w:r w:rsidRPr="002840AB">
              <w:rPr>
                <w:rFonts w:ascii="Arial" w:hAnsi="Arial" w:cs="Arial"/>
                <w:b/>
              </w:rPr>
              <w:t>Repóügyletekből</w:t>
            </w:r>
            <w:proofErr w:type="spellEnd"/>
            <w:r w:rsidRPr="002840AB">
              <w:rPr>
                <w:rFonts w:ascii="Arial" w:hAnsi="Arial" w:cs="Arial"/>
                <w:b/>
              </w:rPr>
              <w:t xml:space="preserve"> eredő követelés + Egyéb hitel, rövid + Egyéb hitel, hosszú, legfeljebb 5 éves + Egyéb hitel, hosszú, 5 éven túl + Hitelviszonyt megtestesítő értékpapírok értékvesztése, rövid</w:t>
            </w:r>
            <w:r w:rsidRPr="002840AB">
              <w:rPr>
                <w:rFonts w:ascii="Arial" w:hAnsi="Arial" w:cs="Arial"/>
                <w:b/>
                <w:i/>
              </w:rPr>
              <w:t xml:space="preserve"> </w:t>
            </w:r>
            <w:r w:rsidRPr="002840AB">
              <w:rPr>
                <w:rFonts w:ascii="Arial" w:hAnsi="Arial" w:cs="Arial"/>
                <w:b/>
              </w:rPr>
              <w:t xml:space="preserve">+ Hitelviszonyt megtestesítő értékpapírok nettó könyv szerinti értéke, rövid + Hitelviszonyt megtestesítő értékpapírok értékvesztése, hosszú + Hitelviszonyt megtestesítő értékpapírok nettó könyv </w:t>
            </w:r>
            <w:r w:rsidRPr="002840AB">
              <w:rPr>
                <w:rFonts w:ascii="Arial" w:hAnsi="Arial" w:cs="Arial"/>
                <w:b/>
              </w:rPr>
              <w:lastRenderedPageBreak/>
              <w:t xml:space="preserve">szerinti értéke, hosszú </w:t>
            </w:r>
            <w:r w:rsidRPr="002840AB">
              <w:rPr>
                <w:rFonts w:ascii="Arial" w:hAnsi="Arial" w:cs="Arial"/>
              </w:rPr>
              <w:t>– Belföld, Háztartások,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7D601502" w14:textId="77777777" w:rsidR="00DF48CB" w:rsidRPr="002840AB" w:rsidRDefault="00DF48CB" w:rsidP="006C26AC">
            <w:pPr>
              <w:spacing w:line="240" w:lineRule="auto"/>
              <w:rPr>
                <w:rFonts w:ascii="Arial" w:hAnsi="Arial" w:cs="Arial"/>
              </w:rPr>
            </w:pPr>
            <w:r w:rsidRPr="002840AB">
              <w:rPr>
                <w:rFonts w:ascii="Arial" w:hAnsi="Arial" w:cs="Arial"/>
              </w:rPr>
              <w:lastRenderedPageBreak/>
              <w:t>M01 01/02 tábla 051 + 052 + 099 + 100 +123 + 124 + 147 + 148 + 271 + 292 + 314 + 335 sorok</w:t>
            </w:r>
          </w:p>
        </w:tc>
      </w:tr>
      <w:tr w:rsidR="00DF48CB" w:rsidRPr="002840AB" w14:paraId="73BB3706"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0395812"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4LAN153</w:t>
            </w:r>
          </w:p>
          <w:p w14:paraId="62F48DE4" w14:textId="77777777" w:rsidR="00DF48CB" w:rsidRPr="002840AB" w:rsidRDefault="00DF48CB" w:rsidP="006C26AC">
            <w:pPr>
              <w:autoSpaceDE w:val="0"/>
              <w:autoSpaceDN w:val="0"/>
              <w:adjustRightInd w:val="0"/>
              <w:spacing w:line="240" w:lineRule="auto"/>
              <w:rPr>
                <w:rFonts w:ascii="Arial" w:hAnsi="Arial" w:cs="Arial"/>
              </w:rPr>
            </w:pPr>
          </w:p>
        </w:tc>
        <w:tc>
          <w:tcPr>
            <w:tcW w:w="3969" w:type="dxa"/>
            <w:tcBorders>
              <w:top w:val="single" w:sz="6" w:space="0" w:color="auto"/>
              <w:left w:val="single" w:sz="6" w:space="0" w:color="auto"/>
              <w:bottom w:val="single" w:sz="6" w:space="0" w:color="auto"/>
              <w:right w:val="single" w:sz="6" w:space="0" w:color="auto"/>
            </w:tcBorders>
            <w:vAlign w:val="center"/>
          </w:tcPr>
          <w:p w14:paraId="5AF45EA2" w14:textId="77777777" w:rsidR="00DF48CB" w:rsidRPr="002840AB" w:rsidRDefault="00DF48CB" w:rsidP="006C26AC">
            <w:pPr>
              <w:spacing w:line="240" w:lineRule="auto"/>
              <w:rPr>
                <w:rFonts w:ascii="Arial" w:hAnsi="Arial" w:cs="Arial"/>
              </w:rPr>
            </w:pPr>
            <w:proofErr w:type="spellStart"/>
            <w:r w:rsidRPr="002840AB">
              <w:rPr>
                <w:rFonts w:ascii="Arial" w:hAnsi="Arial" w:cs="Arial"/>
                <w:b/>
              </w:rPr>
              <w:t>Repóügyletekből</w:t>
            </w:r>
            <w:proofErr w:type="spellEnd"/>
            <w:r w:rsidRPr="002840AB">
              <w:rPr>
                <w:rFonts w:ascii="Arial" w:hAnsi="Arial" w:cs="Arial"/>
                <w:b/>
              </w:rPr>
              <w:t xml:space="preserve"> eredő követelés + Folyószámlahitel + Egyéb hitel, rövid + Egyéb hitel, hosszú, legfeljebb 5 éves + Egyéb hitel, hosszú, 5 éven túl + Hitelviszonyt megtestesítő értékpapírok értékvesztése, rövid</w:t>
            </w:r>
            <w:r w:rsidRPr="002840AB">
              <w:rPr>
                <w:rFonts w:ascii="Arial" w:hAnsi="Arial" w:cs="Arial"/>
                <w:b/>
                <w:i/>
              </w:rPr>
              <w:t xml:space="preserve"> </w:t>
            </w:r>
            <w:r w:rsidRPr="002840AB">
              <w:rPr>
                <w:rFonts w:ascii="Arial" w:hAnsi="Arial" w:cs="Arial"/>
                <w:b/>
              </w:rPr>
              <w:t xml:space="preserve">+ Hitelviszonyt megtestesítő értékpapírok nettó könyv szerinti értéke, rövid + Hitelviszonyt megtestesítő értékpapírok értékvesztése, hosszú + Hitelviszonyt megtestesítő értékpapírok nettó könyv szerinti értéke, hosszú </w:t>
            </w:r>
            <w:r w:rsidRPr="002840AB">
              <w:rPr>
                <w:rFonts w:ascii="Arial" w:hAnsi="Arial" w:cs="Arial"/>
                <w:i/>
              </w:rPr>
              <w:t xml:space="preserve">– Belföld: Központi kormányzat, Helyi önkormányzatok, TB alapok, </w:t>
            </w:r>
            <w:proofErr w:type="spellStart"/>
            <w:r w:rsidRPr="002840AB">
              <w:rPr>
                <w:rFonts w:ascii="Arial" w:hAnsi="Arial" w:cs="Arial"/>
                <w:i/>
              </w:rPr>
              <w:t>GMU</w:t>
            </w:r>
            <w:proofErr w:type="spellEnd"/>
            <w:r w:rsidRPr="002840AB">
              <w:rPr>
                <w:rFonts w:ascii="Arial" w:hAnsi="Arial" w:cs="Arial"/>
                <w:i/>
              </w:rPr>
              <w:t xml:space="preserve"> Nem pénzügyi vállalatok, </w:t>
            </w:r>
            <w:proofErr w:type="spellStart"/>
            <w:r w:rsidRPr="002840AB">
              <w:rPr>
                <w:rFonts w:ascii="Arial" w:hAnsi="Arial" w:cs="Arial"/>
                <w:i/>
              </w:rPr>
              <w:t>GMU</w:t>
            </w:r>
            <w:proofErr w:type="spellEnd"/>
            <w:r w:rsidRPr="002840AB">
              <w:rPr>
                <w:rFonts w:ascii="Arial" w:hAnsi="Arial" w:cs="Arial"/>
                <w:i/>
              </w:rPr>
              <w:t xml:space="preserve"> Nem monetáris pénzügyi intézmények, </w:t>
            </w:r>
            <w:proofErr w:type="spellStart"/>
            <w:r w:rsidRPr="002840AB">
              <w:rPr>
                <w:rFonts w:ascii="Arial" w:hAnsi="Arial" w:cs="Arial"/>
                <w:i/>
              </w:rPr>
              <w:t>GMU</w:t>
            </w:r>
            <w:proofErr w:type="spellEnd"/>
            <w:r w:rsidRPr="002840AB">
              <w:rPr>
                <w:rFonts w:ascii="Arial" w:hAnsi="Arial" w:cs="Arial"/>
                <w:i/>
              </w:rPr>
              <w:t xml:space="preserve"> Államháztartás, </w:t>
            </w:r>
            <w:proofErr w:type="spellStart"/>
            <w:r w:rsidRPr="002840AB">
              <w:rPr>
                <w:rFonts w:ascii="Arial" w:hAnsi="Arial" w:cs="Arial"/>
                <w:i/>
              </w:rPr>
              <w:t>GMU</w:t>
            </w:r>
            <w:proofErr w:type="spellEnd"/>
            <w:r w:rsidRPr="002840AB">
              <w:rPr>
                <w:rFonts w:ascii="Arial" w:hAnsi="Arial" w:cs="Arial"/>
                <w:i/>
              </w:rPr>
              <w:t xml:space="preserve"> Háztartások és háztartásokat segítő nonprofit int., Egyéb külföld, Nem pénzügyi vállalatok, Egyéb külföld, Nem monetáris pénzügyi intézmények, Egyéb külföld, Államháztartás, Egyéb külföld, Háztartások és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6BDF61E3" w14:textId="77777777" w:rsidR="00DF48CB" w:rsidRPr="002840AB" w:rsidRDefault="00DF48CB" w:rsidP="006C26AC">
            <w:pPr>
              <w:spacing w:line="240" w:lineRule="auto"/>
              <w:rPr>
                <w:rFonts w:ascii="Arial" w:hAnsi="Arial" w:cs="Arial"/>
              </w:rPr>
            </w:pPr>
            <w:r w:rsidRPr="002840AB">
              <w:rPr>
                <w:rFonts w:ascii="Arial" w:hAnsi="Arial" w:cs="Arial"/>
              </w:rPr>
              <w:t>M01 01/02 tábla 048 + 049 + 050 + 053 + 055 + 056 + 057 + 058 + 060 + 061 + 062 + 072 + 073 + 074 + 077 + 079 + 080 + 081 + 082 + 084 + 085 + 086 + 096 + 097 + 098 + 101 + 103 + 104 + 105 + 106 + 108 + 109 + 110 + 120 + 121 + 122 + 125 + 127 + 128 + 129 + 130 + 132 + 133 + 134 + 144 + 145 + 146 + 149 + 151 + 152 + 153 + 154 + 156 + 157 + 158 - 269 - 270 - 272 - 274 - 275 - 276 - 277 - 279 - 280 - 281 - 290 - 291 - 293 - 295 - 296 - 297 - 298 - 300 - 301 - 302 + 312 + 313 + 315 + 317 + 318 + 319 + 320 + 322 + 323 + 324 + 333 + 334 + 336 + 338 + 339 + 340 + 341 + 343 +344 + 345 sorok</w:t>
            </w:r>
          </w:p>
        </w:tc>
      </w:tr>
      <w:tr w:rsidR="00DF48CB" w:rsidRPr="002840AB" w14:paraId="4ADEDBDF"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03AE13B"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4LAN16</w:t>
            </w:r>
          </w:p>
        </w:tc>
        <w:tc>
          <w:tcPr>
            <w:tcW w:w="3969" w:type="dxa"/>
            <w:tcBorders>
              <w:top w:val="single" w:sz="6" w:space="0" w:color="auto"/>
              <w:left w:val="single" w:sz="6" w:space="0" w:color="auto"/>
              <w:bottom w:val="single" w:sz="6" w:space="0" w:color="auto"/>
              <w:right w:val="single" w:sz="6" w:space="0" w:color="auto"/>
            </w:tcBorders>
            <w:vAlign w:val="center"/>
          </w:tcPr>
          <w:p w14:paraId="1DDF7E9C" w14:textId="77777777" w:rsidR="00DF48CB" w:rsidRPr="002840AB" w:rsidRDefault="00DF48CB" w:rsidP="006C26AC">
            <w:pPr>
              <w:spacing w:line="240" w:lineRule="auto"/>
              <w:rPr>
                <w:rFonts w:ascii="Arial" w:hAnsi="Arial" w:cs="Arial"/>
              </w:rPr>
            </w:pPr>
            <w:r w:rsidRPr="002840AB">
              <w:rPr>
                <w:rFonts w:ascii="Arial" w:hAnsi="Arial" w:cs="Arial"/>
              </w:rPr>
              <w:t>Részletezett ESZKÖZÖK ÖSSZESEN</w:t>
            </w:r>
          </w:p>
        </w:tc>
        <w:tc>
          <w:tcPr>
            <w:tcW w:w="3898" w:type="dxa"/>
            <w:tcBorders>
              <w:top w:val="single" w:sz="6" w:space="0" w:color="auto"/>
              <w:left w:val="single" w:sz="6" w:space="0" w:color="auto"/>
              <w:bottom w:val="single" w:sz="6" w:space="0" w:color="auto"/>
              <w:right w:val="single" w:sz="12" w:space="0" w:color="auto"/>
            </w:tcBorders>
            <w:vAlign w:val="center"/>
          </w:tcPr>
          <w:p w14:paraId="2208E8FC" w14:textId="77777777" w:rsidR="00DF48CB" w:rsidRPr="002840AB" w:rsidRDefault="00DF48CB" w:rsidP="006C26AC">
            <w:pPr>
              <w:spacing w:line="240" w:lineRule="auto"/>
              <w:rPr>
                <w:rFonts w:ascii="Arial" w:hAnsi="Arial" w:cs="Arial"/>
              </w:rPr>
            </w:pPr>
          </w:p>
        </w:tc>
      </w:tr>
      <w:tr w:rsidR="00DF48CB" w:rsidRPr="002840AB" w14:paraId="4AAD91A9" w14:textId="77777777" w:rsidTr="005F5E88">
        <w:trPr>
          <w:trHeight w:val="265"/>
        </w:trPr>
        <w:tc>
          <w:tcPr>
            <w:tcW w:w="1346" w:type="dxa"/>
            <w:tcBorders>
              <w:top w:val="single" w:sz="6" w:space="0" w:color="auto"/>
              <w:left w:val="single" w:sz="12" w:space="0" w:color="auto"/>
              <w:bottom w:val="single" w:sz="6" w:space="0" w:color="auto"/>
              <w:right w:val="single" w:sz="6" w:space="0" w:color="auto"/>
            </w:tcBorders>
            <w:vAlign w:val="center"/>
          </w:tcPr>
          <w:p w14:paraId="62A5C90F"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w:t>
            </w:r>
          </w:p>
        </w:tc>
        <w:tc>
          <w:tcPr>
            <w:tcW w:w="3969" w:type="dxa"/>
            <w:tcBorders>
              <w:top w:val="single" w:sz="6" w:space="0" w:color="auto"/>
              <w:left w:val="single" w:sz="6" w:space="0" w:color="auto"/>
              <w:bottom w:val="single" w:sz="6" w:space="0" w:color="auto"/>
              <w:right w:val="single" w:sz="6" w:space="0" w:color="auto"/>
            </w:tcBorders>
            <w:vAlign w:val="center"/>
          </w:tcPr>
          <w:p w14:paraId="0D1F367E" w14:textId="77777777" w:rsidR="00DF48CB" w:rsidRPr="002840AB" w:rsidRDefault="00DF48CB" w:rsidP="006C26AC">
            <w:pPr>
              <w:spacing w:line="240" w:lineRule="auto"/>
              <w:rPr>
                <w:rFonts w:ascii="Arial" w:hAnsi="Arial" w:cs="Arial"/>
              </w:rPr>
            </w:pPr>
            <w:r w:rsidRPr="002840AB">
              <w:rPr>
                <w:rFonts w:ascii="Arial" w:hAnsi="Arial" w:cs="Arial"/>
              </w:rPr>
              <w:t>Forrás oldali tételek</w:t>
            </w:r>
          </w:p>
        </w:tc>
        <w:tc>
          <w:tcPr>
            <w:tcW w:w="3898" w:type="dxa"/>
            <w:tcBorders>
              <w:top w:val="single" w:sz="6" w:space="0" w:color="auto"/>
              <w:left w:val="single" w:sz="6" w:space="0" w:color="auto"/>
              <w:bottom w:val="single" w:sz="6" w:space="0" w:color="auto"/>
              <w:right w:val="single" w:sz="12" w:space="0" w:color="auto"/>
            </w:tcBorders>
            <w:shd w:val="clear" w:color="auto" w:fill="BFBFBF"/>
            <w:vAlign w:val="center"/>
          </w:tcPr>
          <w:p w14:paraId="017A44C9" w14:textId="77777777" w:rsidR="00DF48CB" w:rsidRPr="002840AB" w:rsidRDefault="00DF48CB" w:rsidP="006C26AC">
            <w:pPr>
              <w:spacing w:line="240" w:lineRule="auto"/>
              <w:rPr>
                <w:rFonts w:ascii="Arial" w:hAnsi="Arial" w:cs="Arial"/>
              </w:rPr>
            </w:pPr>
          </w:p>
        </w:tc>
      </w:tr>
      <w:tr w:rsidR="00DF48CB" w:rsidRPr="002840AB" w14:paraId="2431B882"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FB9D489"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4LAN21</w:t>
            </w:r>
          </w:p>
        </w:tc>
        <w:tc>
          <w:tcPr>
            <w:tcW w:w="3969" w:type="dxa"/>
            <w:tcBorders>
              <w:top w:val="single" w:sz="6" w:space="0" w:color="auto"/>
              <w:left w:val="single" w:sz="6" w:space="0" w:color="auto"/>
              <w:bottom w:val="single" w:sz="6" w:space="0" w:color="auto"/>
              <w:right w:val="single" w:sz="6" w:space="0" w:color="auto"/>
            </w:tcBorders>
            <w:vAlign w:val="center"/>
          </w:tcPr>
          <w:p w14:paraId="171B96C4"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Lekötött betétek, rövid + Lekötött betétek, hosszú, legfeljebb 2 éves + Lekötött betétek, hosszú, 2 éven túl + </w:t>
            </w:r>
            <w:proofErr w:type="spellStart"/>
            <w:r w:rsidRPr="002840AB">
              <w:rPr>
                <w:rFonts w:ascii="Arial" w:hAnsi="Arial" w:cs="Arial"/>
                <w:b/>
              </w:rPr>
              <w:t>Repóügyletekből</w:t>
            </w:r>
            <w:proofErr w:type="spellEnd"/>
            <w:r w:rsidRPr="002840AB">
              <w:rPr>
                <w:rFonts w:ascii="Arial" w:hAnsi="Arial" w:cs="Arial"/>
                <w:b/>
              </w:rPr>
              <w:t xml:space="preserve"> szerzett forrás+ Felvett hitel- rövid + Felvett hitel, hosszú, legfeljebb 2 éves + Felvett hitel, hosszú, 2 éven túl</w:t>
            </w:r>
            <w:r w:rsidRPr="002840AB">
              <w:rPr>
                <w:rFonts w:ascii="Arial" w:hAnsi="Arial" w:cs="Arial"/>
              </w:rPr>
              <w:t xml:space="preserve"> – </w:t>
            </w:r>
            <w:r w:rsidRPr="002840AB">
              <w:rPr>
                <w:rFonts w:ascii="Arial" w:hAnsi="Arial" w:cs="Arial"/>
                <w:i/>
              </w:rPr>
              <w:t>Belföld, Központi bank</w:t>
            </w:r>
          </w:p>
        </w:tc>
        <w:tc>
          <w:tcPr>
            <w:tcW w:w="3898" w:type="dxa"/>
            <w:tcBorders>
              <w:top w:val="single" w:sz="6" w:space="0" w:color="auto"/>
              <w:left w:val="single" w:sz="6" w:space="0" w:color="auto"/>
              <w:bottom w:val="single" w:sz="6" w:space="0" w:color="auto"/>
              <w:right w:val="single" w:sz="12" w:space="0" w:color="auto"/>
            </w:tcBorders>
            <w:vAlign w:val="center"/>
          </w:tcPr>
          <w:p w14:paraId="18738E95" w14:textId="77777777" w:rsidR="00DF48CB" w:rsidRPr="002840AB" w:rsidRDefault="00DF48CB" w:rsidP="006C26AC">
            <w:pPr>
              <w:spacing w:line="240" w:lineRule="auto"/>
              <w:rPr>
                <w:rFonts w:ascii="Arial" w:hAnsi="Arial" w:cs="Arial"/>
              </w:rPr>
            </w:pPr>
            <w:r w:rsidRPr="002840AB">
              <w:rPr>
                <w:rFonts w:ascii="Arial" w:hAnsi="Arial" w:cs="Arial"/>
              </w:rPr>
              <w:t>M01 01/02 tábla 528 + 552 + 576 + 600 + 701 + 725 + 749 + 773 sorok</w:t>
            </w:r>
          </w:p>
        </w:tc>
      </w:tr>
      <w:tr w:rsidR="00DF48CB" w:rsidRPr="002840AB" w14:paraId="77AD5CB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280068E"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4LAN22</w:t>
            </w:r>
          </w:p>
        </w:tc>
        <w:tc>
          <w:tcPr>
            <w:tcW w:w="3969" w:type="dxa"/>
            <w:tcBorders>
              <w:top w:val="single" w:sz="6" w:space="0" w:color="auto"/>
              <w:left w:val="single" w:sz="6" w:space="0" w:color="auto"/>
              <w:bottom w:val="single" w:sz="6" w:space="0" w:color="auto"/>
              <w:right w:val="single" w:sz="6" w:space="0" w:color="auto"/>
            </w:tcBorders>
            <w:vAlign w:val="center"/>
          </w:tcPr>
          <w:p w14:paraId="24883953" w14:textId="77777777" w:rsidR="00DF48CB" w:rsidRPr="002840AB" w:rsidRDefault="00DF48CB" w:rsidP="006C26AC">
            <w:pPr>
              <w:spacing w:line="240" w:lineRule="auto"/>
              <w:rPr>
                <w:rFonts w:ascii="Arial" w:hAnsi="Arial" w:cs="Arial"/>
              </w:rPr>
            </w:pPr>
            <w:r w:rsidRPr="002840AB">
              <w:rPr>
                <w:rFonts w:ascii="Arial" w:hAnsi="Arial" w:cs="Arial"/>
              </w:rPr>
              <w:t>Bel- és külföldi hitelintézetekkel szembeni kötelezettség</w:t>
            </w:r>
          </w:p>
        </w:tc>
        <w:tc>
          <w:tcPr>
            <w:tcW w:w="3898" w:type="dxa"/>
            <w:tcBorders>
              <w:top w:val="single" w:sz="6" w:space="0" w:color="auto"/>
              <w:left w:val="single" w:sz="6" w:space="0" w:color="auto"/>
              <w:bottom w:val="single" w:sz="6" w:space="0" w:color="auto"/>
              <w:right w:val="single" w:sz="12" w:space="0" w:color="auto"/>
            </w:tcBorders>
            <w:vAlign w:val="center"/>
          </w:tcPr>
          <w:p w14:paraId="190BE06C" w14:textId="77777777" w:rsidR="00DF48CB" w:rsidRPr="002840AB" w:rsidRDefault="00DF48CB" w:rsidP="006C26AC">
            <w:pPr>
              <w:spacing w:line="240" w:lineRule="auto"/>
              <w:rPr>
                <w:rFonts w:ascii="Arial" w:hAnsi="Arial" w:cs="Arial"/>
              </w:rPr>
            </w:pPr>
            <w:r w:rsidRPr="002840AB">
              <w:rPr>
                <w:rFonts w:ascii="Arial" w:hAnsi="Arial" w:cs="Arial"/>
              </w:rPr>
              <w:t>4LAN221+4LAN222+4LAN223</w:t>
            </w:r>
          </w:p>
        </w:tc>
      </w:tr>
      <w:tr w:rsidR="00DF48CB" w:rsidRPr="002840AB" w14:paraId="36A95638" w14:textId="77777777" w:rsidTr="005F5E88">
        <w:trPr>
          <w:trHeight w:val="315"/>
        </w:trPr>
        <w:tc>
          <w:tcPr>
            <w:tcW w:w="1346" w:type="dxa"/>
            <w:tcBorders>
              <w:top w:val="single" w:sz="6" w:space="0" w:color="auto"/>
              <w:left w:val="single" w:sz="12" w:space="0" w:color="auto"/>
              <w:bottom w:val="single" w:sz="6" w:space="0" w:color="auto"/>
              <w:right w:val="single" w:sz="6" w:space="0" w:color="auto"/>
            </w:tcBorders>
            <w:vAlign w:val="center"/>
          </w:tcPr>
          <w:p w14:paraId="50CA84EA"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4LAN221</w:t>
            </w:r>
          </w:p>
        </w:tc>
        <w:tc>
          <w:tcPr>
            <w:tcW w:w="3969" w:type="dxa"/>
            <w:tcBorders>
              <w:top w:val="single" w:sz="6" w:space="0" w:color="auto"/>
              <w:left w:val="single" w:sz="6" w:space="0" w:color="auto"/>
              <w:bottom w:val="single" w:sz="6" w:space="0" w:color="auto"/>
              <w:right w:val="single" w:sz="6" w:space="0" w:color="auto"/>
            </w:tcBorders>
            <w:vAlign w:val="center"/>
          </w:tcPr>
          <w:p w14:paraId="0459D3E9"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w:t>
            </w:r>
            <w:r w:rsidRPr="002840AB">
              <w:rPr>
                <w:rFonts w:ascii="Arial" w:hAnsi="Arial" w:cs="Arial"/>
                <w:i/>
              </w:rPr>
              <w:t xml:space="preserve">Belföld, Hitelintézet, </w:t>
            </w:r>
            <w:proofErr w:type="spellStart"/>
            <w:r w:rsidRPr="002840AB">
              <w:rPr>
                <w:rFonts w:ascii="Arial" w:hAnsi="Arial" w:cs="Arial"/>
                <w:i/>
              </w:rPr>
              <w:t>GMU</w:t>
            </w:r>
            <w:proofErr w:type="spellEnd"/>
            <w:r w:rsidRPr="002840AB">
              <w:rPr>
                <w:rFonts w:ascii="Arial" w:hAnsi="Arial" w:cs="Arial"/>
                <w:i/>
              </w:rPr>
              <w:t xml:space="preserve"> Monetáris pénzügyi intézmények, Egyéb külföld, Monetáris pénzügyi intézmények</w:t>
            </w:r>
          </w:p>
        </w:tc>
        <w:tc>
          <w:tcPr>
            <w:tcW w:w="3898" w:type="dxa"/>
            <w:tcBorders>
              <w:top w:val="single" w:sz="6" w:space="0" w:color="auto"/>
              <w:left w:val="single" w:sz="6" w:space="0" w:color="auto"/>
              <w:bottom w:val="single" w:sz="6" w:space="0" w:color="auto"/>
              <w:right w:val="single" w:sz="12" w:space="0" w:color="auto"/>
            </w:tcBorders>
            <w:vAlign w:val="center"/>
          </w:tcPr>
          <w:p w14:paraId="05234F64" w14:textId="77777777" w:rsidR="00DF48CB" w:rsidRPr="002840AB" w:rsidRDefault="00DF48CB" w:rsidP="006C26AC">
            <w:pPr>
              <w:spacing w:line="240" w:lineRule="auto"/>
              <w:rPr>
                <w:rFonts w:ascii="Arial" w:hAnsi="Arial" w:cs="Arial"/>
              </w:rPr>
            </w:pPr>
            <w:r w:rsidRPr="002840AB">
              <w:rPr>
                <w:rFonts w:ascii="Arial" w:hAnsi="Arial" w:cs="Arial"/>
              </w:rPr>
              <w:t>M01 01/02 tábla 529 + 542 + 547 sorok</w:t>
            </w:r>
          </w:p>
        </w:tc>
      </w:tr>
      <w:tr w:rsidR="00DF48CB" w:rsidRPr="002840AB" w14:paraId="1E9184E3"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95D603D"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4LAN222</w:t>
            </w:r>
          </w:p>
        </w:tc>
        <w:tc>
          <w:tcPr>
            <w:tcW w:w="3969" w:type="dxa"/>
            <w:tcBorders>
              <w:top w:val="single" w:sz="6" w:space="0" w:color="auto"/>
              <w:left w:val="single" w:sz="6" w:space="0" w:color="auto"/>
              <w:bottom w:val="single" w:sz="6" w:space="0" w:color="auto"/>
              <w:right w:val="single" w:sz="6" w:space="0" w:color="auto"/>
            </w:tcBorders>
            <w:vAlign w:val="center"/>
          </w:tcPr>
          <w:p w14:paraId="2E41B8FC"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rövid + </w:t>
            </w:r>
            <w:proofErr w:type="spellStart"/>
            <w:r w:rsidRPr="002840AB">
              <w:rPr>
                <w:rFonts w:ascii="Arial" w:hAnsi="Arial" w:cs="Arial"/>
                <w:b/>
              </w:rPr>
              <w:t>Repóügyletekből</w:t>
            </w:r>
            <w:proofErr w:type="spellEnd"/>
            <w:r w:rsidRPr="002840AB">
              <w:rPr>
                <w:rFonts w:ascii="Arial" w:hAnsi="Arial" w:cs="Arial"/>
                <w:b/>
              </w:rPr>
              <w:t xml:space="preserve"> szerzett forrás + Felvett hitel, rövid - </w:t>
            </w:r>
            <w:r w:rsidRPr="002840AB">
              <w:rPr>
                <w:rFonts w:ascii="Arial" w:hAnsi="Arial" w:cs="Arial"/>
                <w:i/>
              </w:rPr>
              <w:t xml:space="preserve">Belföld, Hitelintézet, </w:t>
            </w:r>
            <w:proofErr w:type="spellStart"/>
            <w:r w:rsidRPr="002840AB">
              <w:rPr>
                <w:rFonts w:ascii="Arial" w:hAnsi="Arial" w:cs="Arial"/>
                <w:i/>
              </w:rPr>
              <w:t>GMU</w:t>
            </w:r>
            <w:proofErr w:type="spellEnd"/>
            <w:r w:rsidRPr="002840AB">
              <w:rPr>
                <w:rFonts w:ascii="Arial" w:hAnsi="Arial" w:cs="Arial"/>
                <w:i/>
              </w:rPr>
              <w:t xml:space="preserve"> Monetáris pénzügyi intézmények, Egyéb külföld, Monetáris pénzügyi intézmények</w:t>
            </w:r>
          </w:p>
        </w:tc>
        <w:tc>
          <w:tcPr>
            <w:tcW w:w="3898" w:type="dxa"/>
            <w:tcBorders>
              <w:top w:val="single" w:sz="6" w:space="0" w:color="auto"/>
              <w:left w:val="single" w:sz="6" w:space="0" w:color="auto"/>
              <w:bottom w:val="single" w:sz="6" w:space="0" w:color="auto"/>
              <w:right w:val="single" w:sz="12" w:space="0" w:color="auto"/>
            </w:tcBorders>
            <w:vAlign w:val="center"/>
          </w:tcPr>
          <w:p w14:paraId="2A62778F" w14:textId="77777777" w:rsidR="00DF48CB" w:rsidRPr="002840AB" w:rsidRDefault="00DF48CB" w:rsidP="006C26AC">
            <w:pPr>
              <w:spacing w:line="240" w:lineRule="auto"/>
              <w:rPr>
                <w:rFonts w:ascii="Arial" w:hAnsi="Arial" w:cs="Arial"/>
              </w:rPr>
            </w:pPr>
            <w:r w:rsidRPr="002840AB">
              <w:rPr>
                <w:rFonts w:ascii="Arial" w:hAnsi="Arial" w:cs="Arial"/>
              </w:rPr>
              <w:t>M01 01/02 tábla 553 + 566 + 571 + 702 + 715 + 720 + 726 + 739 + 744 sorok</w:t>
            </w:r>
          </w:p>
        </w:tc>
      </w:tr>
      <w:tr w:rsidR="00DF48CB" w:rsidRPr="002840AB" w14:paraId="0896E9F3"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4FA3CD6F"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4LAN223</w:t>
            </w:r>
          </w:p>
        </w:tc>
        <w:tc>
          <w:tcPr>
            <w:tcW w:w="3969" w:type="dxa"/>
            <w:tcBorders>
              <w:top w:val="single" w:sz="6" w:space="0" w:color="auto"/>
              <w:left w:val="single" w:sz="6" w:space="0" w:color="auto"/>
              <w:bottom w:val="single" w:sz="6" w:space="0" w:color="auto"/>
              <w:right w:val="single" w:sz="6" w:space="0" w:color="auto"/>
            </w:tcBorders>
            <w:vAlign w:val="center"/>
          </w:tcPr>
          <w:p w14:paraId="5A0CF46A"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hosszú, legfeljebb 2 éves + Lekötött betétek, hosszú, 2 éven túl + Felvett hitel, hosszú, legfeljebb 2 éves + Felvett hitel, hosszú, 2 éven túl - </w:t>
            </w:r>
            <w:r w:rsidRPr="002840AB">
              <w:rPr>
                <w:rFonts w:ascii="Arial" w:hAnsi="Arial" w:cs="Arial"/>
                <w:i/>
              </w:rPr>
              <w:t xml:space="preserve">Belföld, Hitelintézet, </w:t>
            </w:r>
            <w:proofErr w:type="spellStart"/>
            <w:r w:rsidRPr="002840AB">
              <w:rPr>
                <w:rFonts w:ascii="Arial" w:hAnsi="Arial" w:cs="Arial"/>
                <w:i/>
              </w:rPr>
              <w:t>GMU</w:t>
            </w:r>
            <w:proofErr w:type="spellEnd"/>
            <w:r w:rsidRPr="002840AB">
              <w:rPr>
                <w:rFonts w:ascii="Arial" w:hAnsi="Arial" w:cs="Arial"/>
                <w:i/>
              </w:rPr>
              <w:t xml:space="preserve"> Monetáris pénzügyi intézmények, Egyéb külföld, Monetáris pénzügyi intézmények</w:t>
            </w:r>
          </w:p>
        </w:tc>
        <w:tc>
          <w:tcPr>
            <w:tcW w:w="3898" w:type="dxa"/>
            <w:tcBorders>
              <w:top w:val="single" w:sz="6" w:space="0" w:color="auto"/>
              <w:left w:val="single" w:sz="6" w:space="0" w:color="auto"/>
              <w:bottom w:val="single" w:sz="6" w:space="0" w:color="auto"/>
              <w:right w:val="single" w:sz="12" w:space="0" w:color="auto"/>
            </w:tcBorders>
            <w:vAlign w:val="center"/>
          </w:tcPr>
          <w:p w14:paraId="3E095F39" w14:textId="77777777" w:rsidR="00DF48CB" w:rsidRPr="002840AB" w:rsidRDefault="00DF48CB" w:rsidP="006C26AC">
            <w:pPr>
              <w:spacing w:line="240" w:lineRule="auto"/>
              <w:rPr>
                <w:rFonts w:ascii="Arial" w:hAnsi="Arial" w:cs="Arial"/>
              </w:rPr>
            </w:pPr>
            <w:bookmarkStart w:id="3" w:name="_Hlk494371052"/>
            <w:r w:rsidRPr="002840AB">
              <w:rPr>
                <w:rFonts w:ascii="Arial" w:hAnsi="Arial" w:cs="Arial"/>
              </w:rPr>
              <w:t xml:space="preserve">M01 01/02 tábla </w:t>
            </w:r>
            <w:bookmarkEnd w:id="3"/>
            <w:r w:rsidRPr="002840AB">
              <w:rPr>
                <w:rFonts w:ascii="Arial" w:hAnsi="Arial" w:cs="Arial"/>
              </w:rPr>
              <w:t>577 + 590 + 595 + 601 + 614 + 619 + 750 +763 + 768 + 774 + 787 + 792 sorok</w:t>
            </w:r>
          </w:p>
        </w:tc>
      </w:tr>
      <w:tr w:rsidR="00DF48CB" w:rsidRPr="002840AB" w14:paraId="064B97CE"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099B365"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lastRenderedPageBreak/>
              <w:t>4LAN23</w:t>
            </w:r>
          </w:p>
        </w:tc>
        <w:tc>
          <w:tcPr>
            <w:tcW w:w="3969" w:type="dxa"/>
            <w:tcBorders>
              <w:top w:val="single" w:sz="6" w:space="0" w:color="auto"/>
              <w:left w:val="single" w:sz="6" w:space="0" w:color="auto"/>
              <w:bottom w:val="single" w:sz="6" w:space="0" w:color="auto"/>
              <w:right w:val="single" w:sz="6" w:space="0" w:color="auto"/>
            </w:tcBorders>
            <w:vAlign w:val="center"/>
          </w:tcPr>
          <w:p w14:paraId="4383F24C" w14:textId="77777777" w:rsidR="00DF48CB" w:rsidRPr="002840AB" w:rsidRDefault="00DF48CB" w:rsidP="006C26AC">
            <w:pPr>
              <w:spacing w:line="240" w:lineRule="auto"/>
              <w:rPr>
                <w:rFonts w:ascii="Arial" w:hAnsi="Arial" w:cs="Arial"/>
              </w:rPr>
            </w:pPr>
            <w:r w:rsidRPr="002840AB">
              <w:rPr>
                <w:rFonts w:ascii="Arial" w:hAnsi="Arial" w:cs="Arial"/>
              </w:rPr>
              <w:t>Háztartásokkal és háztartásokat segítő nonprofit intézményekkel szembeni kötelezettség</w:t>
            </w:r>
          </w:p>
        </w:tc>
        <w:tc>
          <w:tcPr>
            <w:tcW w:w="3898" w:type="dxa"/>
            <w:tcBorders>
              <w:top w:val="single" w:sz="6" w:space="0" w:color="auto"/>
              <w:left w:val="single" w:sz="6" w:space="0" w:color="auto"/>
              <w:bottom w:val="single" w:sz="6" w:space="0" w:color="auto"/>
              <w:right w:val="single" w:sz="12" w:space="0" w:color="auto"/>
            </w:tcBorders>
            <w:vAlign w:val="center"/>
          </w:tcPr>
          <w:p w14:paraId="37F327D3" w14:textId="77777777" w:rsidR="00DF48CB" w:rsidRPr="002840AB" w:rsidRDefault="00DF48CB" w:rsidP="006C26AC">
            <w:pPr>
              <w:spacing w:line="240" w:lineRule="auto"/>
              <w:rPr>
                <w:rFonts w:ascii="Arial" w:hAnsi="Arial" w:cs="Arial"/>
              </w:rPr>
            </w:pPr>
            <w:r w:rsidRPr="002840AB">
              <w:rPr>
                <w:rFonts w:ascii="Arial" w:hAnsi="Arial" w:cs="Arial"/>
              </w:rPr>
              <w:t>4LAN231+4LAN232</w:t>
            </w:r>
          </w:p>
        </w:tc>
      </w:tr>
      <w:tr w:rsidR="00DF48CB" w:rsidRPr="002840AB" w14:paraId="27993D01"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D0B7E9F"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4LAN231</w:t>
            </w:r>
          </w:p>
        </w:tc>
        <w:tc>
          <w:tcPr>
            <w:tcW w:w="3969" w:type="dxa"/>
            <w:tcBorders>
              <w:top w:val="single" w:sz="6" w:space="0" w:color="auto"/>
              <w:left w:val="single" w:sz="6" w:space="0" w:color="auto"/>
              <w:bottom w:val="single" w:sz="6" w:space="0" w:color="auto"/>
              <w:right w:val="single" w:sz="6" w:space="0" w:color="auto"/>
            </w:tcBorders>
            <w:vAlign w:val="center"/>
          </w:tcPr>
          <w:p w14:paraId="5D0569DC"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w:t>
            </w:r>
            <w:r w:rsidRPr="002840AB">
              <w:rPr>
                <w:rFonts w:ascii="Arial" w:hAnsi="Arial" w:cs="Arial"/>
                <w:i/>
              </w:rPr>
              <w:t>Belföld, Háztartások,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33BAFD6E" w14:textId="77777777" w:rsidR="00DF48CB" w:rsidRPr="002840AB" w:rsidRDefault="00DF48CB" w:rsidP="006C26AC">
            <w:pPr>
              <w:spacing w:line="240" w:lineRule="auto"/>
              <w:rPr>
                <w:rFonts w:ascii="Arial" w:hAnsi="Arial" w:cs="Arial"/>
              </w:rPr>
            </w:pPr>
            <w:r w:rsidRPr="002840AB">
              <w:rPr>
                <w:rFonts w:ascii="Arial" w:hAnsi="Arial" w:cs="Arial"/>
              </w:rPr>
              <w:t>M01 01/02 tábla 539 + 540</w:t>
            </w:r>
          </w:p>
        </w:tc>
      </w:tr>
      <w:tr w:rsidR="00DF48CB" w:rsidRPr="002840AB" w14:paraId="75C0DE34"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3CC61340"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4LAN232</w:t>
            </w:r>
          </w:p>
        </w:tc>
        <w:tc>
          <w:tcPr>
            <w:tcW w:w="3969" w:type="dxa"/>
            <w:tcBorders>
              <w:top w:val="single" w:sz="6" w:space="0" w:color="auto"/>
              <w:left w:val="single" w:sz="6" w:space="0" w:color="auto"/>
              <w:bottom w:val="single" w:sz="6" w:space="0" w:color="auto"/>
              <w:right w:val="single" w:sz="6" w:space="0" w:color="auto"/>
            </w:tcBorders>
            <w:vAlign w:val="center"/>
          </w:tcPr>
          <w:p w14:paraId="15DD4775" w14:textId="6998C9AE" w:rsidR="00DF48CB" w:rsidRPr="002840AB" w:rsidRDefault="00DF48CB" w:rsidP="006C26AC">
            <w:pPr>
              <w:spacing w:line="240" w:lineRule="auto"/>
              <w:rPr>
                <w:rFonts w:ascii="Arial" w:hAnsi="Arial" w:cs="Arial"/>
              </w:rPr>
            </w:pPr>
            <w:r w:rsidRPr="002840AB">
              <w:rPr>
                <w:rFonts w:ascii="Arial" w:hAnsi="Arial" w:cs="Arial"/>
                <w:b/>
              </w:rPr>
              <w:t xml:space="preserve">Lekötött betétek, rövid + Lekötött betétek, hosszú, legfeljebb 2 éves + Lekötött betétek, hosszú, 2 éven túl + </w:t>
            </w:r>
            <w:proofErr w:type="spellStart"/>
            <w:r w:rsidRPr="002840AB">
              <w:rPr>
                <w:rFonts w:ascii="Arial" w:hAnsi="Arial" w:cs="Arial"/>
                <w:b/>
              </w:rPr>
              <w:t>Repóügyletekből</w:t>
            </w:r>
            <w:proofErr w:type="spellEnd"/>
            <w:r w:rsidRPr="002840AB">
              <w:rPr>
                <w:rFonts w:ascii="Arial" w:hAnsi="Arial" w:cs="Arial"/>
                <w:b/>
              </w:rPr>
              <w:t xml:space="preserve"> szerzett forrás + Felvett hitel, rövid+ Felvett hitel, hosszú, legfeljebb 2 éves + Felvett hitel, hosszú, 2 éven túl - </w:t>
            </w:r>
            <w:r w:rsidRPr="002840AB">
              <w:rPr>
                <w:rFonts w:ascii="Arial" w:hAnsi="Arial" w:cs="Arial"/>
                <w:i/>
              </w:rPr>
              <w:t>Belföld, Háztartások,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650B18BC" w14:textId="77777777" w:rsidR="00DF48CB" w:rsidRPr="002840AB" w:rsidRDefault="00DF48CB" w:rsidP="006C26AC">
            <w:pPr>
              <w:spacing w:line="240" w:lineRule="auto"/>
              <w:rPr>
                <w:rFonts w:ascii="Arial" w:hAnsi="Arial" w:cs="Arial"/>
              </w:rPr>
            </w:pPr>
            <w:r w:rsidRPr="002840AB">
              <w:rPr>
                <w:rFonts w:ascii="Arial" w:hAnsi="Arial" w:cs="Arial"/>
              </w:rPr>
              <w:t>M01 01/02 tábla 563 + 564 + 587 + 588 + 611 + 612 + 712 + 713 + 736 + 737 + 760 + 761 + 784 + 785 sorok</w:t>
            </w:r>
          </w:p>
        </w:tc>
      </w:tr>
      <w:tr w:rsidR="00DF48CB" w:rsidRPr="002840AB" w14:paraId="5E849B0F"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03195F0A"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4LAN24</w:t>
            </w:r>
          </w:p>
        </w:tc>
        <w:tc>
          <w:tcPr>
            <w:tcW w:w="3969" w:type="dxa"/>
            <w:tcBorders>
              <w:top w:val="single" w:sz="6" w:space="0" w:color="auto"/>
              <w:left w:val="single" w:sz="6" w:space="0" w:color="auto"/>
              <w:bottom w:val="single" w:sz="6" w:space="0" w:color="auto"/>
              <w:right w:val="single" w:sz="6" w:space="0" w:color="auto"/>
            </w:tcBorders>
            <w:vAlign w:val="center"/>
          </w:tcPr>
          <w:p w14:paraId="7F5FB6B4" w14:textId="77777777" w:rsidR="00DF48CB" w:rsidRPr="002840AB" w:rsidRDefault="00DF48CB" w:rsidP="006C26AC">
            <w:pPr>
              <w:spacing w:line="240" w:lineRule="auto"/>
              <w:rPr>
                <w:rFonts w:ascii="Arial" w:hAnsi="Arial" w:cs="Arial"/>
              </w:rPr>
            </w:pPr>
            <w:r w:rsidRPr="002840AB">
              <w:rPr>
                <w:rFonts w:ascii="Arial" w:hAnsi="Arial" w:cs="Arial"/>
              </w:rPr>
              <w:t>Nem pénzügyi vállalatokkal szembeni kötelezettség</w:t>
            </w:r>
          </w:p>
        </w:tc>
        <w:tc>
          <w:tcPr>
            <w:tcW w:w="3898" w:type="dxa"/>
            <w:tcBorders>
              <w:top w:val="single" w:sz="6" w:space="0" w:color="auto"/>
              <w:left w:val="single" w:sz="6" w:space="0" w:color="auto"/>
              <w:bottom w:val="single" w:sz="6" w:space="0" w:color="auto"/>
              <w:right w:val="single" w:sz="12" w:space="0" w:color="auto"/>
            </w:tcBorders>
            <w:vAlign w:val="center"/>
          </w:tcPr>
          <w:p w14:paraId="15F120D0" w14:textId="77777777" w:rsidR="00DF48CB" w:rsidRPr="002840AB" w:rsidRDefault="00DF48CB" w:rsidP="006C26AC">
            <w:pPr>
              <w:spacing w:line="240" w:lineRule="auto"/>
              <w:rPr>
                <w:rFonts w:ascii="Arial" w:hAnsi="Arial" w:cs="Arial"/>
              </w:rPr>
            </w:pPr>
            <w:r w:rsidRPr="002840AB">
              <w:rPr>
                <w:rFonts w:ascii="Arial" w:hAnsi="Arial" w:cs="Arial"/>
              </w:rPr>
              <w:t>4LAN241+4LAN242</w:t>
            </w:r>
          </w:p>
        </w:tc>
      </w:tr>
      <w:tr w:rsidR="00DF48CB" w:rsidRPr="002840AB" w14:paraId="1ED7B00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03D83F0"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4LAN241</w:t>
            </w:r>
          </w:p>
        </w:tc>
        <w:tc>
          <w:tcPr>
            <w:tcW w:w="3969" w:type="dxa"/>
            <w:tcBorders>
              <w:top w:val="single" w:sz="6" w:space="0" w:color="auto"/>
              <w:left w:val="single" w:sz="6" w:space="0" w:color="auto"/>
              <w:bottom w:val="single" w:sz="6" w:space="0" w:color="auto"/>
              <w:right w:val="single" w:sz="6" w:space="0" w:color="auto"/>
            </w:tcBorders>
            <w:vAlign w:val="center"/>
          </w:tcPr>
          <w:p w14:paraId="72FB60D5"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w:t>
            </w:r>
            <w:r w:rsidRPr="002840AB">
              <w:rPr>
                <w:rFonts w:ascii="Arial" w:hAnsi="Arial" w:cs="Arial"/>
                <w:i/>
              </w:rPr>
              <w:t>Belföld, Nem pénzügyi vállalatok</w:t>
            </w:r>
          </w:p>
        </w:tc>
        <w:tc>
          <w:tcPr>
            <w:tcW w:w="3898" w:type="dxa"/>
            <w:tcBorders>
              <w:top w:val="single" w:sz="6" w:space="0" w:color="auto"/>
              <w:left w:val="single" w:sz="6" w:space="0" w:color="auto"/>
              <w:bottom w:val="single" w:sz="6" w:space="0" w:color="auto"/>
              <w:right w:val="single" w:sz="12" w:space="0" w:color="auto"/>
            </w:tcBorders>
            <w:vAlign w:val="center"/>
          </w:tcPr>
          <w:p w14:paraId="30BEB2A2" w14:textId="77777777" w:rsidR="00DF48CB" w:rsidRPr="002840AB" w:rsidRDefault="00DF48CB" w:rsidP="006C26AC">
            <w:pPr>
              <w:spacing w:line="240" w:lineRule="auto"/>
              <w:rPr>
                <w:rFonts w:ascii="Arial" w:hAnsi="Arial" w:cs="Arial"/>
              </w:rPr>
            </w:pPr>
            <w:r w:rsidRPr="002840AB">
              <w:rPr>
                <w:rFonts w:ascii="Arial" w:hAnsi="Arial" w:cs="Arial"/>
              </w:rPr>
              <w:t>M01 01/02 tábla 527 sor</w:t>
            </w:r>
          </w:p>
        </w:tc>
      </w:tr>
      <w:tr w:rsidR="00DF48CB" w:rsidRPr="002840AB" w14:paraId="300280D7"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53886803"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4LAN242</w:t>
            </w:r>
          </w:p>
        </w:tc>
        <w:tc>
          <w:tcPr>
            <w:tcW w:w="3969" w:type="dxa"/>
            <w:tcBorders>
              <w:top w:val="single" w:sz="6" w:space="0" w:color="auto"/>
              <w:left w:val="single" w:sz="6" w:space="0" w:color="auto"/>
              <w:bottom w:val="single" w:sz="6" w:space="0" w:color="auto"/>
              <w:right w:val="single" w:sz="6" w:space="0" w:color="auto"/>
            </w:tcBorders>
            <w:vAlign w:val="center"/>
          </w:tcPr>
          <w:p w14:paraId="330B1DC6"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rövid + Lekötött betétek, hosszú, legfeljebb 2 éves + Lekötött betétek, hosszú, 2 éven túl + </w:t>
            </w:r>
            <w:proofErr w:type="spellStart"/>
            <w:r w:rsidRPr="002840AB">
              <w:rPr>
                <w:rFonts w:ascii="Arial" w:hAnsi="Arial" w:cs="Arial"/>
                <w:b/>
              </w:rPr>
              <w:t>Repóügyletekből</w:t>
            </w:r>
            <w:proofErr w:type="spellEnd"/>
            <w:r w:rsidRPr="002840AB">
              <w:rPr>
                <w:rFonts w:ascii="Arial" w:hAnsi="Arial" w:cs="Arial"/>
                <w:b/>
              </w:rPr>
              <w:t xml:space="preserve"> szerzett forrás + Felvett hitel, rövid + Felvett hitel, hosszú, legfeljebb 2 éves + Felvett hitel, hosszú, 2 éven túl - </w:t>
            </w:r>
            <w:r w:rsidRPr="002840AB">
              <w:rPr>
                <w:rFonts w:ascii="Arial" w:hAnsi="Arial" w:cs="Arial"/>
                <w:i/>
              </w:rPr>
              <w:t>Belföld, Nem pénzügyi vállalatok</w:t>
            </w:r>
          </w:p>
        </w:tc>
        <w:tc>
          <w:tcPr>
            <w:tcW w:w="3898" w:type="dxa"/>
            <w:tcBorders>
              <w:top w:val="single" w:sz="6" w:space="0" w:color="auto"/>
              <w:left w:val="single" w:sz="6" w:space="0" w:color="auto"/>
              <w:bottom w:val="single" w:sz="6" w:space="0" w:color="auto"/>
              <w:right w:val="single" w:sz="12" w:space="0" w:color="auto"/>
            </w:tcBorders>
            <w:vAlign w:val="center"/>
          </w:tcPr>
          <w:p w14:paraId="4C81F0DF" w14:textId="77777777" w:rsidR="00DF48CB" w:rsidRPr="002840AB" w:rsidRDefault="00DF48CB" w:rsidP="006C26AC">
            <w:pPr>
              <w:spacing w:line="240" w:lineRule="auto"/>
              <w:rPr>
                <w:rFonts w:ascii="Arial" w:hAnsi="Arial" w:cs="Arial"/>
              </w:rPr>
            </w:pPr>
            <w:r w:rsidRPr="002840AB">
              <w:rPr>
                <w:rFonts w:ascii="Arial" w:hAnsi="Arial" w:cs="Arial"/>
              </w:rPr>
              <w:t>M01 01/02 tábla 551 + 575 + 599 + 700 + 724 + 748 + 772 sorok</w:t>
            </w:r>
          </w:p>
        </w:tc>
      </w:tr>
      <w:tr w:rsidR="00DF48CB" w:rsidRPr="002840AB" w14:paraId="6C22E59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6B158C2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4LAN25</w:t>
            </w:r>
          </w:p>
        </w:tc>
        <w:tc>
          <w:tcPr>
            <w:tcW w:w="3969" w:type="dxa"/>
            <w:tcBorders>
              <w:top w:val="single" w:sz="6" w:space="0" w:color="auto"/>
              <w:left w:val="single" w:sz="6" w:space="0" w:color="auto"/>
              <w:bottom w:val="single" w:sz="6" w:space="0" w:color="auto"/>
              <w:right w:val="single" w:sz="6" w:space="0" w:color="auto"/>
            </w:tcBorders>
            <w:vAlign w:val="center"/>
          </w:tcPr>
          <w:p w14:paraId="34AF6C8C"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Lekötött betétek, rövid + Lekötött betétek, hosszú, legfeljebb 2 éves + Lekötött betétek, hosszú, 2 éven túl + </w:t>
            </w:r>
            <w:proofErr w:type="spellStart"/>
            <w:r w:rsidRPr="002840AB">
              <w:rPr>
                <w:rFonts w:ascii="Arial" w:hAnsi="Arial" w:cs="Arial"/>
                <w:b/>
              </w:rPr>
              <w:t>Repóügyletekből</w:t>
            </w:r>
            <w:proofErr w:type="spellEnd"/>
            <w:r w:rsidRPr="002840AB">
              <w:rPr>
                <w:rFonts w:ascii="Arial" w:hAnsi="Arial" w:cs="Arial"/>
                <w:b/>
              </w:rPr>
              <w:t xml:space="preserve"> szerzett forrás+ Felvett hitel- rövid + Felvett hitel, hosszú, legfeljebb 2 éves + Felvett hitel, hosszú, 2 éven túl - </w:t>
            </w:r>
            <w:r w:rsidRPr="002840AB">
              <w:rPr>
                <w:rFonts w:ascii="Arial" w:hAnsi="Arial" w:cs="Arial"/>
                <w:i/>
              </w:rPr>
              <w:t>Belföld, Pénzpiaci alapok, Befektetési alapok, Egyéb pénzügyi közvetítők, Pénzügyi kiegészítő 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48E3F460" w14:textId="77777777" w:rsidR="00DF48CB" w:rsidRPr="002840AB" w:rsidRDefault="00DF48CB" w:rsidP="006C26AC">
            <w:pPr>
              <w:spacing w:line="240" w:lineRule="auto"/>
              <w:rPr>
                <w:rFonts w:ascii="Arial" w:hAnsi="Arial" w:cs="Arial"/>
              </w:rPr>
            </w:pPr>
            <w:r w:rsidRPr="002840AB">
              <w:rPr>
                <w:rFonts w:ascii="Arial" w:hAnsi="Arial" w:cs="Arial"/>
              </w:rPr>
              <w:t>4LAN251+4LAN252+4LAN253</w:t>
            </w:r>
          </w:p>
        </w:tc>
      </w:tr>
      <w:tr w:rsidR="00DF48CB" w:rsidRPr="002840AB" w14:paraId="28B47DF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1CE75C0"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4LAN251</w:t>
            </w:r>
          </w:p>
        </w:tc>
        <w:tc>
          <w:tcPr>
            <w:tcW w:w="3969" w:type="dxa"/>
            <w:tcBorders>
              <w:top w:val="single" w:sz="6" w:space="0" w:color="auto"/>
              <w:left w:val="single" w:sz="6" w:space="0" w:color="auto"/>
              <w:bottom w:val="single" w:sz="6" w:space="0" w:color="auto"/>
              <w:right w:val="single" w:sz="6" w:space="0" w:color="auto"/>
            </w:tcBorders>
            <w:vAlign w:val="center"/>
          </w:tcPr>
          <w:p w14:paraId="3887FA87"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w:t>
            </w:r>
            <w:r w:rsidRPr="002840AB">
              <w:rPr>
                <w:rFonts w:ascii="Arial" w:hAnsi="Arial" w:cs="Arial"/>
                <w:i/>
              </w:rPr>
              <w:t>Belföld, Pénzpiaci alapok, Befektetési alapok, Egyéb pénzügyi közvetítők, Pénzügyi kiegészítő 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53A2D439" w14:textId="77777777" w:rsidR="00DF48CB" w:rsidRPr="002840AB" w:rsidRDefault="00DF48CB" w:rsidP="006C26AC">
            <w:pPr>
              <w:spacing w:line="240" w:lineRule="auto"/>
              <w:rPr>
                <w:rFonts w:ascii="Arial" w:hAnsi="Arial" w:cs="Arial"/>
              </w:rPr>
            </w:pPr>
            <w:r w:rsidRPr="002840AB">
              <w:rPr>
                <w:rFonts w:ascii="Arial" w:hAnsi="Arial" w:cs="Arial"/>
              </w:rPr>
              <w:t>M01 01/02 tábla 530 + 531 + 532 + 533 + 534 + 535</w:t>
            </w:r>
          </w:p>
        </w:tc>
      </w:tr>
      <w:tr w:rsidR="00DF48CB" w:rsidRPr="002840AB" w14:paraId="50DE98AD"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F51AF8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4LAN252</w:t>
            </w:r>
          </w:p>
        </w:tc>
        <w:tc>
          <w:tcPr>
            <w:tcW w:w="3969" w:type="dxa"/>
            <w:tcBorders>
              <w:top w:val="single" w:sz="6" w:space="0" w:color="auto"/>
              <w:left w:val="single" w:sz="6" w:space="0" w:color="auto"/>
              <w:bottom w:val="single" w:sz="6" w:space="0" w:color="auto"/>
              <w:right w:val="single" w:sz="6" w:space="0" w:color="auto"/>
            </w:tcBorders>
            <w:vAlign w:val="center"/>
          </w:tcPr>
          <w:p w14:paraId="6BC84B86"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rövid + </w:t>
            </w:r>
            <w:proofErr w:type="spellStart"/>
            <w:r w:rsidRPr="002840AB">
              <w:rPr>
                <w:rFonts w:ascii="Arial" w:hAnsi="Arial" w:cs="Arial"/>
                <w:b/>
              </w:rPr>
              <w:t>Repóügyletekből</w:t>
            </w:r>
            <w:proofErr w:type="spellEnd"/>
            <w:r w:rsidRPr="002840AB">
              <w:rPr>
                <w:rFonts w:ascii="Arial" w:hAnsi="Arial" w:cs="Arial"/>
                <w:b/>
              </w:rPr>
              <w:t xml:space="preserve"> szerzett forrás+ Felvett hitel- rövid - </w:t>
            </w:r>
            <w:r w:rsidRPr="002840AB">
              <w:rPr>
                <w:rFonts w:ascii="Arial" w:hAnsi="Arial" w:cs="Arial"/>
                <w:i/>
              </w:rPr>
              <w:t>Belföld, Pénzpiaci alapok, Befektetési alapok, Egyéb pénzügyi közvetítők, Pénzügyi kiegészítő 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7E064052" w14:textId="77777777" w:rsidR="00DF48CB" w:rsidRPr="002840AB" w:rsidRDefault="00DF48CB" w:rsidP="006C26AC">
            <w:pPr>
              <w:spacing w:line="240" w:lineRule="auto"/>
              <w:rPr>
                <w:rFonts w:ascii="Arial" w:hAnsi="Arial" w:cs="Arial"/>
              </w:rPr>
            </w:pPr>
            <w:r w:rsidRPr="002840AB">
              <w:rPr>
                <w:rFonts w:ascii="Arial" w:hAnsi="Arial" w:cs="Arial"/>
              </w:rPr>
              <w:t>M01 01/02 tábla 554 + 555 + 556 + 557 + 558 + 559 + 703 + 704 + 705 + 706 + 707 + 708 + 727 + 728 + 729 + 730 + 731 + 732 sorok</w:t>
            </w:r>
          </w:p>
        </w:tc>
      </w:tr>
      <w:tr w:rsidR="00DF48CB" w:rsidRPr="002840AB" w14:paraId="54B95DA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06940DAD"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4LAN253</w:t>
            </w:r>
          </w:p>
        </w:tc>
        <w:tc>
          <w:tcPr>
            <w:tcW w:w="3969" w:type="dxa"/>
            <w:tcBorders>
              <w:top w:val="single" w:sz="6" w:space="0" w:color="auto"/>
              <w:left w:val="single" w:sz="6" w:space="0" w:color="auto"/>
              <w:bottom w:val="single" w:sz="6" w:space="0" w:color="auto"/>
              <w:right w:val="single" w:sz="6" w:space="0" w:color="auto"/>
            </w:tcBorders>
            <w:vAlign w:val="center"/>
          </w:tcPr>
          <w:p w14:paraId="78DD5DBE"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hosszú, legfeljebb 2 éves + Lekötött betétek, hosszú, 2 éven túl + Felvett hitel, hosszú, legfeljebb 2 éves + Felvett hitel, hosszú, 2 éven túl - </w:t>
            </w:r>
            <w:r w:rsidRPr="002840AB">
              <w:rPr>
                <w:rFonts w:ascii="Arial" w:hAnsi="Arial" w:cs="Arial"/>
                <w:i/>
              </w:rPr>
              <w:lastRenderedPageBreak/>
              <w:t>Belföld, Pénzpiaci alapok, Befektetési alapok, Egyéb pénzügyi közvetítők, Pénzügyi kiegészítő tevékenységet végzők, Biztosítók, Nyugdíjpénztárak</w:t>
            </w:r>
          </w:p>
        </w:tc>
        <w:tc>
          <w:tcPr>
            <w:tcW w:w="3898" w:type="dxa"/>
            <w:tcBorders>
              <w:top w:val="single" w:sz="6" w:space="0" w:color="auto"/>
              <w:left w:val="single" w:sz="6" w:space="0" w:color="auto"/>
              <w:bottom w:val="single" w:sz="6" w:space="0" w:color="auto"/>
              <w:right w:val="single" w:sz="12" w:space="0" w:color="auto"/>
            </w:tcBorders>
            <w:vAlign w:val="center"/>
          </w:tcPr>
          <w:p w14:paraId="5F622F31" w14:textId="77777777" w:rsidR="00DF48CB" w:rsidRPr="002840AB" w:rsidRDefault="00DF48CB" w:rsidP="006C26AC">
            <w:pPr>
              <w:spacing w:line="240" w:lineRule="auto"/>
              <w:rPr>
                <w:rFonts w:ascii="Arial" w:hAnsi="Arial" w:cs="Arial"/>
              </w:rPr>
            </w:pPr>
            <w:r w:rsidRPr="002840AB">
              <w:rPr>
                <w:rFonts w:ascii="Arial" w:hAnsi="Arial" w:cs="Arial"/>
              </w:rPr>
              <w:lastRenderedPageBreak/>
              <w:t xml:space="preserve">M01 01/02 tábla 578 + 579 + 580 + 581 + 582 + 583 + 602 + 603 + 604 + 605 + 606 </w:t>
            </w:r>
            <w:r w:rsidRPr="002840AB">
              <w:rPr>
                <w:rFonts w:ascii="Arial" w:hAnsi="Arial" w:cs="Arial"/>
              </w:rPr>
              <w:lastRenderedPageBreak/>
              <w:t>+ 607 + 751 + 752 + 753 + 754 + 755 + 756 + 775 + 776 + 777 + 778 + 779 + 780 sorok</w:t>
            </w:r>
          </w:p>
        </w:tc>
      </w:tr>
      <w:tr w:rsidR="00DF48CB" w:rsidRPr="002840AB" w14:paraId="428C51FC"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664B2E0E"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lastRenderedPageBreak/>
              <w:t>4LAN26</w:t>
            </w:r>
          </w:p>
        </w:tc>
        <w:tc>
          <w:tcPr>
            <w:tcW w:w="3969" w:type="dxa"/>
            <w:tcBorders>
              <w:top w:val="single" w:sz="6" w:space="0" w:color="auto"/>
              <w:left w:val="single" w:sz="6" w:space="0" w:color="auto"/>
              <w:bottom w:val="single" w:sz="6" w:space="0" w:color="auto"/>
              <w:right w:val="single" w:sz="6" w:space="0" w:color="auto"/>
            </w:tcBorders>
            <w:vAlign w:val="center"/>
          </w:tcPr>
          <w:p w14:paraId="6D32AD1E" w14:textId="77777777" w:rsidR="00DF48CB" w:rsidRPr="002840AB" w:rsidRDefault="00DF48CB" w:rsidP="006C26AC">
            <w:pPr>
              <w:spacing w:line="240" w:lineRule="auto"/>
              <w:rPr>
                <w:rFonts w:ascii="Arial" w:hAnsi="Arial" w:cs="Arial"/>
              </w:rPr>
            </w:pPr>
            <w:r w:rsidRPr="002840AB">
              <w:rPr>
                <w:rFonts w:ascii="Arial" w:hAnsi="Arial" w:cs="Arial"/>
              </w:rPr>
              <w:t>Egyéb szektorokkal szembeni kötelezettségek</w:t>
            </w:r>
          </w:p>
        </w:tc>
        <w:tc>
          <w:tcPr>
            <w:tcW w:w="3898" w:type="dxa"/>
            <w:tcBorders>
              <w:top w:val="single" w:sz="6" w:space="0" w:color="auto"/>
              <w:left w:val="single" w:sz="6" w:space="0" w:color="auto"/>
              <w:bottom w:val="single" w:sz="6" w:space="0" w:color="auto"/>
              <w:right w:val="single" w:sz="12" w:space="0" w:color="auto"/>
            </w:tcBorders>
            <w:vAlign w:val="center"/>
          </w:tcPr>
          <w:p w14:paraId="4C285687" w14:textId="77777777" w:rsidR="00DF48CB" w:rsidRPr="002840AB" w:rsidRDefault="00DF48CB" w:rsidP="006C26AC">
            <w:pPr>
              <w:spacing w:line="240" w:lineRule="auto"/>
              <w:rPr>
                <w:rFonts w:ascii="Arial" w:hAnsi="Arial" w:cs="Arial"/>
              </w:rPr>
            </w:pPr>
            <w:r w:rsidRPr="002840AB">
              <w:rPr>
                <w:rFonts w:ascii="Arial" w:hAnsi="Arial" w:cs="Arial"/>
              </w:rPr>
              <w:t>4LAN261+4LAN262</w:t>
            </w:r>
          </w:p>
        </w:tc>
      </w:tr>
      <w:tr w:rsidR="00DF48CB" w:rsidRPr="002840AB" w14:paraId="58F3855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C31FB54"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4LAN261</w:t>
            </w:r>
          </w:p>
        </w:tc>
        <w:tc>
          <w:tcPr>
            <w:tcW w:w="3969" w:type="dxa"/>
            <w:tcBorders>
              <w:top w:val="single" w:sz="6" w:space="0" w:color="auto"/>
              <w:left w:val="single" w:sz="6" w:space="0" w:color="auto"/>
              <w:bottom w:val="single" w:sz="6" w:space="0" w:color="auto"/>
              <w:right w:val="single" w:sz="6" w:space="0" w:color="auto"/>
            </w:tcBorders>
            <w:vAlign w:val="center"/>
          </w:tcPr>
          <w:p w14:paraId="448383A2" w14:textId="77777777" w:rsidR="00DF48CB" w:rsidRPr="002840AB" w:rsidRDefault="00DF48CB" w:rsidP="006C26AC">
            <w:pPr>
              <w:spacing w:line="240" w:lineRule="auto"/>
              <w:rPr>
                <w:rFonts w:ascii="Arial" w:hAnsi="Arial" w:cs="Arial"/>
              </w:rPr>
            </w:pPr>
            <w:r w:rsidRPr="002840AB">
              <w:rPr>
                <w:rFonts w:ascii="Arial" w:hAnsi="Arial" w:cs="Arial"/>
                <w:b/>
              </w:rPr>
              <w:t xml:space="preserve">Látra szóló és folyószámla betétek - </w:t>
            </w:r>
            <w:r w:rsidRPr="002840AB">
              <w:rPr>
                <w:rFonts w:ascii="Arial" w:hAnsi="Arial" w:cs="Arial"/>
                <w:i/>
              </w:rPr>
              <w:t>Belföld: Központi kormányzat,</w:t>
            </w:r>
            <w:r w:rsidRPr="002840AB">
              <w:rPr>
                <w:rFonts w:ascii="Arial" w:hAnsi="Arial" w:cs="Arial"/>
                <w:b/>
              </w:rPr>
              <w:t xml:space="preserve"> </w:t>
            </w:r>
            <w:r w:rsidRPr="002840AB">
              <w:rPr>
                <w:rFonts w:ascii="Arial" w:hAnsi="Arial" w:cs="Arial"/>
                <w:i/>
              </w:rPr>
              <w:t xml:space="preserve">Helyi önkormányzatok, TB </w:t>
            </w:r>
            <w:proofErr w:type="gramStart"/>
            <w:r w:rsidRPr="002840AB">
              <w:rPr>
                <w:rFonts w:ascii="Arial" w:hAnsi="Arial" w:cs="Arial"/>
                <w:i/>
              </w:rPr>
              <w:t>alapok,;</w:t>
            </w:r>
            <w:proofErr w:type="gramEnd"/>
            <w:r w:rsidRPr="002840AB">
              <w:rPr>
                <w:rFonts w:ascii="Arial" w:hAnsi="Arial" w:cs="Arial"/>
                <w:i/>
              </w:rPr>
              <w:t xml:space="preserve"> </w:t>
            </w:r>
            <w:proofErr w:type="spellStart"/>
            <w:r w:rsidRPr="002840AB">
              <w:rPr>
                <w:rFonts w:ascii="Arial" w:hAnsi="Arial" w:cs="Arial"/>
                <w:i/>
              </w:rPr>
              <w:t>GMU</w:t>
            </w:r>
            <w:proofErr w:type="spellEnd"/>
            <w:r w:rsidRPr="002840AB">
              <w:rPr>
                <w:rFonts w:ascii="Arial" w:hAnsi="Arial" w:cs="Arial"/>
                <w:i/>
              </w:rPr>
              <w:t xml:space="preserve"> Nem pénzügyi vállalatok, </w:t>
            </w:r>
            <w:proofErr w:type="spellStart"/>
            <w:r w:rsidRPr="002840AB">
              <w:rPr>
                <w:rFonts w:ascii="Arial" w:hAnsi="Arial" w:cs="Arial"/>
                <w:i/>
              </w:rPr>
              <w:t>GMU</w:t>
            </w:r>
            <w:proofErr w:type="spellEnd"/>
            <w:r w:rsidRPr="002840AB">
              <w:rPr>
                <w:rFonts w:ascii="Arial" w:hAnsi="Arial" w:cs="Arial"/>
                <w:i/>
              </w:rPr>
              <w:t xml:space="preserve"> Nem monetáris pénzügyi intézmények, </w:t>
            </w:r>
            <w:proofErr w:type="spellStart"/>
            <w:r w:rsidRPr="002840AB">
              <w:rPr>
                <w:rFonts w:ascii="Arial" w:hAnsi="Arial" w:cs="Arial"/>
                <w:i/>
              </w:rPr>
              <w:t>GMU</w:t>
            </w:r>
            <w:proofErr w:type="spellEnd"/>
            <w:r w:rsidRPr="002840AB">
              <w:rPr>
                <w:rFonts w:ascii="Arial" w:hAnsi="Arial" w:cs="Arial"/>
                <w:i/>
              </w:rPr>
              <w:t xml:space="preserve"> Államháztartás, </w:t>
            </w:r>
            <w:proofErr w:type="spellStart"/>
            <w:r w:rsidRPr="002840AB">
              <w:rPr>
                <w:rFonts w:ascii="Arial" w:hAnsi="Arial" w:cs="Arial"/>
                <w:i/>
              </w:rPr>
              <w:t>GMU</w:t>
            </w:r>
            <w:proofErr w:type="spellEnd"/>
            <w:r w:rsidRPr="002840AB">
              <w:rPr>
                <w:rFonts w:ascii="Arial" w:hAnsi="Arial" w:cs="Arial"/>
                <w:i/>
              </w:rPr>
              <w:t xml:space="preserve"> Háztartások és háztartásokat segítő nonprofit int., Egyéb külföld, Nem monetáris pénzügyi intézmények, Egyéb külföld, Államháztartás, Egyéb külföld, Háztartások és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045DA796" w14:textId="77777777" w:rsidR="00DF48CB" w:rsidRPr="002840AB" w:rsidRDefault="00DF48CB" w:rsidP="006C26AC">
            <w:pPr>
              <w:spacing w:line="240" w:lineRule="auto"/>
              <w:rPr>
                <w:rFonts w:ascii="Arial" w:hAnsi="Arial" w:cs="Arial"/>
              </w:rPr>
            </w:pPr>
            <w:r w:rsidRPr="002840AB">
              <w:rPr>
                <w:rFonts w:ascii="Arial" w:hAnsi="Arial" w:cs="Arial"/>
              </w:rPr>
              <w:t>M01 01/02 tábla 536 + 537 + 538 + 541 + 543 + 544 + 545 + 546 + 548 + 549 +550 sorok</w:t>
            </w:r>
          </w:p>
          <w:p w14:paraId="17F2CEC8" w14:textId="77777777" w:rsidR="00DF48CB" w:rsidRPr="002840AB" w:rsidRDefault="00DF48CB" w:rsidP="006C26AC">
            <w:pPr>
              <w:spacing w:line="240" w:lineRule="auto"/>
              <w:rPr>
                <w:rFonts w:ascii="Arial" w:hAnsi="Arial" w:cs="Arial"/>
              </w:rPr>
            </w:pPr>
          </w:p>
        </w:tc>
      </w:tr>
      <w:tr w:rsidR="00DF48CB" w:rsidRPr="002840AB" w14:paraId="48A5A37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14FBE77"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4LAN262</w:t>
            </w:r>
          </w:p>
        </w:tc>
        <w:tc>
          <w:tcPr>
            <w:tcW w:w="3969" w:type="dxa"/>
            <w:tcBorders>
              <w:top w:val="single" w:sz="6" w:space="0" w:color="auto"/>
              <w:left w:val="single" w:sz="6" w:space="0" w:color="auto"/>
              <w:bottom w:val="single" w:sz="6" w:space="0" w:color="auto"/>
              <w:right w:val="single" w:sz="6" w:space="0" w:color="auto"/>
            </w:tcBorders>
            <w:vAlign w:val="center"/>
          </w:tcPr>
          <w:p w14:paraId="3B4A9CDE" w14:textId="77777777" w:rsidR="00DF48CB" w:rsidRPr="002840AB" w:rsidRDefault="00DF48CB" w:rsidP="006C26AC">
            <w:pPr>
              <w:spacing w:line="240" w:lineRule="auto"/>
              <w:rPr>
                <w:rFonts w:ascii="Arial" w:hAnsi="Arial" w:cs="Arial"/>
              </w:rPr>
            </w:pPr>
            <w:r w:rsidRPr="002840AB">
              <w:rPr>
                <w:rFonts w:ascii="Arial" w:hAnsi="Arial" w:cs="Arial"/>
                <w:b/>
              </w:rPr>
              <w:t xml:space="preserve">Lekötött betétek, rövid + Lekötött betétek, hosszú, legfeljebb 2 éves + Lekötött betétek, hosszú, 2 éven túl + </w:t>
            </w:r>
            <w:proofErr w:type="spellStart"/>
            <w:r w:rsidRPr="002840AB">
              <w:rPr>
                <w:rFonts w:ascii="Arial" w:hAnsi="Arial" w:cs="Arial"/>
                <w:b/>
              </w:rPr>
              <w:t>Repóügyletekből</w:t>
            </w:r>
            <w:proofErr w:type="spellEnd"/>
            <w:r w:rsidRPr="002840AB">
              <w:rPr>
                <w:rFonts w:ascii="Arial" w:hAnsi="Arial" w:cs="Arial"/>
                <w:b/>
              </w:rPr>
              <w:t xml:space="preserve"> szerzett forrás + Felvett hitel, rövid + Felvett hitel, hosszú, legfeljebb 2 éves + Felvett hitel, hosszú, 2 éven túl - </w:t>
            </w:r>
            <w:r w:rsidRPr="002840AB">
              <w:rPr>
                <w:rFonts w:ascii="Arial" w:hAnsi="Arial" w:cs="Arial"/>
                <w:i/>
              </w:rPr>
              <w:t>Belföld: Központi kormányzat,</w:t>
            </w:r>
            <w:r w:rsidRPr="002840AB">
              <w:rPr>
                <w:rFonts w:ascii="Arial" w:hAnsi="Arial" w:cs="Arial"/>
                <w:b/>
              </w:rPr>
              <w:t xml:space="preserve"> </w:t>
            </w:r>
            <w:r w:rsidRPr="002840AB">
              <w:rPr>
                <w:rFonts w:ascii="Arial" w:hAnsi="Arial" w:cs="Arial"/>
                <w:i/>
              </w:rPr>
              <w:t xml:space="preserve">Helyi önkormányzatok, TB alapok,; </w:t>
            </w:r>
            <w:proofErr w:type="spellStart"/>
            <w:r w:rsidRPr="002840AB">
              <w:rPr>
                <w:rFonts w:ascii="Arial" w:hAnsi="Arial" w:cs="Arial"/>
                <w:i/>
              </w:rPr>
              <w:t>GMU</w:t>
            </w:r>
            <w:proofErr w:type="spellEnd"/>
            <w:r w:rsidRPr="002840AB">
              <w:rPr>
                <w:rFonts w:ascii="Arial" w:hAnsi="Arial" w:cs="Arial"/>
                <w:i/>
              </w:rPr>
              <w:t xml:space="preserve"> Nem pénzügyi vállalatok, </w:t>
            </w:r>
            <w:proofErr w:type="spellStart"/>
            <w:r w:rsidRPr="002840AB">
              <w:rPr>
                <w:rFonts w:ascii="Arial" w:hAnsi="Arial" w:cs="Arial"/>
                <w:i/>
              </w:rPr>
              <w:t>GMU</w:t>
            </w:r>
            <w:proofErr w:type="spellEnd"/>
            <w:r w:rsidRPr="002840AB">
              <w:rPr>
                <w:rFonts w:ascii="Arial" w:hAnsi="Arial" w:cs="Arial"/>
                <w:i/>
              </w:rPr>
              <w:t xml:space="preserve"> Nem monetáris pénzügyi intézmények, </w:t>
            </w:r>
            <w:proofErr w:type="spellStart"/>
            <w:r w:rsidRPr="002840AB">
              <w:rPr>
                <w:rFonts w:ascii="Arial" w:hAnsi="Arial" w:cs="Arial"/>
                <w:i/>
              </w:rPr>
              <w:t>GMU</w:t>
            </w:r>
            <w:proofErr w:type="spellEnd"/>
            <w:r w:rsidRPr="002840AB">
              <w:rPr>
                <w:rFonts w:ascii="Arial" w:hAnsi="Arial" w:cs="Arial"/>
                <w:i/>
              </w:rPr>
              <w:t xml:space="preserve"> Államháztartás, </w:t>
            </w:r>
            <w:proofErr w:type="spellStart"/>
            <w:r w:rsidRPr="002840AB">
              <w:rPr>
                <w:rFonts w:ascii="Arial" w:hAnsi="Arial" w:cs="Arial"/>
                <w:i/>
              </w:rPr>
              <w:t>GMU</w:t>
            </w:r>
            <w:proofErr w:type="spellEnd"/>
            <w:r w:rsidRPr="002840AB">
              <w:rPr>
                <w:rFonts w:ascii="Arial" w:hAnsi="Arial" w:cs="Arial"/>
                <w:i/>
              </w:rPr>
              <w:t xml:space="preserve"> Háztartások és háztartásokat segítő nonprofit int., Egyéb külföld, Nem pénzügyi vállalatok, Egyéb külföld, Nem monetáris pénzügyi intézmények, Egyéb külföld, Államháztartás, Egyéb külföld, Háztartások és háztartásokat segítő nonprofit int.</w:t>
            </w:r>
          </w:p>
        </w:tc>
        <w:tc>
          <w:tcPr>
            <w:tcW w:w="3898" w:type="dxa"/>
            <w:tcBorders>
              <w:top w:val="single" w:sz="6" w:space="0" w:color="auto"/>
              <w:left w:val="single" w:sz="6" w:space="0" w:color="auto"/>
              <w:bottom w:val="single" w:sz="6" w:space="0" w:color="auto"/>
              <w:right w:val="single" w:sz="12" w:space="0" w:color="auto"/>
            </w:tcBorders>
            <w:vAlign w:val="center"/>
          </w:tcPr>
          <w:p w14:paraId="3870CEFC" w14:textId="77777777" w:rsidR="00DF48CB" w:rsidRPr="002840AB" w:rsidRDefault="00DF48CB" w:rsidP="006C26AC">
            <w:pPr>
              <w:spacing w:line="240" w:lineRule="auto"/>
              <w:rPr>
                <w:rFonts w:ascii="Arial" w:hAnsi="Arial" w:cs="Arial"/>
              </w:rPr>
            </w:pPr>
            <w:r w:rsidRPr="002840AB">
              <w:rPr>
                <w:rFonts w:ascii="Arial" w:hAnsi="Arial" w:cs="Arial"/>
              </w:rPr>
              <w:t>M01 01/02 tábla 560 + 561 + 562 + 565 + 567 + 568 + 569 + 570 + 572 + 573 + 574 + 584 + 585 + 586 + 589 + 591 + 592 + 593 + 594 + 596 + 597 + 598 + 608 + 609 + 610 + 613 + 615 + 616 + 617 + 618 + 620 + 621 + 622 + 709 + 710 + 711 + 714 + 716 + 717 + 718 + 719 + 721 + 722 + 723 + 733 + 734 + 735 + 738 + 740 + 741 + 742 + 743 + 745 + 746 + 747 + 757 + 758 + 759 + 762 + 764 + 765 + 766 + 767 + 769 + 770 + 771 + 781 + 782 + 783 + 786 + 788 + 789 + 790 + 791 + 793 + 794 + 795 sorok.</w:t>
            </w:r>
          </w:p>
          <w:p w14:paraId="5AC16752" w14:textId="77777777" w:rsidR="00DF48CB" w:rsidRPr="002840AB" w:rsidRDefault="00DF48CB" w:rsidP="006C26AC">
            <w:pPr>
              <w:spacing w:line="240" w:lineRule="auto"/>
              <w:rPr>
                <w:rFonts w:ascii="Arial" w:hAnsi="Arial" w:cs="Arial"/>
              </w:rPr>
            </w:pPr>
          </w:p>
        </w:tc>
      </w:tr>
      <w:tr w:rsidR="00DF48CB" w:rsidRPr="002840AB" w14:paraId="7B2A67B7"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57CA436"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4LAN27</w:t>
            </w:r>
          </w:p>
        </w:tc>
        <w:tc>
          <w:tcPr>
            <w:tcW w:w="3969" w:type="dxa"/>
            <w:tcBorders>
              <w:top w:val="single" w:sz="6" w:space="0" w:color="auto"/>
              <w:left w:val="single" w:sz="6" w:space="0" w:color="auto"/>
              <w:bottom w:val="single" w:sz="6" w:space="0" w:color="auto"/>
              <w:right w:val="single" w:sz="6" w:space="0" w:color="auto"/>
            </w:tcBorders>
            <w:vAlign w:val="center"/>
          </w:tcPr>
          <w:p w14:paraId="69B463E3" w14:textId="77777777" w:rsidR="00DF48CB" w:rsidRPr="002840AB" w:rsidRDefault="00DF48CB" w:rsidP="006C26AC">
            <w:pPr>
              <w:spacing w:line="240" w:lineRule="auto"/>
              <w:rPr>
                <w:rFonts w:ascii="Arial" w:hAnsi="Arial" w:cs="Arial"/>
              </w:rPr>
            </w:pPr>
            <w:r w:rsidRPr="002840AB">
              <w:rPr>
                <w:rFonts w:ascii="Arial" w:hAnsi="Arial" w:cs="Arial"/>
              </w:rPr>
              <w:t>Kibocsátott hitelviszonyt megtestesítő értékpapírok</w:t>
            </w:r>
          </w:p>
        </w:tc>
        <w:tc>
          <w:tcPr>
            <w:tcW w:w="3898" w:type="dxa"/>
            <w:tcBorders>
              <w:top w:val="single" w:sz="6" w:space="0" w:color="auto"/>
              <w:left w:val="single" w:sz="6" w:space="0" w:color="auto"/>
              <w:bottom w:val="single" w:sz="6" w:space="0" w:color="auto"/>
              <w:right w:val="single" w:sz="12" w:space="0" w:color="auto"/>
            </w:tcBorders>
            <w:vAlign w:val="center"/>
          </w:tcPr>
          <w:p w14:paraId="4868E51D" w14:textId="77777777" w:rsidR="00DF48CB" w:rsidRPr="002840AB" w:rsidRDefault="00DF48CB" w:rsidP="006C26AC">
            <w:pPr>
              <w:spacing w:line="240" w:lineRule="auto"/>
              <w:rPr>
                <w:rFonts w:ascii="Arial" w:hAnsi="Arial" w:cs="Arial"/>
              </w:rPr>
            </w:pPr>
            <w:r w:rsidRPr="002840AB">
              <w:rPr>
                <w:rFonts w:ascii="Arial" w:hAnsi="Arial" w:cs="Arial"/>
              </w:rPr>
              <w:t>4LAN271+4LAN272</w:t>
            </w:r>
          </w:p>
        </w:tc>
      </w:tr>
      <w:tr w:rsidR="00DF48CB" w:rsidRPr="002840AB" w14:paraId="56FF9D74"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4D9E40C"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4LAN271</w:t>
            </w:r>
          </w:p>
        </w:tc>
        <w:tc>
          <w:tcPr>
            <w:tcW w:w="3969" w:type="dxa"/>
            <w:tcBorders>
              <w:top w:val="single" w:sz="6" w:space="0" w:color="auto"/>
              <w:left w:val="single" w:sz="6" w:space="0" w:color="auto"/>
              <w:bottom w:val="single" w:sz="6" w:space="0" w:color="auto"/>
              <w:right w:val="single" w:sz="6" w:space="0" w:color="auto"/>
            </w:tcBorders>
            <w:vAlign w:val="center"/>
          </w:tcPr>
          <w:p w14:paraId="560E70E8" w14:textId="77777777" w:rsidR="00DF48CB" w:rsidRPr="002840AB" w:rsidRDefault="00DF48CB" w:rsidP="006C26AC">
            <w:pPr>
              <w:spacing w:line="240" w:lineRule="auto"/>
              <w:rPr>
                <w:rFonts w:ascii="Arial" w:hAnsi="Arial" w:cs="Arial"/>
              </w:rPr>
            </w:pPr>
            <w:r w:rsidRPr="002840AB">
              <w:rPr>
                <w:rFonts w:ascii="Arial" w:hAnsi="Arial" w:cs="Arial"/>
              </w:rPr>
              <w:t>Kibocsátott hitelviszonyt megtestesítő értékpapírok, rövid</w:t>
            </w:r>
          </w:p>
          <w:p w14:paraId="030E583D" w14:textId="77777777" w:rsidR="00DF48CB" w:rsidRPr="002840AB" w:rsidRDefault="00DF48CB" w:rsidP="006C26AC">
            <w:pPr>
              <w:spacing w:line="240" w:lineRule="auto"/>
              <w:rPr>
                <w:rFonts w:ascii="Arial" w:hAnsi="Arial" w:cs="Arial"/>
              </w:rPr>
            </w:pPr>
          </w:p>
        </w:tc>
        <w:tc>
          <w:tcPr>
            <w:tcW w:w="3898" w:type="dxa"/>
            <w:tcBorders>
              <w:top w:val="single" w:sz="6" w:space="0" w:color="auto"/>
              <w:left w:val="single" w:sz="6" w:space="0" w:color="auto"/>
              <w:bottom w:val="single" w:sz="6" w:space="0" w:color="auto"/>
              <w:right w:val="single" w:sz="12" w:space="0" w:color="auto"/>
            </w:tcBorders>
            <w:vAlign w:val="center"/>
          </w:tcPr>
          <w:p w14:paraId="585BDB79" w14:textId="77777777" w:rsidR="00DF48CB" w:rsidRPr="002840AB" w:rsidRDefault="00DF48CB" w:rsidP="006C26AC">
            <w:pPr>
              <w:spacing w:line="240" w:lineRule="auto"/>
              <w:rPr>
                <w:rFonts w:ascii="Arial" w:hAnsi="Arial" w:cs="Arial"/>
              </w:rPr>
            </w:pPr>
            <w:r w:rsidRPr="002840AB">
              <w:rPr>
                <w:rFonts w:ascii="Arial" w:hAnsi="Arial" w:cs="Arial"/>
              </w:rPr>
              <w:t>M01 01/02 tábla 873 sor</w:t>
            </w:r>
          </w:p>
        </w:tc>
      </w:tr>
      <w:tr w:rsidR="00DF48CB" w:rsidRPr="002840AB" w14:paraId="3E425C60"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7485C95"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4LAN272</w:t>
            </w:r>
          </w:p>
        </w:tc>
        <w:tc>
          <w:tcPr>
            <w:tcW w:w="3969" w:type="dxa"/>
            <w:tcBorders>
              <w:top w:val="single" w:sz="6" w:space="0" w:color="auto"/>
              <w:left w:val="single" w:sz="6" w:space="0" w:color="auto"/>
              <w:bottom w:val="single" w:sz="6" w:space="0" w:color="auto"/>
              <w:right w:val="single" w:sz="6" w:space="0" w:color="auto"/>
            </w:tcBorders>
            <w:vAlign w:val="center"/>
          </w:tcPr>
          <w:p w14:paraId="1E149A1F" w14:textId="77777777" w:rsidR="00DF48CB" w:rsidRPr="002840AB" w:rsidRDefault="00DF48CB" w:rsidP="006C26AC">
            <w:pPr>
              <w:spacing w:line="240" w:lineRule="auto"/>
              <w:rPr>
                <w:rFonts w:ascii="Arial" w:hAnsi="Arial" w:cs="Arial"/>
              </w:rPr>
            </w:pPr>
            <w:r w:rsidRPr="002840AB">
              <w:rPr>
                <w:rFonts w:ascii="Arial" w:hAnsi="Arial" w:cs="Arial"/>
              </w:rPr>
              <w:t>Kibocsátott hitelviszonyt megtestesítő értékpapírok, hosszú, legfeljebb 2 éves, + 2 éven túl</w:t>
            </w:r>
          </w:p>
        </w:tc>
        <w:tc>
          <w:tcPr>
            <w:tcW w:w="3898" w:type="dxa"/>
            <w:tcBorders>
              <w:top w:val="single" w:sz="6" w:space="0" w:color="auto"/>
              <w:left w:val="single" w:sz="6" w:space="0" w:color="auto"/>
              <w:bottom w:val="single" w:sz="6" w:space="0" w:color="auto"/>
              <w:right w:val="single" w:sz="12" w:space="0" w:color="auto"/>
            </w:tcBorders>
            <w:vAlign w:val="center"/>
          </w:tcPr>
          <w:p w14:paraId="17695082" w14:textId="77777777" w:rsidR="00DF48CB" w:rsidRPr="002840AB" w:rsidRDefault="00DF48CB" w:rsidP="006C26AC">
            <w:pPr>
              <w:spacing w:line="240" w:lineRule="auto"/>
              <w:rPr>
                <w:rFonts w:ascii="Arial" w:hAnsi="Arial" w:cs="Arial"/>
              </w:rPr>
            </w:pPr>
            <w:r w:rsidRPr="002840AB">
              <w:rPr>
                <w:rFonts w:ascii="Arial" w:hAnsi="Arial" w:cs="Arial"/>
              </w:rPr>
              <w:t>M01 01/02 tábla 874 + 875 sorok</w:t>
            </w:r>
          </w:p>
        </w:tc>
      </w:tr>
      <w:tr w:rsidR="00DF48CB" w:rsidRPr="002840AB" w14:paraId="6CF111C6"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2DE9DDA"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4LAN28</w:t>
            </w:r>
          </w:p>
        </w:tc>
        <w:tc>
          <w:tcPr>
            <w:tcW w:w="3969" w:type="dxa"/>
            <w:tcBorders>
              <w:top w:val="single" w:sz="6" w:space="0" w:color="auto"/>
              <w:left w:val="single" w:sz="6" w:space="0" w:color="auto"/>
              <w:bottom w:val="single" w:sz="6" w:space="0" w:color="auto"/>
              <w:right w:val="single" w:sz="6" w:space="0" w:color="auto"/>
            </w:tcBorders>
            <w:vAlign w:val="center"/>
          </w:tcPr>
          <w:p w14:paraId="015A78E9" w14:textId="77777777" w:rsidR="00DF48CB" w:rsidRPr="002840AB" w:rsidRDefault="00DF48CB" w:rsidP="006C26AC">
            <w:pPr>
              <w:spacing w:line="240" w:lineRule="auto"/>
              <w:rPr>
                <w:rFonts w:ascii="Arial" w:hAnsi="Arial" w:cs="Arial"/>
              </w:rPr>
            </w:pPr>
            <w:r w:rsidRPr="002840AB">
              <w:rPr>
                <w:rFonts w:ascii="Arial" w:hAnsi="Arial" w:cs="Arial"/>
              </w:rPr>
              <w:t>Egyéb információk</w:t>
            </w:r>
          </w:p>
        </w:tc>
        <w:tc>
          <w:tcPr>
            <w:tcW w:w="3898" w:type="dxa"/>
            <w:tcBorders>
              <w:top w:val="single" w:sz="6" w:space="0" w:color="auto"/>
              <w:left w:val="single" w:sz="6" w:space="0" w:color="auto"/>
              <w:bottom w:val="single" w:sz="6" w:space="0" w:color="auto"/>
              <w:right w:val="single" w:sz="12" w:space="0" w:color="auto"/>
            </w:tcBorders>
            <w:vAlign w:val="center"/>
          </w:tcPr>
          <w:p w14:paraId="06DD256A" w14:textId="77777777" w:rsidR="00DF48CB" w:rsidRPr="002840AB" w:rsidRDefault="00DF48CB" w:rsidP="006C26AC">
            <w:pPr>
              <w:spacing w:line="240" w:lineRule="auto"/>
              <w:rPr>
                <w:rFonts w:ascii="Arial" w:hAnsi="Arial" w:cs="Arial"/>
              </w:rPr>
            </w:pPr>
          </w:p>
        </w:tc>
      </w:tr>
      <w:tr w:rsidR="00DF48CB" w:rsidRPr="002840AB" w14:paraId="344BB796"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743BC18"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4LAN281</w:t>
            </w:r>
          </w:p>
        </w:tc>
        <w:tc>
          <w:tcPr>
            <w:tcW w:w="3969" w:type="dxa"/>
            <w:tcBorders>
              <w:top w:val="single" w:sz="6" w:space="0" w:color="auto"/>
              <w:left w:val="single" w:sz="6" w:space="0" w:color="auto"/>
              <w:bottom w:val="single" w:sz="6" w:space="0" w:color="auto"/>
              <w:right w:val="single" w:sz="6" w:space="0" w:color="auto"/>
            </w:tcBorders>
            <w:vAlign w:val="center"/>
          </w:tcPr>
          <w:p w14:paraId="7C93E12C" w14:textId="77777777" w:rsidR="00DF48CB" w:rsidRPr="002840AB" w:rsidRDefault="00DF48CB" w:rsidP="006C26AC">
            <w:pPr>
              <w:spacing w:line="240" w:lineRule="auto"/>
              <w:rPr>
                <w:rFonts w:ascii="Arial" w:hAnsi="Arial" w:cs="Arial"/>
              </w:rPr>
            </w:pPr>
            <w:r w:rsidRPr="002840AB">
              <w:rPr>
                <w:rFonts w:ascii="Arial" w:hAnsi="Arial" w:cs="Arial"/>
              </w:rPr>
              <w:t>Tulajdonosoktól származó források</w:t>
            </w:r>
          </w:p>
        </w:tc>
        <w:tc>
          <w:tcPr>
            <w:tcW w:w="3898" w:type="dxa"/>
            <w:tcBorders>
              <w:top w:val="single" w:sz="6" w:space="0" w:color="auto"/>
              <w:left w:val="single" w:sz="6" w:space="0" w:color="auto"/>
              <w:bottom w:val="single" w:sz="6" w:space="0" w:color="auto"/>
              <w:right w:val="single" w:sz="12" w:space="0" w:color="auto"/>
            </w:tcBorders>
            <w:vAlign w:val="center"/>
          </w:tcPr>
          <w:p w14:paraId="503249F2" w14:textId="257E060F" w:rsidR="00DF48CB" w:rsidRPr="002840AB" w:rsidRDefault="00DF48CB" w:rsidP="006C26AC">
            <w:pPr>
              <w:spacing w:line="240" w:lineRule="auto"/>
              <w:rPr>
                <w:rFonts w:ascii="Arial" w:hAnsi="Arial" w:cs="Arial"/>
              </w:rPr>
            </w:pPr>
            <w:r w:rsidRPr="002840AB">
              <w:rPr>
                <w:rFonts w:ascii="Arial" w:hAnsi="Arial" w:cs="Arial"/>
              </w:rPr>
              <w:t>A 10GB táblákban meghatározott körre vonatkoztatva (hitelkeretek nélkül)</w:t>
            </w:r>
          </w:p>
        </w:tc>
      </w:tr>
      <w:tr w:rsidR="00DF48CB" w:rsidRPr="002840AB" w14:paraId="43D9B5D8" w14:textId="77777777" w:rsidTr="005F5E88">
        <w:trPr>
          <w:trHeight w:val="467"/>
        </w:trPr>
        <w:tc>
          <w:tcPr>
            <w:tcW w:w="1346" w:type="dxa"/>
            <w:tcBorders>
              <w:top w:val="single" w:sz="6" w:space="0" w:color="auto"/>
              <w:left w:val="single" w:sz="12" w:space="0" w:color="auto"/>
              <w:bottom w:val="single" w:sz="6" w:space="0" w:color="auto"/>
              <w:right w:val="single" w:sz="6" w:space="0" w:color="auto"/>
            </w:tcBorders>
            <w:vAlign w:val="center"/>
          </w:tcPr>
          <w:p w14:paraId="57CEB3D5"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4LAN282</w:t>
            </w:r>
          </w:p>
        </w:tc>
        <w:tc>
          <w:tcPr>
            <w:tcW w:w="3969" w:type="dxa"/>
            <w:tcBorders>
              <w:top w:val="single" w:sz="6" w:space="0" w:color="auto"/>
              <w:left w:val="single" w:sz="6" w:space="0" w:color="auto"/>
              <w:bottom w:val="single" w:sz="6" w:space="0" w:color="auto"/>
              <w:right w:val="single" w:sz="6" w:space="0" w:color="auto"/>
            </w:tcBorders>
            <w:vAlign w:val="center"/>
          </w:tcPr>
          <w:p w14:paraId="2FD5D104" w14:textId="77777777" w:rsidR="00DF48CB" w:rsidRPr="002840AB" w:rsidRDefault="00DF48CB" w:rsidP="006C26AC">
            <w:pPr>
              <w:spacing w:line="240" w:lineRule="auto"/>
              <w:rPr>
                <w:rFonts w:ascii="Arial" w:hAnsi="Arial" w:cs="Arial"/>
              </w:rPr>
            </w:pPr>
            <w:r w:rsidRPr="002840AB">
              <w:rPr>
                <w:rFonts w:ascii="Arial" w:hAnsi="Arial" w:cs="Arial"/>
              </w:rPr>
              <w:t>Tulajdonosoknak nyújtott források</w:t>
            </w:r>
          </w:p>
        </w:tc>
        <w:tc>
          <w:tcPr>
            <w:tcW w:w="3898" w:type="dxa"/>
            <w:tcBorders>
              <w:top w:val="single" w:sz="6" w:space="0" w:color="auto"/>
              <w:left w:val="single" w:sz="6" w:space="0" w:color="auto"/>
              <w:bottom w:val="single" w:sz="6" w:space="0" w:color="auto"/>
              <w:right w:val="single" w:sz="12" w:space="0" w:color="auto"/>
            </w:tcBorders>
            <w:vAlign w:val="center"/>
          </w:tcPr>
          <w:p w14:paraId="38C049BD" w14:textId="6EBB2BDD" w:rsidR="00DF48CB" w:rsidRPr="002840AB" w:rsidRDefault="00DF48CB" w:rsidP="006C26AC">
            <w:pPr>
              <w:spacing w:line="240" w:lineRule="auto"/>
              <w:rPr>
                <w:rFonts w:ascii="Arial" w:hAnsi="Arial" w:cs="Arial"/>
              </w:rPr>
            </w:pPr>
            <w:r w:rsidRPr="002840AB">
              <w:rPr>
                <w:rFonts w:ascii="Arial" w:hAnsi="Arial" w:cs="Arial"/>
              </w:rPr>
              <w:t>A 10GB táblákban meghatározott körre vonatkoztatva (hitelkeretek nélkül)</w:t>
            </w:r>
          </w:p>
        </w:tc>
      </w:tr>
      <w:tr w:rsidR="00DF48CB" w:rsidRPr="002840AB" w14:paraId="0BE9839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22205AD"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4LAN283</w:t>
            </w:r>
          </w:p>
        </w:tc>
        <w:tc>
          <w:tcPr>
            <w:tcW w:w="3969" w:type="dxa"/>
            <w:tcBorders>
              <w:top w:val="single" w:sz="6" w:space="0" w:color="auto"/>
              <w:left w:val="single" w:sz="6" w:space="0" w:color="auto"/>
              <w:bottom w:val="single" w:sz="6" w:space="0" w:color="auto"/>
              <w:right w:val="single" w:sz="6" w:space="0" w:color="auto"/>
            </w:tcBorders>
            <w:vAlign w:val="center"/>
          </w:tcPr>
          <w:p w14:paraId="3E406808" w14:textId="77777777" w:rsidR="00DF48CB" w:rsidRPr="002840AB" w:rsidRDefault="00DF48CB" w:rsidP="006C26AC">
            <w:pPr>
              <w:spacing w:line="240" w:lineRule="auto"/>
              <w:rPr>
                <w:rFonts w:ascii="Arial" w:hAnsi="Arial" w:cs="Arial"/>
              </w:rPr>
            </w:pPr>
            <w:r w:rsidRPr="002840AB">
              <w:rPr>
                <w:rFonts w:ascii="Arial" w:hAnsi="Arial" w:cs="Arial"/>
              </w:rPr>
              <w:t>Befektetésektől származó források</w:t>
            </w:r>
          </w:p>
        </w:tc>
        <w:tc>
          <w:tcPr>
            <w:tcW w:w="3898" w:type="dxa"/>
            <w:tcBorders>
              <w:top w:val="single" w:sz="6" w:space="0" w:color="auto"/>
              <w:left w:val="single" w:sz="6" w:space="0" w:color="auto"/>
              <w:bottom w:val="single" w:sz="6" w:space="0" w:color="auto"/>
              <w:right w:val="single" w:sz="12" w:space="0" w:color="auto"/>
            </w:tcBorders>
            <w:vAlign w:val="center"/>
          </w:tcPr>
          <w:p w14:paraId="47E3DEDC" w14:textId="1D8EA2E4" w:rsidR="00DF48CB" w:rsidRPr="002840AB" w:rsidRDefault="00DF48CB" w:rsidP="006C26AC">
            <w:pPr>
              <w:spacing w:line="240" w:lineRule="auto"/>
              <w:rPr>
                <w:rFonts w:ascii="Arial" w:hAnsi="Arial" w:cs="Arial"/>
              </w:rPr>
            </w:pPr>
            <w:r w:rsidRPr="002840AB">
              <w:rPr>
                <w:rFonts w:ascii="Arial" w:hAnsi="Arial" w:cs="Arial"/>
              </w:rPr>
              <w:t>A 10GB táblákban meghatározott körre vonatkoztatva (hitelkeretek nélkül)</w:t>
            </w:r>
          </w:p>
        </w:tc>
      </w:tr>
      <w:tr w:rsidR="00DF48CB" w:rsidRPr="002840AB" w14:paraId="02437634"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186A7115" w14:textId="77777777" w:rsidR="00DF48CB" w:rsidRPr="002840AB" w:rsidRDefault="00DF48CB" w:rsidP="006C26AC">
            <w:pPr>
              <w:autoSpaceDE w:val="0"/>
              <w:autoSpaceDN w:val="0"/>
              <w:adjustRightInd w:val="0"/>
              <w:spacing w:line="240" w:lineRule="auto"/>
              <w:rPr>
                <w:rFonts w:ascii="Arial" w:hAnsi="Arial" w:cs="Arial"/>
              </w:rPr>
            </w:pPr>
            <w:r w:rsidRPr="002840AB">
              <w:rPr>
                <w:rFonts w:ascii="Arial" w:hAnsi="Arial" w:cs="Arial"/>
              </w:rPr>
              <w:t>4LAN284</w:t>
            </w:r>
          </w:p>
        </w:tc>
        <w:tc>
          <w:tcPr>
            <w:tcW w:w="3969" w:type="dxa"/>
            <w:tcBorders>
              <w:top w:val="single" w:sz="6" w:space="0" w:color="auto"/>
              <w:left w:val="single" w:sz="6" w:space="0" w:color="auto"/>
              <w:bottom w:val="single" w:sz="6" w:space="0" w:color="auto"/>
              <w:right w:val="single" w:sz="6" w:space="0" w:color="auto"/>
            </w:tcBorders>
            <w:vAlign w:val="center"/>
          </w:tcPr>
          <w:p w14:paraId="4680E6B4" w14:textId="77777777" w:rsidR="00DF48CB" w:rsidRPr="002840AB" w:rsidRDefault="00DF48CB" w:rsidP="006C26AC">
            <w:pPr>
              <w:spacing w:line="240" w:lineRule="auto"/>
              <w:rPr>
                <w:rFonts w:ascii="Arial" w:hAnsi="Arial" w:cs="Arial"/>
              </w:rPr>
            </w:pPr>
            <w:r w:rsidRPr="002840AB">
              <w:rPr>
                <w:rFonts w:ascii="Arial" w:hAnsi="Arial" w:cs="Arial"/>
              </w:rPr>
              <w:t>Befektetéseknek nyújtott források</w:t>
            </w:r>
          </w:p>
        </w:tc>
        <w:tc>
          <w:tcPr>
            <w:tcW w:w="3898" w:type="dxa"/>
            <w:tcBorders>
              <w:top w:val="single" w:sz="6" w:space="0" w:color="auto"/>
              <w:left w:val="single" w:sz="6" w:space="0" w:color="auto"/>
              <w:bottom w:val="single" w:sz="6" w:space="0" w:color="auto"/>
              <w:right w:val="single" w:sz="12" w:space="0" w:color="auto"/>
            </w:tcBorders>
            <w:vAlign w:val="center"/>
          </w:tcPr>
          <w:p w14:paraId="5A1F6A72" w14:textId="040BC3FF" w:rsidR="00DF48CB" w:rsidRPr="002840AB" w:rsidRDefault="00DF48CB" w:rsidP="006C26AC">
            <w:pPr>
              <w:spacing w:line="240" w:lineRule="auto"/>
              <w:rPr>
                <w:rFonts w:ascii="Arial" w:hAnsi="Arial" w:cs="Arial"/>
              </w:rPr>
            </w:pPr>
            <w:r w:rsidRPr="002840AB">
              <w:rPr>
                <w:rFonts w:ascii="Arial" w:hAnsi="Arial" w:cs="Arial"/>
              </w:rPr>
              <w:t>A 10GB táblákban meghatározott körre vonatkoztatva (hitelkeretek nélkül)</w:t>
            </w:r>
          </w:p>
        </w:tc>
      </w:tr>
      <w:tr w:rsidR="00DF48CB" w:rsidRPr="002840AB" w14:paraId="357EEA6A"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11A53BF"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lastRenderedPageBreak/>
              <w:t>4LAN285</w:t>
            </w:r>
          </w:p>
        </w:tc>
        <w:tc>
          <w:tcPr>
            <w:tcW w:w="3969" w:type="dxa"/>
            <w:tcBorders>
              <w:top w:val="single" w:sz="6" w:space="0" w:color="auto"/>
              <w:left w:val="single" w:sz="6" w:space="0" w:color="auto"/>
              <w:bottom w:val="single" w:sz="6" w:space="0" w:color="auto"/>
              <w:right w:val="single" w:sz="6" w:space="0" w:color="auto"/>
            </w:tcBorders>
            <w:vAlign w:val="center"/>
          </w:tcPr>
          <w:p w14:paraId="1A0BC2B3" w14:textId="77777777" w:rsidR="00DF48CB" w:rsidRPr="002840AB" w:rsidRDefault="00DF48CB" w:rsidP="00D4514E">
            <w:pPr>
              <w:spacing w:line="240" w:lineRule="auto"/>
              <w:rPr>
                <w:rFonts w:ascii="Arial" w:hAnsi="Arial" w:cs="Arial"/>
              </w:rPr>
            </w:pPr>
            <w:r w:rsidRPr="002840AB">
              <w:rPr>
                <w:rFonts w:ascii="Arial" w:hAnsi="Arial" w:cs="Arial"/>
              </w:rPr>
              <w:t>Tartalékkötelezettség</w:t>
            </w:r>
          </w:p>
        </w:tc>
        <w:tc>
          <w:tcPr>
            <w:tcW w:w="3898" w:type="dxa"/>
            <w:tcBorders>
              <w:top w:val="single" w:sz="6" w:space="0" w:color="auto"/>
              <w:left w:val="single" w:sz="6" w:space="0" w:color="auto"/>
              <w:bottom w:val="single" w:sz="6" w:space="0" w:color="auto"/>
              <w:right w:val="single" w:sz="12" w:space="0" w:color="auto"/>
            </w:tcBorders>
            <w:vAlign w:val="center"/>
          </w:tcPr>
          <w:p w14:paraId="5038FE41" w14:textId="77777777" w:rsidR="00DF48CB" w:rsidRPr="002840AB" w:rsidRDefault="00DF48CB" w:rsidP="00D4514E">
            <w:pPr>
              <w:spacing w:line="240" w:lineRule="auto"/>
              <w:rPr>
                <w:rFonts w:ascii="Arial" w:hAnsi="Arial" w:cs="Arial"/>
              </w:rPr>
            </w:pPr>
            <w:r w:rsidRPr="002840AB">
              <w:rPr>
                <w:rFonts w:ascii="Arial" w:hAnsi="Arial" w:cs="Arial"/>
              </w:rPr>
              <w:t>Kötelező jegybanki tartalék összege</w:t>
            </w:r>
          </w:p>
        </w:tc>
      </w:tr>
      <w:tr w:rsidR="00DF48CB" w:rsidRPr="002840AB" w14:paraId="1B32513E"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60F3C670"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 </w:t>
            </w:r>
          </w:p>
        </w:tc>
        <w:tc>
          <w:tcPr>
            <w:tcW w:w="3969" w:type="dxa"/>
            <w:tcBorders>
              <w:top w:val="single" w:sz="6" w:space="0" w:color="auto"/>
              <w:left w:val="single" w:sz="6" w:space="0" w:color="auto"/>
              <w:bottom w:val="single" w:sz="6" w:space="0" w:color="auto"/>
              <w:right w:val="single" w:sz="6" w:space="0" w:color="auto"/>
            </w:tcBorders>
            <w:vAlign w:val="center"/>
          </w:tcPr>
          <w:p w14:paraId="0310A00A" w14:textId="77777777" w:rsidR="00DF48CB" w:rsidRPr="002840AB" w:rsidRDefault="00DF48CB" w:rsidP="00D4514E">
            <w:pPr>
              <w:spacing w:line="240" w:lineRule="auto"/>
              <w:rPr>
                <w:rFonts w:ascii="Arial" w:hAnsi="Arial" w:cs="Arial"/>
              </w:rPr>
            </w:pPr>
          </w:p>
        </w:tc>
        <w:tc>
          <w:tcPr>
            <w:tcW w:w="3898" w:type="dxa"/>
            <w:tcBorders>
              <w:top w:val="single" w:sz="6" w:space="0" w:color="auto"/>
              <w:left w:val="single" w:sz="6" w:space="0" w:color="auto"/>
              <w:bottom w:val="single" w:sz="6" w:space="0" w:color="auto"/>
              <w:right w:val="single" w:sz="12" w:space="0" w:color="auto"/>
            </w:tcBorders>
            <w:vAlign w:val="center"/>
          </w:tcPr>
          <w:p w14:paraId="2FD861F2" w14:textId="77777777" w:rsidR="00DF48CB" w:rsidRPr="002840AB" w:rsidRDefault="00DF48CB" w:rsidP="00D4514E">
            <w:pPr>
              <w:spacing w:line="240" w:lineRule="auto"/>
              <w:jc w:val="center"/>
              <w:rPr>
                <w:rFonts w:ascii="Arial" w:hAnsi="Arial" w:cs="Arial"/>
                <w:b/>
                <w:bCs/>
              </w:rPr>
            </w:pPr>
            <w:r w:rsidRPr="002840AB">
              <w:rPr>
                <w:rFonts w:ascii="Arial" w:hAnsi="Arial" w:cs="Arial"/>
                <w:b/>
                <w:bCs/>
              </w:rPr>
              <w:t>Hátralévő lejárat szerint összesen (forint + deviza HUF-ban)</w:t>
            </w:r>
          </w:p>
        </w:tc>
      </w:tr>
      <w:tr w:rsidR="00DF48CB" w:rsidRPr="002840AB" w14:paraId="2C3B34BC"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4637736"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w:t>
            </w:r>
          </w:p>
        </w:tc>
        <w:tc>
          <w:tcPr>
            <w:tcW w:w="3969" w:type="dxa"/>
            <w:tcBorders>
              <w:top w:val="single" w:sz="6" w:space="0" w:color="auto"/>
              <w:left w:val="single" w:sz="6" w:space="0" w:color="auto"/>
              <w:bottom w:val="single" w:sz="6" w:space="0" w:color="auto"/>
              <w:right w:val="single" w:sz="6" w:space="0" w:color="auto"/>
            </w:tcBorders>
            <w:vAlign w:val="center"/>
          </w:tcPr>
          <w:p w14:paraId="26E13B98" w14:textId="77777777" w:rsidR="00DF48CB" w:rsidRPr="002840AB" w:rsidRDefault="00DF48CB" w:rsidP="00D4514E">
            <w:pPr>
              <w:spacing w:line="240" w:lineRule="auto"/>
              <w:rPr>
                <w:rFonts w:ascii="Arial" w:hAnsi="Arial" w:cs="Arial"/>
              </w:rPr>
            </w:pPr>
            <w:r w:rsidRPr="002840AB">
              <w:rPr>
                <w:rFonts w:ascii="Arial" w:hAnsi="Arial" w:cs="Arial"/>
              </w:rPr>
              <w:t>Külföldről származó források</w:t>
            </w:r>
          </w:p>
        </w:tc>
        <w:tc>
          <w:tcPr>
            <w:tcW w:w="3898" w:type="dxa"/>
            <w:tcBorders>
              <w:top w:val="single" w:sz="6" w:space="0" w:color="auto"/>
              <w:left w:val="single" w:sz="6" w:space="0" w:color="auto"/>
              <w:bottom w:val="single" w:sz="6" w:space="0" w:color="auto"/>
              <w:right w:val="single" w:sz="12" w:space="0" w:color="auto"/>
            </w:tcBorders>
            <w:vAlign w:val="center"/>
          </w:tcPr>
          <w:p w14:paraId="29B7FC21" w14:textId="77777777" w:rsidR="00DF48CB" w:rsidRPr="002840AB" w:rsidRDefault="00DF48CB" w:rsidP="00D4514E">
            <w:pPr>
              <w:spacing w:line="240" w:lineRule="auto"/>
              <w:rPr>
                <w:rFonts w:ascii="Arial" w:hAnsi="Arial" w:cs="Arial"/>
              </w:rPr>
            </w:pPr>
            <w:r w:rsidRPr="002840AB">
              <w:rPr>
                <w:rFonts w:ascii="Arial" w:hAnsi="Arial" w:cs="Arial"/>
              </w:rPr>
              <w:t>4LAN29 = 4LAN291+4LAN292+4LAN293+ 4LAN294 + 4LAN295</w:t>
            </w:r>
          </w:p>
          <w:p w14:paraId="12504386" w14:textId="77777777" w:rsidR="00DF48CB" w:rsidRPr="002840AB" w:rsidRDefault="00DF48CB" w:rsidP="00D4514E">
            <w:pPr>
              <w:spacing w:line="240" w:lineRule="auto"/>
              <w:rPr>
                <w:rFonts w:ascii="Arial" w:hAnsi="Arial" w:cs="Arial"/>
              </w:rPr>
            </w:pPr>
            <w:r w:rsidRPr="002840AB">
              <w:rPr>
                <w:rFonts w:ascii="Arial" w:hAnsi="Arial" w:cs="Arial"/>
              </w:rPr>
              <w:t xml:space="preserve">M01 01/02 tábla 541+…+550+565+…+574+589+…+598+613+…+622+714+…723+738+…+747+762+…771+786+…+795+ (873+874+875) - (a belföldön kibocsátott hitelviszonyt megtestesítő értékpapírok - rövid; hosszú, legfeljebb 2 év; hosszú, 2 éven </w:t>
            </w:r>
            <w:proofErr w:type="gramStart"/>
            <w:r w:rsidRPr="002840AB">
              <w:rPr>
                <w:rFonts w:ascii="Arial" w:hAnsi="Arial" w:cs="Arial"/>
              </w:rPr>
              <w:t>túl  értékének</w:t>
            </w:r>
            <w:proofErr w:type="gramEnd"/>
            <w:r w:rsidRPr="002840AB">
              <w:rPr>
                <w:rFonts w:ascii="Arial" w:hAnsi="Arial" w:cs="Arial"/>
              </w:rPr>
              <w:t xml:space="preserve"> levonásával)</w:t>
            </w:r>
          </w:p>
        </w:tc>
      </w:tr>
      <w:tr w:rsidR="00DF48CB" w:rsidRPr="002840AB" w14:paraId="3417007F"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662EDF4"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4LAN291</w:t>
            </w:r>
          </w:p>
        </w:tc>
        <w:tc>
          <w:tcPr>
            <w:tcW w:w="3969" w:type="dxa"/>
            <w:tcBorders>
              <w:top w:val="single" w:sz="6" w:space="0" w:color="auto"/>
              <w:left w:val="single" w:sz="6" w:space="0" w:color="auto"/>
              <w:bottom w:val="single" w:sz="6" w:space="0" w:color="auto"/>
              <w:right w:val="single" w:sz="6" w:space="0" w:color="auto"/>
            </w:tcBorders>
            <w:vAlign w:val="center"/>
          </w:tcPr>
          <w:p w14:paraId="4C4FABCA" w14:textId="77777777" w:rsidR="00DF48CB" w:rsidRPr="002840AB" w:rsidRDefault="00DF48CB" w:rsidP="00D4514E">
            <w:pPr>
              <w:spacing w:line="240" w:lineRule="auto"/>
              <w:rPr>
                <w:rFonts w:ascii="Arial" w:hAnsi="Arial" w:cs="Arial"/>
              </w:rPr>
            </w:pPr>
            <w:r w:rsidRPr="002840AB">
              <w:rPr>
                <w:rFonts w:ascii="Arial" w:hAnsi="Arial" w:cs="Arial"/>
              </w:rPr>
              <w:t>1 napon belül lejáró külföldi források</w:t>
            </w:r>
          </w:p>
        </w:tc>
        <w:tc>
          <w:tcPr>
            <w:tcW w:w="3898" w:type="dxa"/>
            <w:tcBorders>
              <w:top w:val="single" w:sz="6" w:space="0" w:color="auto"/>
              <w:left w:val="single" w:sz="6" w:space="0" w:color="auto"/>
              <w:bottom w:val="single" w:sz="6" w:space="0" w:color="auto"/>
              <w:right w:val="single" w:sz="12" w:space="0" w:color="auto"/>
            </w:tcBorders>
          </w:tcPr>
          <w:p w14:paraId="277E51DB" w14:textId="77777777" w:rsidR="00DF48CB" w:rsidRPr="002840AB" w:rsidRDefault="00DF48CB" w:rsidP="00D4514E">
            <w:pPr>
              <w:spacing w:line="240" w:lineRule="auto"/>
              <w:rPr>
                <w:rFonts w:ascii="Arial" w:hAnsi="Arial" w:cs="Arial"/>
              </w:rPr>
            </w:pPr>
            <w:r w:rsidRPr="002840AB">
              <w:rPr>
                <w:rFonts w:ascii="Arial" w:hAnsi="Arial" w:cs="Arial"/>
              </w:rPr>
              <w:t>1 napon belül lejáró külföldi források</w:t>
            </w:r>
          </w:p>
        </w:tc>
      </w:tr>
      <w:tr w:rsidR="00DF48CB" w:rsidRPr="002840AB" w14:paraId="7F59A500"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717ADBFB"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4LAN292</w:t>
            </w:r>
          </w:p>
        </w:tc>
        <w:tc>
          <w:tcPr>
            <w:tcW w:w="3969" w:type="dxa"/>
            <w:tcBorders>
              <w:top w:val="single" w:sz="6" w:space="0" w:color="auto"/>
              <w:left w:val="single" w:sz="6" w:space="0" w:color="auto"/>
              <w:bottom w:val="single" w:sz="6" w:space="0" w:color="auto"/>
              <w:right w:val="single" w:sz="6" w:space="0" w:color="auto"/>
            </w:tcBorders>
            <w:vAlign w:val="center"/>
          </w:tcPr>
          <w:p w14:paraId="11560FD7" w14:textId="77777777" w:rsidR="00DF48CB" w:rsidRPr="002840AB" w:rsidRDefault="00DF48CB" w:rsidP="00D4514E">
            <w:pPr>
              <w:spacing w:line="240" w:lineRule="auto"/>
              <w:rPr>
                <w:rFonts w:ascii="Arial" w:hAnsi="Arial" w:cs="Arial"/>
              </w:rPr>
            </w:pPr>
            <w:r w:rsidRPr="002840AB">
              <w:rPr>
                <w:rFonts w:ascii="Arial" w:hAnsi="Arial" w:cs="Arial"/>
              </w:rPr>
              <w:t>1 héten belül lejáró külföldi források</w:t>
            </w:r>
          </w:p>
        </w:tc>
        <w:tc>
          <w:tcPr>
            <w:tcW w:w="3898" w:type="dxa"/>
            <w:tcBorders>
              <w:top w:val="single" w:sz="6" w:space="0" w:color="auto"/>
              <w:left w:val="single" w:sz="6" w:space="0" w:color="auto"/>
              <w:bottom w:val="single" w:sz="6" w:space="0" w:color="auto"/>
              <w:right w:val="single" w:sz="12" w:space="0" w:color="auto"/>
            </w:tcBorders>
          </w:tcPr>
          <w:p w14:paraId="2DAA7510" w14:textId="77777777" w:rsidR="00DF48CB" w:rsidRPr="002840AB" w:rsidRDefault="00DF48CB" w:rsidP="00D4514E">
            <w:pPr>
              <w:spacing w:line="240" w:lineRule="auto"/>
              <w:rPr>
                <w:rFonts w:ascii="Arial" w:hAnsi="Arial" w:cs="Arial"/>
              </w:rPr>
            </w:pPr>
            <w:r w:rsidRPr="002840AB">
              <w:rPr>
                <w:rFonts w:ascii="Arial" w:hAnsi="Arial" w:cs="Arial"/>
              </w:rPr>
              <w:t>1 napon túli lejáratú de 1 héten belül lejáró források</w:t>
            </w:r>
          </w:p>
        </w:tc>
      </w:tr>
      <w:tr w:rsidR="00DF48CB" w:rsidRPr="002840AB" w14:paraId="25EDC2C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D1BE810"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4LAN293</w:t>
            </w:r>
          </w:p>
        </w:tc>
        <w:tc>
          <w:tcPr>
            <w:tcW w:w="3969" w:type="dxa"/>
            <w:tcBorders>
              <w:top w:val="single" w:sz="6" w:space="0" w:color="auto"/>
              <w:left w:val="single" w:sz="6" w:space="0" w:color="auto"/>
              <w:bottom w:val="single" w:sz="6" w:space="0" w:color="auto"/>
              <w:right w:val="single" w:sz="6" w:space="0" w:color="auto"/>
            </w:tcBorders>
            <w:vAlign w:val="center"/>
          </w:tcPr>
          <w:p w14:paraId="22A2796B" w14:textId="77777777" w:rsidR="00DF48CB" w:rsidRPr="002840AB" w:rsidRDefault="00DF48CB" w:rsidP="00D4514E">
            <w:pPr>
              <w:spacing w:line="240" w:lineRule="auto"/>
              <w:rPr>
                <w:rFonts w:ascii="Arial" w:hAnsi="Arial" w:cs="Arial"/>
              </w:rPr>
            </w:pPr>
            <w:r w:rsidRPr="002840AB">
              <w:rPr>
                <w:rFonts w:ascii="Arial" w:hAnsi="Arial" w:cs="Arial"/>
              </w:rPr>
              <w:t>1 hónapon belül lejáró külföldi források</w:t>
            </w:r>
          </w:p>
        </w:tc>
        <w:tc>
          <w:tcPr>
            <w:tcW w:w="3898" w:type="dxa"/>
            <w:tcBorders>
              <w:top w:val="single" w:sz="6" w:space="0" w:color="auto"/>
              <w:left w:val="single" w:sz="6" w:space="0" w:color="auto"/>
              <w:bottom w:val="single" w:sz="6" w:space="0" w:color="auto"/>
              <w:right w:val="single" w:sz="12" w:space="0" w:color="auto"/>
            </w:tcBorders>
          </w:tcPr>
          <w:p w14:paraId="4E18BBE9" w14:textId="77777777" w:rsidR="00DF48CB" w:rsidRPr="002840AB" w:rsidRDefault="00DF48CB" w:rsidP="00D4514E">
            <w:pPr>
              <w:spacing w:line="240" w:lineRule="auto"/>
              <w:rPr>
                <w:rFonts w:ascii="Arial" w:hAnsi="Arial" w:cs="Arial"/>
              </w:rPr>
            </w:pPr>
            <w:r w:rsidRPr="002840AB">
              <w:rPr>
                <w:rFonts w:ascii="Arial" w:hAnsi="Arial" w:cs="Arial"/>
              </w:rPr>
              <w:t>1 héten túli lejáratú de 1 hónapon belül lejáró források</w:t>
            </w:r>
          </w:p>
        </w:tc>
      </w:tr>
      <w:tr w:rsidR="00DF48CB" w:rsidRPr="002840AB" w14:paraId="50465A35"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2D55D356"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4LAN294</w:t>
            </w:r>
          </w:p>
        </w:tc>
        <w:tc>
          <w:tcPr>
            <w:tcW w:w="3969" w:type="dxa"/>
            <w:tcBorders>
              <w:top w:val="single" w:sz="6" w:space="0" w:color="auto"/>
              <w:left w:val="single" w:sz="6" w:space="0" w:color="auto"/>
              <w:bottom w:val="single" w:sz="6" w:space="0" w:color="auto"/>
              <w:right w:val="single" w:sz="6" w:space="0" w:color="auto"/>
            </w:tcBorders>
            <w:vAlign w:val="center"/>
          </w:tcPr>
          <w:p w14:paraId="509966EE" w14:textId="77777777" w:rsidR="00DF48CB" w:rsidRPr="002840AB" w:rsidRDefault="00DF48CB" w:rsidP="00D4514E">
            <w:pPr>
              <w:spacing w:line="240" w:lineRule="auto"/>
              <w:rPr>
                <w:rFonts w:ascii="Arial" w:hAnsi="Arial" w:cs="Arial"/>
              </w:rPr>
            </w:pPr>
            <w:r w:rsidRPr="002840AB">
              <w:rPr>
                <w:rFonts w:ascii="Arial" w:hAnsi="Arial" w:cs="Arial"/>
              </w:rPr>
              <w:t>1 éven belül lejáró külföldi források</w:t>
            </w:r>
          </w:p>
        </w:tc>
        <w:tc>
          <w:tcPr>
            <w:tcW w:w="3898" w:type="dxa"/>
            <w:tcBorders>
              <w:top w:val="single" w:sz="6" w:space="0" w:color="auto"/>
              <w:left w:val="single" w:sz="6" w:space="0" w:color="auto"/>
              <w:bottom w:val="single" w:sz="6" w:space="0" w:color="auto"/>
              <w:right w:val="single" w:sz="12" w:space="0" w:color="auto"/>
            </w:tcBorders>
          </w:tcPr>
          <w:p w14:paraId="280E8663" w14:textId="77777777" w:rsidR="00DF48CB" w:rsidRPr="002840AB" w:rsidRDefault="00DF48CB" w:rsidP="00D4514E">
            <w:pPr>
              <w:spacing w:line="240" w:lineRule="auto"/>
              <w:rPr>
                <w:rFonts w:ascii="Arial" w:hAnsi="Arial" w:cs="Arial"/>
              </w:rPr>
            </w:pPr>
            <w:r w:rsidRPr="002840AB">
              <w:rPr>
                <w:rFonts w:ascii="Arial" w:hAnsi="Arial" w:cs="Arial"/>
              </w:rPr>
              <w:t>1 hónapon túli lejáratú de 1 éven belül lejáró források</w:t>
            </w:r>
          </w:p>
        </w:tc>
      </w:tr>
      <w:tr w:rsidR="00DF48CB" w:rsidRPr="002840AB" w14:paraId="2C1C642B" w14:textId="77777777" w:rsidTr="005F5E88">
        <w:trPr>
          <w:trHeight w:val="456"/>
        </w:trPr>
        <w:tc>
          <w:tcPr>
            <w:tcW w:w="1346" w:type="dxa"/>
            <w:tcBorders>
              <w:top w:val="single" w:sz="6" w:space="0" w:color="auto"/>
              <w:left w:val="single" w:sz="12" w:space="0" w:color="auto"/>
              <w:bottom w:val="single" w:sz="6" w:space="0" w:color="auto"/>
              <w:right w:val="single" w:sz="6" w:space="0" w:color="auto"/>
            </w:tcBorders>
            <w:vAlign w:val="center"/>
          </w:tcPr>
          <w:p w14:paraId="35FF7FB7" w14:textId="77777777" w:rsidR="00DF48CB" w:rsidRPr="002840AB" w:rsidRDefault="00DF48CB" w:rsidP="00D4514E">
            <w:pPr>
              <w:autoSpaceDE w:val="0"/>
              <w:autoSpaceDN w:val="0"/>
              <w:adjustRightInd w:val="0"/>
              <w:spacing w:line="240" w:lineRule="auto"/>
              <w:rPr>
                <w:rFonts w:ascii="Arial" w:hAnsi="Arial" w:cs="Arial"/>
              </w:rPr>
            </w:pPr>
            <w:r w:rsidRPr="002840AB">
              <w:rPr>
                <w:rFonts w:ascii="Arial" w:hAnsi="Arial" w:cs="Arial"/>
              </w:rPr>
              <w:t>4LAN295</w:t>
            </w:r>
          </w:p>
        </w:tc>
        <w:tc>
          <w:tcPr>
            <w:tcW w:w="3969" w:type="dxa"/>
            <w:tcBorders>
              <w:top w:val="single" w:sz="6" w:space="0" w:color="auto"/>
              <w:left w:val="single" w:sz="6" w:space="0" w:color="auto"/>
              <w:bottom w:val="single" w:sz="6" w:space="0" w:color="auto"/>
              <w:right w:val="single" w:sz="6" w:space="0" w:color="auto"/>
            </w:tcBorders>
            <w:vAlign w:val="center"/>
          </w:tcPr>
          <w:p w14:paraId="25D36EDE" w14:textId="77777777" w:rsidR="00DF48CB" w:rsidRPr="002840AB" w:rsidRDefault="00DF48CB" w:rsidP="00D4514E">
            <w:pPr>
              <w:spacing w:line="240" w:lineRule="auto"/>
              <w:rPr>
                <w:rFonts w:ascii="Arial" w:hAnsi="Arial" w:cs="Arial"/>
              </w:rPr>
            </w:pPr>
            <w:r w:rsidRPr="002840AB">
              <w:rPr>
                <w:rFonts w:ascii="Arial" w:hAnsi="Arial" w:cs="Arial"/>
              </w:rPr>
              <w:t>1 éven túli lejáró külföldi források</w:t>
            </w:r>
          </w:p>
        </w:tc>
        <w:tc>
          <w:tcPr>
            <w:tcW w:w="3898" w:type="dxa"/>
            <w:tcBorders>
              <w:top w:val="single" w:sz="6" w:space="0" w:color="auto"/>
              <w:left w:val="single" w:sz="6" w:space="0" w:color="auto"/>
              <w:bottom w:val="single" w:sz="6" w:space="0" w:color="auto"/>
              <w:right w:val="single" w:sz="12" w:space="0" w:color="auto"/>
            </w:tcBorders>
          </w:tcPr>
          <w:p w14:paraId="3B50F6E4" w14:textId="77777777" w:rsidR="00DF48CB" w:rsidRPr="002840AB" w:rsidRDefault="00DF48CB" w:rsidP="00D4514E">
            <w:pPr>
              <w:spacing w:line="240" w:lineRule="auto"/>
              <w:rPr>
                <w:rFonts w:ascii="Arial" w:hAnsi="Arial" w:cs="Arial"/>
              </w:rPr>
            </w:pPr>
            <w:r w:rsidRPr="002840AB">
              <w:rPr>
                <w:rFonts w:ascii="Arial" w:hAnsi="Arial" w:cs="Arial"/>
              </w:rPr>
              <w:t>1 éven túli lejáratú források</w:t>
            </w:r>
          </w:p>
        </w:tc>
      </w:tr>
    </w:tbl>
    <w:p w14:paraId="583B8935" w14:textId="77777777" w:rsidR="00DF48CB" w:rsidRPr="002840AB" w:rsidRDefault="00DF48CB" w:rsidP="00D4514E">
      <w:pPr>
        <w:spacing w:after="0" w:line="240" w:lineRule="auto"/>
        <w:rPr>
          <w:rFonts w:ascii="Arial" w:hAnsi="Arial" w:cs="Arial"/>
        </w:rPr>
      </w:pPr>
      <w:bookmarkStart w:id="4" w:name="_Toc223417840"/>
      <w:bookmarkStart w:id="5" w:name="_Toc247959909"/>
      <w:bookmarkStart w:id="6" w:name="_Toc247979672"/>
      <w:bookmarkStart w:id="7" w:name="_Toc247979861"/>
      <w:bookmarkStart w:id="8" w:name="_Toc247980432"/>
      <w:bookmarkStart w:id="9" w:name="_Toc247980720"/>
      <w:bookmarkStart w:id="10" w:name="_Toc290903637"/>
      <w:bookmarkStart w:id="11" w:name="_Toc304550388"/>
    </w:p>
    <w:p w14:paraId="7F0B89F2" w14:textId="77777777" w:rsidR="00DF48CB" w:rsidRPr="002840AB" w:rsidRDefault="00DF48CB" w:rsidP="00D4514E">
      <w:pPr>
        <w:spacing w:after="0" w:line="240" w:lineRule="auto"/>
        <w:rPr>
          <w:rFonts w:ascii="Arial" w:hAnsi="Arial" w:cs="Arial"/>
        </w:rPr>
      </w:pPr>
    </w:p>
    <w:p w14:paraId="78B804FE" w14:textId="27E27E22" w:rsidR="00DF48CB" w:rsidRPr="002840AB" w:rsidRDefault="00DF48CB" w:rsidP="00D4514E">
      <w:pPr>
        <w:pStyle w:val="Cmsor4"/>
        <w:numPr>
          <w:ilvl w:val="0"/>
          <w:numId w:val="0"/>
        </w:numPr>
        <w:spacing w:before="0" w:after="0" w:line="240" w:lineRule="auto"/>
        <w:rPr>
          <w:rFonts w:ascii="Arial" w:eastAsia="Calibri" w:hAnsi="Arial" w:cs="Arial"/>
          <w:b/>
          <w:color w:val="auto"/>
          <w:szCs w:val="20"/>
        </w:rPr>
      </w:pPr>
      <w:bookmarkStart w:id="12" w:name="_Toc370821116"/>
      <w:bookmarkStart w:id="13" w:name="_Toc374007520"/>
      <w:bookmarkStart w:id="14" w:name="_Toc374453719"/>
      <w:bookmarkStart w:id="15" w:name="_Hlk519156314"/>
      <w:bookmarkStart w:id="16" w:name="_Hlk519156039"/>
      <w:bookmarkStart w:id="17" w:name="_Toc360536280"/>
      <w:r w:rsidRPr="002840AB">
        <w:rPr>
          <w:rFonts w:ascii="Arial" w:eastAsia="Calibri" w:hAnsi="Arial" w:cs="Arial"/>
          <w:b/>
          <w:color w:val="auto"/>
          <w:szCs w:val="20"/>
        </w:rPr>
        <w:t>25. CASHFLOW</w:t>
      </w:r>
      <w:bookmarkEnd w:id="12"/>
      <w:bookmarkEnd w:id="13"/>
      <w:bookmarkEnd w:id="14"/>
      <w:r w:rsidR="00456D50">
        <w:rPr>
          <w:rFonts w:ascii="Arial" w:eastAsia="Calibri" w:hAnsi="Arial" w:cs="Arial"/>
          <w:b/>
          <w:color w:val="auto"/>
          <w:szCs w:val="20"/>
        </w:rPr>
        <w:t xml:space="preserve"> </w:t>
      </w:r>
      <w:r w:rsidRPr="002840AB">
        <w:rPr>
          <w:rFonts w:ascii="Arial" w:eastAsia="Calibri" w:hAnsi="Arial" w:cs="Arial"/>
          <w:b/>
          <w:color w:val="auto"/>
          <w:szCs w:val="20"/>
        </w:rPr>
        <w:t>Cash-Flow jelentés</w:t>
      </w:r>
    </w:p>
    <w:p w14:paraId="46A47CAF" w14:textId="77777777" w:rsidR="00DF48CB" w:rsidRPr="002840AB" w:rsidRDefault="00DF48CB" w:rsidP="00D4514E">
      <w:pPr>
        <w:autoSpaceDE w:val="0"/>
        <w:autoSpaceDN w:val="0"/>
        <w:adjustRightInd w:val="0"/>
        <w:spacing w:line="240" w:lineRule="auto"/>
        <w:rPr>
          <w:rFonts w:ascii="Arial" w:eastAsia="Calibri" w:hAnsi="Arial" w:cs="Arial"/>
          <w:b/>
          <w:bCs/>
        </w:rPr>
      </w:pPr>
    </w:p>
    <w:p w14:paraId="2F501B85"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tábla a hitelintézet következő harminc napra vonatkozó likviditási pozícióját mutatja napi bontásban, valamint lehetővé teszi a hitelintézetek esetén a hitelintézetek rövidtávú likviditási helyzetének megítélését.</w:t>
      </w:r>
    </w:p>
    <w:p w14:paraId="2F3C7DE8"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3663EB0C" w14:textId="13C93032" w:rsidR="00110B53" w:rsidRPr="002840AB" w:rsidRDefault="00110B53" w:rsidP="00110B53">
      <w:pPr>
        <w:autoSpaceDE w:val="0"/>
        <w:autoSpaceDN w:val="0"/>
        <w:adjustRightInd w:val="0"/>
        <w:spacing w:after="0" w:line="240" w:lineRule="auto"/>
        <w:rPr>
          <w:rFonts w:ascii="Arial" w:eastAsia="Calibri" w:hAnsi="Arial" w:cs="Arial"/>
        </w:rPr>
      </w:pPr>
      <w:bookmarkStart w:id="18" w:name="_Hlk3387793"/>
      <w:r w:rsidRPr="002840AB">
        <w:rPr>
          <w:rFonts w:ascii="Arial" w:eastAsia="Calibri" w:hAnsi="Arial" w:cs="Arial"/>
        </w:rPr>
        <w:t xml:space="preserve">Az azonnali </w:t>
      </w:r>
      <w:r w:rsidR="00E323F8">
        <w:rPr>
          <w:rFonts w:ascii="Arial" w:eastAsia="Calibri" w:hAnsi="Arial" w:cs="Arial"/>
        </w:rPr>
        <w:t>elszámolás</w:t>
      </w:r>
      <w:r w:rsidRPr="002840AB">
        <w:rPr>
          <w:rFonts w:ascii="Arial" w:eastAsia="Calibri" w:hAnsi="Arial" w:cs="Arial"/>
        </w:rPr>
        <w:t xml:space="preserve"> keretében a napi zárást követően </w:t>
      </w:r>
      <w:r w:rsidR="002D5F85">
        <w:rPr>
          <w:rFonts w:ascii="Arial" w:eastAsia="Calibri" w:hAnsi="Arial" w:cs="Arial"/>
        </w:rPr>
        <w:t>lebonyolított</w:t>
      </w:r>
      <w:r w:rsidRPr="002840AB">
        <w:rPr>
          <w:rFonts w:ascii="Arial" w:eastAsia="Calibri" w:hAnsi="Arial" w:cs="Arial"/>
        </w:rPr>
        <w:t xml:space="preserve"> tranzakciókat a tárgynapot követő munkanapra vonatkozóan küldendő jelentésben kell szerepeltetni (a pénteki zárást követően elszámolt, illetve a szombati és a vasárnapi tranzakciókat a hétfői munkanapra vonatkozó jelentésben kell szerepeltetni, kedden).</w:t>
      </w:r>
    </w:p>
    <w:bookmarkEnd w:id="18"/>
    <w:p w14:paraId="0C265E21"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36F5DB0D" w14:textId="77777777" w:rsidR="00DF48CB" w:rsidRPr="002840AB" w:rsidRDefault="00DF48CB" w:rsidP="00D4514E">
      <w:pPr>
        <w:spacing w:after="0" w:line="240" w:lineRule="auto"/>
        <w:rPr>
          <w:rFonts w:ascii="Arial" w:hAnsi="Arial" w:cs="Arial"/>
        </w:rPr>
      </w:pPr>
      <w:r w:rsidRPr="002840AB">
        <w:rPr>
          <w:rFonts w:ascii="Arial" w:hAnsi="Arial" w:cs="Arial"/>
        </w:rPr>
        <w:t>Ha az adatszolgáltatás vonatkozási időpontja bankszünnapra esik, és azon a napon bármilyen ügylet lebonyolítására sor került, arra vonatkozóan az adatszolgáltatást minden esetben teljesíteni kell.</w:t>
      </w:r>
    </w:p>
    <w:p w14:paraId="10E14B01" w14:textId="77777777" w:rsidR="00DF48CB" w:rsidRPr="002840AB" w:rsidRDefault="00DF48CB" w:rsidP="00D4514E">
      <w:pPr>
        <w:spacing w:after="0" w:line="240" w:lineRule="auto"/>
        <w:rPr>
          <w:rFonts w:ascii="Arial" w:hAnsi="Arial" w:cs="Arial"/>
        </w:rPr>
      </w:pPr>
      <w:r w:rsidRPr="002840AB">
        <w:rPr>
          <w:rFonts w:ascii="Arial" w:hAnsi="Arial" w:cs="Arial"/>
        </w:rPr>
        <w:t>Ha az adatszolgáltatás vonatkozási időpontja bankszünnapra esik, de azon a napon ügyletkötés nem történt, akkor aznapra nemleges adatszolgáltatást kell beküldeni.</w:t>
      </w:r>
    </w:p>
    <w:p w14:paraId="2E073191" w14:textId="1FB7BA6F" w:rsidR="00DF48CB" w:rsidRPr="002840AB" w:rsidRDefault="00DF48CB" w:rsidP="00D4514E">
      <w:pPr>
        <w:spacing w:after="0" w:line="240" w:lineRule="auto"/>
        <w:rPr>
          <w:rFonts w:ascii="Arial" w:hAnsi="Arial" w:cs="Arial"/>
        </w:rPr>
      </w:pPr>
      <w:r w:rsidRPr="002840AB">
        <w:rPr>
          <w:rFonts w:ascii="Arial" w:hAnsi="Arial" w:cs="Arial"/>
        </w:rPr>
        <w:t>Ha az adatszolgáltatás teljesítési határideje bankszünnapra esik, és ezért az adatszolgáltató aznap adatszolgáltatást nem tud küldeni, akkor a bankszünnapon teljesítendő adatszolgáltatásokat a következő – nem bankszünnap – munkanapon kell határidőre teljesíteni.</w:t>
      </w:r>
    </w:p>
    <w:p w14:paraId="65055719" w14:textId="77777777" w:rsidR="00DF48CB" w:rsidRPr="002840AB" w:rsidRDefault="00DF48CB" w:rsidP="00D4514E">
      <w:pPr>
        <w:spacing w:after="0" w:line="240" w:lineRule="auto"/>
        <w:rPr>
          <w:rFonts w:ascii="Arial" w:hAnsi="Arial" w:cs="Arial"/>
          <w:b/>
          <w:snapToGrid w:val="0"/>
        </w:rPr>
      </w:pPr>
    </w:p>
    <w:p w14:paraId="18EB489B"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Az adatszolgáltatás fő </w:t>
      </w:r>
      <w:proofErr w:type="spellStart"/>
      <w:r w:rsidRPr="002840AB">
        <w:rPr>
          <w:rFonts w:ascii="Arial" w:eastAsia="Calibri" w:hAnsi="Arial" w:cs="Arial"/>
        </w:rPr>
        <w:t>devizanemenkénti</w:t>
      </w:r>
      <w:proofErr w:type="spellEnd"/>
      <w:r w:rsidRPr="002840AB">
        <w:rPr>
          <w:rFonts w:ascii="Arial" w:eastAsia="Calibri" w:hAnsi="Arial" w:cs="Arial"/>
        </w:rPr>
        <w:t xml:space="preserve"> bontásban tartalmazza az adatszolgáltatás teljesítésének napját megelőző vonatkozási nap (T nap) zárásig az adatszolgáltató saját nevében, saját kockázatára megkötött szerződések alapján a következő harminc napon be- és kiáramló tételeket, napi bontásban. Az adatszolgáltatás nem tartalmazza a jövőben tervezett, de még meg nem kötött ügyleteket.</w:t>
      </w:r>
    </w:p>
    <w:p w14:paraId="154D12B7" w14:textId="02CEF27D"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Az adatszolgáltatás csak a </w:t>
      </w:r>
      <w:proofErr w:type="spellStart"/>
      <w:r w:rsidRPr="002840AB">
        <w:rPr>
          <w:rFonts w:ascii="Arial" w:eastAsia="Calibri" w:hAnsi="Arial" w:cs="Arial"/>
        </w:rPr>
        <w:t>Treasury</w:t>
      </w:r>
      <w:proofErr w:type="spellEnd"/>
      <w:r w:rsidRPr="002840AB">
        <w:rPr>
          <w:rFonts w:ascii="Arial" w:eastAsia="Calibri" w:hAnsi="Arial" w:cs="Arial"/>
        </w:rPr>
        <w:t xml:space="preserve"> likviditási pozíciójához figyelembe vett tételeket tartalmazza, vagyis az ügyfélkihelyezések és -betétek miatti pénzmozgásokat – az egyes </w:t>
      </w:r>
      <w:proofErr w:type="spellStart"/>
      <w:r w:rsidRPr="002840AB">
        <w:rPr>
          <w:rFonts w:ascii="Arial" w:eastAsia="Calibri" w:hAnsi="Arial" w:cs="Arial"/>
        </w:rPr>
        <w:t>repóügyletek</w:t>
      </w:r>
      <w:proofErr w:type="spellEnd"/>
      <w:r w:rsidRPr="002840AB">
        <w:rPr>
          <w:rFonts w:ascii="Arial" w:eastAsia="Calibri" w:hAnsi="Arial" w:cs="Arial"/>
        </w:rPr>
        <w:t xml:space="preserve"> és nagybetétek kivételével – nem. Ennek megfelelően a kitöltés során figyelmen kívül kell hagyni az ügyfelek megbízásából kötött (értékesítés jellegű), és ezek fedezésére megkötött ellentétes irányú ügyleteket. Amennyiben erre az adatszolgáltató belső nyilvántartó rendszere nem képes, akkor mind az ügyféltételt, mind a fedezeti párját jelenteni kell, úgy</w:t>
      </w:r>
      <w:r w:rsidR="00C604FA" w:rsidRPr="002840AB">
        <w:rPr>
          <w:rFonts w:ascii="Arial" w:eastAsia="Calibri" w:hAnsi="Arial" w:cs="Arial"/>
        </w:rPr>
        <w:t>,</w:t>
      </w:r>
      <w:r w:rsidRPr="002840AB">
        <w:rPr>
          <w:rFonts w:ascii="Arial" w:eastAsia="Calibri" w:hAnsi="Arial" w:cs="Arial"/>
        </w:rPr>
        <w:t xml:space="preserve"> hogy azok nullára zárják egymást.</w:t>
      </w:r>
    </w:p>
    <w:p w14:paraId="48D3B6FE"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lastRenderedPageBreak/>
        <w:t>A cash-flow tételek nem tartalmazzák a leányvállalatokkal kötött szerződések alapján a következő harminc napon be- és kiáramló tételeket (ide nem értve az alapkezelőkkel kötött ügyleteket). Azonban az anyavállalattal és azok kapcsolt vállalkozásaival (ide nem értve az adatszolgáltató leányvállalatait) kötött ügyletekhez kapcsolódó pénzáramlások jelentendők.</w:t>
      </w:r>
    </w:p>
    <w:p w14:paraId="7D20172B"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cash-flow tételek a derivatív ügyletekkel kapcsolatos pótlólagos fedezetet biztosító letéti követelményszámlákon („margin számlák”) elhelyezett kihelyezésekhez kapcsolódó szerződés szerinti pénzmozgásokat nem tartalmazzák.</w:t>
      </w:r>
    </w:p>
    <w:p w14:paraId="5325D836"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munkaszüneti napokat követő jelentési napokon, a munkaszüneti napokon lejáró tételeket is a jelentési nap cash-flow-</w:t>
      </w:r>
      <w:proofErr w:type="spellStart"/>
      <w:r w:rsidRPr="002840AB">
        <w:rPr>
          <w:rFonts w:ascii="Arial" w:eastAsia="Calibri" w:hAnsi="Arial" w:cs="Arial"/>
        </w:rPr>
        <w:t>jában</w:t>
      </w:r>
      <w:proofErr w:type="spellEnd"/>
      <w:r w:rsidRPr="002840AB">
        <w:rPr>
          <w:rFonts w:ascii="Arial" w:eastAsia="Calibri" w:hAnsi="Arial" w:cs="Arial"/>
        </w:rPr>
        <w:t xml:space="preserve"> szükséges feltüntetni.</w:t>
      </w:r>
    </w:p>
    <w:p w14:paraId="6DE478BD"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külföldi devizában denominált tételek esetén az átszámítás árfolyama az adatszolgáltatás teljesítésének napját megelőző vonatkozási napi (T napi) hivatalos MNB devizaárfolyam.</w:t>
      </w:r>
    </w:p>
    <w:p w14:paraId="70F8E4CA"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táblák első oszlopában meghatározott 1. nap alatt az adatszolgáltatás teljesítésének napja (T+1. munkanap) értendő.</w:t>
      </w:r>
    </w:p>
    <w:p w14:paraId="176E1C96"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Az egyes oszlopokban csak az adott napon ki-, illetve beáramló tételeket, tehát nem kumulált állományokat kell jelenteni. A beáramló tételeket pozitív előjellel, míg a kiáramló tételeket negatív előjellel kell szerepeltetni.</w:t>
      </w:r>
    </w:p>
    <w:p w14:paraId="764B5C10"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4417CD25"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6025DDAE" w14:textId="77777777" w:rsidR="00DF48CB" w:rsidRPr="002840AB" w:rsidRDefault="00DF48CB" w:rsidP="00D4514E">
      <w:pPr>
        <w:spacing w:after="0" w:line="240" w:lineRule="auto"/>
        <w:rPr>
          <w:rFonts w:ascii="Arial" w:hAnsi="Arial" w:cs="Arial"/>
          <w:b/>
          <w:snapToGrid w:val="0"/>
        </w:rPr>
      </w:pPr>
      <w:r w:rsidRPr="002840AB">
        <w:rPr>
          <w:rFonts w:ascii="Arial" w:hAnsi="Arial" w:cs="Arial"/>
          <w:b/>
          <w:snapToGrid w:val="0"/>
        </w:rPr>
        <w:t>A tábla sorai</w:t>
      </w:r>
    </w:p>
    <w:p w14:paraId="27B642DD"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162FEC48" w14:textId="77777777" w:rsidR="00DF48CB" w:rsidRPr="002840AB" w:rsidRDefault="00DF48CB" w:rsidP="00110B53">
      <w:pPr>
        <w:pStyle w:val="Listaszerbekezds"/>
        <w:numPr>
          <w:ilvl w:val="0"/>
          <w:numId w:val="0"/>
        </w:numPr>
        <w:spacing w:after="0" w:line="240" w:lineRule="auto"/>
        <w:rPr>
          <w:rFonts w:ascii="Arial" w:eastAsia="Calibri" w:hAnsi="Arial" w:cs="Arial"/>
          <w:b/>
        </w:rPr>
      </w:pPr>
      <w:r w:rsidRPr="002840AB">
        <w:rPr>
          <w:rFonts w:ascii="Arial" w:eastAsia="Calibri" w:hAnsi="Arial" w:cs="Arial"/>
          <w:b/>
        </w:rPr>
        <w:t xml:space="preserve">Fő </w:t>
      </w:r>
      <w:proofErr w:type="spellStart"/>
      <w:r w:rsidRPr="002840AB">
        <w:rPr>
          <w:rFonts w:ascii="Arial" w:eastAsia="Calibri" w:hAnsi="Arial" w:cs="Arial"/>
          <w:b/>
        </w:rPr>
        <w:t>devizanemenként</w:t>
      </w:r>
      <w:proofErr w:type="spellEnd"/>
      <w:r w:rsidRPr="002840AB">
        <w:rPr>
          <w:rFonts w:ascii="Arial" w:eastAsia="Calibri" w:hAnsi="Arial" w:cs="Arial"/>
          <w:b/>
        </w:rPr>
        <w:t xml:space="preserve"> (1-HUF, 2-EUR, 3-USD, 4-CHF, 5-Egyéb deviza portfólió) ismétlődő sorok</w:t>
      </w:r>
    </w:p>
    <w:p w14:paraId="47885162"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53A70487" w14:textId="3DC0CBAA"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CASHFLOWX01</w:t>
      </w:r>
      <w:r w:rsidRPr="002840AB">
        <w:rPr>
          <w:rFonts w:ascii="Arial" w:eastAsia="Calibri" w:hAnsi="Arial" w:cs="Arial"/>
        </w:rPr>
        <w:t xml:space="preserve"> </w:t>
      </w:r>
      <w:r w:rsidRPr="002840AB">
        <w:rPr>
          <w:rFonts w:ascii="Arial" w:eastAsia="Calibri" w:hAnsi="Arial" w:cs="Arial"/>
          <w:b/>
        </w:rPr>
        <w:t>Bankközi Kihelyezés – Forrás</w:t>
      </w:r>
      <w:r w:rsidRPr="002840AB">
        <w:rPr>
          <w:rFonts w:ascii="Arial" w:eastAsia="Calibri" w:hAnsi="Arial" w:cs="Arial"/>
        </w:rPr>
        <w:t xml:space="preserve"> sorokon (ahol az „X” az adott devizához tartozó számot helyettesíti) kell kimutatni a megkötött szerződések alapján azon bankközi, illetve központi bank (beleértve az </w:t>
      </w:r>
      <w:proofErr w:type="spellStart"/>
      <w:r w:rsidRPr="002840AB">
        <w:rPr>
          <w:rFonts w:ascii="Arial" w:eastAsia="Calibri" w:hAnsi="Arial" w:cs="Arial"/>
        </w:rPr>
        <w:t>EKB</w:t>
      </w:r>
      <w:proofErr w:type="spellEnd"/>
      <w:r w:rsidRPr="002840AB">
        <w:rPr>
          <w:rFonts w:ascii="Arial" w:eastAsia="Calibri" w:hAnsi="Arial" w:cs="Arial"/>
        </w:rPr>
        <w:t xml:space="preserve">-t és az eurorendszer központi bankjait, nem beleértve az MNB-t) felé történő kihelyezéseket és az adatszolgáltatónál elhelyezett betéteket, bankközi forrásokat (beleértve az MNB-től, az </w:t>
      </w:r>
      <w:proofErr w:type="spellStart"/>
      <w:r w:rsidRPr="002840AB">
        <w:rPr>
          <w:rFonts w:ascii="Arial" w:eastAsia="Calibri" w:hAnsi="Arial" w:cs="Arial"/>
        </w:rPr>
        <w:t>EKB-tól</w:t>
      </w:r>
      <w:proofErr w:type="spellEnd"/>
      <w:r w:rsidRPr="002840AB">
        <w:rPr>
          <w:rFonts w:ascii="Arial" w:eastAsia="Calibri" w:hAnsi="Arial" w:cs="Arial"/>
        </w:rPr>
        <w:t xml:space="preserve"> és az eurorendszer központi bankjaitól származó forrásokat), amelyek értéknapja az adatszolgáltatás napja vagy az azt követő 29 nap. Az egynapos oszlopban kell jelenteni a nem a kötelező jegybanki tartalék teljesítésére szolgáló forint bankszámlák egyenlegeit is (a többi </w:t>
      </w:r>
      <w:proofErr w:type="spellStart"/>
      <w:r w:rsidRPr="002840AB">
        <w:rPr>
          <w:rFonts w:ascii="Arial" w:eastAsia="Calibri" w:hAnsi="Arial" w:cs="Arial"/>
        </w:rPr>
        <w:t>nostro</w:t>
      </w:r>
      <w:proofErr w:type="spellEnd"/>
      <w:r w:rsidRPr="002840AB">
        <w:rPr>
          <w:rFonts w:ascii="Arial" w:eastAsia="Calibri" w:hAnsi="Arial" w:cs="Arial"/>
        </w:rPr>
        <w:t xml:space="preserve"> számla egyenlegét a CASHFLOW701-es blokkban kell jelenteni).</w:t>
      </w:r>
    </w:p>
    <w:p w14:paraId="49658669"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56E23C0A" w14:textId="632D1B8D"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CASHFLOWX02</w:t>
      </w:r>
      <w:r w:rsidRPr="002840AB">
        <w:rPr>
          <w:rFonts w:ascii="Arial" w:eastAsia="Calibri" w:hAnsi="Arial" w:cs="Arial"/>
        </w:rPr>
        <w:t xml:space="preserve"> </w:t>
      </w:r>
      <w:r w:rsidRPr="002840AB">
        <w:rPr>
          <w:rFonts w:ascii="Arial" w:eastAsia="Calibri" w:hAnsi="Arial" w:cs="Arial"/>
          <w:b/>
        </w:rPr>
        <w:t>MNB betét</w:t>
      </w:r>
      <w:r w:rsidRPr="002840AB">
        <w:rPr>
          <w:rFonts w:ascii="Arial" w:eastAsia="Calibri" w:hAnsi="Arial" w:cs="Arial"/>
        </w:rPr>
        <w:t xml:space="preserve"> sor tartalmazza az MNB-vel szembeni követeléseket (</w:t>
      </w:r>
      <w:proofErr w:type="spellStart"/>
      <w:r w:rsidRPr="002840AB">
        <w:rPr>
          <w:rFonts w:ascii="Arial" w:eastAsia="Calibri" w:hAnsi="Arial" w:cs="Arial"/>
        </w:rPr>
        <w:t>overnight</w:t>
      </w:r>
      <w:proofErr w:type="spellEnd"/>
      <w:r w:rsidRPr="002840AB">
        <w:rPr>
          <w:rFonts w:ascii="Arial" w:eastAsia="Calibri" w:hAnsi="Arial" w:cs="Arial"/>
        </w:rPr>
        <w:t xml:space="preserve"> betétet is).</w:t>
      </w:r>
      <w:r w:rsidR="00435D88" w:rsidRPr="002840AB">
        <w:rPr>
          <w:rFonts w:ascii="Arial" w:eastAsia="Calibri" w:hAnsi="Arial" w:cs="Arial"/>
        </w:rPr>
        <w:t xml:space="preserve"> </w:t>
      </w:r>
      <w:r w:rsidRPr="002840AB">
        <w:rPr>
          <w:rFonts w:ascii="Arial" w:eastAsia="Calibri" w:hAnsi="Arial" w:cs="Arial"/>
        </w:rPr>
        <w:t>A betételhelyezés és a lejárat értéknapjának megfelelő oszlopokban kell szerepeltetni a cash-flow tételeket.</w:t>
      </w:r>
    </w:p>
    <w:p w14:paraId="402639ED"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15892153"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CASHFLOWX03</w:t>
      </w:r>
      <w:r w:rsidRPr="002840AB">
        <w:rPr>
          <w:rFonts w:ascii="Arial" w:eastAsia="Calibri" w:hAnsi="Arial" w:cs="Arial"/>
        </w:rPr>
        <w:t xml:space="preserve"> </w:t>
      </w:r>
      <w:proofErr w:type="spellStart"/>
      <w:r w:rsidRPr="002840AB">
        <w:rPr>
          <w:rFonts w:ascii="Arial" w:eastAsia="Calibri" w:hAnsi="Arial" w:cs="Arial"/>
          <w:b/>
        </w:rPr>
        <w:t>Repó</w:t>
      </w:r>
      <w:proofErr w:type="spellEnd"/>
      <w:r w:rsidRPr="002840AB">
        <w:rPr>
          <w:rFonts w:ascii="Arial" w:eastAsia="Calibri" w:hAnsi="Arial" w:cs="Arial"/>
          <w:b/>
        </w:rPr>
        <w:t xml:space="preserve"> Aktív-Passzív</w:t>
      </w:r>
      <w:r w:rsidRPr="002840AB">
        <w:rPr>
          <w:rFonts w:ascii="Arial" w:eastAsia="Calibri" w:hAnsi="Arial" w:cs="Arial"/>
        </w:rPr>
        <w:t xml:space="preserve"> sorokon kell szerepeltetni a szerződés értéknapján és lejárati napján a bankközi és ügyfél-</w:t>
      </w:r>
      <w:proofErr w:type="spellStart"/>
      <w:r w:rsidRPr="002840AB">
        <w:rPr>
          <w:rFonts w:ascii="Arial" w:eastAsia="Calibri" w:hAnsi="Arial" w:cs="Arial"/>
        </w:rPr>
        <w:t>repószerződések</w:t>
      </w:r>
      <w:proofErr w:type="spellEnd"/>
      <w:r w:rsidRPr="002840AB">
        <w:rPr>
          <w:rFonts w:ascii="Arial" w:eastAsia="Calibri" w:hAnsi="Arial" w:cs="Arial"/>
        </w:rPr>
        <w:t xml:space="preserve"> alapján ki és beáramló forrásokat. (Mind az aktív, mind a passzív </w:t>
      </w:r>
      <w:proofErr w:type="spellStart"/>
      <w:r w:rsidRPr="002840AB">
        <w:rPr>
          <w:rFonts w:ascii="Arial" w:eastAsia="Calibri" w:hAnsi="Arial" w:cs="Arial"/>
        </w:rPr>
        <w:t>repó</w:t>
      </w:r>
      <w:proofErr w:type="spellEnd"/>
      <w:r w:rsidRPr="002840AB">
        <w:rPr>
          <w:rFonts w:ascii="Arial" w:eastAsia="Calibri" w:hAnsi="Arial" w:cs="Arial"/>
        </w:rPr>
        <w:t xml:space="preserve"> sorokon szerepelhetnek negatív és pozitív értékek is attól függően, hogy pénzbeáramlásról vagy kiáramlásról van-e szó.) Itt szükséges megjeleníteni az MNB-vel kötött O/N vagy annál hosszabb fedezett hitelügyletek lejáró összegét, illetve az ügylet kezdetekor beérkező összeget.</w:t>
      </w:r>
    </w:p>
    <w:p w14:paraId="48D03A07"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774F0651"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CASHFLOWX04</w:t>
      </w:r>
      <w:r w:rsidRPr="002840AB">
        <w:rPr>
          <w:rFonts w:ascii="Arial" w:eastAsia="Calibri" w:hAnsi="Arial" w:cs="Arial"/>
        </w:rPr>
        <w:t xml:space="preserve"> </w:t>
      </w:r>
      <w:r w:rsidRPr="002840AB">
        <w:rPr>
          <w:rFonts w:ascii="Arial" w:eastAsia="Calibri" w:hAnsi="Arial" w:cs="Arial"/>
          <w:b/>
        </w:rPr>
        <w:t>Értékpapírok</w:t>
      </w:r>
      <w:r w:rsidRPr="002840AB">
        <w:rPr>
          <w:rFonts w:ascii="Arial" w:eastAsia="Calibri" w:hAnsi="Arial" w:cs="Arial"/>
        </w:rPr>
        <w:t xml:space="preserve"> soron mind a kereskedési, mind a befektetési portfolióhoz kapcsolódó pénzáramlásokat jelenteni kell. Ezen a soron jelentendők az értékpapír vételi és eladási ügyletekből származó pénzáramok, a tőketörlesztés és a kamatfizetés. A saját kibocsátású értékpapírokhoz kapcsolódó pénzáramlások nem szerepeltetendők.</w:t>
      </w:r>
    </w:p>
    <w:p w14:paraId="2DB24138"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2A7CDB7C"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CASHFLOWX05</w:t>
      </w:r>
      <w:r w:rsidRPr="002840AB">
        <w:rPr>
          <w:rFonts w:ascii="Arial" w:eastAsia="Calibri" w:hAnsi="Arial" w:cs="Arial"/>
        </w:rPr>
        <w:t xml:space="preserve"> </w:t>
      </w:r>
      <w:r w:rsidRPr="002840AB">
        <w:rPr>
          <w:rFonts w:ascii="Arial" w:eastAsia="Calibri" w:hAnsi="Arial" w:cs="Arial"/>
          <w:b/>
        </w:rPr>
        <w:t>Nagy betétek</w:t>
      </w:r>
      <w:r w:rsidRPr="002840AB">
        <w:rPr>
          <w:rFonts w:ascii="Arial" w:eastAsia="Calibri" w:hAnsi="Arial" w:cs="Arial"/>
        </w:rPr>
        <w:t xml:space="preserve"> soron az egyedi ügyfelekkel kötött szerződések alapján történő, </w:t>
      </w:r>
      <w:proofErr w:type="spellStart"/>
      <w:r w:rsidRPr="002840AB">
        <w:rPr>
          <w:rFonts w:ascii="Arial" w:eastAsia="Calibri" w:hAnsi="Arial" w:cs="Arial"/>
        </w:rPr>
        <w:t>ügyletenként</w:t>
      </w:r>
      <w:proofErr w:type="spellEnd"/>
      <w:r w:rsidRPr="002840AB">
        <w:rPr>
          <w:rFonts w:ascii="Arial" w:eastAsia="Calibri" w:hAnsi="Arial" w:cs="Arial"/>
        </w:rPr>
        <w:t xml:space="preserve"> 5 milliárd forint feletti betételhelyezéseket, illetve lejáró betétek állományát kell szerepeltetni (előjelhelyesen).</w:t>
      </w:r>
    </w:p>
    <w:p w14:paraId="12FCEB3B" w14:textId="77777777" w:rsidR="00DF48CB" w:rsidRPr="002840AB" w:rsidRDefault="00DF48CB" w:rsidP="00D4514E">
      <w:pPr>
        <w:autoSpaceDE w:val="0"/>
        <w:autoSpaceDN w:val="0"/>
        <w:adjustRightInd w:val="0"/>
        <w:spacing w:after="0" w:line="240" w:lineRule="auto"/>
        <w:rPr>
          <w:rFonts w:ascii="Arial" w:eastAsia="Calibri" w:hAnsi="Arial" w:cs="Arial"/>
          <w:u w:val="single"/>
        </w:rPr>
      </w:pPr>
    </w:p>
    <w:p w14:paraId="0BD8FF58"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CASHFLOWX06</w:t>
      </w:r>
      <w:r w:rsidRPr="002840AB">
        <w:rPr>
          <w:rFonts w:ascii="Arial" w:eastAsia="Calibri" w:hAnsi="Arial" w:cs="Arial"/>
        </w:rPr>
        <w:t xml:space="preserve"> </w:t>
      </w:r>
      <w:r w:rsidRPr="002840AB">
        <w:rPr>
          <w:rFonts w:ascii="Arial" w:eastAsia="Calibri" w:hAnsi="Arial" w:cs="Arial"/>
          <w:b/>
        </w:rPr>
        <w:t>Spot üzletek</w:t>
      </w:r>
      <w:r w:rsidRPr="002840AB">
        <w:rPr>
          <w:rFonts w:ascii="Arial" w:eastAsia="Calibri" w:hAnsi="Arial" w:cs="Arial"/>
        </w:rPr>
        <w:t xml:space="preserve"> soron a megkötött, de még el nem számolt azonnali devizaügyletek miatti pénzáramlásokat kell szerepeltetni. A valutapénztárral kapcsolatos pénzáramlásokat nem kell jelenteni.</w:t>
      </w:r>
    </w:p>
    <w:p w14:paraId="1EC87C55"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0C56868C"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CASHFLOWX07</w:t>
      </w:r>
      <w:r w:rsidRPr="002840AB">
        <w:rPr>
          <w:rFonts w:ascii="Arial" w:eastAsia="Calibri" w:hAnsi="Arial" w:cs="Arial"/>
        </w:rPr>
        <w:t xml:space="preserve"> </w:t>
      </w:r>
      <w:proofErr w:type="spellStart"/>
      <w:r w:rsidRPr="002840AB">
        <w:rPr>
          <w:rFonts w:ascii="Arial" w:eastAsia="Calibri" w:hAnsi="Arial" w:cs="Arial"/>
          <w:b/>
        </w:rPr>
        <w:t>FX</w:t>
      </w:r>
      <w:proofErr w:type="spellEnd"/>
      <w:r w:rsidRPr="002840AB">
        <w:rPr>
          <w:rFonts w:ascii="Arial" w:eastAsia="Calibri" w:hAnsi="Arial" w:cs="Arial"/>
          <w:b/>
        </w:rPr>
        <w:t xml:space="preserve"> </w:t>
      </w:r>
      <w:proofErr w:type="spellStart"/>
      <w:r w:rsidRPr="002840AB">
        <w:rPr>
          <w:rFonts w:ascii="Arial" w:eastAsia="Calibri" w:hAnsi="Arial" w:cs="Arial"/>
          <w:b/>
        </w:rPr>
        <w:t>swap</w:t>
      </w:r>
      <w:proofErr w:type="spellEnd"/>
      <w:r w:rsidRPr="002840AB">
        <w:rPr>
          <w:rFonts w:ascii="Arial" w:eastAsia="Calibri" w:hAnsi="Arial" w:cs="Arial"/>
        </w:rPr>
        <w:t xml:space="preserve"> soron a megkötött deviza </w:t>
      </w:r>
      <w:proofErr w:type="spellStart"/>
      <w:r w:rsidRPr="002840AB">
        <w:rPr>
          <w:rFonts w:ascii="Arial" w:eastAsia="Calibri" w:hAnsi="Arial" w:cs="Arial"/>
        </w:rPr>
        <w:t>swap</w:t>
      </w:r>
      <w:proofErr w:type="spellEnd"/>
      <w:r w:rsidRPr="002840AB">
        <w:rPr>
          <w:rFonts w:ascii="Arial" w:eastAsia="Calibri" w:hAnsi="Arial" w:cs="Arial"/>
        </w:rPr>
        <w:t xml:space="preserve"> ügyletek miatt jelentkező pénzáramlásokat kell kimutatni, beleértve az ügyletek azonnali, még nem elszámolt lábait és a határidős lábakat is. A külföldi devizában történő pénzáramlásokat mindig az adatszolgáltatás teljesítésének napját megelőző vonatkozási napi (T napi) hivatalos MNB devizaárfolyamon kell jelenteni, vagyis a határidős lábak napi értékelése szükséges.</w:t>
      </w:r>
    </w:p>
    <w:p w14:paraId="6E746F24"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03D8A075"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CASHFLOWX08</w:t>
      </w:r>
      <w:r w:rsidRPr="002840AB">
        <w:rPr>
          <w:rFonts w:ascii="Arial" w:eastAsia="Calibri" w:hAnsi="Arial" w:cs="Arial"/>
        </w:rPr>
        <w:t xml:space="preserve"> </w:t>
      </w:r>
      <w:proofErr w:type="spellStart"/>
      <w:r w:rsidRPr="002840AB">
        <w:rPr>
          <w:rFonts w:ascii="Arial" w:eastAsia="Calibri" w:hAnsi="Arial" w:cs="Arial"/>
          <w:b/>
        </w:rPr>
        <w:t>Kamatswap</w:t>
      </w:r>
      <w:proofErr w:type="spellEnd"/>
      <w:r w:rsidRPr="002840AB">
        <w:rPr>
          <w:rFonts w:ascii="Arial" w:eastAsia="Calibri" w:hAnsi="Arial" w:cs="Arial"/>
          <w:b/>
        </w:rPr>
        <w:t xml:space="preserve"> és </w:t>
      </w:r>
      <w:proofErr w:type="spellStart"/>
      <w:r w:rsidRPr="002840AB">
        <w:rPr>
          <w:rFonts w:ascii="Arial" w:eastAsia="Calibri" w:hAnsi="Arial" w:cs="Arial"/>
          <w:b/>
        </w:rPr>
        <w:t>cross-currency</w:t>
      </w:r>
      <w:proofErr w:type="spellEnd"/>
      <w:r w:rsidRPr="002840AB">
        <w:rPr>
          <w:rFonts w:ascii="Arial" w:eastAsia="Calibri" w:hAnsi="Arial" w:cs="Arial"/>
          <w:b/>
        </w:rPr>
        <w:t xml:space="preserve"> </w:t>
      </w:r>
      <w:proofErr w:type="spellStart"/>
      <w:r w:rsidRPr="002840AB">
        <w:rPr>
          <w:rFonts w:ascii="Arial" w:eastAsia="Calibri" w:hAnsi="Arial" w:cs="Arial"/>
          <w:b/>
        </w:rPr>
        <w:t>swap</w:t>
      </w:r>
      <w:proofErr w:type="spellEnd"/>
      <w:r w:rsidRPr="002840AB">
        <w:rPr>
          <w:rFonts w:ascii="Arial" w:eastAsia="Calibri" w:hAnsi="Arial" w:cs="Arial"/>
          <w:b/>
        </w:rPr>
        <w:t xml:space="preserve"> ügyletek</w:t>
      </w:r>
      <w:r w:rsidRPr="002840AB">
        <w:rPr>
          <w:rFonts w:ascii="Arial" w:eastAsia="Calibri" w:hAnsi="Arial" w:cs="Arial"/>
        </w:rPr>
        <w:t xml:space="preserve"> soron a megkötött </w:t>
      </w:r>
      <w:proofErr w:type="spellStart"/>
      <w:r w:rsidRPr="002840AB">
        <w:rPr>
          <w:rFonts w:ascii="Arial" w:eastAsia="Calibri" w:hAnsi="Arial" w:cs="Arial"/>
        </w:rPr>
        <w:t>FRA</w:t>
      </w:r>
      <w:proofErr w:type="spellEnd"/>
      <w:r w:rsidRPr="002840AB">
        <w:rPr>
          <w:rFonts w:ascii="Arial" w:eastAsia="Calibri" w:hAnsi="Arial" w:cs="Arial"/>
        </w:rPr>
        <w:t xml:space="preserve">, </w:t>
      </w:r>
      <w:proofErr w:type="spellStart"/>
      <w:r w:rsidRPr="002840AB">
        <w:rPr>
          <w:rFonts w:ascii="Arial" w:eastAsia="Calibri" w:hAnsi="Arial" w:cs="Arial"/>
        </w:rPr>
        <w:t>kamatswap</w:t>
      </w:r>
      <w:proofErr w:type="spellEnd"/>
      <w:r w:rsidRPr="002840AB">
        <w:rPr>
          <w:rFonts w:ascii="Arial" w:eastAsia="Calibri" w:hAnsi="Arial" w:cs="Arial"/>
        </w:rPr>
        <w:t xml:space="preserve"> és </w:t>
      </w:r>
      <w:proofErr w:type="spellStart"/>
      <w:r w:rsidRPr="002840AB">
        <w:rPr>
          <w:rFonts w:ascii="Arial" w:eastAsia="Calibri" w:hAnsi="Arial" w:cs="Arial"/>
        </w:rPr>
        <w:t>cross-currency</w:t>
      </w:r>
      <w:proofErr w:type="spellEnd"/>
      <w:r w:rsidRPr="002840AB">
        <w:rPr>
          <w:rFonts w:ascii="Arial" w:eastAsia="Calibri" w:hAnsi="Arial" w:cs="Arial"/>
        </w:rPr>
        <w:t xml:space="preserve"> </w:t>
      </w:r>
      <w:proofErr w:type="spellStart"/>
      <w:r w:rsidRPr="002840AB">
        <w:rPr>
          <w:rFonts w:ascii="Arial" w:eastAsia="Calibri" w:hAnsi="Arial" w:cs="Arial"/>
        </w:rPr>
        <w:t>swap</w:t>
      </w:r>
      <w:proofErr w:type="spellEnd"/>
      <w:r w:rsidRPr="002840AB">
        <w:rPr>
          <w:rFonts w:ascii="Arial" w:eastAsia="Calibri" w:hAnsi="Arial" w:cs="Arial"/>
        </w:rPr>
        <w:t xml:space="preserve"> ügyletek miatti tőke- és kamatelszámolásokat kell szerepeltetni.</w:t>
      </w:r>
    </w:p>
    <w:p w14:paraId="28905D08"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454DBC0B"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lastRenderedPageBreak/>
        <w:t xml:space="preserve">A </w:t>
      </w:r>
      <w:r w:rsidRPr="002840AB">
        <w:rPr>
          <w:rFonts w:ascii="Arial" w:eastAsia="Calibri" w:hAnsi="Arial" w:cs="Arial"/>
          <w:b/>
        </w:rPr>
        <w:t>CASHFLOWX09</w:t>
      </w:r>
      <w:r w:rsidRPr="002840AB">
        <w:rPr>
          <w:rFonts w:ascii="Arial" w:eastAsia="Calibri" w:hAnsi="Arial" w:cs="Arial"/>
        </w:rPr>
        <w:t xml:space="preserve"> </w:t>
      </w:r>
      <w:proofErr w:type="spellStart"/>
      <w:r w:rsidRPr="002840AB">
        <w:rPr>
          <w:rFonts w:ascii="Arial" w:eastAsia="Calibri" w:hAnsi="Arial" w:cs="Arial"/>
          <w:b/>
        </w:rPr>
        <w:t>Outright</w:t>
      </w:r>
      <w:proofErr w:type="spellEnd"/>
      <w:r w:rsidRPr="002840AB">
        <w:rPr>
          <w:rFonts w:ascii="Arial" w:eastAsia="Calibri" w:hAnsi="Arial" w:cs="Arial"/>
          <w:b/>
        </w:rPr>
        <w:t xml:space="preserve"> határidős deviza ügyletek</w:t>
      </w:r>
      <w:r w:rsidRPr="002840AB">
        <w:rPr>
          <w:rFonts w:ascii="Arial" w:eastAsia="Calibri" w:hAnsi="Arial" w:cs="Arial"/>
        </w:rPr>
        <w:t xml:space="preserve"> soron a megkötött határidős devizaügyletek miatti elszámolásokat kell feltüntetni.</w:t>
      </w:r>
    </w:p>
    <w:p w14:paraId="5233DE6B"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2AE88258"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 xml:space="preserve">CASHFLOWX10 Portfolió </w:t>
      </w:r>
      <w:proofErr w:type="spellStart"/>
      <w:r w:rsidRPr="002840AB">
        <w:rPr>
          <w:rFonts w:ascii="Arial" w:eastAsia="Calibri" w:hAnsi="Arial" w:cs="Arial"/>
          <w:b/>
        </w:rPr>
        <w:t>Gap</w:t>
      </w:r>
      <w:proofErr w:type="spellEnd"/>
      <w:r w:rsidRPr="002840AB">
        <w:rPr>
          <w:rFonts w:ascii="Arial" w:eastAsia="Calibri" w:hAnsi="Arial" w:cs="Arial"/>
        </w:rPr>
        <w:t xml:space="preserve"> sor az adott devizanemben kitöltött táblarész záró sora, amelyben a napi ki- és beáramló tételek egyenlegét kell meghatározni.</w:t>
      </w:r>
    </w:p>
    <w:p w14:paraId="34DD2AC8"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23BF1911"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753175EB" w14:textId="77777777" w:rsidR="00DF48CB" w:rsidRPr="002840AB" w:rsidRDefault="00DF48CB" w:rsidP="00D4514E">
      <w:pPr>
        <w:spacing w:after="0" w:line="240" w:lineRule="auto"/>
        <w:rPr>
          <w:rFonts w:ascii="Arial" w:eastAsia="Calibri" w:hAnsi="Arial" w:cs="Arial"/>
          <w:b/>
        </w:rPr>
      </w:pPr>
      <w:bookmarkStart w:id="19" w:name="_Hlk519156145"/>
      <w:r w:rsidRPr="002840AB">
        <w:rPr>
          <w:rFonts w:ascii="Arial" w:eastAsia="Calibri" w:hAnsi="Arial" w:cs="Arial"/>
          <w:b/>
        </w:rPr>
        <w:t>Kiegészítő információk</w:t>
      </w:r>
    </w:p>
    <w:p w14:paraId="0585A2EC" w14:textId="77777777" w:rsidR="00DF48CB" w:rsidRPr="002840AB" w:rsidRDefault="00DF48CB" w:rsidP="00D4514E">
      <w:pPr>
        <w:spacing w:after="0" w:line="240" w:lineRule="auto"/>
        <w:ind w:left="-76"/>
        <w:rPr>
          <w:rFonts w:ascii="Arial" w:eastAsia="Calibri" w:hAnsi="Arial" w:cs="Arial"/>
          <w:b/>
        </w:rPr>
      </w:pPr>
    </w:p>
    <w:p w14:paraId="72C7F699"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 xml:space="preserve">CASHFLOW701 </w:t>
      </w:r>
      <w:proofErr w:type="spellStart"/>
      <w:r w:rsidRPr="002840AB">
        <w:rPr>
          <w:rFonts w:ascii="Arial" w:eastAsia="Calibri" w:hAnsi="Arial" w:cs="Arial"/>
          <w:b/>
        </w:rPr>
        <w:t>Nostro</w:t>
      </w:r>
      <w:proofErr w:type="spellEnd"/>
      <w:r w:rsidRPr="002840AB">
        <w:rPr>
          <w:rFonts w:ascii="Arial" w:eastAsia="Calibri" w:hAnsi="Arial" w:cs="Arial"/>
          <w:b/>
        </w:rPr>
        <w:t xml:space="preserve"> számlaállományok</w:t>
      </w:r>
      <w:r w:rsidRPr="002840AB">
        <w:rPr>
          <w:rFonts w:ascii="Arial" w:eastAsia="Calibri" w:hAnsi="Arial" w:cs="Arial"/>
        </w:rPr>
        <w:t xml:space="preserve"> soron </w:t>
      </w:r>
      <w:proofErr w:type="spellStart"/>
      <w:r w:rsidRPr="002840AB">
        <w:rPr>
          <w:rFonts w:ascii="Arial" w:eastAsia="Calibri" w:hAnsi="Arial" w:cs="Arial"/>
        </w:rPr>
        <w:t>devizanemenként</w:t>
      </w:r>
      <w:proofErr w:type="spellEnd"/>
      <w:r w:rsidRPr="002840AB">
        <w:rPr>
          <w:rFonts w:ascii="Arial" w:eastAsia="Calibri" w:hAnsi="Arial" w:cs="Arial"/>
        </w:rPr>
        <w:t xml:space="preserve"> kell megadni a </w:t>
      </w:r>
      <w:proofErr w:type="spellStart"/>
      <w:r w:rsidRPr="002840AB">
        <w:rPr>
          <w:rFonts w:ascii="Arial" w:eastAsia="Calibri" w:hAnsi="Arial" w:cs="Arial"/>
        </w:rPr>
        <w:t>nostro</w:t>
      </w:r>
      <w:proofErr w:type="spellEnd"/>
      <w:r w:rsidRPr="002840AB">
        <w:rPr>
          <w:rFonts w:ascii="Arial" w:eastAsia="Calibri" w:hAnsi="Arial" w:cs="Arial"/>
        </w:rPr>
        <w:t xml:space="preserve"> számlaállományoknak az adatszolgáltatás teljesítésének napját megelőző vonatkozási napi (T napi) záró-állományát. A külföldi devizák esetén az átszámítás árfolyama az adatszolgáltatás napját megelőző vonatkozási napi (T napi) hivatalos MNB devizaárfolyam.  A nem a kötelező jegybanki tartalék teljesítésére szolgáló forint bankszámlák egyenlegét a CASHFLOW 101 blokkban kell jelenteni.</w:t>
      </w:r>
    </w:p>
    <w:p w14:paraId="7C4C34A1"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128BF7CE"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 xml:space="preserve">CASHFLOW702 MNB által, monetáris politikai ügyletek keretében elfogadható </w:t>
      </w:r>
      <w:proofErr w:type="spellStart"/>
      <w:r w:rsidRPr="002840AB">
        <w:rPr>
          <w:rFonts w:ascii="Arial" w:eastAsia="Calibri" w:hAnsi="Arial" w:cs="Arial"/>
          <w:b/>
        </w:rPr>
        <w:t>fedezetek</w:t>
      </w:r>
      <w:proofErr w:type="spellEnd"/>
      <w:r w:rsidRPr="002840AB">
        <w:rPr>
          <w:rFonts w:ascii="Arial" w:eastAsia="Calibri" w:hAnsi="Arial" w:cs="Arial"/>
        </w:rPr>
        <w:t xml:space="preserve"> soron az MNB monetáris politikai műveletei során felajánlható értékpapírok befogadási értékét kell megadni. Az e soron megadandó érték nem foglalja magában az MNB-n kívüli partnerek javára zárolt állományokat és az MNB javára O/N ügyleteknél hosszabb lejáratú hitelek fedezeteként zárolt értékpapírokat. A pénzforgalom fedezetére, az MNB javára limitként zárolt, de ki nem használt állományt szerepeltetni kell. A tábla első oszlopában az adatszolgáltatás vonatkozási napján felajánlható </w:t>
      </w:r>
      <w:proofErr w:type="spellStart"/>
      <w:r w:rsidRPr="002840AB">
        <w:rPr>
          <w:rFonts w:ascii="Arial" w:eastAsia="Calibri" w:hAnsi="Arial" w:cs="Arial"/>
        </w:rPr>
        <w:t>fedezetek</w:t>
      </w:r>
      <w:proofErr w:type="spellEnd"/>
      <w:r w:rsidRPr="002840AB">
        <w:rPr>
          <w:rFonts w:ascii="Arial" w:eastAsia="Calibri" w:hAnsi="Arial" w:cs="Arial"/>
        </w:rPr>
        <w:t xml:space="preserve"> befogadási értékét, továbbá az első napon szerződés szerint bekövetkező változásokat (pl. </w:t>
      </w:r>
      <w:proofErr w:type="spellStart"/>
      <w:r w:rsidRPr="002840AB">
        <w:rPr>
          <w:rFonts w:ascii="Arial" w:eastAsia="Calibri" w:hAnsi="Arial" w:cs="Arial"/>
        </w:rPr>
        <w:t>repóügyletek</w:t>
      </w:r>
      <w:proofErr w:type="spellEnd"/>
      <w:r w:rsidRPr="002840AB">
        <w:rPr>
          <w:rFonts w:ascii="Arial" w:eastAsia="Calibri" w:hAnsi="Arial" w:cs="Arial"/>
        </w:rPr>
        <w:t xml:space="preserve"> lejárata miatti felszabadítás, értékpapír-lejárat), a további oszlopokban pedig csak a változásokat kell jelenteni. Az e soron szereplő tételek nem tartalmazzák az </w:t>
      </w:r>
      <w:proofErr w:type="spellStart"/>
      <w:r w:rsidRPr="002840AB">
        <w:rPr>
          <w:rFonts w:ascii="Arial" w:eastAsia="Calibri" w:hAnsi="Arial" w:cs="Arial"/>
        </w:rPr>
        <w:t>EKB</w:t>
      </w:r>
      <w:proofErr w:type="spellEnd"/>
      <w:r w:rsidRPr="002840AB">
        <w:rPr>
          <w:rFonts w:ascii="Arial" w:eastAsia="Calibri" w:hAnsi="Arial" w:cs="Arial"/>
        </w:rPr>
        <w:t xml:space="preserve">, illetve az eurorendszer központi bankjai által, monetáris politikai ügyletek keretében elfogadható értékpapírok állományát (a </w:t>
      </w:r>
      <w:r w:rsidRPr="002840AB">
        <w:rPr>
          <w:rFonts w:ascii="Arial" w:hAnsi="Arial" w:cs="Arial"/>
        </w:rPr>
        <w:t xml:space="preserve">CASHFLOW702 és CASHFLOW708 sorokhoz kapcsolódóan az MNB által elfogadható </w:t>
      </w:r>
      <w:proofErr w:type="spellStart"/>
      <w:r w:rsidRPr="002840AB">
        <w:rPr>
          <w:rFonts w:ascii="Arial" w:hAnsi="Arial" w:cs="Arial"/>
        </w:rPr>
        <w:t>fedezetek</w:t>
      </w:r>
      <w:proofErr w:type="spellEnd"/>
      <w:r w:rsidRPr="002840AB">
        <w:rPr>
          <w:rFonts w:ascii="Arial" w:hAnsi="Arial" w:cs="Arial"/>
        </w:rPr>
        <w:t xml:space="preserve"> köre és befogadási értékeik megtalálhatóak a </w:t>
      </w:r>
      <w:hyperlink r:id="rId8" w:history="1">
        <w:r w:rsidRPr="002840AB">
          <w:rPr>
            <w:rStyle w:val="Hiperhivatkozs"/>
            <w:rFonts w:ascii="Arial" w:hAnsi="Arial" w:cs="Arial"/>
            <w:color w:val="auto"/>
            <w:vertAlign w:val="baseline"/>
          </w:rPr>
          <w:t>http://www.mnb.hu/monetaris-politika/a-monetaris-politikai-eszkoztar/fedezetertekeles</w:t>
        </w:r>
      </w:hyperlink>
      <w:r w:rsidRPr="002840AB">
        <w:rPr>
          <w:rFonts w:ascii="Arial" w:hAnsi="Arial" w:cs="Arial"/>
        </w:rPr>
        <w:t xml:space="preserve"> oldalon)</w:t>
      </w:r>
      <w:r w:rsidRPr="002840AB">
        <w:rPr>
          <w:rFonts w:ascii="Arial" w:eastAsia="Calibri" w:hAnsi="Arial" w:cs="Arial"/>
        </w:rPr>
        <w:t>.</w:t>
      </w:r>
    </w:p>
    <w:p w14:paraId="1EAE624B"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22FDA386"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CASHFLOW703</w:t>
      </w:r>
      <w:r w:rsidRPr="002840AB">
        <w:rPr>
          <w:rFonts w:ascii="Arial" w:eastAsia="Calibri" w:hAnsi="Arial" w:cs="Arial"/>
        </w:rPr>
        <w:t xml:space="preserve"> </w:t>
      </w:r>
      <w:r w:rsidRPr="002840AB">
        <w:rPr>
          <w:rFonts w:ascii="Arial" w:eastAsia="Calibri" w:hAnsi="Arial" w:cs="Arial"/>
          <w:b/>
        </w:rPr>
        <w:t>Stand-</w:t>
      </w:r>
      <w:proofErr w:type="spellStart"/>
      <w:r w:rsidRPr="002840AB">
        <w:rPr>
          <w:rFonts w:ascii="Arial" w:eastAsia="Calibri" w:hAnsi="Arial" w:cs="Arial"/>
          <w:b/>
        </w:rPr>
        <w:t>by</w:t>
      </w:r>
      <w:proofErr w:type="spellEnd"/>
      <w:r w:rsidRPr="002840AB">
        <w:rPr>
          <w:rFonts w:ascii="Arial" w:eastAsia="Calibri" w:hAnsi="Arial" w:cs="Arial"/>
          <w:b/>
        </w:rPr>
        <w:t xml:space="preserve"> hitelkeretek</w:t>
      </w:r>
      <w:r w:rsidRPr="002840AB">
        <w:rPr>
          <w:rFonts w:ascii="Arial" w:eastAsia="Calibri" w:hAnsi="Arial" w:cs="Arial"/>
        </w:rPr>
        <w:t xml:space="preserve"> soron csak a visszavonhatatlan, szerződött, még le nem hívott hitelkereteket kell jelenteni.</w:t>
      </w:r>
    </w:p>
    <w:p w14:paraId="77772212"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3062F6F0"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CASHFLOW704 Kötelező jegybanki tartalék elvárt szintjétől való eltérés</w:t>
      </w:r>
      <w:r w:rsidRPr="002840AB">
        <w:rPr>
          <w:rFonts w:ascii="Arial" w:eastAsia="Calibri" w:hAnsi="Arial" w:cs="Arial"/>
        </w:rPr>
        <w:t xml:space="preserve"> soron jelentendő adat az alábbi összefüggés alapján számítandó:</w:t>
      </w:r>
    </w:p>
    <w:p w14:paraId="5FA82C54"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r w:rsidRPr="002840AB">
        <w:rPr>
          <w:rFonts w:ascii="Arial" w:eastAsia="Calibri" w:hAnsi="Arial" w:cs="Arial"/>
        </w:rPr>
        <w:t>D</w:t>
      </w:r>
      <w:r w:rsidRPr="002840AB">
        <w:rPr>
          <w:rFonts w:ascii="Arial" w:eastAsia="Calibri" w:hAnsi="Arial" w:cs="Arial"/>
          <w:vertAlign w:val="subscript"/>
        </w:rPr>
        <w:t>4</w:t>
      </w:r>
      <w:r w:rsidRPr="002840AB">
        <w:rPr>
          <w:rFonts w:ascii="Arial" w:eastAsia="Calibri" w:hAnsi="Arial" w:cs="Arial"/>
        </w:rPr>
        <w:t xml:space="preserve">= E – </w:t>
      </w:r>
      <w:proofErr w:type="spellStart"/>
      <w:r w:rsidRPr="002840AB">
        <w:rPr>
          <w:rFonts w:ascii="Arial" w:eastAsia="Calibri" w:hAnsi="Arial" w:cs="Arial"/>
        </w:rPr>
        <w:t>C</w:t>
      </w:r>
      <w:r w:rsidRPr="002840AB">
        <w:rPr>
          <w:rFonts w:ascii="Arial" w:eastAsia="Calibri" w:hAnsi="Arial" w:cs="Arial"/>
          <w:vertAlign w:val="subscript"/>
        </w:rPr>
        <w:t>h</w:t>
      </w:r>
      <w:proofErr w:type="spellEnd"/>
      <w:r w:rsidRPr="002840AB">
        <w:rPr>
          <w:rFonts w:ascii="Arial" w:eastAsia="Calibri" w:hAnsi="Arial" w:cs="Arial"/>
          <w:vertAlign w:val="subscript"/>
        </w:rPr>
        <w:t xml:space="preserve">, </w:t>
      </w:r>
      <w:r w:rsidRPr="002840AB">
        <w:rPr>
          <w:rFonts w:ascii="Arial" w:eastAsia="Calibri" w:hAnsi="Arial" w:cs="Arial"/>
        </w:rPr>
        <w:t>ahol</w:t>
      </w:r>
    </w:p>
    <w:p w14:paraId="51B975DF" w14:textId="77777777" w:rsidR="00DF48CB" w:rsidRPr="002840AB" w:rsidRDefault="00DF48CB" w:rsidP="00D4514E">
      <w:pPr>
        <w:autoSpaceDE w:val="0"/>
        <w:autoSpaceDN w:val="0"/>
        <w:adjustRightInd w:val="0"/>
        <w:spacing w:after="0" w:line="240" w:lineRule="auto"/>
        <w:ind w:left="567"/>
        <w:rPr>
          <w:rFonts w:ascii="Arial" w:eastAsia="Calibri" w:hAnsi="Arial" w:cs="Arial"/>
          <w:vertAlign w:val="subscript"/>
        </w:rPr>
      </w:pPr>
      <w:r w:rsidRPr="002840AB">
        <w:rPr>
          <w:rFonts w:ascii="Arial" w:eastAsia="Calibri" w:hAnsi="Arial" w:cs="Arial"/>
        </w:rPr>
        <w:t>D</w:t>
      </w:r>
      <w:r w:rsidRPr="002840AB">
        <w:rPr>
          <w:rFonts w:ascii="Arial" w:eastAsia="Calibri" w:hAnsi="Arial" w:cs="Arial"/>
          <w:vertAlign w:val="subscript"/>
        </w:rPr>
        <w:t>4</w:t>
      </w:r>
      <w:r w:rsidRPr="002840AB">
        <w:rPr>
          <w:rFonts w:ascii="Arial" w:eastAsia="Calibri" w:hAnsi="Arial" w:cs="Arial"/>
        </w:rPr>
        <w:t>: Eltérés összege</w:t>
      </w:r>
    </w:p>
    <w:p w14:paraId="52EBC04E"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r w:rsidRPr="002840AB">
        <w:rPr>
          <w:rFonts w:ascii="Arial" w:eastAsia="Calibri" w:hAnsi="Arial" w:cs="Arial"/>
        </w:rPr>
        <w:t>E: A forint elszámolási számla jelentés napját megelőző napi záróegyenlege</w:t>
      </w:r>
    </w:p>
    <w:p w14:paraId="393D5770"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proofErr w:type="spellStart"/>
      <w:r w:rsidRPr="002840AB">
        <w:rPr>
          <w:rFonts w:ascii="Arial" w:eastAsia="Calibri" w:hAnsi="Arial" w:cs="Arial"/>
        </w:rPr>
        <w:t>C</w:t>
      </w:r>
      <w:r w:rsidRPr="002840AB">
        <w:rPr>
          <w:rFonts w:ascii="Arial" w:eastAsia="Calibri" w:hAnsi="Arial" w:cs="Arial"/>
          <w:vertAlign w:val="subscript"/>
        </w:rPr>
        <w:t>h</w:t>
      </w:r>
      <w:proofErr w:type="spellEnd"/>
      <w:r w:rsidRPr="002840AB">
        <w:rPr>
          <w:rFonts w:ascii="Arial" w:eastAsia="Calibri" w:hAnsi="Arial" w:cs="Arial"/>
        </w:rPr>
        <w:t>: A hónap hátralévő időszakában elvárt egyenleg (legalább nulla)</w:t>
      </w:r>
    </w:p>
    <w:p w14:paraId="01503B22"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kötelező jegybanki tartalék teljesítésére szolgáló bankszámla egyenlegének az adott hónap hátralévő időszakában tartandó elszámolási számlaegyenlegétől számított eltérést kell szerepeltetni. Az elvárt egyenleghez számított eltérés kiszámításához szükséges megnézni, hogy a tartalékperiódus eddigi időszakának napjain tartott számlaállományok alapján a tartalékolási periódus hátralévő időszakában mekkora átlagos egyenleget kellene tartani ahhoz, hogy a kötelező tartalékolási kötelezettségnek az adatszolgáltató megfeleljen. Ezt az átlagos egyenleget kell összehasonlítani az elszámolási számla jelentés napját megelőző záró-állományával (T napi).</w:t>
      </w:r>
    </w:p>
    <w:p w14:paraId="7DF939DA"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5D2D4A5E" w14:textId="21E087A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CASHFLOW705 Kötelező jegybanki tartalék elvárt szintjének várható megváltozása</w:t>
      </w:r>
      <w:r w:rsidRPr="002840AB">
        <w:rPr>
          <w:rFonts w:ascii="Arial" w:eastAsia="Calibri" w:hAnsi="Arial" w:cs="Arial"/>
        </w:rPr>
        <w:t xml:space="preserve"> soron jelentendő adat az alábbi összefüggés alapján számítandó:</w:t>
      </w:r>
    </w:p>
    <w:p w14:paraId="2D8AEC5D"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r w:rsidRPr="002840AB">
        <w:rPr>
          <w:rFonts w:ascii="Arial" w:eastAsia="Calibri" w:hAnsi="Arial" w:cs="Arial"/>
        </w:rPr>
        <w:t>D</w:t>
      </w:r>
      <w:r w:rsidRPr="002840AB">
        <w:rPr>
          <w:rFonts w:ascii="Arial" w:eastAsia="Calibri" w:hAnsi="Arial" w:cs="Arial"/>
          <w:vertAlign w:val="subscript"/>
        </w:rPr>
        <w:t>5</w:t>
      </w:r>
      <w:r w:rsidRPr="002840AB">
        <w:rPr>
          <w:rFonts w:ascii="Arial" w:eastAsia="Calibri" w:hAnsi="Arial" w:cs="Arial"/>
        </w:rPr>
        <w:t xml:space="preserve">= </w:t>
      </w:r>
      <w:proofErr w:type="spellStart"/>
      <w:r w:rsidRPr="002840AB">
        <w:rPr>
          <w:rFonts w:ascii="Arial" w:eastAsia="Calibri" w:hAnsi="Arial" w:cs="Arial"/>
        </w:rPr>
        <w:t>C</w:t>
      </w:r>
      <w:r w:rsidRPr="002840AB">
        <w:rPr>
          <w:rFonts w:ascii="Arial" w:eastAsia="Calibri" w:hAnsi="Arial" w:cs="Arial"/>
          <w:vertAlign w:val="subscript"/>
        </w:rPr>
        <w:t>h</w:t>
      </w:r>
      <w:proofErr w:type="spellEnd"/>
      <w:r w:rsidRPr="002840AB">
        <w:rPr>
          <w:rFonts w:ascii="Arial" w:eastAsia="Calibri" w:hAnsi="Arial" w:cs="Arial"/>
        </w:rPr>
        <w:t xml:space="preserve"> – </w:t>
      </w:r>
      <w:proofErr w:type="spellStart"/>
      <w:r w:rsidRPr="002840AB">
        <w:rPr>
          <w:rFonts w:ascii="Arial" w:eastAsia="Calibri" w:hAnsi="Arial" w:cs="Arial"/>
        </w:rPr>
        <w:t>T</w:t>
      </w:r>
      <w:r w:rsidRPr="002840AB">
        <w:rPr>
          <w:rFonts w:ascii="Arial" w:eastAsia="Calibri" w:hAnsi="Arial" w:cs="Arial"/>
          <w:vertAlign w:val="subscript"/>
        </w:rPr>
        <w:t>h</w:t>
      </w:r>
      <w:proofErr w:type="spellEnd"/>
      <w:r w:rsidRPr="002840AB">
        <w:rPr>
          <w:rFonts w:ascii="Arial" w:eastAsia="Calibri" w:hAnsi="Arial" w:cs="Arial"/>
          <w:vertAlign w:val="subscript"/>
        </w:rPr>
        <w:t xml:space="preserve">, </w:t>
      </w:r>
      <w:r w:rsidRPr="002840AB">
        <w:rPr>
          <w:rFonts w:ascii="Arial" w:eastAsia="Calibri" w:hAnsi="Arial" w:cs="Arial"/>
        </w:rPr>
        <w:t>ahol</w:t>
      </w:r>
    </w:p>
    <w:p w14:paraId="459A7B0F" w14:textId="77777777" w:rsidR="00DF48CB" w:rsidRPr="002840AB" w:rsidRDefault="00DF48CB" w:rsidP="00D4514E">
      <w:pPr>
        <w:autoSpaceDE w:val="0"/>
        <w:autoSpaceDN w:val="0"/>
        <w:adjustRightInd w:val="0"/>
        <w:spacing w:after="0" w:line="240" w:lineRule="auto"/>
        <w:ind w:left="567"/>
        <w:rPr>
          <w:rFonts w:ascii="Arial" w:eastAsia="Calibri" w:hAnsi="Arial" w:cs="Arial"/>
          <w:vertAlign w:val="subscript"/>
        </w:rPr>
      </w:pPr>
      <w:r w:rsidRPr="002840AB">
        <w:rPr>
          <w:rFonts w:ascii="Arial" w:eastAsia="Calibri" w:hAnsi="Arial" w:cs="Arial"/>
        </w:rPr>
        <w:t>D</w:t>
      </w:r>
      <w:r w:rsidRPr="002840AB">
        <w:rPr>
          <w:rFonts w:ascii="Arial" w:eastAsia="Calibri" w:hAnsi="Arial" w:cs="Arial"/>
          <w:vertAlign w:val="subscript"/>
        </w:rPr>
        <w:t>5</w:t>
      </w:r>
      <w:r w:rsidRPr="002840AB">
        <w:rPr>
          <w:rFonts w:ascii="Arial" w:eastAsia="Calibri" w:hAnsi="Arial" w:cs="Arial"/>
        </w:rPr>
        <w:t>: Eltérés összege</w:t>
      </w:r>
    </w:p>
    <w:p w14:paraId="526FCF08"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proofErr w:type="spellStart"/>
      <w:r w:rsidRPr="002840AB">
        <w:rPr>
          <w:rFonts w:ascii="Arial" w:eastAsia="Calibri" w:hAnsi="Arial" w:cs="Arial"/>
        </w:rPr>
        <w:t>C</w:t>
      </w:r>
      <w:r w:rsidRPr="002840AB">
        <w:rPr>
          <w:rFonts w:ascii="Arial" w:eastAsia="Calibri" w:hAnsi="Arial" w:cs="Arial"/>
          <w:vertAlign w:val="subscript"/>
        </w:rPr>
        <w:t>h</w:t>
      </w:r>
      <w:proofErr w:type="spellEnd"/>
      <w:r w:rsidRPr="002840AB">
        <w:rPr>
          <w:rFonts w:ascii="Arial" w:eastAsia="Calibri" w:hAnsi="Arial" w:cs="Arial"/>
        </w:rPr>
        <w:t>: A hónap hátralévő időszakában elvárt egyenleg (legalább nulla)</w:t>
      </w:r>
    </w:p>
    <w:p w14:paraId="266644EB" w14:textId="77777777" w:rsidR="00DF48CB" w:rsidRPr="002840AB" w:rsidRDefault="00DF48CB" w:rsidP="00D4514E">
      <w:pPr>
        <w:autoSpaceDE w:val="0"/>
        <w:autoSpaceDN w:val="0"/>
        <w:adjustRightInd w:val="0"/>
        <w:spacing w:after="0" w:line="240" w:lineRule="auto"/>
        <w:ind w:left="567"/>
        <w:rPr>
          <w:rFonts w:ascii="Arial" w:eastAsia="Calibri" w:hAnsi="Arial" w:cs="Arial"/>
        </w:rPr>
      </w:pPr>
      <w:proofErr w:type="spellStart"/>
      <w:r w:rsidRPr="002840AB">
        <w:rPr>
          <w:rFonts w:ascii="Arial" w:eastAsia="Calibri" w:hAnsi="Arial" w:cs="Arial"/>
        </w:rPr>
        <w:t>T</w:t>
      </w:r>
      <w:r w:rsidRPr="002840AB">
        <w:rPr>
          <w:rFonts w:ascii="Arial" w:eastAsia="Calibri" w:hAnsi="Arial" w:cs="Arial"/>
          <w:vertAlign w:val="subscript"/>
        </w:rPr>
        <w:t>h</w:t>
      </w:r>
      <w:proofErr w:type="spellEnd"/>
      <w:r w:rsidRPr="002840AB">
        <w:rPr>
          <w:rFonts w:ascii="Arial" w:eastAsia="Calibri" w:hAnsi="Arial" w:cs="Arial"/>
        </w:rPr>
        <w:t>: Az aktuális hónap tartalék</w:t>
      </w:r>
    </w:p>
    <w:p w14:paraId="3C6EAB23"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A soron az adott hónap hátralévő időszakában tartandó elszámolási számlaegyenleg és az adott havi, MNB által megállapított tartalékkötelezettség különbségét kell szerepeltetni.</w:t>
      </w:r>
    </w:p>
    <w:p w14:paraId="7CA8274B"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59F85052"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CASHFLOW706 Nagy kihelyezések</w:t>
      </w:r>
      <w:r w:rsidRPr="002840AB">
        <w:rPr>
          <w:rFonts w:ascii="Arial" w:eastAsia="Calibri" w:hAnsi="Arial" w:cs="Arial"/>
        </w:rPr>
        <w:t xml:space="preserve"> soron </w:t>
      </w:r>
      <w:proofErr w:type="spellStart"/>
      <w:r w:rsidRPr="002840AB">
        <w:rPr>
          <w:rFonts w:ascii="Arial" w:eastAsia="Calibri" w:hAnsi="Arial" w:cs="Arial"/>
        </w:rPr>
        <w:t>devizanemenként</w:t>
      </w:r>
      <w:proofErr w:type="spellEnd"/>
      <w:r w:rsidRPr="002840AB">
        <w:rPr>
          <w:rFonts w:ascii="Arial" w:eastAsia="Calibri" w:hAnsi="Arial" w:cs="Arial"/>
        </w:rPr>
        <w:t xml:space="preserve"> kell megadni a következő harminc napon várható, az egyedi ügyfeleknek történő, 5 milliárd forint feletti hitelfolyósítást, illetve lejáró hitelszerződések, valamint ismert előtörlesztés állományát (előjelhelyesen).</w:t>
      </w:r>
    </w:p>
    <w:p w14:paraId="262E3F2B"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573A253E"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lastRenderedPageBreak/>
        <w:t xml:space="preserve">A </w:t>
      </w:r>
      <w:r w:rsidRPr="002840AB">
        <w:rPr>
          <w:rFonts w:ascii="Arial" w:eastAsia="Calibri" w:hAnsi="Arial" w:cs="Arial"/>
          <w:b/>
        </w:rPr>
        <w:t>CASHFLOW707 Kibocsátott hitelviszonyt megtestesítő értékpapírokkal kapcsolatos pénzáramlások</w:t>
      </w:r>
      <w:r w:rsidRPr="002840AB">
        <w:rPr>
          <w:rFonts w:ascii="Arial" w:eastAsia="Calibri" w:hAnsi="Arial" w:cs="Arial"/>
        </w:rPr>
        <w:t xml:space="preserve"> soron kell jelenteni a saját kibocsátású értékpapírokhoz kapcsolódó, az adatszolgáltatás napján (T+1. munkanap), illetve az azt követő 29 napon történő kifizetéseket.</w:t>
      </w:r>
    </w:p>
    <w:p w14:paraId="6CB3A672"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430544F9"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CASHFLOW709</w:t>
      </w:r>
      <w:r w:rsidRPr="002840AB">
        <w:rPr>
          <w:rFonts w:ascii="Arial" w:eastAsia="Calibri" w:hAnsi="Arial" w:cs="Arial"/>
        </w:rPr>
        <w:t xml:space="preserve"> </w:t>
      </w:r>
      <w:proofErr w:type="spellStart"/>
      <w:r w:rsidRPr="002840AB">
        <w:rPr>
          <w:rFonts w:ascii="Arial" w:eastAsia="Calibri" w:hAnsi="Arial" w:cs="Arial"/>
          <w:b/>
        </w:rPr>
        <w:t>EKB</w:t>
      </w:r>
      <w:proofErr w:type="spellEnd"/>
      <w:r w:rsidRPr="002840AB">
        <w:rPr>
          <w:rFonts w:ascii="Arial" w:eastAsia="Calibri" w:hAnsi="Arial" w:cs="Arial"/>
          <w:b/>
        </w:rPr>
        <w:t>, illetve az eurorendszer központi bankjai által, monetáris politikai ügyletek keretében elfogadható értékpapírok állománya</w:t>
      </w:r>
      <w:r w:rsidRPr="002840AB">
        <w:rPr>
          <w:rFonts w:ascii="Arial" w:eastAsia="Calibri" w:hAnsi="Arial" w:cs="Arial"/>
        </w:rPr>
        <w:t xml:space="preserve"> soron az </w:t>
      </w:r>
      <w:proofErr w:type="spellStart"/>
      <w:r w:rsidRPr="002840AB">
        <w:rPr>
          <w:rFonts w:ascii="Arial" w:eastAsia="Calibri" w:hAnsi="Arial" w:cs="Arial"/>
        </w:rPr>
        <w:t>EKB</w:t>
      </w:r>
      <w:proofErr w:type="spellEnd"/>
      <w:r w:rsidRPr="002840AB">
        <w:rPr>
          <w:rFonts w:ascii="Arial" w:eastAsia="Calibri" w:hAnsi="Arial" w:cs="Arial"/>
        </w:rPr>
        <w:t xml:space="preserve">, illetve az eurorendszer központi bankjai által monetáris politikai műveletek során – az adott intézmény számára még rendelkezésre álló kereten belül –, szabad rendelkezésű (nem zárolt) értékpapírok állományát kell befogadási értéken szerepeltetni, ideértve a pénzforgalom fedezetére, az </w:t>
      </w:r>
      <w:proofErr w:type="spellStart"/>
      <w:r w:rsidRPr="002840AB">
        <w:rPr>
          <w:rFonts w:ascii="Arial" w:eastAsia="Calibri" w:hAnsi="Arial" w:cs="Arial"/>
        </w:rPr>
        <w:t>EKB</w:t>
      </w:r>
      <w:proofErr w:type="spellEnd"/>
      <w:r w:rsidRPr="002840AB">
        <w:rPr>
          <w:rFonts w:ascii="Arial" w:eastAsia="Calibri" w:hAnsi="Arial" w:cs="Arial"/>
        </w:rPr>
        <w:t xml:space="preserve">, illetve az eurorendszer bármely központi bankjának javára limitként zárolt, de ki nem használt állományt is. Az e soron megadandó érték nem foglalja magában az </w:t>
      </w:r>
      <w:proofErr w:type="spellStart"/>
      <w:r w:rsidRPr="002840AB">
        <w:rPr>
          <w:rFonts w:ascii="Arial" w:eastAsia="Calibri" w:hAnsi="Arial" w:cs="Arial"/>
        </w:rPr>
        <w:t>EKB</w:t>
      </w:r>
      <w:proofErr w:type="spellEnd"/>
      <w:r w:rsidRPr="002840AB">
        <w:rPr>
          <w:rFonts w:ascii="Arial" w:eastAsia="Calibri" w:hAnsi="Arial" w:cs="Arial"/>
        </w:rPr>
        <w:t xml:space="preserve">-n kívüli partnerek javára zárolt állományokat és az </w:t>
      </w:r>
      <w:proofErr w:type="spellStart"/>
      <w:r w:rsidRPr="002840AB">
        <w:rPr>
          <w:rFonts w:ascii="Arial" w:eastAsia="Calibri" w:hAnsi="Arial" w:cs="Arial"/>
        </w:rPr>
        <w:t>EKB</w:t>
      </w:r>
      <w:proofErr w:type="spellEnd"/>
      <w:r w:rsidRPr="002840AB">
        <w:rPr>
          <w:rFonts w:ascii="Arial" w:eastAsia="Calibri" w:hAnsi="Arial" w:cs="Arial"/>
        </w:rPr>
        <w:t xml:space="preserve"> javára O/N ügyleteknél hosszabb lejáratú hitelek fedezeteként zárolt értékpapírokat. A tábla első oszlopában az adatszolgáltatás teljesítésének napján (T+1. munkanapon) az </w:t>
      </w:r>
      <w:proofErr w:type="spellStart"/>
      <w:r w:rsidRPr="002840AB">
        <w:rPr>
          <w:rFonts w:ascii="Arial" w:eastAsia="Calibri" w:hAnsi="Arial" w:cs="Arial"/>
        </w:rPr>
        <w:t>EKB</w:t>
      </w:r>
      <w:proofErr w:type="spellEnd"/>
      <w:r w:rsidRPr="002840AB">
        <w:rPr>
          <w:rFonts w:ascii="Arial" w:eastAsia="Calibri" w:hAnsi="Arial" w:cs="Arial"/>
        </w:rPr>
        <w:t xml:space="preserve">-kal kötött megállapodás alapján felajánlható </w:t>
      </w:r>
      <w:proofErr w:type="spellStart"/>
      <w:r w:rsidRPr="002840AB">
        <w:rPr>
          <w:rFonts w:ascii="Arial" w:eastAsia="Calibri" w:hAnsi="Arial" w:cs="Arial"/>
        </w:rPr>
        <w:t>fedezetek</w:t>
      </w:r>
      <w:proofErr w:type="spellEnd"/>
      <w:r w:rsidRPr="002840AB">
        <w:rPr>
          <w:rFonts w:ascii="Arial" w:eastAsia="Calibri" w:hAnsi="Arial" w:cs="Arial"/>
        </w:rPr>
        <w:t xml:space="preserve"> befogadási értékét (figyelembe véve a T+1. munkanapon szerződés szerint bekövetkező változásokat is), a további oszlopokban pedig a változásokat (pl. </w:t>
      </w:r>
      <w:proofErr w:type="spellStart"/>
      <w:r w:rsidRPr="002840AB">
        <w:rPr>
          <w:rFonts w:ascii="Arial" w:eastAsia="Calibri" w:hAnsi="Arial" w:cs="Arial"/>
        </w:rPr>
        <w:t>repóügyletek</w:t>
      </w:r>
      <w:proofErr w:type="spellEnd"/>
      <w:r w:rsidRPr="002840AB">
        <w:rPr>
          <w:rFonts w:ascii="Arial" w:eastAsia="Calibri" w:hAnsi="Arial" w:cs="Arial"/>
        </w:rPr>
        <w:t xml:space="preserve"> lejárata miatti felszabadítás, értékpapír-lejárat) kell jelenteni.</w:t>
      </w:r>
    </w:p>
    <w:p w14:paraId="3C33CB1D"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2A03FC64" w14:textId="285202DD"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CASHFLOW710 Készpénz</w:t>
      </w:r>
      <w:r w:rsidRPr="002840AB">
        <w:rPr>
          <w:rFonts w:ascii="Arial" w:eastAsia="Calibri" w:hAnsi="Arial" w:cs="Arial"/>
        </w:rPr>
        <w:t xml:space="preserve"> soron kell kimutatni a hitelintézetnél lévő T napi záró forint és valuta készpénzállományt, a törvényes fizetési </w:t>
      </w:r>
      <w:proofErr w:type="spellStart"/>
      <w:r w:rsidRPr="002840AB">
        <w:rPr>
          <w:rFonts w:ascii="Arial" w:eastAsia="Calibri" w:hAnsi="Arial" w:cs="Arial"/>
        </w:rPr>
        <w:t>eszközül</w:t>
      </w:r>
      <w:proofErr w:type="spellEnd"/>
      <w:r w:rsidRPr="002840AB">
        <w:rPr>
          <w:rFonts w:ascii="Arial" w:eastAsia="Calibri" w:hAnsi="Arial" w:cs="Arial"/>
        </w:rPr>
        <w:t xml:space="preserve"> szolgáló nemesfém érméket.</w:t>
      </w:r>
    </w:p>
    <w:p w14:paraId="75F64E88" w14:textId="77777777" w:rsidR="00DF48CB" w:rsidRPr="002840AB" w:rsidRDefault="00DF48CB" w:rsidP="00D4514E">
      <w:pPr>
        <w:autoSpaceDE w:val="0"/>
        <w:autoSpaceDN w:val="0"/>
        <w:adjustRightInd w:val="0"/>
        <w:spacing w:after="0" w:line="240" w:lineRule="auto"/>
        <w:rPr>
          <w:rFonts w:ascii="Arial" w:eastAsia="Calibri" w:hAnsi="Arial" w:cs="Arial"/>
        </w:rPr>
      </w:pPr>
    </w:p>
    <w:p w14:paraId="052FBF2E" w14:textId="77777777" w:rsidR="00DF48CB" w:rsidRPr="002840AB" w:rsidRDefault="00DF48CB" w:rsidP="00D4514E">
      <w:pPr>
        <w:autoSpaceDE w:val="0"/>
        <w:autoSpaceDN w:val="0"/>
        <w:adjustRightInd w:val="0"/>
        <w:spacing w:after="0" w:line="240" w:lineRule="auto"/>
        <w:rPr>
          <w:rFonts w:ascii="Arial" w:eastAsia="Calibri" w:hAnsi="Arial" w:cs="Arial"/>
        </w:rPr>
      </w:pPr>
      <w:r w:rsidRPr="002840AB">
        <w:rPr>
          <w:rFonts w:ascii="Arial" w:eastAsia="Calibri" w:hAnsi="Arial" w:cs="Arial"/>
        </w:rPr>
        <w:t xml:space="preserve">A </w:t>
      </w:r>
      <w:r w:rsidRPr="002840AB">
        <w:rPr>
          <w:rFonts w:ascii="Arial" w:eastAsia="Calibri" w:hAnsi="Arial" w:cs="Arial"/>
          <w:b/>
        </w:rPr>
        <w:t>CASHFLOW711 Operatív likviditási tartalék</w:t>
      </w:r>
      <w:r w:rsidRPr="002840AB">
        <w:rPr>
          <w:rFonts w:ascii="Arial" w:eastAsia="Calibri" w:hAnsi="Arial" w:cs="Arial"/>
        </w:rPr>
        <w:t xml:space="preserve"> soron a hitelintézet T+1. munkanapon rendelkezésére álló operatív likviditási tartalék összegét kell szerepeltetni. Az operatív likviditási tartalék a CASHFLOW táblában szereplő tételekből az alábbi módon számítódik:</w:t>
      </w:r>
    </w:p>
    <w:p w14:paraId="1A979A3D" w14:textId="41D79EA3" w:rsidR="00EF0BCB" w:rsidRPr="002840AB" w:rsidRDefault="00DF48CB" w:rsidP="00894BBA">
      <w:pPr>
        <w:autoSpaceDE w:val="0"/>
        <w:autoSpaceDN w:val="0"/>
        <w:adjustRightInd w:val="0"/>
        <w:spacing w:after="0" w:line="240" w:lineRule="auto"/>
        <w:rPr>
          <w:rFonts w:ascii="Arial" w:hAnsi="Arial" w:cs="Arial"/>
          <w:iCs/>
        </w:rPr>
      </w:pPr>
      <w:r w:rsidRPr="002840AB">
        <w:rPr>
          <w:rFonts w:ascii="Arial" w:eastAsia="Calibri" w:hAnsi="Arial" w:cs="Arial"/>
        </w:rPr>
        <w:t>CASHFLOW711=CASHFLOW610,1</w:t>
      </w:r>
      <w:proofErr w:type="gramStart"/>
      <w:r w:rsidRPr="002840AB">
        <w:rPr>
          <w:rFonts w:ascii="Arial" w:eastAsia="Calibri" w:hAnsi="Arial" w:cs="Arial"/>
        </w:rPr>
        <w:t>+..</w:t>
      </w:r>
      <w:proofErr w:type="gramEnd"/>
      <w:r w:rsidRPr="002840AB">
        <w:rPr>
          <w:rFonts w:ascii="Arial" w:eastAsia="Calibri" w:hAnsi="Arial" w:cs="Arial"/>
        </w:rPr>
        <w:t>+CASHFLOW610,30+CASHFLOW702,1+….+CASHFLOW702,30+CASHFLOW709,1+..+CASHFLOW709,30+CASHFLOW707,1+…+CASHFLOW707,30+CASHFLOW7012,1+CASHFLOW7013,1+CASHFLOW7014,1+CASHFLOW7015,1+CASHFLOW704,1+CASHFLOW705,1+ CASHFLOW710,1</w:t>
      </w:r>
      <w:bookmarkStart w:id="20" w:name="_Hlk3895890"/>
      <w:bookmarkEnd w:id="4"/>
      <w:bookmarkEnd w:id="5"/>
      <w:bookmarkEnd w:id="6"/>
      <w:bookmarkEnd w:id="7"/>
      <w:bookmarkEnd w:id="8"/>
      <w:bookmarkEnd w:id="9"/>
      <w:bookmarkEnd w:id="10"/>
      <w:bookmarkEnd w:id="11"/>
      <w:bookmarkEnd w:id="15"/>
      <w:bookmarkEnd w:id="16"/>
      <w:bookmarkEnd w:id="17"/>
      <w:bookmarkEnd w:id="19"/>
      <w:r w:rsidR="00894BBA" w:rsidRPr="002840AB">
        <w:rPr>
          <w:rFonts w:ascii="Arial" w:eastAsia="Calibri" w:hAnsi="Arial" w:cs="Arial"/>
        </w:rPr>
        <w:t>”</w:t>
      </w:r>
    </w:p>
    <w:bookmarkEnd w:id="20"/>
    <w:p w14:paraId="1294AA38" w14:textId="6D06026A" w:rsidR="007945C4" w:rsidRPr="002840AB" w:rsidRDefault="007945C4" w:rsidP="00F64251">
      <w:pPr>
        <w:pageBreakBefore/>
        <w:autoSpaceDE w:val="0"/>
        <w:autoSpaceDN w:val="0"/>
        <w:adjustRightInd w:val="0"/>
        <w:spacing w:after="0" w:line="240" w:lineRule="auto"/>
        <w:rPr>
          <w:rFonts w:ascii="Arial" w:hAnsi="Arial" w:cs="Arial"/>
          <w:iCs/>
        </w:rPr>
        <w:sectPr w:rsidR="007945C4" w:rsidRPr="002840AB" w:rsidSect="00EF0BCB">
          <w:headerReference w:type="default" r:id="rId9"/>
          <w:footerReference w:type="default" r:id="rId10"/>
          <w:footerReference w:type="first" r:id="rId11"/>
          <w:pgSz w:w="11906" w:h="16838" w:code="9"/>
          <w:pgMar w:top="1418" w:right="1191" w:bottom="1418" w:left="1191" w:header="709" w:footer="709" w:gutter="0"/>
          <w:cols w:space="708"/>
          <w:titlePg/>
          <w:docGrid w:linePitch="360"/>
        </w:sectPr>
      </w:pPr>
    </w:p>
    <w:p w14:paraId="6C52EAAD" w14:textId="696FC8BD" w:rsidR="004504B2" w:rsidRPr="002840AB" w:rsidRDefault="00CB3CC6" w:rsidP="00F64251">
      <w:pPr>
        <w:pageBreakBefore/>
        <w:autoSpaceDE w:val="0"/>
        <w:autoSpaceDN w:val="0"/>
        <w:adjustRightInd w:val="0"/>
        <w:spacing w:after="0" w:line="240" w:lineRule="auto"/>
        <w:rPr>
          <w:rFonts w:ascii="Arial" w:hAnsi="Arial" w:cs="Arial"/>
          <w:iCs/>
        </w:rPr>
      </w:pPr>
      <w:r w:rsidRPr="002840AB">
        <w:rPr>
          <w:rFonts w:ascii="Arial" w:hAnsi="Arial" w:cs="Arial"/>
          <w:iCs/>
        </w:rPr>
        <w:lastRenderedPageBreak/>
        <w:t>3</w:t>
      </w:r>
      <w:r w:rsidR="004F58BB" w:rsidRPr="002840AB">
        <w:rPr>
          <w:rFonts w:ascii="Arial" w:hAnsi="Arial" w:cs="Arial"/>
          <w:iCs/>
        </w:rPr>
        <w:t xml:space="preserve">. melléklet a </w:t>
      </w:r>
      <w:r w:rsidR="004D5B64">
        <w:rPr>
          <w:rFonts w:ascii="Arial" w:hAnsi="Arial" w:cs="Arial"/>
          <w:iCs/>
        </w:rPr>
        <w:t>15/2019. (IV. 17.)</w:t>
      </w:r>
      <w:r w:rsidR="004F58BB" w:rsidRPr="002840AB">
        <w:rPr>
          <w:rFonts w:ascii="Arial" w:hAnsi="Arial" w:cs="Arial"/>
          <w:iCs/>
        </w:rPr>
        <w:t xml:space="preserve"> MNB rendelethez</w:t>
      </w:r>
    </w:p>
    <w:p w14:paraId="4E481552" w14:textId="1340DED9" w:rsidR="007319B3" w:rsidRDefault="007319B3" w:rsidP="00F64251">
      <w:pPr>
        <w:spacing w:after="0" w:line="240" w:lineRule="auto"/>
        <w:rPr>
          <w:rFonts w:ascii="Arial" w:hAnsi="Arial" w:cs="Arial"/>
          <w:iCs/>
        </w:rPr>
      </w:pPr>
    </w:p>
    <w:p w14:paraId="3AB1E042" w14:textId="77777777" w:rsidR="003745EA" w:rsidRPr="002840AB" w:rsidRDefault="003745EA" w:rsidP="00F64251">
      <w:pPr>
        <w:spacing w:after="0" w:line="240" w:lineRule="auto"/>
        <w:rPr>
          <w:rFonts w:ascii="Arial" w:hAnsi="Arial" w:cs="Arial"/>
          <w:iCs/>
        </w:rPr>
      </w:pPr>
    </w:p>
    <w:p w14:paraId="3C546178" w14:textId="2FCBFCE2" w:rsidR="00CB3CC6" w:rsidRPr="002840AB" w:rsidRDefault="00CB3CC6" w:rsidP="00497541">
      <w:pPr>
        <w:spacing w:after="120"/>
        <w:rPr>
          <w:rFonts w:ascii="Arial" w:hAnsi="Arial" w:cs="Arial"/>
        </w:rPr>
      </w:pPr>
      <w:r w:rsidRPr="002840AB">
        <w:rPr>
          <w:rFonts w:ascii="Arial" w:hAnsi="Arial" w:cs="Arial"/>
        </w:rPr>
        <w:t>1. A 38/2018. (XI. 14.) MNB rendelet 1. melléklet I. pontjában foglalt táblázat a következő 104a</w:t>
      </w:r>
      <w:r w:rsidR="00D645C6">
        <w:rPr>
          <w:rFonts w:ascii="Arial" w:hAnsi="Arial" w:cs="Arial"/>
        </w:rPr>
        <w:t>-</w:t>
      </w:r>
      <w:r w:rsidR="00980F17">
        <w:rPr>
          <w:rFonts w:ascii="Arial" w:hAnsi="Arial" w:cs="Arial"/>
        </w:rPr>
        <w:t>104c</w:t>
      </w:r>
      <w:r w:rsidRPr="002840AB">
        <w:rPr>
          <w:rFonts w:ascii="Arial" w:hAnsi="Arial" w:cs="Arial"/>
        </w:rPr>
        <w:t xml:space="preserve"> sorral egészül ki: </w:t>
      </w:r>
    </w:p>
    <w:tbl>
      <w:tblPr>
        <w:tblW w:w="14221" w:type="dxa"/>
        <w:jc w:val="center"/>
        <w:tblLayout w:type="fixed"/>
        <w:tblCellMar>
          <w:left w:w="70" w:type="dxa"/>
          <w:right w:w="70" w:type="dxa"/>
        </w:tblCellMar>
        <w:tblLook w:val="0000" w:firstRow="0" w:lastRow="0" w:firstColumn="0" w:lastColumn="0" w:noHBand="0" w:noVBand="0"/>
      </w:tblPr>
      <w:tblGrid>
        <w:gridCol w:w="657"/>
        <w:gridCol w:w="1134"/>
        <w:gridCol w:w="2599"/>
        <w:gridCol w:w="3685"/>
        <w:gridCol w:w="1326"/>
        <w:gridCol w:w="2643"/>
        <w:gridCol w:w="2177"/>
      </w:tblGrid>
      <w:tr w:rsidR="00CB3CC6" w:rsidRPr="002840AB" w14:paraId="7956A104" w14:textId="77777777" w:rsidTr="0084334B">
        <w:trPr>
          <w:cantSplit/>
          <w:trHeight w:val="187"/>
          <w:tblHeader/>
          <w:jc w:val="center"/>
        </w:trPr>
        <w:tc>
          <w:tcPr>
            <w:tcW w:w="657" w:type="dxa"/>
            <w:tcBorders>
              <w:top w:val="single" w:sz="4" w:space="0" w:color="auto"/>
              <w:left w:val="single" w:sz="4" w:space="0" w:color="auto"/>
              <w:right w:val="single" w:sz="4" w:space="0" w:color="auto"/>
            </w:tcBorders>
            <w:vAlign w:val="bottom"/>
          </w:tcPr>
          <w:p w14:paraId="0C2C1309" w14:textId="77777777" w:rsidR="00CB3CC6" w:rsidRPr="002840AB" w:rsidRDefault="00CB3CC6" w:rsidP="00C572DB">
            <w:pPr>
              <w:jc w:val="center"/>
              <w:rPr>
                <w:rFonts w:ascii="Arial" w:hAnsi="Arial" w:cs="Arial"/>
                <w:b/>
                <w:bCs/>
              </w:rPr>
            </w:pPr>
          </w:p>
        </w:tc>
        <w:tc>
          <w:tcPr>
            <w:tcW w:w="1134" w:type="dxa"/>
            <w:tcBorders>
              <w:top w:val="single" w:sz="4" w:space="0" w:color="auto"/>
              <w:left w:val="single" w:sz="4" w:space="0" w:color="auto"/>
              <w:right w:val="single" w:sz="4" w:space="0" w:color="auto"/>
            </w:tcBorders>
            <w:vAlign w:val="bottom"/>
          </w:tcPr>
          <w:p w14:paraId="11E2FCF7"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 xml:space="preserve">(MNB azonosító </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14:paraId="4C0F4827"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Megnevezés</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014FD165"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Az adatszolgáltatók köre</w:t>
            </w:r>
          </w:p>
        </w:tc>
        <w:tc>
          <w:tcPr>
            <w:tcW w:w="6146" w:type="dxa"/>
            <w:gridSpan w:val="3"/>
            <w:tcBorders>
              <w:top w:val="single" w:sz="4" w:space="0" w:color="auto"/>
              <w:left w:val="nil"/>
              <w:bottom w:val="single" w:sz="4" w:space="0" w:color="auto"/>
              <w:right w:val="single" w:sz="4" w:space="0" w:color="auto"/>
            </w:tcBorders>
            <w:vAlign w:val="center"/>
          </w:tcPr>
          <w:p w14:paraId="6E20BF45"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Az adatszolgáltatás</w:t>
            </w:r>
          </w:p>
        </w:tc>
      </w:tr>
      <w:tr w:rsidR="00CB3CC6" w:rsidRPr="002840AB" w14:paraId="17F56644" w14:textId="77777777" w:rsidTr="0084334B">
        <w:trPr>
          <w:cantSplit/>
          <w:trHeight w:val="150"/>
          <w:tblHeader/>
          <w:jc w:val="center"/>
        </w:trPr>
        <w:tc>
          <w:tcPr>
            <w:tcW w:w="657" w:type="dxa"/>
            <w:tcBorders>
              <w:left w:val="single" w:sz="4" w:space="0" w:color="auto"/>
              <w:bottom w:val="single" w:sz="4" w:space="0" w:color="auto"/>
              <w:right w:val="single" w:sz="4" w:space="0" w:color="auto"/>
            </w:tcBorders>
          </w:tcPr>
          <w:p w14:paraId="0B6C11DD" w14:textId="77777777" w:rsidR="00CB3CC6" w:rsidRPr="002840AB" w:rsidRDefault="00CB3CC6" w:rsidP="00C572DB">
            <w:pPr>
              <w:jc w:val="center"/>
              <w:rPr>
                <w:rFonts w:ascii="Arial" w:hAnsi="Arial" w:cs="Arial"/>
                <w:b/>
                <w:bCs/>
              </w:rPr>
            </w:pPr>
          </w:p>
        </w:tc>
        <w:tc>
          <w:tcPr>
            <w:tcW w:w="1134" w:type="dxa"/>
            <w:tcBorders>
              <w:left w:val="single" w:sz="4" w:space="0" w:color="auto"/>
              <w:bottom w:val="single" w:sz="4" w:space="0" w:color="auto"/>
              <w:right w:val="single" w:sz="4" w:space="0" w:color="auto"/>
            </w:tcBorders>
          </w:tcPr>
          <w:p w14:paraId="4BF6050E"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kód</w:t>
            </w:r>
          </w:p>
        </w:tc>
        <w:tc>
          <w:tcPr>
            <w:tcW w:w="2599" w:type="dxa"/>
            <w:vMerge/>
            <w:tcBorders>
              <w:top w:val="single" w:sz="4" w:space="0" w:color="auto"/>
              <w:left w:val="single" w:sz="4" w:space="0" w:color="auto"/>
              <w:bottom w:val="single" w:sz="4" w:space="0" w:color="auto"/>
              <w:right w:val="single" w:sz="4" w:space="0" w:color="auto"/>
            </w:tcBorders>
            <w:vAlign w:val="center"/>
          </w:tcPr>
          <w:p w14:paraId="382CC5A6" w14:textId="77777777" w:rsidR="00CB3CC6" w:rsidRPr="002840AB" w:rsidRDefault="00CB3CC6" w:rsidP="00C572DB">
            <w:pPr>
              <w:rPr>
                <w:rFonts w:ascii="Arial" w:hAnsi="Arial" w:cs="Arial"/>
                <w:bCs/>
                <w:i/>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28A749CC" w14:textId="77777777" w:rsidR="00CB3CC6" w:rsidRPr="002840AB" w:rsidRDefault="00CB3CC6" w:rsidP="00C572DB">
            <w:pPr>
              <w:rPr>
                <w:rFonts w:ascii="Arial" w:hAnsi="Arial" w:cs="Arial"/>
                <w:bCs/>
                <w:i/>
              </w:rPr>
            </w:pPr>
          </w:p>
        </w:tc>
        <w:tc>
          <w:tcPr>
            <w:tcW w:w="1326" w:type="dxa"/>
            <w:tcBorders>
              <w:top w:val="nil"/>
              <w:left w:val="nil"/>
              <w:bottom w:val="single" w:sz="4" w:space="0" w:color="auto"/>
              <w:right w:val="single" w:sz="4" w:space="0" w:color="auto"/>
            </w:tcBorders>
            <w:vAlign w:val="center"/>
          </w:tcPr>
          <w:p w14:paraId="34C6DE71"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gyakorisága</w:t>
            </w:r>
          </w:p>
        </w:tc>
        <w:tc>
          <w:tcPr>
            <w:tcW w:w="2643" w:type="dxa"/>
            <w:tcBorders>
              <w:top w:val="nil"/>
              <w:left w:val="nil"/>
              <w:bottom w:val="single" w:sz="4" w:space="0" w:color="auto"/>
              <w:right w:val="single" w:sz="4" w:space="0" w:color="auto"/>
            </w:tcBorders>
            <w:vAlign w:val="center"/>
          </w:tcPr>
          <w:p w14:paraId="4C506BE4"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teljesítésének módja</w:t>
            </w:r>
          </w:p>
        </w:tc>
        <w:tc>
          <w:tcPr>
            <w:tcW w:w="2177" w:type="dxa"/>
            <w:tcBorders>
              <w:top w:val="nil"/>
              <w:left w:val="nil"/>
              <w:bottom w:val="single" w:sz="4" w:space="0" w:color="auto"/>
              <w:right w:val="single" w:sz="4" w:space="0" w:color="auto"/>
            </w:tcBorders>
            <w:vAlign w:val="center"/>
          </w:tcPr>
          <w:p w14:paraId="4447F7AC"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határideje)</w:t>
            </w:r>
          </w:p>
        </w:tc>
      </w:tr>
      <w:tr w:rsidR="00CB3CC6" w:rsidRPr="002840AB" w14:paraId="16DF4C27" w14:textId="77777777" w:rsidTr="0084334B">
        <w:trPr>
          <w:cantSplit/>
          <w:trHeight w:val="1419"/>
          <w:jc w:val="center"/>
        </w:trPr>
        <w:tc>
          <w:tcPr>
            <w:tcW w:w="657" w:type="dxa"/>
            <w:tcBorders>
              <w:top w:val="nil"/>
              <w:left w:val="single" w:sz="4" w:space="0" w:color="auto"/>
              <w:bottom w:val="single" w:sz="4" w:space="0" w:color="auto"/>
              <w:right w:val="single" w:sz="4" w:space="0" w:color="auto"/>
            </w:tcBorders>
            <w:vAlign w:val="center"/>
          </w:tcPr>
          <w:p w14:paraId="2B863A1B" w14:textId="07CA716D" w:rsidR="00CB3CC6" w:rsidRPr="002840AB" w:rsidRDefault="001C4C0F" w:rsidP="00C572DB">
            <w:pPr>
              <w:jc w:val="center"/>
              <w:rPr>
                <w:rFonts w:ascii="Arial" w:hAnsi="Arial" w:cs="Arial"/>
              </w:rPr>
            </w:pPr>
            <w:r w:rsidRPr="002840AB">
              <w:rPr>
                <w:rFonts w:ascii="Arial" w:hAnsi="Arial" w:cs="Arial"/>
              </w:rPr>
              <w:t>„</w:t>
            </w:r>
            <w:r w:rsidR="00CB3CC6" w:rsidRPr="002840AB">
              <w:rPr>
                <w:rFonts w:ascii="Arial" w:hAnsi="Arial" w:cs="Arial"/>
              </w:rPr>
              <w:t>104a</w:t>
            </w:r>
          </w:p>
        </w:tc>
        <w:tc>
          <w:tcPr>
            <w:tcW w:w="1134" w:type="dxa"/>
            <w:tcBorders>
              <w:top w:val="nil"/>
              <w:left w:val="single" w:sz="4" w:space="0" w:color="auto"/>
              <w:bottom w:val="single" w:sz="4" w:space="0" w:color="auto"/>
              <w:right w:val="single" w:sz="4" w:space="0" w:color="auto"/>
            </w:tcBorders>
            <w:vAlign w:val="center"/>
          </w:tcPr>
          <w:p w14:paraId="576FE271" w14:textId="77777777" w:rsidR="00CB3CC6" w:rsidRPr="002840AB" w:rsidRDefault="00CB3CC6" w:rsidP="00C572DB">
            <w:pPr>
              <w:jc w:val="center"/>
              <w:rPr>
                <w:rFonts w:ascii="Arial" w:hAnsi="Arial" w:cs="Arial"/>
              </w:rPr>
            </w:pPr>
            <w:r w:rsidRPr="002840AB">
              <w:rPr>
                <w:rFonts w:ascii="Arial" w:hAnsi="Arial" w:cs="Arial"/>
              </w:rPr>
              <w:t>P67</w:t>
            </w:r>
          </w:p>
        </w:tc>
        <w:tc>
          <w:tcPr>
            <w:tcW w:w="2599" w:type="dxa"/>
            <w:tcBorders>
              <w:top w:val="nil"/>
              <w:left w:val="nil"/>
              <w:bottom w:val="single" w:sz="4" w:space="0" w:color="auto"/>
              <w:right w:val="single" w:sz="4" w:space="0" w:color="auto"/>
            </w:tcBorders>
            <w:vAlign w:val="center"/>
          </w:tcPr>
          <w:p w14:paraId="6A0AA987" w14:textId="54FC90C8" w:rsidR="00CB3CC6" w:rsidRPr="003A0A5E" w:rsidRDefault="00CB3CC6" w:rsidP="003A0A5E">
            <w:pPr>
              <w:rPr>
                <w:rFonts w:ascii="Arial" w:hAnsi="Arial" w:cs="Arial"/>
              </w:rPr>
            </w:pPr>
            <w:r w:rsidRPr="002840AB">
              <w:rPr>
                <w:rFonts w:ascii="Arial" w:hAnsi="Arial" w:cs="Arial"/>
              </w:rPr>
              <w:t>Lényegi fontosság meghatározása</w:t>
            </w:r>
          </w:p>
        </w:tc>
        <w:tc>
          <w:tcPr>
            <w:tcW w:w="3685" w:type="dxa"/>
            <w:tcBorders>
              <w:top w:val="nil"/>
              <w:left w:val="nil"/>
              <w:bottom w:val="single" w:sz="4" w:space="0" w:color="auto"/>
              <w:right w:val="single" w:sz="4" w:space="0" w:color="auto"/>
            </w:tcBorders>
            <w:vAlign w:val="center"/>
          </w:tcPr>
          <w:p w14:paraId="7A56E5CC" w14:textId="0627A0B5" w:rsidR="00CB3CC6" w:rsidRPr="00B81318" w:rsidRDefault="00F64251" w:rsidP="003A0A5E">
            <w:pPr>
              <w:spacing w:after="0" w:line="240" w:lineRule="auto"/>
              <w:rPr>
                <w:rFonts w:ascii="Arial" w:hAnsi="Arial" w:cs="Arial"/>
              </w:rPr>
            </w:pPr>
            <w:r w:rsidRPr="002840AB">
              <w:rPr>
                <w:rFonts w:ascii="Arial" w:hAnsi="Arial" w:cs="Arial"/>
              </w:rPr>
              <w:t xml:space="preserve">Tpt. 411. §-a alapján </w:t>
            </w:r>
            <w:proofErr w:type="spellStart"/>
            <w:r w:rsidRPr="002840AB">
              <w:rPr>
                <w:rFonts w:ascii="Arial" w:hAnsi="Arial" w:cs="Arial"/>
              </w:rPr>
              <w:t>továbbműködő</w:t>
            </w:r>
            <w:proofErr w:type="spellEnd"/>
            <w:r w:rsidRPr="002840AB">
              <w:rPr>
                <w:rFonts w:ascii="Arial" w:hAnsi="Arial" w:cs="Arial"/>
              </w:rPr>
              <w:t xml:space="preserve"> elszámolóház, központi értéktári tevékenységet végző szervezet, az ezen típusú </w:t>
            </w:r>
            <w:proofErr w:type="spellStart"/>
            <w:r w:rsidRPr="002840AB">
              <w:rPr>
                <w:rFonts w:ascii="Arial" w:hAnsi="Arial" w:cs="Arial"/>
              </w:rPr>
              <w:t>EGT</w:t>
            </w:r>
            <w:proofErr w:type="spellEnd"/>
            <w:r w:rsidRPr="002840AB">
              <w:rPr>
                <w:rFonts w:ascii="Arial" w:hAnsi="Arial" w:cs="Arial"/>
              </w:rPr>
              <w:t>-fióktelep</w:t>
            </w:r>
          </w:p>
        </w:tc>
        <w:tc>
          <w:tcPr>
            <w:tcW w:w="1326" w:type="dxa"/>
            <w:tcBorders>
              <w:top w:val="nil"/>
              <w:left w:val="nil"/>
              <w:bottom w:val="single" w:sz="4" w:space="0" w:color="auto"/>
              <w:right w:val="single" w:sz="4" w:space="0" w:color="auto"/>
            </w:tcBorders>
            <w:vAlign w:val="center"/>
          </w:tcPr>
          <w:p w14:paraId="454C189C" w14:textId="77777777" w:rsidR="00CB3CC6" w:rsidRPr="002840AB" w:rsidRDefault="00CB3CC6" w:rsidP="00C572DB">
            <w:pPr>
              <w:jc w:val="center"/>
              <w:rPr>
                <w:rFonts w:ascii="Arial" w:hAnsi="Arial" w:cs="Arial"/>
              </w:rPr>
            </w:pPr>
            <w:r w:rsidRPr="002840AB">
              <w:rPr>
                <w:rFonts w:ascii="Arial" w:hAnsi="Arial" w:cs="Arial"/>
              </w:rPr>
              <w:t>éves</w:t>
            </w:r>
          </w:p>
        </w:tc>
        <w:tc>
          <w:tcPr>
            <w:tcW w:w="2643" w:type="dxa"/>
            <w:tcBorders>
              <w:top w:val="nil"/>
              <w:left w:val="nil"/>
              <w:bottom w:val="single" w:sz="4" w:space="0" w:color="auto"/>
              <w:right w:val="single" w:sz="4" w:space="0" w:color="auto"/>
            </w:tcBorders>
            <w:vAlign w:val="center"/>
          </w:tcPr>
          <w:p w14:paraId="1358F18A" w14:textId="7107588C" w:rsidR="00CB3CC6" w:rsidRPr="002840AB" w:rsidRDefault="00CB3CC6" w:rsidP="003745EA">
            <w:pPr>
              <w:spacing w:after="0" w:line="240" w:lineRule="auto"/>
              <w:jc w:val="center"/>
              <w:rPr>
                <w:rFonts w:ascii="Arial" w:hAnsi="Arial" w:cs="Arial"/>
              </w:rPr>
            </w:pPr>
            <w:r w:rsidRPr="002840AB">
              <w:rPr>
                <w:rFonts w:ascii="Arial" w:hAnsi="Arial" w:cs="Arial"/>
              </w:rPr>
              <w:t xml:space="preserve">elektronikus úton </w:t>
            </w:r>
            <w:r w:rsidR="00380293">
              <w:rPr>
                <w:rFonts w:ascii="Arial" w:hAnsi="Arial" w:cs="Arial"/>
              </w:rPr>
              <w:br/>
            </w:r>
            <w:r w:rsidRPr="002840AB">
              <w:rPr>
                <w:rFonts w:ascii="Arial" w:hAnsi="Arial" w:cs="Arial"/>
              </w:rPr>
              <w:t>(</w:t>
            </w:r>
            <w:proofErr w:type="spellStart"/>
            <w:r w:rsidRPr="002840AB">
              <w:rPr>
                <w:rFonts w:ascii="Arial" w:hAnsi="Arial" w:cs="Arial"/>
              </w:rPr>
              <w:t>ERA</w:t>
            </w:r>
            <w:proofErr w:type="spellEnd"/>
            <w:r w:rsidRPr="002840AB">
              <w:rPr>
                <w:rFonts w:ascii="Arial" w:hAnsi="Arial" w:cs="Arial"/>
              </w:rPr>
              <w:t xml:space="preserve"> rendszer), fokozott biztonságú vagy minősített elektronikus aláírással ellátva</w:t>
            </w:r>
          </w:p>
        </w:tc>
        <w:tc>
          <w:tcPr>
            <w:tcW w:w="2177" w:type="dxa"/>
            <w:tcBorders>
              <w:top w:val="nil"/>
              <w:left w:val="nil"/>
              <w:bottom w:val="single" w:sz="4" w:space="0" w:color="auto"/>
              <w:right w:val="single" w:sz="4" w:space="0" w:color="auto"/>
            </w:tcBorders>
            <w:vAlign w:val="center"/>
          </w:tcPr>
          <w:p w14:paraId="5636FEF1" w14:textId="77777777" w:rsidR="00CB3CC6" w:rsidRPr="002840AB" w:rsidRDefault="00CB3CC6" w:rsidP="00C572DB">
            <w:pPr>
              <w:jc w:val="center"/>
              <w:rPr>
                <w:rFonts w:ascii="Arial" w:hAnsi="Arial" w:cs="Arial"/>
              </w:rPr>
            </w:pPr>
            <w:r w:rsidRPr="002840AB">
              <w:rPr>
                <w:rFonts w:ascii="Arial" w:hAnsi="Arial" w:cs="Arial"/>
              </w:rPr>
              <w:t>tárgyidőszakot követő év január 31.</w:t>
            </w:r>
          </w:p>
        </w:tc>
      </w:tr>
      <w:tr w:rsidR="00CB3CC6" w:rsidRPr="002840AB" w14:paraId="4DC40061" w14:textId="77777777" w:rsidTr="0084334B">
        <w:trPr>
          <w:cantSplit/>
          <w:trHeight w:val="1392"/>
          <w:jc w:val="center"/>
        </w:trPr>
        <w:tc>
          <w:tcPr>
            <w:tcW w:w="657" w:type="dxa"/>
            <w:tcBorders>
              <w:top w:val="nil"/>
              <w:left w:val="single" w:sz="4" w:space="0" w:color="auto"/>
              <w:bottom w:val="single" w:sz="4" w:space="0" w:color="auto"/>
              <w:right w:val="single" w:sz="4" w:space="0" w:color="auto"/>
            </w:tcBorders>
            <w:vAlign w:val="center"/>
          </w:tcPr>
          <w:p w14:paraId="0F793D87" w14:textId="77777777" w:rsidR="00CB3CC6" w:rsidRPr="002840AB" w:rsidRDefault="00CB3CC6" w:rsidP="00C572DB">
            <w:pPr>
              <w:jc w:val="center"/>
              <w:rPr>
                <w:rFonts w:ascii="Arial" w:hAnsi="Arial" w:cs="Arial"/>
              </w:rPr>
            </w:pPr>
            <w:r w:rsidRPr="002840AB">
              <w:rPr>
                <w:rFonts w:ascii="Arial" w:hAnsi="Arial" w:cs="Arial"/>
              </w:rPr>
              <w:t>104b</w:t>
            </w:r>
          </w:p>
        </w:tc>
        <w:tc>
          <w:tcPr>
            <w:tcW w:w="1134" w:type="dxa"/>
            <w:tcBorders>
              <w:top w:val="nil"/>
              <w:left w:val="single" w:sz="4" w:space="0" w:color="auto"/>
              <w:bottom w:val="single" w:sz="4" w:space="0" w:color="auto"/>
              <w:right w:val="single" w:sz="4" w:space="0" w:color="auto"/>
            </w:tcBorders>
            <w:vAlign w:val="center"/>
          </w:tcPr>
          <w:p w14:paraId="393A10DA" w14:textId="77777777" w:rsidR="00CB3CC6" w:rsidRPr="002840AB" w:rsidRDefault="00CB3CC6" w:rsidP="00C572DB">
            <w:pPr>
              <w:jc w:val="center"/>
              <w:rPr>
                <w:rFonts w:ascii="Arial" w:hAnsi="Arial" w:cs="Arial"/>
              </w:rPr>
            </w:pPr>
            <w:r w:rsidRPr="002840AB">
              <w:rPr>
                <w:rFonts w:ascii="Arial" w:hAnsi="Arial" w:cs="Arial"/>
              </w:rPr>
              <w:t>P68</w:t>
            </w:r>
          </w:p>
        </w:tc>
        <w:tc>
          <w:tcPr>
            <w:tcW w:w="2599" w:type="dxa"/>
            <w:tcBorders>
              <w:top w:val="nil"/>
              <w:left w:val="nil"/>
              <w:bottom w:val="single" w:sz="4" w:space="0" w:color="auto"/>
              <w:right w:val="single" w:sz="4" w:space="0" w:color="auto"/>
            </w:tcBorders>
            <w:vAlign w:val="center"/>
          </w:tcPr>
          <w:p w14:paraId="7DD8D197" w14:textId="5720ED28" w:rsidR="00CB3CC6" w:rsidRPr="003A0A5E" w:rsidRDefault="00CB3CC6" w:rsidP="003A0A5E">
            <w:pPr>
              <w:rPr>
                <w:rFonts w:ascii="Arial" w:hAnsi="Arial" w:cs="Arial"/>
              </w:rPr>
            </w:pPr>
            <w:r w:rsidRPr="002840AB">
              <w:rPr>
                <w:rFonts w:ascii="Arial" w:hAnsi="Arial" w:cs="Arial"/>
              </w:rPr>
              <w:t>Leginkább releváns pénznemek meghatározása</w:t>
            </w:r>
          </w:p>
        </w:tc>
        <w:tc>
          <w:tcPr>
            <w:tcW w:w="3685" w:type="dxa"/>
            <w:tcBorders>
              <w:top w:val="nil"/>
              <w:left w:val="nil"/>
              <w:bottom w:val="single" w:sz="4" w:space="0" w:color="auto"/>
              <w:right w:val="single" w:sz="4" w:space="0" w:color="auto"/>
            </w:tcBorders>
            <w:vAlign w:val="center"/>
          </w:tcPr>
          <w:p w14:paraId="65B164FA" w14:textId="372C3909" w:rsidR="00CB3CC6" w:rsidRPr="00B81318" w:rsidRDefault="00F64251" w:rsidP="003A0A5E">
            <w:pPr>
              <w:spacing w:after="0" w:line="240" w:lineRule="auto"/>
              <w:rPr>
                <w:rFonts w:ascii="Arial" w:hAnsi="Arial" w:cs="Arial"/>
              </w:rPr>
            </w:pPr>
            <w:r w:rsidRPr="002840AB">
              <w:rPr>
                <w:rFonts w:ascii="Arial" w:hAnsi="Arial" w:cs="Arial"/>
              </w:rPr>
              <w:t xml:space="preserve">Tpt. 411. §-a alapján </w:t>
            </w:r>
            <w:proofErr w:type="spellStart"/>
            <w:r w:rsidRPr="002840AB">
              <w:rPr>
                <w:rFonts w:ascii="Arial" w:hAnsi="Arial" w:cs="Arial"/>
              </w:rPr>
              <w:t>továbbműködő</w:t>
            </w:r>
            <w:proofErr w:type="spellEnd"/>
            <w:r w:rsidRPr="002840AB">
              <w:rPr>
                <w:rFonts w:ascii="Arial" w:hAnsi="Arial" w:cs="Arial"/>
              </w:rPr>
              <w:t xml:space="preserve"> elszámolóház, központi értéktári tevékenységet végző szervezet, az ezen típusú </w:t>
            </w:r>
            <w:proofErr w:type="spellStart"/>
            <w:r w:rsidRPr="002840AB">
              <w:rPr>
                <w:rFonts w:ascii="Arial" w:hAnsi="Arial" w:cs="Arial"/>
              </w:rPr>
              <w:t>EGT</w:t>
            </w:r>
            <w:proofErr w:type="spellEnd"/>
            <w:r w:rsidRPr="002840AB">
              <w:rPr>
                <w:rFonts w:ascii="Arial" w:hAnsi="Arial" w:cs="Arial"/>
              </w:rPr>
              <w:t>-fióktelep</w:t>
            </w:r>
          </w:p>
        </w:tc>
        <w:tc>
          <w:tcPr>
            <w:tcW w:w="1326" w:type="dxa"/>
            <w:tcBorders>
              <w:top w:val="nil"/>
              <w:left w:val="nil"/>
              <w:bottom w:val="single" w:sz="4" w:space="0" w:color="auto"/>
              <w:right w:val="single" w:sz="4" w:space="0" w:color="auto"/>
            </w:tcBorders>
            <w:vAlign w:val="center"/>
          </w:tcPr>
          <w:p w14:paraId="4FC6B727" w14:textId="77777777" w:rsidR="00CB3CC6" w:rsidRPr="002840AB" w:rsidRDefault="00CB3CC6" w:rsidP="00C572DB">
            <w:pPr>
              <w:jc w:val="center"/>
              <w:rPr>
                <w:rFonts w:ascii="Arial" w:hAnsi="Arial" w:cs="Arial"/>
              </w:rPr>
            </w:pPr>
            <w:r w:rsidRPr="002840AB">
              <w:rPr>
                <w:rFonts w:ascii="Arial" w:hAnsi="Arial" w:cs="Arial"/>
              </w:rPr>
              <w:t>éves</w:t>
            </w:r>
          </w:p>
        </w:tc>
        <w:tc>
          <w:tcPr>
            <w:tcW w:w="2643" w:type="dxa"/>
            <w:tcBorders>
              <w:top w:val="nil"/>
              <w:left w:val="nil"/>
              <w:bottom w:val="single" w:sz="4" w:space="0" w:color="auto"/>
              <w:right w:val="single" w:sz="4" w:space="0" w:color="auto"/>
            </w:tcBorders>
            <w:vAlign w:val="center"/>
          </w:tcPr>
          <w:p w14:paraId="156D2584" w14:textId="032849A8" w:rsidR="00CB3CC6" w:rsidRPr="002840AB" w:rsidRDefault="00596465" w:rsidP="003745EA">
            <w:pPr>
              <w:spacing w:after="0" w:line="240" w:lineRule="auto"/>
              <w:jc w:val="center"/>
              <w:rPr>
                <w:rFonts w:ascii="Arial" w:hAnsi="Arial" w:cs="Arial"/>
              </w:rPr>
            </w:pPr>
            <w:r w:rsidRPr="002840AB">
              <w:rPr>
                <w:rFonts w:ascii="Arial" w:hAnsi="Arial" w:cs="Arial"/>
              </w:rPr>
              <w:t xml:space="preserve">elektronikus úton </w:t>
            </w:r>
            <w:r>
              <w:rPr>
                <w:rFonts w:ascii="Arial" w:hAnsi="Arial" w:cs="Arial"/>
              </w:rPr>
              <w:br/>
            </w:r>
            <w:r w:rsidRPr="002840AB">
              <w:rPr>
                <w:rFonts w:ascii="Arial" w:hAnsi="Arial" w:cs="Arial"/>
              </w:rPr>
              <w:t>(</w:t>
            </w:r>
            <w:proofErr w:type="spellStart"/>
            <w:r w:rsidRPr="002840AB">
              <w:rPr>
                <w:rFonts w:ascii="Arial" w:hAnsi="Arial" w:cs="Arial"/>
              </w:rPr>
              <w:t>ERA</w:t>
            </w:r>
            <w:proofErr w:type="spellEnd"/>
            <w:r w:rsidRPr="002840AB">
              <w:rPr>
                <w:rFonts w:ascii="Arial" w:hAnsi="Arial" w:cs="Arial"/>
              </w:rPr>
              <w:t xml:space="preserve"> rendszer), fokozott biztonságú vagy minősített elektronikus aláírással ellátva</w:t>
            </w:r>
          </w:p>
        </w:tc>
        <w:tc>
          <w:tcPr>
            <w:tcW w:w="2177" w:type="dxa"/>
            <w:tcBorders>
              <w:top w:val="nil"/>
              <w:left w:val="nil"/>
              <w:bottom w:val="single" w:sz="4" w:space="0" w:color="auto"/>
              <w:right w:val="single" w:sz="4" w:space="0" w:color="auto"/>
            </w:tcBorders>
            <w:vAlign w:val="center"/>
          </w:tcPr>
          <w:p w14:paraId="17450455" w14:textId="17337919" w:rsidR="00CB3CC6" w:rsidRPr="002840AB" w:rsidRDefault="00CB3CC6" w:rsidP="00C572DB">
            <w:pPr>
              <w:jc w:val="center"/>
              <w:rPr>
                <w:rFonts w:ascii="Arial" w:hAnsi="Arial" w:cs="Arial"/>
              </w:rPr>
            </w:pPr>
            <w:r w:rsidRPr="002840AB">
              <w:rPr>
                <w:rFonts w:ascii="Arial" w:hAnsi="Arial" w:cs="Arial"/>
              </w:rPr>
              <w:t>tárgyidőszakot követő év január 31.</w:t>
            </w:r>
          </w:p>
        </w:tc>
      </w:tr>
      <w:tr w:rsidR="00980F17" w:rsidRPr="002840AB" w14:paraId="1C71567A" w14:textId="77777777" w:rsidTr="0084334B">
        <w:trPr>
          <w:cantSplit/>
          <w:trHeight w:val="1392"/>
          <w:jc w:val="center"/>
        </w:trPr>
        <w:tc>
          <w:tcPr>
            <w:tcW w:w="657" w:type="dxa"/>
            <w:tcBorders>
              <w:top w:val="nil"/>
              <w:left w:val="single" w:sz="4" w:space="0" w:color="auto"/>
              <w:bottom w:val="single" w:sz="4" w:space="0" w:color="auto"/>
              <w:right w:val="single" w:sz="4" w:space="0" w:color="auto"/>
            </w:tcBorders>
            <w:vAlign w:val="center"/>
          </w:tcPr>
          <w:p w14:paraId="5D4D4F40" w14:textId="3BF50417" w:rsidR="00980F17" w:rsidRPr="002840AB" w:rsidRDefault="00980F17" w:rsidP="00380293">
            <w:pPr>
              <w:jc w:val="center"/>
              <w:rPr>
                <w:rFonts w:ascii="Arial" w:hAnsi="Arial" w:cs="Arial"/>
              </w:rPr>
            </w:pPr>
            <w:r w:rsidRPr="002840AB">
              <w:rPr>
                <w:rFonts w:ascii="Arial" w:hAnsi="Arial" w:cs="Arial"/>
              </w:rPr>
              <w:t>104</w:t>
            </w:r>
            <w:r>
              <w:rPr>
                <w:rFonts w:ascii="Arial" w:hAnsi="Arial" w:cs="Arial"/>
              </w:rPr>
              <w:t>c</w:t>
            </w:r>
          </w:p>
        </w:tc>
        <w:tc>
          <w:tcPr>
            <w:tcW w:w="1134" w:type="dxa"/>
            <w:tcBorders>
              <w:top w:val="nil"/>
              <w:left w:val="single" w:sz="4" w:space="0" w:color="auto"/>
              <w:bottom w:val="single" w:sz="4" w:space="0" w:color="auto"/>
              <w:right w:val="single" w:sz="4" w:space="0" w:color="auto"/>
            </w:tcBorders>
            <w:vAlign w:val="center"/>
          </w:tcPr>
          <w:p w14:paraId="79E62450" w14:textId="50C5B6BE" w:rsidR="00980F17" w:rsidRPr="002840AB" w:rsidRDefault="00980F17" w:rsidP="00380293">
            <w:pPr>
              <w:jc w:val="center"/>
              <w:rPr>
                <w:rFonts w:ascii="Arial" w:hAnsi="Arial" w:cs="Arial"/>
              </w:rPr>
            </w:pPr>
            <w:r w:rsidRPr="002840AB">
              <w:rPr>
                <w:rFonts w:ascii="Arial" w:hAnsi="Arial" w:cs="Arial"/>
              </w:rPr>
              <w:t>P6</w:t>
            </w:r>
            <w:r>
              <w:rPr>
                <w:rFonts w:ascii="Arial" w:hAnsi="Arial" w:cs="Arial"/>
              </w:rPr>
              <w:t>9</w:t>
            </w:r>
          </w:p>
        </w:tc>
        <w:tc>
          <w:tcPr>
            <w:tcW w:w="2599" w:type="dxa"/>
            <w:tcBorders>
              <w:top w:val="nil"/>
              <w:left w:val="nil"/>
              <w:bottom w:val="single" w:sz="4" w:space="0" w:color="auto"/>
              <w:right w:val="single" w:sz="4" w:space="0" w:color="auto"/>
            </w:tcBorders>
            <w:vAlign w:val="center"/>
          </w:tcPr>
          <w:p w14:paraId="113BE12D" w14:textId="66544C9A" w:rsidR="00980F17" w:rsidRPr="003A0A5E" w:rsidRDefault="0084334B" w:rsidP="003A0A5E">
            <w:pPr>
              <w:rPr>
                <w:rFonts w:ascii="Arial" w:hAnsi="Arial" w:cs="Arial"/>
              </w:rPr>
            </w:pPr>
            <w:r>
              <w:rPr>
                <w:rFonts w:ascii="Arial" w:hAnsi="Arial" w:cs="Arial"/>
              </w:rPr>
              <w:t>A pénzforgalmi szolgáltatás nyújtásáról szóló 2009. évi LXXXV. törvény 55/A. § (2) bekezdése szerinti jelentés</w:t>
            </w:r>
          </w:p>
        </w:tc>
        <w:tc>
          <w:tcPr>
            <w:tcW w:w="3685" w:type="dxa"/>
            <w:tcBorders>
              <w:top w:val="nil"/>
              <w:left w:val="nil"/>
              <w:bottom w:val="single" w:sz="4" w:space="0" w:color="auto"/>
              <w:right w:val="single" w:sz="4" w:space="0" w:color="auto"/>
            </w:tcBorders>
            <w:vAlign w:val="center"/>
          </w:tcPr>
          <w:p w14:paraId="4411A290" w14:textId="03D97735" w:rsidR="00980F17" w:rsidRPr="00B81318" w:rsidRDefault="0084334B" w:rsidP="003A0A5E">
            <w:pPr>
              <w:spacing w:after="0" w:line="240" w:lineRule="auto"/>
              <w:rPr>
                <w:rFonts w:ascii="Arial" w:hAnsi="Arial" w:cs="Arial"/>
              </w:rPr>
            </w:pPr>
            <w:r w:rsidRPr="00F2336C">
              <w:rPr>
                <w:rFonts w:ascii="Arial" w:hAnsi="Arial" w:cs="Arial"/>
              </w:rPr>
              <w:t xml:space="preserve">pénzforgalmi szolgáltató, az ezen típusú </w:t>
            </w:r>
            <w:proofErr w:type="spellStart"/>
            <w:r w:rsidRPr="00F2336C">
              <w:rPr>
                <w:rFonts w:ascii="Arial" w:hAnsi="Arial" w:cs="Arial"/>
              </w:rPr>
              <w:t>EGT</w:t>
            </w:r>
            <w:proofErr w:type="spellEnd"/>
            <w:r w:rsidRPr="00F2336C">
              <w:rPr>
                <w:rFonts w:ascii="Arial" w:hAnsi="Arial" w:cs="Arial"/>
              </w:rPr>
              <w:t>-fióktelep</w:t>
            </w:r>
          </w:p>
        </w:tc>
        <w:tc>
          <w:tcPr>
            <w:tcW w:w="1326" w:type="dxa"/>
            <w:tcBorders>
              <w:top w:val="nil"/>
              <w:left w:val="nil"/>
              <w:bottom w:val="single" w:sz="4" w:space="0" w:color="auto"/>
              <w:right w:val="single" w:sz="4" w:space="0" w:color="auto"/>
            </w:tcBorders>
            <w:vAlign w:val="center"/>
          </w:tcPr>
          <w:p w14:paraId="60BAB887" w14:textId="77777777" w:rsidR="00980F17" w:rsidRPr="002840AB" w:rsidRDefault="00980F17" w:rsidP="00380293">
            <w:pPr>
              <w:jc w:val="center"/>
              <w:rPr>
                <w:rFonts w:ascii="Arial" w:hAnsi="Arial" w:cs="Arial"/>
              </w:rPr>
            </w:pPr>
            <w:r w:rsidRPr="002840AB">
              <w:rPr>
                <w:rFonts w:ascii="Arial" w:hAnsi="Arial" w:cs="Arial"/>
              </w:rPr>
              <w:t>éves</w:t>
            </w:r>
          </w:p>
        </w:tc>
        <w:tc>
          <w:tcPr>
            <w:tcW w:w="2643" w:type="dxa"/>
            <w:tcBorders>
              <w:top w:val="nil"/>
              <w:left w:val="nil"/>
              <w:bottom w:val="single" w:sz="4" w:space="0" w:color="auto"/>
              <w:right w:val="single" w:sz="4" w:space="0" w:color="auto"/>
            </w:tcBorders>
            <w:vAlign w:val="center"/>
          </w:tcPr>
          <w:p w14:paraId="7645F678" w14:textId="62C5FB2E" w:rsidR="00980F17" w:rsidRPr="002840AB" w:rsidRDefault="00596465" w:rsidP="00380293">
            <w:pPr>
              <w:spacing w:after="0" w:line="240" w:lineRule="auto"/>
              <w:jc w:val="center"/>
              <w:rPr>
                <w:rFonts w:ascii="Arial" w:hAnsi="Arial" w:cs="Arial"/>
              </w:rPr>
            </w:pPr>
            <w:r w:rsidRPr="002840AB">
              <w:rPr>
                <w:rFonts w:ascii="Arial" w:hAnsi="Arial" w:cs="Arial"/>
              </w:rPr>
              <w:t xml:space="preserve">elektronikus úton </w:t>
            </w:r>
            <w:r>
              <w:rPr>
                <w:rFonts w:ascii="Arial" w:hAnsi="Arial" w:cs="Arial"/>
              </w:rPr>
              <w:br/>
            </w:r>
            <w:r w:rsidRPr="002840AB">
              <w:rPr>
                <w:rFonts w:ascii="Arial" w:hAnsi="Arial" w:cs="Arial"/>
              </w:rPr>
              <w:t>(</w:t>
            </w:r>
            <w:proofErr w:type="spellStart"/>
            <w:r w:rsidRPr="002840AB">
              <w:rPr>
                <w:rFonts w:ascii="Arial" w:hAnsi="Arial" w:cs="Arial"/>
              </w:rPr>
              <w:t>ERA</w:t>
            </w:r>
            <w:proofErr w:type="spellEnd"/>
            <w:r w:rsidRPr="002840AB">
              <w:rPr>
                <w:rFonts w:ascii="Arial" w:hAnsi="Arial" w:cs="Arial"/>
              </w:rPr>
              <w:t xml:space="preserve"> rendszer</w:t>
            </w:r>
            <w:r w:rsidR="006D4F7A">
              <w:rPr>
                <w:rFonts w:ascii="Arial" w:hAnsi="Arial" w:cs="Arial"/>
              </w:rPr>
              <w:t>, űrlap</w:t>
            </w:r>
            <w:r w:rsidRPr="002840AB">
              <w:rPr>
                <w:rFonts w:ascii="Arial" w:hAnsi="Arial" w:cs="Arial"/>
              </w:rPr>
              <w:t>), fokozott biztonságú vagy minősített elektronikus aláírással ellátva</w:t>
            </w:r>
          </w:p>
        </w:tc>
        <w:tc>
          <w:tcPr>
            <w:tcW w:w="2177" w:type="dxa"/>
            <w:tcBorders>
              <w:top w:val="nil"/>
              <w:left w:val="nil"/>
              <w:bottom w:val="single" w:sz="4" w:space="0" w:color="auto"/>
              <w:right w:val="single" w:sz="4" w:space="0" w:color="auto"/>
            </w:tcBorders>
            <w:vAlign w:val="center"/>
          </w:tcPr>
          <w:p w14:paraId="750D5B37" w14:textId="1308DA9A" w:rsidR="00980F17" w:rsidRPr="002840AB" w:rsidRDefault="0084334B" w:rsidP="00380293">
            <w:pPr>
              <w:jc w:val="center"/>
              <w:rPr>
                <w:rFonts w:ascii="Arial" w:hAnsi="Arial" w:cs="Arial"/>
              </w:rPr>
            </w:pPr>
            <w:r>
              <w:rPr>
                <w:rFonts w:ascii="Arial" w:hAnsi="Arial" w:cs="Arial"/>
              </w:rPr>
              <w:t>tárgyidőszakot követő év m</w:t>
            </w:r>
            <w:r w:rsidRPr="004E0684">
              <w:rPr>
                <w:rFonts w:ascii="Arial" w:hAnsi="Arial" w:cs="Arial"/>
              </w:rPr>
              <w:t xml:space="preserve">árcius </w:t>
            </w:r>
            <w:r>
              <w:rPr>
                <w:rFonts w:ascii="Arial" w:hAnsi="Arial" w:cs="Arial"/>
              </w:rPr>
              <w:t>31.”</w:t>
            </w:r>
          </w:p>
        </w:tc>
      </w:tr>
    </w:tbl>
    <w:p w14:paraId="21B275CA" w14:textId="03FA82D8" w:rsidR="003745EA" w:rsidRDefault="00CB3CC6" w:rsidP="00980F17">
      <w:pPr>
        <w:keepNext/>
        <w:spacing w:after="0" w:line="240" w:lineRule="auto"/>
        <w:jc w:val="left"/>
        <w:rPr>
          <w:rFonts w:ascii="Arial" w:hAnsi="Arial" w:cs="Arial"/>
        </w:rPr>
      </w:pPr>
      <w:r w:rsidRPr="002840AB">
        <w:rPr>
          <w:rFonts w:ascii="Arial" w:hAnsi="Arial" w:cs="Arial"/>
        </w:rPr>
        <w:lastRenderedPageBreak/>
        <w:t>2. A 38/2018. (XI. 14.) MNB rendelet 1. melléklet I. pontjában foglalt táblázat 144 sora helyébe a következő sor lép:</w:t>
      </w:r>
    </w:p>
    <w:p w14:paraId="31E5F54A" w14:textId="3631706A" w:rsidR="00CB3CC6" w:rsidRPr="002840AB" w:rsidRDefault="00CB3CC6" w:rsidP="00980F17">
      <w:pPr>
        <w:keepNext/>
        <w:spacing w:after="0" w:line="240" w:lineRule="auto"/>
        <w:jc w:val="left"/>
        <w:rPr>
          <w:rFonts w:ascii="Arial" w:hAnsi="Arial" w:cs="Arial"/>
        </w:rPr>
      </w:pPr>
      <w:r w:rsidRPr="002840AB">
        <w:rPr>
          <w:rFonts w:ascii="Arial" w:hAnsi="Arial" w:cs="Arial"/>
        </w:rPr>
        <w:t xml:space="preserve"> </w:t>
      </w:r>
    </w:p>
    <w:tbl>
      <w:tblPr>
        <w:tblW w:w="14221" w:type="dxa"/>
        <w:jc w:val="center"/>
        <w:tblLayout w:type="fixed"/>
        <w:tblCellMar>
          <w:left w:w="70" w:type="dxa"/>
          <w:right w:w="70" w:type="dxa"/>
        </w:tblCellMar>
        <w:tblLook w:val="0000" w:firstRow="0" w:lastRow="0" w:firstColumn="0" w:lastColumn="0" w:noHBand="0" w:noVBand="0"/>
      </w:tblPr>
      <w:tblGrid>
        <w:gridCol w:w="657"/>
        <w:gridCol w:w="1134"/>
        <w:gridCol w:w="2828"/>
        <w:gridCol w:w="2889"/>
        <w:gridCol w:w="1276"/>
        <w:gridCol w:w="2602"/>
        <w:gridCol w:w="2835"/>
      </w:tblGrid>
      <w:tr w:rsidR="00CB3CC6" w:rsidRPr="002840AB" w14:paraId="2BB55712" w14:textId="77777777" w:rsidTr="003745EA">
        <w:trPr>
          <w:cantSplit/>
          <w:trHeight w:val="93"/>
          <w:tblHeader/>
          <w:jc w:val="center"/>
        </w:trPr>
        <w:tc>
          <w:tcPr>
            <w:tcW w:w="657" w:type="dxa"/>
            <w:tcBorders>
              <w:top w:val="single" w:sz="4" w:space="0" w:color="auto"/>
              <w:left w:val="single" w:sz="4" w:space="0" w:color="auto"/>
              <w:right w:val="single" w:sz="4" w:space="0" w:color="auto"/>
            </w:tcBorders>
            <w:vAlign w:val="bottom"/>
          </w:tcPr>
          <w:p w14:paraId="5DFFDDDD" w14:textId="77777777" w:rsidR="00CB3CC6" w:rsidRPr="002840AB" w:rsidRDefault="00CB3CC6" w:rsidP="00C572DB">
            <w:pPr>
              <w:jc w:val="center"/>
              <w:rPr>
                <w:rFonts w:ascii="Arial" w:hAnsi="Arial" w:cs="Arial"/>
                <w:b/>
                <w:bCs/>
              </w:rPr>
            </w:pPr>
          </w:p>
        </w:tc>
        <w:tc>
          <w:tcPr>
            <w:tcW w:w="1134" w:type="dxa"/>
            <w:tcBorders>
              <w:top w:val="single" w:sz="4" w:space="0" w:color="auto"/>
              <w:left w:val="single" w:sz="4" w:space="0" w:color="auto"/>
              <w:right w:val="single" w:sz="4" w:space="0" w:color="auto"/>
            </w:tcBorders>
            <w:vAlign w:val="bottom"/>
          </w:tcPr>
          <w:p w14:paraId="3BEF5A27"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 xml:space="preserve">(MNB azonosító </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14:paraId="68624F1A"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Megnevezés</w:t>
            </w:r>
          </w:p>
        </w:tc>
        <w:tc>
          <w:tcPr>
            <w:tcW w:w="2889" w:type="dxa"/>
            <w:vMerge w:val="restart"/>
            <w:tcBorders>
              <w:top w:val="single" w:sz="4" w:space="0" w:color="auto"/>
              <w:left w:val="single" w:sz="4" w:space="0" w:color="auto"/>
              <w:bottom w:val="single" w:sz="4" w:space="0" w:color="auto"/>
              <w:right w:val="single" w:sz="4" w:space="0" w:color="auto"/>
            </w:tcBorders>
            <w:vAlign w:val="center"/>
          </w:tcPr>
          <w:p w14:paraId="1E81767C"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Az adatszolgáltatók köre</w:t>
            </w:r>
          </w:p>
        </w:tc>
        <w:tc>
          <w:tcPr>
            <w:tcW w:w="6713" w:type="dxa"/>
            <w:gridSpan w:val="3"/>
            <w:tcBorders>
              <w:top w:val="single" w:sz="4" w:space="0" w:color="auto"/>
              <w:left w:val="nil"/>
              <w:bottom w:val="single" w:sz="4" w:space="0" w:color="auto"/>
              <w:right w:val="single" w:sz="4" w:space="0" w:color="auto"/>
            </w:tcBorders>
            <w:vAlign w:val="center"/>
          </w:tcPr>
          <w:p w14:paraId="67AB24F2"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Az adatszolgáltatás</w:t>
            </w:r>
          </w:p>
        </w:tc>
      </w:tr>
      <w:tr w:rsidR="00CB3CC6" w:rsidRPr="002840AB" w14:paraId="5CC9EE1F" w14:textId="77777777" w:rsidTr="003745EA">
        <w:trPr>
          <w:cantSplit/>
          <w:trHeight w:val="200"/>
          <w:tblHeader/>
          <w:jc w:val="center"/>
        </w:trPr>
        <w:tc>
          <w:tcPr>
            <w:tcW w:w="657" w:type="dxa"/>
            <w:tcBorders>
              <w:left w:val="single" w:sz="4" w:space="0" w:color="auto"/>
              <w:bottom w:val="single" w:sz="4" w:space="0" w:color="auto"/>
              <w:right w:val="single" w:sz="4" w:space="0" w:color="auto"/>
            </w:tcBorders>
          </w:tcPr>
          <w:p w14:paraId="66DA0A61" w14:textId="77777777" w:rsidR="00CB3CC6" w:rsidRPr="002840AB" w:rsidRDefault="00CB3CC6" w:rsidP="00C572DB">
            <w:pPr>
              <w:jc w:val="center"/>
              <w:rPr>
                <w:rFonts w:ascii="Arial" w:hAnsi="Arial" w:cs="Arial"/>
                <w:b/>
                <w:bCs/>
              </w:rPr>
            </w:pPr>
          </w:p>
        </w:tc>
        <w:tc>
          <w:tcPr>
            <w:tcW w:w="1134" w:type="dxa"/>
            <w:tcBorders>
              <w:left w:val="single" w:sz="4" w:space="0" w:color="auto"/>
              <w:bottom w:val="single" w:sz="4" w:space="0" w:color="auto"/>
              <w:right w:val="single" w:sz="4" w:space="0" w:color="auto"/>
            </w:tcBorders>
          </w:tcPr>
          <w:p w14:paraId="55CD17F5"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kód</w:t>
            </w:r>
          </w:p>
        </w:tc>
        <w:tc>
          <w:tcPr>
            <w:tcW w:w="2828" w:type="dxa"/>
            <w:vMerge/>
            <w:tcBorders>
              <w:top w:val="single" w:sz="4" w:space="0" w:color="auto"/>
              <w:left w:val="single" w:sz="4" w:space="0" w:color="auto"/>
              <w:bottom w:val="single" w:sz="4" w:space="0" w:color="auto"/>
              <w:right w:val="single" w:sz="4" w:space="0" w:color="auto"/>
            </w:tcBorders>
            <w:vAlign w:val="center"/>
          </w:tcPr>
          <w:p w14:paraId="381D0159" w14:textId="77777777" w:rsidR="00CB3CC6" w:rsidRPr="002840AB" w:rsidRDefault="00CB3CC6" w:rsidP="003745EA">
            <w:pPr>
              <w:spacing w:after="0" w:line="240" w:lineRule="auto"/>
              <w:rPr>
                <w:rFonts w:ascii="Arial" w:hAnsi="Arial" w:cs="Arial"/>
                <w:bCs/>
                <w:i/>
              </w:rPr>
            </w:pPr>
          </w:p>
        </w:tc>
        <w:tc>
          <w:tcPr>
            <w:tcW w:w="2889" w:type="dxa"/>
            <w:vMerge/>
            <w:tcBorders>
              <w:top w:val="single" w:sz="4" w:space="0" w:color="auto"/>
              <w:left w:val="single" w:sz="4" w:space="0" w:color="auto"/>
              <w:bottom w:val="single" w:sz="4" w:space="0" w:color="auto"/>
              <w:right w:val="single" w:sz="4" w:space="0" w:color="auto"/>
            </w:tcBorders>
            <w:vAlign w:val="center"/>
          </w:tcPr>
          <w:p w14:paraId="4BC98A06" w14:textId="77777777" w:rsidR="00CB3CC6" w:rsidRPr="002840AB" w:rsidRDefault="00CB3CC6" w:rsidP="003745EA">
            <w:pPr>
              <w:spacing w:after="0" w:line="240" w:lineRule="auto"/>
              <w:rPr>
                <w:rFonts w:ascii="Arial" w:hAnsi="Arial" w:cs="Arial"/>
                <w:bCs/>
                <w:i/>
              </w:rPr>
            </w:pPr>
          </w:p>
        </w:tc>
        <w:tc>
          <w:tcPr>
            <w:tcW w:w="1276" w:type="dxa"/>
            <w:tcBorders>
              <w:top w:val="nil"/>
              <w:left w:val="nil"/>
              <w:bottom w:val="single" w:sz="4" w:space="0" w:color="auto"/>
              <w:right w:val="single" w:sz="4" w:space="0" w:color="auto"/>
            </w:tcBorders>
            <w:vAlign w:val="center"/>
          </w:tcPr>
          <w:p w14:paraId="0DC0E817"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gyakorisága</w:t>
            </w:r>
          </w:p>
        </w:tc>
        <w:tc>
          <w:tcPr>
            <w:tcW w:w="2602" w:type="dxa"/>
            <w:tcBorders>
              <w:top w:val="nil"/>
              <w:left w:val="nil"/>
              <w:bottom w:val="single" w:sz="4" w:space="0" w:color="auto"/>
              <w:right w:val="single" w:sz="4" w:space="0" w:color="auto"/>
            </w:tcBorders>
            <w:vAlign w:val="center"/>
          </w:tcPr>
          <w:p w14:paraId="3C948103"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teljesítésének módja</w:t>
            </w:r>
          </w:p>
        </w:tc>
        <w:tc>
          <w:tcPr>
            <w:tcW w:w="2835" w:type="dxa"/>
            <w:tcBorders>
              <w:top w:val="nil"/>
              <w:left w:val="nil"/>
              <w:bottom w:val="single" w:sz="4" w:space="0" w:color="auto"/>
              <w:right w:val="single" w:sz="4" w:space="0" w:color="auto"/>
            </w:tcBorders>
            <w:vAlign w:val="center"/>
          </w:tcPr>
          <w:p w14:paraId="282634F2" w14:textId="77777777" w:rsidR="00CB3CC6" w:rsidRPr="002840AB" w:rsidRDefault="00CB3CC6" w:rsidP="003745EA">
            <w:pPr>
              <w:spacing w:after="0" w:line="240" w:lineRule="auto"/>
              <w:jc w:val="center"/>
              <w:rPr>
                <w:rFonts w:ascii="Arial" w:hAnsi="Arial" w:cs="Arial"/>
                <w:bCs/>
                <w:i/>
              </w:rPr>
            </w:pPr>
            <w:r w:rsidRPr="002840AB">
              <w:rPr>
                <w:rFonts w:ascii="Arial" w:hAnsi="Arial" w:cs="Arial"/>
                <w:bCs/>
                <w:i/>
              </w:rPr>
              <w:t>határideje)</w:t>
            </w:r>
          </w:p>
        </w:tc>
      </w:tr>
      <w:tr w:rsidR="00CB3CC6" w:rsidRPr="002840AB" w14:paraId="0982DFD7" w14:textId="77777777" w:rsidTr="000A5B10">
        <w:trPr>
          <w:cantSplit/>
          <w:trHeight w:val="2143"/>
          <w:jc w:val="center"/>
        </w:trPr>
        <w:tc>
          <w:tcPr>
            <w:tcW w:w="657" w:type="dxa"/>
            <w:tcBorders>
              <w:top w:val="nil"/>
              <w:left w:val="single" w:sz="4" w:space="0" w:color="auto"/>
              <w:bottom w:val="single" w:sz="4" w:space="0" w:color="auto"/>
              <w:right w:val="single" w:sz="4" w:space="0" w:color="auto"/>
            </w:tcBorders>
            <w:vAlign w:val="center"/>
          </w:tcPr>
          <w:p w14:paraId="49C0FCAB" w14:textId="224DC8D4" w:rsidR="00CB3CC6" w:rsidRPr="002840AB" w:rsidRDefault="001C4C0F" w:rsidP="00C572DB">
            <w:pPr>
              <w:jc w:val="center"/>
              <w:rPr>
                <w:rFonts w:ascii="Arial" w:hAnsi="Arial" w:cs="Arial"/>
              </w:rPr>
            </w:pPr>
            <w:r w:rsidRPr="002840AB">
              <w:rPr>
                <w:rFonts w:ascii="Arial" w:hAnsi="Arial" w:cs="Arial"/>
              </w:rPr>
              <w:t>„</w:t>
            </w:r>
            <w:r w:rsidR="00CB3CC6" w:rsidRPr="002840AB">
              <w:rPr>
                <w:rFonts w:ascii="Arial" w:hAnsi="Arial" w:cs="Arial"/>
              </w:rPr>
              <w:t>144</w:t>
            </w:r>
          </w:p>
        </w:tc>
        <w:tc>
          <w:tcPr>
            <w:tcW w:w="1134" w:type="dxa"/>
            <w:tcBorders>
              <w:top w:val="nil"/>
              <w:left w:val="single" w:sz="4" w:space="0" w:color="auto"/>
              <w:bottom w:val="single" w:sz="4" w:space="0" w:color="auto"/>
              <w:right w:val="single" w:sz="4" w:space="0" w:color="auto"/>
            </w:tcBorders>
            <w:vAlign w:val="center"/>
          </w:tcPr>
          <w:p w14:paraId="0BAA0B0F" w14:textId="77777777" w:rsidR="00CB3CC6" w:rsidRPr="002840AB" w:rsidRDefault="00CB3CC6" w:rsidP="00C572DB">
            <w:pPr>
              <w:jc w:val="center"/>
              <w:rPr>
                <w:rFonts w:ascii="Arial" w:hAnsi="Arial" w:cs="Arial"/>
              </w:rPr>
            </w:pPr>
            <w:r w:rsidRPr="002840AB">
              <w:rPr>
                <w:rFonts w:ascii="Arial" w:hAnsi="Arial" w:cs="Arial"/>
              </w:rPr>
              <w:t>W08</w:t>
            </w:r>
          </w:p>
        </w:tc>
        <w:tc>
          <w:tcPr>
            <w:tcW w:w="2828" w:type="dxa"/>
            <w:tcBorders>
              <w:top w:val="nil"/>
              <w:left w:val="nil"/>
              <w:bottom w:val="single" w:sz="4" w:space="0" w:color="auto"/>
              <w:right w:val="single" w:sz="4" w:space="0" w:color="auto"/>
            </w:tcBorders>
            <w:vAlign w:val="center"/>
          </w:tcPr>
          <w:p w14:paraId="0FF7F997" w14:textId="2F6096AF" w:rsidR="00CB3CC6" w:rsidRPr="002840AB" w:rsidRDefault="00CB3CC6" w:rsidP="00794F54">
            <w:pPr>
              <w:rPr>
                <w:rFonts w:ascii="Arial" w:hAnsi="Arial" w:cs="Arial"/>
              </w:rPr>
            </w:pPr>
            <w:r w:rsidRPr="002840AB">
              <w:rPr>
                <w:rFonts w:ascii="Arial" w:hAnsi="Arial" w:cs="Arial"/>
              </w:rPr>
              <w:t>Jelentés működési, biztonsági eseményekről</w:t>
            </w:r>
          </w:p>
        </w:tc>
        <w:tc>
          <w:tcPr>
            <w:tcW w:w="2889" w:type="dxa"/>
            <w:tcBorders>
              <w:top w:val="nil"/>
              <w:left w:val="nil"/>
              <w:bottom w:val="single" w:sz="4" w:space="0" w:color="auto"/>
              <w:right w:val="single" w:sz="4" w:space="0" w:color="auto"/>
            </w:tcBorders>
            <w:vAlign w:val="center"/>
          </w:tcPr>
          <w:p w14:paraId="372ED732" w14:textId="77777777" w:rsidR="00CB3CC6" w:rsidRPr="002840AB" w:rsidRDefault="00CB3CC6" w:rsidP="003745EA">
            <w:pPr>
              <w:spacing w:after="0" w:line="240" w:lineRule="auto"/>
              <w:rPr>
                <w:rFonts w:ascii="Arial" w:hAnsi="Arial" w:cs="Arial"/>
              </w:rPr>
            </w:pPr>
            <w:r w:rsidRPr="002840AB">
              <w:rPr>
                <w:rFonts w:ascii="Arial" w:hAnsi="Arial" w:cs="Arial"/>
              </w:rPr>
              <w:t xml:space="preserve">Tpt. 411. §-a alapján </w:t>
            </w:r>
            <w:proofErr w:type="spellStart"/>
            <w:r w:rsidRPr="002840AB">
              <w:rPr>
                <w:rFonts w:ascii="Arial" w:hAnsi="Arial" w:cs="Arial"/>
              </w:rPr>
              <w:t>továbbműködő</w:t>
            </w:r>
            <w:proofErr w:type="spellEnd"/>
            <w:r w:rsidRPr="002840AB">
              <w:rPr>
                <w:rFonts w:ascii="Arial" w:hAnsi="Arial" w:cs="Arial"/>
              </w:rPr>
              <w:t xml:space="preserve"> elszámolóház, pénzforgalmi elszámolóház, központi értéktári tevékenységet végző szervezet, Tpt. szerinti központi szerződő fél, az ezen típusú </w:t>
            </w:r>
            <w:proofErr w:type="spellStart"/>
            <w:r w:rsidRPr="002840AB">
              <w:rPr>
                <w:rFonts w:ascii="Arial" w:hAnsi="Arial" w:cs="Arial"/>
              </w:rPr>
              <w:t>EGT</w:t>
            </w:r>
            <w:proofErr w:type="spellEnd"/>
            <w:r w:rsidRPr="002840AB">
              <w:rPr>
                <w:rFonts w:ascii="Arial" w:hAnsi="Arial" w:cs="Arial"/>
              </w:rPr>
              <w:t>-fióktelep</w:t>
            </w:r>
          </w:p>
        </w:tc>
        <w:tc>
          <w:tcPr>
            <w:tcW w:w="1276" w:type="dxa"/>
            <w:tcBorders>
              <w:top w:val="nil"/>
              <w:left w:val="nil"/>
              <w:bottom w:val="single" w:sz="4" w:space="0" w:color="auto"/>
              <w:right w:val="single" w:sz="4" w:space="0" w:color="auto"/>
            </w:tcBorders>
            <w:vAlign w:val="center"/>
          </w:tcPr>
          <w:p w14:paraId="1B025BA1" w14:textId="236E7957" w:rsidR="00CB3CC6" w:rsidRPr="002840AB" w:rsidRDefault="00CB3CC6" w:rsidP="003745EA">
            <w:pPr>
              <w:spacing w:after="0" w:line="240" w:lineRule="auto"/>
              <w:jc w:val="center"/>
              <w:rPr>
                <w:rFonts w:ascii="Arial" w:hAnsi="Arial" w:cs="Arial"/>
              </w:rPr>
            </w:pPr>
            <w:r w:rsidRPr="002840AB">
              <w:rPr>
                <w:rFonts w:ascii="Arial" w:hAnsi="Arial" w:cs="Arial"/>
              </w:rPr>
              <w:t>eseti</w:t>
            </w:r>
          </w:p>
        </w:tc>
        <w:tc>
          <w:tcPr>
            <w:tcW w:w="2602" w:type="dxa"/>
            <w:tcBorders>
              <w:top w:val="nil"/>
              <w:left w:val="nil"/>
              <w:bottom w:val="single" w:sz="4" w:space="0" w:color="auto"/>
              <w:right w:val="single" w:sz="4" w:space="0" w:color="auto"/>
            </w:tcBorders>
            <w:vAlign w:val="center"/>
          </w:tcPr>
          <w:p w14:paraId="4481E763" w14:textId="6FFABF74" w:rsidR="00CB3CC6" w:rsidRDefault="00CB3CC6" w:rsidP="003745EA">
            <w:pPr>
              <w:spacing w:after="0" w:line="240" w:lineRule="auto"/>
              <w:jc w:val="center"/>
              <w:rPr>
                <w:rFonts w:ascii="Arial" w:hAnsi="Arial" w:cs="Arial"/>
              </w:rPr>
            </w:pPr>
            <w:r w:rsidRPr="002840AB">
              <w:rPr>
                <w:rFonts w:ascii="Arial" w:hAnsi="Arial" w:cs="Arial"/>
              </w:rPr>
              <w:t>elektronikus úton</w:t>
            </w:r>
          </w:p>
          <w:p w14:paraId="469687C6" w14:textId="3CDE86A8" w:rsidR="00CB3CC6" w:rsidRPr="002840AB" w:rsidRDefault="00F64251" w:rsidP="003745EA">
            <w:pPr>
              <w:spacing w:after="0" w:line="240" w:lineRule="auto"/>
              <w:jc w:val="center"/>
              <w:rPr>
                <w:rFonts w:ascii="Arial" w:hAnsi="Arial" w:cs="Arial"/>
              </w:rPr>
            </w:pPr>
            <w:r w:rsidRPr="002840AB">
              <w:rPr>
                <w:rFonts w:ascii="Arial" w:hAnsi="Arial" w:cs="Arial"/>
              </w:rPr>
              <w:t>(</w:t>
            </w:r>
            <w:proofErr w:type="spellStart"/>
            <w:r w:rsidRPr="002840AB">
              <w:rPr>
                <w:rFonts w:ascii="Arial" w:hAnsi="Arial" w:cs="Arial"/>
              </w:rPr>
              <w:t>ERA</w:t>
            </w:r>
            <w:proofErr w:type="spellEnd"/>
            <w:r w:rsidRPr="002840AB">
              <w:rPr>
                <w:rFonts w:ascii="Arial" w:hAnsi="Arial" w:cs="Arial"/>
              </w:rPr>
              <w:t xml:space="preserve"> rendszer), fokozott biztonságú vagy minősített elektronikus aláírással ellátva, és a kezdeti jelentés tekintetében titkosított elektronikus levél</w:t>
            </w:r>
          </w:p>
        </w:tc>
        <w:tc>
          <w:tcPr>
            <w:tcW w:w="2835" w:type="dxa"/>
            <w:tcBorders>
              <w:top w:val="nil"/>
              <w:left w:val="nil"/>
              <w:bottom w:val="single" w:sz="4" w:space="0" w:color="auto"/>
              <w:right w:val="single" w:sz="4" w:space="0" w:color="auto"/>
            </w:tcBorders>
            <w:vAlign w:val="center"/>
          </w:tcPr>
          <w:p w14:paraId="66EAE11B" w14:textId="06BDDF07" w:rsidR="00F64251" w:rsidRDefault="00F64251" w:rsidP="003745EA">
            <w:pPr>
              <w:spacing w:after="0" w:line="240" w:lineRule="auto"/>
              <w:jc w:val="center"/>
              <w:rPr>
                <w:rFonts w:ascii="Arial" w:hAnsi="Arial" w:cs="Arial"/>
              </w:rPr>
            </w:pPr>
            <w:r w:rsidRPr="002840AB">
              <w:rPr>
                <w:rFonts w:ascii="Arial" w:hAnsi="Arial" w:cs="Arial"/>
              </w:rPr>
              <w:t>kezdeti jelentés: minősítést követő 5 percen belül;</w:t>
            </w:r>
          </w:p>
          <w:p w14:paraId="276E313F" w14:textId="77777777" w:rsidR="003317C6" w:rsidRPr="002840AB" w:rsidRDefault="003317C6" w:rsidP="003745EA">
            <w:pPr>
              <w:spacing w:after="0" w:line="240" w:lineRule="auto"/>
              <w:jc w:val="center"/>
              <w:rPr>
                <w:rFonts w:ascii="Arial" w:hAnsi="Arial" w:cs="Arial"/>
              </w:rPr>
            </w:pPr>
          </w:p>
          <w:p w14:paraId="0CFBC75D" w14:textId="496403CB" w:rsidR="00F64251" w:rsidRDefault="00F64251" w:rsidP="003745EA">
            <w:pPr>
              <w:spacing w:after="0" w:line="240" w:lineRule="auto"/>
              <w:jc w:val="center"/>
              <w:rPr>
                <w:rFonts w:ascii="Arial" w:hAnsi="Arial" w:cs="Arial"/>
              </w:rPr>
            </w:pPr>
            <w:r w:rsidRPr="002840AB">
              <w:rPr>
                <w:rFonts w:ascii="Arial" w:hAnsi="Arial" w:cs="Arial"/>
              </w:rPr>
              <w:t>időközi jelentés: a kezdeti jelentés beküldését követő 3 munkanapon belül;</w:t>
            </w:r>
          </w:p>
          <w:p w14:paraId="1CF26EA5" w14:textId="77777777" w:rsidR="003317C6" w:rsidRPr="002840AB" w:rsidRDefault="003317C6" w:rsidP="003745EA">
            <w:pPr>
              <w:spacing w:after="0" w:line="240" w:lineRule="auto"/>
              <w:jc w:val="center"/>
              <w:rPr>
                <w:rFonts w:ascii="Arial" w:hAnsi="Arial" w:cs="Arial"/>
              </w:rPr>
            </w:pPr>
          </w:p>
          <w:p w14:paraId="64BEDF21" w14:textId="341BE594" w:rsidR="00CB3CC6" w:rsidRPr="002840AB" w:rsidRDefault="00F64251" w:rsidP="003745EA">
            <w:pPr>
              <w:spacing w:after="0" w:line="240" w:lineRule="auto"/>
              <w:jc w:val="center"/>
              <w:rPr>
                <w:rFonts w:ascii="Arial" w:hAnsi="Arial" w:cs="Arial"/>
                <w:highlight w:val="yellow"/>
              </w:rPr>
            </w:pPr>
            <w:r w:rsidRPr="002840AB">
              <w:rPr>
                <w:rFonts w:ascii="Arial" w:hAnsi="Arial" w:cs="Arial"/>
              </w:rPr>
              <w:t>záró jelentés: az esemény lezárását követő két héten belül”</w:t>
            </w:r>
          </w:p>
        </w:tc>
      </w:tr>
    </w:tbl>
    <w:p w14:paraId="304BCAF1" w14:textId="77777777" w:rsidR="00571F2A" w:rsidRPr="002840AB" w:rsidRDefault="00571F2A" w:rsidP="000D2C83">
      <w:pPr>
        <w:spacing w:line="240" w:lineRule="auto"/>
        <w:jc w:val="center"/>
        <w:rPr>
          <w:rFonts w:ascii="Arial" w:hAnsi="Arial" w:cs="Arial"/>
        </w:rPr>
      </w:pPr>
    </w:p>
    <w:p w14:paraId="66B55976" w14:textId="77777777" w:rsidR="00361A82" w:rsidRPr="002840AB" w:rsidRDefault="00361A82" w:rsidP="000D2C83">
      <w:pPr>
        <w:spacing w:after="240" w:line="240" w:lineRule="auto"/>
        <w:rPr>
          <w:rFonts w:ascii="Arial" w:hAnsi="Arial" w:cs="Arial"/>
          <w:b/>
        </w:rPr>
        <w:sectPr w:rsidR="00361A82" w:rsidRPr="002840AB" w:rsidSect="003A0A5E">
          <w:pgSz w:w="16838" w:h="11906" w:orient="landscape" w:code="9"/>
          <w:pgMar w:top="1191" w:right="1418" w:bottom="1191" w:left="1418" w:header="709" w:footer="709" w:gutter="0"/>
          <w:cols w:space="708"/>
          <w:docGrid w:linePitch="360"/>
        </w:sectPr>
      </w:pPr>
    </w:p>
    <w:p w14:paraId="7745DBF4" w14:textId="6E975DAA" w:rsidR="00A93E58" w:rsidRPr="002840AB" w:rsidRDefault="00590420" w:rsidP="008F1015">
      <w:pPr>
        <w:spacing w:after="0" w:line="240" w:lineRule="auto"/>
        <w:rPr>
          <w:rFonts w:ascii="Arial" w:hAnsi="Arial" w:cs="Arial"/>
        </w:rPr>
      </w:pPr>
      <w:r w:rsidRPr="002840AB">
        <w:rPr>
          <w:rFonts w:ascii="Arial" w:hAnsi="Arial" w:cs="Arial"/>
        </w:rPr>
        <w:lastRenderedPageBreak/>
        <w:t xml:space="preserve">4. melléklet a </w:t>
      </w:r>
      <w:r w:rsidR="004D5B64">
        <w:rPr>
          <w:rFonts w:ascii="Arial" w:hAnsi="Arial" w:cs="Arial"/>
        </w:rPr>
        <w:t>15</w:t>
      </w:r>
      <w:r w:rsidRPr="002840AB">
        <w:rPr>
          <w:rFonts w:ascii="Arial" w:hAnsi="Arial" w:cs="Arial"/>
        </w:rPr>
        <w:t>/2019. (</w:t>
      </w:r>
      <w:r w:rsidR="004D5B64">
        <w:rPr>
          <w:rFonts w:ascii="Arial" w:hAnsi="Arial" w:cs="Arial"/>
        </w:rPr>
        <w:t>IV. 17.)</w:t>
      </w:r>
      <w:bookmarkStart w:id="21" w:name="_GoBack"/>
      <w:bookmarkEnd w:id="21"/>
      <w:r w:rsidRPr="002840AB">
        <w:rPr>
          <w:rFonts w:ascii="Arial" w:hAnsi="Arial" w:cs="Arial"/>
        </w:rPr>
        <w:t xml:space="preserve"> MNB rendelethez</w:t>
      </w:r>
    </w:p>
    <w:p w14:paraId="0869E2F6" w14:textId="1CB11D34" w:rsidR="008F1015" w:rsidRDefault="008F1015" w:rsidP="008F1015">
      <w:pPr>
        <w:spacing w:after="0"/>
        <w:rPr>
          <w:rFonts w:ascii="Arial" w:hAnsi="Arial" w:cs="Arial"/>
        </w:rPr>
      </w:pPr>
    </w:p>
    <w:p w14:paraId="51BA22DD" w14:textId="77777777" w:rsidR="00644A32" w:rsidRPr="002840AB" w:rsidRDefault="00644A32" w:rsidP="008F1015">
      <w:pPr>
        <w:spacing w:after="0"/>
        <w:rPr>
          <w:rFonts w:ascii="Arial" w:hAnsi="Arial" w:cs="Arial"/>
        </w:rPr>
      </w:pPr>
    </w:p>
    <w:p w14:paraId="7CD764D3" w14:textId="24D0ABB4" w:rsidR="00F656BF" w:rsidRPr="002840AB" w:rsidRDefault="00590420" w:rsidP="008F1015">
      <w:pPr>
        <w:spacing w:after="0"/>
        <w:rPr>
          <w:rFonts w:ascii="Arial" w:hAnsi="Arial" w:cs="Arial"/>
        </w:rPr>
      </w:pPr>
      <w:r w:rsidRPr="002840AB">
        <w:rPr>
          <w:rFonts w:ascii="Arial" w:hAnsi="Arial" w:cs="Arial"/>
        </w:rPr>
        <w:t xml:space="preserve">1. </w:t>
      </w:r>
      <w:r w:rsidR="00F656BF" w:rsidRPr="002840AB">
        <w:rPr>
          <w:rFonts w:ascii="Arial" w:hAnsi="Arial" w:cs="Arial"/>
        </w:rPr>
        <w:t xml:space="preserve">A 38/2018. (XI. 14.) MNB rendelet 2. melléklet II. pontjában az </w:t>
      </w:r>
      <w:r w:rsidR="001C3A79" w:rsidRPr="002840AB">
        <w:rPr>
          <w:rFonts w:ascii="Arial" w:hAnsi="Arial" w:cs="Arial"/>
        </w:rPr>
        <w:t>A</w:t>
      </w:r>
      <w:r w:rsidR="00F656BF" w:rsidRPr="002840AB">
        <w:rPr>
          <w:rFonts w:ascii="Arial" w:hAnsi="Arial" w:cs="Arial"/>
        </w:rPr>
        <w:t>L</w:t>
      </w:r>
      <w:r w:rsidR="001C3A79" w:rsidRPr="002840AB">
        <w:rPr>
          <w:rFonts w:ascii="Arial" w:hAnsi="Arial" w:cs="Arial"/>
        </w:rPr>
        <w:t>8</w:t>
      </w:r>
      <w:r w:rsidR="00F656BF" w:rsidRPr="002840AB">
        <w:rPr>
          <w:rFonts w:ascii="Arial" w:hAnsi="Arial" w:cs="Arial"/>
        </w:rPr>
        <w:t xml:space="preserve"> MNB azonosító kódú adatszolgáltatás kitöltési előírásai helyébe a következő rendelkezések lépnek:</w:t>
      </w:r>
    </w:p>
    <w:p w14:paraId="7457E590" w14:textId="77777777" w:rsidR="00B40298" w:rsidRPr="002840AB" w:rsidRDefault="00B40298" w:rsidP="008F1015">
      <w:pPr>
        <w:spacing w:after="0"/>
        <w:rPr>
          <w:rFonts w:ascii="Arial" w:hAnsi="Arial" w:cs="Arial"/>
        </w:rPr>
      </w:pPr>
    </w:p>
    <w:p w14:paraId="3B8F9689" w14:textId="5D18F62A" w:rsidR="009335C5" w:rsidRDefault="001C3A79" w:rsidP="009335C5">
      <w:pPr>
        <w:rPr>
          <w:rFonts w:ascii="Arial" w:hAnsi="Arial" w:cs="Arial"/>
          <w:b/>
        </w:rPr>
      </w:pPr>
      <w:r w:rsidRPr="002840AB">
        <w:rPr>
          <w:rFonts w:ascii="Arial" w:hAnsi="Arial" w:cs="Arial"/>
        </w:rPr>
        <w:t>„</w:t>
      </w:r>
      <w:r w:rsidR="009335C5" w:rsidRPr="00455D22">
        <w:rPr>
          <w:rFonts w:ascii="Arial" w:hAnsi="Arial" w:cs="Arial"/>
          <w:b/>
        </w:rPr>
        <w:t>MNB azonosító</w:t>
      </w:r>
      <w:r w:rsidR="009335C5">
        <w:rPr>
          <w:rFonts w:ascii="Arial" w:hAnsi="Arial" w:cs="Arial"/>
          <w:b/>
        </w:rPr>
        <w:t xml:space="preserve"> kód</w:t>
      </w:r>
      <w:r w:rsidR="009335C5" w:rsidRPr="00455D22">
        <w:rPr>
          <w:rFonts w:ascii="Arial" w:hAnsi="Arial" w:cs="Arial"/>
          <w:b/>
        </w:rPr>
        <w:t>: AL8</w:t>
      </w:r>
    </w:p>
    <w:p w14:paraId="21A88BA4" w14:textId="77777777" w:rsidR="009335C5" w:rsidRPr="00455D22" w:rsidRDefault="009335C5" w:rsidP="009335C5">
      <w:pPr>
        <w:rPr>
          <w:rFonts w:ascii="Arial" w:hAnsi="Arial" w:cs="Arial"/>
          <w:b/>
        </w:rPr>
      </w:pPr>
    </w:p>
    <w:p w14:paraId="0E8ECC21" w14:textId="77777777" w:rsidR="009335C5" w:rsidRPr="00455D22" w:rsidRDefault="009335C5" w:rsidP="009335C5">
      <w:pPr>
        <w:spacing w:after="0" w:line="240" w:lineRule="auto"/>
        <w:jc w:val="center"/>
        <w:rPr>
          <w:rFonts w:ascii="Arial" w:hAnsi="Arial" w:cs="Arial"/>
          <w:b/>
        </w:rPr>
      </w:pPr>
      <w:r w:rsidRPr="00455D22">
        <w:rPr>
          <w:rFonts w:ascii="Arial" w:hAnsi="Arial" w:cs="Arial"/>
          <w:b/>
        </w:rPr>
        <w:t>Kitöltési előírások</w:t>
      </w:r>
    </w:p>
    <w:p w14:paraId="1739D6F9" w14:textId="70EB2349" w:rsidR="009335C5" w:rsidRPr="009335C5" w:rsidRDefault="009335C5" w:rsidP="009335C5">
      <w:pPr>
        <w:spacing w:after="0" w:line="240" w:lineRule="auto"/>
        <w:jc w:val="center"/>
        <w:rPr>
          <w:rFonts w:ascii="Arial" w:hAnsi="Arial" w:cs="Arial"/>
          <w:b/>
        </w:rPr>
      </w:pPr>
      <w:r w:rsidRPr="009335C5">
        <w:rPr>
          <w:rFonts w:ascii="Arial" w:hAnsi="Arial" w:cs="Arial"/>
          <w:b/>
        </w:rPr>
        <w:t xml:space="preserve">Az </w:t>
      </w:r>
      <w:proofErr w:type="spellStart"/>
      <w:r w:rsidRPr="009335C5">
        <w:rPr>
          <w:rFonts w:ascii="Arial" w:hAnsi="Arial" w:cs="Arial"/>
          <w:b/>
        </w:rPr>
        <w:t>NHP</w:t>
      </w:r>
      <w:proofErr w:type="spellEnd"/>
      <w:r w:rsidRPr="009335C5">
        <w:rPr>
          <w:rFonts w:ascii="Arial" w:hAnsi="Arial" w:cs="Arial"/>
          <w:b/>
        </w:rPr>
        <w:t xml:space="preserve">, az </w:t>
      </w:r>
      <w:proofErr w:type="spellStart"/>
      <w:r w:rsidRPr="009335C5">
        <w:rPr>
          <w:rFonts w:ascii="Arial" w:hAnsi="Arial" w:cs="Arial"/>
          <w:b/>
        </w:rPr>
        <w:t>NHP</w:t>
      </w:r>
      <w:proofErr w:type="spellEnd"/>
      <w:r w:rsidRPr="009335C5">
        <w:rPr>
          <w:rFonts w:ascii="Arial" w:hAnsi="Arial" w:cs="Arial"/>
          <w:b/>
        </w:rPr>
        <w:t xml:space="preserve">+ és az </w:t>
      </w:r>
      <w:proofErr w:type="spellStart"/>
      <w:r w:rsidRPr="009335C5">
        <w:rPr>
          <w:rFonts w:ascii="Arial" w:hAnsi="Arial" w:cs="Arial"/>
          <w:b/>
        </w:rPr>
        <w:t>NHP</w:t>
      </w:r>
      <w:proofErr w:type="spellEnd"/>
      <w:r w:rsidRPr="009335C5">
        <w:rPr>
          <w:rFonts w:ascii="Arial" w:hAnsi="Arial" w:cs="Arial"/>
          <w:b/>
        </w:rPr>
        <w:t xml:space="preserve"> </w:t>
      </w:r>
      <w:r w:rsidRPr="009335C5">
        <w:rPr>
          <w:rFonts w:ascii="Arial" w:hAnsi="Arial" w:cs="Arial"/>
          <w:b/>
          <w:i/>
        </w:rPr>
        <w:t>fix</w:t>
      </w:r>
      <w:r w:rsidRPr="009335C5">
        <w:rPr>
          <w:rFonts w:ascii="Arial" w:hAnsi="Arial" w:cs="Arial"/>
          <w:b/>
        </w:rPr>
        <w:t xml:space="preserve"> keretében a kis- és középvállalkozásoknak nyújtott hitelek adatai</w:t>
      </w:r>
    </w:p>
    <w:p w14:paraId="20F8BECA" w14:textId="77777777" w:rsidR="009335C5" w:rsidRPr="00455D22" w:rsidRDefault="009335C5" w:rsidP="009335C5">
      <w:pPr>
        <w:pStyle w:val="Szvegtrzs"/>
        <w:rPr>
          <w:rFonts w:ascii="Arial" w:hAnsi="Arial" w:cs="Arial"/>
          <w:sz w:val="20"/>
        </w:rPr>
      </w:pPr>
    </w:p>
    <w:p w14:paraId="01BC04EF" w14:textId="77777777" w:rsidR="009335C5" w:rsidRPr="00455D22" w:rsidRDefault="009335C5" w:rsidP="009335C5">
      <w:pPr>
        <w:spacing w:before="240"/>
        <w:rPr>
          <w:rFonts w:ascii="Arial" w:hAnsi="Arial" w:cs="Arial"/>
          <w:b/>
        </w:rPr>
      </w:pPr>
      <w:r w:rsidRPr="00455D22">
        <w:rPr>
          <w:rFonts w:ascii="Arial" w:hAnsi="Arial" w:cs="Arial"/>
          <w:b/>
        </w:rPr>
        <w:t>I. Általános előírások</w:t>
      </w:r>
    </w:p>
    <w:p w14:paraId="540394C1" w14:textId="4D0794F2" w:rsidR="009335C5" w:rsidRPr="00455D22" w:rsidRDefault="009335C5" w:rsidP="009335C5">
      <w:pPr>
        <w:spacing w:after="240" w:line="240" w:lineRule="auto"/>
        <w:rPr>
          <w:rFonts w:ascii="Arial" w:hAnsi="Arial" w:cs="Arial"/>
        </w:rPr>
      </w:pPr>
      <w:r w:rsidRPr="00455D22">
        <w:rPr>
          <w:rFonts w:ascii="Arial" w:hAnsi="Arial" w:cs="Arial"/>
        </w:rPr>
        <w:t xml:space="preserve">1. Az </w:t>
      </w:r>
      <w:proofErr w:type="spellStart"/>
      <w:r w:rsidRPr="00455D22">
        <w:rPr>
          <w:rFonts w:ascii="Arial" w:hAnsi="Arial" w:cs="Arial"/>
        </w:rPr>
        <w:t>NHP</w:t>
      </w:r>
      <w:proofErr w:type="spellEnd"/>
      <w:r>
        <w:rPr>
          <w:rFonts w:ascii="Arial" w:hAnsi="Arial" w:cs="Arial"/>
        </w:rPr>
        <w:t xml:space="preserve">-ban, az </w:t>
      </w:r>
      <w:proofErr w:type="spellStart"/>
      <w:r>
        <w:rPr>
          <w:rFonts w:ascii="Arial" w:hAnsi="Arial" w:cs="Arial"/>
        </w:rPr>
        <w:t>NHP</w:t>
      </w:r>
      <w:proofErr w:type="spellEnd"/>
      <w:r>
        <w:rPr>
          <w:rFonts w:ascii="Arial" w:hAnsi="Arial" w:cs="Arial"/>
        </w:rPr>
        <w:t>+-ban</w:t>
      </w:r>
      <w:r w:rsidRPr="00F465F9">
        <w:rPr>
          <w:rFonts w:ascii="Arial" w:hAnsi="Arial" w:cs="Arial"/>
        </w:rPr>
        <w:t xml:space="preserve"> </w:t>
      </w:r>
      <w:r>
        <w:rPr>
          <w:rFonts w:ascii="Arial" w:hAnsi="Arial" w:cs="Arial"/>
        </w:rPr>
        <w:t xml:space="preserve">és az </w:t>
      </w:r>
      <w:proofErr w:type="spellStart"/>
      <w:r>
        <w:rPr>
          <w:rFonts w:ascii="Arial" w:hAnsi="Arial" w:cs="Arial"/>
        </w:rPr>
        <w:t>NHP</w:t>
      </w:r>
      <w:proofErr w:type="spellEnd"/>
      <w:r>
        <w:rPr>
          <w:rFonts w:ascii="Arial" w:hAnsi="Arial" w:cs="Arial"/>
        </w:rPr>
        <w:t xml:space="preserve"> </w:t>
      </w:r>
      <w:r w:rsidRPr="00A31258">
        <w:rPr>
          <w:rFonts w:ascii="Arial" w:hAnsi="Arial" w:cs="Arial"/>
          <w:i/>
        </w:rPr>
        <w:t>fix</w:t>
      </w:r>
      <w:r>
        <w:rPr>
          <w:rFonts w:ascii="Arial" w:hAnsi="Arial" w:cs="Arial"/>
        </w:rPr>
        <w:t>ben</w:t>
      </w:r>
      <w:r w:rsidRPr="00455D22">
        <w:rPr>
          <w:rFonts w:ascii="Arial" w:hAnsi="Arial" w:cs="Arial"/>
        </w:rPr>
        <w:t xml:space="preserve"> részt</w:t>
      </w:r>
      <w:r>
        <w:rPr>
          <w:rFonts w:ascii="Arial" w:hAnsi="Arial" w:cs="Arial"/>
        </w:rPr>
        <w:t xml:space="preserve"> </w:t>
      </w:r>
      <w:r w:rsidRPr="00455D22">
        <w:rPr>
          <w:rFonts w:ascii="Arial" w:hAnsi="Arial" w:cs="Arial"/>
        </w:rPr>
        <w:t xml:space="preserve">vevő adatszolgáltató az </w:t>
      </w:r>
      <w:proofErr w:type="spellStart"/>
      <w:r w:rsidRPr="00455D22">
        <w:rPr>
          <w:rFonts w:ascii="Arial" w:hAnsi="Arial" w:cs="Arial"/>
        </w:rPr>
        <w:t>NHP</w:t>
      </w:r>
      <w:proofErr w:type="spellEnd"/>
      <w:r>
        <w:rPr>
          <w:rFonts w:ascii="Arial" w:hAnsi="Arial" w:cs="Arial"/>
        </w:rPr>
        <w:t>,</w:t>
      </w:r>
      <w:r w:rsidRPr="00455D22">
        <w:rPr>
          <w:rFonts w:ascii="Arial" w:hAnsi="Arial" w:cs="Arial"/>
        </w:rPr>
        <w:t xml:space="preserve"> </w:t>
      </w:r>
      <w:proofErr w:type="spellStart"/>
      <w:r>
        <w:rPr>
          <w:rFonts w:ascii="Arial" w:hAnsi="Arial" w:cs="Arial"/>
        </w:rPr>
        <w:t>NHP</w:t>
      </w:r>
      <w:proofErr w:type="spellEnd"/>
      <w:r>
        <w:rPr>
          <w:rFonts w:ascii="Arial" w:hAnsi="Arial" w:cs="Arial"/>
        </w:rPr>
        <w:t>+</w:t>
      </w:r>
      <w:r w:rsidRPr="00455D22">
        <w:rPr>
          <w:rFonts w:ascii="Arial" w:hAnsi="Arial" w:cs="Arial"/>
        </w:rPr>
        <w:t xml:space="preserve"> </w:t>
      </w:r>
      <w:r>
        <w:rPr>
          <w:rFonts w:ascii="Arial" w:hAnsi="Arial" w:cs="Arial"/>
        </w:rPr>
        <w:t xml:space="preserve">és </w:t>
      </w:r>
      <w:proofErr w:type="spellStart"/>
      <w:r>
        <w:rPr>
          <w:rFonts w:ascii="Arial" w:hAnsi="Arial" w:cs="Arial"/>
        </w:rPr>
        <w:t>NHP</w:t>
      </w:r>
      <w:proofErr w:type="spellEnd"/>
      <w:r>
        <w:rPr>
          <w:rFonts w:ascii="Arial" w:hAnsi="Arial" w:cs="Arial"/>
        </w:rPr>
        <w:t xml:space="preserve"> </w:t>
      </w:r>
      <w:r w:rsidRPr="00A31258">
        <w:rPr>
          <w:rFonts w:ascii="Arial" w:hAnsi="Arial" w:cs="Arial"/>
          <w:i/>
        </w:rPr>
        <w:t>fix</w:t>
      </w:r>
      <w:r w:rsidRPr="00455D22">
        <w:rPr>
          <w:rFonts w:ascii="Arial" w:hAnsi="Arial" w:cs="Arial"/>
        </w:rPr>
        <w:t xml:space="preserve"> keretében az MNB felé fennálló bármely tartozása megszűnéséig köteles adatot szolgáltatni</w:t>
      </w:r>
      <w:r>
        <w:rPr>
          <w:rFonts w:ascii="Arial" w:hAnsi="Arial" w:cs="Arial"/>
        </w:rPr>
        <w:t>. Az adatszolgáltatásban</w:t>
      </w:r>
      <w:r w:rsidRPr="00455D22">
        <w:rPr>
          <w:rFonts w:ascii="Arial" w:hAnsi="Arial" w:cs="Arial"/>
        </w:rPr>
        <w:t xml:space="preserve"> az </w:t>
      </w:r>
      <w:proofErr w:type="spellStart"/>
      <w:r w:rsidRPr="00455D22">
        <w:rPr>
          <w:rFonts w:ascii="Arial" w:hAnsi="Arial" w:cs="Arial"/>
        </w:rPr>
        <w:t>NHP</w:t>
      </w:r>
      <w:proofErr w:type="spellEnd"/>
      <w:r>
        <w:rPr>
          <w:rFonts w:ascii="Arial" w:hAnsi="Arial" w:cs="Arial"/>
        </w:rPr>
        <w:t xml:space="preserve">, </w:t>
      </w:r>
      <w:proofErr w:type="spellStart"/>
      <w:r>
        <w:rPr>
          <w:rFonts w:ascii="Arial" w:hAnsi="Arial" w:cs="Arial"/>
        </w:rPr>
        <w:t>NHP</w:t>
      </w:r>
      <w:proofErr w:type="spellEnd"/>
      <w:r>
        <w:rPr>
          <w:rFonts w:ascii="Arial" w:hAnsi="Arial" w:cs="Arial"/>
        </w:rPr>
        <w:t>+</w:t>
      </w:r>
      <w:r w:rsidRPr="00455D22">
        <w:rPr>
          <w:rFonts w:ascii="Arial" w:hAnsi="Arial" w:cs="Arial"/>
        </w:rPr>
        <w:t xml:space="preserve"> </w:t>
      </w:r>
      <w:r>
        <w:rPr>
          <w:rFonts w:ascii="Arial" w:hAnsi="Arial" w:cs="Arial"/>
        </w:rPr>
        <w:t xml:space="preserve">és </w:t>
      </w:r>
      <w:proofErr w:type="spellStart"/>
      <w:r>
        <w:rPr>
          <w:rFonts w:ascii="Arial" w:hAnsi="Arial" w:cs="Arial"/>
        </w:rPr>
        <w:t>NHP</w:t>
      </w:r>
      <w:proofErr w:type="spellEnd"/>
      <w:r>
        <w:rPr>
          <w:rFonts w:ascii="Arial" w:hAnsi="Arial" w:cs="Arial"/>
        </w:rPr>
        <w:t xml:space="preserve"> </w:t>
      </w:r>
      <w:r w:rsidRPr="00A31258">
        <w:rPr>
          <w:rFonts w:ascii="Arial" w:hAnsi="Arial" w:cs="Arial"/>
          <w:i/>
        </w:rPr>
        <w:t>fix</w:t>
      </w:r>
      <w:r w:rsidRPr="00455D22">
        <w:rPr>
          <w:rFonts w:ascii="Arial" w:hAnsi="Arial" w:cs="Arial"/>
        </w:rPr>
        <w:t xml:space="preserve"> keretében</w:t>
      </w:r>
      <w:r>
        <w:rPr>
          <w:rFonts w:ascii="Arial" w:hAnsi="Arial" w:cs="Arial"/>
        </w:rPr>
        <w:t xml:space="preserve"> – az </w:t>
      </w:r>
      <w:proofErr w:type="spellStart"/>
      <w:r>
        <w:rPr>
          <w:rFonts w:ascii="Arial" w:hAnsi="Arial" w:cs="Arial"/>
        </w:rPr>
        <w:t>NHP</w:t>
      </w:r>
      <w:proofErr w:type="spellEnd"/>
      <w:r>
        <w:rPr>
          <w:rFonts w:ascii="Arial" w:hAnsi="Arial" w:cs="Arial"/>
        </w:rPr>
        <w:t xml:space="preserve"> 2013. június 1-jén indult első szakaszában (a továbbiakban: </w:t>
      </w:r>
      <w:proofErr w:type="spellStart"/>
      <w:r>
        <w:rPr>
          <w:rFonts w:ascii="Arial" w:hAnsi="Arial" w:cs="Arial"/>
        </w:rPr>
        <w:t>NHP</w:t>
      </w:r>
      <w:proofErr w:type="spellEnd"/>
      <w:r>
        <w:rPr>
          <w:rFonts w:ascii="Arial" w:hAnsi="Arial" w:cs="Arial"/>
        </w:rPr>
        <w:t xml:space="preserve"> első szakasz), az </w:t>
      </w:r>
      <w:proofErr w:type="spellStart"/>
      <w:r>
        <w:rPr>
          <w:rFonts w:ascii="Arial" w:hAnsi="Arial" w:cs="Arial"/>
        </w:rPr>
        <w:t>NHP</w:t>
      </w:r>
      <w:proofErr w:type="spellEnd"/>
      <w:r>
        <w:rPr>
          <w:rFonts w:ascii="Arial" w:hAnsi="Arial" w:cs="Arial"/>
        </w:rPr>
        <w:t xml:space="preserve"> 2013. október 1-jén indult második szakaszában (a továbbiakban: </w:t>
      </w:r>
      <w:proofErr w:type="spellStart"/>
      <w:r>
        <w:rPr>
          <w:rFonts w:ascii="Arial" w:hAnsi="Arial" w:cs="Arial"/>
        </w:rPr>
        <w:t>NHP</w:t>
      </w:r>
      <w:proofErr w:type="spellEnd"/>
      <w:r>
        <w:rPr>
          <w:rFonts w:ascii="Arial" w:hAnsi="Arial" w:cs="Arial"/>
        </w:rPr>
        <w:t xml:space="preserve"> második szakasz), az </w:t>
      </w:r>
      <w:proofErr w:type="spellStart"/>
      <w:r>
        <w:rPr>
          <w:rFonts w:ascii="Arial" w:hAnsi="Arial" w:cs="Arial"/>
        </w:rPr>
        <w:t>NHP</w:t>
      </w:r>
      <w:proofErr w:type="spellEnd"/>
      <w:r>
        <w:rPr>
          <w:rFonts w:ascii="Arial" w:hAnsi="Arial" w:cs="Arial"/>
        </w:rPr>
        <w:t xml:space="preserve"> 2016. január 1-jén indult harmadik szakaszában (a továbbiakban: </w:t>
      </w:r>
      <w:proofErr w:type="spellStart"/>
      <w:r>
        <w:rPr>
          <w:rFonts w:ascii="Arial" w:hAnsi="Arial" w:cs="Arial"/>
        </w:rPr>
        <w:t>NHP</w:t>
      </w:r>
      <w:proofErr w:type="spellEnd"/>
      <w:r>
        <w:rPr>
          <w:rFonts w:ascii="Arial" w:hAnsi="Arial" w:cs="Arial"/>
        </w:rPr>
        <w:t xml:space="preserve"> harmadik szakasz), a 2015. március 16-án indult </w:t>
      </w:r>
      <w:proofErr w:type="spellStart"/>
      <w:r>
        <w:rPr>
          <w:rFonts w:ascii="Arial" w:hAnsi="Arial" w:cs="Arial"/>
        </w:rPr>
        <w:t>NHP</w:t>
      </w:r>
      <w:proofErr w:type="spellEnd"/>
      <w:r>
        <w:rPr>
          <w:rFonts w:ascii="Arial" w:hAnsi="Arial" w:cs="Arial"/>
        </w:rPr>
        <w:t>+,</w:t>
      </w:r>
      <w:r w:rsidRPr="00F465F9">
        <w:rPr>
          <w:rFonts w:ascii="Arial" w:hAnsi="Arial" w:cs="Arial"/>
        </w:rPr>
        <w:t xml:space="preserve"> </w:t>
      </w:r>
      <w:r>
        <w:rPr>
          <w:rFonts w:ascii="Arial" w:hAnsi="Arial" w:cs="Arial"/>
        </w:rPr>
        <w:t xml:space="preserve">vagy a 2019. január 1-jén indult </w:t>
      </w:r>
      <w:proofErr w:type="spellStart"/>
      <w:r>
        <w:rPr>
          <w:rFonts w:ascii="Arial" w:hAnsi="Arial" w:cs="Arial"/>
        </w:rPr>
        <w:t>NHP</w:t>
      </w:r>
      <w:proofErr w:type="spellEnd"/>
      <w:r>
        <w:rPr>
          <w:rFonts w:ascii="Arial" w:hAnsi="Arial" w:cs="Arial"/>
        </w:rPr>
        <w:t xml:space="preserve"> </w:t>
      </w:r>
      <w:r>
        <w:rPr>
          <w:rFonts w:ascii="Arial" w:hAnsi="Arial" w:cs="Arial"/>
          <w:i/>
        </w:rPr>
        <w:t>fix</w:t>
      </w:r>
      <w:r>
        <w:rPr>
          <w:rFonts w:ascii="Arial" w:hAnsi="Arial" w:cs="Arial"/>
        </w:rPr>
        <w:t xml:space="preserve"> konstrukcióban – </w:t>
      </w:r>
      <w:r w:rsidRPr="00455D22">
        <w:rPr>
          <w:rFonts w:ascii="Arial" w:hAnsi="Arial" w:cs="Arial"/>
        </w:rPr>
        <w:t>az MNB által refinanszírozásra kerülő, a kis- és középvállalkozásoknak</w:t>
      </w:r>
      <w:r>
        <w:rPr>
          <w:rFonts w:ascii="Arial" w:hAnsi="Arial" w:cs="Arial"/>
        </w:rPr>
        <w:t xml:space="preserve">, az MNB-vel kötött </w:t>
      </w:r>
      <w:proofErr w:type="spellStart"/>
      <w:r>
        <w:rPr>
          <w:rFonts w:ascii="Arial" w:hAnsi="Arial" w:cs="Arial"/>
        </w:rPr>
        <w:t>NHP</w:t>
      </w:r>
      <w:proofErr w:type="spellEnd"/>
      <w:r>
        <w:rPr>
          <w:rFonts w:ascii="Arial" w:hAnsi="Arial" w:cs="Arial"/>
        </w:rPr>
        <w:t xml:space="preserve">, </w:t>
      </w:r>
      <w:proofErr w:type="spellStart"/>
      <w:r>
        <w:rPr>
          <w:rFonts w:ascii="Arial" w:hAnsi="Arial" w:cs="Arial"/>
        </w:rPr>
        <w:t>NHP</w:t>
      </w:r>
      <w:proofErr w:type="spellEnd"/>
      <w:r>
        <w:rPr>
          <w:rFonts w:ascii="Arial" w:hAnsi="Arial" w:cs="Arial"/>
        </w:rPr>
        <w:t>+,</w:t>
      </w:r>
      <w:r w:rsidRPr="00F465F9">
        <w:rPr>
          <w:rFonts w:ascii="Arial" w:hAnsi="Arial" w:cs="Arial"/>
        </w:rPr>
        <w:t xml:space="preserve"> </w:t>
      </w:r>
      <w:r>
        <w:rPr>
          <w:rFonts w:ascii="Arial" w:hAnsi="Arial" w:cs="Arial"/>
        </w:rPr>
        <w:t xml:space="preserve">illetve </w:t>
      </w:r>
      <w:proofErr w:type="spellStart"/>
      <w:r>
        <w:rPr>
          <w:rFonts w:ascii="Arial" w:hAnsi="Arial" w:cs="Arial"/>
        </w:rPr>
        <w:t>NHP</w:t>
      </w:r>
      <w:proofErr w:type="spellEnd"/>
      <w:r>
        <w:rPr>
          <w:rFonts w:ascii="Arial" w:hAnsi="Arial" w:cs="Arial"/>
        </w:rPr>
        <w:t xml:space="preserve"> </w:t>
      </w:r>
      <w:r>
        <w:rPr>
          <w:rFonts w:ascii="Arial" w:hAnsi="Arial" w:cs="Arial"/>
          <w:i/>
        </w:rPr>
        <w:t>fix</w:t>
      </w:r>
      <w:r>
        <w:rPr>
          <w:rFonts w:ascii="Arial" w:hAnsi="Arial" w:cs="Arial"/>
        </w:rPr>
        <w:t xml:space="preserve"> Keretszerződés és az azok részét képező Terméktájékoztatók szerinti feltételekkel</w:t>
      </w:r>
      <w:r w:rsidRPr="00455D22">
        <w:rPr>
          <w:rFonts w:ascii="Arial" w:hAnsi="Arial" w:cs="Arial"/>
        </w:rPr>
        <w:t xml:space="preserve"> nyújtott hitel</w:t>
      </w:r>
      <w:r>
        <w:rPr>
          <w:rFonts w:ascii="Arial" w:hAnsi="Arial" w:cs="Arial"/>
        </w:rPr>
        <w:t>, pénzügyi</w:t>
      </w:r>
      <w:r w:rsidRPr="00455D22">
        <w:rPr>
          <w:rFonts w:ascii="Arial" w:hAnsi="Arial" w:cs="Arial"/>
        </w:rPr>
        <w:t xml:space="preserve"> </w:t>
      </w:r>
      <w:r>
        <w:rPr>
          <w:rFonts w:ascii="Arial" w:hAnsi="Arial" w:cs="Arial"/>
        </w:rPr>
        <w:t xml:space="preserve">lízing, faktoring </w:t>
      </w:r>
      <w:r w:rsidRPr="00455D22">
        <w:rPr>
          <w:rFonts w:ascii="Arial" w:hAnsi="Arial" w:cs="Arial"/>
        </w:rPr>
        <w:t>(a továbbiakban</w:t>
      </w:r>
      <w:r>
        <w:rPr>
          <w:rFonts w:ascii="Arial" w:hAnsi="Arial" w:cs="Arial"/>
        </w:rPr>
        <w:t xml:space="preserve"> együtt</w:t>
      </w:r>
      <w:r w:rsidRPr="00455D22">
        <w:rPr>
          <w:rFonts w:ascii="Arial" w:hAnsi="Arial" w:cs="Arial"/>
        </w:rPr>
        <w:t>: KKV hitelek)</w:t>
      </w:r>
      <w:r>
        <w:rPr>
          <w:rFonts w:ascii="Arial" w:hAnsi="Arial" w:cs="Arial"/>
        </w:rPr>
        <w:t xml:space="preserve"> adatait</w:t>
      </w:r>
      <w:r w:rsidRPr="00455D22">
        <w:rPr>
          <w:rFonts w:ascii="Arial" w:hAnsi="Arial" w:cs="Arial"/>
        </w:rPr>
        <w:t>, valamint a KKV hitelek lejelentett adataiban beállt minden változás</w:t>
      </w:r>
      <w:r>
        <w:rPr>
          <w:rFonts w:ascii="Arial" w:hAnsi="Arial" w:cs="Arial"/>
        </w:rPr>
        <w:t>t jelenteni kell</w:t>
      </w:r>
      <w:r w:rsidRPr="00455D22">
        <w:rPr>
          <w:rFonts w:ascii="Arial" w:hAnsi="Arial" w:cs="Arial"/>
        </w:rPr>
        <w:t>.</w:t>
      </w:r>
      <w:r>
        <w:rPr>
          <w:rFonts w:ascii="Arial" w:hAnsi="Arial" w:cs="Arial"/>
        </w:rPr>
        <w:t xml:space="preserve"> </w:t>
      </w:r>
      <w:r w:rsidRPr="00455D22">
        <w:rPr>
          <w:rFonts w:ascii="Arial" w:hAnsi="Arial" w:cs="Arial"/>
        </w:rPr>
        <w:t xml:space="preserve">Az </w:t>
      </w:r>
      <w:proofErr w:type="spellStart"/>
      <w:r w:rsidRPr="00455D22">
        <w:rPr>
          <w:rFonts w:ascii="Arial" w:hAnsi="Arial" w:cs="Arial"/>
        </w:rPr>
        <w:t>NHP</w:t>
      </w:r>
      <w:proofErr w:type="spellEnd"/>
      <w:r>
        <w:rPr>
          <w:rFonts w:ascii="Arial" w:hAnsi="Arial" w:cs="Arial"/>
        </w:rPr>
        <w:t xml:space="preserve">, az </w:t>
      </w:r>
      <w:proofErr w:type="spellStart"/>
      <w:r>
        <w:rPr>
          <w:rFonts w:ascii="Arial" w:hAnsi="Arial" w:cs="Arial"/>
        </w:rPr>
        <w:t>NHP</w:t>
      </w:r>
      <w:proofErr w:type="spellEnd"/>
      <w:r>
        <w:rPr>
          <w:rFonts w:ascii="Arial" w:hAnsi="Arial" w:cs="Arial"/>
        </w:rPr>
        <w:t xml:space="preserve">+ és az </w:t>
      </w:r>
      <w:proofErr w:type="spellStart"/>
      <w:r>
        <w:rPr>
          <w:rFonts w:ascii="Arial" w:hAnsi="Arial" w:cs="Arial"/>
        </w:rPr>
        <w:t>NHP</w:t>
      </w:r>
      <w:proofErr w:type="spellEnd"/>
      <w:r>
        <w:rPr>
          <w:rFonts w:ascii="Arial" w:hAnsi="Arial" w:cs="Arial"/>
        </w:rPr>
        <w:t xml:space="preserve"> </w:t>
      </w:r>
      <w:r>
        <w:rPr>
          <w:rFonts w:ascii="Arial" w:hAnsi="Arial" w:cs="Arial"/>
          <w:i/>
        </w:rPr>
        <w:t>fix</w:t>
      </w:r>
      <w:r>
        <w:rPr>
          <w:rFonts w:ascii="Arial" w:hAnsi="Arial" w:cs="Arial"/>
        </w:rPr>
        <w:t xml:space="preserve"> keretében</w:t>
      </w:r>
      <w:r w:rsidRPr="00455D22">
        <w:rPr>
          <w:rFonts w:ascii="Arial" w:hAnsi="Arial" w:cs="Arial"/>
        </w:rPr>
        <w:t xml:space="preserve"> közvetett úton, ún. ernyőbankon keresztül részt vevő hitelintézetek által nyújtott KKV hitelek adatairól az MNB-vel kötött </w:t>
      </w:r>
      <w:proofErr w:type="spellStart"/>
      <w:r w:rsidRPr="00455D22">
        <w:rPr>
          <w:rFonts w:ascii="Arial" w:hAnsi="Arial" w:cs="Arial"/>
        </w:rPr>
        <w:t>NHP</w:t>
      </w:r>
      <w:proofErr w:type="spellEnd"/>
      <w:r>
        <w:rPr>
          <w:rFonts w:ascii="Arial" w:hAnsi="Arial" w:cs="Arial"/>
        </w:rPr>
        <w:t xml:space="preserve">, </w:t>
      </w:r>
      <w:proofErr w:type="spellStart"/>
      <w:r>
        <w:rPr>
          <w:rFonts w:ascii="Arial" w:hAnsi="Arial" w:cs="Arial"/>
        </w:rPr>
        <w:t>NHP</w:t>
      </w:r>
      <w:proofErr w:type="spellEnd"/>
      <w:r>
        <w:rPr>
          <w:rFonts w:ascii="Arial" w:hAnsi="Arial" w:cs="Arial"/>
        </w:rPr>
        <w:t>+,</w:t>
      </w:r>
      <w:r w:rsidRPr="00F465F9">
        <w:rPr>
          <w:rFonts w:ascii="Arial" w:hAnsi="Arial" w:cs="Arial"/>
        </w:rPr>
        <w:t xml:space="preserve"> </w:t>
      </w:r>
      <w:r>
        <w:rPr>
          <w:rFonts w:ascii="Arial" w:hAnsi="Arial" w:cs="Arial"/>
        </w:rPr>
        <w:t xml:space="preserve">illetve </w:t>
      </w:r>
      <w:proofErr w:type="spellStart"/>
      <w:r>
        <w:rPr>
          <w:rFonts w:ascii="Arial" w:hAnsi="Arial" w:cs="Arial"/>
        </w:rPr>
        <w:t>NHP</w:t>
      </w:r>
      <w:proofErr w:type="spellEnd"/>
      <w:r>
        <w:rPr>
          <w:rFonts w:ascii="Arial" w:hAnsi="Arial" w:cs="Arial"/>
        </w:rPr>
        <w:t xml:space="preserve"> </w:t>
      </w:r>
      <w:r>
        <w:rPr>
          <w:rFonts w:ascii="Arial" w:hAnsi="Arial" w:cs="Arial"/>
          <w:i/>
        </w:rPr>
        <w:t>fix</w:t>
      </w:r>
      <w:r>
        <w:rPr>
          <w:rFonts w:ascii="Arial" w:hAnsi="Arial" w:cs="Arial"/>
        </w:rPr>
        <w:t xml:space="preserve"> Keretszerződés</w:t>
      </w:r>
      <w:r w:rsidRPr="00455D22">
        <w:rPr>
          <w:rFonts w:ascii="Arial" w:hAnsi="Arial" w:cs="Arial"/>
        </w:rPr>
        <w:t xml:space="preserve"> alapján ernyőbanki szerepet betöltő hitelintézet teljesít adatszolgáltatást.</w:t>
      </w:r>
    </w:p>
    <w:p w14:paraId="3430817E" w14:textId="77777777" w:rsidR="009335C5" w:rsidRPr="00455D22" w:rsidRDefault="009335C5" w:rsidP="009335C5">
      <w:pPr>
        <w:autoSpaceDE w:val="0"/>
        <w:autoSpaceDN w:val="0"/>
        <w:adjustRightInd w:val="0"/>
        <w:spacing w:after="240" w:line="240" w:lineRule="auto"/>
        <w:rPr>
          <w:rFonts w:ascii="Arial" w:hAnsi="Arial" w:cs="Arial"/>
        </w:rPr>
      </w:pPr>
      <w:r w:rsidRPr="00455D22">
        <w:rPr>
          <w:rFonts w:ascii="Arial" w:hAnsi="Arial" w:cs="Arial"/>
        </w:rPr>
        <w:t>2</w:t>
      </w:r>
      <w:r w:rsidRPr="00455D22" w:rsidDel="003E410A">
        <w:rPr>
          <w:rFonts w:ascii="Arial" w:hAnsi="Arial" w:cs="Arial"/>
        </w:rPr>
        <w:t xml:space="preserve">. A táblában felhasználható kódokat a 3. melléklet 4.10. pontja szerinti, az MNB honlapján közzétett </w:t>
      </w:r>
      <w:r w:rsidRPr="002A0E3A" w:rsidDel="003E410A">
        <w:rPr>
          <w:rFonts w:ascii="Arial" w:hAnsi="Arial" w:cs="Arial"/>
        </w:rPr>
        <w:t>technikai segédlet (a továbbiakban: kódlista)</w:t>
      </w:r>
      <w:r w:rsidRPr="00455D22" w:rsidDel="003E410A">
        <w:rPr>
          <w:rFonts w:ascii="Arial" w:hAnsi="Arial" w:cs="Arial"/>
        </w:rPr>
        <w:t xml:space="preserve"> tartalmazza.</w:t>
      </w:r>
    </w:p>
    <w:p w14:paraId="34A2A67E" w14:textId="77777777" w:rsidR="009335C5" w:rsidRPr="00455D22" w:rsidRDefault="009335C5" w:rsidP="009335C5">
      <w:pPr>
        <w:pStyle w:val="Szvegtrzs2"/>
        <w:tabs>
          <w:tab w:val="left" w:pos="284"/>
        </w:tabs>
        <w:spacing w:after="240"/>
        <w:rPr>
          <w:rFonts w:ascii="Arial" w:hAnsi="Arial" w:cs="Arial"/>
          <w:sz w:val="20"/>
        </w:rPr>
      </w:pPr>
      <w:r w:rsidRPr="00455D22">
        <w:rPr>
          <w:rFonts w:ascii="Arial" w:hAnsi="Arial" w:cs="Arial"/>
          <w:sz w:val="20"/>
        </w:rPr>
        <w:t xml:space="preserve">3. Időpontra vonatkozó adat esetén az adatot </w:t>
      </w:r>
      <w:proofErr w:type="spellStart"/>
      <w:proofErr w:type="gramStart"/>
      <w:r w:rsidRPr="00455D22">
        <w:rPr>
          <w:rFonts w:ascii="Arial" w:hAnsi="Arial" w:cs="Arial"/>
          <w:sz w:val="20"/>
        </w:rPr>
        <w:t>ÉÉÉÉ.HH.NN</w:t>
      </w:r>
      <w:proofErr w:type="spellEnd"/>
      <w:proofErr w:type="gramEnd"/>
      <w:r w:rsidRPr="00455D22">
        <w:rPr>
          <w:rFonts w:ascii="Arial" w:hAnsi="Arial" w:cs="Arial"/>
          <w:sz w:val="20"/>
        </w:rPr>
        <w:t xml:space="preserve"> formátumban szükséges megadni.</w:t>
      </w:r>
    </w:p>
    <w:p w14:paraId="6AD29EAF" w14:textId="77777777" w:rsidR="009335C5" w:rsidRPr="00455D22" w:rsidRDefault="009335C5" w:rsidP="009335C5">
      <w:pPr>
        <w:pStyle w:val="Szvegtrzs2"/>
        <w:tabs>
          <w:tab w:val="left" w:pos="284"/>
        </w:tabs>
        <w:spacing w:after="240"/>
        <w:rPr>
          <w:rFonts w:ascii="Arial" w:hAnsi="Arial" w:cs="Arial"/>
          <w:sz w:val="20"/>
        </w:rPr>
      </w:pPr>
      <w:r w:rsidRPr="00455D22">
        <w:rPr>
          <w:rFonts w:ascii="Arial" w:hAnsi="Arial" w:cs="Arial"/>
          <w:sz w:val="20"/>
        </w:rPr>
        <w:t>4. Az adatokat</w:t>
      </w:r>
      <w:r>
        <w:rPr>
          <w:rFonts w:ascii="Arial" w:hAnsi="Arial" w:cs="Arial"/>
          <w:sz w:val="20"/>
        </w:rPr>
        <w:t xml:space="preserve"> </w:t>
      </w:r>
      <w:proofErr w:type="spellStart"/>
      <w:r w:rsidRPr="00455D22">
        <w:rPr>
          <w:rFonts w:ascii="Arial" w:hAnsi="Arial" w:cs="Arial"/>
          <w:sz w:val="20"/>
        </w:rPr>
        <w:t>CSV</w:t>
      </w:r>
      <w:proofErr w:type="spellEnd"/>
      <w:r w:rsidRPr="00455D22">
        <w:rPr>
          <w:rFonts w:ascii="Arial" w:hAnsi="Arial" w:cs="Arial"/>
          <w:sz w:val="20"/>
        </w:rPr>
        <w:t xml:space="preserve"> formátumban</w:t>
      </w:r>
      <w:r>
        <w:rPr>
          <w:rFonts w:ascii="Arial" w:hAnsi="Arial" w:cs="Arial"/>
          <w:sz w:val="20"/>
        </w:rPr>
        <w:t xml:space="preserve"> </w:t>
      </w:r>
      <w:r w:rsidRPr="00455D22">
        <w:rPr>
          <w:rFonts w:ascii="Arial" w:hAnsi="Arial" w:cs="Arial"/>
          <w:sz w:val="20"/>
        </w:rPr>
        <w:t xml:space="preserve">kell megküldeni, az adatokat pontosvessző („;”) karakterrel elválasztva. </w:t>
      </w:r>
    </w:p>
    <w:p w14:paraId="0755301D" w14:textId="77777777" w:rsidR="009335C5" w:rsidRPr="00455D22" w:rsidRDefault="009335C5" w:rsidP="009335C5">
      <w:pPr>
        <w:pStyle w:val="Szvegtrzs2"/>
        <w:tabs>
          <w:tab w:val="left" w:pos="284"/>
        </w:tabs>
        <w:spacing w:after="240"/>
        <w:rPr>
          <w:rFonts w:ascii="Arial" w:hAnsi="Arial" w:cs="Arial"/>
          <w:sz w:val="20"/>
        </w:rPr>
      </w:pPr>
      <w:r w:rsidRPr="00455D22">
        <w:rPr>
          <w:rFonts w:ascii="Arial" w:hAnsi="Arial" w:cs="Arial"/>
          <w:sz w:val="20"/>
        </w:rPr>
        <w:t xml:space="preserve">5. A kiváltott hitelre vonatkozó adatot [da)-dm) oszlop] </w:t>
      </w:r>
      <w:r>
        <w:rPr>
          <w:rFonts w:ascii="Arial" w:hAnsi="Arial" w:cs="Arial"/>
          <w:sz w:val="20"/>
        </w:rPr>
        <w:t xml:space="preserve">– a jelen kitöltési előírások eltérő rendelkezése hiányában – </w:t>
      </w:r>
      <w:r w:rsidRPr="00455D22">
        <w:rPr>
          <w:rFonts w:ascii="Arial" w:hAnsi="Arial" w:cs="Arial"/>
          <w:sz w:val="20"/>
        </w:rPr>
        <w:t xml:space="preserve">jelenteni abban az esetben kell, ha a KKV hitel célja </w:t>
      </w:r>
      <w:r>
        <w:rPr>
          <w:rFonts w:ascii="Arial" w:hAnsi="Arial" w:cs="Arial"/>
          <w:sz w:val="20"/>
        </w:rPr>
        <w:t xml:space="preserve">az </w:t>
      </w:r>
      <w:proofErr w:type="spellStart"/>
      <w:r>
        <w:rPr>
          <w:rFonts w:ascii="Arial" w:hAnsi="Arial" w:cs="Arial"/>
          <w:sz w:val="20"/>
        </w:rPr>
        <w:t>NHP</w:t>
      </w:r>
      <w:proofErr w:type="spellEnd"/>
      <w:r>
        <w:rPr>
          <w:rFonts w:ascii="Arial" w:hAnsi="Arial" w:cs="Arial"/>
          <w:sz w:val="20"/>
        </w:rPr>
        <w:t xml:space="preserve"> keretein kívül nyújtott </w:t>
      </w:r>
      <w:r w:rsidRPr="00455D22">
        <w:rPr>
          <w:rFonts w:ascii="Arial" w:hAnsi="Arial" w:cs="Arial"/>
          <w:sz w:val="20"/>
        </w:rPr>
        <w:t>hitel</w:t>
      </w:r>
      <w:r>
        <w:rPr>
          <w:rFonts w:ascii="Arial" w:hAnsi="Arial" w:cs="Arial"/>
          <w:sz w:val="20"/>
        </w:rPr>
        <w:t xml:space="preserve"> </w:t>
      </w:r>
      <w:r w:rsidRPr="00455D22">
        <w:rPr>
          <w:rFonts w:ascii="Arial" w:hAnsi="Arial" w:cs="Arial"/>
          <w:sz w:val="20"/>
        </w:rPr>
        <w:t>kiváltás</w:t>
      </w:r>
      <w:r>
        <w:rPr>
          <w:rFonts w:ascii="Arial" w:hAnsi="Arial" w:cs="Arial"/>
          <w:sz w:val="20"/>
        </w:rPr>
        <w:t xml:space="preserve">a, vagy a KKV hitel </w:t>
      </w:r>
      <w:bookmarkStart w:id="22" w:name="_Hlk494097568"/>
      <w:r>
        <w:rPr>
          <w:rFonts w:ascii="Arial" w:hAnsi="Arial" w:cs="Arial"/>
          <w:sz w:val="20"/>
        </w:rPr>
        <w:t xml:space="preserve">az </w:t>
      </w:r>
      <w:proofErr w:type="spellStart"/>
      <w:r>
        <w:rPr>
          <w:rFonts w:ascii="Arial" w:hAnsi="Arial" w:cs="Arial"/>
          <w:sz w:val="20"/>
        </w:rPr>
        <w:t>NHP</w:t>
      </w:r>
      <w:proofErr w:type="spellEnd"/>
      <w:r>
        <w:rPr>
          <w:rFonts w:ascii="Arial" w:hAnsi="Arial" w:cs="Arial"/>
          <w:sz w:val="20"/>
        </w:rPr>
        <w:t xml:space="preserve"> és az </w:t>
      </w:r>
      <w:proofErr w:type="spellStart"/>
      <w:r>
        <w:rPr>
          <w:rFonts w:ascii="Arial" w:hAnsi="Arial" w:cs="Arial"/>
          <w:sz w:val="20"/>
        </w:rPr>
        <w:t>NHP</w:t>
      </w:r>
      <w:proofErr w:type="spellEnd"/>
      <w:r>
        <w:rPr>
          <w:rFonts w:ascii="Arial" w:hAnsi="Arial" w:cs="Arial"/>
          <w:sz w:val="20"/>
        </w:rPr>
        <w:t xml:space="preserve"> </w:t>
      </w:r>
      <w:r w:rsidRPr="00F465F9">
        <w:rPr>
          <w:rFonts w:ascii="Arial" w:hAnsi="Arial" w:cs="Arial"/>
          <w:i/>
          <w:sz w:val="20"/>
        </w:rPr>
        <w:t>fix</w:t>
      </w:r>
      <w:r>
        <w:rPr>
          <w:rFonts w:ascii="Arial" w:hAnsi="Arial" w:cs="Arial"/>
          <w:sz w:val="20"/>
        </w:rPr>
        <w:t xml:space="preserve"> keretében nyújtott KKV hitelt vált ki (a továbbiakban: </w:t>
      </w:r>
      <w:proofErr w:type="spellStart"/>
      <w:r>
        <w:rPr>
          <w:rFonts w:ascii="Arial" w:hAnsi="Arial" w:cs="Arial"/>
          <w:sz w:val="20"/>
        </w:rPr>
        <w:t>NHP</w:t>
      </w:r>
      <w:proofErr w:type="spellEnd"/>
      <w:r>
        <w:rPr>
          <w:rFonts w:ascii="Arial" w:hAnsi="Arial" w:cs="Arial"/>
          <w:sz w:val="20"/>
        </w:rPr>
        <w:t>-hitelkiváltás</w:t>
      </w:r>
      <w:bookmarkEnd w:id="22"/>
      <w:r>
        <w:rPr>
          <w:rFonts w:ascii="Arial" w:hAnsi="Arial" w:cs="Arial"/>
          <w:sz w:val="20"/>
        </w:rPr>
        <w:t>), vagy a KKV hitel</w:t>
      </w:r>
      <w:r w:rsidRPr="00C37F96">
        <w:rPr>
          <w:rFonts w:ascii="Arial" w:hAnsi="Arial" w:cs="Arial"/>
          <w:sz w:val="20"/>
        </w:rPr>
        <w:t xml:space="preserve"> </w:t>
      </w:r>
      <w:r>
        <w:rPr>
          <w:rFonts w:ascii="Arial" w:hAnsi="Arial" w:cs="Arial"/>
          <w:sz w:val="20"/>
        </w:rPr>
        <w:t>állományátruházás</w:t>
      </w:r>
      <w:r w:rsidRPr="00C37F96">
        <w:rPr>
          <w:rFonts w:ascii="Arial" w:hAnsi="Arial" w:cs="Arial"/>
          <w:sz w:val="20"/>
        </w:rPr>
        <w:t xml:space="preserve"> keretében </w:t>
      </w:r>
      <w:r>
        <w:rPr>
          <w:rFonts w:ascii="Arial" w:hAnsi="Arial" w:cs="Arial"/>
          <w:sz w:val="20"/>
        </w:rPr>
        <w:t>került átvételre</w:t>
      </w:r>
      <w:r w:rsidRPr="00C71388">
        <w:rPr>
          <w:rFonts w:ascii="Arial" w:hAnsi="Arial" w:cs="Arial"/>
          <w:sz w:val="20"/>
        </w:rPr>
        <w:t xml:space="preserve">. </w:t>
      </w:r>
      <w:r>
        <w:rPr>
          <w:rFonts w:ascii="Arial" w:hAnsi="Arial" w:cs="Arial"/>
          <w:sz w:val="20"/>
        </w:rPr>
        <w:t xml:space="preserve">Az állományátruházás keretében átvett KKV hitelről teljesített adatszolgáltatásban a kiváltott hitel adataira vonatkozó </w:t>
      </w:r>
      <w:proofErr w:type="gramStart"/>
      <w:r>
        <w:rPr>
          <w:rFonts w:ascii="Arial" w:hAnsi="Arial" w:cs="Arial"/>
          <w:sz w:val="20"/>
        </w:rPr>
        <w:t>da)-</w:t>
      </w:r>
      <w:proofErr w:type="gramEnd"/>
      <w:r>
        <w:rPr>
          <w:rFonts w:ascii="Arial" w:hAnsi="Arial" w:cs="Arial"/>
          <w:sz w:val="20"/>
        </w:rPr>
        <w:t xml:space="preserve">dm) oszlopban feltüntetendő adatok az átvett </w:t>
      </w:r>
      <w:proofErr w:type="spellStart"/>
      <w:r>
        <w:rPr>
          <w:rFonts w:ascii="Arial" w:hAnsi="Arial" w:cs="Arial"/>
          <w:sz w:val="20"/>
        </w:rPr>
        <w:t>NHP</w:t>
      </w:r>
      <w:proofErr w:type="spellEnd"/>
      <w:r>
        <w:rPr>
          <w:rFonts w:ascii="Arial" w:hAnsi="Arial" w:cs="Arial"/>
          <w:sz w:val="20"/>
        </w:rPr>
        <w:t xml:space="preserve">-s, illetve </w:t>
      </w:r>
      <w:proofErr w:type="spellStart"/>
      <w:r>
        <w:rPr>
          <w:rFonts w:ascii="Arial" w:hAnsi="Arial" w:cs="Arial"/>
          <w:sz w:val="20"/>
        </w:rPr>
        <w:t>NHP</w:t>
      </w:r>
      <w:proofErr w:type="spellEnd"/>
      <w:r>
        <w:rPr>
          <w:rFonts w:ascii="Arial" w:hAnsi="Arial" w:cs="Arial"/>
          <w:sz w:val="20"/>
        </w:rPr>
        <w:t xml:space="preserve"> </w:t>
      </w:r>
      <w:proofErr w:type="spellStart"/>
      <w:r>
        <w:rPr>
          <w:rFonts w:ascii="Arial" w:hAnsi="Arial" w:cs="Arial"/>
          <w:i/>
          <w:sz w:val="20"/>
        </w:rPr>
        <w:t>fix</w:t>
      </w:r>
      <w:r>
        <w:rPr>
          <w:rFonts w:ascii="Arial" w:hAnsi="Arial" w:cs="Arial"/>
          <w:sz w:val="20"/>
        </w:rPr>
        <w:t>es</w:t>
      </w:r>
      <w:proofErr w:type="spellEnd"/>
      <w:r>
        <w:rPr>
          <w:rFonts w:ascii="Arial" w:hAnsi="Arial" w:cs="Arial"/>
          <w:sz w:val="20"/>
        </w:rPr>
        <w:t xml:space="preserve"> KKV hitel adataiként értelmezendők</w:t>
      </w:r>
      <w:r w:rsidRPr="00455D22">
        <w:rPr>
          <w:rFonts w:ascii="Arial" w:hAnsi="Arial" w:cs="Arial"/>
          <w:sz w:val="20"/>
        </w:rPr>
        <w:t>.</w:t>
      </w:r>
      <w:r>
        <w:rPr>
          <w:rFonts w:ascii="Arial" w:hAnsi="Arial" w:cs="Arial"/>
          <w:sz w:val="20"/>
        </w:rPr>
        <w:t xml:space="preserve"> </w:t>
      </w:r>
      <w:r w:rsidRPr="00455D22">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70AC55FD" w14:textId="77777777" w:rsidR="009335C5" w:rsidRPr="00455D22" w:rsidRDefault="009335C5" w:rsidP="009335C5">
      <w:pPr>
        <w:autoSpaceDE w:val="0"/>
        <w:autoSpaceDN w:val="0"/>
        <w:adjustRightInd w:val="0"/>
        <w:spacing w:after="240" w:line="240" w:lineRule="auto"/>
        <w:rPr>
          <w:rFonts w:ascii="Arial" w:hAnsi="Arial" w:cs="Arial"/>
        </w:rPr>
      </w:pPr>
      <w:r w:rsidRPr="00455D22">
        <w:rPr>
          <w:rFonts w:ascii="Arial" w:hAnsi="Arial" w:cs="Arial"/>
        </w:rPr>
        <w:t>6. A tábla helyes kitöltését segítő módszertani útmutatást a 3. melléklet 9. pontja szerinti, az MNB honlapján közzétett technikai segédlet tartalmazza.</w:t>
      </w:r>
    </w:p>
    <w:p w14:paraId="1E6BC199" w14:textId="77777777" w:rsidR="009335C5" w:rsidRPr="00455D22" w:rsidRDefault="009335C5" w:rsidP="009335C5">
      <w:pPr>
        <w:pStyle w:val="Szvegtrzs2"/>
        <w:tabs>
          <w:tab w:val="left" w:pos="284"/>
        </w:tabs>
        <w:rPr>
          <w:rFonts w:ascii="Arial" w:hAnsi="Arial" w:cs="Arial"/>
          <w:sz w:val="20"/>
        </w:rPr>
      </w:pPr>
    </w:p>
    <w:p w14:paraId="26EED9A2" w14:textId="77777777" w:rsidR="009335C5" w:rsidRPr="00455D22" w:rsidRDefault="009335C5" w:rsidP="009335C5">
      <w:pPr>
        <w:keepNext/>
        <w:spacing w:before="240" w:after="240"/>
        <w:rPr>
          <w:rFonts w:ascii="Arial" w:hAnsi="Arial" w:cs="Arial"/>
          <w:b/>
        </w:rPr>
      </w:pPr>
      <w:r w:rsidRPr="00455D22">
        <w:rPr>
          <w:rFonts w:ascii="Arial" w:hAnsi="Arial" w:cs="Arial"/>
          <w:b/>
        </w:rPr>
        <w:lastRenderedPageBreak/>
        <w:t>II. A tábla kitöltésével kapcsolatos részletes előírások</w:t>
      </w:r>
    </w:p>
    <w:p w14:paraId="341FE788" w14:textId="36E9E08E" w:rsidR="009335C5" w:rsidRPr="00455D22" w:rsidRDefault="009335C5" w:rsidP="009335C5">
      <w:pPr>
        <w:keepNext/>
        <w:spacing w:before="240" w:after="240"/>
        <w:rPr>
          <w:rFonts w:ascii="Arial" w:hAnsi="Arial" w:cs="Arial"/>
          <w:b/>
        </w:rPr>
      </w:pPr>
      <w:r w:rsidRPr="00455D22">
        <w:rPr>
          <w:rFonts w:ascii="Arial" w:hAnsi="Arial" w:cs="Arial"/>
          <w:b/>
        </w:rPr>
        <w:t xml:space="preserve">01. tábla: Az </w:t>
      </w:r>
      <w:proofErr w:type="spellStart"/>
      <w:r w:rsidRPr="00455D22">
        <w:rPr>
          <w:rFonts w:ascii="Arial" w:hAnsi="Arial" w:cs="Arial"/>
          <w:b/>
        </w:rPr>
        <w:t>NHP</w:t>
      </w:r>
      <w:proofErr w:type="spellEnd"/>
      <w:r>
        <w:rPr>
          <w:rFonts w:ascii="Arial" w:hAnsi="Arial" w:cs="Arial"/>
          <w:b/>
        </w:rPr>
        <w:t xml:space="preserve">, az </w:t>
      </w:r>
      <w:proofErr w:type="spellStart"/>
      <w:r>
        <w:rPr>
          <w:rFonts w:ascii="Arial" w:hAnsi="Arial" w:cs="Arial"/>
          <w:b/>
        </w:rPr>
        <w:t>NHP</w:t>
      </w:r>
      <w:proofErr w:type="spellEnd"/>
      <w:r>
        <w:rPr>
          <w:rFonts w:ascii="Arial" w:hAnsi="Arial" w:cs="Arial"/>
          <w:b/>
        </w:rPr>
        <w:t>+</w:t>
      </w:r>
      <w:r w:rsidRPr="00F465F9">
        <w:rPr>
          <w:rFonts w:ascii="Arial" w:hAnsi="Arial" w:cs="Arial"/>
          <w:b/>
        </w:rPr>
        <w:t xml:space="preserve"> </w:t>
      </w:r>
      <w:r>
        <w:rPr>
          <w:rFonts w:ascii="Arial" w:hAnsi="Arial" w:cs="Arial"/>
          <w:b/>
        </w:rPr>
        <w:t xml:space="preserve">és az </w:t>
      </w:r>
      <w:proofErr w:type="spellStart"/>
      <w:r>
        <w:rPr>
          <w:rFonts w:ascii="Arial" w:hAnsi="Arial" w:cs="Arial"/>
          <w:b/>
        </w:rPr>
        <w:t>NHP</w:t>
      </w:r>
      <w:proofErr w:type="spellEnd"/>
      <w:r>
        <w:rPr>
          <w:rFonts w:ascii="Arial" w:hAnsi="Arial" w:cs="Arial"/>
          <w:b/>
        </w:rPr>
        <w:t xml:space="preserve"> </w:t>
      </w:r>
      <w:r w:rsidRPr="0067242B">
        <w:rPr>
          <w:rFonts w:ascii="Arial" w:hAnsi="Arial" w:cs="Arial"/>
          <w:b/>
          <w:i/>
        </w:rPr>
        <w:t>fix</w:t>
      </w:r>
      <w:r w:rsidRPr="00455D22">
        <w:rPr>
          <w:rFonts w:ascii="Arial" w:hAnsi="Arial" w:cs="Arial"/>
          <w:b/>
        </w:rPr>
        <w:t xml:space="preserve"> keretében a kis- és középvállalkozásoknak nyújtott hitelek adatai </w:t>
      </w:r>
    </w:p>
    <w:p w14:paraId="4702116A" w14:textId="77777777" w:rsidR="009335C5" w:rsidRPr="00455D22" w:rsidRDefault="009335C5" w:rsidP="009335C5">
      <w:pPr>
        <w:spacing w:after="240" w:line="240" w:lineRule="auto"/>
        <w:rPr>
          <w:rFonts w:ascii="Arial" w:hAnsi="Arial" w:cs="Arial"/>
        </w:rPr>
      </w:pPr>
      <w:r w:rsidRPr="00455D22">
        <w:rPr>
          <w:rFonts w:ascii="Arial" w:hAnsi="Arial" w:cs="Arial"/>
        </w:rPr>
        <w:t>Az egyes oszlopok kitöltésére vonatkozó előírások:</w:t>
      </w:r>
    </w:p>
    <w:p w14:paraId="3562F483"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aa</w:t>
      </w:r>
      <w:proofErr w:type="spellEnd"/>
      <w:r w:rsidRPr="00455D22">
        <w:rPr>
          <w:rFonts w:ascii="Arial" w:hAnsi="Arial" w:cs="Arial"/>
        </w:rPr>
        <w:t>)</w:t>
      </w:r>
      <w:r w:rsidRPr="00455D22">
        <w:rPr>
          <w:rFonts w:ascii="Arial" w:hAnsi="Arial" w:cs="Arial"/>
        </w:rPr>
        <w:tab/>
        <w:t>Az adatszolgáltatás típusa attól függ, hogy az adatszolgáltató az MNB által refinanszírozni kért</w:t>
      </w:r>
      <w:r>
        <w:rPr>
          <w:rFonts w:ascii="Arial" w:hAnsi="Arial" w:cs="Arial"/>
        </w:rPr>
        <w:t xml:space="preserve"> </w:t>
      </w:r>
      <w:r w:rsidRPr="00455D22">
        <w:rPr>
          <w:rFonts w:ascii="Arial" w:hAnsi="Arial" w:cs="Arial"/>
        </w:rPr>
        <w:t>KKV hitel adatairól küld adatot, vagy</w:t>
      </w:r>
      <w:r>
        <w:rPr>
          <w:rFonts w:ascii="Arial" w:hAnsi="Arial" w:cs="Arial"/>
        </w:rPr>
        <w:t xml:space="preserve"> </w:t>
      </w:r>
      <w:r w:rsidRPr="00455D22">
        <w:rPr>
          <w:rFonts w:ascii="Arial" w:hAnsi="Arial" w:cs="Arial"/>
        </w:rPr>
        <w:t>a KKV hitel korábban már megadott</w:t>
      </w:r>
      <w:r>
        <w:rPr>
          <w:rFonts w:ascii="Arial" w:hAnsi="Arial" w:cs="Arial"/>
        </w:rPr>
        <w:t xml:space="preserve"> </w:t>
      </w:r>
      <w:r w:rsidRPr="00455D22">
        <w:rPr>
          <w:rFonts w:ascii="Arial" w:hAnsi="Arial" w:cs="Arial"/>
        </w:rPr>
        <w:t>adataiban beállt változást jelenti. A kódlista szerint kell kitölteni.</w:t>
      </w:r>
    </w:p>
    <w:p w14:paraId="304B19BC" w14:textId="45587CDB" w:rsidR="009335C5" w:rsidRPr="00455D22" w:rsidRDefault="009335C5" w:rsidP="009335C5">
      <w:pPr>
        <w:spacing w:after="240" w:line="240" w:lineRule="auto"/>
        <w:ind w:left="426" w:hanging="426"/>
        <w:rPr>
          <w:rFonts w:ascii="Arial" w:hAnsi="Arial" w:cs="Arial"/>
        </w:rPr>
      </w:pPr>
      <w:r w:rsidRPr="00455D22">
        <w:rPr>
          <w:rFonts w:ascii="Arial" w:hAnsi="Arial" w:cs="Arial"/>
        </w:rPr>
        <w:t>ab)</w:t>
      </w:r>
      <w:r w:rsidRPr="00455D22">
        <w:rPr>
          <w:rFonts w:ascii="Arial" w:hAnsi="Arial" w:cs="Arial"/>
        </w:rPr>
        <w:tab/>
      </w:r>
      <w:r w:rsidRPr="00441CEA">
        <w:rPr>
          <w:rFonts w:ascii="Arial" w:hAnsi="Arial" w:cs="Arial"/>
        </w:rPr>
        <w:t>Ebben az oszlopban kell feltüntetni, hogy az adatszolgáltató a KKV hitel</w:t>
      </w:r>
      <w:r>
        <w:rPr>
          <w:rFonts w:ascii="Arial" w:hAnsi="Arial" w:cs="Arial"/>
        </w:rPr>
        <w:t xml:space="preserve"> refinanszírozását</w:t>
      </w:r>
      <w:r w:rsidRPr="00441CEA">
        <w:rPr>
          <w:rFonts w:ascii="Arial" w:hAnsi="Arial" w:cs="Arial"/>
        </w:rPr>
        <w:t xml:space="preserve"> az </w:t>
      </w:r>
      <w:proofErr w:type="spellStart"/>
      <w:r w:rsidRPr="00441CEA">
        <w:rPr>
          <w:rFonts w:ascii="Arial" w:hAnsi="Arial" w:cs="Arial"/>
        </w:rPr>
        <w:t>NHP</w:t>
      </w:r>
      <w:proofErr w:type="spellEnd"/>
      <w:r>
        <w:rPr>
          <w:rFonts w:ascii="Arial" w:hAnsi="Arial" w:cs="Arial"/>
        </w:rPr>
        <w:t xml:space="preserve"> I. vagy II.</w:t>
      </w:r>
      <w:r w:rsidRPr="00441CEA">
        <w:rPr>
          <w:rFonts w:ascii="Arial" w:hAnsi="Arial" w:cs="Arial"/>
        </w:rPr>
        <w:t xml:space="preserve"> pillére</w:t>
      </w:r>
      <w:r>
        <w:rPr>
          <w:rFonts w:ascii="Arial" w:hAnsi="Arial" w:cs="Arial"/>
        </w:rPr>
        <w:t xml:space="preserve">, az </w:t>
      </w:r>
      <w:proofErr w:type="spellStart"/>
      <w:r>
        <w:rPr>
          <w:rFonts w:ascii="Arial" w:hAnsi="Arial" w:cs="Arial"/>
        </w:rPr>
        <w:t>NHP</w:t>
      </w:r>
      <w:proofErr w:type="spellEnd"/>
      <w:r>
        <w:rPr>
          <w:rFonts w:ascii="Arial" w:hAnsi="Arial" w:cs="Arial"/>
        </w:rPr>
        <w:t xml:space="preserve"> első, </w:t>
      </w:r>
      <w:r w:rsidRPr="00441CEA">
        <w:rPr>
          <w:rFonts w:ascii="Arial" w:hAnsi="Arial" w:cs="Arial"/>
        </w:rPr>
        <w:t>második</w:t>
      </w:r>
      <w:r>
        <w:rPr>
          <w:rFonts w:ascii="Arial" w:hAnsi="Arial" w:cs="Arial"/>
        </w:rPr>
        <w:t xml:space="preserve"> vagy harmadik</w:t>
      </w:r>
      <w:r w:rsidRPr="00441CEA">
        <w:rPr>
          <w:rFonts w:ascii="Arial" w:hAnsi="Arial" w:cs="Arial"/>
        </w:rPr>
        <w:t xml:space="preserve"> szakasz</w:t>
      </w:r>
      <w:r>
        <w:rPr>
          <w:rFonts w:ascii="Arial" w:hAnsi="Arial" w:cs="Arial"/>
        </w:rPr>
        <w:t xml:space="preserve">a, az </w:t>
      </w:r>
      <w:proofErr w:type="spellStart"/>
      <w:r>
        <w:rPr>
          <w:rFonts w:ascii="Arial" w:hAnsi="Arial" w:cs="Arial"/>
        </w:rPr>
        <w:t>NHP</w:t>
      </w:r>
      <w:proofErr w:type="spellEnd"/>
      <w:r>
        <w:rPr>
          <w:rFonts w:ascii="Arial" w:hAnsi="Arial" w:cs="Arial"/>
        </w:rPr>
        <w:t xml:space="preserve">+ vagy az </w:t>
      </w:r>
      <w:proofErr w:type="spellStart"/>
      <w:r>
        <w:rPr>
          <w:rFonts w:ascii="Arial" w:hAnsi="Arial" w:cs="Arial"/>
        </w:rPr>
        <w:t>NHP</w:t>
      </w:r>
      <w:proofErr w:type="spellEnd"/>
      <w:r>
        <w:rPr>
          <w:rFonts w:ascii="Arial" w:hAnsi="Arial" w:cs="Arial"/>
        </w:rPr>
        <w:t xml:space="preserve"> </w:t>
      </w:r>
      <w:r>
        <w:rPr>
          <w:rFonts w:ascii="Arial" w:hAnsi="Arial" w:cs="Arial"/>
          <w:i/>
        </w:rPr>
        <w:t xml:space="preserve">fix </w:t>
      </w:r>
      <w:r>
        <w:rPr>
          <w:rFonts w:ascii="Arial" w:hAnsi="Arial" w:cs="Arial"/>
        </w:rPr>
        <w:t>keretében kéri az</w:t>
      </w:r>
      <w:r w:rsidRPr="00441CEA">
        <w:rPr>
          <w:rFonts w:ascii="Arial" w:hAnsi="Arial" w:cs="Arial"/>
        </w:rPr>
        <w:t xml:space="preserve"> MNB</w:t>
      </w:r>
      <w:r>
        <w:rPr>
          <w:rFonts w:ascii="Arial" w:hAnsi="Arial" w:cs="Arial"/>
        </w:rPr>
        <w:t>-től</w:t>
      </w:r>
      <w:r w:rsidRPr="00441CEA">
        <w:rPr>
          <w:rFonts w:ascii="Arial" w:hAnsi="Arial" w:cs="Arial"/>
        </w:rPr>
        <w:t>.</w:t>
      </w:r>
      <w:r>
        <w:rPr>
          <w:rFonts w:ascii="Arial" w:hAnsi="Arial" w:cs="Arial"/>
        </w:rPr>
        <w:t xml:space="preserve"> </w:t>
      </w:r>
      <w:r w:rsidRPr="00441CEA">
        <w:rPr>
          <w:rFonts w:ascii="Arial" w:hAnsi="Arial" w:cs="Arial"/>
        </w:rPr>
        <w:t>A kódlista szerint kell kitölteni.</w:t>
      </w:r>
    </w:p>
    <w:p w14:paraId="4C271A76"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ba</w:t>
      </w:r>
      <w:proofErr w:type="spellEnd"/>
      <w:r w:rsidRPr="00455D22">
        <w:rPr>
          <w:rFonts w:ascii="Arial" w:hAnsi="Arial" w:cs="Arial"/>
        </w:rPr>
        <w:t>)</w:t>
      </w:r>
      <w:r w:rsidRPr="00455D22">
        <w:rPr>
          <w:rFonts w:ascii="Arial" w:hAnsi="Arial" w:cs="Arial"/>
        </w:rPr>
        <w:tab/>
        <w:t>A KKV KSH-törzsszáma (adószám első nyolc karaktere), numerikusan.</w:t>
      </w:r>
      <w:r>
        <w:rPr>
          <w:rFonts w:ascii="Arial" w:hAnsi="Arial" w:cs="Arial"/>
        </w:rPr>
        <w:t xml:space="preserve"> Amennyiben a KKV KSH-törzsszámmal nem rendelkezik, akkor a tevékenység végzésére jogosító igazolvány száma.</w:t>
      </w:r>
    </w:p>
    <w:p w14:paraId="132F008E" w14:textId="77777777" w:rsidR="009335C5" w:rsidRPr="00455D22" w:rsidRDefault="009335C5" w:rsidP="009335C5">
      <w:pPr>
        <w:autoSpaceDE w:val="0"/>
        <w:autoSpaceDN w:val="0"/>
        <w:adjustRightInd w:val="0"/>
        <w:spacing w:after="240" w:line="240" w:lineRule="auto"/>
        <w:ind w:left="426" w:hanging="426"/>
        <w:rPr>
          <w:rFonts w:ascii="Arial" w:hAnsi="Arial" w:cs="Arial"/>
        </w:rPr>
      </w:pPr>
      <w:proofErr w:type="spellStart"/>
      <w:r w:rsidRPr="00455D22">
        <w:rPr>
          <w:rFonts w:ascii="Arial" w:hAnsi="Arial" w:cs="Arial"/>
        </w:rPr>
        <w:t>bb</w:t>
      </w:r>
      <w:proofErr w:type="spellEnd"/>
      <w:r w:rsidRPr="00455D22">
        <w:rPr>
          <w:rFonts w:ascii="Arial" w:hAnsi="Arial" w:cs="Arial"/>
        </w:rPr>
        <w:t>)</w:t>
      </w:r>
      <w:r w:rsidRPr="00455D22">
        <w:rPr>
          <w:rFonts w:ascii="Arial" w:hAnsi="Arial" w:cs="Arial"/>
        </w:rPr>
        <w:tab/>
        <w:t>A KKV szektorának meghatározásá</w:t>
      </w:r>
      <w:r w:rsidRPr="00455D22">
        <w:rPr>
          <w:rFonts w:ascii="Arial" w:hAnsi="Arial" w:cs="Arial"/>
          <w:color w:val="231F20"/>
        </w:rPr>
        <w:t>nál az e melléklet I. A. 4. pontjában foglaltak az irányadók. A kódlista szerint kell kitölteni.</w:t>
      </w:r>
    </w:p>
    <w:p w14:paraId="0D34F957"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bc</w:t>
      </w:r>
      <w:proofErr w:type="spellEnd"/>
      <w:r w:rsidRPr="00455D22">
        <w:rPr>
          <w:rFonts w:ascii="Arial" w:hAnsi="Arial" w:cs="Arial"/>
        </w:rPr>
        <w:t>)</w:t>
      </w:r>
      <w:r w:rsidRPr="00455D22">
        <w:rPr>
          <w:rFonts w:ascii="Arial" w:hAnsi="Arial" w:cs="Arial"/>
        </w:rPr>
        <w:tab/>
        <w:t>A KKV neve.</w:t>
      </w:r>
    </w:p>
    <w:p w14:paraId="444E4975" w14:textId="77777777" w:rsidR="009335C5" w:rsidRPr="00455D22" w:rsidRDefault="009335C5" w:rsidP="009335C5">
      <w:pPr>
        <w:spacing w:after="240" w:line="240" w:lineRule="auto"/>
        <w:ind w:left="426" w:hanging="426"/>
        <w:rPr>
          <w:rFonts w:ascii="Arial" w:hAnsi="Arial" w:cs="Arial"/>
          <w:i/>
        </w:rPr>
      </w:pPr>
      <w:proofErr w:type="spellStart"/>
      <w:r w:rsidRPr="00455D22">
        <w:rPr>
          <w:rFonts w:ascii="Arial" w:hAnsi="Arial" w:cs="Arial"/>
        </w:rPr>
        <w:t>bd</w:t>
      </w:r>
      <w:proofErr w:type="spellEnd"/>
      <w:r w:rsidRPr="00455D22">
        <w:rPr>
          <w:rFonts w:ascii="Arial" w:hAnsi="Arial" w:cs="Arial"/>
        </w:rPr>
        <w:t>)</w:t>
      </w:r>
      <w:r w:rsidRPr="00455D22">
        <w:rPr>
          <w:rFonts w:ascii="Arial" w:hAnsi="Arial" w:cs="Arial"/>
        </w:rPr>
        <w:tab/>
        <w:t>A KKV székhelye.</w:t>
      </w:r>
    </w:p>
    <w:p w14:paraId="0A64F8F4"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ca</w:t>
      </w:r>
      <w:proofErr w:type="spellEnd"/>
      <w:r w:rsidRPr="00455D22">
        <w:rPr>
          <w:rFonts w:ascii="Arial" w:hAnsi="Arial" w:cs="Arial"/>
        </w:rPr>
        <w:t>)</w:t>
      </w:r>
      <w:r w:rsidRPr="00455D22">
        <w:rPr>
          <w:rFonts w:ascii="Arial" w:hAnsi="Arial" w:cs="Arial"/>
        </w:rPr>
        <w:tab/>
        <w:t>A KKV hitelre vonatkozó szerződésnek az adatszolgáltatónál alkalmazott egyedi szerződésazonosítója.</w:t>
      </w:r>
    </w:p>
    <w:p w14:paraId="5EAF6E3F" w14:textId="77777777" w:rsidR="009335C5" w:rsidRPr="00FD5499" w:rsidRDefault="009335C5" w:rsidP="009335C5">
      <w:pPr>
        <w:spacing w:after="240" w:line="240" w:lineRule="auto"/>
        <w:ind w:left="426" w:hanging="426"/>
        <w:rPr>
          <w:rFonts w:ascii="Arial" w:hAnsi="Arial" w:cs="Arial"/>
        </w:rPr>
      </w:pPr>
      <w:proofErr w:type="spellStart"/>
      <w:r w:rsidRPr="00455D22">
        <w:rPr>
          <w:rFonts w:ascii="Arial" w:hAnsi="Arial" w:cs="Arial"/>
        </w:rPr>
        <w:t>cb</w:t>
      </w:r>
      <w:proofErr w:type="spellEnd"/>
      <w:r w:rsidRPr="00455D22">
        <w:rPr>
          <w:rFonts w:ascii="Arial" w:hAnsi="Arial" w:cs="Arial"/>
        </w:rPr>
        <w:t>)</w:t>
      </w:r>
      <w:r w:rsidRPr="00455D22">
        <w:rPr>
          <w:rFonts w:ascii="Arial" w:hAnsi="Arial" w:cs="Arial"/>
        </w:rPr>
        <w:tab/>
        <w:t xml:space="preserve">A KKV hitelre vonatkozó szerződés aláírásának időpontja. Amennyiben a KKV hitelre vonatkozó szerződést a felek a szerződésben foglaltak szerint nem azonos időpontban írják alá, akkor a </w:t>
      </w:r>
      <w:r w:rsidRPr="00FD5499">
        <w:rPr>
          <w:rFonts w:ascii="Arial" w:hAnsi="Arial" w:cs="Arial"/>
        </w:rPr>
        <w:t>KKV hitelre vonatkozó szerződés szerinti legkésőbbi aláírási időpontot kell jelenteni.</w:t>
      </w:r>
    </w:p>
    <w:p w14:paraId="33781FF8" w14:textId="6EBAAC28" w:rsidR="009335C5" w:rsidRPr="00FD5499" w:rsidRDefault="009335C5" w:rsidP="009335C5">
      <w:pPr>
        <w:spacing w:after="240" w:line="240" w:lineRule="auto"/>
        <w:ind w:left="426" w:hanging="426"/>
        <w:rPr>
          <w:rFonts w:ascii="Arial" w:hAnsi="Arial" w:cs="Arial"/>
        </w:rPr>
      </w:pPr>
      <w:r w:rsidRPr="00FD5499">
        <w:rPr>
          <w:rFonts w:ascii="Arial" w:hAnsi="Arial" w:cs="Arial"/>
        </w:rPr>
        <w:t>cc)</w:t>
      </w:r>
      <w:r w:rsidRPr="00FD5499">
        <w:rPr>
          <w:rFonts w:ascii="Arial" w:hAnsi="Arial" w:cs="Arial"/>
        </w:rPr>
        <w:tab/>
        <w:t xml:space="preserve">A KKV hitel folyósítási időpontja. Amennyiben a folyósítás több részletben történik, az első részlet folyósításának időpontját kell megadni. A további részletek folyósításakor ez az oszlop nem módosítandó, csak a ci) oszlopban szereplő összeget kell megnövelni az újabb folyósított részlet összegével, az újabb folyósítást megelőző munkanapon, illetve az </w:t>
      </w:r>
      <w:proofErr w:type="spellStart"/>
      <w:r w:rsidRPr="00FD5499">
        <w:rPr>
          <w:rFonts w:ascii="Arial" w:hAnsi="Arial" w:cs="Arial"/>
        </w:rPr>
        <w:t>NHP</w:t>
      </w:r>
      <w:proofErr w:type="spellEnd"/>
      <w:r w:rsidRPr="00FD5499">
        <w:rPr>
          <w:rFonts w:ascii="Arial" w:hAnsi="Arial" w:cs="Arial"/>
        </w:rPr>
        <w:t xml:space="preserve"> harmadik szakaszának II. pillére keretében nyújtott KKV hitelek vonatkozásában az újabb folyósítást megelőző, az </w:t>
      </w:r>
      <w:proofErr w:type="spellStart"/>
      <w:r w:rsidRPr="00FD5499">
        <w:rPr>
          <w:rFonts w:ascii="Arial" w:hAnsi="Arial" w:cs="Arial"/>
        </w:rPr>
        <w:t>NHP</w:t>
      </w:r>
      <w:proofErr w:type="spellEnd"/>
      <w:r w:rsidRPr="00FD5499">
        <w:rPr>
          <w:rFonts w:ascii="Arial" w:hAnsi="Arial" w:cs="Arial"/>
        </w:rPr>
        <w:t xml:space="preserve"> harmadik szakaszának I. és II. pillére keretében folyósított refinanszírozási hitelek igénybevételének módjáról és feltételeiről szóló Terméktájékoztatóban (a továbbiakban: </w:t>
      </w:r>
      <w:proofErr w:type="spellStart"/>
      <w:r w:rsidRPr="00FD5499">
        <w:rPr>
          <w:rFonts w:ascii="Arial" w:hAnsi="Arial" w:cs="Arial"/>
        </w:rPr>
        <w:t>NHP</w:t>
      </w:r>
      <w:proofErr w:type="spellEnd"/>
      <w:r w:rsidRPr="00FD5499">
        <w:rPr>
          <w:rFonts w:ascii="Arial" w:hAnsi="Arial" w:cs="Arial"/>
        </w:rPr>
        <w:t xml:space="preserve"> harmadik szakaszára vonatkozó Terméktájékoztató) meghatározott adatszolgáltatási napon. Az adott KKV hitelre vonatkozó első adatszolgáltatás a folyósítás napjának ismeretében teljesítendő, az </w:t>
      </w:r>
      <w:proofErr w:type="spellStart"/>
      <w:r w:rsidRPr="00FD5499">
        <w:rPr>
          <w:rFonts w:ascii="Arial" w:hAnsi="Arial" w:cs="Arial"/>
        </w:rPr>
        <w:t>NHP</w:t>
      </w:r>
      <w:proofErr w:type="spellEnd"/>
      <w:r>
        <w:rPr>
          <w:rFonts w:ascii="Arial" w:hAnsi="Arial" w:cs="Arial"/>
        </w:rPr>
        <w:t>,</w:t>
      </w:r>
      <w:r w:rsidRPr="00FD5499">
        <w:rPr>
          <w:rFonts w:ascii="Arial" w:hAnsi="Arial" w:cs="Arial"/>
        </w:rPr>
        <w:t xml:space="preserve"> </w:t>
      </w:r>
      <w:r>
        <w:rPr>
          <w:rFonts w:ascii="Arial" w:hAnsi="Arial" w:cs="Arial"/>
        </w:rPr>
        <w:t xml:space="preserve">az </w:t>
      </w:r>
      <w:proofErr w:type="spellStart"/>
      <w:r w:rsidRPr="00FD5499">
        <w:rPr>
          <w:rFonts w:ascii="Arial" w:hAnsi="Arial" w:cs="Arial"/>
        </w:rPr>
        <w:t>NHP</w:t>
      </w:r>
      <w:proofErr w:type="spellEnd"/>
      <w:r w:rsidRPr="00FD5499">
        <w:rPr>
          <w:rFonts w:ascii="Arial" w:hAnsi="Arial" w:cs="Arial"/>
        </w:rPr>
        <w:t>+</w:t>
      </w:r>
      <w:r w:rsidRPr="00F465F9">
        <w:rPr>
          <w:rFonts w:ascii="Arial" w:hAnsi="Arial" w:cs="Arial"/>
        </w:rPr>
        <w:t xml:space="preserve"> </w:t>
      </w:r>
      <w:r w:rsidRPr="00FD5499">
        <w:rPr>
          <w:rFonts w:ascii="Arial" w:hAnsi="Arial" w:cs="Arial"/>
        </w:rPr>
        <w:t xml:space="preserve">vagy az </w:t>
      </w:r>
      <w:proofErr w:type="spellStart"/>
      <w:r>
        <w:rPr>
          <w:rFonts w:ascii="Arial" w:hAnsi="Arial" w:cs="Arial"/>
        </w:rPr>
        <w:t>NHP</w:t>
      </w:r>
      <w:proofErr w:type="spellEnd"/>
      <w:r>
        <w:rPr>
          <w:rFonts w:ascii="Arial" w:hAnsi="Arial" w:cs="Arial"/>
        </w:rPr>
        <w:t xml:space="preserve"> </w:t>
      </w:r>
      <w:r>
        <w:rPr>
          <w:rFonts w:ascii="Arial" w:hAnsi="Arial" w:cs="Arial"/>
          <w:i/>
        </w:rPr>
        <w:t>fix</w:t>
      </w:r>
      <w:r w:rsidRPr="00FD5499">
        <w:rPr>
          <w:rFonts w:ascii="Arial" w:hAnsi="Arial" w:cs="Arial"/>
        </w:rPr>
        <w:t xml:space="preserve"> keretében refinanszírozni kért KKV hitel tekintetében a refinanszírozási hitel kívánt folyósítási napját megelőző munkanapon, illetve az </w:t>
      </w:r>
      <w:proofErr w:type="spellStart"/>
      <w:r w:rsidRPr="00FD5499">
        <w:rPr>
          <w:rFonts w:ascii="Arial" w:hAnsi="Arial" w:cs="Arial"/>
        </w:rPr>
        <w:t>NHP</w:t>
      </w:r>
      <w:proofErr w:type="spellEnd"/>
      <w:r w:rsidRPr="00FD5499">
        <w:rPr>
          <w:rFonts w:ascii="Arial" w:hAnsi="Arial" w:cs="Arial"/>
        </w:rPr>
        <w:t xml:space="preserve"> harmadik szakaszának II. pillére keretében nyújtott KKV hitelek vonatkozásában a KKV hitelszerződés megkötését követő, az </w:t>
      </w:r>
      <w:proofErr w:type="spellStart"/>
      <w:r w:rsidRPr="00FD5499">
        <w:rPr>
          <w:rFonts w:ascii="Arial" w:hAnsi="Arial" w:cs="Arial"/>
        </w:rPr>
        <w:t>NHP</w:t>
      </w:r>
      <w:proofErr w:type="spellEnd"/>
      <w:r w:rsidRPr="00FD5499">
        <w:rPr>
          <w:rFonts w:ascii="Arial" w:hAnsi="Arial" w:cs="Arial"/>
        </w:rPr>
        <w:t xml:space="preserve"> harmadik szakaszára vonatkozó Terméktájékoztatóban meghatározott adatszolgáltatási napon 15 óráig (szombati munkanap esetén 12 óráig).</w:t>
      </w:r>
    </w:p>
    <w:p w14:paraId="226F4942" w14:textId="77777777" w:rsidR="009335C5" w:rsidRPr="00FD5499" w:rsidRDefault="009335C5" w:rsidP="009335C5">
      <w:pPr>
        <w:pStyle w:val="Listaszerbekezds"/>
        <w:numPr>
          <w:ilvl w:val="0"/>
          <w:numId w:val="0"/>
        </w:numPr>
        <w:spacing w:after="240" w:line="240" w:lineRule="auto"/>
        <w:ind w:left="426" w:hanging="426"/>
        <w:rPr>
          <w:rFonts w:ascii="Arial" w:hAnsi="Arial" w:cs="Arial"/>
        </w:rPr>
      </w:pPr>
      <w:r w:rsidRPr="00FD5499">
        <w:rPr>
          <w:rFonts w:ascii="Arial" w:hAnsi="Arial" w:cs="Arial"/>
        </w:rPr>
        <w:t>cd)</w:t>
      </w:r>
      <w:r w:rsidRPr="00FD5499">
        <w:rPr>
          <w:rFonts w:ascii="Arial" w:hAnsi="Arial" w:cs="Arial"/>
        </w:rPr>
        <w:tab/>
        <w:t xml:space="preserve">A KKV hitelre vonatkozó szerződésben meghatározott lejárati időpont.  </w:t>
      </w:r>
    </w:p>
    <w:p w14:paraId="225A2C7D" w14:textId="77777777" w:rsidR="009335C5" w:rsidRPr="00FD5499" w:rsidRDefault="009335C5" w:rsidP="009335C5">
      <w:pPr>
        <w:pStyle w:val="Listaszerbekezds"/>
        <w:numPr>
          <w:ilvl w:val="0"/>
          <w:numId w:val="0"/>
        </w:numPr>
        <w:spacing w:after="240" w:line="240" w:lineRule="auto"/>
        <w:ind w:left="426" w:hanging="426"/>
        <w:rPr>
          <w:rFonts w:ascii="Arial" w:hAnsi="Arial" w:cs="Arial"/>
        </w:rPr>
      </w:pPr>
    </w:p>
    <w:p w14:paraId="78698422" w14:textId="55ACCE5C" w:rsidR="009335C5" w:rsidRPr="00455D22" w:rsidRDefault="009335C5" w:rsidP="009335C5">
      <w:pPr>
        <w:pStyle w:val="Listaszerbekezds"/>
        <w:numPr>
          <w:ilvl w:val="0"/>
          <w:numId w:val="0"/>
        </w:numPr>
        <w:spacing w:after="240" w:line="240" w:lineRule="auto"/>
        <w:ind w:left="426" w:hanging="426"/>
        <w:rPr>
          <w:rFonts w:ascii="Arial" w:hAnsi="Arial" w:cs="Arial"/>
        </w:rPr>
      </w:pPr>
      <w:proofErr w:type="spellStart"/>
      <w:r w:rsidRPr="00FD5499">
        <w:rPr>
          <w:rFonts w:ascii="Arial" w:hAnsi="Arial" w:cs="Arial"/>
        </w:rPr>
        <w:t>ce</w:t>
      </w:r>
      <w:proofErr w:type="spellEnd"/>
      <w:r w:rsidRPr="00FD5499">
        <w:rPr>
          <w:rFonts w:ascii="Arial" w:hAnsi="Arial" w:cs="Arial"/>
        </w:rPr>
        <w:t>)</w:t>
      </w:r>
      <w:r w:rsidRPr="00FD5499">
        <w:rPr>
          <w:rFonts w:ascii="Arial" w:hAnsi="Arial" w:cs="Arial"/>
        </w:rPr>
        <w:tab/>
        <w:t xml:space="preserve">Az adatszolgáltató által az MNB-vel kötött </w:t>
      </w:r>
      <w:proofErr w:type="spellStart"/>
      <w:r w:rsidRPr="00FD5499">
        <w:rPr>
          <w:rFonts w:ascii="Arial" w:hAnsi="Arial" w:cs="Arial"/>
        </w:rPr>
        <w:t>NHP</w:t>
      </w:r>
      <w:proofErr w:type="spellEnd"/>
      <w:r w:rsidRPr="00FD5499">
        <w:rPr>
          <w:rFonts w:ascii="Arial" w:hAnsi="Arial" w:cs="Arial"/>
        </w:rPr>
        <w:t xml:space="preserve">, </w:t>
      </w:r>
      <w:proofErr w:type="spellStart"/>
      <w:r w:rsidRPr="00FD5499">
        <w:rPr>
          <w:rFonts w:ascii="Arial" w:hAnsi="Arial" w:cs="Arial"/>
        </w:rPr>
        <w:t>NHP</w:t>
      </w:r>
      <w:proofErr w:type="spellEnd"/>
      <w:r w:rsidRPr="00FD5499">
        <w:rPr>
          <w:rFonts w:ascii="Arial" w:hAnsi="Arial" w:cs="Arial"/>
        </w:rPr>
        <w:t>+</w:t>
      </w:r>
      <w:r>
        <w:rPr>
          <w:rFonts w:ascii="Arial" w:hAnsi="Arial" w:cs="Arial"/>
        </w:rPr>
        <w:t xml:space="preserve">, </w:t>
      </w:r>
      <w:r w:rsidRPr="00FD5499">
        <w:rPr>
          <w:rFonts w:ascii="Arial" w:hAnsi="Arial" w:cs="Arial"/>
        </w:rPr>
        <w:t xml:space="preserve">illetve </w:t>
      </w:r>
      <w:proofErr w:type="spellStart"/>
      <w:r>
        <w:rPr>
          <w:rFonts w:ascii="Arial" w:hAnsi="Arial" w:cs="Arial"/>
        </w:rPr>
        <w:t>NHP</w:t>
      </w:r>
      <w:proofErr w:type="spellEnd"/>
      <w:r>
        <w:rPr>
          <w:rFonts w:ascii="Arial" w:hAnsi="Arial" w:cs="Arial"/>
        </w:rPr>
        <w:t xml:space="preserve"> </w:t>
      </w:r>
      <w:r>
        <w:rPr>
          <w:rFonts w:ascii="Arial" w:hAnsi="Arial" w:cs="Arial"/>
          <w:i/>
        </w:rPr>
        <w:t>fix</w:t>
      </w:r>
      <w:r w:rsidRPr="00FD5499">
        <w:rPr>
          <w:rFonts w:ascii="Arial" w:hAnsi="Arial" w:cs="Arial"/>
        </w:rPr>
        <w:t xml:space="preserve"> Keretszerződésben foglaltaknak megfelelően felszámított kamatok, díjak és költségek kölcsönösszegre vetített arányának és az MNB által az </w:t>
      </w:r>
      <w:proofErr w:type="spellStart"/>
      <w:r w:rsidRPr="00FD5499">
        <w:rPr>
          <w:rFonts w:ascii="Arial" w:hAnsi="Arial" w:cs="Arial"/>
        </w:rPr>
        <w:t>NHP</w:t>
      </w:r>
      <w:proofErr w:type="spellEnd"/>
      <w:r>
        <w:rPr>
          <w:rFonts w:ascii="Arial" w:hAnsi="Arial" w:cs="Arial"/>
        </w:rPr>
        <w:t>,</w:t>
      </w:r>
      <w:r w:rsidRPr="00FD5499">
        <w:rPr>
          <w:rFonts w:ascii="Arial" w:hAnsi="Arial" w:cs="Arial"/>
        </w:rPr>
        <w:t xml:space="preserve"> az </w:t>
      </w:r>
      <w:proofErr w:type="spellStart"/>
      <w:r w:rsidRPr="00FD5499">
        <w:rPr>
          <w:rFonts w:ascii="Arial" w:hAnsi="Arial" w:cs="Arial"/>
        </w:rPr>
        <w:t>NHP</w:t>
      </w:r>
      <w:proofErr w:type="spellEnd"/>
      <w:r w:rsidRPr="00FD5499">
        <w:rPr>
          <w:rFonts w:ascii="Arial" w:hAnsi="Arial" w:cs="Arial"/>
        </w:rPr>
        <w:t>+</w:t>
      </w:r>
      <w:r w:rsidRPr="00F465F9">
        <w:rPr>
          <w:rFonts w:ascii="Arial" w:hAnsi="Arial" w:cs="Arial"/>
        </w:rPr>
        <w:t xml:space="preserve"> </w:t>
      </w:r>
      <w:r w:rsidRPr="00FD5499">
        <w:rPr>
          <w:rFonts w:ascii="Arial" w:hAnsi="Arial" w:cs="Arial"/>
        </w:rPr>
        <w:t xml:space="preserve">vagy </w:t>
      </w:r>
      <w:r>
        <w:rPr>
          <w:rFonts w:ascii="Arial" w:hAnsi="Arial" w:cs="Arial"/>
        </w:rPr>
        <w:t xml:space="preserve">az </w:t>
      </w:r>
      <w:proofErr w:type="spellStart"/>
      <w:r>
        <w:rPr>
          <w:rFonts w:ascii="Arial" w:hAnsi="Arial" w:cs="Arial"/>
        </w:rPr>
        <w:t>NHP</w:t>
      </w:r>
      <w:proofErr w:type="spellEnd"/>
      <w:r>
        <w:rPr>
          <w:rFonts w:ascii="Arial" w:hAnsi="Arial" w:cs="Arial"/>
        </w:rPr>
        <w:t xml:space="preserve"> </w:t>
      </w:r>
      <w:r>
        <w:rPr>
          <w:rFonts w:ascii="Arial" w:hAnsi="Arial" w:cs="Arial"/>
          <w:i/>
        </w:rPr>
        <w:t>fix</w:t>
      </w:r>
      <w:r w:rsidRPr="00FD5499">
        <w:rPr>
          <w:rFonts w:ascii="Arial" w:hAnsi="Arial" w:cs="Arial"/>
        </w:rPr>
        <w:t xml:space="preserve"> keretében nyújtott – az </w:t>
      </w:r>
      <w:proofErr w:type="spellStart"/>
      <w:r w:rsidRPr="00FD5499">
        <w:rPr>
          <w:rFonts w:ascii="Arial" w:hAnsi="Arial" w:cs="Arial"/>
        </w:rPr>
        <w:t>NHP</w:t>
      </w:r>
      <w:proofErr w:type="spellEnd"/>
      <w:r w:rsidRPr="00FD5499">
        <w:rPr>
          <w:rFonts w:ascii="Arial" w:hAnsi="Arial" w:cs="Arial"/>
        </w:rPr>
        <w:t xml:space="preserve"> harmadik szakaszának II. pillére keretében a </w:t>
      </w:r>
      <w:proofErr w:type="spellStart"/>
      <w:r w:rsidRPr="00FD5499">
        <w:rPr>
          <w:rFonts w:ascii="Arial" w:hAnsi="Arial" w:cs="Arial"/>
        </w:rPr>
        <w:t>CIRS</w:t>
      </w:r>
      <w:proofErr w:type="spellEnd"/>
      <w:r w:rsidRPr="00FD5499">
        <w:rPr>
          <w:rFonts w:ascii="Arial" w:hAnsi="Arial" w:cs="Arial"/>
        </w:rPr>
        <w:t xml:space="preserve"> ügyletben nyújtott euro – forrás éves </w:t>
      </w:r>
      <w:proofErr w:type="spellStart"/>
      <w:r w:rsidRPr="00FD5499">
        <w:rPr>
          <w:rFonts w:ascii="Arial" w:hAnsi="Arial" w:cs="Arial"/>
        </w:rPr>
        <w:t>kamatának</w:t>
      </w:r>
      <w:proofErr w:type="spellEnd"/>
      <w:r w:rsidRPr="00FD5499">
        <w:rPr>
          <w:rFonts w:ascii="Arial" w:hAnsi="Arial" w:cs="Arial"/>
        </w:rPr>
        <w:t xml:space="preserve"> különbsége, bázispontban kifejezve.</w:t>
      </w:r>
    </w:p>
    <w:p w14:paraId="02FF0C8F" w14:textId="77777777" w:rsidR="009335C5" w:rsidRPr="00E20B8B" w:rsidRDefault="009335C5" w:rsidP="009335C5">
      <w:pPr>
        <w:autoSpaceDE w:val="0"/>
        <w:autoSpaceDN w:val="0"/>
        <w:adjustRightInd w:val="0"/>
        <w:spacing w:after="240" w:line="240" w:lineRule="auto"/>
        <w:ind w:left="426" w:hanging="426"/>
        <w:rPr>
          <w:rFonts w:ascii="Arial" w:hAnsi="Arial" w:cs="Arial"/>
        </w:rPr>
      </w:pPr>
      <w:proofErr w:type="spellStart"/>
      <w:r w:rsidRPr="00455D22">
        <w:rPr>
          <w:rFonts w:ascii="Arial" w:hAnsi="Arial" w:cs="Arial"/>
        </w:rPr>
        <w:t>cf</w:t>
      </w:r>
      <w:proofErr w:type="spellEnd"/>
      <w:r w:rsidRPr="00455D22">
        <w:rPr>
          <w:rFonts w:ascii="Arial" w:hAnsi="Arial" w:cs="Arial"/>
        </w:rPr>
        <w:t>)</w:t>
      </w:r>
      <w:r w:rsidRPr="00455D22">
        <w:rPr>
          <w:rFonts w:ascii="Arial" w:hAnsi="Arial" w:cs="Arial"/>
        </w:rPr>
        <w:tab/>
      </w:r>
      <w:r>
        <w:rPr>
          <w:rFonts w:ascii="Arial" w:hAnsi="Arial" w:cs="Arial"/>
        </w:rPr>
        <w:t xml:space="preserve">A KKV hitel célja. </w:t>
      </w:r>
      <w:r w:rsidRPr="00E20B8B">
        <w:rPr>
          <w:rFonts w:ascii="Arial" w:hAnsi="Arial" w:cs="Arial"/>
          <w:color w:val="231F20"/>
        </w:rPr>
        <w:t>A kódlista szerint kell kitölteni.</w:t>
      </w:r>
    </w:p>
    <w:p w14:paraId="0D917556" w14:textId="77777777" w:rsidR="009335C5" w:rsidRPr="00455D22" w:rsidRDefault="009335C5" w:rsidP="009335C5">
      <w:pPr>
        <w:spacing w:after="240" w:line="240" w:lineRule="auto"/>
        <w:ind w:left="426" w:hanging="426"/>
        <w:rPr>
          <w:rFonts w:ascii="Arial" w:hAnsi="Arial" w:cs="Arial"/>
        </w:rPr>
      </w:pPr>
      <w:r w:rsidRPr="00455D22">
        <w:rPr>
          <w:rFonts w:ascii="Arial" w:hAnsi="Arial" w:cs="Arial"/>
        </w:rPr>
        <w:t>cg)</w:t>
      </w:r>
      <w:r w:rsidRPr="00455D22">
        <w:rPr>
          <w:rFonts w:ascii="Arial" w:hAnsi="Arial" w:cs="Arial"/>
        </w:rPr>
        <w:tab/>
      </w:r>
      <w:r>
        <w:rPr>
          <w:rFonts w:ascii="Arial" w:hAnsi="Arial" w:cs="Arial"/>
        </w:rPr>
        <w:t xml:space="preserve">Ebben az oszlopban kell feltüntetni, hogy a KKV hitel folyósítása több részletben történik-e. </w:t>
      </w:r>
      <w:r w:rsidRPr="00B31CA5">
        <w:rPr>
          <w:rFonts w:ascii="Arial" w:hAnsi="Arial" w:cs="Arial"/>
          <w:color w:val="231F20"/>
        </w:rPr>
        <w:t>A kódlista</w:t>
      </w:r>
      <w:r w:rsidRPr="00455D22">
        <w:rPr>
          <w:rFonts w:ascii="Arial" w:hAnsi="Arial" w:cs="Arial"/>
          <w:color w:val="231F20"/>
        </w:rPr>
        <w:t xml:space="preserve"> szerint kell kitölteni.</w:t>
      </w:r>
    </w:p>
    <w:p w14:paraId="204F1E3E"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lastRenderedPageBreak/>
        <w:t>ch</w:t>
      </w:r>
      <w:proofErr w:type="spellEnd"/>
      <w:r w:rsidRPr="00455D22">
        <w:rPr>
          <w:rFonts w:ascii="Arial" w:hAnsi="Arial" w:cs="Arial"/>
        </w:rPr>
        <w:t>)</w:t>
      </w:r>
      <w:r w:rsidRPr="00455D22">
        <w:rPr>
          <w:rFonts w:ascii="Arial" w:hAnsi="Arial" w:cs="Arial"/>
        </w:rPr>
        <w:tab/>
        <w:t>A KKV hitelre vonatkozó szerződésben meghatározott teljes hitelösszeg. Részletekben történő folyósításnál is a teljes hitelösszeget kell megadni.</w:t>
      </w:r>
      <w:r>
        <w:rPr>
          <w:rFonts w:ascii="Arial" w:hAnsi="Arial" w:cs="Arial"/>
        </w:rPr>
        <w:t xml:space="preserve"> Amennyiben a KKV hitel több sorban kerül jelentésre, mert pl. több célja van, illetve több hitelt vált ki, abban az esetben a KKV hitelre vonatkozó szerződésben meghatározott hitelösszeget is fel kell osztani az egyes sorok között a hitelcéloknak, illetve kiváltásoknak megfelelően.</w:t>
      </w:r>
    </w:p>
    <w:p w14:paraId="1647EB45" w14:textId="77777777" w:rsidR="009335C5" w:rsidRPr="00FD5499" w:rsidRDefault="009335C5" w:rsidP="009335C5">
      <w:pPr>
        <w:spacing w:after="240" w:line="240" w:lineRule="auto"/>
        <w:ind w:left="426" w:hanging="426"/>
        <w:rPr>
          <w:rFonts w:ascii="Arial" w:hAnsi="Arial" w:cs="Arial"/>
        </w:rPr>
      </w:pPr>
      <w:r w:rsidRPr="00FD5499">
        <w:rPr>
          <w:rFonts w:ascii="Arial" w:hAnsi="Arial" w:cs="Arial"/>
        </w:rPr>
        <w:t>ci)</w:t>
      </w:r>
      <w:r w:rsidRPr="00FD5499">
        <w:rPr>
          <w:rFonts w:ascii="Arial" w:hAnsi="Arial" w:cs="Arial"/>
        </w:rPr>
        <w:tab/>
        <w:t xml:space="preserve">A KKV hitel összegének folyósított részletekkel növelt, illetve tőketörlesztésekkel csökkentett értéke. Az oszlop értékének módosítását a folyósítást, illetve a törlesztést megelőző munkanapon – az </w:t>
      </w:r>
      <w:proofErr w:type="spellStart"/>
      <w:r w:rsidRPr="00FD5499">
        <w:rPr>
          <w:rFonts w:ascii="Arial" w:hAnsi="Arial" w:cs="Arial"/>
        </w:rPr>
        <w:t>NHP</w:t>
      </w:r>
      <w:proofErr w:type="spellEnd"/>
      <w:r w:rsidRPr="00FD5499">
        <w:rPr>
          <w:rFonts w:ascii="Arial" w:hAnsi="Arial" w:cs="Arial"/>
        </w:rPr>
        <w:t xml:space="preserve"> harmadik szakaszának II. pillére keretében nyújtott KKV hitel esetében az újabb folyósítást, illetve törlesztést megelőző, az </w:t>
      </w:r>
      <w:proofErr w:type="spellStart"/>
      <w:r w:rsidRPr="00FD5499">
        <w:rPr>
          <w:rFonts w:ascii="Arial" w:hAnsi="Arial" w:cs="Arial"/>
        </w:rPr>
        <w:t>NHP</w:t>
      </w:r>
      <w:proofErr w:type="spellEnd"/>
      <w:r w:rsidRPr="00FD5499">
        <w:rPr>
          <w:rFonts w:ascii="Arial" w:hAnsi="Arial" w:cs="Arial"/>
        </w:rPr>
        <w:t xml:space="preserve"> harmadik szakaszára vonatkozó Terméktájékoztatóban meghatározott adatszolgáltatási napon – 15 óráig (szombati munkanap esetén 12 óráig) kell teljesítenie az adatszolgáltatónak, ha a KKV számára való folyósítás feltételei fennállnak. Ha a várt törlesztés mégsem folyik be az adatszolgáltatóhoz, akkor sem állítható vissza az oszlop értéke. Ha a KKV megszűnik, </w:t>
      </w:r>
      <w:proofErr w:type="gramStart"/>
      <w:r w:rsidRPr="00FD5499">
        <w:rPr>
          <w:rFonts w:ascii="Arial" w:hAnsi="Arial" w:cs="Arial"/>
        </w:rPr>
        <w:t>továbbá</w:t>
      </w:r>
      <w:proofErr w:type="gramEnd"/>
      <w:r w:rsidRPr="00FD5499">
        <w:rPr>
          <w:rFonts w:ascii="Arial" w:hAnsi="Arial" w:cs="Arial"/>
        </w:rPr>
        <w:t xml:space="preserve"> ha a KKV hitelre vonatkozó szerződés bármely okból megszűnik vagy megszüntetésre kerül, akkor az oszlopban „0” értéket feltüntetve kell a változásról teljesítendő adatszolgáltatást megküldeni, a co) oszlopnál megadott határidőben. Amennyiben a KKV hitel több sorban kerül jelentésre, mert pl. több célja van, illetve több hitelt vált ki, abban az esetben a KKV hitel összegét fel kell osztani az egyes sorok között a hitelcéloknak, illetve kiváltásoknak megfelelően.</w:t>
      </w:r>
    </w:p>
    <w:p w14:paraId="60197920" w14:textId="77777777" w:rsidR="009335C5" w:rsidRPr="00455D22" w:rsidRDefault="009335C5" w:rsidP="009335C5">
      <w:pPr>
        <w:autoSpaceDE w:val="0"/>
        <w:autoSpaceDN w:val="0"/>
        <w:adjustRightInd w:val="0"/>
        <w:spacing w:after="240" w:line="240" w:lineRule="auto"/>
        <w:ind w:left="425" w:hanging="425"/>
        <w:rPr>
          <w:rFonts w:ascii="Arial" w:hAnsi="Arial" w:cs="Arial"/>
        </w:rPr>
      </w:pPr>
      <w:proofErr w:type="spellStart"/>
      <w:r w:rsidRPr="00455D22">
        <w:rPr>
          <w:rFonts w:ascii="Arial" w:hAnsi="Arial" w:cs="Arial"/>
        </w:rPr>
        <w:t>cj</w:t>
      </w:r>
      <w:proofErr w:type="spellEnd"/>
      <w:r w:rsidRPr="00455D22">
        <w:rPr>
          <w:rFonts w:ascii="Arial" w:hAnsi="Arial" w:cs="Arial"/>
        </w:rPr>
        <w:t>)</w:t>
      </w:r>
      <w:r w:rsidRPr="00455D22">
        <w:rPr>
          <w:rFonts w:ascii="Arial" w:hAnsi="Arial" w:cs="Arial"/>
        </w:rPr>
        <w:tab/>
        <w:t>A KKV hitel fedezetének</w:t>
      </w:r>
      <w:r>
        <w:rPr>
          <w:rFonts w:ascii="Arial" w:hAnsi="Arial" w:cs="Arial"/>
        </w:rPr>
        <w:t xml:space="preserve"> </w:t>
      </w:r>
      <w:r w:rsidRPr="00455D22">
        <w:rPr>
          <w:rFonts w:ascii="Arial" w:hAnsi="Arial" w:cs="Arial"/>
        </w:rPr>
        <w:t>jellegeként legfeljebb két</w:t>
      </w:r>
      <w:r>
        <w:rPr>
          <w:rFonts w:ascii="Arial" w:hAnsi="Arial" w:cs="Arial"/>
        </w:rPr>
        <w:t xml:space="preserve"> </w:t>
      </w:r>
      <w:r w:rsidRPr="00455D22">
        <w:rPr>
          <w:rFonts w:ascii="Arial" w:hAnsi="Arial" w:cs="Arial"/>
        </w:rPr>
        <w:t xml:space="preserve">típusú fedezetet lehet megadni, a </w:t>
      </w:r>
      <w:proofErr w:type="spellStart"/>
      <w:r w:rsidRPr="00455D22">
        <w:rPr>
          <w:rFonts w:ascii="Arial" w:hAnsi="Arial" w:cs="Arial"/>
        </w:rPr>
        <w:t>fedezetek</w:t>
      </w:r>
      <w:proofErr w:type="spellEnd"/>
      <w:r w:rsidRPr="00455D22">
        <w:rPr>
          <w:rFonts w:ascii="Arial" w:hAnsi="Arial" w:cs="Arial"/>
        </w:rPr>
        <w:t xml:space="preserve"> fontosságának sorrendjében</w:t>
      </w:r>
      <w:r w:rsidRPr="00B31CA5">
        <w:rPr>
          <w:rFonts w:ascii="Arial" w:hAnsi="Arial" w:cs="Arial"/>
        </w:rPr>
        <w:t xml:space="preserve">. </w:t>
      </w:r>
      <w:r w:rsidRPr="00455D22">
        <w:rPr>
          <w:rFonts w:ascii="Arial" w:hAnsi="Arial" w:cs="Arial"/>
          <w:color w:val="231F20"/>
        </w:rPr>
        <w:t xml:space="preserve">A kódlista szerint kell kitölteni. Több típusú fedezet esetében az egyes </w:t>
      </w:r>
      <w:proofErr w:type="spellStart"/>
      <w:r w:rsidRPr="00455D22">
        <w:rPr>
          <w:rFonts w:ascii="Arial" w:hAnsi="Arial" w:cs="Arial"/>
          <w:color w:val="231F20"/>
        </w:rPr>
        <w:t>fedezetek</w:t>
      </w:r>
      <w:proofErr w:type="spellEnd"/>
      <w:r w:rsidRPr="00455D22">
        <w:rPr>
          <w:rFonts w:ascii="Arial" w:hAnsi="Arial" w:cs="Arial"/>
          <w:color w:val="231F20"/>
        </w:rPr>
        <w:t xml:space="preserve"> kódját egymást követően, szóköz alkalmazása nélkül kell megadni.</w:t>
      </w:r>
    </w:p>
    <w:p w14:paraId="4C48B045" w14:textId="77777777" w:rsidR="009335C5" w:rsidRPr="005167CF" w:rsidRDefault="009335C5" w:rsidP="009335C5">
      <w:pPr>
        <w:spacing w:after="240" w:line="240" w:lineRule="auto"/>
        <w:ind w:left="425" w:hanging="425"/>
        <w:rPr>
          <w:rFonts w:ascii="Arial" w:hAnsi="Arial" w:cs="Arial"/>
        </w:rPr>
      </w:pPr>
      <w:proofErr w:type="spellStart"/>
      <w:r w:rsidRPr="00455D22">
        <w:rPr>
          <w:rFonts w:ascii="Arial" w:hAnsi="Arial" w:cs="Arial"/>
        </w:rPr>
        <w:t>ck</w:t>
      </w:r>
      <w:proofErr w:type="spellEnd"/>
      <w:r w:rsidRPr="00455D22">
        <w:rPr>
          <w:rFonts w:ascii="Arial" w:hAnsi="Arial" w:cs="Arial"/>
        </w:rPr>
        <w:t>)</w:t>
      </w:r>
      <w:r w:rsidRPr="00455D22">
        <w:rPr>
          <w:rFonts w:ascii="Arial" w:hAnsi="Arial" w:cs="Arial"/>
        </w:rPr>
        <w:tab/>
      </w:r>
      <w:r w:rsidRPr="005167CF">
        <w:rPr>
          <w:rFonts w:ascii="Arial" w:hAnsi="Arial" w:cs="Arial"/>
        </w:rPr>
        <w:t xml:space="preserve">Az oszlopot akkor kell kitölteni, ha a KKV hitel mögötti biztosítékhoz olyan állami </w:t>
      </w:r>
      <w:proofErr w:type="spellStart"/>
      <w:r w:rsidRPr="005167CF">
        <w:rPr>
          <w:rFonts w:ascii="Arial" w:hAnsi="Arial" w:cs="Arial"/>
        </w:rPr>
        <w:t>viszontgarancia</w:t>
      </w:r>
      <w:proofErr w:type="spellEnd"/>
      <w:r w:rsidRPr="005167CF">
        <w:rPr>
          <w:rFonts w:ascii="Arial" w:hAnsi="Arial" w:cs="Arial"/>
        </w:rPr>
        <w:t xml:space="preserve"> vagy azzal egyenértékű helytállási kötelezettség kapcsolódik, amely a Terméktájékoztatóban foglaltak szerint a követelés fedezeti értékét befolyásolja, továbbá a Terméktájékoztatóban felsorolt azon esetekben, ahol a KKV-val szembeni követelést az MNB fedezetként nem fogadja el. A </w:t>
      </w:r>
      <w:proofErr w:type="spellStart"/>
      <w:r w:rsidRPr="005167CF">
        <w:rPr>
          <w:rFonts w:ascii="Arial" w:hAnsi="Arial" w:cs="Arial"/>
        </w:rPr>
        <w:t>garantőr</w:t>
      </w:r>
      <w:proofErr w:type="spellEnd"/>
      <w:r w:rsidRPr="005167CF">
        <w:rPr>
          <w:rFonts w:ascii="Arial" w:hAnsi="Arial" w:cs="Arial"/>
        </w:rPr>
        <w:t xml:space="preserve"> által nyújtott teljes készfizető kezességvállalás vagy garancia arányát a KKV hitel összegének százalékában kell megadni, egyéb esetekben</w:t>
      </w:r>
      <w:r w:rsidRPr="005167CF">
        <w:rPr>
          <w:rFonts w:ascii="Arial" w:hAnsi="Arial" w:cs="Arial"/>
          <w:color w:val="231F20"/>
        </w:rPr>
        <w:t xml:space="preserve"> az oszlopot a kódlista szerint kell kitölteni</w:t>
      </w:r>
      <w:r w:rsidRPr="005167CF">
        <w:rPr>
          <w:rFonts w:ascii="Arial" w:hAnsi="Arial" w:cs="Arial"/>
        </w:rPr>
        <w:t>.</w:t>
      </w:r>
    </w:p>
    <w:p w14:paraId="40B30D7E" w14:textId="77777777" w:rsidR="009335C5" w:rsidRPr="005167CF" w:rsidRDefault="009335C5" w:rsidP="009335C5">
      <w:pPr>
        <w:spacing w:after="240" w:line="240" w:lineRule="auto"/>
        <w:ind w:left="425" w:hanging="425"/>
        <w:rPr>
          <w:rFonts w:ascii="Arial" w:hAnsi="Arial" w:cs="Arial"/>
        </w:rPr>
      </w:pPr>
      <w:r w:rsidRPr="005167CF">
        <w:rPr>
          <w:rFonts w:ascii="Arial" w:hAnsi="Arial" w:cs="Arial"/>
        </w:rPr>
        <w:t>cl)</w:t>
      </w:r>
      <w:r w:rsidRPr="005167CF">
        <w:rPr>
          <w:rFonts w:ascii="Arial" w:hAnsi="Arial" w:cs="Arial"/>
        </w:rPr>
        <w:tab/>
        <w:t xml:space="preserve">A legrégebben fennálló késedelem beálltának naptári nap szerinti időpontját kell megadni. A KKV hitelre vonatkozó szerződésben előírt törlesztés napját követő nap, ha az összeg nem folyik be az adatszolgáltató által megadott bankszámlára. Az adatszolgáltatást a késedelem beálltát követő 5., illetve faktoring hitelcél esetén a 30. munkanapon, az </w:t>
      </w:r>
      <w:proofErr w:type="spellStart"/>
      <w:r w:rsidRPr="005167CF">
        <w:rPr>
          <w:rFonts w:ascii="Arial" w:hAnsi="Arial" w:cs="Arial"/>
        </w:rPr>
        <w:t>NHP</w:t>
      </w:r>
      <w:proofErr w:type="spellEnd"/>
      <w:r w:rsidRPr="005167CF">
        <w:rPr>
          <w:rFonts w:ascii="Arial" w:hAnsi="Arial" w:cs="Arial"/>
        </w:rPr>
        <w:t xml:space="preserve"> harmadik szakaszának II. pillére keretében nyújtott KKV hitel vonatkozásában a késedelem beálltát követő, az </w:t>
      </w:r>
      <w:proofErr w:type="spellStart"/>
      <w:r w:rsidRPr="005167CF">
        <w:rPr>
          <w:rFonts w:ascii="Arial" w:hAnsi="Arial" w:cs="Arial"/>
        </w:rPr>
        <w:t>NHP</w:t>
      </w:r>
      <w:proofErr w:type="spellEnd"/>
      <w:r w:rsidRPr="005167CF">
        <w:rPr>
          <w:rFonts w:ascii="Arial" w:hAnsi="Arial" w:cs="Arial"/>
        </w:rPr>
        <w:t xml:space="preserve"> harmadik szakaszára vonatkozó Terméktájékoztatóban meghatározott adatszolgáltatási napon kell teljesíteni.</w:t>
      </w:r>
    </w:p>
    <w:p w14:paraId="301962EE" w14:textId="77777777" w:rsidR="009335C5" w:rsidRPr="00455D22" w:rsidRDefault="009335C5" w:rsidP="009335C5">
      <w:pPr>
        <w:spacing w:after="240" w:line="240" w:lineRule="auto"/>
        <w:ind w:left="425" w:hanging="425"/>
        <w:rPr>
          <w:rFonts w:ascii="Arial" w:hAnsi="Arial" w:cs="Arial"/>
        </w:rPr>
      </w:pPr>
      <w:r w:rsidRPr="00455D22">
        <w:rPr>
          <w:rFonts w:ascii="Arial" w:hAnsi="Arial" w:cs="Arial"/>
        </w:rPr>
        <w:t>cm)</w:t>
      </w:r>
      <w:r w:rsidRPr="00455D22">
        <w:rPr>
          <w:rFonts w:ascii="Arial" w:hAnsi="Arial" w:cs="Arial"/>
        </w:rPr>
        <w:tab/>
      </w:r>
      <w:r w:rsidRPr="00B31CA5">
        <w:rPr>
          <w:rFonts w:ascii="Arial" w:hAnsi="Arial" w:cs="Arial"/>
        </w:rPr>
        <w:t>Az átstrukturálás tervezett,</w:t>
      </w:r>
      <w:r>
        <w:rPr>
          <w:rFonts w:ascii="Arial" w:hAnsi="Arial" w:cs="Arial"/>
        </w:rPr>
        <w:t xml:space="preserve"> </w:t>
      </w:r>
      <w:r w:rsidRPr="00B31CA5">
        <w:rPr>
          <w:rFonts w:ascii="Arial" w:hAnsi="Arial" w:cs="Arial"/>
        </w:rPr>
        <w:t>naptári nap szerinti időpontját kell megadni.</w:t>
      </w:r>
      <w:r w:rsidRPr="00455D22">
        <w:rPr>
          <w:rFonts w:ascii="Arial" w:hAnsi="Arial" w:cs="Arial"/>
        </w:rPr>
        <w:t xml:space="preserve"> </w:t>
      </w:r>
    </w:p>
    <w:p w14:paraId="58F51B3A" w14:textId="77777777" w:rsidR="009335C5" w:rsidRPr="00455D22" w:rsidRDefault="009335C5" w:rsidP="009335C5">
      <w:pPr>
        <w:pStyle w:val="Listaszerbekezds"/>
        <w:numPr>
          <w:ilvl w:val="0"/>
          <w:numId w:val="0"/>
        </w:numPr>
        <w:spacing w:after="240" w:line="240" w:lineRule="auto"/>
        <w:ind w:left="426" w:hanging="426"/>
        <w:rPr>
          <w:rFonts w:ascii="Arial" w:hAnsi="Arial" w:cs="Arial"/>
        </w:rPr>
      </w:pPr>
      <w:proofErr w:type="spellStart"/>
      <w:r w:rsidRPr="00455D22">
        <w:rPr>
          <w:rFonts w:ascii="Arial" w:hAnsi="Arial" w:cs="Arial"/>
        </w:rPr>
        <w:t>cn</w:t>
      </w:r>
      <w:proofErr w:type="spellEnd"/>
      <w:r w:rsidRPr="00455D22">
        <w:rPr>
          <w:rFonts w:ascii="Arial" w:hAnsi="Arial" w:cs="Arial"/>
        </w:rPr>
        <w:t>)</w:t>
      </w:r>
      <w:r w:rsidRPr="00455D22">
        <w:rPr>
          <w:rFonts w:ascii="Arial" w:hAnsi="Arial" w:cs="Arial"/>
        </w:rPr>
        <w:tab/>
        <w:t>A KKV hitelre vonatkozó szerződésben szereplő gyakoriság.</w:t>
      </w:r>
      <w:r w:rsidRPr="00455D22">
        <w:rPr>
          <w:rFonts w:ascii="Arial" w:hAnsi="Arial" w:cs="Arial"/>
          <w:color w:val="231F20"/>
        </w:rPr>
        <w:t xml:space="preserve"> A kódlista szerint kell kitölteni.</w:t>
      </w:r>
    </w:p>
    <w:p w14:paraId="4E2266F2" w14:textId="77777777" w:rsidR="009335C5" w:rsidRPr="00455D22" w:rsidRDefault="009335C5" w:rsidP="009335C5">
      <w:pPr>
        <w:spacing w:after="240" w:line="240" w:lineRule="auto"/>
        <w:ind w:left="426" w:hanging="426"/>
        <w:rPr>
          <w:rFonts w:ascii="Arial" w:hAnsi="Arial" w:cs="Arial"/>
        </w:rPr>
      </w:pPr>
      <w:r w:rsidRPr="00455D22">
        <w:rPr>
          <w:rFonts w:ascii="Arial" w:hAnsi="Arial" w:cs="Arial"/>
        </w:rPr>
        <w:t>co)</w:t>
      </w:r>
      <w:r w:rsidRPr="00455D22">
        <w:rPr>
          <w:rFonts w:ascii="Arial" w:hAnsi="Arial" w:cs="Arial"/>
        </w:rPr>
        <w:tab/>
      </w:r>
      <w:r w:rsidRPr="005167CF">
        <w:rPr>
          <w:rFonts w:ascii="Arial" w:hAnsi="Arial" w:cs="Arial"/>
        </w:rPr>
        <w:t xml:space="preserve">A KKV hitellel kapcsolatos megjegyzésként egy legfeljebb 128 karakter hosszúságú szöveg írható be. Itt kell jelenteni, ha a KKV megszűnik, </w:t>
      </w:r>
      <w:proofErr w:type="gramStart"/>
      <w:r w:rsidRPr="005167CF">
        <w:rPr>
          <w:rFonts w:ascii="Arial" w:hAnsi="Arial" w:cs="Arial"/>
        </w:rPr>
        <w:t>továbbá</w:t>
      </w:r>
      <w:proofErr w:type="gramEnd"/>
      <w:r w:rsidRPr="005167CF">
        <w:rPr>
          <w:rFonts w:ascii="Arial" w:hAnsi="Arial" w:cs="Arial"/>
        </w:rPr>
        <w:t xml:space="preserve"> ha a KKV hitelre vonatkozó szerződés bármely okból megszűnik vagy megszüntetésre kerül. Az </w:t>
      </w:r>
      <w:proofErr w:type="spellStart"/>
      <w:r w:rsidRPr="005167CF">
        <w:rPr>
          <w:rFonts w:ascii="Arial" w:hAnsi="Arial" w:cs="Arial"/>
        </w:rPr>
        <w:t>NHP</w:t>
      </w:r>
      <w:proofErr w:type="spellEnd"/>
      <w:r w:rsidRPr="005167CF">
        <w:rPr>
          <w:rFonts w:ascii="Arial" w:hAnsi="Arial" w:cs="Arial"/>
        </w:rPr>
        <w:t xml:space="preserve"> harmadik szakaszának II. pillére keretében nyújtott KKV hitelek kivételével az adatszolgáltatást a KKV megszűnését vagy a KKV hitelre vonatkozó szerződés megszűnését vagy megszüntetését eredményező tényről vagy jognyilatkozatról való tudomásszerzés napján 15 óráig (szombati munkanap esetén 12 óráig), illetve, amennyiben az adatszolgáltató az adott munkanapon 15 óra (szombati munkanap esetén 12 óra) után szerez tudomást az adott tényről, jognyilatkozatról, abban az esetben a tudomásszerzést követő munkanapon 15 óráig (szombati munkanap esetén 12 óráig) kell teljesítenie az adatszolgáltatónak. Ezen adatszolgáltatást az </w:t>
      </w:r>
      <w:proofErr w:type="spellStart"/>
      <w:r w:rsidRPr="005167CF">
        <w:rPr>
          <w:rFonts w:ascii="Arial" w:hAnsi="Arial" w:cs="Arial"/>
        </w:rPr>
        <w:t>NHP</w:t>
      </w:r>
      <w:proofErr w:type="spellEnd"/>
      <w:r w:rsidRPr="005167CF">
        <w:rPr>
          <w:rFonts w:ascii="Arial" w:hAnsi="Arial" w:cs="Arial"/>
        </w:rPr>
        <w:t xml:space="preserve"> harmadik szakaszának II. pillére keretében nyújtott KKV hitelek vonatkozásában a tudomásszerzés napján, illetve azt követő, az </w:t>
      </w:r>
      <w:proofErr w:type="spellStart"/>
      <w:r w:rsidRPr="005167CF">
        <w:rPr>
          <w:rFonts w:ascii="Arial" w:hAnsi="Arial" w:cs="Arial"/>
        </w:rPr>
        <w:t>NHP</w:t>
      </w:r>
      <w:proofErr w:type="spellEnd"/>
      <w:r w:rsidRPr="005167CF">
        <w:rPr>
          <w:rFonts w:ascii="Arial" w:hAnsi="Arial" w:cs="Arial"/>
        </w:rPr>
        <w:t xml:space="preserve"> harmadik szakaszára vonatkozó Terméktájékoztatóban meghatározott adatszolgáltatási napon 15 óráig kell teljesíteni. Ha a beruházási hitel tartós részesedés megszerzésére irányul, akkor az oszlopnak tartalmaznia kell a „</w:t>
      </w:r>
      <w:proofErr w:type="spellStart"/>
      <w:r w:rsidRPr="005167CF">
        <w:rPr>
          <w:rFonts w:ascii="Arial" w:hAnsi="Arial" w:cs="Arial"/>
        </w:rPr>
        <w:t>RESZESEDES</w:t>
      </w:r>
      <w:proofErr w:type="spellEnd"/>
      <w:r w:rsidRPr="005167CF">
        <w:rPr>
          <w:rFonts w:ascii="Arial" w:hAnsi="Arial" w:cs="Arial"/>
        </w:rPr>
        <w:t>” karaktersort, valamint a megadott sorrendben az érintett vállalat nevét, KSH-törzsszámát és az elért részesedés nagyságát. Itt kell feltüntetni, amennyiben a beküldésre korábban hibásan beküldött adat javítása miatt kerül sor. Amennyiben a KKV hitelt nem közvetlenül a hitelintézet nyújtja, a köztes szerepet betöltő pénzügyi vállalkozás azonosítóját itt kell feltüntetni.</w:t>
      </w:r>
    </w:p>
    <w:p w14:paraId="18D43AD1" w14:textId="77777777" w:rsidR="009335C5" w:rsidRPr="00455D22" w:rsidRDefault="009335C5" w:rsidP="009335C5">
      <w:pPr>
        <w:autoSpaceDE w:val="0"/>
        <w:autoSpaceDN w:val="0"/>
        <w:adjustRightInd w:val="0"/>
        <w:spacing w:after="240" w:line="240" w:lineRule="auto"/>
        <w:ind w:left="425" w:hanging="425"/>
        <w:rPr>
          <w:rFonts w:ascii="Arial" w:hAnsi="Arial" w:cs="Arial"/>
        </w:rPr>
      </w:pPr>
      <w:r w:rsidRPr="00455D22">
        <w:rPr>
          <w:rFonts w:ascii="Arial" w:hAnsi="Arial" w:cs="Arial"/>
        </w:rPr>
        <w:t>da)</w:t>
      </w:r>
      <w:r w:rsidRPr="00455D22">
        <w:rPr>
          <w:rFonts w:ascii="Arial" w:hAnsi="Arial" w:cs="Arial"/>
        </w:rPr>
        <w:tab/>
      </w:r>
      <w:r w:rsidRPr="00A87339">
        <w:rPr>
          <w:rFonts w:ascii="Arial" w:hAnsi="Arial" w:cs="Arial"/>
        </w:rPr>
        <w:t>A kiváltott KKV hitel célja</w:t>
      </w:r>
      <w:r w:rsidRPr="00B31CA5">
        <w:rPr>
          <w:rFonts w:ascii="Arial" w:hAnsi="Arial" w:cs="Arial"/>
        </w:rPr>
        <w:t>.</w:t>
      </w:r>
      <w:r>
        <w:rPr>
          <w:rFonts w:ascii="Arial" w:hAnsi="Arial" w:cs="Arial"/>
        </w:rPr>
        <w:t xml:space="preserve"> </w:t>
      </w:r>
      <w:r w:rsidRPr="00B31CA5">
        <w:rPr>
          <w:rFonts w:ascii="Arial" w:hAnsi="Arial" w:cs="Arial"/>
          <w:color w:val="231F20"/>
        </w:rPr>
        <w:t>A kódlista szerint kell kitölteni.</w:t>
      </w:r>
    </w:p>
    <w:p w14:paraId="20E122CB" w14:textId="204F7278" w:rsidR="009335C5" w:rsidRPr="00455D22" w:rsidRDefault="009335C5" w:rsidP="009335C5">
      <w:pPr>
        <w:spacing w:after="240" w:line="240" w:lineRule="auto"/>
        <w:ind w:left="425" w:hanging="425"/>
        <w:rPr>
          <w:rFonts w:ascii="Arial" w:hAnsi="Arial" w:cs="Arial"/>
        </w:rPr>
      </w:pPr>
      <w:r w:rsidRPr="00455D22">
        <w:rPr>
          <w:rFonts w:ascii="Arial" w:hAnsi="Arial" w:cs="Arial"/>
        </w:rPr>
        <w:lastRenderedPageBreak/>
        <w:t>db)</w:t>
      </w:r>
      <w:r w:rsidRPr="00455D22">
        <w:rPr>
          <w:rFonts w:ascii="Arial" w:hAnsi="Arial" w:cs="Arial"/>
        </w:rPr>
        <w:tab/>
      </w:r>
      <w:r w:rsidRPr="00261245">
        <w:rPr>
          <w:rFonts w:ascii="Arial" w:hAnsi="Arial" w:cs="Arial"/>
        </w:rPr>
        <w:t xml:space="preserve">Az </w:t>
      </w:r>
      <w:proofErr w:type="spellStart"/>
      <w:r w:rsidRPr="00261245">
        <w:rPr>
          <w:rFonts w:ascii="Arial" w:hAnsi="Arial" w:cs="Arial"/>
        </w:rPr>
        <w:t>NHP</w:t>
      </w:r>
      <w:proofErr w:type="spellEnd"/>
      <w:r>
        <w:rPr>
          <w:rFonts w:ascii="Arial" w:hAnsi="Arial" w:cs="Arial"/>
        </w:rPr>
        <w:t>-</w:t>
      </w:r>
      <w:r w:rsidRPr="00261245">
        <w:rPr>
          <w:rFonts w:ascii="Arial" w:hAnsi="Arial" w:cs="Arial"/>
        </w:rPr>
        <w:t>ban</w:t>
      </w:r>
      <w:r>
        <w:rPr>
          <w:rFonts w:ascii="Arial" w:hAnsi="Arial" w:cs="Arial"/>
        </w:rPr>
        <w:t xml:space="preserve"> és az </w:t>
      </w:r>
      <w:proofErr w:type="spellStart"/>
      <w:r>
        <w:rPr>
          <w:rFonts w:ascii="Arial" w:hAnsi="Arial" w:cs="Arial"/>
        </w:rPr>
        <w:t>NHP</w:t>
      </w:r>
      <w:proofErr w:type="spellEnd"/>
      <w:r>
        <w:rPr>
          <w:rFonts w:ascii="Arial" w:hAnsi="Arial" w:cs="Arial"/>
        </w:rPr>
        <w:t xml:space="preserve"> </w:t>
      </w:r>
      <w:r>
        <w:rPr>
          <w:rFonts w:ascii="Arial" w:hAnsi="Arial" w:cs="Arial"/>
          <w:i/>
        </w:rPr>
        <w:t>fix</w:t>
      </w:r>
      <w:r>
        <w:rPr>
          <w:rFonts w:ascii="Arial" w:hAnsi="Arial" w:cs="Arial"/>
        </w:rPr>
        <w:t>ben refinanszírozni kért KKV hitel</w:t>
      </w:r>
      <w:r w:rsidRPr="00261245">
        <w:rPr>
          <w:rFonts w:ascii="Arial" w:hAnsi="Arial" w:cs="Arial"/>
        </w:rPr>
        <w:t xml:space="preserve"> esetében a</w:t>
      </w:r>
      <w:r>
        <w:rPr>
          <w:rFonts w:ascii="Arial" w:hAnsi="Arial" w:cs="Arial"/>
        </w:rPr>
        <w:t xml:space="preserve">z </w:t>
      </w:r>
      <w:r w:rsidRPr="00261245">
        <w:rPr>
          <w:rFonts w:ascii="Arial" w:hAnsi="Arial" w:cs="Arial"/>
        </w:rPr>
        <w:t xml:space="preserve">oszlop kitöltése abban az esetben is kötelező, ha a </w:t>
      </w:r>
      <w:r>
        <w:rPr>
          <w:rFonts w:ascii="Arial" w:hAnsi="Arial" w:cs="Arial"/>
        </w:rPr>
        <w:t xml:space="preserve">KKV </w:t>
      </w:r>
      <w:r w:rsidRPr="00261245">
        <w:rPr>
          <w:rFonts w:ascii="Arial" w:hAnsi="Arial" w:cs="Arial"/>
        </w:rPr>
        <w:t>hitel célja nem hitelkiváltás</w:t>
      </w:r>
      <w:r>
        <w:rPr>
          <w:rFonts w:ascii="Arial" w:hAnsi="Arial" w:cs="Arial"/>
        </w:rPr>
        <w:t>, de a KKV hitelt nyújtó hitelintézet a KKV-val a KKV hitelre vonatkozó szerződés megkötését megelőzően nem állt szerződéses kapcsolatban</w:t>
      </w:r>
      <w:r w:rsidRPr="00261245">
        <w:rPr>
          <w:rFonts w:ascii="Arial" w:hAnsi="Arial" w:cs="Arial"/>
        </w:rPr>
        <w:t xml:space="preserve">. </w:t>
      </w:r>
      <w:r w:rsidRPr="00455D22">
        <w:rPr>
          <w:rFonts w:ascii="Arial" w:hAnsi="Arial" w:cs="Arial"/>
          <w:color w:val="231F20"/>
        </w:rPr>
        <w:t>A kódlista szerint kell kitölteni.</w:t>
      </w:r>
    </w:p>
    <w:p w14:paraId="7800886E" w14:textId="77777777" w:rsidR="009335C5" w:rsidRPr="00455D22" w:rsidRDefault="009335C5" w:rsidP="009335C5">
      <w:pPr>
        <w:spacing w:after="240" w:line="240" w:lineRule="auto"/>
        <w:ind w:left="425" w:hanging="425"/>
        <w:rPr>
          <w:rFonts w:ascii="Arial" w:hAnsi="Arial" w:cs="Arial"/>
        </w:rPr>
      </w:pPr>
      <w:r w:rsidRPr="00455D22">
        <w:rPr>
          <w:rFonts w:ascii="Arial" w:hAnsi="Arial" w:cs="Arial"/>
        </w:rPr>
        <w:t>dc)</w:t>
      </w:r>
      <w:r w:rsidRPr="00455D22">
        <w:rPr>
          <w:rFonts w:ascii="Arial" w:hAnsi="Arial" w:cs="Arial"/>
        </w:rPr>
        <w:tab/>
        <w:t>Ezt az oszlopot abban az esetben kell kitölteni, ha a kiváltott hitelt folyósító hitelintézet nem azonos a KKV hitelt folyósító hitelintézettel.</w:t>
      </w:r>
    </w:p>
    <w:p w14:paraId="477ED720"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dd</w:t>
      </w:r>
      <w:proofErr w:type="spellEnd"/>
      <w:r w:rsidRPr="00455D22">
        <w:rPr>
          <w:rFonts w:ascii="Arial" w:hAnsi="Arial" w:cs="Arial"/>
        </w:rPr>
        <w:t>)</w:t>
      </w:r>
      <w:r w:rsidRPr="00455D22">
        <w:rPr>
          <w:rFonts w:ascii="Arial" w:hAnsi="Arial" w:cs="Arial"/>
        </w:rPr>
        <w:tab/>
        <w:t xml:space="preserve">A részben kiváltott hitel kiváltás időpontjában fennálló teljes állományát kell jelenteni. Ezt az oszlopot abban az esetben kell kitölteni, ha ez az összeg nagyobb, mint a </w:t>
      </w:r>
      <w:proofErr w:type="spellStart"/>
      <w:r w:rsidRPr="00455D22">
        <w:rPr>
          <w:rFonts w:ascii="Arial" w:hAnsi="Arial" w:cs="Arial"/>
        </w:rPr>
        <w:t>ch</w:t>
      </w:r>
      <w:proofErr w:type="spellEnd"/>
      <w:r w:rsidRPr="00455D22">
        <w:rPr>
          <w:rFonts w:ascii="Arial" w:hAnsi="Arial" w:cs="Arial"/>
        </w:rPr>
        <w:t>) oszlopban megadott hitelösszeg.</w:t>
      </w:r>
    </w:p>
    <w:p w14:paraId="680FC781" w14:textId="77777777" w:rsidR="009335C5" w:rsidRPr="00455D22" w:rsidRDefault="009335C5" w:rsidP="009335C5">
      <w:pPr>
        <w:spacing w:after="240" w:line="240" w:lineRule="auto"/>
        <w:ind w:left="425" w:hanging="425"/>
        <w:rPr>
          <w:rFonts w:ascii="Arial" w:hAnsi="Arial" w:cs="Arial"/>
        </w:rPr>
      </w:pPr>
      <w:r w:rsidRPr="00455D22">
        <w:rPr>
          <w:rFonts w:ascii="Arial" w:hAnsi="Arial" w:cs="Arial"/>
        </w:rPr>
        <w:t>de)</w:t>
      </w:r>
      <w:r w:rsidRPr="00455D22">
        <w:rPr>
          <w:rFonts w:ascii="Arial" w:hAnsi="Arial" w:cs="Arial"/>
        </w:rPr>
        <w:tab/>
        <w:t xml:space="preserve">A kiváltott hitel folyósítási időpontja. Részletekben történő folyósítás esetén az első folyósítás időpontját kell megadni. Amennyiben a folyósítás időpontja nem ismert, a kiváltott hitelre vonatkozó szerződés aláírásának napját kell megadni. A felek általi eltérő időpontban történő aláírás esetén a </w:t>
      </w:r>
      <w:proofErr w:type="spellStart"/>
      <w:r w:rsidRPr="00455D22">
        <w:rPr>
          <w:rFonts w:ascii="Arial" w:hAnsi="Arial" w:cs="Arial"/>
        </w:rPr>
        <w:t>cb</w:t>
      </w:r>
      <w:proofErr w:type="spellEnd"/>
      <w:r w:rsidRPr="00455D22">
        <w:rPr>
          <w:rFonts w:ascii="Arial" w:hAnsi="Arial" w:cs="Arial"/>
        </w:rPr>
        <w:t>) oszlop kitöltésére vonatkozó előírás az irányadó.</w:t>
      </w:r>
    </w:p>
    <w:p w14:paraId="40659ABF" w14:textId="77777777" w:rsidR="009335C5" w:rsidRPr="00455D22" w:rsidRDefault="009335C5" w:rsidP="009335C5">
      <w:pPr>
        <w:spacing w:after="240" w:line="240" w:lineRule="auto"/>
        <w:ind w:left="425" w:hanging="425"/>
        <w:rPr>
          <w:rFonts w:ascii="Arial" w:hAnsi="Arial" w:cs="Arial"/>
        </w:rPr>
      </w:pPr>
      <w:proofErr w:type="spellStart"/>
      <w:r w:rsidRPr="00455D22">
        <w:rPr>
          <w:rFonts w:ascii="Arial" w:hAnsi="Arial" w:cs="Arial"/>
        </w:rPr>
        <w:t>df</w:t>
      </w:r>
      <w:proofErr w:type="spellEnd"/>
      <w:r w:rsidRPr="00455D22">
        <w:rPr>
          <w:rFonts w:ascii="Arial" w:hAnsi="Arial" w:cs="Arial"/>
        </w:rPr>
        <w:t>)</w:t>
      </w:r>
      <w:r w:rsidRPr="00455D22">
        <w:rPr>
          <w:rFonts w:ascii="Arial" w:hAnsi="Arial" w:cs="Arial"/>
        </w:rPr>
        <w:tab/>
        <w:t>A kiváltott</w:t>
      </w:r>
      <w:r>
        <w:rPr>
          <w:rFonts w:ascii="Arial" w:hAnsi="Arial" w:cs="Arial"/>
        </w:rPr>
        <w:t xml:space="preserve"> </w:t>
      </w:r>
      <w:r w:rsidRPr="00455D22">
        <w:rPr>
          <w:rFonts w:ascii="Arial" w:hAnsi="Arial" w:cs="Arial"/>
        </w:rPr>
        <w:t>hitelre vonatkozó szerződésnek a kiváltott hitelt folyósító hitelintézetnél alkalmazott egyedi szerződésazonosítóját kell ebben az oszlopban megadni.</w:t>
      </w:r>
    </w:p>
    <w:p w14:paraId="14EE6708" w14:textId="77777777" w:rsidR="009335C5" w:rsidRPr="00455D22" w:rsidRDefault="009335C5" w:rsidP="009335C5">
      <w:pPr>
        <w:spacing w:after="240" w:line="240" w:lineRule="auto"/>
        <w:ind w:left="426" w:hanging="426"/>
        <w:rPr>
          <w:rFonts w:ascii="Arial" w:hAnsi="Arial" w:cs="Arial"/>
        </w:rPr>
      </w:pPr>
      <w:r w:rsidRPr="00455D22">
        <w:rPr>
          <w:rFonts w:ascii="Arial" w:hAnsi="Arial" w:cs="Arial"/>
        </w:rPr>
        <w:t>dg)</w:t>
      </w:r>
      <w:r w:rsidRPr="00455D22">
        <w:rPr>
          <w:rFonts w:ascii="Arial" w:hAnsi="Arial" w:cs="Arial"/>
        </w:rPr>
        <w:tab/>
        <w:t xml:space="preserve">A </w:t>
      </w:r>
      <w:r>
        <w:rPr>
          <w:rFonts w:ascii="Arial" w:hAnsi="Arial" w:cs="Arial"/>
        </w:rPr>
        <w:t xml:space="preserve">kiváltott hitel devizanemének megadásakor alkalmazandó </w:t>
      </w:r>
      <w:r w:rsidRPr="00455D22">
        <w:rPr>
          <w:rFonts w:ascii="Arial" w:hAnsi="Arial" w:cs="Arial"/>
          <w:color w:val="231F20"/>
        </w:rPr>
        <w:t xml:space="preserve">deviza ISO-kódokat a 3. </w:t>
      </w:r>
      <w:r w:rsidRPr="005C5B38">
        <w:rPr>
          <w:rFonts w:ascii="Arial" w:hAnsi="Arial" w:cs="Arial"/>
          <w:color w:val="231F20"/>
        </w:rPr>
        <w:t>melléklet 4.1. pontja szerinti,</w:t>
      </w:r>
      <w:r w:rsidRPr="00455D22">
        <w:rPr>
          <w:rFonts w:ascii="Arial" w:hAnsi="Arial" w:cs="Arial"/>
          <w:color w:val="231F20"/>
        </w:rPr>
        <w:t xml:space="preserve"> az MNB honlapján közzétett technikai segédlet tartalmazza. </w:t>
      </w:r>
    </w:p>
    <w:p w14:paraId="18F368FD" w14:textId="77777777" w:rsidR="009335C5" w:rsidRPr="00455D22" w:rsidRDefault="009335C5" w:rsidP="009335C5">
      <w:pPr>
        <w:spacing w:after="240" w:line="240" w:lineRule="auto"/>
        <w:ind w:left="426" w:hanging="426"/>
        <w:rPr>
          <w:rFonts w:ascii="Arial" w:hAnsi="Arial" w:cs="Arial"/>
        </w:rPr>
      </w:pPr>
      <w:proofErr w:type="spellStart"/>
      <w:r w:rsidRPr="00455D22">
        <w:rPr>
          <w:rFonts w:ascii="Arial" w:hAnsi="Arial" w:cs="Arial"/>
        </w:rPr>
        <w:t>dh</w:t>
      </w:r>
      <w:proofErr w:type="spellEnd"/>
      <w:r w:rsidRPr="00455D22">
        <w:rPr>
          <w:rFonts w:ascii="Arial" w:hAnsi="Arial" w:cs="Arial"/>
        </w:rPr>
        <w:t>)</w:t>
      </w:r>
      <w:r w:rsidRPr="00455D22">
        <w:rPr>
          <w:rFonts w:ascii="Arial" w:hAnsi="Arial" w:cs="Arial"/>
        </w:rPr>
        <w:tab/>
      </w:r>
      <w:r>
        <w:rPr>
          <w:rFonts w:ascii="Arial" w:hAnsi="Arial" w:cs="Arial"/>
        </w:rPr>
        <w:t>A kiváltott hitel devizanemének megfelelő devizában kell megadni az összeget.</w:t>
      </w:r>
    </w:p>
    <w:p w14:paraId="4D0F6589" w14:textId="77777777" w:rsidR="009335C5" w:rsidRPr="00455D22" w:rsidRDefault="009335C5" w:rsidP="009335C5">
      <w:pPr>
        <w:spacing w:after="240" w:line="240" w:lineRule="auto"/>
        <w:ind w:left="425" w:hanging="425"/>
        <w:rPr>
          <w:rFonts w:ascii="Arial" w:hAnsi="Arial" w:cs="Arial"/>
        </w:rPr>
      </w:pPr>
      <w:r w:rsidRPr="00455D22">
        <w:rPr>
          <w:rFonts w:ascii="Arial" w:hAnsi="Arial" w:cs="Arial"/>
        </w:rPr>
        <w:t>di)</w:t>
      </w:r>
      <w:r w:rsidRPr="00455D22">
        <w:rPr>
          <w:rFonts w:ascii="Arial" w:hAnsi="Arial" w:cs="Arial"/>
        </w:rPr>
        <w:tab/>
        <w:t>A kiváltott hitel esetében a</w:t>
      </w:r>
      <w:r>
        <w:rPr>
          <w:rFonts w:ascii="Arial" w:hAnsi="Arial" w:cs="Arial"/>
        </w:rPr>
        <w:t xml:space="preserve"> </w:t>
      </w:r>
      <w:r w:rsidRPr="00455D22">
        <w:rPr>
          <w:rFonts w:ascii="Arial" w:hAnsi="Arial" w:cs="Arial"/>
        </w:rPr>
        <w:t>legrégebben fennálló késedelem</w:t>
      </w:r>
      <w:r>
        <w:rPr>
          <w:rFonts w:ascii="Arial" w:hAnsi="Arial" w:cs="Arial"/>
        </w:rPr>
        <w:t xml:space="preserve"> </w:t>
      </w:r>
      <w:r w:rsidRPr="00455D22">
        <w:rPr>
          <w:rFonts w:ascii="Arial" w:hAnsi="Arial" w:cs="Arial"/>
        </w:rPr>
        <w:t>beálltának</w:t>
      </w:r>
      <w:r>
        <w:rPr>
          <w:rFonts w:ascii="Arial" w:hAnsi="Arial" w:cs="Arial"/>
        </w:rPr>
        <w:t xml:space="preserve"> </w:t>
      </w:r>
      <w:r w:rsidRPr="00455D22">
        <w:rPr>
          <w:rFonts w:ascii="Arial" w:hAnsi="Arial" w:cs="Arial"/>
        </w:rPr>
        <w:t>naptári nap szerinti időpontját kell megadni</w:t>
      </w:r>
      <w:r w:rsidRPr="00B31CA5">
        <w:rPr>
          <w:rFonts w:ascii="Arial" w:hAnsi="Arial" w:cs="Arial"/>
        </w:rPr>
        <w:t xml:space="preserve">. </w:t>
      </w:r>
      <w:r w:rsidRPr="00455D22">
        <w:rPr>
          <w:rFonts w:ascii="Arial" w:hAnsi="Arial" w:cs="Arial"/>
        </w:rPr>
        <w:t>Ha a kiváltott hitel nem esett késedelembe, akkor az oszlopot üresen kell hagyni.</w:t>
      </w:r>
    </w:p>
    <w:p w14:paraId="62B71860" w14:textId="77777777" w:rsidR="009335C5" w:rsidRPr="00455D22" w:rsidRDefault="009335C5" w:rsidP="009335C5">
      <w:pPr>
        <w:spacing w:after="240" w:line="240" w:lineRule="auto"/>
        <w:ind w:left="426" w:hanging="426"/>
        <w:rPr>
          <w:rFonts w:ascii="Arial" w:hAnsi="Arial" w:cs="Arial"/>
        </w:rPr>
      </w:pPr>
      <w:r w:rsidRPr="00455D22">
        <w:rPr>
          <w:rFonts w:ascii="Arial" w:hAnsi="Arial" w:cs="Arial"/>
        </w:rPr>
        <w:t>dj)</w:t>
      </w:r>
      <w:r w:rsidRPr="00455D22">
        <w:rPr>
          <w:rFonts w:ascii="Arial" w:hAnsi="Arial" w:cs="Arial"/>
        </w:rPr>
        <w:tab/>
        <w:t>A kiváltott hitel lejáratának napját kell megadni.</w:t>
      </w:r>
    </w:p>
    <w:p w14:paraId="252F1263" w14:textId="77777777" w:rsidR="009335C5" w:rsidRPr="00455D22" w:rsidRDefault="009335C5" w:rsidP="009335C5">
      <w:pPr>
        <w:spacing w:after="240" w:line="240" w:lineRule="auto"/>
        <w:ind w:left="425" w:hanging="425"/>
        <w:rPr>
          <w:rFonts w:ascii="Arial" w:hAnsi="Arial" w:cs="Arial"/>
        </w:rPr>
      </w:pPr>
      <w:r w:rsidRPr="00455D22">
        <w:rPr>
          <w:rFonts w:ascii="Arial" w:hAnsi="Arial" w:cs="Arial"/>
        </w:rPr>
        <w:t>dk)</w:t>
      </w:r>
      <w:r w:rsidRPr="00455D22">
        <w:rPr>
          <w:rFonts w:ascii="Arial" w:hAnsi="Arial" w:cs="Arial"/>
        </w:rPr>
        <w:tab/>
        <w:t xml:space="preserve">A kiváltott hitel kamatozása lehet fix vagy referenciahozamhoz (pl. 3 hónapos </w:t>
      </w:r>
      <w:proofErr w:type="spellStart"/>
      <w:r w:rsidRPr="00455D22">
        <w:rPr>
          <w:rFonts w:ascii="Arial" w:hAnsi="Arial" w:cs="Arial"/>
        </w:rPr>
        <w:t>BUBOR</w:t>
      </w:r>
      <w:proofErr w:type="spellEnd"/>
      <w:r w:rsidRPr="00455D22">
        <w:rPr>
          <w:rFonts w:ascii="Arial" w:hAnsi="Arial" w:cs="Arial"/>
        </w:rPr>
        <w:t>) kötött.</w:t>
      </w:r>
      <w:r>
        <w:rPr>
          <w:rFonts w:ascii="Arial" w:hAnsi="Arial" w:cs="Arial"/>
        </w:rPr>
        <w:t xml:space="preserve"> </w:t>
      </w:r>
      <w:r w:rsidRPr="00455D22">
        <w:rPr>
          <w:rFonts w:ascii="Arial" w:hAnsi="Arial" w:cs="Arial"/>
        </w:rPr>
        <w:t xml:space="preserve">Fix kamatozás esetén az adatszolgáltató által felszámított díjak és költségek hitelösszegre számított éves díját (teljes hitelköltséget) kell megadni, </w:t>
      </w:r>
      <w:r>
        <w:rPr>
          <w:rFonts w:ascii="Arial" w:hAnsi="Arial" w:cs="Arial"/>
        </w:rPr>
        <w:t>bázispontban</w:t>
      </w:r>
      <w:r w:rsidRPr="00455D22">
        <w:rPr>
          <w:rFonts w:ascii="Arial" w:hAnsi="Arial" w:cs="Arial"/>
        </w:rPr>
        <w:t xml:space="preserve"> kifejezve. Referenciahozamhoz kötött kamatozás esetén a referenciahozamot kell megnevezni (pl. 3M </w:t>
      </w:r>
      <w:proofErr w:type="spellStart"/>
      <w:r w:rsidRPr="00455D22">
        <w:rPr>
          <w:rFonts w:ascii="Arial" w:hAnsi="Arial" w:cs="Arial"/>
        </w:rPr>
        <w:t>BUBOR</w:t>
      </w:r>
      <w:proofErr w:type="spellEnd"/>
      <w:r w:rsidRPr="00455D22">
        <w:rPr>
          <w:rFonts w:ascii="Arial" w:hAnsi="Arial" w:cs="Arial"/>
        </w:rPr>
        <w:t xml:space="preserve">) és az összes díj és költség figyelembevételével számított teljes éves felárat kell megadni, bázispontban megjelölve (Formátuma: „referenciahozam megnevezése + </w:t>
      </w:r>
      <w:proofErr w:type="spellStart"/>
      <w:r w:rsidRPr="00455D22">
        <w:rPr>
          <w:rFonts w:ascii="Arial" w:hAnsi="Arial" w:cs="Arial"/>
        </w:rPr>
        <w:t>YYY</w:t>
      </w:r>
      <w:proofErr w:type="spellEnd"/>
      <w:r>
        <w:rPr>
          <w:rFonts w:ascii="Arial" w:hAnsi="Arial" w:cs="Arial"/>
        </w:rPr>
        <w:t>”</w:t>
      </w:r>
      <w:r w:rsidRPr="00455D22">
        <w:rPr>
          <w:rFonts w:ascii="Arial" w:hAnsi="Arial" w:cs="Arial"/>
        </w:rPr>
        <w:t xml:space="preserve">, ahol </w:t>
      </w:r>
      <w:proofErr w:type="spellStart"/>
      <w:r w:rsidRPr="00455D22">
        <w:rPr>
          <w:rFonts w:ascii="Arial" w:hAnsi="Arial" w:cs="Arial"/>
        </w:rPr>
        <w:t>YYY</w:t>
      </w:r>
      <w:proofErr w:type="spellEnd"/>
      <w:r w:rsidRPr="00455D22">
        <w:rPr>
          <w:rFonts w:ascii="Arial" w:hAnsi="Arial" w:cs="Arial"/>
        </w:rPr>
        <w:t xml:space="preserve"> a felár bázispontban megadott értéke).  </w:t>
      </w:r>
    </w:p>
    <w:p w14:paraId="19E12EF1" w14:textId="77777777" w:rsidR="009335C5" w:rsidRPr="00455D22" w:rsidRDefault="009335C5" w:rsidP="009335C5">
      <w:pPr>
        <w:spacing w:after="240" w:line="240" w:lineRule="auto"/>
        <w:ind w:left="426" w:hanging="426"/>
        <w:rPr>
          <w:rFonts w:ascii="Arial" w:hAnsi="Arial" w:cs="Arial"/>
        </w:rPr>
      </w:pPr>
      <w:r w:rsidRPr="00455D22">
        <w:rPr>
          <w:rFonts w:ascii="Arial" w:hAnsi="Arial" w:cs="Arial"/>
        </w:rPr>
        <w:t>dl)</w:t>
      </w:r>
      <w:r w:rsidRPr="00455D22">
        <w:rPr>
          <w:rFonts w:ascii="Arial" w:hAnsi="Arial" w:cs="Arial"/>
        </w:rPr>
        <w:tab/>
        <w:t>Ebben a mezőben a tőketörlesztés évenkénti gyakoriságát kell megadni. A kódlista szerint kell kitölteni.</w:t>
      </w:r>
    </w:p>
    <w:p w14:paraId="3F07F5E5" w14:textId="3B4CDF39" w:rsidR="00F656BF" w:rsidRPr="002840AB" w:rsidRDefault="009335C5" w:rsidP="009335C5">
      <w:pPr>
        <w:spacing w:after="240" w:line="240" w:lineRule="auto"/>
        <w:ind w:left="426" w:hanging="426"/>
        <w:rPr>
          <w:rFonts w:ascii="Arial" w:hAnsi="Arial" w:cs="Arial"/>
        </w:rPr>
      </w:pPr>
      <w:r w:rsidRPr="00455D22">
        <w:rPr>
          <w:rFonts w:ascii="Arial" w:hAnsi="Arial" w:cs="Arial"/>
        </w:rPr>
        <w:t>dm)</w:t>
      </w:r>
      <w:r w:rsidRPr="00455D22">
        <w:rPr>
          <w:rFonts w:ascii="Arial" w:hAnsi="Arial" w:cs="Arial"/>
        </w:rPr>
        <w:tab/>
        <w:t>A kiváltott hitel legutóbbi átstrukturálás</w:t>
      </w:r>
      <w:r>
        <w:rPr>
          <w:rFonts w:ascii="Arial" w:hAnsi="Arial" w:cs="Arial"/>
        </w:rPr>
        <w:t>ának</w:t>
      </w:r>
      <w:r w:rsidRPr="00455D22">
        <w:rPr>
          <w:rFonts w:ascii="Arial" w:hAnsi="Arial" w:cs="Arial"/>
        </w:rPr>
        <w:t xml:space="preserve"> időpontját kell megadni.</w:t>
      </w:r>
      <w:r w:rsidR="001C3A79" w:rsidRPr="002840AB">
        <w:rPr>
          <w:rFonts w:ascii="Arial" w:hAnsi="Arial" w:cs="Arial"/>
        </w:rPr>
        <w:t>”</w:t>
      </w:r>
    </w:p>
    <w:p w14:paraId="40FC297E" w14:textId="3C110781" w:rsidR="00B40298" w:rsidRDefault="00B40298" w:rsidP="008F1015">
      <w:pPr>
        <w:spacing w:after="0"/>
        <w:rPr>
          <w:rFonts w:ascii="Arial" w:hAnsi="Arial" w:cs="Arial"/>
        </w:rPr>
      </w:pPr>
    </w:p>
    <w:p w14:paraId="2CF7D565" w14:textId="2E605726" w:rsidR="00A464B3" w:rsidRPr="002840AB" w:rsidRDefault="00D30F21" w:rsidP="009335C5">
      <w:pPr>
        <w:keepNext/>
        <w:spacing w:after="0"/>
        <w:rPr>
          <w:rFonts w:ascii="Arial" w:hAnsi="Arial" w:cs="Arial"/>
        </w:rPr>
      </w:pPr>
      <w:r w:rsidRPr="002840AB">
        <w:rPr>
          <w:rFonts w:ascii="Arial" w:hAnsi="Arial" w:cs="Arial"/>
        </w:rPr>
        <w:t>2</w:t>
      </w:r>
      <w:r w:rsidR="00F656BF" w:rsidRPr="002840AB">
        <w:rPr>
          <w:rFonts w:ascii="Arial" w:hAnsi="Arial" w:cs="Arial"/>
        </w:rPr>
        <w:t>.</w:t>
      </w:r>
      <w:r w:rsidRPr="002840AB">
        <w:rPr>
          <w:rFonts w:ascii="Arial" w:hAnsi="Arial" w:cs="Arial"/>
        </w:rPr>
        <w:t xml:space="preserve"> </w:t>
      </w:r>
      <w:r w:rsidR="00A464B3" w:rsidRPr="002840AB">
        <w:rPr>
          <w:rFonts w:ascii="Arial" w:hAnsi="Arial" w:cs="Arial"/>
        </w:rPr>
        <w:t>A 38/2018. (XI. 14.) MNB rendelet 2. melléklet II. pontjában a D01 és D02 MNB azonosító kódú adatszolgáltatás kitöltési előírásai I.1. pontja helyébe a következő rendelkezés lép:</w:t>
      </w:r>
    </w:p>
    <w:p w14:paraId="18B1FB23" w14:textId="77777777" w:rsidR="00B40298" w:rsidRPr="002840AB" w:rsidRDefault="00B40298" w:rsidP="008F1015">
      <w:pPr>
        <w:spacing w:after="0"/>
        <w:ind w:right="272"/>
        <w:rPr>
          <w:rFonts w:ascii="Arial" w:hAnsi="Arial" w:cs="Arial"/>
        </w:rPr>
      </w:pPr>
    </w:p>
    <w:p w14:paraId="056A7C6F" w14:textId="349379BC" w:rsidR="00057B2C" w:rsidRPr="002840AB" w:rsidRDefault="004112F8" w:rsidP="008F1015">
      <w:pPr>
        <w:spacing w:after="0"/>
        <w:ind w:right="272"/>
        <w:rPr>
          <w:rFonts w:ascii="Arial" w:hAnsi="Arial" w:cs="Arial"/>
          <w:b/>
        </w:rPr>
      </w:pPr>
      <w:r w:rsidRPr="002840AB">
        <w:rPr>
          <w:rFonts w:ascii="Arial" w:hAnsi="Arial" w:cs="Arial"/>
        </w:rPr>
        <w:t>„</w:t>
      </w:r>
      <w:bookmarkStart w:id="23" w:name="_Hlk3963851"/>
      <w:r w:rsidR="00057B2C" w:rsidRPr="002840AB">
        <w:rPr>
          <w:rFonts w:ascii="Arial" w:hAnsi="Arial" w:cs="Arial"/>
          <w:b/>
        </w:rPr>
        <w:t>1. Az adatszolgáltatásban szerepeltetendő ügyletek</w:t>
      </w:r>
    </w:p>
    <w:p w14:paraId="26400ED7" w14:textId="3D25AF3F" w:rsidR="00A464B3" w:rsidRPr="002840AB" w:rsidRDefault="00057B2C" w:rsidP="008F1015">
      <w:pPr>
        <w:spacing w:after="0"/>
        <w:ind w:right="272"/>
        <w:rPr>
          <w:rFonts w:ascii="Arial" w:hAnsi="Arial" w:cs="Arial"/>
        </w:rPr>
      </w:pPr>
      <w:r w:rsidRPr="002840AB">
        <w:rPr>
          <w:rFonts w:ascii="Arial" w:hAnsi="Arial" w:cs="Arial"/>
        </w:rPr>
        <w:t xml:space="preserve">Az adatszolgáltatásnak </w:t>
      </w:r>
      <w:r w:rsidR="00681AA4" w:rsidRPr="002840AB">
        <w:rPr>
          <w:rFonts w:ascii="Arial" w:hAnsi="Arial" w:cs="Arial"/>
        </w:rPr>
        <w:t xml:space="preserve">a D01 MNB azonosító kódú adatszolgáltatás vonatkozásában </w:t>
      </w:r>
      <w:r w:rsidRPr="002840AB">
        <w:rPr>
          <w:rFonts w:ascii="Arial" w:hAnsi="Arial" w:cs="Arial"/>
        </w:rPr>
        <w:t>a benyújtását megelőző napra</w:t>
      </w:r>
      <w:r w:rsidR="00681AA4" w:rsidRPr="002840AB">
        <w:rPr>
          <w:rFonts w:ascii="Arial" w:hAnsi="Arial" w:cs="Arial"/>
        </w:rPr>
        <w:t>, míg a D02 MNB azonosító kódú adatszolgáltatás vonatkozásában a benyújtást megelőző második napra</w:t>
      </w:r>
      <w:r w:rsidR="00681AA4">
        <w:rPr>
          <w:rFonts w:ascii="Arial" w:hAnsi="Arial" w:cs="Arial"/>
        </w:rPr>
        <w:t>,</w:t>
      </w:r>
      <w:r w:rsidRPr="002840AB">
        <w:rPr>
          <w:rFonts w:ascii="Arial" w:hAnsi="Arial" w:cs="Arial"/>
        </w:rPr>
        <w:t xml:space="preserve"> mint értéknapra vonatkozó, átértékelendő deviza állományi adatokat és alapesetben az e </w:t>
      </w:r>
      <w:proofErr w:type="gramStart"/>
      <w:r w:rsidRPr="002840AB">
        <w:rPr>
          <w:rFonts w:ascii="Arial" w:hAnsi="Arial" w:cs="Arial"/>
        </w:rPr>
        <w:t>napra</w:t>
      </w:r>
      <w:proofErr w:type="gramEnd"/>
      <w:r w:rsidRPr="002840AB">
        <w:rPr>
          <w:rFonts w:ascii="Arial" w:hAnsi="Arial" w:cs="Arial"/>
        </w:rPr>
        <w:t xml:space="preserve"> mint kötésnapra vonatkozó forgalmi adatokat kell tartalmaznia. A külföldi székhellyel rendelkező magyarországi fióktelep adatszolgáltatónak azokat a tranzakciókat kell megjelenítenie, amelyeket ténylegesen ő köt (még ha helyzetéből adódóan jogilag a külföldi központ nevében teszi is). A ténylegesen a külföldi központ által kötött tranzakciókat nem kell jelenteni. A D02 MNB azonosító kódú adatszolgáltatás tekintetében kizárólag a napi nyitott pozíciókat kell bemutatni, egyedi </w:t>
      </w:r>
      <w:proofErr w:type="spellStart"/>
      <w:r w:rsidRPr="002840AB">
        <w:rPr>
          <w:rFonts w:ascii="Arial" w:hAnsi="Arial" w:cs="Arial"/>
        </w:rPr>
        <w:t>leányvállalatonkénti</w:t>
      </w:r>
      <w:proofErr w:type="spellEnd"/>
      <w:r w:rsidRPr="002840AB">
        <w:rPr>
          <w:rFonts w:ascii="Arial" w:hAnsi="Arial" w:cs="Arial"/>
        </w:rPr>
        <w:t xml:space="preserve"> nyitott pozíciós szinten.</w:t>
      </w:r>
      <w:r w:rsidR="009B098D" w:rsidRPr="002840AB">
        <w:rPr>
          <w:rFonts w:ascii="Arial" w:hAnsi="Arial" w:cs="Arial"/>
        </w:rPr>
        <w:t>”</w:t>
      </w:r>
      <w:bookmarkEnd w:id="23"/>
    </w:p>
    <w:p w14:paraId="2E18925B" w14:textId="2FE2CF53" w:rsidR="00B40298" w:rsidRDefault="00B40298" w:rsidP="008F1015">
      <w:pPr>
        <w:spacing w:after="0"/>
        <w:rPr>
          <w:rFonts w:ascii="Arial" w:hAnsi="Arial" w:cs="Arial"/>
        </w:rPr>
      </w:pPr>
    </w:p>
    <w:p w14:paraId="2B38701B" w14:textId="77777777" w:rsidR="005F385B" w:rsidRPr="002840AB" w:rsidRDefault="005F385B" w:rsidP="008F1015">
      <w:pPr>
        <w:spacing w:after="0"/>
        <w:rPr>
          <w:rFonts w:ascii="Arial" w:hAnsi="Arial" w:cs="Arial"/>
        </w:rPr>
      </w:pPr>
    </w:p>
    <w:p w14:paraId="1D20EE47" w14:textId="7EFC3F62" w:rsidR="00A464B3" w:rsidRPr="002840AB" w:rsidRDefault="00A464B3" w:rsidP="008F1015">
      <w:pPr>
        <w:spacing w:after="0"/>
        <w:rPr>
          <w:rFonts w:ascii="Arial" w:hAnsi="Arial" w:cs="Arial"/>
        </w:rPr>
      </w:pPr>
      <w:r w:rsidRPr="002840AB">
        <w:rPr>
          <w:rFonts w:ascii="Arial" w:hAnsi="Arial" w:cs="Arial"/>
        </w:rPr>
        <w:lastRenderedPageBreak/>
        <w:t xml:space="preserve">3. A 38/2018. (XI. 14.) MNB rendelet 2. melléklet II. pontjában a D01 és D02 MNB azonosító kódú adatszolgáltatás kitöltési előírásai </w:t>
      </w:r>
      <w:r w:rsidR="004112F8" w:rsidRPr="002840AB">
        <w:rPr>
          <w:rFonts w:ascii="Arial" w:hAnsi="Arial" w:cs="Arial"/>
        </w:rPr>
        <w:t>I</w:t>
      </w:r>
      <w:r w:rsidRPr="002840AB">
        <w:rPr>
          <w:rFonts w:ascii="Arial" w:hAnsi="Arial" w:cs="Arial"/>
        </w:rPr>
        <w:t>I.</w:t>
      </w:r>
      <w:r w:rsidR="004112F8" w:rsidRPr="002840AB">
        <w:rPr>
          <w:rFonts w:ascii="Arial" w:hAnsi="Arial" w:cs="Arial"/>
        </w:rPr>
        <w:t>2</w:t>
      </w:r>
      <w:r w:rsidRPr="002840AB">
        <w:rPr>
          <w:rFonts w:ascii="Arial" w:hAnsi="Arial" w:cs="Arial"/>
        </w:rPr>
        <w:t xml:space="preserve">. pontja </w:t>
      </w:r>
      <w:r w:rsidR="004112F8" w:rsidRPr="002840AB">
        <w:rPr>
          <w:rFonts w:ascii="Arial" w:hAnsi="Arial" w:cs="Arial"/>
        </w:rPr>
        <w:t>a következő 2.8. alponttal egészül ki</w:t>
      </w:r>
      <w:r w:rsidRPr="002840AB">
        <w:rPr>
          <w:rFonts w:ascii="Arial" w:hAnsi="Arial" w:cs="Arial"/>
        </w:rPr>
        <w:t>:</w:t>
      </w:r>
    </w:p>
    <w:p w14:paraId="23904B25" w14:textId="77777777" w:rsidR="00B40298" w:rsidRPr="002840AB" w:rsidRDefault="00B40298" w:rsidP="008F1015">
      <w:pPr>
        <w:spacing w:after="0"/>
        <w:ind w:right="272"/>
        <w:rPr>
          <w:rFonts w:ascii="Arial" w:hAnsi="Arial" w:cs="Arial"/>
        </w:rPr>
      </w:pPr>
    </w:p>
    <w:p w14:paraId="6A9E3B4C" w14:textId="6EAB70FF" w:rsidR="00A464B3" w:rsidRPr="002840AB" w:rsidRDefault="004112F8" w:rsidP="008F1015">
      <w:pPr>
        <w:spacing w:after="0"/>
        <w:ind w:right="272"/>
        <w:rPr>
          <w:rFonts w:ascii="Arial" w:hAnsi="Arial" w:cs="Arial"/>
        </w:rPr>
      </w:pPr>
      <w:r w:rsidRPr="002840AB">
        <w:rPr>
          <w:rFonts w:ascii="Arial" w:hAnsi="Arial" w:cs="Arial"/>
        </w:rPr>
        <w:t>„</w:t>
      </w:r>
      <w:r w:rsidR="008F1015" w:rsidRPr="002840AB">
        <w:rPr>
          <w:rFonts w:ascii="Arial" w:hAnsi="Arial" w:cs="Arial"/>
        </w:rPr>
        <w:t xml:space="preserve">2.8. Az azonnali </w:t>
      </w:r>
      <w:r w:rsidR="00AD7420">
        <w:rPr>
          <w:rFonts w:ascii="Arial" w:hAnsi="Arial" w:cs="Arial"/>
        </w:rPr>
        <w:t>elszámolás</w:t>
      </w:r>
      <w:r w:rsidR="008F1015" w:rsidRPr="002840AB">
        <w:rPr>
          <w:rFonts w:ascii="Arial" w:hAnsi="Arial" w:cs="Arial"/>
        </w:rPr>
        <w:t xml:space="preserve"> keretében a forintban indított, de forinttól eltérő devizanemű számlaszámra érkező fizetési műveletek elszámolása és konvertálása esetében a devizaszámlák állomány változásait és tranzakcióit a vonatkozási napra vonatkozó elszámolások alapján kell jelenteni.</w:t>
      </w:r>
      <w:r w:rsidRPr="002840AB">
        <w:rPr>
          <w:rFonts w:ascii="Arial" w:hAnsi="Arial" w:cs="Arial"/>
        </w:rPr>
        <w:t>”</w:t>
      </w:r>
    </w:p>
    <w:p w14:paraId="6700E17B" w14:textId="2F318431" w:rsidR="00D30F21" w:rsidRDefault="00D30F21" w:rsidP="008F1015">
      <w:pPr>
        <w:spacing w:after="0"/>
        <w:rPr>
          <w:rFonts w:ascii="Arial" w:hAnsi="Arial" w:cs="Arial"/>
        </w:rPr>
      </w:pPr>
    </w:p>
    <w:p w14:paraId="19A9111D" w14:textId="77777777" w:rsidR="005F385B" w:rsidRPr="002840AB" w:rsidRDefault="005F385B" w:rsidP="008F1015">
      <w:pPr>
        <w:spacing w:after="0"/>
        <w:rPr>
          <w:rFonts w:ascii="Arial" w:hAnsi="Arial" w:cs="Arial"/>
        </w:rPr>
      </w:pPr>
    </w:p>
    <w:p w14:paraId="5A5EAD5D" w14:textId="1B632344" w:rsidR="00590420" w:rsidRDefault="005C49C9" w:rsidP="008F1015">
      <w:pPr>
        <w:spacing w:after="0"/>
        <w:rPr>
          <w:rFonts w:ascii="Arial" w:hAnsi="Arial" w:cs="Arial"/>
        </w:rPr>
      </w:pPr>
      <w:r w:rsidRPr="002840AB">
        <w:rPr>
          <w:rFonts w:ascii="Arial" w:hAnsi="Arial" w:cs="Arial"/>
        </w:rPr>
        <w:t xml:space="preserve">4. </w:t>
      </w:r>
      <w:r w:rsidR="00590420" w:rsidRPr="002840AB">
        <w:rPr>
          <w:rFonts w:ascii="Arial" w:hAnsi="Arial" w:cs="Arial"/>
        </w:rPr>
        <w:t xml:space="preserve">A 38/2018. (XI. 14.) MNB rendelet 2. melléklet II. pontjában az </w:t>
      </w:r>
      <w:r w:rsidR="00404D45" w:rsidRPr="002840AB">
        <w:rPr>
          <w:rFonts w:ascii="Arial" w:hAnsi="Arial" w:cs="Arial"/>
        </w:rPr>
        <w:t>L72 MNB azonosító kódú adatszolgáltatás táblái és kitöltési előírásai helyébe a következő rendelkezések</w:t>
      </w:r>
      <w:r w:rsidR="00590420" w:rsidRPr="002840AB">
        <w:rPr>
          <w:rFonts w:ascii="Arial" w:hAnsi="Arial" w:cs="Arial"/>
        </w:rPr>
        <w:t xml:space="preserve"> lép</w:t>
      </w:r>
      <w:r w:rsidR="00404D45" w:rsidRPr="002840AB">
        <w:rPr>
          <w:rFonts w:ascii="Arial" w:hAnsi="Arial" w:cs="Arial"/>
        </w:rPr>
        <w:t>nek</w:t>
      </w:r>
      <w:r w:rsidR="00590420" w:rsidRPr="002840AB">
        <w:rPr>
          <w:rFonts w:ascii="Arial" w:hAnsi="Arial" w:cs="Arial"/>
        </w:rPr>
        <w:t xml:space="preserve">: </w:t>
      </w:r>
    </w:p>
    <w:p w14:paraId="454CA8AA" w14:textId="77777777" w:rsidR="0070681E" w:rsidRDefault="0070681E" w:rsidP="008F1015">
      <w:pPr>
        <w:spacing w:after="0"/>
        <w:rPr>
          <w:rFonts w:ascii="Arial" w:hAnsi="Arial" w:cs="Arial"/>
        </w:rPr>
      </w:pPr>
    </w:p>
    <w:p w14:paraId="3F176314" w14:textId="4CC4055A" w:rsidR="0070681E" w:rsidRDefault="005D2F26" w:rsidP="0070681E">
      <w:pPr>
        <w:spacing w:after="0" w:line="240" w:lineRule="auto"/>
        <w:jc w:val="center"/>
        <w:rPr>
          <w:rFonts w:ascii="Arial" w:hAnsi="Arial" w:cs="Arial"/>
        </w:rPr>
      </w:pPr>
      <w:r w:rsidRPr="005D2F26">
        <w:rPr>
          <w:noProof/>
        </w:rPr>
        <w:drawing>
          <wp:inline distT="0" distB="0" distL="0" distR="0" wp14:anchorId="708C2E98" wp14:editId="39EB4A0E">
            <wp:extent cx="4577409" cy="7019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1724" cy="7057214"/>
                    </a:xfrm>
                    <a:prstGeom prst="rect">
                      <a:avLst/>
                    </a:prstGeom>
                    <a:noFill/>
                    <a:ln>
                      <a:noFill/>
                    </a:ln>
                  </pic:spPr>
                </pic:pic>
              </a:graphicData>
            </a:graphic>
          </wp:inline>
        </w:drawing>
      </w:r>
    </w:p>
    <w:p w14:paraId="748803F7" w14:textId="6F2CC3DD" w:rsidR="0070681E" w:rsidRDefault="005D2F26" w:rsidP="0070681E">
      <w:pPr>
        <w:spacing w:after="0" w:line="240" w:lineRule="auto"/>
        <w:jc w:val="center"/>
        <w:rPr>
          <w:rFonts w:ascii="Arial" w:hAnsi="Arial" w:cs="Arial"/>
        </w:rPr>
      </w:pPr>
      <w:r w:rsidRPr="005D2F26">
        <w:rPr>
          <w:noProof/>
        </w:rPr>
        <w:lastRenderedPageBreak/>
        <w:drawing>
          <wp:inline distT="0" distB="0" distL="0" distR="0" wp14:anchorId="7BC4889C" wp14:editId="15DCFEB7">
            <wp:extent cx="6047740" cy="884571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8845711"/>
                    </a:xfrm>
                    <a:prstGeom prst="rect">
                      <a:avLst/>
                    </a:prstGeom>
                    <a:noFill/>
                    <a:ln>
                      <a:noFill/>
                    </a:ln>
                  </pic:spPr>
                </pic:pic>
              </a:graphicData>
            </a:graphic>
          </wp:inline>
        </w:drawing>
      </w:r>
    </w:p>
    <w:p w14:paraId="1828E47B" w14:textId="77777777" w:rsidR="0070681E" w:rsidRPr="003F7D60" w:rsidRDefault="0070681E" w:rsidP="0070681E">
      <w:pPr>
        <w:autoSpaceDE w:val="0"/>
        <w:autoSpaceDN w:val="0"/>
        <w:adjustRightInd w:val="0"/>
        <w:spacing w:after="0"/>
        <w:rPr>
          <w:rFonts w:ascii="Arial" w:eastAsia="Times New Roman" w:hAnsi="Arial" w:cs="Arial"/>
          <w:b/>
          <w:bCs/>
          <w:color w:val="000000"/>
        </w:rPr>
      </w:pPr>
      <w:r w:rsidRPr="003F7D60">
        <w:rPr>
          <w:rFonts w:ascii="Arial" w:eastAsia="Times New Roman" w:hAnsi="Arial" w:cs="Arial"/>
          <w:b/>
          <w:bCs/>
          <w:color w:val="000000"/>
        </w:rPr>
        <w:lastRenderedPageBreak/>
        <w:t>MNB azonosító</w:t>
      </w:r>
      <w:r>
        <w:rPr>
          <w:rFonts w:ascii="Arial" w:eastAsia="Times New Roman" w:hAnsi="Arial" w:cs="Arial"/>
          <w:b/>
          <w:bCs/>
          <w:color w:val="000000"/>
        </w:rPr>
        <w:t xml:space="preserve"> kód</w:t>
      </w:r>
      <w:r w:rsidRPr="003F7D60">
        <w:rPr>
          <w:rFonts w:ascii="Arial" w:eastAsia="Times New Roman" w:hAnsi="Arial" w:cs="Arial"/>
          <w:b/>
          <w:bCs/>
          <w:color w:val="000000"/>
        </w:rPr>
        <w:t>: L7</w:t>
      </w:r>
      <w:r>
        <w:rPr>
          <w:rFonts w:ascii="Arial" w:eastAsia="Times New Roman" w:hAnsi="Arial" w:cs="Arial"/>
          <w:b/>
          <w:bCs/>
          <w:color w:val="000000"/>
        </w:rPr>
        <w:t>2</w:t>
      </w:r>
    </w:p>
    <w:p w14:paraId="73D1FEEC" w14:textId="77777777" w:rsidR="0070681E" w:rsidRPr="003F7D60" w:rsidRDefault="0070681E" w:rsidP="0070681E">
      <w:pPr>
        <w:autoSpaceDE w:val="0"/>
        <w:autoSpaceDN w:val="0"/>
        <w:adjustRightInd w:val="0"/>
        <w:spacing w:after="0"/>
        <w:rPr>
          <w:rFonts w:ascii="Arial" w:eastAsia="Times New Roman" w:hAnsi="Arial" w:cs="Arial"/>
          <w:b/>
          <w:bCs/>
          <w:color w:val="000000"/>
        </w:rPr>
      </w:pPr>
    </w:p>
    <w:p w14:paraId="5A2DA56F" w14:textId="77777777" w:rsidR="0070681E" w:rsidRPr="003F7D60" w:rsidRDefault="0070681E" w:rsidP="0070681E">
      <w:pPr>
        <w:autoSpaceDE w:val="0"/>
        <w:autoSpaceDN w:val="0"/>
        <w:adjustRightInd w:val="0"/>
        <w:spacing w:after="0"/>
        <w:jc w:val="center"/>
        <w:rPr>
          <w:rFonts w:ascii="Arial" w:eastAsia="Times New Roman" w:hAnsi="Arial" w:cs="Arial"/>
          <w:b/>
          <w:bCs/>
          <w:color w:val="000000"/>
        </w:rPr>
      </w:pPr>
      <w:r w:rsidRPr="003F7D60">
        <w:rPr>
          <w:rFonts w:ascii="Arial" w:eastAsia="Times New Roman" w:hAnsi="Arial" w:cs="Arial"/>
          <w:b/>
          <w:bCs/>
          <w:color w:val="000000"/>
        </w:rPr>
        <w:t>Kitöltési előírások</w:t>
      </w:r>
    </w:p>
    <w:p w14:paraId="24307D5A" w14:textId="77777777" w:rsidR="0070681E" w:rsidRPr="003F7D60" w:rsidRDefault="0070681E" w:rsidP="0070681E">
      <w:pPr>
        <w:jc w:val="center"/>
        <w:rPr>
          <w:rFonts w:ascii="Arial" w:eastAsia="Times New Roman" w:hAnsi="Arial" w:cs="Arial"/>
          <w:b/>
          <w:bCs/>
          <w:color w:val="000000"/>
        </w:rPr>
      </w:pPr>
      <w:r w:rsidRPr="003F7D60">
        <w:rPr>
          <w:rFonts w:ascii="Arial" w:eastAsia="Times New Roman" w:hAnsi="Arial" w:cs="Arial"/>
          <w:b/>
          <w:bCs/>
          <w:color w:val="000000"/>
        </w:rPr>
        <w:t>Negyedéves jelentés a jelzáloghitel</w:t>
      </w:r>
      <w:r>
        <w:rPr>
          <w:rFonts w:ascii="Arial" w:eastAsia="Times New Roman" w:hAnsi="Arial" w:cs="Arial"/>
          <w:b/>
          <w:bCs/>
          <w:color w:val="000000"/>
        </w:rPr>
        <w:t>-</w:t>
      </w:r>
      <w:r w:rsidRPr="003F7D60">
        <w:rPr>
          <w:rFonts w:ascii="Arial" w:eastAsia="Times New Roman" w:hAnsi="Arial" w:cs="Arial"/>
          <w:b/>
          <w:bCs/>
          <w:color w:val="000000"/>
        </w:rPr>
        <w:t>finanszírozás</w:t>
      </w:r>
      <w:r>
        <w:rPr>
          <w:rFonts w:ascii="Arial" w:eastAsia="Times New Roman" w:hAnsi="Arial" w:cs="Arial"/>
          <w:b/>
          <w:bCs/>
          <w:color w:val="000000"/>
        </w:rPr>
        <w:t xml:space="preserve"> </w:t>
      </w:r>
      <w:r w:rsidRPr="003F7D60">
        <w:rPr>
          <w:rFonts w:ascii="Arial" w:eastAsia="Times New Roman" w:hAnsi="Arial" w:cs="Arial"/>
          <w:b/>
          <w:bCs/>
          <w:color w:val="000000"/>
        </w:rPr>
        <w:t>megfelelési mutatóról</w:t>
      </w:r>
    </w:p>
    <w:p w14:paraId="734599FE" w14:textId="77777777" w:rsidR="0070681E" w:rsidRPr="003F7D60" w:rsidRDefault="0070681E" w:rsidP="0070681E">
      <w:pPr>
        <w:jc w:val="center"/>
        <w:rPr>
          <w:rFonts w:ascii="Arial" w:hAnsi="Arial" w:cs="Arial"/>
          <w:b/>
          <w:color w:val="000000"/>
          <w:u w:val="single"/>
        </w:rPr>
      </w:pPr>
    </w:p>
    <w:p w14:paraId="50319D3C" w14:textId="77777777" w:rsidR="0070681E" w:rsidRPr="003F7D60" w:rsidRDefault="0070681E" w:rsidP="0070681E">
      <w:pPr>
        <w:rPr>
          <w:rFonts w:ascii="Arial" w:hAnsi="Arial" w:cs="Arial"/>
          <w:b/>
          <w:bCs/>
          <w:color w:val="000000"/>
        </w:rPr>
      </w:pPr>
      <w:r w:rsidRPr="003F7D60">
        <w:rPr>
          <w:rFonts w:ascii="Arial" w:hAnsi="Arial" w:cs="Arial"/>
          <w:b/>
          <w:bCs/>
          <w:color w:val="000000"/>
        </w:rPr>
        <w:t>I. Általános előírások</w:t>
      </w:r>
      <w:r>
        <w:rPr>
          <w:rFonts w:ascii="Arial" w:hAnsi="Arial" w:cs="Arial"/>
          <w:b/>
          <w:bCs/>
          <w:color w:val="000000"/>
        </w:rPr>
        <w:t xml:space="preserve"> </w:t>
      </w:r>
    </w:p>
    <w:p w14:paraId="1A69D94C" w14:textId="77777777" w:rsidR="0070681E" w:rsidRPr="003F7D60" w:rsidRDefault="0070681E" w:rsidP="0070681E">
      <w:pPr>
        <w:rPr>
          <w:rFonts w:ascii="Arial" w:hAnsi="Arial" w:cs="Arial"/>
          <w:color w:val="000000"/>
        </w:rPr>
      </w:pPr>
      <w:r w:rsidRPr="003F7D60">
        <w:rPr>
          <w:rFonts w:ascii="Arial" w:hAnsi="Arial" w:cs="Arial"/>
          <w:color w:val="000000"/>
        </w:rPr>
        <w:t>1. A tábla kitöltése során a hitelintézetek forint lejárati összhangjának szabályozásáról szóló 20/2015</w:t>
      </w:r>
      <w:r>
        <w:rPr>
          <w:rFonts w:ascii="Arial" w:hAnsi="Arial" w:cs="Arial"/>
          <w:color w:val="000000"/>
        </w:rPr>
        <w:t>.</w:t>
      </w:r>
      <w:r w:rsidRPr="003F7D60">
        <w:rPr>
          <w:rFonts w:ascii="Arial" w:hAnsi="Arial" w:cs="Arial"/>
          <w:color w:val="000000"/>
        </w:rPr>
        <w:t xml:space="preserve"> (VI. 29.) MNB rendeletben (a továbbiakban: </w:t>
      </w:r>
      <w:proofErr w:type="spellStart"/>
      <w:r w:rsidRPr="003F7D60">
        <w:rPr>
          <w:rFonts w:ascii="Arial" w:hAnsi="Arial" w:cs="Arial"/>
          <w:color w:val="000000"/>
        </w:rPr>
        <w:t>Jmmr</w:t>
      </w:r>
      <w:proofErr w:type="spellEnd"/>
      <w:r w:rsidRPr="003F7D60">
        <w:rPr>
          <w:rFonts w:ascii="Arial" w:hAnsi="Arial" w:cs="Arial"/>
          <w:color w:val="000000"/>
        </w:rPr>
        <w:t xml:space="preserve">.) foglaltak az </w:t>
      </w:r>
      <w:proofErr w:type="spellStart"/>
      <w:r w:rsidRPr="003F7D60">
        <w:rPr>
          <w:rFonts w:ascii="Arial" w:hAnsi="Arial" w:cs="Arial"/>
          <w:color w:val="000000"/>
        </w:rPr>
        <w:t>irányadóak</w:t>
      </w:r>
      <w:proofErr w:type="spellEnd"/>
      <w:r w:rsidRPr="003F7D60">
        <w:rPr>
          <w:rFonts w:ascii="Arial" w:hAnsi="Arial" w:cs="Arial"/>
          <w:color w:val="000000"/>
        </w:rPr>
        <w:t>, a</w:t>
      </w:r>
      <w:r>
        <w:rPr>
          <w:rFonts w:ascii="Arial" w:hAnsi="Arial" w:cs="Arial"/>
          <w:color w:val="000000"/>
        </w:rPr>
        <w:t xml:space="preserve"> jelen kitöltési előírások</w:t>
      </w:r>
      <w:r w:rsidRPr="003F7D60">
        <w:rPr>
          <w:rFonts w:ascii="Arial" w:hAnsi="Arial" w:cs="Arial"/>
          <w:color w:val="000000"/>
        </w:rPr>
        <w:t xml:space="preserve"> figyelembevételével.</w:t>
      </w:r>
    </w:p>
    <w:p w14:paraId="69C1EB8F" w14:textId="77777777" w:rsidR="0070681E" w:rsidRPr="003F7D60" w:rsidRDefault="0070681E" w:rsidP="0070681E">
      <w:pPr>
        <w:rPr>
          <w:rFonts w:ascii="Arial" w:hAnsi="Arial" w:cs="Arial"/>
          <w:color w:val="000000"/>
        </w:rPr>
      </w:pPr>
      <w:r w:rsidRPr="00434670">
        <w:rPr>
          <w:rFonts w:ascii="Arial" w:hAnsi="Arial" w:cs="Arial"/>
          <w:color w:val="000000"/>
        </w:rPr>
        <w:t xml:space="preserve">2. A tételeket </w:t>
      </w:r>
      <w:r w:rsidRPr="00434670">
        <w:rPr>
          <w:rFonts w:ascii="Arial" w:hAnsi="Arial" w:cs="Arial"/>
        </w:rPr>
        <w:t xml:space="preserve">az adatszolgáltató által alkalmazott számviteli szabályozás szerint, </w:t>
      </w:r>
      <w:r w:rsidRPr="00434670">
        <w:rPr>
          <w:rFonts w:ascii="Arial" w:hAnsi="Arial" w:cs="Arial"/>
          <w:color w:val="000000"/>
        </w:rPr>
        <w:t>a vonatkozó szerződésekkel összhangban kell jelenteni, könyv szerinti nettó értéken.</w:t>
      </w:r>
    </w:p>
    <w:p w14:paraId="4F76BA92" w14:textId="77777777" w:rsidR="0070681E" w:rsidRPr="003F7D60" w:rsidRDefault="0070681E" w:rsidP="0070681E">
      <w:pPr>
        <w:rPr>
          <w:rFonts w:ascii="Arial" w:hAnsi="Arial" w:cs="Arial"/>
          <w:color w:val="000000"/>
        </w:rPr>
      </w:pPr>
      <w:r w:rsidRPr="003F7D60">
        <w:rPr>
          <w:rFonts w:ascii="Arial" w:hAnsi="Arial" w:cs="Arial"/>
          <w:color w:val="000000"/>
        </w:rPr>
        <w:t>3. Az adatszolgáltatásnak a tárgyidőszak utolsó napjára vonatkozó állományi adatokat kell tartalmaznia.</w:t>
      </w:r>
    </w:p>
    <w:p w14:paraId="18E042EA" w14:textId="77777777" w:rsidR="0070681E" w:rsidRPr="003F7D60" w:rsidRDefault="0070681E" w:rsidP="0070681E">
      <w:pPr>
        <w:rPr>
          <w:rFonts w:ascii="Arial" w:hAnsi="Arial" w:cs="Arial"/>
          <w:color w:val="000000"/>
        </w:rPr>
      </w:pPr>
      <w:r w:rsidRPr="003F7D60">
        <w:rPr>
          <w:rFonts w:ascii="Arial" w:hAnsi="Arial" w:cs="Arial"/>
          <w:color w:val="000000"/>
        </w:rPr>
        <w:t xml:space="preserve">4. A forintra történő átszámítást a tárgyidőszak utolsó napján érvényes, az MNB által közzétett hivatalos devizaárfolyamon, illetve az MNB által nem jegyzett deviza esetében a </w:t>
      </w:r>
      <w:proofErr w:type="spellStart"/>
      <w:r>
        <w:rPr>
          <w:rFonts w:ascii="Arial" w:hAnsi="Arial" w:cs="Arial"/>
        </w:rPr>
        <w:t>Hitkr</w:t>
      </w:r>
      <w:proofErr w:type="spellEnd"/>
      <w:r>
        <w:rPr>
          <w:rFonts w:ascii="Arial" w:hAnsi="Arial" w:cs="Arial"/>
        </w:rPr>
        <w:t xml:space="preserve">. 9. § (5) bekezdése </w:t>
      </w:r>
      <w:r>
        <w:rPr>
          <w:rFonts w:ascii="Arial" w:hAnsi="Arial" w:cs="Arial"/>
          <w:color w:val="000000"/>
        </w:rPr>
        <w:t>szerint</w:t>
      </w:r>
      <w:r w:rsidRPr="003F7D60">
        <w:rPr>
          <w:rFonts w:ascii="Arial" w:hAnsi="Arial" w:cs="Arial"/>
          <w:color w:val="000000"/>
        </w:rPr>
        <w:t xml:space="preserve"> kell elvégezni.</w:t>
      </w:r>
    </w:p>
    <w:p w14:paraId="6E73D69C" w14:textId="77777777" w:rsidR="0070681E" w:rsidRPr="003F7D60" w:rsidRDefault="0070681E" w:rsidP="0070681E">
      <w:pPr>
        <w:rPr>
          <w:rFonts w:ascii="Arial" w:hAnsi="Arial" w:cs="Arial"/>
        </w:rPr>
      </w:pPr>
      <w:r w:rsidRPr="003F7D60">
        <w:rPr>
          <w:rFonts w:ascii="Arial" w:hAnsi="Arial" w:cs="Arial"/>
          <w:color w:val="000000"/>
        </w:rPr>
        <w:t xml:space="preserve">5. Az eredeti futamidő </w:t>
      </w:r>
      <w:r w:rsidRPr="003F7D60">
        <w:rPr>
          <w:rFonts w:ascii="Arial" w:hAnsi="Arial" w:cs="Arial"/>
        </w:rPr>
        <w:t>az adott forrásra vonatkozóan a jelzáloglevél vagy fedezett értékpapír kibocsátásakor, az önálló zálogjog eladásakor vagy a refinanszírozási jelzáloghitel felvételekor fennálló futamidő.</w:t>
      </w:r>
    </w:p>
    <w:p w14:paraId="6CFD0313" w14:textId="77777777" w:rsidR="0070681E" w:rsidRDefault="0070681E" w:rsidP="0070681E">
      <w:pPr>
        <w:rPr>
          <w:rFonts w:ascii="Arial" w:hAnsi="Arial" w:cs="Arial"/>
          <w:color w:val="000000"/>
        </w:rPr>
      </w:pPr>
      <w:r w:rsidRPr="003F7D60">
        <w:rPr>
          <w:rFonts w:ascii="Arial" w:hAnsi="Arial" w:cs="Arial"/>
        </w:rPr>
        <w:t>6.</w:t>
      </w:r>
      <w:r w:rsidRPr="003F7D60">
        <w:rPr>
          <w:rFonts w:ascii="Arial" w:hAnsi="Arial" w:cs="Arial"/>
          <w:color w:val="000000"/>
        </w:rPr>
        <w:t xml:space="preserve"> Az adatokat millió forintban, kerekítve kell megadni.</w:t>
      </w:r>
    </w:p>
    <w:p w14:paraId="416BD907" w14:textId="77777777" w:rsidR="0070681E" w:rsidRPr="003F7D60" w:rsidRDefault="0070681E" w:rsidP="0070681E">
      <w:pPr>
        <w:rPr>
          <w:rFonts w:ascii="Arial" w:hAnsi="Arial" w:cs="Arial"/>
          <w:color w:val="000000"/>
        </w:rPr>
      </w:pPr>
    </w:p>
    <w:p w14:paraId="6171B563" w14:textId="77777777" w:rsidR="0070681E" w:rsidRPr="003F7D60" w:rsidRDefault="0070681E" w:rsidP="0070681E">
      <w:pPr>
        <w:rPr>
          <w:rFonts w:ascii="Arial" w:hAnsi="Arial" w:cs="Arial"/>
          <w:b/>
          <w:color w:val="000000"/>
          <w:u w:val="single"/>
        </w:rPr>
      </w:pPr>
      <w:r w:rsidRPr="003F7D60">
        <w:rPr>
          <w:rFonts w:ascii="Arial" w:hAnsi="Arial" w:cs="Arial"/>
          <w:b/>
          <w:bCs/>
          <w:color w:val="000000"/>
        </w:rPr>
        <w:t>II. A táblák kitöltésével kapcsolatos részletes előírások</w:t>
      </w:r>
    </w:p>
    <w:p w14:paraId="62487A9E" w14:textId="77777777" w:rsidR="0070681E" w:rsidRPr="003F7D60" w:rsidRDefault="0070681E" w:rsidP="0070681E">
      <w:pPr>
        <w:rPr>
          <w:rFonts w:ascii="Arial" w:hAnsi="Arial" w:cs="Arial"/>
          <w:b/>
          <w:color w:val="000000"/>
          <w:u w:val="single"/>
        </w:rPr>
      </w:pPr>
      <w:proofErr w:type="spellStart"/>
      <w:r w:rsidRPr="003F7D60">
        <w:rPr>
          <w:rFonts w:ascii="Arial" w:hAnsi="Arial" w:cs="Arial"/>
          <w:b/>
          <w:bCs/>
          <w:color w:val="000000"/>
        </w:rPr>
        <w:t>JMM</w:t>
      </w:r>
      <w:proofErr w:type="spellEnd"/>
      <w:r w:rsidRPr="003F7D60">
        <w:rPr>
          <w:rFonts w:ascii="Arial" w:hAnsi="Arial" w:cs="Arial"/>
          <w:b/>
          <w:bCs/>
          <w:color w:val="000000"/>
        </w:rPr>
        <w:t xml:space="preserve"> tábla: Negyedéves jelentés a jelzáloghitel-finanszírozás megfelelési mutatóról</w:t>
      </w:r>
    </w:p>
    <w:p w14:paraId="1194EF92" w14:textId="77777777" w:rsidR="0070681E" w:rsidRDefault="0070681E" w:rsidP="0070681E">
      <w:pPr>
        <w:rPr>
          <w:rFonts w:ascii="Arial" w:hAnsi="Arial" w:cs="Arial"/>
          <w:color w:val="000000"/>
        </w:rPr>
      </w:pPr>
      <w:r w:rsidRPr="003F7D60">
        <w:rPr>
          <w:rFonts w:ascii="Arial" w:hAnsi="Arial" w:cs="Arial"/>
          <w:color w:val="000000"/>
        </w:rPr>
        <w:t xml:space="preserve">1. </w:t>
      </w:r>
      <w:r>
        <w:rPr>
          <w:rFonts w:ascii="Arial" w:hAnsi="Arial" w:cs="Arial"/>
          <w:color w:val="000000"/>
        </w:rPr>
        <w:t xml:space="preserve">A táblát a </w:t>
      </w:r>
      <w:proofErr w:type="spellStart"/>
      <w:r>
        <w:rPr>
          <w:rFonts w:ascii="Arial" w:hAnsi="Arial" w:cs="Arial"/>
          <w:color w:val="000000"/>
        </w:rPr>
        <w:t>Jmmr</w:t>
      </w:r>
      <w:proofErr w:type="spellEnd"/>
      <w:r>
        <w:rPr>
          <w:rFonts w:ascii="Arial" w:hAnsi="Arial" w:cs="Arial"/>
          <w:color w:val="000000"/>
        </w:rPr>
        <w:t>. 1. § (1) bekezdése szerinti</w:t>
      </w:r>
      <w:r w:rsidRPr="003F7D60">
        <w:rPr>
          <w:rFonts w:ascii="Arial" w:hAnsi="Arial" w:cs="Arial"/>
          <w:color w:val="000000"/>
        </w:rPr>
        <w:t xml:space="preserve"> hitelintézeti csoport</w:t>
      </w:r>
      <w:r>
        <w:rPr>
          <w:rFonts w:ascii="Arial" w:hAnsi="Arial" w:cs="Arial"/>
          <w:color w:val="000000"/>
        </w:rPr>
        <w:t xml:space="preserve"> (a továbbiakban: hitelintézeti csoport)</w:t>
      </w:r>
      <w:r w:rsidRPr="003F7D60">
        <w:rPr>
          <w:rFonts w:ascii="Arial" w:hAnsi="Arial" w:cs="Arial"/>
          <w:color w:val="000000"/>
        </w:rPr>
        <w:t xml:space="preserve"> </w:t>
      </w:r>
      <w:r>
        <w:rPr>
          <w:rFonts w:ascii="Arial" w:hAnsi="Arial" w:cs="Arial"/>
          <w:color w:val="000000"/>
        </w:rPr>
        <w:t>tagjának</w:t>
      </w:r>
      <w:r w:rsidRPr="003F7D60">
        <w:rPr>
          <w:rFonts w:ascii="Arial" w:hAnsi="Arial" w:cs="Arial"/>
          <w:color w:val="000000"/>
        </w:rPr>
        <w:t xml:space="preserve"> </w:t>
      </w:r>
      <w:r>
        <w:rPr>
          <w:rFonts w:ascii="Arial" w:hAnsi="Arial" w:cs="Arial"/>
          <w:color w:val="000000"/>
        </w:rPr>
        <w:t>nem kell kitöltenie.</w:t>
      </w:r>
    </w:p>
    <w:p w14:paraId="19B7644C" w14:textId="77777777" w:rsidR="0070681E" w:rsidRDefault="0070681E" w:rsidP="0070681E">
      <w:pPr>
        <w:rPr>
          <w:rFonts w:ascii="Arial" w:hAnsi="Arial" w:cs="Arial"/>
          <w:color w:val="000000"/>
        </w:rPr>
      </w:pPr>
      <w:r>
        <w:rPr>
          <w:rFonts w:ascii="Arial" w:hAnsi="Arial" w:cs="Arial"/>
          <w:color w:val="000000"/>
        </w:rPr>
        <w:t xml:space="preserve">2. </w:t>
      </w:r>
      <w:r w:rsidRPr="003F7D60">
        <w:rPr>
          <w:rFonts w:ascii="Arial" w:hAnsi="Arial" w:cs="Arial"/>
          <w:color w:val="000000"/>
        </w:rPr>
        <w:t>A tábla egyes sorainak kitöltésére vonatkozó előírások:</w:t>
      </w:r>
    </w:p>
    <w:p w14:paraId="2B8F6A30" w14:textId="691C026E" w:rsidR="0070681E" w:rsidRPr="003F7D60" w:rsidRDefault="0070681E" w:rsidP="0070681E">
      <w:pPr>
        <w:rPr>
          <w:rFonts w:ascii="Arial" w:hAnsi="Arial" w:cs="Arial"/>
          <w:color w:val="000000"/>
        </w:rPr>
      </w:pPr>
      <w:r w:rsidRPr="00EF78C6">
        <w:rPr>
          <w:rFonts w:ascii="Arial" w:hAnsi="Arial"/>
          <w:b/>
          <w:color w:val="000000"/>
        </w:rPr>
        <w:t>003</w:t>
      </w:r>
      <w:r w:rsidR="000F5F54">
        <w:rPr>
          <w:rFonts w:ascii="Arial" w:hAnsi="Arial"/>
          <w:b/>
          <w:color w:val="000000"/>
        </w:rPr>
        <w:t>.</w:t>
      </w:r>
      <w:r w:rsidRPr="00CE3105">
        <w:rPr>
          <w:rFonts w:ascii="Arial" w:hAnsi="Arial" w:cs="Arial"/>
          <w:b/>
          <w:color w:val="000000"/>
        </w:rPr>
        <w:t xml:space="preserve"> sor: </w:t>
      </w:r>
      <w:r w:rsidRPr="003F7D60">
        <w:rPr>
          <w:rFonts w:ascii="Arial" w:hAnsi="Arial" w:cs="Arial"/>
          <w:color w:val="000000"/>
        </w:rPr>
        <w:t>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kibocsátott, a jelzálog-hitelintézetről és a jelzáloglevélről szóló 1997. évi XXX. törvény (a továbbiakban: </w:t>
      </w:r>
      <w:proofErr w:type="spellStart"/>
      <w:r w:rsidRPr="003F7D60">
        <w:rPr>
          <w:rFonts w:ascii="Arial" w:hAnsi="Arial" w:cs="Arial"/>
          <w:color w:val="000000"/>
        </w:rPr>
        <w:t>Jht</w:t>
      </w:r>
      <w:proofErr w:type="spellEnd"/>
      <w:r w:rsidRPr="003F7D60">
        <w:rPr>
          <w:rFonts w:ascii="Arial" w:hAnsi="Arial" w:cs="Arial"/>
          <w:color w:val="000000"/>
        </w:rPr>
        <w:t>.) 11. §-a szerinti</w:t>
      </w:r>
      <w:r>
        <w:rPr>
          <w:rFonts w:ascii="Arial" w:hAnsi="Arial" w:cs="Arial"/>
          <w:color w:val="000000"/>
        </w:rPr>
        <w:t>,</w:t>
      </w:r>
      <w:r w:rsidRPr="003F7D60">
        <w:rPr>
          <w:rFonts w:ascii="Arial" w:hAnsi="Arial" w:cs="Arial"/>
          <w:color w:val="000000"/>
        </w:rPr>
        <w:t xml:space="preserve"> nem </w:t>
      </w:r>
      <w:r>
        <w:rPr>
          <w:rFonts w:ascii="Arial" w:hAnsi="Arial" w:cs="Arial"/>
          <w:color w:val="000000"/>
        </w:rPr>
        <w:t xml:space="preserve">a hitelintézet, illetve hitelintézeti csoport esetén nem </w:t>
      </w:r>
      <w:r w:rsidRPr="003F7D60">
        <w:rPr>
          <w:rFonts w:ascii="Arial" w:hAnsi="Arial" w:cs="Arial"/>
          <w:color w:val="000000"/>
        </w:rPr>
        <w:t>ugyanazon hitelintézeti csoport</w:t>
      </w:r>
      <w:r>
        <w:rPr>
          <w:rFonts w:ascii="Arial" w:hAnsi="Arial" w:cs="Arial"/>
          <w:color w:val="000000"/>
        </w:rPr>
        <w:t xml:space="preserve"> tagjának</w:t>
      </w:r>
      <w:r w:rsidRPr="003F7D60">
        <w:rPr>
          <w:rFonts w:ascii="Arial" w:hAnsi="Arial" w:cs="Arial"/>
          <w:color w:val="000000"/>
        </w:rPr>
        <w:t xml:space="preserve"> mérlegében</w:t>
      </w:r>
      <w:r>
        <w:rPr>
          <w:rFonts w:ascii="Arial" w:hAnsi="Arial" w:cs="Arial"/>
          <w:color w:val="000000"/>
        </w:rPr>
        <w:t xml:space="preserve"> nyilvántartott, 3</w:t>
      </w:r>
      <w:r w:rsidRPr="003F7D60">
        <w:rPr>
          <w:rFonts w:ascii="Arial" w:hAnsi="Arial" w:cs="Arial"/>
          <w:color w:val="000000"/>
        </w:rPr>
        <w:t xml:space="preserve"> éven túli</w:t>
      </w:r>
      <w:r>
        <w:rPr>
          <w:rFonts w:ascii="Arial" w:hAnsi="Arial" w:cs="Arial"/>
          <w:color w:val="000000"/>
        </w:rPr>
        <w:t xml:space="preserve"> eredeti futamidejű</w:t>
      </w:r>
      <w:r w:rsidRPr="003F7D60">
        <w:rPr>
          <w:rFonts w:ascii="Arial" w:hAnsi="Arial" w:cs="Arial"/>
          <w:color w:val="000000"/>
        </w:rPr>
        <w:t xml:space="preserve"> forint értékpapírokat,</w:t>
      </w:r>
      <w:r>
        <w:rPr>
          <w:rFonts w:ascii="Arial" w:hAnsi="Arial" w:cs="Arial"/>
          <w:color w:val="000000"/>
        </w:rPr>
        <w:t xml:space="preserve"> 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w:t>
      </w:r>
    </w:p>
    <w:p w14:paraId="37E97E37" w14:textId="72961BC9" w:rsidR="0070681E" w:rsidRPr="003F7D60" w:rsidRDefault="0070681E" w:rsidP="0070681E">
      <w:pPr>
        <w:rPr>
          <w:rFonts w:ascii="Arial" w:hAnsi="Arial" w:cs="Arial"/>
          <w:color w:val="000000"/>
        </w:rPr>
      </w:pPr>
      <w:r w:rsidRPr="00356DAB">
        <w:rPr>
          <w:rFonts w:ascii="Arial" w:hAnsi="Arial" w:cs="Arial"/>
          <w:b/>
          <w:color w:val="000000"/>
        </w:rPr>
        <w:t>004</w:t>
      </w:r>
      <w:r w:rsidR="000F5F54">
        <w:rPr>
          <w:rFonts w:ascii="Arial" w:hAnsi="Arial" w:cs="Arial"/>
          <w:b/>
          <w:color w:val="000000"/>
        </w:rPr>
        <w:t>.</w:t>
      </w:r>
      <w:r w:rsidRPr="00CE3105">
        <w:rPr>
          <w:rFonts w:ascii="Arial" w:hAnsi="Arial" w:cs="Arial"/>
          <w:b/>
          <w:color w:val="000000"/>
        </w:rPr>
        <w:t xml:space="preserve"> sor: </w:t>
      </w:r>
      <w:r w:rsidRPr="003F7D60">
        <w:rPr>
          <w:rFonts w:ascii="Arial" w:hAnsi="Arial" w:cs="Arial"/>
          <w:color w:val="000000"/>
        </w:rPr>
        <w:t>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lakossági jelzáloghitelek fedezete mellett, a </w:t>
      </w:r>
      <w:proofErr w:type="spellStart"/>
      <w:r w:rsidRPr="003F7D60">
        <w:rPr>
          <w:rFonts w:ascii="Arial" w:hAnsi="Arial" w:cs="Arial"/>
          <w:color w:val="000000"/>
        </w:rPr>
        <w:t>CRR</w:t>
      </w:r>
      <w:proofErr w:type="spellEnd"/>
      <w:r w:rsidRPr="003F7D60">
        <w:rPr>
          <w:rFonts w:ascii="Arial" w:hAnsi="Arial" w:cs="Arial"/>
          <w:color w:val="000000"/>
        </w:rPr>
        <w:t xml:space="preserve"> 129. cikk</w:t>
      </w:r>
      <w:r>
        <w:rPr>
          <w:rFonts w:ascii="Arial" w:hAnsi="Arial" w:cs="Arial"/>
          <w:color w:val="000000"/>
        </w:rPr>
        <w:t xml:space="preserve"> (1) bekezdésének megfelelő,</w:t>
      </w:r>
      <w:r w:rsidRPr="003F7D60">
        <w:rPr>
          <w:rFonts w:ascii="Arial" w:hAnsi="Arial" w:cs="Arial"/>
          <w:color w:val="000000"/>
        </w:rPr>
        <w:t xml:space="preserve"> nem </w:t>
      </w:r>
      <w:r>
        <w:rPr>
          <w:rFonts w:ascii="Arial" w:hAnsi="Arial" w:cs="Arial"/>
          <w:color w:val="000000"/>
        </w:rPr>
        <w:t xml:space="preserve">a hitelintézet, illetve hitelintézeti csoport esetén nem </w:t>
      </w:r>
      <w:r w:rsidRPr="003F7D60">
        <w:rPr>
          <w:rFonts w:ascii="Arial" w:hAnsi="Arial" w:cs="Arial"/>
          <w:color w:val="000000"/>
        </w:rPr>
        <w:t>ugyanazon hitelintézeti csoport</w:t>
      </w:r>
      <w:r>
        <w:rPr>
          <w:rFonts w:ascii="Arial" w:hAnsi="Arial" w:cs="Arial"/>
          <w:color w:val="000000"/>
        </w:rPr>
        <w:t xml:space="preserve"> tagjának</w:t>
      </w:r>
      <w:r w:rsidRPr="003F7D60">
        <w:rPr>
          <w:rFonts w:ascii="Arial" w:hAnsi="Arial" w:cs="Arial"/>
          <w:color w:val="000000"/>
        </w:rPr>
        <w:t xml:space="preserve"> mérlegében</w:t>
      </w:r>
      <w:r>
        <w:rPr>
          <w:rFonts w:ascii="Arial" w:hAnsi="Arial" w:cs="Arial"/>
          <w:color w:val="000000"/>
        </w:rPr>
        <w:t xml:space="preserve"> nyilvántartott, 3</w:t>
      </w:r>
      <w:r w:rsidRPr="003F7D60">
        <w:rPr>
          <w:rFonts w:ascii="Arial" w:hAnsi="Arial" w:cs="Arial"/>
          <w:color w:val="000000"/>
        </w:rPr>
        <w:t xml:space="preserve"> éven túli</w:t>
      </w:r>
      <w:r>
        <w:rPr>
          <w:rFonts w:ascii="Arial" w:hAnsi="Arial" w:cs="Arial"/>
          <w:color w:val="000000"/>
        </w:rPr>
        <w:t xml:space="preserve"> eredeti futamidejű</w:t>
      </w:r>
      <w:r w:rsidRPr="003F7D60">
        <w:rPr>
          <w:rFonts w:ascii="Arial" w:hAnsi="Arial" w:cs="Arial"/>
          <w:color w:val="000000"/>
        </w:rPr>
        <w:t xml:space="preserve"> forint értékpapírokat, </w:t>
      </w:r>
      <w:r>
        <w:rPr>
          <w:rFonts w:ascii="Arial" w:hAnsi="Arial" w:cs="Arial"/>
          <w:color w:val="000000"/>
        </w:rPr>
        <w:t xml:space="preserve">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w:t>
      </w:r>
    </w:p>
    <w:p w14:paraId="139BE876" w14:textId="03B4E875" w:rsidR="0070681E" w:rsidRPr="003F7D60" w:rsidRDefault="0070681E" w:rsidP="0070681E">
      <w:pPr>
        <w:rPr>
          <w:rFonts w:ascii="Arial" w:hAnsi="Arial" w:cs="Arial"/>
          <w:color w:val="000000"/>
        </w:rPr>
      </w:pPr>
      <w:r w:rsidRPr="00356DAB">
        <w:rPr>
          <w:rFonts w:ascii="Arial" w:hAnsi="Arial" w:cs="Arial"/>
          <w:b/>
          <w:color w:val="000000"/>
        </w:rPr>
        <w:t>005</w:t>
      </w:r>
      <w:r w:rsidR="000F5F54">
        <w:rPr>
          <w:rFonts w:ascii="Arial" w:hAnsi="Arial" w:cs="Arial"/>
          <w:b/>
          <w:color w:val="000000"/>
        </w:rPr>
        <w:t>.</w:t>
      </w:r>
      <w:r w:rsidRPr="00CE3105">
        <w:rPr>
          <w:rFonts w:ascii="Arial" w:hAnsi="Arial" w:cs="Arial"/>
          <w:b/>
          <w:color w:val="000000"/>
        </w:rPr>
        <w:t xml:space="preserve"> sor: </w:t>
      </w:r>
      <w:r w:rsidRPr="003F7D60">
        <w:rPr>
          <w:rFonts w:ascii="Arial" w:hAnsi="Arial" w:cs="Arial"/>
          <w:color w:val="000000"/>
        </w:rPr>
        <w:t xml:space="preserve">itt kell jelenteni a </w:t>
      </w:r>
      <w:proofErr w:type="spellStart"/>
      <w:r w:rsidRPr="003F7D60">
        <w:rPr>
          <w:rFonts w:ascii="Arial" w:hAnsi="Arial" w:cs="Arial"/>
          <w:color w:val="000000"/>
        </w:rPr>
        <w:t>Jht</w:t>
      </w:r>
      <w:proofErr w:type="spellEnd"/>
      <w:r w:rsidRPr="003F7D60">
        <w:rPr>
          <w:rFonts w:ascii="Arial" w:hAnsi="Arial" w:cs="Arial"/>
          <w:color w:val="000000"/>
        </w:rPr>
        <w:t>. 5. § (1) bekezdése szerinti, kapott forint pénzkölcsönök</w:t>
      </w:r>
      <w:r>
        <w:rPr>
          <w:rFonts w:ascii="Arial" w:hAnsi="Arial" w:cs="Arial"/>
          <w:color w:val="000000"/>
        </w:rPr>
        <w:t>et</w:t>
      </w:r>
      <w:r w:rsidRPr="003F7D60">
        <w:rPr>
          <w:rFonts w:ascii="Arial" w:hAnsi="Arial" w:cs="Arial"/>
          <w:color w:val="000000"/>
        </w:rPr>
        <w:t xml:space="preserve">, amennyiben azok eredeti futamideje </w:t>
      </w:r>
      <w:r>
        <w:rPr>
          <w:rFonts w:ascii="Arial" w:hAnsi="Arial" w:cs="Arial"/>
          <w:color w:val="000000"/>
        </w:rPr>
        <w:t>3</w:t>
      </w:r>
      <w:r w:rsidRPr="003F7D60">
        <w:rPr>
          <w:rFonts w:ascii="Arial" w:hAnsi="Arial" w:cs="Arial"/>
          <w:color w:val="000000"/>
        </w:rPr>
        <w:t xml:space="preserve"> éven túli, és a pénzkölcsön</w:t>
      </w:r>
      <w:r>
        <w:rPr>
          <w:rFonts w:ascii="Arial" w:hAnsi="Arial" w:cs="Arial"/>
          <w:color w:val="000000"/>
        </w:rPr>
        <w:t>t</w:t>
      </w:r>
      <w:r w:rsidRPr="003F7D60">
        <w:rPr>
          <w:rFonts w:ascii="Arial" w:hAnsi="Arial" w:cs="Arial"/>
          <w:color w:val="000000"/>
        </w:rPr>
        <w:t xml:space="preserve"> nem ugyanazon hitelintézeti csoport</w:t>
      </w:r>
      <w:r>
        <w:rPr>
          <w:rFonts w:ascii="Arial" w:hAnsi="Arial" w:cs="Arial"/>
          <w:color w:val="000000"/>
        </w:rPr>
        <w:t xml:space="preserve"> tagja</w:t>
      </w:r>
      <w:r w:rsidRPr="003F7D60">
        <w:rPr>
          <w:rFonts w:ascii="Arial" w:hAnsi="Arial" w:cs="Arial"/>
          <w:color w:val="000000"/>
        </w:rPr>
        <w:t xml:space="preserve"> </w:t>
      </w:r>
      <w:r>
        <w:rPr>
          <w:rFonts w:ascii="Arial" w:hAnsi="Arial" w:cs="Arial"/>
          <w:color w:val="000000"/>
        </w:rPr>
        <w:t>nyújtotta</w:t>
      </w:r>
      <w:r w:rsidRPr="003F7D60">
        <w:rPr>
          <w:rFonts w:ascii="Arial" w:hAnsi="Arial" w:cs="Arial"/>
          <w:color w:val="000000"/>
        </w:rPr>
        <w:t>.</w:t>
      </w:r>
    </w:p>
    <w:p w14:paraId="5F31C098" w14:textId="4E467C7C" w:rsidR="0070681E" w:rsidRPr="003F7D60" w:rsidRDefault="0070681E" w:rsidP="0070681E">
      <w:pPr>
        <w:pStyle w:val="Listaszerbekezds"/>
        <w:numPr>
          <w:ilvl w:val="0"/>
          <w:numId w:val="0"/>
        </w:numPr>
        <w:contextualSpacing w:val="0"/>
        <w:rPr>
          <w:rFonts w:ascii="Arial" w:hAnsi="Arial" w:cs="Arial"/>
          <w:color w:val="000000"/>
        </w:rPr>
      </w:pPr>
      <w:r w:rsidRPr="00356DAB">
        <w:rPr>
          <w:rFonts w:ascii="Arial" w:hAnsi="Arial" w:cs="Arial"/>
          <w:b/>
          <w:color w:val="000000"/>
        </w:rPr>
        <w:t>006</w:t>
      </w:r>
      <w:r w:rsidR="000F5F54">
        <w:rPr>
          <w:rFonts w:ascii="Arial" w:hAnsi="Arial" w:cs="Arial"/>
          <w:b/>
          <w:color w:val="000000"/>
        </w:rPr>
        <w:t>.</w:t>
      </w:r>
      <w:r w:rsidRPr="00356DAB">
        <w:rPr>
          <w:rFonts w:ascii="Arial" w:hAnsi="Arial" w:cs="Arial"/>
          <w:b/>
          <w:color w:val="000000"/>
        </w:rPr>
        <w:t xml:space="preserve"> </w:t>
      </w:r>
      <w:r w:rsidRPr="00CE3105">
        <w:rPr>
          <w:rFonts w:ascii="Arial" w:hAnsi="Arial" w:cs="Arial"/>
          <w:b/>
          <w:color w:val="000000"/>
        </w:rPr>
        <w:t xml:space="preserve">sor: </w:t>
      </w:r>
      <w:r w:rsidRPr="003F7D60">
        <w:rPr>
          <w:rFonts w:ascii="Arial" w:hAnsi="Arial" w:cs="Arial"/>
          <w:color w:val="000000"/>
        </w:rPr>
        <w:t xml:space="preserve">itt kell jelenteni a </w:t>
      </w:r>
      <w:proofErr w:type="spellStart"/>
      <w:r w:rsidRPr="003F7D60">
        <w:rPr>
          <w:rFonts w:ascii="Arial" w:hAnsi="Arial" w:cs="Arial"/>
          <w:color w:val="000000"/>
        </w:rPr>
        <w:t>Jht</w:t>
      </w:r>
      <w:proofErr w:type="spellEnd"/>
      <w:r w:rsidRPr="003F7D60">
        <w:rPr>
          <w:rFonts w:ascii="Arial" w:hAnsi="Arial" w:cs="Arial"/>
          <w:color w:val="000000"/>
        </w:rPr>
        <w:t>. 8. § (5) bekezdése szerinti forint vételár-tartozások</w:t>
      </w:r>
      <w:r>
        <w:rPr>
          <w:rFonts w:ascii="Arial" w:hAnsi="Arial" w:cs="Arial"/>
          <w:color w:val="000000"/>
        </w:rPr>
        <w:t>at</w:t>
      </w:r>
      <w:r w:rsidRPr="003F7D60">
        <w:rPr>
          <w:rFonts w:ascii="Arial" w:hAnsi="Arial" w:cs="Arial"/>
          <w:color w:val="000000"/>
        </w:rPr>
        <w:t xml:space="preserve">, amennyiben azok eredeti futamideje </w:t>
      </w:r>
      <w:r>
        <w:rPr>
          <w:rFonts w:ascii="Arial" w:hAnsi="Arial" w:cs="Arial"/>
          <w:color w:val="000000"/>
        </w:rPr>
        <w:t>3</w:t>
      </w:r>
      <w:r w:rsidRPr="003F7D60">
        <w:rPr>
          <w:rFonts w:ascii="Arial" w:hAnsi="Arial" w:cs="Arial"/>
          <w:color w:val="000000"/>
        </w:rPr>
        <w:t xml:space="preserve"> éven túli, és az önálló zálogjog</w:t>
      </w:r>
      <w:r>
        <w:rPr>
          <w:rFonts w:ascii="Arial" w:hAnsi="Arial" w:cs="Arial"/>
          <w:color w:val="000000"/>
        </w:rPr>
        <w:t>ot</w:t>
      </w:r>
      <w:r w:rsidRPr="003F7D60">
        <w:rPr>
          <w:rFonts w:ascii="Arial" w:hAnsi="Arial" w:cs="Arial"/>
          <w:color w:val="000000"/>
        </w:rPr>
        <w:t xml:space="preserve"> nem ugyanazon hitelintézeti csoport</w:t>
      </w:r>
      <w:r>
        <w:rPr>
          <w:rFonts w:ascii="Arial" w:hAnsi="Arial" w:cs="Arial"/>
          <w:color w:val="000000"/>
        </w:rPr>
        <w:t xml:space="preserve"> tagja</w:t>
      </w:r>
      <w:r w:rsidRPr="003F7D60">
        <w:rPr>
          <w:rFonts w:ascii="Arial" w:hAnsi="Arial" w:cs="Arial"/>
          <w:color w:val="000000"/>
        </w:rPr>
        <w:t xml:space="preserve"> </w:t>
      </w:r>
      <w:r>
        <w:rPr>
          <w:rFonts w:ascii="Arial" w:hAnsi="Arial" w:cs="Arial"/>
          <w:color w:val="000000"/>
        </w:rPr>
        <w:t>szerezte meg</w:t>
      </w:r>
      <w:r w:rsidRPr="003F7D60">
        <w:rPr>
          <w:rFonts w:ascii="Arial" w:hAnsi="Arial" w:cs="Arial"/>
          <w:color w:val="000000"/>
        </w:rPr>
        <w:t>.</w:t>
      </w:r>
    </w:p>
    <w:p w14:paraId="12B67D3C" w14:textId="012292CB" w:rsidR="0070681E" w:rsidRPr="003F7D60" w:rsidRDefault="0070681E" w:rsidP="0070681E">
      <w:pPr>
        <w:rPr>
          <w:rFonts w:ascii="Arial" w:hAnsi="Arial" w:cs="Arial"/>
          <w:color w:val="000000"/>
        </w:rPr>
      </w:pPr>
      <w:r w:rsidRPr="00356DAB">
        <w:rPr>
          <w:rFonts w:ascii="Arial" w:hAnsi="Arial" w:cs="Arial"/>
          <w:b/>
          <w:color w:val="000000"/>
        </w:rPr>
        <w:t>007</w:t>
      </w:r>
      <w:r w:rsidR="000F5F54">
        <w:rPr>
          <w:rFonts w:ascii="Arial" w:hAnsi="Arial" w:cs="Arial"/>
          <w:b/>
          <w:color w:val="000000"/>
        </w:rPr>
        <w:t>.</w:t>
      </w:r>
      <w:r w:rsidRPr="00356DAB">
        <w:rPr>
          <w:rFonts w:ascii="Arial" w:hAnsi="Arial" w:cs="Arial"/>
          <w:b/>
          <w:color w:val="000000"/>
        </w:rPr>
        <w:t xml:space="preserve"> </w:t>
      </w:r>
      <w:r w:rsidRPr="00CE3105">
        <w:rPr>
          <w:rFonts w:ascii="Arial" w:hAnsi="Arial" w:cs="Arial"/>
          <w:b/>
          <w:color w:val="000000"/>
        </w:rPr>
        <w:t xml:space="preserve">sor: </w:t>
      </w:r>
      <w:r w:rsidRPr="003F7D60">
        <w:rPr>
          <w:rFonts w:ascii="Arial" w:hAnsi="Arial" w:cs="Arial"/>
          <w:color w:val="000000"/>
        </w:rPr>
        <w:t xml:space="preserve">itt kell jelenteni </w:t>
      </w:r>
      <w:r>
        <w:rPr>
          <w:rFonts w:ascii="Arial" w:hAnsi="Arial" w:cs="Arial"/>
          <w:color w:val="000000"/>
        </w:rPr>
        <w:t xml:space="preserve">a </w:t>
      </w:r>
      <w:r w:rsidRPr="003F7D60">
        <w:rPr>
          <w:rFonts w:ascii="Arial" w:hAnsi="Arial" w:cs="Arial"/>
          <w:color w:val="000000"/>
        </w:rPr>
        <w:t>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w:t>
      </w:r>
      <w:r w:rsidRPr="00C733FD">
        <w:rPr>
          <w:rFonts w:ascii="Arial" w:hAnsi="Arial" w:cs="Arial"/>
          <w:color w:val="000000"/>
        </w:rPr>
        <w:t xml:space="preserve">2015. március 31. előtt </w:t>
      </w:r>
      <w:r w:rsidRPr="003F7D60">
        <w:rPr>
          <w:rFonts w:ascii="Arial" w:hAnsi="Arial" w:cs="Arial"/>
          <w:color w:val="000000"/>
        </w:rPr>
        <w:t xml:space="preserve">kibocsátott, </w:t>
      </w:r>
      <w:r>
        <w:rPr>
          <w:rFonts w:ascii="Arial" w:hAnsi="Arial" w:cs="Arial"/>
          <w:color w:val="000000"/>
        </w:rPr>
        <w:t xml:space="preserve">a </w:t>
      </w:r>
      <w:proofErr w:type="spellStart"/>
      <w:r w:rsidRPr="003F7D60">
        <w:rPr>
          <w:rFonts w:ascii="Arial" w:hAnsi="Arial" w:cs="Arial"/>
          <w:color w:val="000000"/>
        </w:rPr>
        <w:t>Jht</w:t>
      </w:r>
      <w:proofErr w:type="spellEnd"/>
      <w:r w:rsidRPr="003F7D60">
        <w:rPr>
          <w:rFonts w:ascii="Arial" w:hAnsi="Arial" w:cs="Arial"/>
          <w:color w:val="000000"/>
        </w:rPr>
        <w:t>. 11. §-a szerinti</w:t>
      </w:r>
      <w:r>
        <w:rPr>
          <w:rFonts w:ascii="Arial" w:hAnsi="Arial" w:cs="Arial"/>
          <w:color w:val="000000"/>
        </w:rPr>
        <w:t>,</w:t>
      </w:r>
      <w:r w:rsidRPr="003F7D60">
        <w:rPr>
          <w:rFonts w:ascii="Arial" w:hAnsi="Arial" w:cs="Arial"/>
          <w:color w:val="000000"/>
        </w:rPr>
        <w:t xml:space="preserve"> </w:t>
      </w:r>
      <w:bookmarkStart w:id="24" w:name="_Hlk3904512"/>
      <w:r w:rsidRPr="00C733FD">
        <w:rPr>
          <w:rFonts w:ascii="Arial" w:hAnsi="Arial" w:cs="Arial"/>
          <w:color w:val="000000"/>
        </w:rPr>
        <w:t xml:space="preserve">nem </w:t>
      </w:r>
      <w:r>
        <w:rPr>
          <w:rFonts w:ascii="Arial" w:hAnsi="Arial" w:cs="Arial"/>
          <w:color w:val="000000"/>
        </w:rPr>
        <w:t xml:space="preserve">a hitelintézet, illetve hitelintézeti csoport esetén nem </w:t>
      </w:r>
      <w:r w:rsidRPr="00C733FD">
        <w:rPr>
          <w:rFonts w:ascii="Arial" w:hAnsi="Arial" w:cs="Arial"/>
          <w:color w:val="000000"/>
        </w:rPr>
        <w:t xml:space="preserve">ugyanazon hitelintézeti csoport tagjának mérlegében nyilvántartott, 3 éven túli eredeti futamidejű </w:t>
      </w:r>
      <w:bookmarkEnd w:id="24"/>
      <w:r w:rsidRPr="003F7D60">
        <w:rPr>
          <w:rFonts w:ascii="Arial" w:hAnsi="Arial" w:cs="Arial"/>
          <w:color w:val="000000"/>
        </w:rPr>
        <w:lastRenderedPageBreak/>
        <w:t xml:space="preserve">deviza értékpapírokat, </w:t>
      </w:r>
      <w:r>
        <w:rPr>
          <w:rFonts w:ascii="Arial" w:hAnsi="Arial" w:cs="Arial"/>
          <w:color w:val="000000"/>
        </w:rPr>
        <w:t xml:space="preserve">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w:t>
      </w:r>
    </w:p>
    <w:p w14:paraId="7DEF1D7E" w14:textId="26661EE2" w:rsidR="0070681E" w:rsidRPr="003F7D60" w:rsidRDefault="0070681E" w:rsidP="0070681E">
      <w:pPr>
        <w:rPr>
          <w:rFonts w:ascii="Arial" w:hAnsi="Arial" w:cs="Arial"/>
          <w:color w:val="000000"/>
        </w:rPr>
      </w:pPr>
      <w:r w:rsidRPr="003F7D60">
        <w:rPr>
          <w:rFonts w:ascii="Arial" w:hAnsi="Arial" w:cs="Arial"/>
          <w:b/>
          <w:color w:val="000000"/>
        </w:rPr>
        <w:t>008</w:t>
      </w:r>
      <w:r w:rsidR="000F5F54">
        <w:rPr>
          <w:rFonts w:ascii="Arial" w:hAnsi="Arial" w:cs="Arial"/>
          <w:b/>
          <w:color w:val="000000"/>
        </w:rPr>
        <w:t>.</w:t>
      </w:r>
      <w:r w:rsidRPr="009175C7">
        <w:rPr>
          <w:rFonts w:ascii="Arial" w:hAnsi="Arial" w:cs="Arial"/>
          <w:b/>
          <w:color w:val="000000"/>
        </w:rPr>
        <w:t xml:space="preserve"> </w:t>
      </w:r>
      <w:r w:rsidRPr="00CE3105">
        <w:rPr>
          <w:rFonts w:ascii="Arial" w:hAnsi="Arial" w:cs="Arial"/>
          <w:b/>
          <w:color w:val="000000"/>
        </w:rPr>
        <w:t xml:space="preserve">sor: </w:t>
      </w:r>
      <w:r w:rsidRPr="003F7D60">
        <w:rPr>
          <w:rFonts w:ascii="Arial" w:hAnsi="Arial" w:cs="Arial"/>
          <w:color w:val="000000"/>
        </w:rPr>
        <w:t>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lakossági jelzáloghitelek fedezete mellett, a </w:t>
      </w:r>
      <w:proofErr w:type="spellStart"/>
      <w:r w:rsidRPr="003F7D60">
        <w:rPr>
          <w:rFonts w:ascii="Arial" w:hAnsi="Arial" w:cs="Arial"/>
          <w:color w:val="000000"/>
        </w:rPr>
        <w:t>CRR</w:t>
      </w:r>
      <w:proofErr w:type="spellEnd"/>
      <w:r w:rsidRPr="003F7D60">
        <w:rPr>
          <w:rFonts w:ascii="Arial" w:hAnsi="Arial" w:cs="Arial"/>
          <w:color w:val="000000"/>
        </w:rPr>
        <w:t xml:space="preserve"> 129. cikke szerint, 2015. március 31. előtt kibocsátott</w:t>
      </w:r>
      <w:r>
        <w:rPr>
          <w:rFonts w:ascii="Arial" w:hAnsi="Arial" w:cs="Arial"/>
          <w:color w:val="000000"/>
        </w:rPr>
        <w:t>,</w:t>
      </w:r>
      <w:r w:rsidRPr="003F7D60">
        <w:rPr>
          <w:rFonts w:ascii="Arial" w:hAnsi="Arial" w:cs="Arial"/>
          <w:color w:val="000000"/>
        </w:rPr>
        <w:t xml:space="preserve"> </w:t>
      </w:r>
      <w:r w:rsidRPr="00C733FD">
        <w:rPr>
          <w:rFonts w:ascii="Arial" w:hAnsi="Arial" w:cs="Arial"/>
          <w:color w:val="000000"/>
        </w:rPr>
        <w:t xml:space="preserve">nem </w:t>
      </w:r>
      <w:r>
        <w:rPr>
          <w:rFonts w:ascii="Arial" w:hAnsi="Arial" w:cs="Arial"/>
          <w:color w:val="000000"/>
        </w:rPr>
        <w:t xml:space="preserve">a hitelintézet, illetve hitelintézeti csoport esetén nem </w:t>
      </w:r>
      <w:r w:rsidRPr="00C733FD">
        <w:rPr>
          <w:rFonts w:ascii="Arial" w:hAnsi="Arial" w:cs="Arial"/>
          <w:color w:val="000000"/>
        </w:rPr>
        <w:t xml:space="preserve">ugyanazon hitelintézeti csoport tagjának mérlegében nyilvántartott, 3 éven túli eredeti futamidejű </w:t>
      </w:r>
      <w:r w:rsidRPr="003F7D60">
        <w:rPr>
          <w:rFonts w:ascii="Arial" w:hAnsi="Arial" w:cs="Arial"/>
          <w:color w:val="000000"/>
        </w:rPr>
        <w:t xml:space="preserve">deviza értékpapírokat, </w:t>
      </w:r>
      <w:r>
        <w:rPr>
          <w:rFonts w:ascii="Arial" w:hAnsi="Arial" w:cs="Arial"/>
          <w:color w:val="000000"/>
        </w:rPr>
        <w:t xml:space="preserve">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w:t>
      </w:r>
    </w:p>
    <w:p w14:paraId="594B5B8A" w14:textId="36BB933A"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009</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a </w:t>
      </w:r>
      <w:proofErr w:type="spellStart"/>
      <w:r w:rsidRPr="003F7D60">
        <w:rPr>
          <w:rFonts w:ascii="Arial" w:hAnsi="Arial" w:cs="Arial"/>
          <w:color w:val="000000"/>
        </w:rPr>
        <w:t>Jht</w:t>
      </w:r>
      <w:proofErr w:type="spellEnd"/>
      <w:r w:rsidRPr="003F7D60">
        <w:rPr>
          <w:rFonts w:ascii="Arial" w:hAnsi="Arial" w:cs="Arial"/>
          <w:color w:val="000000"/>
        </w:rPr>
        <w:t xml:space="preserve">. 5. § (1) bekezdése szerinti pénzkölcsön-nyújtások állományát, valamint a 8. § (5) bekezdése szerinti vételár-követelések összegét, amennyiben azok eredeti futamideje </w:t>
      </w:r>
      <w:r>
        <w:rPr>
          <w:rFonts w:ascii="Arial" w:hAnsi="Arial" w:cs="Arial"/>
          <w:color w:val="000000"/>
        </w:rPr>
        <w:t>3</w:t>
      </w:r>
      <w:r w:rsidRPr="003F7D60">
        <w:rPr>
          <w:rFonts w:ascii="Arial" w:hAnsi="Arial" w:cs="Arial"/>
          <w:color w:val="000000"/>
        </w:rPr>
        <w:t xml:space="preserve"> éven túli, és nem ugyanazon hitelintézeti csoport</w:t>
      </w:r>
      <w:r>
        <w:rPr>
          <w:rFonts w:ascii="Arial" w:hAnsi="Arial" w:cs="Arial"/>
          <w:color w:val="000000"/>
        </w:rPr>
        <w:t xml:space="preserve"> tagjának</w:t>
      </w:r>
      <w:r w:rsidRPr="003F7D60">
        <w:rPr>
          <w:rFonts w:ascii="Arial" w:hAnsi="Arial" w:cs="Arial"/>
          <w:color w:val="000000"/>
        </w:rPr>
        <w:t xml:space="preserve"> mérlegében vannak nyilvántartva.</w:t>
      </w:r>
    </w:p>
    <w:p w14:paraId="3B03A535" w14:textId="550BF637"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011</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w:t>
      </w:r>
      <w:proofErr w:type="spellStart"/>
      <w:r w:rsidRPr="003F7D60">
        <w:rPr>
          <w:rFonts w:ascii="Arial" w:hAnsi="Arial" w:cs="Arial"/>
          <w:color w:val="000000"/>
        </w:rPr>
        <w:t>Jht</w:t>
      </w:r>
      <w:proofErr w:type="spellEnd"/>
      <w:r w:rsidRPr="003F7D60">
        <w:rPr>
          <w:rFonts w:ascii="Arial" w:hAnsi="Arial" w:cs="Arial"/>
          <w:color w:val="000000"/>
        </w:rPr>
        <w:t>. 11. §-a szerinti, 2015. március 31. előtt kibocsátott</w:t>
      </w:r>
      <w:r>
        <w:rPr>
          <w:rFonts w:ascii="Arial" w:hAnsi="Arial" w:cs="Arial"/>
          <w:color w:val="000000"/>
        </w:rPr>
        <w:t>, a hitelintézet, illetve hitelintézeti csoport esetén</w:t>
      </w:r>
      <w:r w:rsidRPr="00EF78C6">
        <w:rPr>
          <w:rFonts w:ascii="Arial" w:hAnsi="Arial" w:cs="Arial"/>
          <w:color w:val="000000"/>
        </w:rPr>
        <w:t xml:space="preserve"> </w:t>
      </w:r>
      <w:r w:rsidRPr="00C733FD">
        <w:rPr>
          <w:rFonts w:ascii="Arial" w:hAnsi="Arial" w:cs="Arial"/>
          <w:color w:val="000000"/>
        </w:rPr>
        <w:t>ugyanazon hitelintézeti csoport tagjának mérlegében nyilvántartott, 3 éven túli eredeti futamidejű</w:t>
      </w:r>
      <w:r w:rsidRPr="003F7D60">
        <w:rPr>
          <w:rFonts w:ascii="Arial" w:hAnsi="Arial" w:cs="Arial"/>
          <w:color w:val="000000"/>
        </w:rPr>
        <w:t xml:space="preserve"> forint értékpapírokat, </w:t>
      </w:r>
      <w:r>
        <w:rPr>
          <w:rFonts w:ascii="Arial" w:hAnsi="Arial" w:cs="Arial"/>
          <w:color w:val="000000"/>
        </w:rPr>
        <w:t xml:space="preserve">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 A soron ezen jelzáloglevelek állományát az MNB által a tárgyidőszak utolsó munkanapjára meghatározott befogadási értékük 20</w:t>
      </w:r>
      <w:r>
        <w:rPr>
          <w:rFonts w:ascii="Arial" w:hAnsi="Arial" w:cs="Arial"/>
          <w:color w:val="000000"/>
        </w:rPr>
        <w:t xml:space="preserve"> százaléká</w:t>
      </w:r>
      <w:r w:rsidRPr="003F7D60">
        <w:rPr>
          <w:rFonts w:ascii="Arial" w:hAnsi="Arial" w:cs="Arial"/>
          <w:color w:val="000000"/>
        </w:rPr>
        <w:t>ig lehet figyelembe venni.</w:t>
      </w:r>
    </w:p>
    <w:p w14:paraId="15E5C78F" w14:textId="46F191EB"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012</w:t>
      </w:r>
      <w:r w:rsidR="000F5F54">
        <w:rPr>
          <w:rFonts w:ascii="Arial" w:hAnsi="Arial" w:cs="Arial"/>
          <w:b/>
          <w:color w:val="000000"/>
        </w:rPr>
        <w:t>.</w:t>
      </w:r>
      <w:r w:rsidRPr="00C226C3">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 xml:space="preserve">i csoport tagjai által, </w:t>
      </w:r>
      <w:proofErr w:type="spellStart"/>
      <w:r w:rsidRPr="003F7D60">
        <w:rPr>
          <w:rFonts w:ascii="Arial" w:hAnsi="Arial" w:cs="Arial"/>
          <w:color w:val="000000"/>
        </w:rPr>
        <w:t>Jht</w:t>
      </w:r>
      <w:proofErr w:type="spellEnd"/>
      <w:r w:rsidRPr="003F7D60">
        <w:rPr>
          <w:rFonts w:ascii="Arial" w:hAnsi="Arial" w:cs="Arial"/>
          <w:color w:val="000000"/>
        </w:rPr>
        <w:t>. 11. §-a szerinti, 2015. március 31. előtt kibocsátott</w:t>
      </w:r>
      <w:r>
        <w:rPr>
          <w:rFonts w:ascii="Arial" w:hAnsi="Arial" w:cs="Arial"/>
          <w:color w:val="000000"/>
        </w:rPr>
        <w:t>,</w:t>
      </w:r>
      <w:r w:rsidRPr="00EF78C6">
        <w:rPr>
          <w:rFonts w:ascii="Arial" w:hAnsi="Arial" w:cs="Arial"/>
          <w:color w:val="000000"/>
        </w:rPr>
        <w:t xml:space="preserve"> </w:t>
      </w:r>
      <w:r>
        <w:rPr>
          <w:rFonts w:ascii="Arial" w:hAnsi="Arial" w:cs="Arial"/>
          <w:color w:val="000000"/>
        </w:rPr>
        <w:t xml:space="preserve">a hitelintézet, illetve hitelintézeti csoport esetén </w:t>
      </w:r>
      <w:r w:rsidRPr="00C733FD">
        <w:rPr>
          <w:rFonts w:ascii="Arial" w:hAnsi="Arial" w:cs="Arial"/>
          <w:color w:val="000000"/>
        </w:rPr>
        <w:t>ugyanazon hitelintézeti csoport tagjának mérlegében nyilvántartott, 3 éven túli eredeti futamidejű</w:t>
      </w:r>
      <w:r w:rsidRPr="003F7D60">
        <w:rPr>
          <w:rFonts w:ascii="Arial" w:hAnsi="Arial" w:cs="Arial"/>
          <w:color w:val="000000"/>
        </w:rPr>
        <w:t xml:space="preserve"> deviza értékpapírokat, </w:t>
      </w:r>
      <w:r>
        <w:rPr>
          <w:rFonts w:ascii="Arial" w:hAnsi="Arial" w:cs="Arial"/>
          <w:color w:val="000000"/>
        </w:rPr>
        <w:t xml:space="preserve">amelyek tekintetében rendelkezésre áll a </w:t>
      </w:r>
      <w:proofErr w:type="spellStart"/>
      <w:r>
        <w:rPr>
          <w:rFonts w:ascii="Arial" w:hAnsi="Arial" w:cs="Arial"/>
          <w:color w:val="000000"/>
        </w:rPr>
        <w:t>Jmmr</w:t>
      </w:r>
      <w:proofErr w:type="spellEnd"/>
      <w:r>
        <w:rPr>
          <w:rFonts w:ascii="Arial" w:hAnsi="Arial" w:cs="Arial"/>
          <w:color w:val="000000"/>
        </w:rPr>
        <w:t>. 1. melléklet 3. pont e) alpontja szerinti hitelminősítés</w:t>
      </w:r>
      <w:r w:rsidRPr="003F7D60">
        <w:rPr>
          <w:rFonts w:ascii="Arial" w:hAnsi="Arial" w:cs="Arial"/>
          <w:color w:val="000000"/>
        </w:rPr>
        <w:t xml:space="preserve">. A soron ezen jelzáloglevelek állományát az </w:t>
      </w:r>
      <w:proofErr w:type="spellStart"/>
      <w:r w:rsidRPr="003F7D60">
        <w:rPr>
          <w:rFonts w:ascii="Arial" w:hAnsi="Arial" w:cs="Arial"/>
          <w:color w:val="000000"/>
        </w:rPr>
        <w:t>EKB</w:t>
      </w:r>
      <w:proofErr w:type="spellEnd"/>
      <w:r w:rsidRPr="003F7D60">
        <w:rPr>
          <w:rFonts w:ascii="Arial" w:hAnsi="Arial" w:cs="Arial"/>
          <w:color w:val="000000"/>
        </w:rPr>
        <w:t xml:space="preserve"> által a tárgyidőszak utolsó munkanapjára meghatározott befogadási értékük 20</w:t>
      </w:r>
      <w:r>
        <w:rPr>
          <w:rFonts w:ascii="Arial" w:hAnsi="Arial" w:cs="Arial"/>
          <w:color w:val="000000"/>
        </w:rPr>
        <w:t xml:space="preserve"> százaléká</w:t>
      </w:r>
      <w:r w:rsidRPr="003F7D60">
        <w:rPr>
          <w:rFonts w:ascii="Arial" w:hAnsi="Arial" w:cs="Arial"/>
          <w:color w:val="000000"/>
        </w:rPr>
        <w:t>ig lehet figyelembe venni.</w:t>
      </w:r>
    </w:p>
    <w:p w14:paraId="2B25829B" w14:textId="3C77BA77" w:rsidR="0070681E" w:rsidRPr="00AD037A" w:rsidRDefault="0070681E" w:rsidP="0070681E">
      <w:pPr>
        <w:pStyle w:val="Listaszerbekezds"/>
        <w:numPr>
          <w:ilvl w:val="0"/>
          <w:numId w:val="0"/>
        </w:numPr>
        <w:contextualSpacing w:val="0"/>
        <w:rPr>
          <w:rFonts w:ascii="Arial" w:hAnsi="Arial" w:cs="Arial"/>
          <w:color w:val="000000"/>
        </w:rPr>
      </w:pPr>
      <w:r w:rsidRPr="00AD037A">
        <w:rPr>
          <w:rFonts w:ascii="Arial" w:hAnsi="Arial" w:cs="Arial"/>
          <w:b/>
          <w:color w:val="000000"/>
        </w:rPr>
        <w:t>013</w:t>
      </w:r>
      <w:r w:rsidR="000F5F54">
        <w:rPr>
          <w:rFonts w:ascii="Arial" w:hAnsi="Arial" w:cs="Arial"/>
          <w:b/>
          <w:color w:val="000000"/>
        </w:rPr>
        <w:t>.</w:t>
      </w:r>
      <w:r w:rsidRPr="00AD037A">
        <w:rPr>
          <w:rFonts w:ascii="Arial" w:hAnsi="Arial" w:cs="Arial"/>
          <w:b/>
          <w:color w:val="000000"/>
        </w:rPr>
        <w:t xml:space="preserve"> sor:</w:t>
      </w:r>
      <w:r w:rsidRPr="00AD037A">
        <w:rPr>
          <w:rFonts w:ascii="Arial" w:hAnsi="Arial" w:cs="Arial"/>
          <w:color w:val="000000"/>
        </w:rPr>
        <w:t xml:space="preserve"> a jelzáloghitel-finanszírozás megfelelési mutató számlálójának </w:t>
      </w:r>
      <w:proofErr w:type="spellStart"/>
      <w:r w:rsidRPr="00AD037A">
        <w:rPr>
          <w:rFonts w:ascii="Arial" w:hAnsi="Arial" w:cs="Arial"/>
          <w:color w:val="000000"/>
        </w:rPr>
        <w:t>Jmmr</w:t>
      </w:r>
      <w:proofErr w:type="spellEnd"/>
      <w:r w:rsidRPr="00AD037A">
        <w:rPr>
          <w:rFonts w:ascii="Arial" w:hAnsi="Arial" w:cs="Arial"/>
          <w:color w:val="000000"/>
        </w:rPr>
        <w:t xml:space="preserve">. 1. melléklet 2-6. pontja szerint számított értéke (a </w:t>
      </w:r>
      <w:proofErr w:type="spellStart"/>
      <w:r w:rsidRPr="00AD037A">
        <w:rPr>
          <w:rFonts w:ascii="Arial" w:hAnsi="Arial" w:cs="Arial"/>
          <w:color w:val="000000"/>
        </w:rPr>
        <w:t>Jmmr</w:t>
      </w:r>
      <w:proofErr w:type="spellEnd"/>
      <w:r w:rsidRPr="00AD037A">
        <w:rPr>
          <w:rFonts w:ascii="Arial" w:hAnsi="Arial" w:cs="Arial"/>
          <w:color w:val="000000"/>
        </w:rPr>
        <w:t xml:space="preserve">. 1. melléklet 6a. pontja szerinti képlet </w:t>
      </w:r>
      <w:proofErr w:type="spellStart"/>
      <w:r w:rsidRPr="00AD037A">
        <w:rPr>
          <w:rFonts w:ascii="Arial" w:hAnsi="Arial" w:cs="Arial"/>
          <w:color w:val="000000"/>
        </w:rPr>
        <w:t>SF</w:t>
      </w:r>
      <w:proofErr w:type="spellEnd"/>
      <w:r w:rsidRPr="00AD037A">
        <w:rPr>
          <w:rFonts w:ascii="Arial" w:hAnsi="Arial" w:cs="Arial"/>
          <w:color w:val="000000"/>
        </w:rPr>
        <w:t xml:space="preserve"> elemének értéke)</w:t>
      </w:r>
      <w:r w:rsidR="00A85D91">
        <w:rPr>
          <w:rFonts w:ascii="Arial" w:hAnsi="Arial" w:cs="Arial"/>
          <w:color w:val="000000"/>
        </w:rPr>
        <w:t>.</w:t>
      </w:r>
    </w:p>
    <w:p w14:paraId="59103CFD" w14:textId="583935C1" w:rsidR="0070681E" w:rsidRDefault="0070681E" w:rsidP="0070681E">
      <w:pPr>
        <w:pStyle w:val="Listaszerbekezds"/>
        <w:numPr>
          <w:ilvl w:val="0"/>
          <w:numId w:val="0"/>
        </w:numPr>
        <w:contextualSpacing w:val="0"/>
        <w:rPr>
          <w:rFonts w:ascii="Arial" w:hAnsi="Arial" w:cs="Arial"/>
          <w:color w:val="000000"/>
        </w:rPr>
      </w:pPr>
      <w:r w:rsidRPr="00AD037A">
        <w:rPr>
          <w:rFonts w:ascii="Arial" w:hAnsi="Arial" w:cs="Arial"/>
          <w:b/>
          <w:color w:val="000000"/>
        </w:rPr>
        <w:t>014</w:t>
      </w:r>
      <w:r w:rsidR="000F5F54">
        <w:rPr>
          <w:rFonts w:ascii="Arial" w:hAnsi="Arial" w:cs="Arial"/>
          <w:b/>
          <w:color w:val="000000"/>
        </w:rPr>
        <w:t>.</w:t>
      </w:r>
      <w:r w:rsidRPr="00AD037A">
        <w:rPr>
          <w:rFonts w:ascii="Arial" w:hAnsi="Arial" w:cs="Arial"/>
          <w:b/>
          <w:color w:val="000000"/>
        </w:rPr>
        <w:t xml:space="preserve"> sor:</w:t>
      </w:r>
      <w:r w:rsidRPr="00AD037A">
        <w:rPr>
          <w:rFonts w:ascii="Arial" w:hAnsi="Arial" w:cs="Arial"/>
          <w:color w:val="000000"/>
        </w:rPr>
        <w:t xml:space="preserve"> </w:t>
      </w:r>
      <w:r w:rsidR="00A85D91">
        <w:rPr>
          <w:rFonts w:ascii="Arial" w:hAnsi="Arial" w:cs="Arial"/>
          <w:color w:val="000000"/>
        </w:rPr>
        <w:t>a</w:t>
      </w:r>
      <w:r w:rsidRPr="00AD037A">
        <w:rPr>
          <w:rFonts w:ascii="Arial" w:hAnsi="Arial" w:cs="Arial"/>
          <w:color w:val="000000"/>
        </w:rPr>
        <w:t xml:space="preserve"> </w:t>
      </w:r>
      <w:proofErr w:type="spellStart"/>
      <w:r w:rsidRPr="00AD037A">
        <w:rPr>
          <w:rFonts w:ascii="Arial" w:hAnsi="Arial" w:cs="Arial"/>
          <w:color w:val="000000"/>
        </w:rPr>
        <w:t>Jmmr</w:t>
      </w:r>
      <w:proofErr w:type="spellEnd"/>
      <w:r w:rsidRPr="00AD037A">
        <w:rPr>
          <w:rFonts w:ascii="Arial" w:hAnsi="Arial" w:cs="Arial"/>
          <w:color w:val="000000"/>
        </w:rPr>
        <w:t>. 1. melléklet 6a. pontja szerinti képlet J elemének értéke</w:t>
      </w:r>
    </w:p>
    <w:p w14:paraId="34B13DC0" w14:textId="25D014BE" w:rsidR="0070681E" w:rsidRPr="00AD037A" w:rsidRDefault="0070681E" w:rsidP="0070681E">
      <w:pPr>
        <w:pStyle w:val="Listaszerbekezds"/>
        <w:numPr>
          <w:ilvl w:val="0"/>
          <w:numId w:val="0"/>
        </w:numPr>
        <w:contextualSpacing w:val="0"/>
        <w:rPr>
          <w:rFonts w:ascii="Arial" w:hAnsi="Arial" w:cs="Arial"/>
          <w:color w:val="000000"/>
        </w:rPr>
      </w:pPr>
      <w:r w:rsidRPr="00E4690A">
        <w:rPr>
          <w:rFonts w:ascii="Arial" w:hAnsi="Arial" w:cs="Arial"/>
          <w:b/>
          <w:color w:val="000000"/>
        </w:rPr>
        <w:t>017</w:t>
      </w:r>
      <w:r w:rsidR="000F5F54">
        <w:rPr>
          <w:rFonts w:ascii="Arial" w:hAnsi="Arial" w:cs="Arial"/>
          <w:b/>
          <w:color w:val="000000"/>
        </w:rPr>
        <w:t>.</w:t>
      </w:r>
      <w:r w:rsidR="00C47546">
        <w:rPr>
          <w:rFonts w:ascii="Arial" w:hAnsi="Arial" w:cs="Arial"/>
          <w:b/>
          <w:color w:val="000000"/>
        </w:rPr>
        <w:t xml:space="preserve"> </w:t>
      </w:r>
      <w:r w:rsidRPr="00E4690A">
        <w:rPr>
          <w:rFonts w:ascii="Arial" w:hAnsi="Arial" w:cs="Arial"/>
          <w:b/>
          <w:color w:val="000000"/>
        </w:rPr>
        <w:t>sor:</w:t>
      </w:r>
      <w:r>
        <w:rPr>
          <w:rFonts w:ascii="Arial" w:hAnsi="Arial" w:cs="Arial"/>
          <w:color w:val="000000"/>
        </w:rPr>
        <w:t xml:space="preserve"> </w:t>
      </w:r>
      <w:r w:rsidR="00A85D91">
        <w:rPr>
          <w:rFonts w:ascii="Arial" w:hAnsi="Arial" w:cs="Arial"/>
          <w:color w:val="000000"/>
        </w:rPr>
        <w:t>a</w:t>
      </w:r>
      <w:r w:rsidRPr="00AD037A">
        <w:rPr>
          <w:rFonts w:ascii="Arial" w:hAnsi="Arial" w:cs="Arial"/>
          <w:color w:val="000000"/>
        </w:rPr>
        <w:t xml:space="preserve"> </w:t>
      </w:r>
      <w:proofErr w:type="spellStart"/>
      <w:r w:rsidRPr="00AD037A">
        <w:rPr>
          <w:rFonts w:ascii="Arial" w:hAnsi="Arial" w:cs="Arial"/>
          <w:color w:val="000000"/>
        </w:rPr>
        <w:t>Jmmr</w:t>
      </w:r>
      <w:proofErr w:type="spellEnd"/>
      <w:r w:rsidRPr="00AD037A">
        <w:rPr>
          <w:rFonts w:ascii="Arial" w:hAnsi="Arial" w:cs="Arial"/>
          <w:color w:val="000000"/>
        </w:rPr>
        <w:t>. 1. melléklet 6a. pontja szerinti képlet J eleme érték</w:t>
      </w:r>
      <w:r>
        <w:rPr>
          <w:rFonts w:ascii="Arial" w:hAnsi="Arial" w:cs="Arial"/>
          <w:color w:val="000000"/>
        </w:rPr>
        <w:t xml:space="preserve">ének csökkentésére figyelembe vehető, a </w:t>
      </w:r>
      <w:proofErr w:type="spellStart"/>
      <w:r>
        <w:rPr>
          <w:rFonts w:ascii="Arial" w:hAnsi="Arial" w:cs="Arial"/>
          <w:color w:val="000000"/>
        </w:rPr>
        <w:t>Jmmr</w:t>
      </w:r>
      <w:proofErr w:type="spellEnd"/>
      <w:r>
        <w:rPr>
          <w:rFonts w:ascii="Arial" w:hAnsi="Arial" w:cs="Arial"/>
          <w:color w:val="000000"/>
        </w:rPr>
        <w:t>. 1. melléklet 6a. pontja szerint meghatározott jelzáloglevél-állomány értéke.</w:t>
      </w:r>
    </w:p>
    <w:p w14:paraId="0E9AB3EA" w14:textId="3AB87884" w:rsidR="0070681E" w:rsidRPr="00AD037A" w:rsidRDefault="0070681E" w:rsidP="0070681E">
      <w:pPr>
        <w:pStyle w:val="Listaszerbekezds"/>
        <w:numPr>
          <w:ilvl w:val="0"/>
          <w:numId w:val="0"/>
        </w:numPr>
        <w:contextualSpacing w:val="0"/>
        <w:rPr>
          <w:rFonts w:ascii="Arial" w:hAnsi="Arial" w:cs="Arial"/>
          <w:color w:val="000000"/>
        </w:rPr>
      </w:pPr>
      <w:r w:rsidRPr="00AD037A">
        <w:rPr>
          <w:rFonts w:ascii="Arial" w:hAnsi="Arial" w:cs="Arial"/>
          <w:b/>
          <w:color w:val="000000"/>
        </w:rPr>
        <w:t>018</w:t>
      </w:r>
      <w:r w:rsidR="000F5F54">
        <w:rPr>
          <w:rFonts w:ascii="Arial" w:hAnsi="Arial" w:cs="Arial"/>
          <w:b/>
          <w:color w:val="000000"/>
        </w:rPr>
        <w:t>.</w:t>
      </w:r>
      <w:r w:rsidRPr="00AD037A">
        <w:rPr>
          <w:rFonts w:ascii="Arial" w:hAnsi="Arial" w:cs="Arial"/>
          <w:b/>
          <w:color w:val="000000"/>
        </w:rPr>
        <w:t xml:space="preserve"> sor:</w:t>
      </w:r>
      <w:r w:rsidRPr="00AD037A">
        <w:rPr>
          <w:rFonts w:ascii="Arial" w:hAnsi="Arial" w:cs="Arial"/>
          <w:color w:val="000000"/>
        </w:rPr>
        <w:t xml:space="preserve"> </w:t>
      </w:r>
      <w:r w:rsidR="00A85D91">
        <w:rPr>
          <w:rFonts w:ascii="Arial" w:hAnsi="Arial" w:cs="Arial"/>
          <w:color w:val="000000"/>
        </w:rPr>
        <w:t>a</w:t>
      </w:r>
      <w:r w:rsidRPr="00AD037A">
        <w:rPr>
          <w:rFonts w:ascii="Arial" w:hAnsi="Arial" w:cs="Arial"/>
          <w:color w:val="000000"/>
        </w:rPr>
        <w:t xml:space="preserve"> </w:t>
      </w:r>
      <w:proofErr w:type="spellStart"/>
      <w:r w:rsidRPr="00AD037A">
        <w:rPr>
          <w:rFonts w:ascii="Arial" w:hAnsi="Arial" w:cs="Arial"/>
          <w:color w:val="000000"/>
        </w:rPr>
        <w:t>Jmmr</w:t>
      </w:r>
      <w:proofErr w:type="spellEnd"/>
      <w:r w:rsidRPr="00AD037A">
        <w:rPr>
          <w:rFonts w:ascii="Arial" w:hAnsi="Arial" w:cs="Arial"/>
          <w:color w:val="000000"/>
        </w:rPr>
        <w:t xml:space="preserve">. 1. melléklet 6a. pontja szerinti képlet </w:t>
      </w:r>
      <w:proofErr w:type="gramStart"/>
      <w:r w:rsidRPr="00AD037A">
        <w:rPr>
          <w:rFonts w:ascii="Arial" w:hAnsi="Arial" w:cs="Arial"/>
          <w:color w:val="000000"/>
        </w:rPr>
        <w:t>A</w:t>
      </w:r>
      <w:proofErr w:type="gramEnd"/>
      <w:r w:rsidRPr="00AD037A">
        <w:rPr>
          <w:rFonts w:ascii="Arial" w:hAnsi="Arial" w:cs="Arial"/>
          <w:color w:val="000000"/>
        </w:rPr>
        <w:t xml:space="preserve"> elemének érték</w:t>
      </w:r>
      <w:r>
        <w:rPr>
          <w:rFonts w:ascii="Arial" w:hAnsi="Arial" w:cs="Arial"/>
          <w:color w:val="000000"/>
        </w:rPr>
        <w:t>e</w:t>
      </w:r>
    </w:p>
    <w:p w14:paraId="5FF4BE38" w14:textId="51F44255" w:rsidR="0070681E" w:rsidRDefault="0070681E" w:rsidP="0070681E">
      <w:pPr>
        <w:pStyle w:val="Listaszerbekezds"/>
        <w:numPr>
          <w:ilvl w:val="0"/>
          <w:numId w:val="0"/>
        </w:numPr>
        <w:contextualSpacing w:val="0"/>
        <w:rPr>
          <w:rFonts w:ascii="Arial" w:hAnsi="Arial" w:cs="Arial"/>
          <w:color w:val="000000"/>
        </w:rPr>
      </w:pPr>
      <w:r w:rsidRPr="00AD037A">
        <w:rPr>
          <w:rFonts w:ascii="Arial" w:hAnsi="Arial" w:cs="Arial"/>
          <w:b/>
          <w:color w:val="000000"/>
        </w:rPr>
        <w:t>019</w:t>
      </w:r>
      <w:r w:rsidR="000F5F54">
        <w:rPr>
          <w:rFonts w:ascii="Arial" w:hAnsi="Arial" w:cs="Arial"/>
          <w:b/>
          <w:color w:val="000000"/>
        </w:rPr>
        <w:t>.</w:t>
      </w:r>
      <w:r w:rsidRPr="00AD037A">
        <w:rPr>
          <w:rFonts w:ascii="Arial" w:hAnsi="Arial" w:cs="Arial"/>
          <w:b/>
          <w:color w:val="000000"/>
        </w:rPr>
        <w:t xml:space="preserve"> sor:</w:t>
      </w:r>
      <w:r w:rsidRPr="00AD037A">
        <w:rPr>
          <w:rFonts w:ascii="Arial" w:hAnsi="Arial" w:cs="Arial"/>
          <w:color w:val="000000"/>
        </w:rPr>
        <w:t xml:space="preserve"> </w:t>
      </w:r>
      <w:r w:rsidR="00A85D91">
        <w:rPr>
          <w:rFonts w:ascii="Arial" w:hAnsi="Arial" w:cs="Arial"/>
          <w:color w:val="000000"/>
        </w:rPr>
        <w:t>a</w:t>
      </w:r>
      <w:r w:rsidRPr="00AD037A">
        <w:rPr>
          <w:rFonts w:ascii="Arial" w:hAnsi="Arial" w:cs="Arial"/>
          <w:color w:val="000000"/>
        </w:rPr>
        <w:t xml:space="preserve"> </w:t>
      </w:r>
      <w:proofErr w:type="spellStart"/>
      <w:r w:rsidRPr="00AD037A">
        <w:rPr>
          <w:rFonts w:ascii="Arial" w:hAnsi="Arial" w:cs="Arial"/>
          <w:color w:val="000000"/>
        </w:rPr>
        <w:t>Jmmr</w:t>
      </w:r>
      <w:proofErr w:type="spellEnd"/>
      <w:r w:rsidRPr="00AD037A">
        <w:rPr>
          <w:rFonts w:ascii="Arial" w:hAnsi="Arial" w:cs="Arial"/>
          <w:color w:val="000000"/>
        </w:rPr>
        <w:t>. 1. melléklet 6a. pontja szerinti képlet alapján számított érték</w:t>
      </w:r>
    </w:p>
    <w:p w14:paraId="4B325C9C" w14:textId="22A1A3AD"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021</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a hitelintézet</w:t>
      </w:r>
      <w:r>
        <w:rPr>
          <w:rFonts w:ascii="Arial" w:hAnsi="Arial" w:cs="Arial"/>
          <w:color w:val="000000"/>
        </w:rPr>
        <w:t xml:space="preserve"> által, illetve hitelintézeti csoport esetén a hitelintézet</w:t>
      </w:r>
      <w:r w:rsidRPr="003F7D60">
        <w:rPr>
          <w:rFonts w:ascii="Arial" w:hAnsi="Arial" w:cs="Arial"/>
          <w:color w:val="000000"/>
        </w:rPr>
        <w:t>i csoport tagjai által nyújtott forint lakossági jelzáloghiteleket, amennyiben azok 1 éven túli hátralévő lejáratúak. A jelzáloghiteleket könyv szerinti nettó értékük alapján kell feltüntetni.</w:t>
      </w:r>
      <w:r>
        <w:rPr>
          <w:rFonts w:ascii="Arial" w:hAnsi="Arial" w:cs="Arial"/>
          <w:color w:val="000000"/>
        </w:rPr>
        <w:t xml:space="preserve"> </w:t>
      </w:r>
      <w:r w:rsidRPr="00CD0826">
        <w:rPr>
          <w:rFonts w:ascii="Arial" w:hAnsi="Arial" w:cs="Arial"/>
          <w:color w:val="000000"/>
        </w:rPr>
        <w:t>A jelzáloghiteleket</w:t>
      </w:r>
      <w:r>
        <w:rPr>
          <w:rFonts w:ascii="Arial" w:hAnsi="Arial" w:cs="Arial"/>
          <w:color w:val="000000"/>
        </w:rPr>
        <w:t xml:space="preserve"> egy összegben,</w:t>
      </w:r>
      <w:r w:rsidRPr="00CD0826">
        <w:rPr>
          <w:rFonts w:ascii="Arial" w:hAnsi="Arial" w:cs="Arial"/>
          <w:color w:val="000000"/>
        </w:rPr>
        <w:t xml:space="preserve"> a szerződés szerint hátralévő futamidő alapján kell </w:t>
      </w:r>
      <w:r>
        <w:rPr>
          <w:rFonts w:ascii="Arial" w:hAnsi="Arial" w:cs="Arial"/>
          <w:color w:val="000000"/>
        </w:rPr>
        <w:t>jelenteni</w:t>
      </w:r>
      <w:r w:rsidRPr="00CD0826">
        <w:rPr>
          <w:rFonts w:ascii="Arial" w:hAnsi="Arial" w:cs="Arial"/>
          <w:color w:val="000000"/>
        </w:rPr>
        <w:t>.</w:t>
      </w:r>
      <w:r>
        <w:rPr>
          <w:rFonts w:ascii="Arial" w:hAnsi="Arial" w:cs="Arial"/>
          <w:color w:val="000000"/>
        </w:rPr>
        <w:t xml:space="preserve"> A késedelmes és éven belül lejáró nem késedelmes törlesztőrészleteket is a hitel végső lejáratának megfelelően kell jelenteni. A felmondott hiteleket nem kell jelenteni.</w:t>
      </w:r>
    </w:p>
    <w:p w14:paraId="6617A695" w14:textId="2E10F3CC"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022</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w:t>
      </w:r>
      <w:r>
        <w:rPr>
          <w:rFonts w:ascii="Arial" w:hAnsi="Arial" w:cs="Arial"/>
          <w:color w:val="000000"/>
        </w:rPr>
        <w:t xml:space="preserve">hitelintézeti csoport esetén </w:t>
      </w:r>
      <w:r w:rsidRPr="003F7D60">
        <w:rPr>
          <w:rFonts w:ascii="Arial" w:hAnsi="Arial" w:cs="Arial"/>
          <w:color w:val="000000"/>
        </w:rPr>
        <w:t>a hitelintézeti csoport lakástakarékpénztár tagjai által nyújtott forint lakossági jelzáloghiteleket, könyv szerinti nettó értékük alapján, amennyiben azok 1 éven túli hátralévő lejáratúak.</w:t>
      </w:r>
    </w:p>
    <w:p w14:paraId="345EA122" w14:textId="5B65ABAE" w:rsidR="0070681E" w:rsidRPr="003F7D60" w:rsidRDefault="0070681E" w:rsidP="0070681E">
      <w:pPr>
        <w:pStyle w:val="Listaszerbekezds"/>
        <w:numPr>
          <w:ilvl w:val="0"/>
          <w:numId w:val="0"/>
        </w:numPr>
        <w:contextualSpacing w:val="0"/>
        <w:rPr>
          <w:rFonts w:ascii="Arial" w:hAnsi="Arial" w:cs="Arial"/>
          <w:color w:val="000000"/>
        </w:rPr>
      </w:pPr>
      <w:r>
        <w:rPr>
          <w:rFonts w:ascii="Arial" w:hAnsi="Arial" w:cs="Arial"/>
          <w:b/>
          <w:color w:val="000000"/>
        </w:rPr>
        <w:t>023</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itt kell jelenteni </w:t>
      </w:r>
      <w:r>
        <w:rPr>
          <w:rFonts w:ascii="Arial" w:hAnsi="Arial" w:cs="Arial"/>
          <w:color w:val="000000"/>
        </w:rPr>
        <w:t xml:space="preserve">hitelintézeti csoport esetén </w:t>
      </w:r>
      <w:r w:rsidRPr="003F7D60">
        <w:rPr>
          <w:rFonts w:ascii="Arial" w:hAnsi="Arial" w:cs="Arial"/>
          <w:color w:val="000000"/>
        </w:rPr>
        <w:t xml:space="preserve">a hitelintézeti csoport tagjai által a hitelintézeti csoporthoz tartozó lakástakarékpénztár részére nyújtott forrásokat. Amennyiben </w:t>
      </w:r>
      <w:r w:rsidRPr="00EC66C7">
        <w:rPr>
          <w:rFonts w:ascii="Arial" w:hAnsi="Arial" w:cs="Arial"/>
          <w:color w:val="000000"/>
        </w:rPr>
        <w:t xml:space="preserve">a </w:t>
      </w:r>
      <w:r w:rsidRPr="00CE3105">
        <w:rPr>
          <w:rFonts w:ascii="Arial" w:hAnsi="Arial" w:cs="Arial"/>
          <w:color w:val="000000"/>
        </w:rPr>
        <w:t>0</w:t>
      </w:r>
      <w:r>
        <w:rPr>
          <w:rFonts w:ascii="Arial" w:hAnsi="Arial" w:cs="Arial"/>
          <w:color w:val="000000"/>
        </w:rPr>
        <w:t>22</w:t>
      </w:r>
      <w:r w:rsidRPr="00CE3105">
        <w:rPr>
          <w:rFonts w:ascii="Arial" w:hAnsi="Arial" w:cs="Arial"/>
          <w:color w:val="000000"/>
        </w:rPr>
        <w:t>.</w:t>
      </w:r>
      <w:r w:rsidRPr="00EC66C7">
        <w:rPr>
          <w:rFonts w:ascii="Arial" w:hAnsi="Arial" w:cs="Arial"/>
          <w:color w:val="000000"/>
        </w:rPr>
        <w:t xml:space="preserve"> sor</w:t>
      </w:r>
      <w:r w:rsidRPr="003F7D60">
        <w:rPr>
          <w:rFonts w:ascii="Arial" w:hAnsi="Arial" w:cs="Arial"/>
          <w:color w:val="000000"/>
        </w:rPr>
        <w:t xml:space="preserve"> értéke 0, a sor értéke 0.</w:t>
      </w:r>
    </w:p>
    <w:p w14:paraId="2D586A9F" w14:textId="6678127E" w:rsidR="0070681E" w:rsidRDefault="0070681E" w:rsidP="0070681E">
      <w:pPr>
        <w:rPr>
          <w:rFonts w:ascii="Arial" w:hAnsi="Arial" w:cs="Arial"/>
          <w:color w:val="000000"/>
        </w:rPr>
      </w:pPr>
      <w:r>
        <w:rPr>
          <w:rFonts w:ascii="Arial" w:hAnsi="Arial" w:cs="Arial"/>
          <w:b/>
          <w:color w:val="000000"/>
        </w:rPr>
        <w:t>024</w:t>
      </w:r>
      <w:r w:rsidR="000F5F54">
        <w:rPr>
          <w:rFonts w:ascii="Arial" w:hAnsi="Arial" w:cs="Arial"/>
          <w:b/>
          <w:color w:val="000000"/>
        </w:rPr>
        <w:t>.</w:t>
      </w:r>
      <w:r w:rsidRPr="003F7D60">
        <w:rPr>
          <w:rFonts w:ascii="Arial" w:hAnsi="Arial" w:cs="Arial"/>
          <w:b/>
          <w:color w:val="000000"/>
        </w:rPr>
        <w:t xml:space="preserve"> </w:t>
      </w:r>
      <w:r w:rsidRPr="00CE3105">
        <w:rPr>
          <w:rFonts w:ascii="Arial" w:hAnsi="Arial" w:cs="Arial"/>
          <w:b/>
          <w:color w:val="000000"/>
        </w:rPr>
        <w:t>sor:</w:t>
      </w:r>
      <w:r w:rsidRPr="003F7D60">
        <w:rPr>
          <w:rFonts w:ascii="Arial" w:hAnsi="Arial" w:cs="Arial"/>
          <w:color w:val="000000"/>
        </w:rPr>
        <w:t xml:space="preserve"> ebben a sorban a </w:t>
      </w:r>
      <w:proofErr w:type="spellStart"/>
      <w:r w:rsidRPr="003F7D60">
        <w:rPr>
          <w:rFonts w:ascii="Arial" w:hAnsi="Arial" w:cs="Arial"/>
          <w:color w:val="000000"/>
        </w:rPr>
        <w:t>Jmmr</w:t>
      </w:r>
      <w:proofErr w:type="spellEnd"/>
      <w:r w:rsidRPr="003F7D60">
        <w:rPr>
          <w:rFonts w:ascii="Arial" w:hAnsi="Arial" w:cs="Arial"/>
          <w:color w:val="000000"/>
        </w:rPr>
        <w:t>. szerinti jelzáloghitel-finanszírozás megfelelési mutató (</w:t>
      </w:r>
      <w:proofErr w:type="spellStart"/>
      <w:r w:rsidRPr="003F7D60">
        <w:rPr>
          <w:rFonts w:ascii="Arial" w:hAnsi="Arial" w:cs="Arial"/>
          <w:color w:val="000000"/>
        </w:rPr>
        <w:t>JMM</w:t>
      </w:r>
      <w:proofErr w:type="spellEnd"/>
      <w:r w:rsidRPr="003F7D60">
        <w:rPr>
          <w:rFonts w:ascii="Arial" w:hAnsi="Arial" w:cs="Arial"/>
          <w:color w:val="000000"/>
        </w:rPr>
        <w:t>) érték</w:t>
      </w:r>
      <w:r>
        <w:rPr>
          <w:rFonts w:ascii="Arial" w:hAnsi="Arial" w:cs="Arial"/>
          <w:color w:val="000000"/>
        </w:rPr>
        <w:t>ét kell megadni, amely</w:t>
      </w:r>
      <w:r w:rsidRPr="003F7D60">
        <w:rPr>
          <w:rFonts w:ascii="Arial" w:hAnsi="Arial" w:cs="Arial"/>
          <w:color w:val="000000"/>
        </w:rPr>
        <w:t xml:space="preserve"> a stabil jelzálog alapú források, valamint a finanszírozott forint lakossági jelzáloghitelek </w:t>
      </w:r>
      <w:r>
        <w:rPr>
          <w:rFonts w:ascii="Arial" w:hAnsi="Arial" w:cs="Arial"/>
          <w:color w:val="000000"/>
        </w:rPr>
        <w:t xml:space="preserve">állományának </w:t>
      </w:r>
      <w:r w:rsidRPr="003F7D60">
        <w:rPr>
          <w:rFonts w:ascii="Arial" w:hAnsi="Arial" w:cs="Arial"/>
          <w:color w:val="000000"/>
        </w:rPr>
        <w:t>hányadosaként számítandó ki. Az adatszolgáltatónak a mutató értékét három tizedesjegy pontossággal, százalékpontos (azaz együtthatós) formában kell kimutatnia.</w:t>
      </w:r>
    </w:p>
    <w:p w14:paraId="33FF245D" w14:textId="77777777" w:rsidR="0070681E" w:rsidRPr="003F7D60" w:rsidRDefault="0070681E" w:rsidP="0070681E">
      <w:pPr>
        <w:rPr>
          <w:rFonts w:ascii="Arial" w:hAnsi="Arial" w:cs="Arial"/>
          <w:color w:val="000000"/>
        </w:rPr>
      </w:pPr>
    </w:p>
    <w:p w14:paraId="5E22CC04" w14:textId="77777777" w:rsidR="0070681E" w:rsidRPr="003F7D60" w:rsidRDefault="0070681E" w:rsidP="0070681E">
      <w:pPr>
        <w:rPr>
          <w:rFonts w:ascii="Arial" w:hAnsi="Arial" w:cs="Arial"/>
          <w:b/>
          <w:color w:val="000000"/>
          <w:u w:val="single"/>
        </w:rPr>
      </w:pPr>
      <w:proofErr w:type="spellStart"/>
      <w:r w:rsidRPr="003F7D60">
        <w:rPr>
          <w:rFonts w:ascii="Arial" w:hAnsi="Arial" w:cs="Arial"/>
          <w:b/>
          <w:bCs/>
          <w:color w:val="000000"/>
        </w:rPr>
        <w:t>KONSZJMM</w:t>
      </w:r>
      <w:proofErr w:type="spellEnd"/>
      <w:r w:rsidRPr="003F7D60">
        <w:rPr>
          <w:rFonts w:ascii="Arial" w:hAnsi="Arial" w:cs="Arial"/>
          <w:b/>
          <w:bCs/>
          <w:color w:val="000000"/>
        </w:rPr>
        <w:t xml:space="preserve"> tábla: Negyedéves jelentés a jelzáloghitel-finanszírozás megfelelési mutatóról - Konszolidált tételek</w:t>
      </w:r>
    </w:p>
    <w:p w14:paraId="77F9932F" w14:textId="77777777" w:rsidR="0070681E" w:rsidRPr="003F7D60" w:rsidRDefault="0070681E" w:rsidP="0070681E">
      <w:pPr>
        <w:rPr>
          <w:rFonts w:ascii="Arial" w:hAnsi="Arial" w:cs="Arial"/>
          <w:color w:val="000000"/>
        </w:rPr>
      </w:pPr>
      <w:r w:rsidRPr="003F7D60">
        <w:rPr>
          <w:rFonts w:ascii="Arial" w:hAnsi="Arial" w:cs="Arial"/>
          <w:color w:val="000000"/>
        </w:rPr>
        <w:t>1. A „konszolidált” fogalmat – a konszolidált felügyeleti jelentéseknél irányadó számviteli jogszabályoktól és a Hpt.-</w:t>
      </w:r>
      <w:proofErr w:type="spellStart"/>
      <w:r w:rsidRPr="003F7D60">
        <w:rPr>
          <w:rFonts w:ascii="Arial" w:hAnsi="Arial" w:cs="Arial"/>
          <w:color w:val="000000"/>
        </w:rPr>
        <w:t>től</w:t>
      </w:r>
      <w:proofErr w:type="spellEnd"/>
      <w:r w:rsidRPr="003F7D60">
        <w:rPr>
          <w:rFonts w:ascii="Arial" w:hAnsi="Arial" w:cs="Arial"/>
          <w:color w:val="000000"/>
        </w:rPr>
        <w:t xml:space="preserve"> eltérően – a </w:t>
      </w:r>
      <w:proofErr w:type="spellStart"/>
      <w:r w:rsidRPr="003F7D60">
        <w:rPr>
          <w:rFonts w:ascii="Arial" w:hAnsi="Arial" w:cs="Arial"/>
          <w:color w:val="000000"/>
        </w:rPr>
        <w:t>Jmmr</w:t>
      </w:r>
      <w:proofErr w:type="spellEnd"/>
      <w:r w:rsidRPr="003F7D60">
        <w:rPr>
          <w:rFonts w:ascii="Arial" w:hAnsi="Arial" w:cs="Arial"/>
          <w:color w:val="000000"/>
        </w:rPr>
        <w:t xml:space="preserve">. 1. § (1) </w:t>
      </w:r>
      <w:r>
        <w:rPr>
          <w:rFonts w:ascii="Arial" w:hAnsi="Arial" w:cs="Arial"/>
          <w:color w:val="000000"/>
        </w:rPr>
        <w:t xml:space="preserve">bekezdése </w:t>
      </w:r>
      <w:r w:rsidRPr="003F7D60">
        <w:rPr>
          <w:rFonts w:ascii="Arial" w:hAnsi="Arial" w:cs="Arial"/>
          <w:color w:val="000000"/>
        </w:rPr>
        <w:t>és 3. § (4) bekezdése szerint kell értelmezni.</w:t>
      </w:r>
    </w:p>
    <w:p w14:paraId="73812586" w14:textId="6B118D35" w:rsidR="00A93E58" w:rsidRPr="0070681E" w:rsidRDefault="0070681E" w:rsidP="00A85D91">
      <w:pPr>
        <w:spacing w:after="0"/>
        <w:rPr>
          <w:rFonts w:ascii="Arial" w:hAnsi="Arial" w:cs="Arial"/>
        </w:rPr>
      </w:pPr>
      <w:r>
        <w:rPr>
          <w:rFonts w:ascii="Arial" w:hAnsi="Arial" w:cs="Arial"/>
          <w:color w:val="000000"/>
        </w:rPr>
        <w:t>2. A táblát a</w:t>
      </w:r>
      <w:r w:rsidRPr="003F7D60">
        <w:rPr>
          <w:rFonts w:ascii="Arial" w:hAnsi="Arial" w:cs="Arial"/>
          <w:color w:val="000000"/>
        </w:rPr>
        <w:t xml:space="preserve"> hitelintézeti csoportot vezető hitelintézetnek kell kitölteni</w:t>
      </w:r>
      <w:r>
        <w:rPr>
          <w:rFonts w:ascii="Arial" w:hAnsi="Arial" w:cs="Arial"/>
          <w:color w:val="000000"/>
        </w:rPr>
        <w:t>e,</w:t>
      </w:r>
      <w:r w:rsidRPr="003F7D60">
        <w:rPr>
          <w:rFonts w:ascii="Arial" w:hAnsi="Arial" w:cs="Arial"/>
          <w:color w:val="000000"/>
        </w:rPr>
        <w:t xml:space="preserve"> a </w:t>
      </w:r>
      <w:proofErr w:type="spellStart"/>
      <w:r w:rsidRPr="003F7D60">
        <w:rPr>
          <w:rFonts w:ascii="Arial" w:hAnsi="Arial" w:cs="Arial"/>
          <w:color w:val="000000"/>
        </w:rPr>
        <w:t>JMM</w:t>
      </w:r>
      <w:proofErr w:type="spellEnd"/>
      <w:r>
        <w:rPr>
          <w:rFonts w:ascii="Arial" w:hAnsi="Arial" w:cs="Arial"/>
          <w:color w:val="000000"/>
        </w:rPr>
        <w:t xml:space="preserve"> táblára</w:t>
      </w:r>
      <w:r w:rsidRPr="003F7D60">
        <w:rPr>
          <w:rFonts w:ascii="Arial" w:hAnsi="Arial" w:cs="Arial"/>
          <w:color w:val="000000"/>
        </w:rPr>
        <w:t xml:space="preserve"> vonatkozó kitöltési </w:t>
      </w:r>
      <w:r>
        <w:rPr>
          <w:rFonts w:ascii="Arial" w:hAnsi="Arial" w:cs="Arial"/>
          <w:color w:val="000000"/>
        </w:rPr>
        <w:t>előírások</w:t>
      </w:r>
      <w:r w:rsidRPr="003F7D60">
        <w:rPr>
          <w:rFonts w:ascii="Arial" w:hAnsi="Arial" w:cs="Arial"/>
          <w:color w:val="000000"/>
        </w:rPr>
        <w:t xml:space="preserve"> szerint </w:t>
      </w:r>
      <w:r>
        <w:rPr>
          <w:rFonts w:ascii="Arial" w:hAnsi="Arial" w:cs="Arial"/>
          <w:color w:val="000000"/>
        </w:rPr>
        <w:t>azzal</w:t>
      </w:r>
      <w:r w:rsidRPr="003F7D60">
        <w:rPr>
          <w:rFonts w:ascii="Arial" w:hAnsi="Arial" w:cs="Arial"/>
          <w:color w:val="000000"/>
        </w:rPr>
        <w:t xml:space="preserve">, hogy az a </w:t>
      </w:r>
      <w:r>
        <w:rPr>
          <w:rFonts w:ascii="Arial" w:hAnsi="Arial" w:cs="Arial"/>
          <w:color w:val="000000"/>
        </w:rPr>
        <w:t>hitelintézeti</w:t>
      </w:r>
      <w:r w:rsidRPr="003F7D60">
        <w:rPr>
          <w:rFonts w:ascii="Arial" w:hAnsi="Arial" w:cs="Arial"/>
          <w:color w:val="000000"/>
        </w:rPr>
        <w:t xml:space="preserve"> csoport</w:t>
      </w:r>
      <w:r>
        <w:rPr>
          <w:rFonts w:ascii="Arial" w:hAnsi="Arial" w:cs="Arial"/>
          <w:color w:val="000000"/>
        </w:rPr>
        <w:t xml:space="preserve"> tagjaival</w:t>
      </w:r>
      <w:r w:rsidRPr="003F7D60">
        <w:rPr>
          <w:rFonts w:ascii="Arial" w:hAnsi="Arial" w:cs="Arial"/>
          <w:color w:val="000000"/>
        </w:rPr>
        <w:t xml:space="preserve"> konszolidált adatokat tartalmazza.</w:t>
      </w:r>
      <w:r w:rsidR="0008245B" w:rsidRPr="0070681E">
        <w:rPr>
          <w:rFonts w:ascii="Arial" w:hAnsi="Arial" w:cs="Arial"/>
        </w:rPr>
        <w:t>”</w:t>
      </w:r>
    </w:p>
    <w:p w14:paraId="7BE35D49" w14:textId="060239B0" w:rsidR="0008245B" w:rsidRDefault="0008245B" w:rsidP="008F1015">
      <w:pPr>
        <w:spacing w:after="0" w:line="240" w:lineRule="auto"/>
        <w:rPr>
          <w:rFonts w:ascii="Arial" w:hAnsi="Arial" w:cs="Arial"/>
        </w:rPr>
      </w:pPr>
    </w:p>
    <w:p w14:paraId="1E6BD89A" w14:textId="77777777" w:rsidR="005F385B" w:rsidRPr="002840AB" w:rsidRDefault="005F385B" w:rsidP="008F1015">
      <w:pPr>
        <w:spacing w:after="0" w:line="240" w:lineRule="auto"/>
        <w:rPr>
          <w:rFonts w:ascii="Arial" w:hAnsi="Arial" w:cs="Arial"/>
        </w:rPr>
      </w:pPr>
    </w:p>
    <w:p w14:paraId="7BD81C41" w14:textId="59C4DC2A" w:rsidR="00030633" w:rsidRPr="002840AB" w:rsidRDefault="00030633" w:rsidP="00030633">
      <w:pPr>
        <w:spacing w:after="0"/>
        <w:rPr>
          <w:rFonts w:ascii="Arial" w:hAnsi="Arial" w:cs="Arial"/>
        </w:rPr>
      </w:pPr>
      <w:r w:rsidRPr="002840AB">
        <w:rPr>
          <w:rFonts w:ascii="Arial" w:hAnsi="Arial" w:cs="Arial"/>
        </w:rPr>
        <w:t>5. A 38/2018. (XI. 14.) MNB rendelet 2. melléklet II. pontjában a P57 MNB azonosító kódú adatszolgáltatás kitöltési előírásai helyébe a következő rendelkezés</w:t>
      </w:r>
      <w:r w:rsidR="009737EE">
        <w:rPr>
          <w:rFonts w:ascii="Arial" w:hAnsi="Arial" w:cs="Arial"/>
        </w:rPr>
        <w:t>ek</w:t>
      </w:r>
      <w:r w:rsidRPr="002840AB">
        <w:rPr>
          <w:rFonts w:ascii="Arial" w:hAnsi="Arial" w:cs="Arial"/>
        </w:rPr>
        <w:t xml:space="preserve"> lép</w:t>
      </w:r>
      <w:r w:rsidR="009737EE">
        <w:rPr>
          <w:rFonts w:ascii="Arial" w:hAnsi="Arial" w:cs="Arial"/>
        </w:rPr>
        <w:t>nek</w:t>
      </w:r>
      <w:r w:rsidRPr="002840AB">
        <w:rPr>
          <w:rFonts w:ascii="Arial" w:hAnsi="Arial" w:cs="Arial"/>
        </w:rPr>
        <w:t xml:space="preserve">: </w:t>
      </w:r>
    </w:p>
    <w:p w14:paraId="1D957D4B" w14:textId="336DF0F9" w:rsidR="007626EA" w:rsidRPr="002840AB" w:rsidRDefault="007626EA" w:rsidP="008F1015">
      <w:pPr>
        <w:spacing w:after="0" w:line="240" w:lineRule="auto"/>
        <w:rPr>
          <w:rFonts w:ascii="Arial" w:hAnsi="Arial" w:cs="Arial"/>
        </w:rPr>
      </w:pPr>
    </w:p>
    <w:p w14:paraId="092EB15F" w14:textId="67E8AF9F" w:rsidR="00030633" w:rsidRPr="002840AB" w:rsidRDefault="00030633" w:rsidP="00030633">
      <w:pPr>
        <w:autoSpaceDE w:val="0"/>
        <w:autoSpaceDN w:val="0"/>
        <w:adjustRightInd w:val="0"/>
        <w:spacing w:after="0"/>
        <w:jc w:val="left"/>
        <w:rPr>
          <w:rFonts w:ascii="Arial" w:hAnsi="Arial" w:cs="Arial"/>
          <w:b/>
          <w:bCs/>
        </w:rPr>
      </w:pPr>
      <w:r w:rsidRPr="007D6B27">
        <w:rPr>
          <w:rFonts w:ascii="Arial" w:hAnsi="Arial" w:cs="Arial"/>
          <w:bCs/>
        </w:rPr>
        <w:t>„</w:t>
      </w:r>
      <w:r w:rsidRPr="002840AB">
        <w:rPr>
          <w:rFonts w:ascii="Arial" w:hAnsi="Arial" w:cs="Arial"/>
          <w:b/>
          <w:bCs/>
        </w:rPr>
        <w:t>MNB azonosító kód: P57</w:t>
      </w:r>
    </w:p>
    <w:p w14:paraId="32E7EF45" w14:textId="77777777" w:rsidR="00030633" w:rsidRPr="00D53612" w:rsidRDefault="00030633" w:rsidP="00030633">
      <w:pPr>
        <w:autoSpaceDE w:val="0"/>
        <w:autoSpaceDN w:val="0"/>
        <w:adjustRightInd w:val="0"/>
        <w:spacing w:after="0"/>
        <w:jc w:val="left"/>
        <w:rPr>
          <w:rFonts w:ascii="Arial" w:hAnsi="Arial" w:cs="Arial"/>
          <w:b/>
          <w:bCs/>
        </w:rPr>
      </w:pPr>
    </w:p>
    <w:p w14:paraId="06D2FBF8" w14:textId="77777777" w:rsidR="00030633" w:rsidRPr="00D53612" w:rsidRDefault="00030633" w:rsidP="00030633">
      <w:pPr>
        <w:autoSpaceDE w:val="0"/>
        <w:autoSpaceDN w:val="0"/>
        <w:adjustRightInd w:val="0"/>
        <w:spacing w:after="0"/>
        <w:jc w:val="center"/>
        <w:rPr>
          <w:rFonts w:ascii="Arial" w:hAnsi="Arial" w:cs="Arial"/>
          <w:b/>
          <w:bCs/>
        </w:rPr>
      </w:pPr>
      <w:r w:rsidRPr="00D53612">
        <w:rPr>
          <w:rFonts w:ascii="Arial" w:hAnsi="Arial" w:cs="Arial"/>
          <w:b/>
          <w:bCs/>
        </w:rPr>
        <w:t>Kitöltési előírások</w:t>
      </w:r>
    </w:p>
    <w:p w14:paraId="6718FAA9" w14:textId="77777777" w:rsidR="00030633" w:rsidRPr="00D53612" w:rsidRDefault="00030633" w:rsidP="00030633">
      <w:pPr>
        <w:autoSpaceDE w:val="0"/>
        <w:autoSpaceDN w:val="0"/>
        <w:adjustRightInd w:val="0"/>
        <w:spacing w:after="0"/>
        <w:jc w:val="center"/>
        <w:rPr>
          <w:rFonts w:ascii="Arial" w:hAnsi="Arial" w:cs="Arial"/>
          <w:b/>
        </w:rPr>
      </w:pPr>
      <w:proofErr w:type="spellStart"/>
      <w:r w:rsidRPr="00D53612">
        <w:rPr>
          <w:rFonts w:ascii="Arial" w:hAnsi="Arial" w:cs="Arial"/>
          <w:b/>
        </w:rPr>
        <w:t>BKR</w:t>
      </w:r>
      <w:proofErr w:type="spellEnd"/>
      <w:r w:rsidRPr="00D53612">
        <w:rPr>
          <w:rFonts w:ascii="Arial" w:hAnsi="Arial" w:cs="Arial"/>
          <w:b/>
        </w:rPr>
        <w:t xml:space="preserve"> forgalom tranzakció szintű adatai</w:t>
      </w:r>
      <w:r w:rsidRPr="00D53612">
        <w:rPr>
          <w:rFonts w:ascii="Arial" w:hAnsi="Arial" w:cs="Arial"/>
          <w:b/>
          <w:bCs/>
        </w:rPr>
        <w:t xml:space="preserve"> </w:t>
      </w:r>
      <w:r w:rsidRPr="00D53612">
        <w:rPr>
          <w:rFonts w:ascii="Arial" w:hAnsi="Arial" w:cs="Arial"/>
          <w:b/>
          <w:bCs/>
        </w:rPr>
        <w:br/>
      </w:r>
    </w:p>
    <w:p w14:paraId="44550D9F" w14:textId="77777777" w:rsidR="00030633" w:rsidRPr="00D53612" w:rsidRDefault="00030633" w:rsidP="00030633">
      <w:pPr>
        <w:pStyle w:val="Szvegtrzs"/>
        <w:rPr>
          <w:rFonts w:ascii="Arial" w:hAnsi="Arial" w:cs="Arial"/>
          <w:sz w:val="20"/>
        </w:rPr>
      </w:pPr>
    </w:p>
    <w:p w14:paraId="45516883" w14:textId="1286B4F8" w:rsidR="00D53612" w:rsidRPr="00D53612" w:rsidRDefault="00030633" w:rsidP="00586C7D">
      <w:pPr>
        <w:spacing w:after="0"/>
        <w:rPr>
          <w:rFonts w:ascii="Arial" w:hAnsi="Arial" w:cs="Arial"/>
        </w:rPr>
      </w:pPr>
      <w:r w:rsidRPr="00D53612">
        <w:rPr>
          <w:rFonts w:ascii="Arial" w:hAnsi="Arial" w:cs="Arial"/>
        </w:rPr>
        <w:t>Az adatszolgáltatás keretében az éjszakai</w:t>
      </w:r>
      <w:r w:rsidR="00D53612" w:rsidRPr="00D53612">
        <w:rPr>
          <w:rFonts w:ascii="Arial" w:hAnsi="Arial" w:cs="Arial"/>
        </w:rPr>
        <w:t>,</w:t>
      </w:r>
      <w:r w:rsidRPr="00D53612">
        <w:rPr>
          <w:rFonts w:ascii="Arial" w:hAnsi="Arial" w:cs="Arial"/>
        </w:rPr>
        <w:t xml:space="preserve"> a nappali </w:t>
      </w:r>
      <w:r w:rsidR="00D53612" w:rsidRPr="00D53612">
        <w:rPr>
          <w:rFonts w:ascii="Arial" w:hAnsi="Arial" w:cs="Arial"/>
        </w:rPr>
        <w:t xml:space="preserve">és az azonnali elszámolás </w:t>
      </w:r>
      <w:r w:rsidRPr="00D53612">
        <w:rPr>
          <w:rFonts w:ascii="Arial" w:hAnsi="Arial" w:cs="Arial"/>
        </w:rPr>
        <w:t xml:space="preserve">klíring és </w:t>
      </w:r>
      <w:proofErr w:type="gramStart"/>
      <w:r w:rsidRPr="00D53612">
        <w:rPr>
          <w:rFonts w:ascii="Arial" w:hAnsi="Arial" w:cs="Arial"/>
        </w:rPr>
        <w:t>non-klíring</w:t>
      </w:r>
      <w:proofErr w:type="gramEnd"/>
      <w:r w:rsidRPr="00D53612">
        <w:rPr>
          <w:rFonts w:ascii="Arial" w:hAnsi="Arial" w:cs="Arial"/>
        </w:rPr>
        <w:t xml:space="preserve"> forgalomra vonatkozó, tranzakció szintű adatokat kell jelenteni. Klíring tranzakciónak a pénzmozgással járó, </w:t>
      </w:r>
      <w:proofErr w:type="gramStart"/>
      <w:r w:rsidRPr="00D53612">
        <w:rPr>
          <w:rFonts w:ascii="Arial" w:hAnsi="Arial" w:cs="Arial"/>
        </w:rPr>
        <w:t>non-klíring</w:t>
      </w:r>
      <w:proofErr w:type="gramEnd"/>
      <w:r w:rsidRPr="00D53612">
        <w:rPr>
          <w:rFonts w:ascii="Arial" w:hAnsi="Arial" w:cs="Arial"/>
        </w:rPr>
        <w:t xml:space="preserve"> tranzakciónak a pénzmozgással nem járó tranzakció tekintendő. </w:t>
      </w:r>
      <w:r w:rsidR="00D53612" w:rsidRPr="00D53612">
        <w:rPr>
          <w:rFonts w:ascii="Arial" w:hAnsi="Arial" w:cs="Arial"/>
        </w:rPr>
        <w:t>Az átadott állományok tartalmazzák a másodlagos számlaazonosítókkal és a fizetési kérelmekkel kapcsolatos üzenetekre vonatkozó adatokat is.</w:t>
      </w:r>
    </w:p>
    <w:p w14:paraId="0DF859A4" w14:textId="1ADDAD63" w:rsidR="00030633" w:rsidRPr="00D53612" w:rsidRDefault="00030633" w:rsidP="00586C7D">
      <w:pPr>
        <w:spacing w:after="0"/>
        <w:rPr>
          <w:rFonts w:ascii="Arial" w:hAnsi="Arial" w:cs="Arial"/>
        </w:rPr>
      </w:pPr>
    </w:p>
    <w:p w14:paraId="3AED3EB4" w14:textId="77777777" w:rsidR="00030633" w:rsidRPr="00D53612" w:rsidRDefault="00030633" w:rsidP="00586C7D">
      <w:pPr>
        <w:spacing w:after="0"/>
        <w:rPr>
          <w:rFonts w:ascii="Arial" w:hAnsi="Arial" w:cs="Arial"/>
        </w:rPr>
      </w:pPr>
      <w:r w:rsidRPr="00D53612">
        <w:rPr>
          <w:rFonts w:ascii="Arial" w:hAnsi="Arial" w:cs="Arial"/>
        </w:rPr>
        <w:t xml:space="preserve">Az adatszolgáltatást az adatszolgáltató az MNB által előzetesen meghatározott adatszerkezetben küldi meg az MNB részére. </w:t>
      </w:r>
    </w:p>
    <w:p w14:paraId="3A8B5988" w14:textId="77777777" w:rsidR="00030633" w:rsidRPr="00D53612" w:rsidRDefault="00030633" w:rsidP="00586C7D">
      <w:pPr>
        <w:spacing w:after="0"/>
        <w:rPr>
          <w:rFonts w:ascii="Arial" w:hAnsi="Arial" w:cs="Arial"/>
        </w:rPr>
      </w:pPr>
    </w:p>
    <w:p w14:paraId="0EF67D97" w14:textId="01D295D6" w:rsidR="00030633" w:rsidRPr="00D53612" w:rsidRDefault="00030633" w:rsidP="00586C7D">
      <w:pPr>
        <w:spacing w:after="0"/>
        <w:rPr>
          <w:rFonts w:ascii="Arial" w:hAnsi="Arial" w:cs="Arial"/>
        </w:rPr>
      </w:pPr>
      <w:r w:rsidRPr="00D53612">
        <w:rPr>
          <w:rFonts w:ascii="Arial" w:hAnsi="Arial" w:cs="Arial"/>
        </w:rPr>
        <w:t xml:space="preserve">Az adatokat az érintettel kapcsolatba nem hozható, azaz </w:t>
      </w:r>
      <w:proofErr w:type="spellStart"/>
      <w:r w:rsidRPr="00D53612">
        <w:rPr>
          <w:rFonts w:ascii="Arial" w:hAnsi="Arial" w:cs="Arial"/>
        </w:rPr>
        <w:t>anonimizált</w:t>
      </w:r>
      <w:bookmarkStart w:id="25" w:name="_Toc409615058"/>
      <w:proofErr w:type="spellEnd"/>
      <w:r w:rsidRPr="00D53612">
        <w:rPr>
          <w:rFonts w:ascii="Arial" w:hAnsi="Arial" w:cs="Arial"/>
        </w:rPr>
        <w:t xml:space="preserve"> formában kell szolgáltatni.</w:t>
      </w:r>
      <w:r w:rsidR="002840AB" w:rsidRPr="00D53612">
        <w:rPr>
          <w:rFonts w:ascii="Arial" w:hAnsi="Arial" w:cs="Arial"/>
        </w:rPr>
        <w:t>”</w:t>
      </w:r>
    </w:p>
    <w:bookmarkEnd w:id="25"/>
    <w:p w14:paraId="1BC25474" w14:textId="703F1511" w:rsidR="00030633" w:rsidRDefault="00030633" w:rsidP="008F1015">
      <w:pPr>
        <w:spacing w:after="0" w:line="240" w:lineRule="auto"/>
        <w:rPr>
          <w:rFonts w:ascii="Arial" w:hAnsi="Arial" w:cs="Arial"/>
        </w:rPr>
      </w:pPr>
    </w:p>
    <w:p w14:paraId="6B35AB92" w14:textId="60AB0420" w:rsidR="00C444D8" w:rsidRDefault="00A608FA" w:rsidP="00C444D8">
      <w:pPr>
        <w:keepNext/>
        <w:spacing w:after="0" w:line="240" w:lineRule="auto"/>
        <w:rPr>
          <w:rFonts w:ascii="Arial" w:hAnsi="Arial" w:cs="Arial"/>
        </w:rPr>
      </w:pPr>
      <w:r>
        <w:rPr>
          <w:rFonts w:ascii="Arial" w:hAnsi="Arial" w:cs="Arial"/>
        </w:rPr>
        <w:lastRenderedPageBreak/>
        <w:t>6</w:t>
      </w:r>
      <w:r w:rsidR="001E76EE" w:rsidRPr="002840AB">
        <w:rPr>
          <w:rFonts w:ascii="Arial" w:hAnsi="Arial" w:cs="Arial"/>
        </w:rPr>
        <w:t xml:space="preserve">. </w:t>
      </w:r>
      <w:bookmarkStart w:id="26" w:name="_Hlk3969503"/>
      <w:r w:rsidR="001E76EE" w:rsidRPr="002840AB">
        <w:rPr>
          <w:rFonts w:ascii="Arial" w:hAnsi="Arial" w:cs="Arial"/>
        </w:rPr>
        <w:t>A 38/2018. (XI. 14.) MNB rendelet 2. melléklet II. pontja a</w:t>
      </w:r>
      <w:r w:rsidR="00094EB5" w:rsidRPr="002840AB">
        <w:rPr>
          <w:rFonts w:ascii="Arial" w:hAnsi="Arial" w:cs="Arial"/>
        </w:rPr>
        <w:t xml:space="preserve"> P66 MNB azonosító kódú adatszolgáltatás </w:t>
      </w:r>
      <w:r w:rsidR="003317D8" w:rsidRPr="002840AB">
        <w:rPr>
          <w:rFonts w:ascii="Arial" w:hAnsi="Arial" w:cs="Arial"/>
        </w:rPr>
        <w:t xml:space="preserve">tábláját követően a következő </w:t>
      </w:r>
      <w:r w:rsidR="003C2FE1" w:rsidRPr="002840AB">
        <w:rPr>
          <w:rFonts w:ascii="Arial" w:hAnsi="Arial" w:cs="Arial"/>
        </w:rPr>
        <w:t>rendelkezésekkel egészül ki:</w:t>
      </w:r>
      <w:bookmarkEnd w:id="26"/>
    </w:p>
    <w:p w14:paraId="1BCA2CDF" w14:textId="77777777" w:rsidR="00C444D8" w:rsidRDefault="00C444D8" w:rsidP="00C444D8">
      <w:pPr>
        <w:keepNext/>
        <w:spacing w:after="0" w:line="240" w:lineRule="auto"/>
        <w:rPr>
          <w:rFonts w:ascii="Arial" w:hAnsi="Arial" w:cs="Arial"/>
        </w:rPr>
      </w:pPr>
    </w:p>
    <w:p w14:paraId="332F8994" w14:textId="7157D0B2" w:rsidR="003C2FE1" w:rsidRPr="002840AB" w:rsidRDefault="001C748D" w:rsidP="00A608FA">
      <w:pPr>
        <w:spacing w:after="0" w:line="240" w:lineRule="auto"/>
        <w:rPr>
          <w:rFonts w:ascii="Arial" w:hAnsi="Arial" w:cs="Arial"/>
        </w:rPr>
      </w:pPr>
      <w:r w:rsidRPr="001C748D">
        <w:rPr>
          <w:noProof/>
        </w:rPr>
        <w:drawing>
          <wp:inline distT="0" distB="0" distL="0" distR="0" wp14:anchorId="0F6AB544" wp14:editId="69FF8028">
            <wp:extent cx="6202338" cy="7143096"/>
            <wp:effectExtent l="0" t="0" r="825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073" cy="7162370"/>
                    </a:xfrm>
                    <a:prstGeom prst="rect">
                      <a:avLst/>
                    </a:prstGeom>
                    <a:noFill/>
                    <a:ln>
                      <a:noFill/>
                    </a:ln>
                  </pic:spPr>
                </pic:pic>
              </a:graphicData>
            </a:graphic>
          </wp:inline>
        </w:drawing>
      </w:r>
    </w:p>
    <w:p w14:paraId="0FE645A4" w14:textId="3E6748BE" w:rsidR="00A85D91" w:rsidRDefault="00A85D91">
      <w:pPr>
        <w:spacing w:after="0" w:line="240" w:lineRule="auto"/>
        <w:jc w:val="left"/>
        <w:rPr>
          <w:rFonts w:ascii="Arial" w:hAnsi="Arial" w:cs="Arial"/>
        </w:rPr>
      </w:pPr>
      <w:r>
        <w:rPr>
          <w:rFonts w:ascii="Arial" w:hAnsi="Arial" w:cs="Arial"/>
        </w:rPr>
        <w:br w:type="page"/>
      </w:r>
    </w:p>
    <w:p w14:paraId="50DBEFEA" w14:textId="77777777" w:rsidR="00625FCE" w:rsidRPr="00992D4C" w:rsidRDefault="00625FCE" w:rsidP="001C748D">
      <w:pPr>
        <w:keepNext/>
        <w:spacing w:after="0" w:line="240" w:lineRule="auto"/>
        <w:rPr>
          <w:rFonts w:ascii="Arial" w:eastAsia="Calibri" w:hAnsi="Arial" w:cs="Arial"/>
          <w:b/>
        </w:rPr>
      </w:pPr>
      <w:r w:rsidRPr="00992D4C">
        <w:rPr>
          <w:rFonts w:ascii="Arial" w:eastAsia="Calibri" w:hAnsi="Arial" w:cs="Arial"/>
          <w:b/>
        </w:rPr>
        <w:lastRenderedPageBreak/>
        <w:t>MNB azonosító kód: P67</w:t>
      </w:r>
    </w:p>
    <w:p w14:paraId="208FD7A0" w14:textId="77777777" w:rsidR="00625FCE" w:rsidRPr="00992D4C" w:rsidRDefault="00625FCE" w:rsidP="001C748D">
      <w:pPr>
        <w:keepNext/>
        <w:spacing w:after="0" w:line="240" w:lineRule="auto"/>
        <w:rPr>
          <w:rFonts w:ascii="Arial" w:eastAsia="Calibri" w:hAnsi="Arial" w:cs="Arial"/>
          <w:b/>
        </w:rPr>
      </w:pPr>
    </w:p>
    <w:p w14:paraId="494FD304" w14:textId="77777777" w:rsidR="00625FCE" w:rsidRPr="00992D4C" w:rsidRDefault="00625FCE" w:rsidP="001C748D">
      <w:pPr>
        <w:keepNext/>
        <w:spacing w:after="0" w:line="240" w:lineRule="auto"/>
        <w:jc w:val="center"/>
        <w:rPr>
          <w:rFonts w:ascii="Arial" w:eastAsia="Calibri" w:hAnsi="Arial" w:cs="Arial"/>
          <w:b/>
        </w:rPr>
      </w:pPr>
      <w:r w:rsidRPr="00992D4C">
        <w:rPr>
          <w:rFonts w:ascii="Arial" w:eastAsia="Calibri" w:hAnsi="Arial" w:cs="Arial"/>
          <w:b/>
        </w:rPr>
        <w:t>Kitöltési előírások</w:t>
      </w:r>
    </w:p>
    <w:p w14:paraId="165F1BA5" w14:textId="77777777" w:rsidR="00625FCE" w:rsidRPr="00992D4C" w:rsidRDefault="00625FCE" w:rsidP="001C748D">
      <w:pPr>
        <w:keepNext/>
        <w:spacing w:after="0" w:line="240" w:lineRule="auto"/>
        <w:jc w:val="center"/>
        <w:rPr>
          <w:rFonts w:ascii="Arial" w:eastAsia="Calibri" w:hAnsi="Arial" w:cs="Arial"/>
          <w:b/>
        </w:rPr>
      </w:pPr>
      <w:r w:rsidRPr="00992D4C">
        <w:rPr>
          <w:rFonts w:ascii="Arial" w:eastAsia="Calibri" w:hAnsi="Arial" w:cs="Arial"/>
          <w:b/>
        </w:rPr>
        <w:t>Lényegi fontosság meghatározása</w:t>
      </w:r>
    </w:p>
    <w:p w14:paraId="59B43E97" w14:textId="77777777" w:rsidR="00625FCE" w:rsidRPr="00992D4C" w:rsidRDefault="00625FCE" w:rsidP="001C748D">
      <w:pPr>
        <w:keepNext/>
        <w:spacing w:after="0" w:line="240" w:lineRule="auto"/>
        <w:jc w:val="center"/>
        <w:rPr>
          <w:rFonts w:ascii="Arial" w:eastAsia="Calibri" w:hAnsi="Arial" w:cs="Arial"/>
          <w:b/>
        </w:rPr>
      </w:pPr>
    </w:p>
    <w:p w14:paraId="72D202CA" w14:textId="77777777" w:rsidR="00625FCE" w:rsidRPr="00992D4C" w:rsidRDefault="00625FCE" w:rsidP="00625FCE">
      <w:pPr>
        <w:pStyle w:val="Listaszerbekezds"/>
        <w:keepNext/>
        <w:numPr>
          <w:ilvl w:val="2"/>
          <w:numId w:val="126"/>
        </w:numPr>
        <w:tabs>
          <w:tab w:val="left" w:pos="426"/>
        </w:tabs>
        <w:spacing w:before="240" w:after="240" w:line="240" w:lineRule="auto"/>
        <w:ind w:left="0" w:firstLine="0"/>
        <w:jc w:val="left"/>
        <w:outlineLvl w:val="2"/>
        <w:rPr>
          <w:rFonts w:ascii="Arial" w:eastAsia="Calibri" w:hAnsi="Arial" w:cs="Arial"/>
          <w:b/>
          <w:bCs/>
        </w:rPr>
      </w:pPr>
      <w:r w:rsidRPr="00992D4C">
        <w:rPr>
          <w:rFonts w:ascii="Arial" w:eastAsia="Times New Roman" w:hAnsi="Arial" w:cs="Arial"/>
          <w:b/>
        </w:rPr>
        <w:t>Általános</w:t>
      </w:r>
      <w:r w:rsidRPr="00992D4C">
        <w:rPr>
          <w:rFonts w:ascii="Arial" w:eastAsia="Calibri" w:hAnsi="Arial" w:cs="Arial"/>
          <w:b/>
          <w:bCs/>
        </w:rPr>
        <w:t xml:space="preserve"> előírások</w:t>
      </w:r>
    </w:p>
    <w:p w14:paraId="7DC1FAB6" w14:textId="77777777" w:rsidR="00625FCE" w:rsidRPr="00992D4C" w:rsidRDefault="00625FCE" w:rsidP="00625FCE">
      <w:pPr>
        <w:numPr>
          <w:ilvl w:val="0"/>
          <w:numId w:val="125"/>
        </w:numPr>
        <w:spacing w:after="0"/>
        <w:ind w:left="426" w:hanging="426"/>
        <w:contextualSpacing/>
        <w:rPr>
          <w:rFonts w:ascii="Arial" w:eastAsia="Calibri" w:hAnsi="Arial" w:cs="Arial"/>
          <w:b/>
        </w:rPr>
      </w:pPr>
      <w:bookmarkStart w:id="27" w:name="_Hlk532555034"/>
      <w:r w:rsidRPr="00992D4C">
        <w:rPr>
          <w:rFonts w:ascii="Arial" w:eastAsia="Calibri" w:hAnsi="Arial" w:cs="Arial"/>
        </w:rPr>
        <w:t xml:space="preserve">A táblákban és a kitöltési előírásokban használt fogalmak </w:t>
      </w:r>
      <w:r w:rsidRPr="00992D4C">
        <w:rPr>
          <w:rFonts w:ascii="Arial" w:hAnsi="Arial" w:cs="Arial"/>
          <w:bCs/>
        </w:rPr>
        <w:t>a</w:t>
      </w:r>
      <w:r w:rsidRPr="00992D4C">
        <w:rPr>
          <w:rFonts w:ascii="Arial" w:hAnsi="Arial" w:cs="Arial"/>
        </w:rPr>
        <w:t xml:space="preserve">z Európai Unión belüli értékpapír-kiegyenlítés javításáról és a központi értéktárakról, valamint 98/26/EK és a 2014/65/EU irányelv, valamint a 236/2012/EU rendelet módosításáról szóló 2014. július 23-ai 909/2014/EU európai parlamenti és tanácsi rendelet és </w:t>
      </w:r>
      <w:r w:rsidRPr="00992D4C">
        <w:rPr>
          <w:rFonts w:ascii="Arial" w:eastAsia="Calibri" w:hAnsi="Arial" w:cs="Arial"/>
        </w:rPr>
        <w:t xml:space="preserve">a </w:t>
      </w:r>
      <w:r w:rsidRPr="00992D4C">
        <w:rPr>
          <w:rFonts w:ascii="Arial" w:hAnsi="Arial" w:cs="Arial"/>
        </w:rPr>
        <w:t>909/2014/EU európai parlamenti és tanácsi rendeletnek a kiegyenlítés meghiúsulását sújtó pénzbírságok kiszámításának paraméterei és a központi értéktáraknak a fogadó tagállamokban folytatott tevékenységei tekintetében történő kiegészítéséről szóló 2016. november 11-ei (EU) 2017/389 felhatalmazáson alapuló bizottsági rendelet szerint értelmezendők.</w:t>
      </w:r>
    </w:p>
    <w:p w14:paraId="15BC17B9" w14:textId="77777777" w:rsidR="00625FCE" w:rsidRPr="00992D4C" w:rsidRDefault="00625FCE" w:rsidP="00625FCE">
      <w:pPr>
        <w:spacing w:after="0"/>
        <w:ind w:left="426"/>
        <w:contextualSpacing/>
        <w:rPr>
          <w:rFonts w:ascii="Arial" w:eastAsia="Calibri" w:hAnsi="Arial" w:cs="Arial"/>
          <w:b/>
        </w:rPr>
      </w:pPr>
    </w:p>
    <w:bookmarkEnd w:id="27"/>
    <w:p w14:paraId="6BE6D491" w14:textId="77777777" w:rsidR="00625FCE" w:rsidRPr="00992D4C" w:rsidRDefault="00625FCE" w:rsidP="00625FCE">
      <w:pPr>
        <w:numPr>
          <w:ilvl w:val="0"/>
          <w:numId w:val="125"/>
        </w:numPr>
        <w:spacing w:after="0"/>
        <w:ind w:left="426" w:hanging="426"/>
        <w:contextualSpacing/>
        <w:rPr>
          <w:rFonts w:ascii="Arial" w:eastAsia="Calibri" w:hAnsi="Arial" w:cs="Arial"/>
          <w:b/>
        </w:rPr>
      </w:pPr>
      <w:r w:rsidRPr="00992D4C">
        <w:rPr>
          <w:rFonts w:ascii="Arial" w:eastAsia="Calibri" w:hAnsi="Arial" w:cs="Arial"/>
        </w:rPr>
        <w:t xml:space="preserve">Az adatszolgáltatásban az értékeket euróban kell szerepeltetni. Az átváltási árfolyamokat a központi értéktár határozza meg a következők szerint: az alkalmazott átváltási árfolyamok tárgyév utolsó napján érvényes átváltási árfolyamok. Amennyiben rendelkezésre áll, az átváltásához az Európai Központi Bank átváltási árfolyamát kell alkalmazni. </w:t>
      </w:r>
    </w:p>
    <w:p w14:paraId="1175C001" w14:textId="77777777" w:rsidR="00625FCE" w:rsidRPr="00992D4C" w:rsidRDefault="00625FCE" w:rsidP="00625FCE">
      <w:pPr>
        <w:pStyle w:val="Listaszerbekezds"/>
        <w:numPr>
          <w:ilvl w:val="0"/>
          <w:numId w:val="0"/>
        </w:numPr>
        <w:spacing w:after="0"/>
        <w:ind w:left="720"/>
        <w:rPr>
          <w:rFonts w:ascii="Arial" w:eastAsia="Calibri" w:hAnsi="Arial" w:cs="Arial"/>
          <w:b/>
        </w:rPr>
      </w:pPr>
    </w:p>
    <w:p w14:paraId="6D53AD9E" w14:textId="77777777" w:rsidR="00625FCE" w:rsidRPr="00992D4C" w:rsidRDefault="00625FCE" w:rsidP="00625FCE">
      <w:pPr>
        <w:numPr>
          <w:ilvl w:val="0"/>
          <w:numId w:val="125"/>
        </w:numPr>
        <w:spacing w:after="0"/>
        <w:ind w:left="426" w:hanging="426"/>
        <w:contextualSpacing/>
        <w:rPr>
          <w:rFonts w:ascii="Arial" w:eastAsia="Calibri" w:hAnsi="Arial" w:cs="Arial"/>
        </w:rPr>
      </w:pPr>
      <w:r w:rsidRPr="00992D4C">
        <w:rPr>
          <w:rFonts w:ascii="Arial" w:eastAsia="Calibri" w:hAnsi="Arial" w:cs="Arial"/>
        </w:rPr>
        <w:t xml:space="preserve">A 01. és a 02. táblában, az (EU) 2017/389 </w:t>
      </w:r>
      <w:r w:rsidRPr="00992D4C">
        <w:rPr>
          <w:rFonts w:ascii="Arial" w:hAnsi="Arial" w:cs="Arial"/>
        </w:rPr>
        <w:t>felhatalmazáson alapuló bizottsági</w:t>
      </w:r>
      <w:r w:rsidRPr="00992D4C">
        <w:rPr>
          <w:rFonts w:ascii="Arial" w:eastAsia="Calibri" w:hAnsi="Arial" w:cs="Arial"/>
        </w:rPr>
        <w:t xml:space="preserve"> rendelet 5. cikk (1) bekezdés a) és b) pontjában szereplő kritériumokat figyelembe véve, a központi értéktárnak az adatokat a következők szerint kell jelentenie:</w:t>
      </w:r>
    </w:p>
    <w:p w14:paraId="3E387CA3" w14:textId="77777777" w:rsidR="00625FCE" w:rsidRPr="00992D4C" w:rsidRDefault="00625FCE" w:rsidP="00625FCE">
      <w:pPr>
        <w:pStyle w:val="Listaszerbekezds"/>
        <w:numPr>
          <w:ilvl w:val="0"/>
          <w:numId w:val="128"/>
        </w:numPr>
        <w:spacing w:after="0"/>
        <w:ind w:left="851"/>
        <w:rPr>
          <w:rFonts w:ascii="Arial" w:eastAsia="Calibri" w:hAnsi="Arial" w:cs="Arial"/>
        </w:rPr>
      </w:pPr>
      <w:r w:rsidRPr="00992D4C">
        <w:rPr>
          <w:rFonts w:ascii="Arial" w:eastAsia="Calibri" w:hAnsi="Arial" w:cs="Arial"/>
        </w:rPr>
        <w:t xml:space="preserve"> az adatszolgáltatásban a tárgyév december 31-én érvényes értékpapírokra vonatkozó adatokat kell jelenteni, a </w:t>
      </w:r>
      <w:proofErr w:type="spellStart"/>
      <w:r w:rsidRPr="00992D4C">
        <w:rPr>
          <w:rFonts w:ascii="Arial" w:eastAsia="Calibri" w:hAnsi="Arial" w:cs="Arial"/>
        </w:rPr>
        <w:t>törölt</w:t>
      </w:r>
      <w:proofErr w:type="spellEnd"/>
      <w:r w:rsidRPr="00992D4C">
        <w:rPr>
          <w:rFonts w:ascii="Arial" w:eastAsia="Calibri" w:hAnsi="Arial" w:cs="Arial"/>
        </w:rPr>
        <w:t xml:space="preserve"> értékpapírok nélkül, </w:t>
      </w:r>
    </w:p>
    <w:p w14:paraId="181244F8" w14:textId="77777777" w:rsidR="00625FCE" w:rsidRPr="00992D4C" w:rsidRDefault="00625FCE" w:rsidP="00625FCE">
      <w:pPr>
        <w:pStyle w:val="Listaszerbekezds"/>
        <w:numPr>
          <w:ilvl w:val="0"/>
          <w:numId w:val="128"/>
        </w:numPr>
        <w:spacing w:after="0"/>
        <w:ind w:left="851"/>
        <w:rPr>
          <w:rFonts w:ascii="Arial" w:eastAsia="Calibri" w:hAnsi="Arial" w:cs="Arial"/>
        </w:rPr>
      </w:pPr>
      <w:r w:rsidRPr="00992D4C">
        <w:rPr>
          <w:rFonts w:ascii="Arial" w:eastAsia="Calibri" w:hAnsi="Arial" w:cs="Arial"/>
        </w:rPr>
        <w:t xml:space="preserve">az egyes ISIN azonosítók tekintetében a tárgyév december 31-én alkalmazott és az (EU) 2017/389 </w:t>
      </w:r>
      <w:r w:rsidRPr="00992D4C">
        <w:rPr>
          <w:rFonts w:ascii="Arial" w:hAnsi="Arial" w:cs="Arial"/>
        </w:rPr>
        <w:t>felhatalmazáson alapuló bizottsági</w:t>
      </w:r>
      <w:r w:rsidRPr="00992D4C">
        <w:rPr>
          <w:rFonts w:ascii="Arial" w:eastAsia="Calibri" w:hAnsi="Arial" w:cs="Arial"/>
        </w:rPr>
        <w:t xml:space="preserve"> rendelet 7. cikkével összhangban azonosított piaci értéket kell használni. </w:t>
      </w:r>
    </w:p>
    <w:p w14:paraId="0FECAA13" w14:textId="77777777" w:rsidR="00625FCE" w:rsidRPr="00992D4C" w:rsidRDefault="00625FCE" w:rsidP="00625FCE">
      <w:pPr>
        <w:ind w:left="720"/>
        <w:contextualSpacing/>
        <w:rPr>
          <w:rFonts w:ascii="Arial" w:eastAsia="Calibri" w:hAnsi="Arial" w:cs="Arial"/>
        </w:rPr>
      </w:pPr>
    </w:p>
    <w:p w14:paraId="0545556D" w14:textId="77777777" w:rsidR="00625FCE" w:rsidRPr="00992D4C" w:rsidRDefault="00625FCE" w:rsidP="00625FCE">
      <w:pPr>
        <w:pStyle w:val="Listaszerbekezds"/>
        <w:numPr>
          <w:ilvl w:val="0"/>
          <w:numId w:val="125"/>
        </w:numPr>
        <w:spacing w:after="0"/>
        <w:ind w:left="426" w:hanging="426"/>
        <w:rPr>
          <w:rFonts w:ascii="Arial" w:eastAsia="Calibri" w:hAnsi="Arial" w:cs="Arial"/>
        </w:rPr>
      </w:pPr>
      <w:r w:rsidRPr="00992D4C">
        <w:rPr>
          <w:rFonts w:ascii="Arial" w:eastAsia="Calibri" w:hAnsi="Arial" w:cs="Arial"/>
        </w:rPr>
        <w:t xml:space="preserve">A 03. és a 04. táblában, az (EU) 2017/389 </w:t>
      </w:r>
      <w:r w:rsidRPr="00992D4C">
        <w:rPr>
          <w:rFonts w:ascii="Arial" w:hAnsi="Arial" w:cs="Arial"/>
        </w:rPr>
        <w:t>felhatalmazáson alapuló bizottsági</w:t>
      </w:r>
      <w:r w:rsidRPr="00992D4C">
        <w:rPr>
          <w:rFonts w:ascii="Arial" w:eastAsia="Calibri" w:hAnsi="Arial" w:cs="Arial"/>
        </w:rPr>
        <w:t xml:space="preserve"> rendelet 6. cikk (1) bekezdés a) és b) pontjában szereplő kritériumokat figyelembe véve, a központi értéktárnak az adatokat a következők szerint kell jelentenie:</w:t>
      </w:r>
    </w:p>
    <w:p w14:paraId="4FEAE4C1" w14:textId="77777777" w:rsidR="00625FCE" w:rsidRPr="00992D4C" w:rsidRDefault="00625FCE" w:rsidP="00625FCE">
      <w:pPr>
        <w:pStyle w:val="Listaszerbekezds"/>
        <w:numPr>
          <w:ilvl w:val="1"/>
          <w:numId w:val="127"/>
        </w:numPr>
        <w:spacing w:after="0"/>
        <w:ind w:left="851"/>
        <w:rPr>
          <w:rFonts w:ascii="Arial" w:eastAsia="Calibri" w:hAnsi="Arial" w:cs="Arial"/>
        </w:rPr>
      </w:pPr>
      <w:r w:rsidRPr="00992D4C">
        <w:rPr>
          <w:rFonts w:ascii="Arial" w:eastAsia="Calibri" w:hAnsi="Arial" w:cs="Arial"/>
        </w:rPr>
        <w:t>az adatoknak tartalmazniuk kell a központi értéktár által teljesített kiegyenlítési megbízások értékeit, a következő szerint:</w:t>
      </w:r>
      <w:r w:rsidRPr="00992D4C">
        <w:rPr>
          <w:rFonts w:ascii="Arial" w:eastAsia="Calibri" w:hAnsi="Arial" w:cs="Arial"/>
          <w:b/>
        </w:rPr>
        <w:t xml:space="preserve"> </w:t>
      </w:r>
    </w:p>
    <w:p w14:paraId="015695C3"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aa</w:t>
      </w:r>
      <w:proofErr w:type="spellEnd"/>
      <w:r w:rsidRPr="00992D4C">
        <w:rPr>
          <w:rFonts w:ascii="Arial" w:eastAsia="Calibri" w:hAnsi="Arial" w:cs="Arial"/>
        </w:rPr>
        <w:t>) az adatoknak tartalmazniuk kell a központi értéktár teljesítéseinek abszolút értékét a tárgyév tekintetében;</w:t>
      </w:r>
    </w:p>
    <w:p w14:paraId="71BBFE8D" w14:textId="77777777" w:rsidR="00625FCE" w:rsidRPr="00992D4C" w:rsidRDefault="00625FCE" w:rsidP="00625FCE">
      <w:pPr>
        <w:autoSpaceDE w:val="0"/>
        <w:autoSpaceDN w:val="0"/>
        <w:adjustRightInd w:val="0"/>
        <w:spacing w:after="120"/>
        <w:ind w:left="1418" w:hanging="284"/>
        <w:rPr>
          <w:rFonts w:ascii="Arial" w:eastAsia="Calibri" w:hAnsi="Arial" w:cs="Arial"/>
        </w:rPr>
      </w:pPr>
      <w:r w:rsidRPr="00992D4C">
        <w:rPr>
          <w:rFonts w:ascii="Arial" w:eastAsia="Calibri" w:hAnsi="Arial" w:cs="Arial"/>
        </w:rPr>
        <w:t>ab) a központi értéktár által teljesített kiegyenlítési megbízások valamennyi kategóriáját fel kell tüntetni attól függetlenül, hogy olyan ügyletekre vonatkoznak, amelyeket a kereskedési helyszínen hajtottak végre vagy olyanokra, amelyekre tőzsdén kívül került sor;</w:t>
      </w:r>
    </w:p>
    <w:p w14:paraId="54216793"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ac</w:t>
      </w:r>
      <w:proofErr w:type="spellEnd"/>
      <w:r w:rsidRPr="00992D4C">
        <w:rPr>
          <w:rFonts w:ascii="Arial" w:eastAsia="Calibri" w:hAnsi="Arial" w:cs="Arial"/>
        </w:rPr>
        <w:t xml:space="preserve">) a több ügyletből álló műveletek esetében, úgymint a </w:t>
      </w:r>
      <w:proofErr w:type="spellStart"/>
      <w:r w:rsidRPr="00992D4C">
        <w:rPr>
          <w:rFonts w:ascii="Arial" w:eastAsia="Calibri" w:hAnsi="Arial" w:cs="Arial"/>
        </w:rPr>
        <w:t>repó</w:t>
      </w:r>
      <w:proofErr w:type="spellEnd"/>
      <w:r w:rsidRPr="00992D4C">
        <w:rPr>
          <w:rFonts w:ascii="Arial" w:eastAsia="Calibri" w:hAnsi="Arial" w:cs="Arial"/>
        </w:rPr>
        <w:t>-, illetve kölcsönzési megállapodásokat is, kiegyenlítéskor mindkét oldalt be kell jelenteni;</w:t>
      </w:r>
    </w:p>
    <w:p w14:paraId="208F5DA1" w14:textId="77777777" w:rsidR="00625FCE" w:rsidRPr="00992D4C" w:rsidRDefault="00625FCE" w:rsidP="00625FCE">
      <w:pPr>
        <w:autoSpaceDE w:val="0"/>
        <w:autoSpaceDN w:val="0"/>
        <w:adjustRightInd w:val="0"/>
        <w:spacing w:after="120"/>
        <w:ind w:left="1418" w:hanging="284"/>
        <w:rPr>
          <w:rFonts w:ascii="Arial" w:eastAsia="Calibri" w:hAnsi="Arial" w:cs="Arial"/>
        </w:rPr>
      </w:pPr>
      <w:r w:rsidRPr="00992D4C">
        <w:rPr>
          <w:rFonts w:ascii="Arial" w:eastAsia="Calibri" w:hAnsi="Arial" w:cs="Arial"/>
        </w:rPr>
        <w:t>ad) a központi értéktárak közötti kiegyenlítés esetében a központi értéktár [kibocsátó központi értéktár (</w:t>
      </w:r>
      <w:proofErr w:type="spellStart"/>
      <w:r w:rsidRPr="00992D4C">
        <w:rPr>
          <w:rFonts w:ascii="Arial" w:eastAsia="Calibri" w:hAnsi="Arial" w:cs="Arial"/>
        </w:rPr>
        <w:t>issuer</w:t>
      </w:r>
      <w:proofErr w:type="spellEnd"/>
      <w:r w:rsidRPr="00992D4C">
        <w:rPr>
          <w:rFonts w:ascii="Arial" w:eastAsia="Calibri" w:hAnsi="Arial" w:cs="Arial"/>
        </w:rPr>
        <w:t xml:space="preserve"> </w:t>
      </w:r>
      <w:proofErr w:type="spellStart"/>
      <w:r w:rsidRPr="00992D4C">
        <w:rPr>
          <w:rFonts w:ascii="Arial" w:eastAsia="Calibri" w:hAnsi="Arial" w:cs="Arial"/>
        </w:rPr>
        <w:t>CSD</w:t>
      </w:r>
      <w:proofErr w:type="spellEnd"/>
      <w:r w:rsidRPr="00992D4C">
        <w:rPr>
          <w:rFonts w:ascii="Arial" w:eastAsia="Calibri" w:hAnsi="Arial" w:cs="Arial"/>
        </w:rPr>
        <w:t>) vagy befektető központi értéktár (</w:t>
      </w:r>
      <w:proofErr w:type="spellStart"/>
      <w:r w:rsidRPr="00992D4C">
        <w:rPr>
          <w:rFonts w:ascii="Arial" w:eastAsia="Calibri" w:hAnsi="Arial" w:cs="Arial"/>
        </w:rPr>
        <w:t>investor</w:t>
      </w:r>
      <w:proofErr w:type="spellEnd"/>
      <w:r w:rsidRPr="00992D4C">
        <w:rPr>
          <w:rFonts w:ascii="Arial" w:eastAsia="Calibri" w:hAnsi="Arial" w:cs="Arial"/>
        </w:rPr>
        <w:t xml:space="preserve"> </w:t>
      </w:r>
      <w:proofErr w:type="spellStart"/>
      <w:r w:rsidRPr="00992D4C">
        <w:rPr>
          <w:rFonts w:ascii="Arial" w:eastAsia="Calibri" w:hAnsi="Arial" w:cs="Arial"/>
        </w:rPr>
        <w:t>CSD</w:t>
      </w:r>
      <w:proofErr w:type="spellEnd"/>
      <w:r w:rsidRPr="00992D4C">
        <w:rPr>
          <w:rFonts w:ascii="Arial" w:eastAsia="Calibri" w:hAnsi="Arial" w:cs="Arial"/>
        </w:rPr>
        <w:t xml:space="preserve">)] az ügylet mindkét oldalát köteles bejelenteni, vagyis jelentenie kell a kapott két kiegyenlítési megbízást; </w:t>
      </w:r>
    </w:p>
    <w:p w14:paraId="37079A31"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ae</w:t>
      </w:r>
      <w:proofErr w:type="spellEnd"/>
      <w:r w:rsidRPr="00992D4C">
        <w:rPr>
          <w:rFonts w:ascii="Arial" w:eastAsia="Calibri" w:hAnsi="Arial" w:cs="Arial"/>
        </w:rPr>
        <w:t xml:space="preserve">) ha valamely ügylet kiegyenlítésében egynél több központi értéktár érintett standard, egyedi kialakítású vagy közvetett kapcsolat útján, akkor csak az ügylet két oldalát kiegyenlítő központi értéktár (kibocsátó központi értéktár vagy befektető központi értéktár) szolgáltat adatokat, és ez a központi értéktár bejelenti a beérkezett két kiegyenlítési megbízást, az ügyletnek csupán egyetlen oldalát „kiegyenlítő” befektető központi értéktár nem szolgáltat adatot; </w:t>
      </w:r>
    </w:p>
    <w:p w14:paraId="39B32630"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lastRenderedPageBreak/>
        <w:t>af</w:t>
      </w:r>
      <w:proofErr w:type="spellEnd"/>
      <w:r w:rsidRPr="00992D4C">
        <w:rPr>
          <w:rFonts w:ascii="Arial" w:eastAsia="Calibri" w:hAnsi="Arial" w:cs="Arial"/>
        </w:rPr>
        <w:t xml:space="preserve">) a közös kiegyenlítési infrastruktúrát használó központi értéktárak vagy </w:t>
      </w:r>
      <w:proofErr w:type="spellStart"/>
      <w:r w:rsidRPr="00992D4C">
        <w:rPr>
          <w:rFonts w:ascii="Arial" w:eastAsia="Calibri" w:hAnsi="Arial" w:cs="Arial"/>
        </w:rPr>
        <w:t>interoperábilis</w:t>
      </w:r>
      <w:proofErr w:type="spellEnd"/>
      <w:r w:rsidRPr="00992D4C">
        <w:rPr>
          <w:rFonts w:ascii="Arial" w:eastAsia="Calibri" w:hAnsi="Arial" w:cs="Arial"/>
        </w:rPr>
        <w:t xml:space="preserve"> kapcsolatok útján történő, központi értéktárak közötti kiegyenlítés esetében mindegyik központi értéktár jelenti az ügylettel összefüggésben hozzá beérkezett egyetlen kiegyenlítési megbízást. </w:t>
      </w:r>
    </w:p>
    <w:p w14:paraId="28CCD7DB" w14:textId="77777777" w:rsidR="00625FCE" w:rsidRPr="00992D4C" w:rsidRDefault="00625FCE" w:rsidP="00625FCE">
      <w:pPr>
        <w:pStyle w:val="Listaszerbekezds"/>
        <w:numPr>
          <w:ilvl w:val="1"/>
          <w:numId w:val="127"/>
        </w:numPr>
        <w:autoSpaceDE w:val="0"/>
        <w:autoSpaceDN w:val="0"/>
        <w:adjustRightInd w:val="0"/>
        <w:spacing w:after="120"/>
        <w:ind w:left="851"/>
        <w:rPr>
          <w:rFonts w:ascii="Arial" w:eastAsia="Calibri" w:hAnsi="Arial" w:cs="Arial"/>
        </w:rPr>
      </w:pPr>
      <w:r w:rsidRPr="00992D4C">
        <w:rPr>
          <w:rFonts w:ascii="Arial" w:eastAsia="Calibri" w:hAnsi="Arial" w:cs="Arial"/>
        </w:rPr>
        <w:t xml:space="preserve">a kiegyenlítési megbízások a következő ügyletfajtákhoz kapcsolódhatnak: </w:t>
      </w:r>
    </w:p>
    <w:p w14:paraId="5581ACEC"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ba</w:t>
      </w:r>
      <w:proofErr w:type="spellEnd"/>
      <w:r w:rsidRPr="00992D4C">
        <w:rPr>
          <w:rFonts w:ascii="Arial" w:eastAsia="Calibri" w:hAnsi="Arial" w:cs="Arial"/>
        </w:rPr>
        <w:t xml:space="preserve">) értékpapírok vétele vagy eladása (ideértve az értékpapírok elsődleges piaci vételét vagy eladását); </w:t>
      </w:r>
    </w:p>
    <w:p w14:paraId="6AD3B4B2"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bb</w:t>
      </w:r>
      <w:proofErr w:type="spellEnd"/>
      <w:r w:rsidRPr="00992D4C">
        <w:rPr>
          <w:rFonts w:ascii="Arial" w:eastAsia="Calibri" w:hAnsi="Arial" w:cs="Arial"/>
        </w:rPr>
        <w:t>) biztosítékkezelési műveletek [ideértve a háromszereplős biztosítékkezelési műveleteket vagy az automatikus biztosítottsági műveleteket (</w:t>
      </w:r>
      <w:proofErr w:type="spellStart"/>
      <w:r w:rsidRPr="00992D4C">
        <w:rPr>
          <w:rFonts w:ascii="Arial" w:hAnsi="Arial" w:cs="Arial"/>
        </w:rPr>
        <w:t>triparty</w:t>
      </w:r>
      <w:proofErr w:type="spellEnd"/>
      <w:r w:rsidRPr="00992D4C">
        <w:rPr>
          <w:rFonts w:ascii="Arial" w:hAnsi="Arial" w:cs="Arial"/>
        </w:rPr>
        <w:t xml:space="preserve"> </w:t>
      </w:r>
      <w:proofErr w:type="spellStart"/>
      <w:r w:rsidRPr="00992D4C">
        <w:rPr>
          <w:rFonts w:ascii="Arial" w:hAnsi="Arial" w:cs="Arial"/>
        </w:rPr>
        <w:t>collateral</w:t>
      </w:r>
      <w:proofErr w:type="spellEnd"/>
      <w:r w:rsidRPr="00992D4C">
        <w:rPr>
          <w:rFonts w:ascii="Arial" w:hAnsi="Arial" w:cs="Arial"/>
        </w:rPr>
        <w:t xml:space="preserve"> management </w:t>
      </w:r>
      <w:proofErr w:type="spellStart"/>
      <w:r w:rsidRPr="00992D4C">
        <w:rPr>
          <w:rFonts w:ascii="Arial" w:hAnsi="Arial" w:cs="Arial"/>
        </w:rPr>
        <w:t>operations</w:t>
      </w:r>
      <w:proofErr w:type="spellEnd"/>
      <w:r w:rsidRPr="00992D4C">
        <w:rPr>
          <w:rFonts w:ascii="Arial" w:hAnsi="Arial" w:cs="Arial"/>
        </w:rPr>
        <w:t xml:space="preserve"> </w:t>
      </w:r>
      <w:proofErr w:type="spellStart"/>
      <w:r w:rsidRPr="00992D4C">
        <w:rPr>
          <w:rFonts w:ascii="Arial" w:hAnsi="Arial" w:cs="Arial"/>
        </w:rPr>
        <w:t>or</w:t>
      </w:r>
      <w:proofErr w:type="spellEnd"/>
      <w:r w:rsidRPr="00992D4C">
        <w:rPr>
          <w:rFonts w:ascii="Arial" w:hAnsi="Arial" w:cs="Arial"/>
        </w:rPr>
        <w:t xml:space="preserve"> </w:t>
      </w:r>
      <w:proofErr w:type="spellStart"/>
      <w:r w:rsidRPr="00992D4C">
        <w:rPr>
          <w:rFonts w:ascii="Arial" w:hAnsi="Arial" w:cs="Arial"/>
        </w:rPr>
        <w:t>auto-collateralisation</w:t>
      </w:r>
      <w:proofErr w:type="spellEnd"/>
      <w:r w:rsidRPr="00992D4C">
        <w:rPr>
          <w:rFonts w:ascii="Arial" w:hAnsi="Arial" w:cs="Arial"/>
        </w:rPr>
        <w:t xml:space="preserve"> </w:t>
      </w:r>
      <w:proofErr w:type="spellStart"/>
      <w:r w:rsidRPr="00992D4C">
        <w:rPr>
          <w:rFonts w:ascii="Arial" w:hAnsi="Arial" w:cs="Arial"/>
        </w:rPr>
        <w:t>operations</w:t>
      </w:r>
      <w:proofErr w:type="spellEnd"/>
      <w:r w:rsidRPr="00992D4C">
        <w:rPr>
          <w:rFonts w:ascii="Arial" w:hAnsi="Arial" w:cs="Arial"/>
        </w:rPr>
        <w:t>)]</w:t>
      </w:r>
      <w:r w:rsidRPr="00992D4C">
        <w:rPr>
          <w:rFonts w:ascii="Arial" w:eastAsia="Calibri" w:hAnsi="Arial" w:cs="Arial"/>
        </w:rPr>
        <w:t xml:space="preserve">; </w:t>
      </w:r>
    </w:p>
    <w:p w14:paraId="56C7FE22"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bc</w:t>
      </w:r>
      <w:proofErr w:type="spellEnd"/>
      <w:r w:rsidRPr="00992D4C">
        <w:rPr>
          <w:rFonts w:ascii="Arial" w:eastAsia="Calibri" w:hAnsi="Arial" w:cs="Arial"/>
        </w:rPr>
        <w:t>) az értékpapír-kölcsönzéssel és -kölcsönvétellel (</w:t>
      </w:r>
      <w:proofErr w:type="spellStart"/>
      <w:r w:rsidRPr="00992D4C">
        <w:rPr>
          <w:rFonts w:ascii="Arial" w:hAnsi="Arial" w:cs="Arial"/>
        </w:rPr>
        <w:t>securities</w:t>
      </w:r>
      <w:proofErr w:type="spellEnd"/>
      <w:r w:rsidRPr="00992D4C">
        <w:rPr>
          <w:rFonts w:ascii="Arial" w:hAnsi="Arial" w:cs="Arial"/>
        </w:rPr>
        <w:t xml:space="preserve"> </w:t>
      </w:r>
      <w:proofErr w:type="spellStart"/>
      <w:r w:rsidRPr="00992D4C">
        <w:rPr>
          <w:rFonts w:ascii="Arial" w:hAnsi="Arial" w:cs="Arial"/>
        </w:rPr>
        <w:t>lending</w:t>
      </w:r>
      <w:proofErr w:type="spellEnd"/>
      <w:r w:rsidRPr="00992D4C">
        <w:rPr>
          <w:rFonts w:ascii="Arial" w:hAnsi="Arial" w:cs="Arial"/>
        </w:rPr>
        <w:t>/</w:t>
      </w:r>
      <w:proofErr w:type="spellStart"/>
      <w:r w:rsidRPr="00992D4C">
        <w:rPr>
          <w:rFonts w:ascii="Arial" w:hAnsi="Arial" w:cs="Arial"/>
        </w:rPr>
        <w:t>borrowing</w:t>
      </w:r>
      <w:proofErr w:type="spellEnd"/>
      <w:r w:rsidRPr="00992D4C">
        <w:rPr>
          <w:rFonts w:ascii="Arial" w:hAnsi="Arial" w:cs="Arial"/>
        </w:rPr>
        <w:t>)</w:t>
      </w:r>
      <w:r w:rsidRPr="00992D4C">
        <w:rPr>
          <w:rFonts w:ascii="Arial" w:eastAsia="Calibri" w:hAnsi="Arial" w:cs="Arial"/>
        </w:rPr>
        <w:t xml:space="preserve"> összefüggő műveletek; </w:t>
      </w:r>
    </w:p>
    <w:p w14:paraId="516D46BA"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bd</w:t>
      </w:r>
      <w:proofErr w:type="spellEnd"/>
      <w:r w:rsidRPr="00992D4C">
        <w:rPr>
          <w:rFonts w:ascii="Arial" w:eastAsia="Calibri" w:hAnsi="Arial" w:cs="Arial"/>
        </w:rPr>
        <w:t xml:space="preserve">) </w:t>
      </w:r>
      <w:proofErr w:type="spellStart"/>
      <w:r w:rsidRPr="00992D4C">
        <w:rPr>
          <w:rFonts w:ascii="Arial" w:eastAsia="Calibri" w:hAnsi="Arial" w:cs="Arial"/>
        </w:rPr>
        <w:t>repóügyletek</w:t>
      </w:r>
      <w:proofErr w:type="spellEnd"/>
      <w:r w:rsidRPr="00992D4C">
        <w:rPr>
          <w:rFonts w:ascii="Arial" w:eastAsia="Calibri" w:hAnsi="Arial" w:cs="Arial"/>
        </w:rPr>
        <w:t xml:space="preserve">; </w:t>
      </w:r>
    </w:p>
    <w:p w14:paraId="683F2862" w14:textId="77777777" w:rsidR="00625FCE" w:rsidRPr="00992D4C" w:rsidRDefault="00625FCE" w:rsidP="00625FCE">
      <w:pPr>
        <w:autoSpaceDE w:val="0"/>
        <w:autoSpaceDN w:val="0"/>
        <w:adjustRightInd w:val="0"/>
        <w:spacing w:after="120"/>
        <w:ind w:left="1418" w:hanging="284"/>
        <w:rPr>
          <w:rFonts w:ascii="Arial" w:eastAsia="Calibri" w:hAnsi="Arial" w:cs="Arial"/>
        </w:rPr>
      </w:pPr>
      <w:r w:rsidRPr="00992D4C">
        <w:rPr>
          <w:rFonts w:ascii="Arial" w:eastAsia="Calibri" w:hAnsi="Arial" w:cs="Arial"/>
        </w:rPr>
        <w:t xml:space="preserve">be) egyéb (ideértve a forgalommal kapcsolatos vállalati eseményeket, vagyis a piaci követeléseket és transzformációkat). </w:t>
      </w:r>
    </w:p>
    <w:p w14:paraId="59FD1722" w14:textId="77777777" w:rsidR="00625FCE" w:rsidRPr="00992D4C" w:rsidRDefault="00625FCE" w:rsidP="00625FCE">
      <w:pPr>
        <w:pStyle w:val="Listaszerbekezds"/>
        <w:numPr>
          <w:ilvl w:val="1"/>
          <w:numId w:val="127"/>
        </w:numPr>
        <w:autoSpaceDE w:val="0"/>
        <w:autoSpaceDN w:val="0"/>
        <w:adjustRightInd w:val="0"/>
        <w:spacing w:after="120"/>
        <w:ind w:left="851"/>
        <w:rPr>
          <w:rFonts w:ascii="Arial" w:eastAsia="Calibri" w:hAnsi="Arial" w:cs="Arial"/>
        </w:rPr>
      </w:pPr>
      <w:r w:rsidRPr="00992D4C">
        <w:rPr>
          <w:rFonts w:ascii="Arial" w:eastAsia="Calibri" w:hAnsi="Arial" w:cs="Arial"/>
        </w:rPr>
        <w:t xml:space="preserve">a következő ügyletfajtákat az adatszolgáltatásban nem kell jelenteni: </w:t>
      </w:r>
    </w:p>
    <w:p w14:paraId="5D6D63E4"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ca</w:t>
      </w:r>
      <w:proofErr w:type="spellEnd"/>
      <w:r w:rsidRPr="00992D4C">
        <w:rPr>
          <w:rFonts w:ascii="Arial" w:eastAsia="Calibri" w:hAnsi="Arial" w:cs="Arial"/>
        </w:rPr>
        <w:t>) az állományokhoz kapcsolódó vállalati események, például a készpénzes-kifizetések (például készpénzes osztalék, kamatfizetés), értékpapír-felosztások (például tőkeosztalék, bónusz), reorganizációk [például konverzió (conversion), részvényfelosztás (</w:t>
      </w:r>
      <w:proofErr w:type="spellStart"/>
      <w:r w:rsidRPr="00992D4C">
        <w:rPr>
          <w:rFonts w:ascii="Arial" w:eastAsia="Calibri" w:hAnsi="Arial" w:cs="Arial"/>
        </w:rPr>
        <w:t>stock</w:t>
      </w:r>
      <w:proofErr w:type="spellEnd"/>
      <w:r w:rsidRPr="00992D4C">
        <w:rPr>
          <w:rFonts w:ascii="Arial" w:eastAsia="Calibri" w:hAnsi="Arial" w:cs="Arial"/>
        </w:rPr>
        <w:t xml:space="preserve"> </w:t>
      </w:r>
      <w:proofErr w:type="spellStart"/>
      <w:r w:rsidRPr="00992D4C">
        <w:rPr>
          <w:rFonts w:ascii="Arial" w:eastAsia="Calibri" w:hAnsi="Arial" w:cs="Arial"/>
        </w:rPr>
        <w:t>split</w:t>
      </w:r>
      <w:proofErr w:type="spellEnd"/>
      <w:r w:rsidRPr="00992D4C">
        <w:rPr>
          <w:rFonts w:ascii="Arial" w:eastAsia="Calibri" w:hAnsi="Arial" w:cs="Arial"/>
        </w:rPr>
        <w:t>), visszavásárlás (</w:t>
      </w:r>
      <w:proofErr w:type="spellStart"/>
      <w:r w:rsidRPr="00992D4C">
        <w:rPr>
          <w:rFonts w:ascii="Arial" w:eastAsia="Calibri" w:hAnsi="Arial" w:cs="Arial"/>
        </w:rPr>
        <w:t>redemption</w:t>
      </w:r>
      <w:proofErr w:type="spellEnd"/>
      <w:r w:rsidRPr="00992D4C">
        <w:rPr>
          <w:rFonts w:ascii="Arial" w:eastAsia="Calibri" w:hAnsi="Arial" w:cs="Arial"/>
        </w:rPr>
        <w:t xml:space="preserve">), pályázati kiírás (tender </w:t>
      </w:r>
      <w:proofErr w:type="spellStart"/>
      <w:r w:rsidRPr="00992D4C">
        <w:rPr>
          <w:rFonts w:ascii="Arial" w:eastAsia="Calibri" w:hAnsi="Arial" w:cs="Arial"/>
        </w:rPr>
        <w:t>offer</w:t>
      </w:r>
      <w:proofErr w:type="spellEnd"/>
      <w:r w:rsidRPr="00992D4C">
        <w:rPr>
          <w:rFonts w:ascii="Arial" w:eastAsia="Calibri" w:hAnsi="Arial" w:cs="Arial"/>
        </w:rPr>
        <w:t xml:space="preserve">)]; </w:t>
      </w:r>
    </w:p>
    <w:p w14:paraId="489E1B49"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cb</w:t>
      </w:r>
      <w:proofErr w:type="spellEnd"/>
      <w:r w:rsidRPr="00992D4C">
        <w:rPr>
          <w:rFonts w:ascii="Arial" w:eastAsia="Calibri" w:hAnsi="Arial" w:cs="Arial"/>
        </w:rPr>
        <w:t>) elsődleges piaci műveletek, az értékpapírok első ízben történő keletkeztetésének folyamatára (</w:t>
      </w:r>
      <w:proofErr w:type="spellStart"/>
      <w:r w:rsidRPr="00992D4C">
        <w:rPr>
          <w:rFonts w:ascii="Arial" w:eastAsia="Calibri" w:hAnsi="Arial" w:cs="Arial"/>
        </w:rPr>
        <w:t>the</w:t>
      </w:r>
      <w:proofErr w:type="spellEnd"/>
      <w:r w:rsidRPr="00992D4C">
        <w:rPr>
          <w:rFonts w:ascii="Arial" w:eastAsia="Calibri" w:hAnsi="Arial" w:cs="Arial"/>
        </w:rPr>
        <w:t xml:space="preserve"> </w:t>
      </w:r>
      <w:proofErr w:type="spellStart"/>
      <w:r w:rsidRPr="00992D4C">
        <w:rPr>
          <w:rFonts w:ascii="Arial" w:eastAsia="Calibri" w:hAnsi="Arial" w:cs="Arial"/>
        </w:rPr>
        <w:t>process</w:t>
      </w:r>
      <w:proofErr w:type="spellEnd"/>
      <w:r w:rsidRPr="00992D4C">
        <w:rPr>
          <w:rFonts w:ascii="Arial" w:eastAsia="Calibri" w:hAnsi="Arial" w:cs="Arial"/>
        </w:rPr>
        <w:t xml:space="preserve"> of </w:t>
      </w:r>
      <w:proofErr w:type="spellStart"/>
      <w:r w:rsidRPr="00992D4C">
        <w:rPr>
          <w:rFonts w:ascii="Arial" w:eastAsia="Calibri" w:hAnsi="Arial" w:cs="Arial"/>
        </w:rPr>
        <w:t>initial</w:t>
      </w:r>
      <w:proofErr w:type="spellEnd"/>
      <w:r w:rsidRPr="00992D4C">
        <w:rPr>
          <w:rFonts w:ascii="Arial" w:eastAsia="Calibri" w:hAnsi="Arial" w:cs="Arial"/>
        </w:rPr>
        <w:t xml:space="preserve"> </w:t>
      </w:r>
      <w:proofErr w:type="spellStart"/>
      <w:r w:rsidRPr="00992D4C">
        <w:rPr>
          <w:rFonts w:ascii="Arial" w:eastAsia="Calibri" w:hAnsi="Arial" w:cs="Arial"/>
        </w:rPr>
        <w:t>creation</w:t>
      </w:r>
      <w:proofErr w:type="spellEnd"/>
      <w:r w:rsidRPr="00992D4C">
        <w:rPr>
          <w:rFonts w:ascii="Arial" w:eastAsia="Calibri" w:hAnsi="Arial" w:cs="Arial"/>
        </w:rPr>
        <w:t xml:space="preserve"> of </w:t>
      </w:r>
      <w:proofErr w:type="spellStart"/>
      <w:r w:rsidRPr="00992D4C">
        <w:rPr>
          <w:rFonts w:ascii="Arial" w:eastAsia="Calibri" w:hAnsi="Arial" w:cs="Arial"/>
        </w:rPr>
        <w:t>securities</w:t>
      </w:r>
      <w:proofErr w:type="spellEnd"/>
      <w:r w:rsidRPr="00992D4C">
        <w:rPr>
          <w:rFonts w:ascii="Arial" w:eastAsia="Calibri" w:hAnsi="Arial" w:cs="Arial"/>
        </w:rPr>
        <w:t xml:space="preserve">) utalva; </w:t>
      </w:r>
    </w:p>
    <w:p w14:paraId="7489AA37" w14:textId="77777777" w:rsidR="00625FCE" w:rsidRPr="00992D4C" w:rsidRDefault="00625FCE" w:rsidP="00625FCE">
      <w:pPr>
        <w:autoSpaceDE w:val="0"/>
        <w:autoSpaceDN w:val="0"/>
        <w:adjustRightInd w:val="0"/>
        <w:spacing w:after="120"/>
        <w:ind w:left="1418" w:hanging="284"/>
        <w:rPr>
          <w:rFonts w:ascii="Arial" w:eastAsia="Calibri" w:hAnsi="Arial" w:cs="Arial"/>
        </w:rPr>
      </w:pPr>
      <w:r w:rsidRPr="00992D4C">
        <w:rPr>
          <w:rFonts w:ascii="Arial" w:eastAsia="Calibri" w:hAnsi="Arial" w:cs="Arial"/>
        </w:rPr>
        <w:t xml:space="preserve">cd) befektetési jegyek értékesítése és visszaváltása, a befektetési jegyek technikai létrehozatalát és visszavásárlását értve ezalatt, kivéve, ha a befektetési jegyek ilyen értékesítése és visszaváltása központi értéktár által működtetett értékpapír-kiegyenlítési rendszer átutalási megbízásain keresztül valósul meg; </w:t>
      </w:r>
    </w:p>
    <w:p w14:paraId="6053F2FE" w14:textId="77777777" w:rsidR="00625FCE" w:rsidRPr="00992D4C" w:rsidRDefault="00625FCE" w:rsidP="00625FCE">
      <w:pPr>
        <w:autoSpaceDE w:val="0"/>
        <w:autoSpaceDN w:val="0"/>
        <w:adjustRightInd w:val="0"/>
        <w:spacing w:after="120"/>
        <w:ind w:left="1418" w:hanging="284"/>
        <w:rPr>
          <w:rFonts w:ascii="Arial" w:eastAsia="Calibri" w:hAnsi="Arial" w:cs="Arial"/>
        </w:rPr>
      </w:pPr>
      <w:proofErr w:type="spellStart"/>
      <w:r w:rsidRPr="00992D4C">
        <w:rPr>
          <w:rFonts w:ascii="Arial" w:eastAsia="Calibri" w:hAnsi="Arial" w:cs="Arial"/>
        </w:rPr>
        <w:t>ce</w:t>
      </w:r>
      <w:proofErr w:type="spellEnd"/>
      <w:r w:rsidRPr="00992D4C">
        <w:rPr>
          <w:rFonts w:ascii="Arial" w:eastAsia="Calibri" w:hAnsi="Arial" w:cs="Arial"/>
        </w:rPr>
        <w:t>) újraértékelési műveletek (</w:t>
      </w:r>
      <w:proofErr w:type="spellStart"/>
      <w:r w:rsidRPr="00992D4C">
        <w:rPr>
          <w:rFonts w:ascii="Arial" w:eastAsia="Calibri" w:hAnsi="Arial" w:cs="Arial"/>
        </w:rPr>
        <w:t>realignment</w:t>
      </w:r>
      <w:proofErr w:type="spellEnd"/>
      <w:r w:rsidRPr="00992D4C">
        <w:rPr>
          <w:rFonts w:ascii="Arial" w:eastAsia="Calibri" w:hAnsi="Arial" w:cs="Arial"/>
        </w:rPr>
        <w:t xml:space="preserve"> </w:t>
      </w:r>
      <w:proofErr w:type="spellStart"/>
      <w:r w:rsidRPr="00992D4C">
        <w:rPr>
          <w:rFonts w:ascii="Arial" w:eastAsia="Calibri" w:hAnsi="Arial" w:cs="Arial"/>
        </w:rPr>
        <w:t>operations</w:t>
      </w:r>
      <w:proofErr w:type="spellEnd"/>
      <w:r w:rsidRPr="00992D4C">
        <w:rPr>
          <w:rFonts w:ascii="Arial" w:eastAsia="Calibri" w:hAnsi="Arial" w:cs="Arial"/>
        </w:rPr>
        <w:t xml:space="preserve">). </w:t>
      </w:r>
    </w:p>
    <w:p w14:paraId="0F9DF396" w14:textId="77777777" w:rsidR="00625FCE" w:rsidRPr="00992D4C" w:rsidRDefault="00625FCE" w:rsidP="00625FCE">
      <w:pPr>
        <w:pStyle w:val="Listaszerbekezds"/>
        <w:numPr>
          <w:ilvl w:val="1"/>
          <w:numId w:val="127"/>
        </w:numPr>
        <w:autoSpaceDE w:val="0"/>
        <w:autoSpaceDN w:val="0"/>
        <w:adjustRightInd w:val="0"/>
        <w:spacing w:after="120"/>
        <w:ind w:left="993"/>
        <w:rPr>
          <w:rFonts w:ascii="Arial" w:eastAsia="Calibri" w:hAnsi="Arial" w:cs="Arial"/>
          <w:color w:val="000000"/>
          <w:lang w:val="en-GB"/>
        </w:rPr>
      </w:pPr>
      <w:r w:rsidRPr="00992D4C">
        <w:rPr>
          <w:rFonts w:ascii="Arial" w:eastAsia="Calibri" w:hAnsi="Arial" w:cs="Arial"/>
        </w:rPr>
        <w:t xml:space="preserve">az </w:t>
      </w:r>
      <w:r w:rsidRPr="00992D4C">
        <w:rPr>
          <w:rFonts w:ascii="Arial" w:eastAsia="Calibri" w:hAnsi="Arial" w:cs="Arial"/>
          <w:color w:val="000000"/>
          <w:lang w:val="en-GB"/>
        </w:rPr>
        <w:t>(</w:t>
      </w:r>
      <w:r w:rsidRPr="00992D4C">
        <w:rPr>
          <w:rFonts w:ascii="Arial" w:eastAsia="Calibri" w:hAnsi="Arial" w:cs="Arial"/>
        </w:rPr>
        <w:t xml:space="preserve">EU) 2017/389 </w:t>
      </w:r>
      <w:r w:rsidRPr="00992D4C">
        <w:rPr>
          <w:rFonts w:ascii="Arial" w:hAnsi="Arial" w:cs="Arial"/>
        </w:rPr>
        <w:t>felhatalmazáson alapuló bizottsági</w:t>
      </w:r>
      <w:r w:rsidRPr="00992D4C">
        <w:rPr>
          <w:rFonts w:ascii="Arial" w:eastAsia="Calibri" w:hAnsi="Arial" w:cs="Arial"/>
        </w:rPr>
        <w:t xml:space="preserve"> rendelet 6. cikk (2) bekezdés b) pontjában szereplő fizetés nélküli kiegyenlítési megbízások (</w:t>
      </w:r>
      <w:proofErr w:type="spellStart"/>
      <w:r w:rsidRPr="00992D4C">
        <w:rPr>
          <w:rFonts w:ascii="Arial" w:eastAsia="Calibri" w:hAnsi="Arial" w:cs="Arial"/>
        </w:rPr>
        <w:t>FOP</w:t>
      </w:r>
      <w:proofErr w:type="spellEnd"/>
      <w:r w:rsidRPr="00992D4C">
        <w:rPr>
          <w:rFonts w:ascii="Arial" w:eastAsia="Calibri" w:hAnsi="Arial" w:cs="Arial"/>
        </w:rPr>
        <w:t xml:space="preserve">) esetében a piaci érték meghatározásának az egyes kiegyenlítési megbízások teljesítésének napján érvényes értéken kell alapulnia. </w:t>
      </w:r>
    </w:p>
    <w:p w14:paraId="399677E4" w14:textId="77777777" w:rsidR="00625FCE" w:rsidRPr="00992D4C" w:rsidRDefault="00625FCE" w:rsidP="00625FCE">
      <w:pPr>
        <w:pStyle w:val="Listaszerbekezds"/>
        <w:numPr>
          <w:ilvl w:val="0"/>
          <w:numId w:val="0"/>
        </w:numPr>
        <w:autoSpaceDE w:val="0"/>
        <w:autoSpaceDN w:val="0"/>
        <w:adjustRightInd w:val="0"/>
        <w:spacing w:after="120"/>
        <w:ind w:left="993"/>
        <w:rPr>
          <w:rFonts w:ascii="Arial" w:eastAsia="Calibri" w:hAnsi="Arial" w:cs="Arial"/>
          <w:color w:val="000000"/>
          <w:lang w:val="en-GB"/>
        </w:rPr>
      </w:pPr>
    </w:p>
    <w:p w14:paraId="5C823AB8" w14:textId="77777777" w:rsidR="00625FCE" w:rsidRPr="00992D4C" w:rsidRDefault="00625FCE" w:rsidP="00625FCE">
      <w:pPr>
        <w:pStyle w:val="Listaszerbekezds"/>
        <w:numPr>
          <w:ilvl w:val="0"/>
          <w:numId w:val="125"/>
        </w:numPr>
        <w:autoSpaceDE w:val="0"/>
        <w:autoSpaceDN w:val="0"/>
        <w:adjustRightInd w:val="0"/>
        <w:spacing w:after="120"/>
        <w:rPr>
          <w:rFonts w:ascii="Arial" w:eastAsia="Calibri" w:hAnsi="Arial" w:cs="Arial"/>
          <w:color w:val="000000"/>
        </w:rPr>
      </w:pPr>
      <w:r w:rsidRPr="00992D4C">
        <w:rPr>
          <w:rFonts w:ascii="Arial" w:eastAsia="Calibri" w:hAnsi="Arial" w:cs="Arial"/>
          <w:color w:val="000000"/>
        </w:rPr>
        <w:t xml:space="preserve">A 01. táblában, a kibocsátó székhelye szerinti országot kell figyelembe venni a (EU) 2017/389 </w:t>
      </w:r>
      <w:r w:rsidRPr="00992D4C">
        <w:rPr>
          <w:rFonts w:ascii="Arial" w:hAnsi="Arial" w:cs="Arial"/>
        </w:rPr>
        <w:t>felhatalmazáson alapuló bizottsági</w:t>
      </w:r>
      <w:r w:rsidRPr="00992D4C">
        <w:rPr>
          <w:rFonts w:ascii="Arial" w:eastAsia="Calibri" w:hAnsi="Arial" w:cs="Arial"/>
          <w:color w:val="000000"/>
        </w:rPr>
        <w:t xml:space="preserve"> rendelet 5. cikk (1) bekezdés a) pontjában szereplő kritériumokat tekintve. </w:t>
      </w:r>
    </w:p>
    <w:p w14:paraId="0B139D55" w14:textId="77777777" w:rsidR="00625FCE" w:rsidRPr="00992D4C" w:rsidRDefault="00625FCE" w:rsidP="00625FCE">
      <w:pPr>
        <w:numPr>
          <w:ilvl w:val="0"/>
          <w:numId w:val="125"/>
        </w:numPr>
        <w:autoSpaceDE w:val="0"/>
        <w:autoSpaceDN w:val="0"/>
        <w:adjustRightInd w:val="0"/>
        <w:spacing w:after="120"/>
        <w:ind w:left="426" w:hanging="426"/>
        <w:rPr>
          <w:rFonts w:ascii="Arial" w:eastAsia="Calibri" w:hAnsi="Arial" w:cs="Arial"/>
        </w:rPr>
      </w:pPr>
      <w:r w:rsidRPr="00992D4C">
        <w:rPr>
          <w:rFonts w:ascii="Arial" w:eastAsia="Calibri" w:hAnsi="Arial" w:cs="Arial"/>
        </w:rPr>
        <w:t xml:space="preserve">A 02. és a 04. táblában, az </w:t>
      </w:r>
      <w:r w:rsidRPr="00992D4C">
        <w:rPr>
          <w:rFonts w:ascii="Arial" w:eastAsia="Calibri" w:hAnsi="Arial" w:cs="Arial"/>
          <w:color w:val="000000"/>
          <w:lang w:val="en-GB"/>
        </w:rPr>
        <w:t>(</w:t>
      </w:r>
      <w:r w:rsidRPr="00992D4C">
        <w:rPr>
          <w:rFonts w:ascii="Arial" w:eastAsia="Calibri" w:hAnsi="Arial" w:cs="Arial"/>
          <w:color w:val="000000"/>
        </w:rPr>
        <w:t xml:space="preserve">EU) 2017/389 </w:t>
      </w:r>
      <w:r w:rsidRPr="00992D4C">
        <w:rPr>
          <w:rFonts w:ascii="Arial" w:hAnsi="Arial" w:cs="Arial"/>
        </w:rPr>
        <w:t>felhatalmazáson alapuló bizottsági</w:t>
      </w:r>
      <w:r w:rsidRPr="00992D4C">
        <w:rPr>
          <w:rFonts w:ascii="Arial" w:eastAsia="Calibri" w:hAnsi="Arial" w:cs="Arial"/>
          <w:color w:val="000000"/>
        </w:rPr>
        <w:t xml:space="preserve"> rendelet</w:t>
      </w:r>
      <w:r w:rsidRPr="00992D4C">
        <w:rPr>
          <w:rFonts w:ascii="Arial" w:eastAsia="Calibri" w:hAnsi="Arial" w:cs="Arial"/>
        </w:rPr>
        <w:t xml:space="preserve"> 5. cikk (1) bekezdés b) pontjában és 6. cikk (1) bekezdés b) pontjában szereplő kritériumokat figyelembe véve, az anyavállalat székhelye szerinti országot kell figyelembe venni olyan résztvevők és egyéb értékpapírszámla-tulajdonosok esetében, amelyek fióktelepek. </w:t>
      </w:r>
    </w:p>
    <w:p w14:paraId="0A877C5B" w14:textId="77777777" w:rsidR="00625FCE" w:rsidRPr="00992D4C" w:rsidRDefault="00625FCE" w:rsidP="00625FCE">
      <w:pPr>
        <w:numPr>
          <w:ilvl w:val="0"/>
          <w:numId w:val="125"/>
        </w:numPr>
        <w:spacing w:after="120"/>
        <w:ind w:left="426" w:hanging="426"/>
        <w:rPr>
          <w:rFonts w:ascii="Arial" w:eastAsia="Calibri" w:hAnsi="Arial" w:cs="Arial"/>
          <w:b/>
        </w:rPr>
      </w:pPr>
      <w:r w:rsidRPr="00992D4C">
        <w:rPr>
          <w:rFonts w:ascii="Arial" w:eastAsia="Calibri" w:hAnsi="Arial" w:cs="Arial"/>
        </w:rPr>
        <w:t xml:space="preserve">A központi értéktárnak jelentenie kell továbbá a székhely szerinti tagállam tekintetében nyújtott szolgáltatásokat is (például az (EU) 2017/389 </w:t>
      </w:r>
      <w:r w:rsidRPr="00992D4C">
        <w:rPr>
          <w:rFonts w:ascii="Arial" w:hAnsi="Arial" w:cs="Arial"/>
        </w:rPr>
        <w:t>felhatalmazáson alapuló bizottsági</w:t>
      </w:r>
      <w:r w:rsidRPr="00992D4C">
        <w:rPr>
          <w:rFonts w:ascii="Arial" w:eastAsia="Calibri" w:hAnsi="Arial" w:cs="Arial"/>
        </w:rPr>
        <w:t xml:space="preserve"> rendelet 5. cikk (1) bekezdés a) pontjában szereplő kritérium alkalmazásában a központi értéktár által szolgáltatandó adatnak tartalmaznia kell a központi értéktár székhelye szerinti tagállam kibocsátói által kibocsátott értékpapírokat, nem csupán a fogadó tagállamok kibocsátói által kibocsátott értékpapírokat). </w:t>
      </w:r>
    </w:p>
    <w:p w14:paraId="0ABA6490" w14:textId="77777777" w:rsidR="00625FCE" w:rsidRPr="00992D4C" w:rsidRDefault="00625FCE" w:rsidP="00625FCE">
      <w:pPr>
        <w:spacing w:after="120"/>
        <w:ind w:left="426"/>
        <w:rPr>
          <w:rFonts w:ascii="Arial" w:eastAsia="Calibri" w:hAnsi="Arial" w:cs="Arial"/>
          <w:b/>
        </w:rPr>
      </w:pPr>
    </w:p>
    <w:p w14:paraId="2BB08FF3" w14:textId="77777777" w:rsidR="00625FCE" w:rsidRPr="00992D4C" w:rsidRDefault="00625FCE" w:rsidP="00625FCE">
      <w:pPr>
        <w:keepNext/>
        <w:spacing w:after="0" w:line="240" w:lineRule="auto"/>
        <w:jc w:val="left"/>
        <w:rPr>
          <w:rFonts w:ascii="Arial" w:eastAsia="Calibri" w:hAnsi="Arial" w:cs="Arial"/>
          <w:b/>
        </w:rPr>
      </w:pPr>
      <w:r w:rsidRPr="00992D4C">
        <w:rPr>
          <w:rFonts w:ascii="Arial" w:eastAsia="Calibri" w:hAnsi="Arial" w:cs="Arial"/>
          <w:b/>
        </w:rPr>
        <w:lastRenderedPageBreak/>
        <w:t>II.</w:t>
      </w:r>
      <w:r w:rsidRPr="00992D4C">
        <w:rPr>
          <w:rFonts w:ascii="Arial" w:eastAsia="Times New Roman" w:hAnsi="Arial" w:cs="Arial"/>
          <w:b/>
        </w:rPr>
        <w:tab/>
        <w:t>A táblák egyes oszlopaira vonatkozó részletes előírások</w:t>
      </w:r>
    </w:p>
    <w:p w14:paraId="2F8F3A7D" w14:textId="77777777" w:rsidR="00625FCE" w:rsidRPr="00992D4C" w:rsidRDefault="00625FCE" w:rsidP="00625FCE">
      <w:pPr>
        <w:keepNext/>
        <w:spacing w:after="0"/>
        <w:rPr>
          <w:rFonts w:ascii="Arial" w:eastAsia="Calibri" w:hAnsi="Arial" w:cs="Arial"/>
        </w:rPr>
      </w:pPr>
    </w:p>
    <w:p w14:paraId="24C3A5C1" w14:textId="77777777" w:rsidR="00625FCE" w:rsidRPr="00992D4C" w:rsidRDefault="00625FCE" w:rsidP="00625FCE">
      <w:pPr>
        <w:rPr>
          <w:rFonts w:ascii="Arial" w:eastAsia="Calibri" w:hAnsi="Arial" w:cs="Arial"/>
          <w:b/>
        </w:rPr>
      </w:pPr>
      <w:bookmarkStart w:id="28" w:name="_Hlk530574470"/>
      <w:r w:rsidRPr="00992D4C">
        <w:rPr>
          <w:rFonts w:ascii="Arial" w:eastAsia="Calibri" w:hAnsi="Arial" w:cs="Arial"/>
          <w:b/>
        </w:rPr>
        <w:t>01. tábla: az (EU) 2017/389 felhatalmazáson alapuló bizottsági rendelet 5. cikk (1) bekezdés a) pontja szerinti lényegi fontosság</w:t>
      </w:r>
    </w:p>
    <w:p w14:paraId="00BA9683" w14:textId="77777777" w:rsidR="00625FCE" w:rsidRPr="00992D4C" w:rsidRDefault="00625FCE" w:rsidP="00625FCE">
      <w:pPr>
        <w:contextualSpacing/>
        <w:rPr>
          <w:rFonts w:ascii="Arial" w:eastAsia="Calibri" w:hAnsi="Arial" w:cs="Arial"/>
        </w:rPr>
      </w:pPr>
      <w:bookmarkStart w:id="29" w:name="_Hlk530576070"/>
      <w:bookmarkEnd w:id="28"/>
      <w:r w:rsidRPr="00992D4C">
        <w:rPr>
          <w:rFonts w:ascii="Arial" w:eastAsia="Calibri" w:hAnsi="Arial" w:cs="Arial"/>
        </w:rPr>
        <w:t xml:space="preserve">A 3-30. oszlopban kell megjeleníteni – fogadó </w:t>
      </w:r>
      <w:proofErr w:type="spellStart"/>
      <w:r w:rsidRPr="00992D4C">
        <w:rPr>
          <w:rFonts w:ascii="Arial" w:eastAsia="Calibri" w:hAnsi="Arial" w:cs="Arial"/>
        </w:rPr>
        <w:t>tagállamonként</w:t>
      </w:r>
      <w:bookmarkEnd w:id="29"/>
      <w:proofErr w:type="spellEnd"/>
      <w:r w:rsidRPr="00992D4C">
        <w:rPr>
          <w:rFonts w:ascii="Arial" w:eastAsia="Calibri" w:hAnsi="Arial" w:cs="Arial"/>
        </w:rPr>
        <w:t xml:space="preserve"> – a fogadó tagállam kibocsátói által kibocsátott olyan pénzügyi eszközök összesített piaci értékét, amelyek </w:t>
      </w:r>
      <w:bookmarkStart w:id="30" w:name="_Hlk530574650"/>
      <w:r w:rsidRPr="00992D4C">
        <w:rPr>
          <w:rFonts w:ascii="Arial" w:eastAsia="Calibri" w:hAnsi="Arial" w:cs="Arial"/>
        </w:rPr>
        <w:t>első rögzítését, illetve értékpapírszámlán történő központi számlavezetését a központi értéktár végzi</w:t>
      </w:r>
      <w:bookmarkEnd w:id="30"/>
      <w:r w:rsidRPr="00992D4C">
        <w:rPr>
          <w:rFonts w:ascii="Arial" w:eastAsia="Calibri" w:hAnsi="Arial" w:cs="Arial"/>
        </w:rPr>
        <w:t>. Amennyiben valamely fogadó tagállam kibocsátói esetében nem végzett ilyen szolgáltatást a központi értéktár, akkor azon oszlopokat üresen kell hagyni.</w:t>
      </w:r>
    </w:p>
    <w:p w14:paraId="112CD850" w14:textId="77777777" w:rsidR="00625FCE" w:rsidRPr="00992D4C" w:rsidRDefault="00625FCE" w:rsidP="00625FCE">
      <w:pPr>
        <w:spacing w:before="240"/>
        <w:rPr>
          <w:rFonts w:ascii="Arial" w:eastAsia="Calibri" w:hAnsi="Arial" w:cs="Arial"/>
          <w:b/>
        </w:rPr>
      </w:pPr>
      <w:r w:rsidRPr="00992D4C">
        <w:rPr>
          <w:rFonts w:ascii="Arial" w:eastAsia="Calibri" w:hAnsi="Arial" w:cs="Arial"/>
          <w:b/>
        </w:rPr>
        <w:t>02. tábla: az (EU) 2017/389 felhatalmazáson alapuló bizottsági rendelet 5. cikk (1) bekezdés b) pontja szerinti lényegi fontosság</w:t>
      </w:r>
    </w:p>
    <w:p w14:paraId="00733BCD" w14:textId="77777777" w:rsidR="00625FCE" w:rsidRPr="00992D4C" w:rsidRDefault="00625FCE" w:rsidP="00625FCE">
      <w:pPr>
        <w:spacing w:after="120"/>
        <w:rPr>
          <w:rFonts w:ascii="Arial" w:eastAsia="Calibri" w:hAnsi="Arial" w:cs="Arial"/>
        </w:rPr>
      </w:pPr>
      <w:r w:rsidRPr="00992D4C">
        <w:rPr>
          <w:rFonts w:ascii="Arial" w:eastAsia="Calibri" w:hAnsi="Arial" w:cs="Arial"/>
        </w:rPr>
        <w:t xml:space="preserve">A 3-30. oszlopban kell megjeleníteni – fogadó </w:t>
      </w:r>
      <w:proofErr w:type="spellStart"/>
      <w:r w:rsidRPr="00992D4C">
        <w:rPr>
          <w:rFonts w:ascii="Arial" w:eastAsia="Calibri" w:hAnsi="Arial" w:cs="Arial"/>
        </w:rPr>
        <w:t>tagállamonként</w:t>
      </w:r>
      <w:proofErr w:type="spellEnd"/>
      <w:r w:rsidRPr="00992D4C">
        <w:rPr>
          <w:rFonts w:ascii="Arial" w:eastAsia="Calibri" w:hAnsi="Arial" w:cs="Arial"/>
        </w:rPr>
        <w:t xml:space="preserve"> – azoknak a pénzügyi eszközöknek az összesített piaci értékét, amelyek értékpapírszámlán történő központi számlavezetését a fogadó tagállambeli </w:t>
      </w:r>
      <w:bookmarkStart w:id="31" w:name="_Hlk530576260"/>
      <w:r w:rsidRPr="00992D4C">
        <w:rPr>
          <w:rFonts w:ascii="Arial" w:eastAsia="Calibri" w:hAnsi="Arial" w:cs="Arial"/>
        </w:rPr>
        <w:t>résztvevők és egyéb értékpapírszámla-tulajdonosok számára a központi értéktár végzi</w:t>
      </w:r>
      <w:bookmarkEnd w:id="31"/>
      <w:r w:rsidRPr="00992D4C">
        <w:rPr>
          <w:rFonts w:ascii="Arial" w:eastAsia="Calibri" w:hAnsi="Arial" w:cs="Arial"/>
        </w:rPr>
        <w:t>. Amennyiben az adott fogadó tagállambeli résztvevők és egyéb értékpapírszámla-tulajdonosok számára nem végzett ilyen szolgáltatást a központi értéktár, akkor azon oszlopokat üresen kell hagyni.</w:t>
      </w:r>
    </w:p>
    <w:p w14:paraId="5FC9D211" w14:textId="77777777" w:rsidR="00625FCE" w:rsidRPr="00992D4C" w:rsidRDefault="00625FCE" w:rsidP="00625FCE">
      <w:pPr>
        <w:spacing w:before="240"/>
        <w:rPr>
          <w:rFonts w:ascii="Arial" w:eastAsia="Calibri" w:hAnsi="Arial" w:cs="Arial"/>
          <w:b/>
        </w:rPr>
      </w:pPr>
      <w:r w:rsidRPr="00992D4C">
        <w:rPr>
          <w:rFonts w:ascii="Arial" w:eastAsia="Calibri" w:hAnsi="Arial" w:cs="Arial"/>
          <w:b/>
        </w:rPr>
        <w:t>03. tábla: az (EU) 2017/389 felhatalmazáson alapuló bizottsági rendelet 6. cikk (1) bekezdés a) pontja szerinti lényegi fontosság</w:t>
      </w:r>
    </w:p>
    <w:p w14:paraId="5C8CCD46" w14:textId="77777777" w:rsidR="00625FCE" w:rsidRPr="00992D4C" w:rsidRDefault="00625FCE" w:rsidP="00625FCE">
      <w:pPr>
        <w:spacing w:after="120"/>
        <w:rPr>
          <w:rFonts w:ascii="Arial" w:eastAsia="Calibri" w:hAnsi="Arial" w:cs="Arial"/>
        </w:rPr>
      </w:pPr>
      <w:r w:rsidRPr="00992D4C">
        <w:rPr>
          <w:rFonts w:ascii="Arial" w:eastAsia="Calibri" w:hAnsi="Arial" w:cs="Arial"/>
        </w:rPr>
        <w:t xml:space="preserve">A 3-30. oszlopban kell megjeleníteni – fogadó </w:t>
      </w:r>
      <w:proofErr w:type="spellStart"/>
      <w:r w:rsidRPr="00992D4C">
        <w:rPr>
          <w:rFonts w:ascii="Arial" w:eastAsia="Calibri" w:hAnsi="Arial" w:cs="Arial"/>
        </w:rPr>
        <w:t>tagállamonként</w:t>
      </w:r>
      <w:proofErr w:type="spellEnd"/>
      <w:r w:rsidRPr="00992D4C">
        <w:rPr>
          <w:rFonts w:ascii="Arial" w:eastAsia="Calibri" w:hAnsi="Arial" w:cs="Arial"/>
        </w:rPr>
        <w:t xml:space="preserve"> – a fogadó tagállam kibocsátói által kibocsátott pénzügyi eszközökre kötött és a központi értéktár által elszámolt ügyletekre vonatkozó kiegyenlítési megbízások éves értékét. Az értékeket euróban kell megjeleníteni. Amennyiben valamely fogadó tagállam kibocsátói esetében nem végzett ilyen szolgáltatást a központi értéktár, akkor azon oszlopokat üresen kell hagyni.</w:t>
      </w:r>
    </w:p>
    <w:p w14:paraId="20ABE420" w14:textId="77777777" w:rsidR="00625FCE" w:rsidRPr="00992D4C" w:rsidRDefault="00625FCE" w:rsidP="00625FCE">
      <w:pPr>
        <w:spacing w:before="240"/>
        <w:rPr>
          <w:rFonts w:ascii="Arial" w:eastAsia="Calibri" w:hAnsi="Arial" w:cs="Arial"/>
          <w:b/>
        </w:rPr>
      </w:pPr>
      <w:r w:rsidRPr="00992D4C">
        <w:rPr>
          <w:rFonts w:ascii="Arial" w:eastAsia="Calibri" w:hAnsi="Arial" w:cs="Arial"/>
          <w:b/>
        </w:rPr>
        <w:t>04. tábla: az (EU) 2017/389 felhatalmazáson alapuló bizottsági rendelet 6. cikk (1) bekezdés b) pontja szerinti lényegi fontosság</w:t>
      </w:r>
    </w:p>
    <w:p w14:paraId="7D5B7677" w14:textId="77777777" w:rsidR="00625FCE" w:rsidRPr="00992D4C" w:rsidRDefault="00625FCE" w:rsidP="00625FCE">
      <w:pPr>
        <w:spacing w:after="120"/>
        <w:rPr>
          <w:rFonts w:ascii="Arial" w:eastAsia="Calibri" w:hAnsi="Arial" w:cs="Arial"/>
        </w:rPr>
      </w:pPr>
      <w:r w:rsidRPr="00992D4C">
        <w:rPr>
          <w:rFonts w:ascii="Arial" w:eastAsia="Calibri" w:hAnsi="Arial" w:cs="Arial"/>
        </w:rPr>
        <w:t xml:space="preserve">A 3-30. oszlopban kell megjeleníteni – fogadó </w:t>
      </w:r>
      <w:proofErr w:type="spellStart"/>
      <w:r w:rsidRPr="00992D4C">
        <w:rPr>
          <w:rFonts w:ascii="Arial" w:eastAsia="Calibri" w:hAnsi="Arial" w:cs="Arial"/>
        </w:rPr>
        <w:t>tagállamonként</w:t>
      </w:r>
      <w:proofErr w:type="spellEnd"/>
      <w:r w:rsidRPr="00992D4C">
        <w:rPr>
          <w:rFonts w:ascii="Arial" w:eastAsia="Calibri" w:hAnsi="Arial" w:cs="Arial"/>
        </w:rPr>
        <w:t xml:space="preserve"> – a központi értéktár által a fogadó tagállambeli résztvevők és egyéb értékpapírszámla-tulajdonosok számára teljesített kiegyenlítési megbízások éves értékét. Az értékeket euróban kell megjeleníteni. Amennyiben az adott fogadó tagállambeli résztvevők és egyéb értékpapírszámla-tulajdonosok esetében nem végzett ilyen szolgáltatást a központi értéktár, akkor azon oszlopokat üresen kell hagyni.</w:t>
      </w:r>
    </w:p>
    <w:p w14:paraId="38DCA113" w14:textId="77777777" w:rsidR="00625FCE" w:rsidRPr="00992D4C" w:rsidRDefault="00625FCE" w:rsidP="00625FCE">
      <w:pPr>
        <w:spacing w:before="240"/>
        <w:rPr>
          <w:rFonts w:ascii="Arial" w:eastAsia="Calibri" w:hAnsi="Arial" w:cs="Arial"/>
          <w:b/>
        </w:rPr>
      </w:pPr>
      <w:r w:rsidRPr="00992D4C">
        <w:rPr>
          <w:rFonts w:ascii="Arial" w:eastAsia="Calibri" w:hAnsi="Arial" w:cs="Arial"/>
          <w:b/>
        </w:rPr>
        <w:t>05. tábla: az (EU) 2017/389 felhatalmazáson alapuló bizottsági rendelet 6. cikk (1) bekezdés c) pontja szerinti lényegi fontosság</w:t>
      </w:r>
    </w:p>
    <w:p w14:paraId="6AFEED21" w14:textId="40F5DC3B" w:rsidR="00625FCE" w:rsidRDefault="00625FCE" w:rsidP="00625FCE">
      <w:pPr>
        <w:spacing w:after="0"/>
        <w:rPr>
          <w:rFonts w:ascii="Arial" w:eastAsia="Calibri" w:hAnsi="Arial" w:cs="Arial"/>
        </w:rPr>
      </w:pPr>
      <w:r w:rsidRPr="00992D4C">
        <w:rPr>
          <w:rFonts w:ascii="Arial" w:eastAsia="Calibri" w:hAnsi="Arial" w:cs="Arial"/>
        </w:rPr>
        <w:t>A 3. oszlopban kell megjeleníteni, hogy a központi értéktár mely tagállam jogának hatálya alatt működteti az értékpapírkiegyenlítési rendszert.</w:t>
      </w:r>
    </w:p>
    <w:p w14:paraId="330E8AB1" w14:textId="77777777" w:rsidR="00625FCE" w:rsidRDefault="00625FCE" w:rsidP="00625FCE">
      <w:pPr>
        <w:spacing w:after="0"/>
        <w:rPr>
          <w:rFonts w:ascii="Arial" w:eastAsia="Calibri" w:hAnsi="Arial" w:cs="Arial"/>
        </w:rPr>
      </w:pPr>
    </w:p>
    <w:p w14:paraId="72EE045B" w14:textId="3029FD7D" w:rsidR="00625FCE" w:rsidRDefault="00625FCE" w:rsidP="00625FCE">
      <w:pPr>
        <w:spacing w:after="0"/>
        <w:rPr>
          <w:rFonts w:ascii="Arial" w:hAnsi="Arial" w:cs="Arial"/>
        </w:rPr>
      </w:pPr>
    </w:p>
    <w:p w14:paraId="55EE6393" w14:textId="5D689129" w:rsidR="00625FCE" w:rsidRDefault="001C748D" w:rsidP="00625FCE">
      <w:pPr>
        <w:spacing w:after="0"/>
        <w:rPr>
          <w:rFonts w:ascii="Arial" w:hAnsi="Arial" w:cs="Arial"/>
        </w:rPr>
      </w:pPr>
      <w:r w:rsidRPr="001C748D">
        <w:rPr>
          <w:noProof/>
        </w:rPr>
        <w:drawing>
          <wp:inline distT="0" distB="0" distL="0" distR="0" wp14:anchorId="2F8D1411" wp14:editId="41413D45">
            <wp:extent cx="6235065" cy="18859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26" cy="1889991"/>
                    </a:xfrm>
                    <a:prstGeom prst="rect">
                      <a:avLst/>
                    </a:prstGeom>
                    <a:noFill/>
                    <a:ln>
                      <a:noFill/>
                    </a:ln>
                  </pic:spPr>
                </pic:pic>
              </a:graphicData>
            </a:graphic>
          </wp:inline>
        </w:drawing>
      </w:r>
    </w:p>
    <w:p w14:paraId="30916B28" w14:textId="77777777" w:rsidR="00625FCE" w:rsidRPr="00122713" w:rsidRDefault="00625FCE" w:rsidP="001C748D">
      <w:pPr>
        <w:keepNext/>
        <w:jc w:val="left"/>
        <w:rPr>
          <w:rFonts w:ascii="Arial" w:eastAsia="Calibri" w:hAnsi="Arial" w:cs="Arial"/>
          <w:b/>
        </w:rPr>
      </w:pPr>
      <w:r w:rsidRPr="00122713">
        <w:rPr>
          <w:rFonts w:ascii="Arial" w:eastAsia="Calibri" w:hAnsi="Arial" w:cs="Arial"/>
          <w:b/>
        </w:rPr>
        <w:lastRenderedPageBreak/>
        <w:t>MNB azonosító kód: P68</w:t>
      </w:r>
    </w:p>
    <w:p w14:paraId="3D0148C0" w14:textId="77777777" w:rsidR="00C74188" w:rsidRDefault="00C74188" w:rsidP="001C748D">
      <w:pPr>
        <w:keepNext/>
        <w:spacing w:after="0"/>
        <w:jc w:val="center"/>
        <w:rPr>
          <w:rFonts w:ascii="Arial" w:eastAsia="Calibri" w:hAnsi="Arial" w:cs="Arial"/>
          <w:b/>
        </w:rPr>
      </w:pPr>
    </w:p>
    <w:p w14:paraId="55C8BBCA" w14:textId="4D86874C" w:rsidR="00625FCE" w:rsidRPr="00122713" w:rsidRDefault="00625FCE" w:rsidP="001C748D">
      <w:pPr>
        <w:keepNext/>
        <w:spacing w:after="0"/>
        <w:jc w:val="center"/>
        <w:rPr>
          <w:rFonts w:ascii="Arial" w:eastAsia="Calibri" w:hAnsi="Arial" w:cs="Arial"/>
          <w:b/>
        </w:rPr>
      </w:pPr>
      <w:r w:rsidRPr="00122713">
        <w:rPr>
          <w:rFonts w:ascii="Arial" w:eastAsia="Calibri" w:hAnsi="Arial" w:cs="Arial"/>
          <w:b/>
        </w:rPr>
        <w:t>Kitöltési előírások</w:t>
      </w:r>
    </w:p>
    <w:p w14:paraId="10D9218E" w14:textId="77777777" w:rsidR="00625FCE" w:rsidRPr="00122713" w:rsidRDefault="00625FCE" w:rsidP="001C748D">
      <w:pPr>
        <w:keepNext/>
        <w:jc w:val="center"/>
        <w:rPr>
          <w:rFonts w:ascii="Arial" w:eastAsia="Calibri" w:hAnsi="Arial" w:cs="Arial"/>
          <w:b/>
        </w:rPr>
      </w:pPr>
      <w:r w:rsidRPr="00122713">
        <w:rPr>
          <w:rFonts w:ascii="Arial" w:eastAsia="Calibri" w:hAnsi="Arial" w:cs="Arial"/>
          <w:b/>
        </w:rPr>
        <w:t>Leginkább releváns pénznemek meghatározása</w:t>
      </w:r>
    </w:p>
    <w:p w14:paraId="74E91103" w14:textId="77777777" w:rsidR="00625FCE" w:rsidRPr="00122713" w:rsidRDefault="00625FCE" w:rsidP="001C748D">
      <w:pPr>
        <w:keepNext/>
        <w:spacing w:after="0" w:line="240" w:lineRule="auto"/>
        <w:jc w:val="left"/>
        <w:rPr>
          <w:rFonts w:ascii="Arial" w:eastAsia="Calibri" w:hAnsi="Arial" w:cs="Arial"/>
        </w:rPr>
      </w:pPr>
    </w:p>
    <w:p w14:paraId="2C3E846C" w14:textId="77777777" w:rsidR="00625FCE" w:rsidRPr="00122713" w:rsidRDefault="00625FCE" w:rsidP="00625FCE">
      <w:pPr>
        <w:keepNext/>
        <w:tabs>
          <w:tab w:val="left" w:pos="426"/>
        </w:tabs>
        <w:spacing w:before="240" w:after="240" w:line="240" w:lineRule="auto"/>
        <w:jc w:val="left"/>
        <w:outlineLvl w:val="2"/>
        <w:rPr>
          <w:rFonts w:ascii="Arial" w:eastAsia="Times New Roman" w:hAnsi="Arial" w:cs="Arial"/>
          <w:b/>
        </w:rPr>
      </w:pPr>
      <w:r w:rsidRPr="00122713">
        <w:rPr>
          <w:rFonts w:ascii="Arial" w:eastAsia="Times New Roman" w:hAnsi="Arial" w:cs="Arial"/>
          <w:b/>
        </w:rPr>
        <w:t>I.</w:t>
      </w:r>
      <w:r w:rsidRPr="00122713">
        <w:rPr>
          <w:rFonts w:ascii="Arial" w:eastAsia="Times New Roman" w:hAnsi="Arial" w:cs="Arial"/>
          <w:b/>
        </w:rPr>
        <w:tab/>
        <w:t>Általános előírások</w:t>
      </w:r>
    </w:p>
    <w:p w14:paraId="756ADF19" w14:textId="77777777" w:rsidR="00625FCE" w:rsidRPr="00122713" w:rsidRDefault="00625FCE" w:rsidP="00625FCE">
      <w:pPr>
        <w:pStyle w:val="Listaszerbekezds"/>
        <w:numPr>
          <w:ilvl w:val="0"/>
          <w:numId w:val="129"/>
        </w:numPr>
        <w:spacing w:after="0" w:line="240" w:lineRule="auto"/>
        <w:ind w:left="426" w:hanging="426"/>
        <w:rPr>
          <w:rFonts w:ascii="Arial" w:eastAsia="Calibri" w:hAnsi="Arial" w:cs="Arial"/>
        </w:rPr>
      </w:pPr>
      <w:r w:rsidRPr="00122713">
        <w:rPr>
          <w:rFonts w:ascii="Arial" w:eastAsia="Calibri" w:hAnsi="Arial" w:cs="Arial"/>
        </w:rPr>
        <w:t xml:space="preserve">A táblában és a kitöltési előírásokban használt fogalmak </w:t>
      </w:r>
      <w:r w:rsidRPr="00122713">
        <w:rPr>
          <w:rFonts w:ascii="Arial" w:hAnsi="Arial" w:cs="Arial"/>
          <w:bCs/>
        </w:rPr>
        <w:t>a</w:t>
      </w:r>
      <w:r w:rsidRPr="00122713">
        <w:rPr>
          <w:rFonts w:ascii="Arial" w:hAnsi="Arial" w:cs="Arial"/>
        </w:rPr>
        <w:t xml:space="preserve">z Európai Unión belüli értékpapír-kiegyenlítés javításáról és a központi értéktárakról, valamint 98/26/EK és a 2014/65/EU irányelv, valamint a 236/2012/EU rendelet módosításáról szóló 2014. július 23-ai 909/2014/EU európai parlamenti és tanácsi rendelet </w:t>
      </w:r>
      <w:r w:rsidRPr="00122713">
        <w:rPr>
          <w:rFonts w:ascii="Arial" w:eastAsia="Calibri" w:hAnsi="Arial" w:cs="Arial"/>
        </w:rPr>
        <w:t xml:space="preserve">és a </w:t>
      </w:r>
      <w:r w:rsidRPr="00122713">
        <w:rPr>
          <w:rFonts w:ascii="Arial" w:hAnsi="Arial" w:cs="Arial"/>
        </w:rPr>
        <w:t xml:space="preserve">909/2014/EU európai parlamenti és tanácsi rendeletnek a központi értéktárakra vonatkozó engedélyezési, felügyeleti és működési követelményekről szóló szabályozástechnikai standardok tekintetében történő kiegészítéséről szóló 2016. november 11-ei </w:t>
      </w:r>
      <w:r w:rsidRPr="00122713">
        <w:rPr>
          <w:rFonts w:ascii="Arial" w:eastAsia="Calibri" w:hAnsi="Arial" w:cs="Arial"/>
        </w:rPr>
        <w:t xml:space="preserve">(EU) 2017/392 </w:t>
      </w:r>
      <w:r w:rsidRPr="00122713">
        <w:rPr>
          <w:rFonts w:ascii="Arial" w:hAnsi="Arial" w:cs="Arial"/>
        </w:rPr>
        <w:t>felhatalmazáson alapuló bizottsági rendelet</w:t>
      </w:r>
      <w:r w:rsidRPr="00122713">
        <w:rPr>
          <w:rFonts w:ascii="Arial" w:eastAsia="Calibri" w:hAnsi="Arial" w:cs="Arial"/>
        </w:rPr>
        <w:t xml:space="preserve"> szerint értelmezendők.</w:t>
      </w:r>
    </w:p>
    <w:p w14:paraId="1FFDC74F" w14:textId="77777777" w:rsidR="00625FCE" w:rsidRPr="00122713" w:rsidRDefault="00625FCE" w:rsidP="00625FCE">
      <w:pPr>
        <w:spacing w:after="0" w:line="240" w:lineRule="auto"/>
        <w:jc w:val="left"/>
        <w:rPr>
          <w:rFonts w:ascii="Arial" w:eastAsia="Calibri" w:hAnsi="Arial" w:cs="Arial"/>
        </w:rPr>
      </w:pPr>
    </w:p>
    <w:p w14:paraId="65D3D3AD"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Az adatszolgáltatásban jelenteni kell – a tárgyév egészére vonatkozóan – a központi értéktár által egyes pénznemekben történt kiegyenlítések abszolút értékét, a kiegyenlítések során használt, eredeti pénznemekben kifejezve.</w:t>
      </w:r>
    </w:p>
    <w:p w14:paraId="0A6C739C"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Az adatszolgáltatásba a központi értéktár által kiegyenlített, kifizetés ellenében létrejött valamennyi kiegyenlítési megbízási kategóriát bele kell foglalni tekintet nélkül arra, hogy azok olyan ügyletekkel kapcsolatosak-e, amelyeket kereskedési helyszínen vagy tőzsdén kívül hajtanak végre.</w:t>
      </w:r>
    </w:p>
    <w:p w14:paraId="7D9BE064"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 több ügyletből álló műveletek, mint például az értékpapír-</w:t>
      </w:r>
      <w:proofErr w:type="spellStart"/>
      <w:r w:rsidRPr="00122713">
        <w:rPr>
          <w:rFonts w:ascii="Arial" w:eastAsia="Calibri" w:hAnsi="Arial" w:cs="Arial"/>
        </w:rPr>
        <w:t>repóügyletek</w:t>
      </w:r>
      <w:proofErr w:type="spellEnd"/>
      <w:r w:rsidRPr="00122713">
        <w:rPr>
          <w:rFonts w:ascii="Arial" w:eastAsia="Calibri" w:hAnsi="Arial" w:cs="Arial"/>
        </w:rPr>
        <w:t>, illetve az értékpapír-kölcsönzési ügyletek esetében mindkét oldalt jelenteni kell a kiegyenlítést követően.</w:t>
      </w:r>
    </w:p>
    <w:p w14:paraId="5FFC496C"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 központi értéktáron belüli kiegyenlítés esetében a központi értéktárnak [kibocsátó központi értéktár (</w:t>
      </w:r>
      <w:proofErr w:type="spellStart"/>
      <w:r w:rsidRPr="00122713">
        <w:rPr>
          <w:rFonts w:ascii="Arial" w:hAnsi="Arial" w:cs="Arial"/>
        </w:rPr>
        <w:t>issuer</w:t>
      </w:r>
      <w:proofErr w:type="spellEnd"/>
      <w:r w:rsidRPr="00122713">
        <w:rPr>
          <w:rFonts w:ascii="Arial" w:hAnsi="Arial" w:cs="Arial"/>
        </w:rPr>
        <w:t xml:space="preserve"> </w:t>
      </w:r>
      <w:proofErr w:type="spellStart"/>
      <w:r w:rsidRPr="00122713">
        <w:rPr>
          <w:rFonts w:ascii="Arial" w:hAnsi="Arial" w:cs="Arial"/>
        </w:rPr>
        <w:t>CSD</w:t>
      </w:r>
      <w:proofErr w:type="spellEnd"/>
      <w:r w:rsidRPr="00122713">
        <w:rPr>
          <w:rFonts w:ascii="Arial" w:hAnsi="Arial" w:cs="Arial"/>
        </w:rPr>
        <w:t>)</w:t>
      </w:r>
      <w:r w:rsidRPr="00122713">
        <w:rPr>
          <w:rFonts w:ascii="Arial" w:eastAsia="Calibri" w:hAnsi="Arial" w:cs="Arial"/>
        </w:rPr>
        <w:t xml:space="preserve"> vagy befektető központi értéktár (</w:t>
      </w:r>
      <w:proofErr w:type="spellStart"/>
      <w:r w:rsidRPr="00122713">
        <w:rPr>
          <w:rFonts w:ascii="Arial" w:hAnsi="Arial" w:cs="Arial"/>
        </w:rPr>
        <w:t>investor</w:t>
      </w:r>
      <w:proofErr w:type="spellEnd"/>
      <w:r w:rsidRPr="00122713">
        <w:rPr>
          <w:rFonts w:ascii="Arial" w:hAnsi="Arial" w:cs="Arial"/>
        </w:rPr>
        <w:t xml:space="preserve"> </w:t>
      </w:r>
      <w:proofErr w:type="spellStart"/>
      <w:r w:rsidRPr="00122713">
        <w:rPr>
          <w:rFonts w:ascii="Arial" w:hAnsi="Arial" w:cs="Arial"/>
        </w:rPr>
        <w:t>CSD</w:t>
      </w:r>
      <w:proofErr w:type="spellEnd"/>
      <w:r w:rsidRPr="00122713">
        <w:rPr>
          <w:rFonts w:ascii="Arial" w:eastAsia="Calibri" w:hAnsi="Arial" w:cs="Arial"/>
        </w:rPr>
        <w:t>)] jelentenie kell egy ügylet mindkét oldalát, azaz jelentenie kell mindkét beérkezett kiegyenlítési megbízást.</w:t>
      </w:r>
    </w:p>
    <w:p w14:paraId="6C99A00E"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Amennyiben több központi értéktár vesz részt egy ügylet kiegyenlítésében standard, egyedi kialakítású vagy közvetett kapcsolatokon (</w:t>
      </w:r>
      <w:r w:rsidRPr="00122713">
        <w:rPr>
          <w:rFonts w:ascii="Arial" w:hAnsi="Arial" w:cs="Arial"/>
        </w:rPr>
        <w:t xml:space="preserve">standard, </w:t>
      </w:r>
      <w:proofErr w:type="spellStart"/>
      <w:r w:rsidRPr="00122713">
        <w:rPr>
          <w:rFonts w:ascii="Arial" w:hAnsi="Arial" w:cs="Arial"/>
        </w:rPr>
        <w:t>customised</w:t>
      </w:r>
      <w:proofErr w:type="spellEnd"/>
      <w:r w:rsidRPr="00122713">
        <w:rPr>
          <w:rFonts w:ascii="Arial" w:hAnsi="Arial" w:cs="Arial"/>
        </w:rPr>
        <w:t xml:space="preserve"> </w:t>
      </w:r>
      <w:proofErr w:type="spellStart"/>
      <w:r w:rsidRPr="00122713">
        <w:rPr>
          <w:rFonts w:ascii="Arial" w:hAnsi="Arial" w:cs="Arial"/>
        </w:rPr>
        <w:t>or</w:t>
      </w:r>
      <w:proofErr w:type="spellEnd"/>
      <w:r w:rsidRPr="00122713">
        <w:rPr>
          <w:rFonts w:ascii="Arial" w:hAnsi="Arial" w:cs="Arial"/>
        </w:rPr>
        <w:t xml:space="preserve"> </w:t>
      </w:r>
      <w:proofErr w:type="spellStart"/>
      <w:r w:rsidRPr="00122713">
        <w:rPr>
          <w:rFonts w:ascii="Arial" w:hAnsi="Arial" w:cs="Arial"/>
        </w:rPr>
        <w:t>indirect</w:t>
      </w:r>
      <w:proofErr w:type="spellEnd"/>
      <w:r w:rsidRPr="00122713">
        <w:rPr>
          <w:rFonts w:ascii="Arial" w:hAnsi="Arial" w:cs="Arial"/>
        </w:rPr>
        <w:t xml:space="preserve"> </w:t>
      </w:r>
      <w:proofErr w:type="spellStart"/>
      <w:r w:rsidRPr="00122713">
        <w:rPr>
          <w:rFonts w:ascii="Arial" w:hAnsi="Arial" w:cs="Arial"/>
        </w:rPr>
        <w:t>links</w:t>
      </w:r>
      <w:proofErr w:type="spellEnd"/>
      <w:r w:rsidRPr="00122713">
        <w:rPr>
          <w:rFonts w:ascii="Arial" w:hAnsi="Arial" w:cs="Arial"/>
        </w:rPr>
        <w:t>)</w:t>
      </w:r>
      <w:r w:rsidRPr="00122713">
        <w:rPr>
          <w:rFonts w:ascii="Arial" w:eastAsia="Calibri" w:hAnsi="Arial" w:cs="Arial"/>
        </w:rPr>
        <w:t xml:space="preserve"> keresztül, akkor a jelentési kötelezettség csak az ügylet két oldalát kiegyenlítő központi értéktárra (kibocsátó központi értéktár vagy befektető központi értéktár) vonatkozik. Ezen két beérkezett kiegyenlítési megbízásról kell adatot szolgáltatni. Az ügylet egy oldalát „kiegyenlítő” befektető központi értéktárnak nem kell jelentenie.</w:t>
      </w:r>
    </w:p>
    <w:p w14:paraId="5C9E2189"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 xml:space="preserve">A központi értéktárak közötti közös kiegyenlítési infrastruktúrán vagy </w:t>
      </w:r>
      <w:proofErr w:type="spellStart"/>
      <w:r w:rsidRPr="00122713">
        <w:rPr>
          <w:rFonts w:ascii="Arial" w:eastAsia="Calibri" w:hAnsi="Arial" w:cs="Arial"/>
        </w:rPr>
        <w:t>interoperábilis</w:t>
      </w:r>
      <w:proofErr w:type="spellEnd"/>
      <w:r w:rsidRPr="00122713">
        <w:rPr>
          <w:rFonts w:ascii="Arial" w:eastAsia="Calibri" w:hAnsi="Arial" w:cs="Arial"/>
        </w:rPr>
        <w:t xml:space="preserve"> kapcsolatokon keresztüli kiegyenlítés esetén minden egyes központi értéktárnak jelentenie kell az ügyletekkel kapcsolatban beérkezett egyedüli kiegyenlítési megbízást.</w:t>
      </w:r>
    </w:p>
    <w:p w14:paraId="397966B4"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 kiegyenlítési megbízások a következő típusú ügyletekkel kapcsolatban jöhetnek létre:</w:t>
      </w:r>
    </w:p>
    <w:p w14:paraId="0165CA61" w14:textId="77777777" w:rsidR="00625FCE" w:rsidRPr="00122713" w:rsidRDefault="00625FCE" w:rsidP="00625FCE">
      <w:pPr>
        <w:numPr>
          <w:ilvl w:val="1"/>
          <w:numId w:val="126"/>
        </w:numPr>
        <w:ind w:left="851" w:hanging="284"/>
        <w:contextualSpacing/>
        <w:rPr>
          <w:rFonts w:ascii="Arial" w:eastAsia="Calibri" w:hAnsi="Arial" w:cs="Arial"/>
        </w:rPr>
      </w:pPr>
      <w:r w:rsidRPr="00122713">
        <w:rPr>
          <w:rFonts w:ascii="Arial" w:eastAsia="Calibri" w:hAnsi="Arial" w:cs="Arial"/>
        </w:rPr>
        <w:t>értékpapír-vásárlás és -eladás (ideértve az elsődleges piacon történő értékpapírvásárlást és -eladást);</w:t>
      </w:r>
    </w:p>
    <w:p w14:paraId="3911AD8D" w14:textId="77777777" w:rsidR="00625FCE" w:rsidRPr="00122713" w:rsidRDefault="00625FCE" w:rsidP="00625FCE">
      <w:pPr>
        <w:numPr>
          <w:ilvl w:val="1"/>
          <w:numId w:val="126"/>
        </w:numPr>
        <w:ind w:left="851" w:hanging="284"/>
        <w:contextualSpacing/>
        <w:rPr>
          <w:rFonts w:ascii="Arial" w:eastAsia="Calibri" w:hAnsi="Arial" w:cs="Arial"/>
        </w:rPr>
      </w:pPr>
      <w:r w:rsidRPr="00122713">
        <w:rPr>
          <w:rFonts w:ascii="Arial" w:eastAsia="Calibri" w:hAnsi="Arial" w:cs="Arial"/>
        </w:rPr>
        <w:t>fedezetkezelési műveletek [ideértve a háromoldalú fedezetkezelési (</w:t>
      </w:r>
      <w:proofErr w:type="spellStart"/>
      <w:r w:rsidRPr="00122713">
        <w:rPr>
          <w:rFonts w:ascii="Arial" w:hAnsi="Arial" w:cs="Arial"/>
        </w:rPr>
        <w:t>triparty</w:t>
      </w:r>
      <w:proofErr w:type="spellEnd"/>
      <w:r w:rsidRPr="00122713">
        <w:rPr>
          <w:rFonts w:ascii="Arial" w:hAnsi="Arial" w:cs="Arial"/>
        </w:rPr>
        <w:t xml:space="preserve"> </w:t>
      </w:r>
      <w:proofErr w:type="spellStart"/>
      <w:r w:rsidRPr="00122713">
        <w:rPr>
          <w:rFonts w:ascii="Arial" w:hAnsi="Arial" w:cs="Arial"/>
        </w:rPr>
        <w:t>collateral</w:t>
      </w:r>
      <w:proofErr w:type="spellEnd"/>
      <w:r w:rsidRPr="00122713">
        <w:rPr>
          <w:rFonts w:ascii="Arial" w:hAnsi="Arial" w:cs="Arial"/>
        </w:rPr>
        <w:t xml:space="preserve"> management </w:t>
      </w:r>
      <w:proofErr w:type="spellStart"/>
      <w:r w:rsidRPr="00122713">
        <w:rPr>
          <w:rFonts w:ascii="Arial" w:hAnsi="Arial" w:cs="Arial"/>
        </w:rPr>
        <w:t>operations</w:t>
      </w:r>
      <w:proofErr w:type="spellEnd"/>
      <w:r w:rsidRPr="00122713">
        <w:rPr>
          <w:rFonts w:ascii="Arial" w:hAnsi="Arial" w:cs="Arial"/>
        </w:rPr>
        <w:t xml:space="preserve">) </w:t>
      </w:r>
      <w:r w:rsidRPr="00122713">
        <w:rPr>
          <w:rFonts w:ascii="Arial" w:eastAsia="Calibri" w:hAnsi="Arial" w:cs="Arial"/>
        </w:rPr>
        <w:t>vagy a biztosítékkal történő automatikus fedezési műveleteket (</w:t>
      </w:r>
      <w:proofErr w:type="spellStart"/>
      <w:r w:rsidRPr="00122713">
        <w:rPr>
          <w:rFonts w:ascii="Arial" w:hAnsi="Arial" w:cs="Arial"/>
        </w:rPr>
        <w:t>auto-collateralisation</w:t>
      </w:r>
      <w:proofErr w:type="spellEnd"/>
      <w:r w:rsidRPr="00122713">
        <w:rPr>
          <w:rFonts w:ascii="Arial" w:hAnsi="Arial" w:cs="Arial"/>
        </w:rPr>
        <w:t xml:space="preserve"> </w:t>
      </w:r>
      <w:proofErr w:type="spellStart"/>
      <w:r w:rsidRPr="00122713">
        <w:rPr>
          <w:rFonts w:ascii="Arial" w:hAnsi="Arial" w:cs="Arial"/>
        </w:rPr>
        <w:t>operations</w:t>
      </w:r>
      <w:proofErr w:type="spellEnd"/>
      <w:r w:rsidRPr="00122713">
        <w:rPr>
          <w:rFonts w:ascii="Arial" w:eastAsia="Calibri" w:hAnsi="Arial" w:cs="Arial"/>
        </w:rPr>
        <w:t>)];</w:t>
      </w:r>
    </w:p>
    <w:p w14:paraId="763BCA8B" w14:textId="77777777" w:rsidR="00625FCE" w:rsidRPr="00122713" w:rsidRDefault="00625FCE" w:rsidP="00625FCE">
      <w:pPr>
        <w:numPr>
          <w:ilvl w:val="1"/>
          <w:numId w:val="126"/>
        </w:numPr>
        <w:ind w:left="851" w:hanging="284"/>
        <w:contextualSpacing/>
        <w:rPr>
          <w:rFonts w:ascii="Arial" w:eastAsia="Calibri" w:hAnsi="Arial" w:cs="Arial"/>
        </w:rPr>
      </w:pPr>
      <w:r w:rsidRPr="00122713">
        <w:rPr>
          <w:rFonts w:ascii="Arial" w:eastAsia="Calibri" w:hAnsi="Arial" w:cs="Arial"/>
        </w:rPr>
        <w:t>értékpapír-kölcsönzési és -kölcsönvételi műveletek;</w:t>
      </w:r>
    </w:p>
    <w:p w14:paraId="6ED6375F" w14:textId="77777777" w:rsidR="00625FCE" w:rsidRPr="00122713" w:rsidRDefault="00625FCE" w:rsidP="00625FCE">
      <w:pPr>
        <w:numPr>
          <w:ilvl w:val="1"/>
          <w:numId w:val="126"/>
        </w:numPr>
        <w:ind w:left="851" w:hanging="284"/>
        <w:contextualSpacing/>
        <w:rPr>
          <w:rFonts w:ascii="Arial" w:eastAsia="Calibri" w:hAnsi="Arial" w:cs="Arial"/>
        </w:rPr>
      </w:pPr>
      <w:proofErr w:type="spellStart"/>
      <w:r w:rsidRPr="00122713">
        <w:rPr>
          <w:rFonts w:ascii="Arial" w:eastAsia="Calibri" w:hAnsi="Arial" w:cs="Arial"/>
        </w:rPr>
        <w:t>repóügyletek</w:t>
      </w:r>
      <w:proofErr w:type="spellEnd"/>
      <w:r w:rsidRPr="00122713">
        <w:rPr>
          <w:rFonts w:ascii="Arial" w:eastAsia="Calibri" w:hAnsi="Arial" w:cs="Arial"/>
        </w:rPr>
        <w:t>;</w:t>
      </w:r>
    </w:p>
    <w:p w14:paraId="2B172189" w14:textId="77777777" w:rsidR="00625FCE" w:rsidRPr="00122713" w:rsidRDefault="00625FCE" w:rsidP="00625FCE">
      <w:pPr>
        <w:numPr>
          <w:ilvl w:val="1"/>
          <w:numId w:val="126"/>
        </w:numPr>
        <w:ind w:left="851" w:hanging="284"/>
        <w:rPr>
          <w:rFonts w:ascii="Arial" w:eastAsia="Calibri" w:hAnsi="Arial" w:cs="Arial"/>
        </w:rPr>
      </w:pPr>
      <w:r w:rsidRPr="00122713">
        <w:rPr>
          <w:rFonts w:ascii="Arial" w:eastAsia="Calibri" w:hAnsi="Arial" w:cs="Arial"/>
        </w:rPr>
        <w:t>egyéb [ideértve az áralakulásokkal kapcsolatos vállalati eseményeket, azaz a piaci követeléseket (</w:t>
      </w:r>
      <w:r w:rsidRPr="00122713">
        <w:rPr>
          <w:rFonts w:ascii="Arial" w:hAnsi="Arial" w:cs="Arial"/>
        </w:rPr>
        <w:t xml:space="preserve">market </w:t>
      </w:r>
      <w:proofErr w:type="spellStart"/>
      <w:r w:rsidRPr="00122713">
        <w:rPr>
          <w:rFonts w:ascii="Arial" w:hAnsi="Arial" w:cs="Arial"/>
        </w:rPr>
        <w:t>claims</w:t>
      </w:r>
      <w:proofErr w:type="spellEnd"/>
      <w:r w:rsidRPr="00122713">
        <w:rPr>
          <w:rFonts w:ascii="Arial" w:hAnsi="Arial" w:cs="Arial"/>
        </w:rPr>
        <w:t xml:space="preserve">) </w:t>
      </w:r>
      <w:r w:rsidRPr="00122713">
        <w:rPr>
          <w:rFonts w:ascii="Arial" w:eastAsia="Calibri" w:hAnsi="Arial" w:cs="Arial"/>
        </w:rPr>
        <w:t>és az átalakulásokat</w:t>
      </w:r>
      <w:r w:rsidRPr="00122713">
        <w:rPr>
          <w:rFonts w:ascii="Arial" w:hAnsi="Arial" w:cs="Arial"/>
        </w:rPr>
        <w:t xml:space="preserve"> (</w:t>
      </w:r>
      <w:proofErr w:type="spellStart"/>
      <w:r w:rsidRPr="00122713">
        <w:rPr>
          <w:rFonts w:ascii="Arial" w:hAnsi="Arial" w:cs="Arial"/>
        </w:rPr>
        <w:t>transformations</w:t>
      </w:r>
      <w:proofErr w:type="spellEnd"/>
      <w:r w:rsidRPr="00122713">
        <w:rPr>
          <w:rFonts w:ascii="Arial" w:eastAsia="Calibri" w:hAnsi="Arial" w:cs="Arial"/>
        </w:rPr>
        <w:t>)].</w:t>
      </w:r>
    </w:p>
    <w:p w14:paraId="316E5F82" w14:textId="77777777" w:rsidR="00625FCE" w:rsidRPr="00122713" w:rsidRDefault="00625FCE" w:rsidP="00625FCE">
      <w:pPr>
        <w:numPr>
          <w:ilvl w:val="0"/>
          <w:numId w:val="129"/>
        </w:numPr>
        <w:ind w:left="426" w:hanging="426"/>
        <w:rPr>
          <w:rFonts w:ascii="Arial" w:eastAsia="Calibri" w:hAnsi="Arial" w:cs="Arial"/>
        </w:rPr>
      </w:pPr>
      <w:r w:rsidRPr="00122713">
        <w:rPr>
          <w:rFonts w:ascii="Arial" w:eastAsia="Calibri" w:hAnsi="Arial" w:cs="Arial"/>
        </w:rPr>
        <w:t>Az alábbi ügylettípusokat az adatszolgáltatásban nem kell jelenteni:</w:t>
      </w:r>
    </w:p>
    <w:p w14:paraId="7252D6CA" w14:textId="77777777" w:rsidR="00625FCE" w:rsidRPr="00122713" w:rsidRDefault="00625FCE" w:rsidP="00625FCE">
      <w:pPr>
        <w:numPr>
          <w:ilvl w:val="1"/>
          <w:numId w:val="130"/>
        </w:numPr>
        <w:ind w:left="851" w:hanging="284"/>
        <w:contextualSpacing/>
        <w:rPr>
          <w:rFonts w:ascii="Arial" w:eastAsia="Calibri" w:hAnsi="Arial" w:cs="Arial"/>
        </w:rPr>
      </w:pPr>
      <w:r w:rsidRPr="00122713">
        <w:rPr>
          <w:rFonts w:ascii="Arial" w:eastAsia="Calibri" w:hAnsi="Arial" w:cs="Arial"/>
        </w:rPr>
        <w:t xml:space="preserve">részvényekre vonatkozó vállalati események, mint például készpénzelosztás (pl. készpénzosztalék, kamatjövedelem), értékpapír-elosztás (pl. részvényben fizetett osztalék, ingyen </w:t>
      </w:r>
      <w:r w:rsidRPr="00122713">
        <w:rPr>
          <w:rFonts w:ascii="Arial" w:eastAsia="Calibri" w:hAnsi="Arial" w:cs="Arial"/>
        </w:rPr>
        <w:lastRenderedPageBreak/>
        <w:t>részvények kibocsátása), átszervezés [pl. átszámítás (</w:t>
      </w:r>
      <w:r w:rsidRPr="00122713">
        <w:rPr>
          <w:rFonts w:ascii="Arial" w:hAnsi="Arial" w:cs="Arial"/>
        </w:rPr>
        <w:t>conversion)</w:t>
      </w:r>
      <w:r w:rsidRPr="00122713">
        <w:rPr>
          <w:rFonts w:ascii="Arial" w:eastAsia="Calibri" w:hAnsi="Arial" w:cs="Arial"/>
        </w:rPr>
        <w:t>, részvényfelosztás (</w:t>
      </w:r>
      <w:proofErr w:type="spellStart"/>
      <w:r w:rsidRPr="00122713">
        <w:rPr>
          <w:rFonts w:ascii="Arial" w:hAnsi="Arial" w:cs="Arial"/>
        </w:rPr>
        <w:t>stock</w:t>
      </w:r>
      <w:proofErr w:type="spellEnd"/>
      <w:r w:rsidRPr="00122713">
        <w:rPr>
          <w:rFonts w:ascii="Arial" w:hAnsi="Arial" w:cs="Arial"/>
        </w:rPr>
        <w:t xml:space="preserve"> </w:t>
      </w:r>
      <w:proofErr w:type="spellStart"/>
      <w:r w:rsidRPr="00122713">
        <w:rPr>
          <w:rFonts w:ascii="Arial" w:hAnsi="Arial" w:cs="Arial"/>
        </w:rPr>
        <w:t>split</w:t>
      </w:r>
      <w:proofErr w:type="spellEnd"/>
      <w:r w:rsidRPr="00122713">
        <w:rPr>
          <w:rFonts w:ascii="Arial" w:hAnsi="Arial" w:cs="Arial"/>
        </w:rPr>
        <w:t>)</w:t>
      </w:r>
      <w:r w:rsidRPr="00122713">
        <w:rPr>
          <w:rFonts w:ascii="Arial" w:eastAsia="Calibri" w:hAnsi="Arial" w:cs="Arial"/>
        </w:rPr>
        <w:t>, visszaváltás (</w:t>
      </w:r>
      <w:proofErr w:type="spellStart"/>
      <w:r w:rsidRPr="00122713">
        <w:rPr>
          <w:rFonts w:ascii="Arial" w:hAnsi="Arial" w:cs="Arial"/>
        </w:rPr>
        <w:t>redemption</w:t>
      </w:r>
      <w:proofErr w:type="spellEnd"/>
      <w:r w:rsidRPr="00122713">
        <w:rPr>
          <w:rFonts w:ascii="Arial" w:hAnsi="Arial" w:cs="Arial"/>
        </w:rPr>
        <w:t>)</w:t>
      </w:r>
      <w:r w:rsidRPr="00122713">
        <w:rPr>
          <w:rFonts w:ascii="Arial" w:eastAsia="Calibri" w:hAnsi="Arial" w:cs="Arial"/>
        </w:rPr>
        <w:t>, részvényjegyzési ajánlat (</w:t>
      </w:r>
      <w:r w:rsidRPr="00122713">
        <w:rPr>
          <w:rFonts w:ascii="Arial" w:hAnsi="Arial" w:cs="Arial"/>
        </w:rPr>
        <w:t xml:space="preserve">tender </w:t>
      </w:r>
      <w:proofErr w:type="spellStart"/>
      <w:r w:rsidRPr="00122713">
        <w:rPr>
          <w:rFonts w:ascii="Arial" w:hAnsi="Arial" w:cs="Arial"/>
        </w:rPr>
        <w:t>offer</w:t>
      </w:r>
      <w:proofErr w:type="spellEnd"/>
      <w:r w:rsidRPr="00122713">
        <w:rPr>
          <w:rFonts w:ascii="Arial" w:eastAsia="Calibri" w:hAnsi="Arial" w:cs="Arial"/>
        </w:rPr>
        <w:t>)];</w:t>
      </w:r>
    </w:p>
    <w:p w14:paraId="6F06F80B" w14:textId="77777777" w:rsidR="00625FCE" w:rsidRPr="00122713" w:rsidRDefault="00625FCE" w:rsidP="00625FCE">
      <w:pPr>
        <w:numPr>
          <w:ilvl w:val="1"/>
          <w:numId w:val="130"/>
        </w:numPr>
        <w:ind w:left="851" w:hanging="284"/>
        <w:contextualSpacing/>
        <w:rPr>
          <w:rFonts w:ascii="Arial" w:eastAsia="Calibri" w:hAnsi="Arial" w:cs="Arial"/>
        </w:rPr>
      </w:pPr>
      <w:r w:rsidRPr="00122713">
        <w:rPr>
          <w:rFonts w:ascii="Arial" w:eastAsia="Calibri" w:hAnsi="Arial" w:cs="Arial"/>
        </w:rPr>
        <w:t>elsődleges piaci műveletek, melyek az értékpapírok kezdeti előállításának folyamatát jelentik;</w:t>
      </w:r>
    </w:p>
    <w:p w14:paraId="7966B727" w14:textId="77777777" w:rsidR="00625FCE" w:rsidRPr="00122713" w:rsidRDefault="00625FCE" w:rsidP="00625FCE">
      <w:pPr>
        <w:numPr>
          <w:ilvl w:val="1"/>
          <w:numId w:val="130"/>
        </w:numPr>
        <w:ind w:left="851" w:hanging="284"/>
        <w:contextualSpacing/>
        <w:rPr>
          <w:rFonts w:ascii="Arial" w:eastAsia="Calibri" w:hAnsi="Arial" w:cs="Arial"/>
        </w:rPr>
      </w:pPr>
      <w:r w:rsidRPr="00122713">
        <w:rPr>
          <w:rFonts w:ascii="Arial" w:eastAsia="Calibri" w:hAnsi="Arial" w:cs="Arial"/>
        </w:rPr>
        <w:t>a befektetési jegyek előállítása és visszaváltása, amely a befektetési jegyek technikai előállítását és visszaváltását jelenti, kivéve, ha e befektetési jegyek előállítása és visszaváltása átutalási megbízásokon keresztül történik, központi értéktárak által működtetett értékpapír-kiegyenlítési rendszerben;</w:t>
      </w:r>
    </w:p>
    <w:p w14:paraId="748D486E" w14:textId="77777777" w:rsidR="00625FCE" w:rsidRPr="00122713" w:rsidRDefault="00625FCE" w:rsidP="00625FCE">
      <w:pPr>
        <w:numPr>
          <w:ilvl w:val="1"/>
          <w:numId w:val="130"/>
        </w:numPr>
        <w:ind w:left="851" w:hanging="284"/>
        <w:contextualSpacing/>
        <w:rPr>
          <w:rFonts w:ascii="Arial" w:eastAsia="Calibri" w:hAnsi="Arial" w:cs="Arial"/>
        </w:rPr>
      </w:pPr>
      <w:r w:rsidRPr="00122713">
        <w:rPr>
          <w:rFonts w:ascii="Arial" w:eastAsia="Calibri" w:hAnsi="Arial" w:cs="Arial"/>
        </w:rPr>
        <w:t>átszervezési műveletek.</w:t>
      </w:r>
    </w:p>
    <w:p w14:paraId="00642C7A" w14:textId="77777777" w:rsidR="000E5A29" w:rsidRDefault="000E5A29" w:rsidP="00C74188">
      <w:pPr>
        <w:keepNext/>
        <w:tabs>
          <w:tab w:val="left" w:pos="426"/>
        </w:tabs>
        <w:spacing w:after="240" w:line="240" w:lineRule="auto"/>
        <w:jc w:val="left"/>
        <w:outlineLvl w:val="2"/>
        <w:rPr>
          <w:rFonts w:ascii="Arial" w:eastAsia="Calibri" w:hAnsi="Arial" w:cs="Arial"/>
          <w:b/>
        </w:rPr>
      </w:pPr>
    </w:p>
    <w:p w14:paraId="6B208823" w14:textId="17A3C25D" w:rsidR="00625FCE" w:rsidRPr="00122713" w:rsidRDefault="00625FCE" w:rsidP="00625FCE">
      <w:pPr>
        <w:keepNext/>
        <w:tabs>
          <w:tab w:val="left" w:pos="426"/>
        </w:tabs>
        <w:spacing w:before="240" w:after="240" w:line="240" w:lineRule="auto"/>
        <w:jc w:val="left"/>
        <w:outlineLvl w:val="2"/>
        <w:rPr>
          <w:rFonts w:ascii="Arial" w:eastAsia="Calibri" w:hAnsi="Arial" w:cs="Arial"/>
          <w:b/>
        </w:rPr>
      </w:pPr>
      <w:r w:rsidRPr="00122713">
        <w:rPr>
          <w:rFonts w:ascii="Arial" w:eastAsia="Calibri" w:hAnsi="Arial" w:cs="Arial"/>
          <w:b/>
        </w:rPr>
        <w:t>II.</w:t>
      </w:r>
      <w:r w:rsidRPr="00122713">
        <w:rPr>
          <w:rFonts w:ascii="Arial" w:eastAsia="Calibri" w:hAnsi="Arial" w:cs="Arial"/>
          <w:b/>
        </w:rPr>
        <w:tab/>
        <w:t xml:space="preserve">A tábla egyes oszlopaira vonatkozó részletes előírások </w:t>
      </w:r>
    </w:p>
    <w:p w14:paraId="5A13A15F" w14:textId="3EFF280A" w:rsidR="00625FCE" w:rsidRPr="00122713" w:rsidRDefault="00625FCE" w:rsidP="00C74188">
      <w:pPr>
        <w:spacing w:after="0" w:line="240" w:lineRule="auto"/>
        <w:ind w:left="426"/>
        <w:rPr>
          <w:rFonts w:ascii="Arial" w:eastAsia="Calibri" w:hAnsi="Arial" w:cs="Arial"/>
        </w:rPr>
      </w:pPr>
      <w:r w:rsidRPr="00122713">
        <w:rPr>
          <w:rFonts w:ascii="Arial" w:eastAsia="Calibri" w:hAnsi="Arial" w:cs="Arial"/>
        </w:rPr>
        <w:t>A 3-42. oszlopban kell jelenteni a központi értéktár által végzett kiegyenlítések abszolút értékét, a kiegyenlítések során használt eredeti pénznemben. Amennyiben valamelyik pénznemben nem történt kiegyenlítés, akkor az adott oszlopot üresen kell hagyni. Amennyiben olyan pénznemben történt kiegyenlítés, amelyet a 3-42. oszlop nem tartalmaz, akkor a táblát további oszloppal szükséges kiegészíteni, és abban szükséges jelenteni az adott pénznemben végzett kiegyenlítést.</w:t>
      </w:r>
      <w:r w:rsidRPr="00F00E39">
        <w:rPr>
          <w:rFonts w:ascii="Arial" w:hAnsi="Arial" w:cs="Arial"/>
        </w:rPr>
        <w:t>”</w:t>
      </w:r>
    </w:p>
    <w:p w14:paraId="494FFDA6" w14:textId="77777777" w:rsidR="00625FCE" w:rsidRDefault="00625FCE" w:rsidP="00F320FD">
      <w:pPr>
        <w:spacing w:after="0"/>
        <w:rPr>
          <w:rFonts w:ascii="Arial" w:hAnsi="Arial" w:cs="Arial"/>
        </w:rPr>
      </w:pPr>
    </w:p>
    <w:p w14:paraId="3FD40BD8" w14:textId="77777777" w:rsidR="00625FCE" w:rsidRDefault="00625FCE" w:rsidP="00F320FD">
      <w:pPr>
        <w:spacing w:after="0"/>
        <w:rPr>
          <w:rFonts w:ascii="Arial" w:hAnsi="Arial" w:cs="Arial"/>
        </w:rPr>
      </w:pPr>
    </w:p>
    <w:p w14:paraId="10E7B76C" w14:textId="5DAFE43E" w:rsidR="00F320FD" w:rsidRPr="002840AB" w:rsidRDefault="00A608FA" w:rsidP="00F320FD">
      <w:pPr>
        <w:spacing w:after="0"/>
        <w:rPr>
          <w:rFonts w:ascii="Arial" w:hAnsi="Arial" w:cs="Arial"/>
        </w:rPr>
      </w:pPr>
      <w:r>
        <w:rPr>
          <w:rFonts w:ascii="Arial" w:hAnsi="Arial" w:cs="Arial"/>
        </w:rPr>
        <w:t>7</w:t>
      </w:r>
      <w:r w:rsidR="00F320FD" w:rsidRPr="002840AB">
        <w:rPr>
          <w:rFonts w:ascii="Arial" w:hAnsi="Arial" w:cs="Arial"/>
        </w:rPr>
        <w:t>. A 38/2018. (XI. 14.) MNB rendelet 2. melléklet II. pontj</w:t>
      </w:r>
      <w:r w:rsidR="007D5EF0" w:rsidRPr="002840AB">
        <w:rPr>
          <w:rFonts w:ascii="Arial" w:hAnsi="Arial" w:cs="Arial"/>
        </w:rPr>
        <w:t xml:space="preserve">a </w:t>
      </w:r>
      <w:r w:rsidR="00F320FD" w:rsidRPr="002840AB">
        <w:rPr>
          <w:rFonts w:ascii="Arial" w:hAnsi="Arial" w:cs="Arial"/>
        </w:rPr>
        <w:t xml:space="preserve">a </w:t>
      </w:r>
      <w:r w:rsidR="0066253D" w:rsidRPr="002840AB">
        <w:rPr>
          <w:rFonts w:ascii="Arial" w:hAnsi="Arial" w:cs="Arial"/>
        </w:rPr>
        <w:t xml:space="preserve">T10 MNB azonosító kódú adatszolgáltatás kitöltési előírásait követően a következő rendelkezéssel egészül ki, és a </w:t>
      </w:r>
      <w:r w:rsidR="0061214D" w:rsidRPr="002840AB">
        <w:rPr>
          <w:rFonts w:ascii="Arial" w:hAnsi="Arial" w:cs="Arial"/>
        </w:rPr>
        <w:t>W08</w:t>
      </w:r>
      <w:r w:rsidR="00F320FD" w:rsidRPr="002840AB">
        <w:rPr>
          <w:rFonts w:ascii="Arial" w:hAnsi="Arial" w:cs="Arial"/>
        </w:rPr>
        <w:t xml:space="preserve"> MNB azonosító kódú adatszolgáltatás kitöltési előírásai helyébe a következő rendelkezés</w:t>
      </w:r>
      <w:r w:rsidR="001D169A">
        <w:rPr>
          <w:rFonts w:ascii="Arial" w:hAnsi="Arial" w:cs="Arial"/>
        </w:rPr>
        <w:t>ek</w:t>
      </w:r>
      <w:r w:rsidR="00F320FD" w:rsidRPr="002840AB">
        <w:rPr>
          <w:rFonts w:ascii="Arial" w:hAnsi="Arial" w:cs="Arial"/>
        </w:rPr>
        <w:t xml:space="preserve"> lép</w:t>
      </w:r>
      <w:r w:rsidR="001D169A">
        <w:rPr>
          <w:rFonts w:ascii="Arial" w:hAnsi="Arial" w:cs="Arial"/>
        </w:rPr>
        <w:t>nek</w:t>
      </w:r>
      <w:r w:rsidR="00F320FD" w:rsidRPr="002840AB">
        <w:rPr>
          <w:rFonts w:ascii="Arial" w:hAnsi="Arial" w:cs="Arial"/>
        </w:rPr>
        <w:t xml:space="preserve">: </w:t>
      </w:r>
    </w:p>
    <w:p w14:paraId="1C9911FA" w14:textId="77777777" w:rsidR="00467968" w:rsidRPr="002840AB" w:rsidRDefault="00467968" w:rsidP="00467968">
      <w:pPr>
        <w:rPr>
          <w:rFonts w:ascii="Arial" w:hAnsi="Arial" w:cs="Arial"/>
          <w:b/>
        </w:rPr>
      </w:pPr>
    </w:p>
    <w:p w14:paraId="3A1D5F5B" w14:textId="497CF025" w:rsidR="000F39BF" w:rsidRDefault="001C748D" w:rsidP="00C444D8">
      <w:pPr>
        <w:spacing w:after="0"/>
        <w:rPr>
          <w:rFonts w:ascii="Arial" w:hAnsi="Arial" w:cs="Arial"/>
          <w:b/>
        </w:rPr>
      </w:pPr>
      <w:r w:rsidRPr="001C748D">
        <w:rPr>
          <w:noProof/>
        </w:rPr>
        <w:drawing>
          <wp:inline distT="0" distB="0" distL="0" distR="0" wp14:anchorId="636F31A3" wp14:editId="6219D5DD">
            <wp:extent cx="6095463" cy="2171700"/>
            <wp:effectExtent l="0" t="0" r="63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1" cy="2180443"/>
                    </a:xfrm>
                    <a:prstGeom prst="rect">
                      <a:avLst/>
                    </a:prstGeom>
                    <a:noFill/>
                    <a:ln>
                      <a:noFill/>
                    </a:ln>
                  </pic:spPr>
                </pic:pic>
              </a:graphicData>
            </a:graphic>
          </wp:inline>
        </w:drawing>
      </w:r>
    </w:p>
    <w:p w14:paraId="0F85C278" w14:textId="15B0C447" w:rsidR="00625FCE" w:rsidRDefault="00625FCE" w:rsidP="00C444D8">
      <w:pPr>
        <w:spacing w:after="0"/>
        <w:rPr>
          <w:rFonts w:ascii="Arial" w:hAnsi="Arial" w:cs="Arial"/>
          <w:b/>
        </w:rPr>
      </w:pPr>
    </w:p>
    <w:p w14:paraId="31E64F49" w14:textId="3BA88FF4" w:rsidR="00A80A47" w:rsidRDefault="001C748D" w:rsidP="00C444D8">
      <w:pPr>
        <w:spacing w:after="0"/>
        <w:rPr>
          <w:rFonts w:ascii="Arial" w:hAnsi="Arial" w:cs="Arial"/>
          <w:b/>
        </w:rPr>
      </w:pPr>
      <w:bookmarkStart w:id="32" w:name="_Hlk4154087"/>
      <w:r w:rsidRPr="001C748D">
        <w:rPr>
          <w:noProof/>
        </w:rPr>
        <w:drawing>
          <wp:inline distT="0" distB="0" distL="0" distR="0" wp14:anchorId="767DC442" wp14:editId="6227A7A0">
            <wp:extent cx="6046762" cy="270510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456" cy="2708542"/>
                    </a:xfrm>
                    <a:prstGeom prst="rect">
                      <a:avLst/>
                    </a:prstGeom>
                    <a:noFill/>
                    <a:ln>
                      <a:noFill/>
                    </a:ln>
                  </pic:spPr>
                </pic:pic>
              </a:graphicData>
            </a:graphic>
          </wp:inline>
        </w:drawing>
      </w:r>
    </w:p>
    <w:p w14:paraId="7D4E5ACB" w14:textId="77777777" w:rsidR="00A80A47" w:rsidRDefault="00A80A47" w:rsidP="00C444D8">
      <w:pPr>
        <w:spacing w:after="0"/>
        <w:rPr>
          <w:rFonts w:ascii="Arial" w:hAnsi="Arial" w:cs="Arial"/>
          <w:b/>
        </w:rPr>
        <w:sectPr w:rsidR="00A80A47" w:rsidSect="003A0A5E">
          <w:pgSz w:w="11906" w:h="16838" w:code="9"/>
          <w:pgMar w:top="1418" w:right="1191" w:bottom="1418" w:left="1191" w:header="709" w:footer="709" w:gutter="0"/>
          <w:cols w:space="708"/>
          <w:docGrid w:linePitch="360"/>
        </w:sectPr>
      </w:pPr>
    </w:p>
    <w:p w14:paraId="76BC22AC" w14:textId="68B30782" w:rsidR="00A80A47" w:rsidRDefault="00A80A47" w:rsidP="00D76537">
      <w:pPr>
        <w:spacing w:after="0"/>
        <w:jc w:val="center"/>
        <w:rPr>
          <w:rFonts w:ascii="Arial" w:hAnsi="Arial" w:cs="Arial"/>
          <w:b/>
        </w:rPr>
      </w:pPr>
      <w:r w:rsidRPr="00A80A47">
        <w:rPr>
          <w:noProof/>
        </w:rPr>
        <w:lastRenderedPageBreak/>
        <w:drawing>
          <wp:inline distT="0" distB="0" distL="0" distR="0" wp14:anchorId="1C64815C" wp14:editId="50BAD15F">
            <wp:extent cx="8143875" cy="6006794"/>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48047" cy="6009871"/>
                    </a:xfrm>
                    <a:prstGeom prst="rect">
                      <a:avLst/>
                    </a:prstGeom>
                    <a:noFill/>
                    <a:ln>
                      <a:noFill/>
                    </a:ln>
                  </pic:spPr>
                </pic:pic>
              </a:graphicData>
            </a:graphic>
          </wp:inline>
        </w:drawing>
      </w:r>
    </w:p>
    <w:p w14:paraId="1A528660" w14:textId="3070D2E2" w:rsidR="001C748D" w:rsidRDefault="00A80A47" w:rsidP="00C444D8">
      <w:pPr>
        <w:spacing w:after="0"/>
        <w:rPr>
          <w:rFonts w:ascii="Arial" w:hAnsi="Arial" w:cs="Arial"/>
          <w:b/>
        </w:rPr>
      </w:pPr>
      <w:r w:rsidRPr="00A80A47">
        <w:rPr>
          <w:noProof/>
        </w:rPr>
        <w:lastRenderedPageBreak/>
        <w:drawing>
          <wp:inline distT="0" distB="0" distL="0" distR="0" wp14:anchorId="2228F11B" wp14:editId="36200996">
            <wp:extent cx="8891270" cy="4241207"/>
            <wp:effectExtent l="0" t="0" r="5080" b="698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241207"/>
                    </a:xfrm>
                    <a:prstGeom prst="rect">
                      <a:avLst/>
                    </a:prstGeom>
                    <a:noFill/>
                    <a:ln>
                      <a:noFill/>
                    </a:ln>
                  </pic:spPr>
                </pic:pic>
              </a:graphicData>
            </a:graphic>
          </wp:inline>
        </w:drawing>
      </w:r>
    </w:p>
    <w:p w14:paraId="7AA32F0A" w14:textId="77777777" w:rsidR="00A80A47" w:rsidRDefault="00A80A47" w:rsidP="00C444D8">
      <w:pPr>
        <w:spacing w:after="0"/>
        <w:rPr>
          <w:rFonts w:ascii="Arial" w:hAnsi="Arial" w:cs="Arial"/>
          <w:b/>
        </w:rPr>
      </w:pPr>
    </w:p>
    <w:p w14:paraId="0FF728C1" w14:textId="17E32D96" w:rsidR="00A80A47" w:rsidRDefault="00A80A47" w:rsidP="00C444D8">
      <w:pPr>
        <w:spacing w:after="0"/>
        <w:rPr>
          <w:rFonts w:ascii="Arial" w:hAnsi="Arial" w:cs="Arial"/>
          <w:b/>
        </w:rPr>
      </w:pPr>
    </w:p>
    <w:p w14:paraId="0158932F" w14:textId="7E58BAF5" w:rsidR="00A80A47" w:rsidRDefault="00A80A47" w:rsidP="00C444D8">
      <w:pPr>
        <w:spacing w:after="0"/>
        <w:rPr>
          <w:rFonts w:ascii="Arial" w:hAnsi="Arial" w:cs="Arial"/>
          <w:b/>
        </w:rPr>
      </w:pPr>
    </w:p>
    <w:p w14:paraId="2D093488" w14:textId="5531029F" w:rsidR="00A80A47" w:rsidRDefault="00A80A47" w:rsidP="00C444D8">
      <w:pPr>
        <w:spacing w:after="0"/>
        <w:rPr>
          <w:rFonts w:ascii="Arial" w:hAnsi="Arial" w:cs="Arial"/>
          <w:b/>
        </w:rPr>
      </w:pPr>
    </w:p>
    <w:p w14:paraId="543E76F6" w14:textId="7B66961A" w:rsidR="00A80A47" w:rsidRDefault="00A80A47" w:rsidP="00C444D8">
      <w:pPr>
        <w:spacing w:after="0"/>
        <w:rPr>
          <w:rFonts w:ascii="Arial" w:hAnsi="Arial" w:cs="Arial"/>
          <w:b/>
        </w:rPr>
      </w:pPr>
    </w:p>
    <w:p w14:paraId="29996260" w14:textId="7C5FCB52" w:rsidR="00A80A47" w:rsidRDefault="00A80A47" w:rsidP="00C444D8">
      <w:pPr>
        <w:spacing w:after="0"/>
        <w:rPr>
          <w:rFonts w:ascii="Arial" w:hAnsi="Arial" w:cs="Arial"/>
          <w:b/>
        </w:rPr>
      </w:pPr>
    </w:p>
    <w:p w14:paraId="02080FD0" w14:textId="0A535E55" w:rsidR="00A80A47" w:rsidRDefault="00A80A47" w:rsidP="00C444D8">
      <w:pPr>
        <w:spacing w:after="0"/>
        <w:rPr>
          <w:rFonts w:ascii="Arial" w:hAnsi="Arial" w:cs="Arial"/>
          <w:b/>
        </w:rPr>
      </w:pPr>
    </w:p>
    <w:p w14:paraId="3B568619" w14:textId="016345CB" w:rsidR="00A80A47" w:rsidRDefault="00A80A47" w:rsidP="00C444D8">
      <w:pPr>
        <w:spacing w:after="0"/>
        <w:rPr>
          <w:rFonts w:ascii="Arial" w:hAnsi="Arial" w:cs="Arial"/>
          <w:b/>
        </w:rPr>
      </w:pPr>
    </w:p>
    <w:p w14:paraId="58792355" w14:textId="3A4D62A0" w:rsidR="00A80A47" w:rsidRDefault="00A80A47" w:rsidP="00C444D8">
      <w:pPr>
        <w:spacing w:after="0"/>
        <w:rPr>
          <w:rFonts w:ascii="Arial" w:hAnsi="Arial" w:cs="Arial"/>
          <w:b/>
        </w:rPr>
      </w:pPr>
    </w:p>
    <w:p w14:paraId="45CD64E6" w14:textId="73A49E0C" w:rsidR="00A80A47" w:rsidRDefault="00A80A47" w:rsidP="00C444D8">
      <w:pPr>
        <w:spacing w:after="0"/>
        <w:rPr>
          <w:rFonts w:ascii="Arial" w:hAnsi="Arial" w:cs="Arial"/>
          <w:b/>
        </w:rPr>
      </w:pPr>
    </w:p>
    <w:p w14:paraId="04A3AAB5" w14:textId="77777777" w:rsidR="00A80A47" w:rsidRDefault="00A80A47" w:rsidP="00C444D8">
      <w:pPr>
        <w:spacing w:after="0"/>
        <w:rPr>
          <w:rFonts w:ascii="Arial" w:hAnsi="Arial" w:cs="Arial"/>
          <w:b/>
        </w:rPr>
        <w:sectPr w:rsidR="00A80A47" w:rsidSect="003A0A5E">
          <w:pgSz w:w="16838" w:h="11906" w:orient="landscape" w:code="9"/>
          <w:pgMar w:top="1191" w:right="1418" w:bottom="1191" w:left="1418" w:header="709" w:footer="709" w:gutter="0"/>
          <w:cols w:space="708"/>
          <w:docGrid w:linePitch="360"/>
        </w:sectPr>
      </w:pPr>
    </w:p>
    <w:p w14:paraId="0D50320A" w14:textId="79FB98F1" w:rsidR="00A80A47" w:rsidRDefault="00A80A47" w:rsidP="00C444D8">
      <w:pPr>
        <w:spacing w:after="0"/>
        <w:rPr>
          <w:rFonts w:ascii="Arial" w:hAnsi="Arial" w:cs="Arial"/>
          <w:b/>
        </w:rPr>
      </w:pPr>
      <w:r w:rsidRPr="00A80A47">
        <w:rPr>
          <w:noProof/>
        </w:rPr>
        <w:lastRenderedPageBreak/>
        <w:drawing>
          <wp:inline distT="0" distB="0" distL="0" distR="0" wp14:anchorId="5ABAD917" wp14:editId="7BBC3E23">
            <wp:extent cx="6047740" cy="3775057"/>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3775057"/>
                    </a:xfrm>
                    <a:prstGeom prst="rect">
                      <a:avLst/>
                    </a:prstGeom>
                    <a:noFill/>
                    <a:ln>
                      <a:noFill/>
                    </a:ln>
                  </pic:spPr>
                </pic:pic>
              </a:graphicData>
            </a:graphic>
          </wp:inline>
        </w:drawing>
      </w:r>
    </w:p>
    <w:p w14:paraId="068934B7" w14:textId="29BA6EBC" w:rsidR="00A80A47" w:rsidRDefault="00A80A47" w:rsidP="00C444D8">
      <w:pPr>
        <w:spacing w:after="0"/>
        <w:rPr>
          <w:rFonts w:ascii="Arial" w:hAnsi="Arial" w:cs="Arial"/>
          <w:b/>
        </w:rPr>
      </w:pPr>
    </w:p>
    <w:p w14:paraId="7036FDA2" w14:textId="77777777" w:rsidR="007D73BB" w:rsidRDefault="007D73BB" w:rsidP="00C444D8">
      <w:pPr>
        <w:spacing w:after="0"/>
        <w:rPr>
          <w:rFonts w:ascii="Arial" w:hAnsi="Arial" w:cs="Arial"/>
          <w:b/>
        </w:rPr>
      </w:pPr>
    </w:p>
    <w:p w14:paraId="132BAE6D" w14:textId="7FA8B734" w:rsidR="00467968" w:rsidRPr="002840AB" w:rsidRDefault="00467968" w:rsidP="00C444D8">
      <w:pPr>
        <w:spacing w:after="0"/>
        <w:rPr>
          <w:rFonts w:ascii="Arial" w:hAnsi="Arial" w:cs="Arial"/>
          <w:b/>
        </w:rPr>
      </w:pPr>
      <w:r w:rsidRPr="002840AB">
        <w:rPr>
          <w:rFonts w:ascii="Arial" w:hAnsi="Arial" w:cs="Arial"/>
          <w:b/>
        </w:rPr>
        <w:t>MNB azonosító kód: W08</w:t>
      </w:r>
    </w:p>
    <w:p w14:paraId="0DCF581A" w14:textId="77777777" w:rsidR="00467968" w:rsidRPr="002840AB" w:rsidRDefault="00467968" w:rsidP="00F00E39">
      <w:pPr>
        <w:spacing w:after="0"/>
        <w:jc w:val="center"/>
        <w:rPr>
          <w:rFonts w:ascii="Arial" w:hAnsi="Arial" w:cs="Arial"/>
          <w:b/>
        </w:rPr>
      </w:pPr>
    </w:p>
    <w:p w14:paraId="6673A261" w14:textId="77777777" w:rsidR="00467968" w:rsidRPr="002840AB" w:rsidRDefault="00467968" w:rsidP="00F00E39">
      <w:pPr>
        <w:spacing w:after="0"/>
        <w:jc w:val="center"/>
        <w:rPr>
          <w:rFonts w:ascii="Arial" w:hAnsi="Arial" w:cs="Arial"/>
          <w:b/>
        </w:rPr>
      </w:pPr>
      <w:r w:rsidRPr="002840AB">
        <w:rPr>
          <w:rFonts w:ascii="Arial" w:hAnsi="Arial" w:cs="Arial"/>
          <w:b/>
        </w:rPr>
        <w:t>Kitöltési előírások</w:t>
      </w:r>
    </w:p>
    <w:p w14:paraId="7D294145" w14:textId="77777777" w:rsidR="00467968" w:rsidRPr="002840AB" w:rsidRDefault="00467968" w:rsidP="00F00E39">
      <w:pPr>
        <w:spacing w:after="0"/>
        <w:jc w:val="center"/>
        <w:rPr>
          <w:rFonts w:ascii="Arial" w:hAnsi="Arial" w:cs="Arial"/>
          <w:b/>
        </w:rPr>
      </w:pPr>
      <w:r w:rsidRPr="002840AB">
        <w:rPr>
          <w:rFonts w:ascii="Arial" w:hAnsi="Arial" w:cs="Arial"/>
          <w:b/>
        </w:rPr>
        <w:t>Jelentés működési, biztonsági eseményekről</w:t>
      </w:r>
    </w:p>
    <w:p w14:paraId="32B9F2B2" w14:textId="1411F126" w:rsidR="00467968" w:rsidRDefault="00467968" w:rsidP="00F00E39">
      <w:pPr>
        <w:spacing w:after="0"/>
        <w:rPr>
          <w:rFonts w:ascii="Arial" w:hAnsi="Arial" w:cs="Arial"/>
        </w:rPr>
      </w:pPr>
    </w:p>
    <w:p w14:paraId="0F5CF32F" w14:textId="77777777" w:rsidR="00A85D91" w:rsidRPr="002840AB" w:rsidRDefault="00A85D91" w:rsidP="00F00E39">
      <w:pPr>
        <w:spacing w:after="0"/>
        <w:rPr>
          <w:rFonts w:ascii="Arial" w:hAnsi="Arial" w:cs="Arial"/>
        </w:rPr>
      </w:pPr>
    </w:p>
    <w:p w14:paraId="22A06F9B" w14:textId="77777777" w:rsidR="00467968" w:rsidRPr="002840AB" w:rsidRDefault="00467968" w:rsidP="00F00E39">
      <w:pPr>
        <w:pStyle w:val="Cmsor3"/>
        <w:numPr>
          <w:ilvl w:val="0"/>
          <w:numId w:val="0"/>
        </w:numPr>
        <w:spacing w:before="0" w:after="0"/>
        <w:rPr>
          <w:rFonts w:ascii="Arial" w:hAnsi="Arial" w:cs="Arial"/>
          <w:b/>
          <w:color w:val="auto"/>
          <w:szCs w:val="20"/>
        </w:rPr>
      </w:pPr>
      <w:r w:rsidRPr="002840AB">
        <w:rPr>
          <w:rFonts w:ascii="Arial" w:hAnsi="Arial" w:cs="Arial"/>
          <w:b/>
          <w:color w:val="auto"/>
          <w:szCs w:val="20"/>
        </w:rPr>
        <w:t>I. Általános előírások</w:t>
      </w:r>
    </w:p>
    <w:p w14:paraId="7FE65815" w14:textId="77777777" w:rsidR="00467968" w:rsidRPr="002840AB" w:rsidRDefault="00467968" w:rsidP="00144C29">
      <w:pPr>
        <w:pStyle w:val="Szvegtrzs"/>
        <w:tabs>
          <w:tab w:val="left" w:pos="709"/>
        </w:tabs>
        <w:rPr>
          <w:rFonts w:ascii="Arial" w:hAnsi="Arial" w:cs="Arial"/>
          <w:sz w:val="20"/>
        </w:rPr>
      </w:pPr>
    </w:p>
    <w:p w14:paraId="42CE2879" w14:textId="754D51D6" w:rsidR="00467968" w:rsidRPr="002840AB" w:rsidRDefault="00467968" w:rsidP="00586C7D">
      <w:pPr>
        <w:spacing w:after="0"/>
        <w:rPr>
          <w:rFonts w:ascii="Arial" w:hAnsi="Arial" w:cs="Arial"/>
        </w:rPr>
      </w:pPr>
      <w:r w:rsidRPr="002840AB">
        <w:rPr>
          <w:rFonts w:ascii="Arial" w:hAnsi="Arial" w:cs="Arial"/>
        </w:rPr>
        <w:t>Az adatszolgáltatási kötelezettség szempontjából működési</w:t>
      </w:r>
      <w:r w:rsidR="00550795" w:rsidRPr="002840AB">
        <w:rPr>
          <w:rFonts w:ascii="Arial" w:hAnsi="Arial" w:cs="Arial"/>
        </w:rPr>
        <w:t>, illetve</w:t>
      </w:r>
      <w:r w:rsidRPr="002840AB">
        <w:rPr>
          <w:rFonts w:ascii="Arial" w:hAnsi="Arial" w:cs="Arial"/>
        </w:rPr>
        <w:t xml:space="preserve"> biztonsági eseménynek </w:t>
      </w:r>
      <w:r w:rsidR="00D839A5" w:rsidRPr="002840AB">
        <w:rPr>
          <w:rFonts w:ascii="Arial" w:hAnsi="Arial" w:cs="Arial"/>
        </w:rPr>
        <w:t>(</w:t>
      </w:r>
      <w:r w:rsidR="00DE25DF" w:rsidRPr="002840AB">
        <w:rPr>
          <w:rFonts w:ascii="Arial" w:hAnsi="Arial" w:cs="Arial"/>
        </w:rPr>
        <w:t>a továbbia</w:t>
      </w:r>
      <w:r w:rsidR="007020BA" w:rsidRPr="002840AB">
        <w:rPr>
          <w:rFonts w:ascii="Arial" w:hAnsi="Arial" w:cs="Arial"/>
        </w:rPr>
        <w:t>k</w:t>
      </w:r>
      <w:r w:rsidR="00DE25DF" w:rsidRPr="002840AB">
        <w:rPr>
          <w:rFonts w:ascii="Arial" w:hAnsi="Arial" w:cs="Arial"/>
        </w:rPr>
        <w:t>b</w:t>
      </w:r>
      <w:r w:rsidR="007020BA" w:rsidRPr="002840AB">
        <w:rPr>
          <w:rFonts w:ascii="Arial" w:hAnsi="Arial" w:cs="Arial"/>
        </w:rPr>
        <w:t>a</w:t>
      </w:r>
      <w:r w:rsidR="00DE25DF" w:rsidRPr="002840AB">
        <w:rPr>
          <w:rFonts w:ascii="Arial" w:hAnsi="Arial" w:cs="Arial"/>
        </w:rPr>
        <w:t xml:space="preserve">n együtt: </w:t>
      </w:r>
      <w:r w:rsidRPr="002840AB">
        <w:rPr>
          <w:rFonts w:ascii="Arial" w:hAnsi="Arial" w:cs="Arial"/>
        </w:rPr>
        <w:t>incidens) minősül a szolgáltató által előre nem tervezett olyan egyedi esemény vagy egymáshoz kapcsolódó események olyan sorozata, amelynek a nyújtott üzleti szolgáltatásra, az annak megfelelő nyújtásához szükséges technikai támogató feladatok integritására, rendelkezésre állására, titkosságára, hitelességére, illetve folyamatosságára negatív hatása van, függetlenül annak eredetétől (külső/belső) és szándékosságától (szándékos/véletlenszerű)</w:t>
      </w:r>
      <w:r w:rsidR="007020BA" w:rsidRPr="002840AB">
        <w:rPr>
          <w:rFonts w:ascii="Arial" w:hAnsi="Arial" w:cs="Arial"/>
        </w:rPr>
        <w:t>,</w:t>
      </w:r>
      <w:r w:rsidRPr="002840AB">
        <w:rPr>
          <w:rFonts w:ascii="Arial" w:hAnsi="Arial" w:cs="Arial"/>
        </w:rPr>
        <w:t xml:space="preserve"> figyelembe véve az üzleti szolgáltatás üzem idejét.</w:t>
      </w:r>
    </w:p>
    <w:p w14:paraId="79F373C2" w14:textId="59D40B67" w:rsidR="00467968" w:rsidRPr="002840AB" w:rsidRDefault="00467968" w:rsidP="00586C7D">
      <w:pPr>
        <w:spacing w:after="0"/>
        <w:rPr>
          <w:rFonts w:ascii="Arial" w:hAnsi="Arial" w:cs="Arial"/>
        </w:rPr>
      </w:pPr>
      <w:r w:rsidRPr="002840AB">
        <w:rPr>
          <w:rFonts w:ascii="Arial" w:hAnsi="Arial" w:cs="Arial"/>
        </w:rPr>
        <w:t>Annak eldöntésére, hogy egy incidens jelentendő-e</w:t>
      </w:r>
      <w:r w:rsidR="009E6358" w:rsidRPr="002840AB">
        <w:rPr>
          <w:rFonts w:ascii="Arial" w:hAnsi="Arial" w:cs="Arial"/>
        </w:rPr>
        <w:t>,</w:t>
      </w:r>
      <w:r w:rsidRPr="002840AB">
        <w:rPr>
          <w:rFonts w:ascii="Arial" w:hAnsi="Arial" w:cs="Arial"/>
        </w:rPr>
        <w:t xml:space="preserve"> a bejelentéstől/észleléstől számított 10 perc áll rendelkezésre. Amennyiben ennyi idő alatt a minősítést nem lehet elvégezni, úgy az incidenst jelentendő incidensnek kell tekinteni. Amennyiben a kezdeti jelentés már elküldésre került, de még az időközi jelentés beküldését megelőzően kiderül, hogy az incidens mégsem jelentendő incidens, akkor az időközi és záró jelentés kiváltható az </w:t>
      </w:r>
      <w:hyperlink r:id="rId21" w:history="1">
        <w:r w:rsidR="00A85D91" w:rsidRPr="002840AB">
          <w:rPr>
            <w:rStyle w:val="Hiperhivatkozs"/>
            <w:rFonts w:ascii="Arial" w:hAnsi="Arial" w:cs="Arial"/>
            <w:color w:val="auto"/>
            <w:vertAlign w:val="baseline"/>
          </w:rPr>
          <w:t>incidensek@mnb.hu</w:t>
        </w:r>
      </w:hyperlink>
      <w:r w:rsidRPr="002840AB">
        <w:rPr>
          <w:rFonts w:ascii="Arial" w:hAnsi="Arial" w:cs="Arial"/>
        </w:rPr>
        <w:t xml:space="preserve"> címre történő </w:t>
      </w:r>
      <w:r w:rsidR="00D97B42" w:rsidRPr="002840AB">
        <w:rPr>
          <w:rFonts w:ascii="Arial" w:hAnsi="Arial" w:cs="Arial"/>
        </w:rPr>
        <w:t xml:space="preserve">titkosított </w:t>
      </w:r>
      <w:r w:rsidRPr="002840AB">
        <w:rPr>
          <w:rFonts w:ascii="Arial" w:hAnsi="Arial" w:cs="Arial"/>
        </w:rPr>
        <w:t>elektronikus levél küldésével, melyben az adatszolgáltató tájékoztatja az MNB-t az incidens visszaminősítéséről.</w:t>
      </w:r>
    </w:p>
    <w:p w14:paraId="0BACD676" w14:textId="77777777" w:rsidR="00467968" w:rsidRPr="002840AB" w:rsidRDefault="00467968" w:rsidP="00713743">
      <w:pPr>
        <w:pStyle w:val="Default"/>
        <w:jc w:val="both"/>
        <w:rPr>
          <w:rFonts w:ascii="Arial" w:hAnsi="Arial" w:cs="Arial"/>
          <w:color w:val="auto"/>
          <w:sz w:val="20"/>
          <w:szCs w:val="20"/>
        </w:rPr>
      </w:pPr>
    </w:p>
    <w:p w14:paraId="00AC1F73" w14:textId="77777777" w:rsidR="00467968" w:rsidRPr="002840AB" w:rsidRDefault="00467968" w:rsidP="002840AB">
      <w:pPr>
        <w:pStyle w:val="Default"/>
        <w:jc w:val="both"/>
        <w:rPr>
          <w:rFonts w:ascii="Arial" w:hAnsi="Arial" w:cs="Arial"/>
          <w:color w:val="auto"/>
          <w:sz w:val="20"/>
          <w:szCs w:val="20"/>
        </w:rPr>
      </w:pPr>
    </w:p>
    <w:p w14:paraId="663F2331" w14:textId="77777777" w:rsidR="00467968" w:rsidRPr="002840AB" w:rsidRDefault="00467968" w:rsidP="00144C29">
      <w:pPr>
        <w:spacing w:after="0"/>
        <w:rPr>
          <w:rFonts w:ascii="Arial" w:hAnsi="Arial" w:cs="Arial"/>
          <w:b/>
        </w:rPr>
      </w:pPr>
      <w:r w:rsidRPr="002840AB">
        <w:rPr>
          <w:rFonts w:ascii="Arial" w:hAnsi="Arial" w:cs="Arial"/>
          <w:b/>
        </w:rPr>
        <w:t xml:space="preserve">II. A táblák kitöltésével kapcsolatos részletes előírások </w:t>
      </w:r>
    </w:p>
    <w:p w14:paraId="73C2E659" w14:textId="2845EEF9" w:rsidR="00467968" w:rsidRPr="002840AB" w:rsidRDefault="00B32098" w:rsidP="00144C29">
      <w:pPr>
        <w:spacing w:after="0"/>
        <w:rPr>
          <w:rFonts w:ascii="Arial" w:hAnsi="Arial" w:cs="Arial"/>
        </w:rPr>
      </w:pPr>
      <w:r w:rsidRPr="002840AB">
        <w:rPr>
          <w:rFonts w:ascii="Arial" w:hAnsi="Arial" w:cs="Arial"/>
        </w:rPr>
        <w:t>1.</w:t>
      </w:r>
      <w:r w:rsidRPr="002840AB">
        <w:rPr>
          <w:rFonts w:ascii="Arial" w:hAnsi="Arial" w:cs="Arial"/>
          <w:b/>
        </w:rPr>
        <w:t xml:space="preserve"> </w:t>
      </w:r>
      <w:r w:rsidR="00467968" w:rsidRPr="002840AB">
        <w:rPr>
          <w:rFonts w:ascii="Arial" w:hAnsi="Arial" w:cs="Arial"/>
        </w:rPr>
        <w:t xml:space="preserve">A </w:t>
      </w:r>
      <w:r w:rsidR="0049686E" w:rsidRPr="002840AB">
        <w:rPr>
          <w:rFonts w:ascii="Arial" w:hAnsi="Arial" w:cs="Arial"/>
        </w:rPr>
        <w:t>„0 –</w:t>
      </w:r>
      <w:r w:rsidR="00467968" w:rsidRPr="002840AB">
        <w:rPr>
          <w:rFonts w:ascii="Arial" w:hAnsi="Arial" w:cs="Arial"/>
        </w:rPr>
        <w:t xml:space="preserve"> Fejléc</w:t>
      </w:r>
      <w:r w:rsidR="0049686E" w:rsidRPr="002840AB">
        <w:rPr>
          <w:rFonts w:ascii="Arial" w:hAnsi="Arial" w:cs="Arial"/>
        </w:rPr>
        <w:t>”</w:t>
      </w:r>
      <w:r w:rsidR="00467968" w:rsidRPr="002840AB">
        <w:rPr>
          <w:rFonts w:ascii="Arial" w:hAnsi="Arial" w:cs="Arial"/>
        </w:rPr>
        <w:t xml:space="preserve"> tábla minden adatszolgáltatás esetében kitöltendő. Az adatszolgáltatás további tábláit a</w:t>
      </w:r>
      <w:r w:rsidR="0049686E" w:rsidRPr="002840AB">
        <w:rPr>
          <w:rFonts w:ascii="Arial" w:hAnsi="Arial" w:cs="Arial"/>
        </w:rPr>
        <w:t>z adat</w:t>
      </w:r>
      <w:r w:rsidR="00467968" w:rsidRPr="002840AB">
        <w:rPr>
          <w:rFonts w:ascii="Arial" w:hAnsi="Arial" w:cs="Arial"/>
        </w:rPr>
        <w:t>szolgáltató annak függvényében köteles kitölteni, hogy a</w:t>
      </w:r>
      <w:r w:rsidR="0049686E" w:rsidRPr="002840AB">
        <w:rPr>
          <w:rFonts w:ascii="Arial" w:hAnsi="Arial" w:cs="Arial"/>
        </w:rPr>
        <w:t>z incidens</w:t>
      </w:r>
      <w:r w:rsidR="00467968" w:rsidRPr="002840AB">
        <w:rPr>
          <w:rFonts w:ascii="Arial" w:hAnsi="Arial" w:cs="Arial"/>
        </w:rPr>
        <w:t xml:space="preserve"> feldolgozási folyamatának melyik fázisában jár.</w:t>
      </w:r>
    </w:p>
    <w:p w14:paraId="170BD254" w14:textId="77777777" w:rsidR="00467968" w:rsidRPr="002840AB" w:rsidRDefault="00467968" w:rsidP="00144C29">
      <w:pPr>
        <w:spacing w:after="0"/>
        <w:rPr>
          <w:rFonts w:ascii="Arial" w:hAnsi="Arial" w:cs="Arial"/>
        </w:rPr>
      </w:pPr>
    </w:p>
    <w:p w14:paraId="68F7AD47" w14:textId="14F0849A" w:rsidR="003D5AEB" w:rsidRPr="002840AB" w:rsidRDefault="00B32098" w:rsidP="00144C29">
      <w:pPr>
        <w:spacing w:after="0"/>
        <w:rPr>
          <w:rFonts w:ascii="Arial" w:hAnsi="Arial" w:cs="Arial"/>
        </w:rPr>
      </w:pPr>
      <w:r w:rsidRPr="002840AB">
        <w:rPr>
          <w:rFonts w:ascii="Arial" w:hAnsi="Arial" w:cs="Arial"/>
        </w:rPr>
        <w:t>2</w:t>
      </w:r>
      <w:r w:rsidR="00467968" w:rsidRPr="002840AB">
        <w:rPr>
          <w:rFonts w:ascii="Arial" w:hAnsi="Arial" w:cs="Arial"/>
        </w:rPr>
        <w:t>.</w:t>
      </w:r>
      <w:r w:rsidR="00467968" w:rsidRPr="002840AB">
        <w:rPr>
          <w:rFonts w:ascii="Arial" w:hAnsi="Arial" w:cs="Arial"/>
          <w:b/>
        </w:rPr>
        <w:t xml:space="preserve"> </w:t>
      </w:r>
      <w:r w:rsidR="00E21871" w:rsidRPr="002840AB">
        <w:rPr>
          <w:rFonts w:ascii="Arial" w:hAnsi="Arial" w:cs="Arial"/>
        </w:rPr>
        <w:t>A –</w:t>
      </w:r>
      <w:r w:rsidR="00467968" w:rsidRPr="00F00E39">
        <w:rPr>
          <w:rFonts w:ascii="Arial" w:hAnsi="Arial" w:cs="Arial"/>
        </w:rPr>
        <w:t xml:space="preserve"> </w:t>
      </w:r>
      <w:r w:rsidR="00E21871" w:rsidRPr="002840AB">
        <w:rPr>
          <w:rFonts w:ascii="Arial" w:hAnsi="Arial" w:cs="Arial"/>
        </w:rPr>
        <w:t>K</w:t>
      </w:r>
      <w:r w:rsidR="00467968" w:rsidRPr="00F00E39">
        <w:rPr>
          <w:rFonts w:ascii="Arial" w:hAnsi="Arial" w:cs="Arial"/>
        </w:rPr>
        <w:t>ezdeti jelentés</w:t>
      </w:r>
    </w:p>
    <w:p w14:paraId="3B90ACDE" w14:textId="3BEC4DB0" w:rsidR="00467968" w:rsidRPr="002840AB" w:rsidRDefault="003D5AEB" w:rsidP="00144C29">
      <w:pPr>
        <w:spacing w:after="0"/>
        <w:rPr>
          <w:rFonts w:ascii="Arial" w:hAnsi="Arial" w:cs="Arial"/>
        </w:rPr>
      </w:pPr>
      <w:r w:rsidRPr="002840AB">
        <w:rPr>
          <w:rFonts w:ascii="Arial" w:hAnsi="Arial" w:cs="Arial"/>
        </w:rPr>
        <w:lastRenderedPageBreak/>
        <w:t>A</w:t>
      </w:r>
      <w:r w:rsidR="00467968" w:rsidRPr="00F00E39">
        <w:rPr>
          <w:rFonts w:ascii="Arial" w:hAnsi="Arial" w:cs="Arial"/>
        </w:rPr>
        <w:t xml:space="preserve"> táblát</w:t>
      </w:r>
      <w:r w:rsidR="00467968" w:rsidRPr="002840AB">
        <w:rPr>
          <w:rFonts w:ascii="Arial" w:hAnsi="Arial" w:cs="Arial"/>
        </w:rPr>
        <w:t xml:space="preserve"> a</w:t>
      </w:r>
      <w:r w:rsidR="00353CE2" w:rsidRPr="002840AB">
        <w:rPr>
          <w:rFonts w:ascii="Arial" w:hAnsi="Arial" w:cs="Arial"/>
        </w:rPr>
        <w:t>z</w:t>
      </w:r>
      <w:r w:rsidR="00467968" w:rsidRPr="002840AB">
        <w:rPr>
          <w:rFonts w:ascii="Arial" w:hAnsi="Arial" w:cs="Arial"/>
        </w:rPr>
        <w:t xml:space="preserve"> incidensről </w:t>
      </w:r>
      <w:r w:rsidR="00353CE2" w:rsidRPr="002840AB">
        <w:rPr>
          <w:rFonts w:ascii="Arial" w:hAnsi="Arial" w:cs="Arial"/>
        </w:rPr>
        <w:t xml:space="preserve">a </w:t>
      </w:r>
      <w:r w:rsidR="00467968" w:rsidRPr="002840AB">
        <w:rPr>
          <w:rFonts w:ascii="Arial" w:hAnsi="Arial" w:cs="Arial"/>
        </w:rPr>
        <w:t>minősítést követő 5 percen belül</w:t>
      </w:r>
      <w:r w:rsidR="00424CDC" w:rsidRPr="002840AB">
        <w:rPr>
          <w:rFonts w:ascii="Arial" w:hAnsi="Arial" w:cs="Arial"/>
        </w:rPr>
        <w:t>, titkosított</w:t>
      </w:r>
      <w:r w:rsidR="00467968" w:rsidRPr="002840AB">
        <w:rPr>
          <w:rFonts w:ascii="Arial" w:hAnsi="Arial" w:cs="Arial"/>
        </w:rPr>
        <w:t xml:space="preserve"> elektronikus levélben kell az MNB részére az </w:t>
      </w:r>
      <w:bookmarkStart w:id="33" w:name="_Hlk4602612"/>
      <w:r w:rsidR="00A85D91">
        <w:fldChar w:fldCharType="begin"/>
      </w:r>
      <w:r w:rsidR="00A85D91">
        <w:instrText xml:space="preserve"> HYPERLINK "mailto:incidensek@mnb.hu" </w:instrText>
      </w:r>
      <w:r w:rsidR="00A85D91">
        <w:fldChar w:fldCharType="separate"/>
      </w:r>
      <w:r w:rsidR="00467968" w:rsidRPr="002840AB">
        <w:rPr>
          <w:rStyle w:val="Hiperhivatkozs"/>
          <w:rFonts w:ascii="Arial" w:hAnsi="Arial" w:cs="Arial"/>
          <w:color w:val="auto"/>
          <w:vertAlign w:val="baseline"/>
        </w:rPr>
        <w:t>incidensek@mnb.hu</w:t>
      </w:r>
      <w:r w:rsidR="00A85D91">
        <w:rPr>
          <w:rStyle w:val="Hiperhivatkozs"/>
          <w:rFonts w:ascii="Arial" w:hAnsi="Arial" w:cs="Arial"/>
          <w:color w:val="auto"/>
          <w:vertAlign w:val="baseline"/>
        </w:rPr>
        <w:fldChar w:fldCharType="end"/>
      </w:r>
      <w:bookmarkEnd w:id="33"/>
      <w:r w:rsidR="00467968" w:rsidRPr="002840AB">
        <w:rPr>
          <w:rFonts w:ascii="Arial" w:hAnsi="Arial" w:cs="Arial"/>
        </w:rPr>
        <w:t xml:space="preserve"> e-mail címre megküldeni.</w:t>
      </w:r>
    </w:p>
    <w:p w14:paraId="38449E03" w14:textId="77777777" w:rsidR="00467968" w:rsidRPr="002840AB" w:rsidRDefault="00467968" w:rsidP="00144C29">
      <w:pPr>
        <w:spacing w:after="0"/>
        <w:rPr>
          <w:rFonts w:ascii="Arial" w:hAnsi="Arial" w:cs="Arial"/>
        </w:rPr>
      </w:pPr>
    </w:p>
    <w:p w14:paraId="7C490C2B" w14:textId="19B30146" w:rsidR="003D5AEB" w:rsidRPr="002840AB" w:rsidRDefault="00B32098" w:rsidP="00144C29">
      <w:pPr>
        <w:spacing w:after="0"/>
        <w:rPr>
          <w:rFonts w:ascii="Arial" w:hAnsi="Arial" w:cs="Arial"/>
        </w:rPr>
      </w:pPr>
      <w:r w:rsidRPr="002840AB">
        <w:rPr>
          <w:rFonts w:ascii="Arial" w:hAnsi="Arial" w:cs="Arial"/>
        </w:rPr>
        <w:t>3</w:t>
      </w:r>
      <w:r w:rsidR="00467968" w:rsidRPr="002840AB">
        <w:rPr>
          <w:rFonts w:ascii="Arial" w:hAnsi="Arial" w:cs="Arial"/>
        </w:rPr>
        <w:t>.</w:t>
      </w:r>
      <w:r w:rsidR="00467968" w:rsidRPr="002840AB">
        <w:rPr>
          <w:rFonts w:ascii="Arial" w:hAnsi="Arial" w:cs="Arial"/>
          <w:b/>
        </w:rPr>
        <w:t xml:space="preserve"> </w:t>
      </w:r>
      <w:r w:rsidR="00232442" w:rsidRPr="002840AB">
        <w:rPr>
          <w:rFonts w:ascii="Arial" w:hAnsi="Arial" w:cs="Arial"/>
        </w:rPr>
        <w:t xml:space="preserve">B – </w:t>
      </w:r>
      <w:r w:rsidR="00261821" w:rsidRPr="002840AB">
        <w:rPr>
          <w:rFonts w:ascii="Arial" w:hAnsi="Arial" w:cs="Arial"/>
        </w:rPr>
        <w:t>I</w:t>
      </w:r>
      <w:r w:rsidR="00467968" w:rsidRPr="00F00E39">
        <w:rPr>
          <w:rFonts w:ascii="Arial" w:hAnsi="Arial" w:cs="Arial"/>
        </w:rPr>
        <w:t>dőközi jelentés</w:t>
      </w:r>
    </w:p>
    <w:p w14:paraId="3B6E9901" w14:textId="044691A8" w:rsidR="00467968" w:rsidRPr="002840AB" w:rsidRDefault="003D5AEB" w:rsidP="00144C29">
      <w:pPr>
        <w:spacing w:after="0"/>
        <w:rPr>
          <w:rFonts w:ascii="Arial" w:hAnsi="Arial" w:cs="Arial"/>
        </w:rPr>
      </w:pPr>
      <w:r w:rsidRPr="002840AB">
        <w:rPr>
          <w:rFonts w:ascii="Arial" w:hAnsi="Arial" w:cs="Arial"/>
        </w:rPr>
        <w:t>A</w:t>
      </w:r>
      <w:r w:rsidR="00261821" w:rsidRPr="002840AB">
        <w:rPr>
          <w:rFonts w:ascii="Arial" w:hAnsi="Arial" w:cs="Arial"/>
        </w:rPr>
        <w:t xml:space="preserve"> táblá</w:t>
      </w:r>
      <w:r w:rsidR="00467968" w:rsidRPr="00F00E39">
        <w:rPr>
          <w:rFonts w:ascii="Arial" w:hAnsi="Arial" w:cs="Arial"/>
        </w:rPr>
        <w:t>t</w:t>
      </w:r>
      <w:r w:rsidR="00467968" w:rsidRPr="002840AB">
        <w:rPr>
          <w:rFonts w:ascii="Arial" w:hAnsi="Arial" w:cs="Arial"/>
        </w:rPr>
        <w:t xml:space="preserve"> </w:t>
      </w:r>
      <w:r w:rsidR="00E34014" w:rsidRPr="002840AB">
        <w:rPr>
          <w:rFonts w:ascii="Arial" w:hAnsi="Arial" w:cs="Arial"/>
        </w:rPr>
        <w:t xml:space="preserve">első alkalommal </w:t>
      </w:r>
      <w:r w:rsidR="00467968" w:rsidRPr="002840AB">
        <w:rPr>
          <w:rFonts w:ascii="Arial" w:hAnsi="Arial" w:cs="Arial"/>
        </w:rPr>
        <w:t xml:space="preserve">a kezdeti jelentés beküldését követő 3 munkanapon belül, </w:t>
      </w:r>
      <w:r w:rsidR="00E34014" w:rsidRPr="002840AB">
        <w:rPr>
          <w:rFonts w:ascii="Arial" w:hAnsi="Arial" w:cs="Arial"/>
        </w:rPr>
        <w:t>ezt követően</w:t>
      </w:r>
      <w:r w:rsidR="00467968" w:rsidRPr="002840AB">
        <w:rPr>
          <w:rFonts w:ascii="Arial" w:hAnsi="Arial" w:cs="Arial"/>
        </w:rPr>
        <w:t xml:space="preserve"> a </w:t>
      </w:r>
      <w:r w:rsidR="00353CE2" w:rsidRPr="002840AB">
        <w:rPr>
          <w:rFonts w:ascii="Arial" w:hAnsi="Arial" w:cs="Arial"/>
        </w:rPr>
        <w:t>„C – Z</w:t>
      </w:r>
      <w:r w:rsidR="00467968" w:rsidRPr="002840AB">
        <w:rPr>
          <w:rFonts w:ascii="Arial" w:hAnsi="Arial" w:cs="Arial"/>
        </w:rPr>
        <w:t>áró jelentés</w:t>
      </w:r>
      <w:r w:rsidR="00353CE2" w:rsidRPr="002840AB">
        <w:rPr>
          <w:rFonts w:ascii="Arial" w:hAnsi="Arial" w:cs="Arial"/>
        </w:rPr>
        <w:t xml:space="preserve">” </w:t>
      </w:r>
      <w:r w:rsidR="007C5FF7" w:rsidRPr="002840AB">
        <w:rPr>
          <w:rFonts w:ascii="Arial" w:hAnsi="Arial" w:cs="Arial"/>
        </w:rPr>
        <w:t>tábla</w:t>
      </w:r>
      <w:r w:rsidR="00467968" w:rsidRPr="002840AB">
        <w:rPr>
          <w:rFonts w:ascii="Arial" w:hAnsi="Arial" w:cs="Arial"/>
        </w:rPr>
        <w:t xml:space="preserve"> megküldéséig hetente kell megküldeni az MNB részére</w:t>
      </w:r>
      <w:r w:rsidR="007C5FF7" w:rsidRPr="002840AB">
        <w:rPr>
          <w:rFonts w:ascii="Arial" w:hAnsi="Arial" w:cs="Arial"/>
        </w:rPr>
        <w:t>,</w:t>
      </w:r>
      <w:r w:rsidR="00467968" w:rsidRPr="002840AB">
        <w:rPr>
          <w:rFonts w:ascii="Arial" w:hAnsi="Arial" w:cs="Arial"/>
        </w:rPr>
        <w:t xml:space="preserve"> az </w:t>
      </w:r>
      <w:proofErr w:type="spellStart"/>
      <w:r w:rsidR="00467968" w:rsidRPr="002840AB">
        <w:rPr>
          <w:rFonts w:ascii="Arial" w:hAnsi="Arial" w:cs="Arial"/>
        </w:rPr>
        <w:t>ERA</w:t>
      </w:r>
      <w:proofErr w:type="spellEnd"/>
      <w:r w:rsidR="00467968" w:rsidRPr="002840AB">
        <w:rPr>
          <w:rFonts w:ascii="Arial" w:hAnsi="Arial" w:cs="Arial"/>
        </w:rPr>
        <w:t xml:space="preserve"> rendszer</w:t>
      </w:r>
      <w:r w:rsidR="00E34014" w:rsidRPr="002840AB">
        <w:rPr>
          <w:rFonts w:ascii="Arial" w:hAnsi="Arial" w:cs="Arial"/>
        </w:rPr>
        <w:t>en</w:t>
      </w:r>
      <w:r w:rsidR="00467968" w:rsidRPr="002840AB">
        <w:rPr>
          <w:rFonts w:ascii="Arial" w:hAnsi="Arial" w:cs="Arial"/>
        </w:rPr>
        <w:t xml:space="preserve"> keresztül. Az első időközi jelentés megküldésekor a</w:t>
      </w:r>
      <w:r w:rsidR="00E34014" w:rsidRPr="002840AB">
        <w:rPr>
          <w:rFonts w:ascii="Arial" w:hAnsi="Arial" w:cs="Arial"/>
        </w:rPr>
        <w:t xml:space="preserve"> titkosított elektronikus levélben</w:t>
      </w:r>
      <w:r w:rsidR="00467968" w:rsidRPr="002840AB">
        <w:rPr>
          <w:rFonts w:ascii="Arial" w:hAnsi="Arial" w:cs="Arial"/>
        </w:rPr>
        <w:t xml:space="preserve"> megküldött kezdeti jelentést is fel kell tölteni az </w:t>
      </w:r>
      <w:proofErr w:type="spellStart"/>
      <w:r w:rsidR="00467968" w:rsidRPr="002840AB">
        <w:rPr>
          <w:rFonts w:ascii="Arial" w:hAnsi="Arial" w:cs="Arial"/>
        </w:rPr>
        <w:t>ERA</w:t>
      </w:r>
      <w:proofErr w:type="spellEnd"/>
      <w:r w:rsidR="00467968" w:rsidRPr="002840AB">
        <w:rPr>
          <w:rFonts w:ascii="Arial" w:hAnsi="Arial" w:cs="Arial"/>
        </w:rPr>
        <w:t xml:space="preserve"> rendszerbe. </w:t>
      </w:r>
    </w:p>
    <w:p w14:paraId="1CF092E2" w14:textId="6E3BC613" w:rsidR="00467968" w:rsidRPr="002840AB" w:rsidRDefault="00467968" w:rsidP="00144C29">
      <w:pPr>
        <w:pStyle w:val="Listaszerbekezds"/>
        <w:numPr>
          <w:ilvl w:val="0"/>
          <w:numId w:val="0"/>
        </w:numPr>
        <w:spacing w:after="0"/>
        <w:rPr>
          <w:rFonts w:ascii="Arial" w:hAnsi="Arial" w:cs="Arial"/>
        </w:rPr>
      </w:pPr>
      <w:r w:rsidRPr="002840AB">
        <w:rPr>
          <w:rFonts w:ascii="Arial" w:hAnsi="Arial" w:cs="Arial"/>
        </w:rPr>
        <w:t>Az utolsó időközi jelentést akkor kell beküldeni, amikor a szokásos, napi üzletmenet helyreállt</w:t>
      </w:r>
      <w:r w:rsidR="005D7A20" w:rsidRPr="002840AB">
        <w:rPr>
          <w:rFonts w:ascii="Arial" w:hAnsi="Arial" w:cs="Arial"/>
        </w:rPr>
        <w:t>,</w:t>
      </w:r>
      <w:r w:rsidR="007C5FF7" w:rsidRPr="002840AB">
        <w:rPr>
          <w:rFonts w:ascii="Arial" w:hAnsi="Arial" w:cs="Arial"/>
        </w:rPr>
        <w:t xml:space="preserve"> </w:t>
      </w:r>
      <w:r w:rsidRPr="002840AB">
        <w:rPr>
          <w:rFonts w:ascii="Arial" w:hAnsi="Arial" w:cs="Arial"/>
        </w:rPr>
        <w:t>és a</w:t>
      </w:r>
      <w:r w:rsidR="005D7A20" w:rsidRPr="002840AB">
        <w:rPr>
          <w:rFonts w:ascii="Arial" w:hAnsi="Arial" w:cs="Arial"/>
        </w:rPr>
        <w:t>z adat</w:t>
      </w:r>
      <w:r w:rsidRPr="002840AB">
        <w:rPr>
          <w:rFonts w:ascii="Arial" w:hAnsi="Arial" w:cs="Arial"/>
        </w:rPr>
        <w:t>szolgáltató ismét a szokásos módon működik. A</w:t>
      </w:r>
      <w:r w:rsidR="005D7A20" w:rsidRPr="002840AB">
        <w:rPr>
          <w:rFonts w:ascii="Arial" w:hAnsi="Arial" w:cs="Arial"/>
        </w:rPr>
        <w:t>z adat</w:t>
      </w:r>
      <w:r w:rsidRPr="002840AB">
        <w:rPr>
          <w:rFonts w:ascii="Arial" w:hAnsi="Arial" w:cs="Arial"/>
        </w:rPr>
        <w:t>szolgáltató akkor tekintheti úgy, hogy ismét a szokásos módon működik, amennyiben a tevékenységek, illetve műveletek visszatérnek arra szolgáltatási szintre, illetve azokhoz a feltételekhez, amelyeket a</w:t>
      </w:r>
      <w:r w:rsidR="005D7A20" w:rsidRPr="002840AB">
        <w:rPr>
          <w:rFonts w:ascii="Arial" w:hAnsi="Arial" w:cs="Arial"/>
        </w:rPr>
        <w:t>z</w:t>
      </w:r>
      <w:r w:rsidRPr="002840AB">
        <w:rPr>
          <w:rFonts w:ascii="Arial" w:hAnsi="Arial" w:cs="Arial"/>
        </w:rPr>
        <w:t xml:space="preserve"> </w:t>
      </w:r>
      <w:r w:rsidR="005D7A20" w:rsidRPr="002840AB">
        <w:rPr>
          <w:rFonts w:ascii="Arial" w:hAnsi="Arial" w:cs="Arial"/>
        </w:rPr>
        <w:t>adat</w:t>
      </w:r>
      <w:r w:rsidRPr="002840AB">
        <w:rPr>
          <w:rFonts w:ascii="Arial" w:hAnsi="Arial" w:cs="Arial"/>
        </w:rPr>
        <w:t xml:space="preserve">szolgáltató maga határozott meg, vagy amelyeket kívülről, egy szolgáltatási szintre vonatkozó megállapodás rögzít a feldolgozási időket, a kapacitást, a biztonsági követelményeket stb. illetően, és a rendkívüli intézkedések már nincsenek érvényben. </w:t>
      </w:r>
    </w:p>
    <w:p w14:paraId="543FA192" w14:textId="77777777" w:rsidR="00467968" w:rsidRPr="002840AB" w:rsidRDefault="00467968" w:rsidP="00144C29">
      <w:pPr>
        <w:spacing w:after="0"/>
        <w:rPr>
          <w:rFonts w:ascii="Arial" w:hAnsi="Arial" w:cs="Arial"/>
        </w:rPr>
      </w:pPr>
    </w:p>
    <w:p w14:paraId="4E3E3110" w14:textId="68E6D796" w:rsidR="009833B5" w:rsidRPr="002840AB" w:rsidRDefault="00B32098" w:rsidP="00144C29">
      <w:pPr>
        <w:spacing w:after="0"/>
        <w:rPr>
          <w:rFonts w:ascii="Arial" w:hAnsi="Arial" w:cs="Arial"/>
        </w:rPr>
      </w:pPr>
      <w:r w:rsidRPr="002840AB">
        <w:rPr>
          <w:rFonts w:ascii="Arial" w:hAnsi="Arial" w:cs="Arial"/>
        </w:rPr>
        <w:t>4</w:t>
      </w:r>
      <w:r w:rsidR="00467968" w:rsidRPr="002840AB">
        <w:rPr>
          <w:rFonts w:ascii="Arial" w:hAnsi="Arial" w:cs="Arial"/>
        </w:rPr>
        <w:t>.</w:t>
      </w:r>
      <w:r w:rsidR="00467968" w:rsidRPr="002840AB">
        <w:rPr>
          <w:rFonts w:ascii="Arial" w:hAnsi="Arial" w:cs="Arial"/>
          <w:b/>
        </w:rPr>
        <w:t xml:space="preserve"> </w:t>
      </w:r>
      <w:r w:rsidR="007C5FF7" w:rsidRPr="002840AB">
        <w:rPr>
          <w:rFonts w:ascii="Arial" w:hAnsi="Arial" w:cs="Arial"/>
        </w:rPr>
        <w:t>C –</w:t>
      </w:r>
      <w:r w:rsidR="00467968" w:rsidRPr="00F00E39">
        <w:rPr>
          <w:rFonts w:ascii="Arial" w:hAnsi="Arial" w:cs="Arial"/>
        </w:rPr>
        <w:t xml:space="preserve"> </w:t>
      </w:r>
      <w:r w:rsidR="009833B5" w:rsidRPr="002840AB">
        <w:rPr>
          <w:rFonts w:ascii="Arial" w:hAnsi="Arial" w:cs="Arial"/>
        </w:rPr>
        <w:t>Z</w:t>
      </w:r>
      <w:r w:rsidR="00467968" w:rsidRPr="00F00E39">
        <w:rPr>
          <w:rFonts w:ascii="Arial" w:hAnsi="Arial" w:cs="Arial"/>
        </w:rPr>
        <w:t>áró jelentés</w:t>
      </w:r>
    </w:p>
    <w:p w14:paraId="28264418" w14:textId="7AE97EEA" w:rsidR="00467968" w:rsidRPr="002840AB" w:rsidRDefault="009833B5" w:rsidP="00144C29">
      <w:pPr>
        <w:spacing w:after="0"/>
        <w:rPr>
          <w:rFonts w:ascii="Arial" w:hAnsi="Arial" w:cs="Arial"/>
        </w:rPr>
      </w:pPr>
      <w:r w:rsidRPr="002840AB">
        <w:rPr>
          <w:rFonts w:ascii="Arial" w:hAnsi="Arial" w:cs="Arial"/>
        </w:rPr>
        <w:t>A táblá</w:t>
      </w:r>
      <w:r w:rsidR="00467968" w:rsidRPr="00F00E39">
        <w:rPr>
          <w:rFonts w:ascii="Arial" w:hAnsi="Arial" w:cs="Arial"/>
        </w:rPr>
        <w:t>t</w:t>
      </w:r>
      <w:r w:rsidR="00467968" w:rsidRPr="002840AB">
        <w:rPr>
          <w:rFonts w:ascii="Arial" w:hAnsi="Arial" w:cs="Arial"/>
          <w:b/>
        </w:rPr>
        <w:t xml:space="preserve"> </w:t>
      </w:r>
      <w:r w:rsidR="00467968" w:rsidRPr="002840AB">
        <w:rPr>
          <w:rFonts w:ascii="Arial" w:hAnsi="Arial" w:cs="Arial"/>
        </w:rPr>
        <w:t>a</w:t>
      </w:r>
      <w:r w:rsidR="005D7A20" w:rsidRPr="002840AB">
        <w:rPr>
          <w:rFonts w:ascii="Arial" w:hAnsi="Arial" w:cs="Arial"/>
        </w:rPr>
        <w:t>z</w:t>
      </w:r>
      <w:r w:rsidR="00467968" w:rsidRPr="002840AB">
        <w:rPr>
          <w:rFonts w:ascii="Arial" w:hAnsi="Arial" w:cs="Arial"/>
        </w:rPr>
        <w:t xml:space="preserve"> </w:t>
      </w:r>
      <w:r w:rsidR="005D7A20" w:rsidRPr="002840AB">
        <w:rPr>
          <w:rFonts w:ascii="Arial" w:hAnsi="Arial" w:cs="Arial"/>
        </w:rPr>
        <w:t>adat</w:t>
      </w:r>
      <w:r w:rsidR="00467968" w:rsidRPr="002840AB">
        <w:rPr>
          <w:rFonts w:ascii="Arial" w:hAnsi="Arial" w:cs="Arial"/>
        </w:rPr>
        <w:t xml:space="preserve">szolgáltató az </w:t>
      </w:r>
      <w:r w:rsidR="005D7A20" w:rsidRPr="002840AB">
        <w:rPr>
          <w:rFonts w:ascii="Arial" w:hAnsi="Arial" w:cs="Arial"/>
        </w:rPr>
        <w:t>incidens</w:t>
      </w:r>
      <w:r w:rsidR="00467968" w:rsidRPr="002840AB">
        <w:rPr>
          <w:rFonts w:ascii="Arial" w:hAnsi="Arial" w:cs="Arial"/>
        </w:rPr>
        <w:t xml:space="preserve"> lezárását követő két héten belül köteles benyújtani az </w:t>
      </w:r>
      <w:proofErr w:type="spellStart"/>
      <w:r w:rsidR="00467968" w:rsidRPr="002840AB">
        <w:rPr>
          <w:rFonts w:ascii="Arial" w:hAnsi="Arial" w:cs="Arial"/>
        </w:rPr>
        <w:t>ERA</w:t>
      </w:r>
      <w:proofErr w:type="spellEnd"/>
      <w:r w:rsidR="00467968" w:rsidRPr="002840AB">
        <w:rPr>
          <w:rFonts w:ascii="Arial" w:hAnsi="Arial" w:cs="Arial"/>
        </w:rPr>
        <w:t xml:space="preserve"> rendszeren keresztül. A</w:t>
      </w:r>
      <w:r w:rsidR="005D7A20" w:rsidRPr="002840AB">
        <w:rPr>
          <w:rFonts w:ascii="Arial" w:hAnsi="Arial" w:cs="Arial"/>
        </w:rPr>
        <w:t>z</w:t>
      </w:r>
      <w:r w:rsidR="00467968" w:rsidRPr="002840AB">
        <w:rPr>
          <w:rFonts w:ascii="Arial" w:hAnsi="Arial" w:cs="Arial"/>
        </w:rPr>
        <w:t xml:space="preserve"> </w:t>
      </w:r>
      <w:r w:rsidR="005D7A20" w:rsidRPr="002840AB">
        <w:rPr>
          <w:rFonts w:ascii="Arial" w:hAnsi="Arial" w:cs="Arial"/>
        </w:rPr>
        <w:t>adat</w:t>
      </w:r>
      <w:r w:rsidR="00467968" w:rsidRPr="002840AB">
        <w:rPr>
          <w:rFonts w:ascii="Arial" w:hAnsi="Arial" w:cs="Arial"/>
        </w:rPr>
        <w:t>szolgáltató a záró jelentésben köteles mindenre kiterjedő információkat adni (például a hatásra vonatkozóan nem becsléseket, hanem tényleges számadatokat).</w:t>
      </w:r>
    </w:p>
    <w:p w14:paraId="5F0F0F54" w14:textId="77777777" w:rsidR="00467968" w:rsidRPr="002840AB" w:rsidRDefault="00467968" w:rsidP="00144C29">
      <w:pPr>
        <w:spacing w:after="0"/>
        <w:ind w:left="360"/>
        <w:rPr>
          <w:rFonts w:ascii="Arial" w:hAnsi="Arial" w:cs="Arial"/>
        </w:rPr>
      </w:pPr>
    </w:p>
    <w:p w14:paraId="5FCBF5B6" w14:textId="6AB6C6A6" w:rsidR="00467968" w:rsidRPr="00F00E39" w:rsidRDefault="00A12170" w:rsidP="00144C29">
      <w:pPr>
        <w:pStyle w:val="Listaszerbekezds"/>
        <w:numPr>
          <w:ilvl w:val="0"/>
          <w:numId w:val="0"/>
        </w:numPr>
        <w:spacing w:after="0"/>
        <w:rPr>
          <w:rFonts w:ascii="Arial" w:hAnsi="Arial" w:cs="Arial"/>
        </w:rPr>
      </w:pPr>
      <w:r w:rsidRPr="002840AB">
        <w:rPr>
          <w:rFonts w:ascii="Arial" w:hAnsi="Arial" w:cs="Arial"/>
        </w:rPr>
        <w:t>5</w:t>
      </w:r>
      <w:r w:rsidR="00467968" w:rsidRPr="00F00E39">
        <w:rPr>
          <w:rFonts w:ascii="Arial" w:hAnsi="Arial" w:cs="Arial"/>
        </w:rPr>
        <w:t>. A jelentéshez csatolandó további adatok, dokumentumok</w:t>
      </w:r>
    </w:p>
    <w:p w14:paraId="7FFF4228" w14:textId="08CCBA2E" w:rsidR="00A93E58" w:rsidRPr="002840AB" w:rsidRDefault="00467968" w:rsidP="00F00E39">
      <w:pPr>
        <w:pStyle w:val="Listaszerbekezds"/>
        <w:numPr>
          <w:ilvl w:val="0"/>
          <w:numId w:val="0"/>
        </w:numPr>
        <w:spacing w:after="0"/>
        <w:rPr>
          <w:rFonts w:ascii="Arial" w:hAnsi="Arial" w:cs="Arial"/>
          <w:b/>
        </w:rPr>
      </w:pPr>
      <w:r w:rsidRPr="002840AB">
        <w:rPr>
          <w:rFonts w:ascii="Arial" w:hAnsi="Arial" w:cs="Arial"/>
        </w:rPr>
        <w:t>A</w:t>
      </w:r>
      <w:r w:rsidR="00166FC5" w:rsidRPr="002840AB">
        <w:rPr>
          <w:rFonts w:ascii="Arial" w:hAnsi="Arial" w:cs="Arial"/>
        </w:rPr>
        <w:t>z</w:t>
      </w:r>
      <w:r w:rsidRPr="002840AB">
        <w:rPr>
          <w:rFonts w:ascii="Arial" w:hAnsi="Arial" w:cs="Arial"/>
        </w:rPr>
        <w:t xml:space="preserve"> </w:t>
      </w:r>
      <w:r w:rsidR="00166FC5" w:rsidRPr="002840AB">
        <w:rPr>
          <w:rFonts w:ascii="Arial" w:hAnsi="Arial" w:cs="Arial"/>
        </w:rPr>
        <w:t>adat</w:t>
      </w:r>
      <w:r w:rsidRPr="002840AB">
        <w:rPr>
          <w:rFonts w:ascii="Arial" w:hAnsi="Arial" w:cs="Arial"/>
        </w:rPr>
        <w:t>szolgáltató az adott jelentéshez köteles mellékelni a</w:t>
      </w:r>
      <w:r w:rsidR="00166FC5" w:rsidRPr="002840AB">
        <w:rPr>
          <w:rFonts w:ascii="Arial" w:hAnsi="Arial" w:cs="Arial"/>
        </w:rPr>
        <w:t>z</w:t>
      </w:r>
      <w:r w:rsidRPr="002840AB">
        <w:rPr>
          <w:rFonts w:ascii="Arial" w:hAnsi="Arial" w:cs="Arial"/>
        </w:rPr>
        <w:t xml:space="preserve"> </w:t>
      </w:r>
      <w:r w:rsidR="00166FC5" w:rsidRPr="002840AB">
        <w:rPr>
          <w:rFonts w:ascii="Arial" w:hAnsi="Arial" w:cs="Arial"/>
        </w:rPr>
        <w:t>incidens</w:t>
      </w:r>
      <w:r w:rsidRPr="002840AB">
        <w:rPr>
          <w:rFonts w:ascii="Arial" w:hAnsi="Arial" w:cs="Arial"/>
        </w:rPr>
        <w:t>re, illetve annak megszüntetésére vonatkozó minden további, az adott jelentésben meghatározottakon kívüli, rendelkezésre álló és megítélése szerint az MNB számára fontosnak tartott információt, dokumentumot.</w:t>
      </w:r>
      <w:r w:rsidR="0061214D" w:rsidRPr="00F00E39">
        <w:rPr>
          <w:rFonts w:ascii="Arial" w:hAnsi="Arial" w:cs="Arial"/>
        </w:rPr>
        <w:t>”</w:t>
      </w:r>
    </w:p>
    <w:bookmarkEnd w:id="32"/>
    <w:p w14:paraId="73ABB8D5" w14:textId="77777777" w:rsidR="00A93E58" w:rsidRPr="002840AB" w:rsidRDefault="00A93E58" w:rsidP="00A93E58">
      <w:pPr>
        <w:spacing w:after="240" w:line="240" w:lineRule="auto"/>
        <w:rPr>
          <w:rFonts w:ascii="Arial" w:hAnsi="Arial" w:cs="Arial"/>
          <w:b/>
        </w:rPr>
      </w:pPr>
    </w:p>
    <w:sectPr w:rsidR="00A93E58" w:rsidRPr="002840AB" w:rsidSect="003A0A5E">
      <w:pgSz w:w="11906" w:h="16838" w:code="9"/>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D5F6" w14:textId="77777777" w:rsidR="00B81318" w:rsidRDefault="00B81318">
      <w:r>
        <w:separator/>
      </w:r>
    </w:p>
  </w:endnote>
  <w:endnote w:type="continuationSeparator" w:id="0">
    <w:p w14:paraId="791074A9" w14:textId="77777777" w:rsidR="00B81318" w:rsidRDefault="00B8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0897"/>
      <w:docPartObj>
        <w:docPartGallery w:val="Page Numbers (Bottom of Page)"/>
        <w:docPartUnique/>
      </w:docPartObj>
    </w:sdtPr>
    <w:sdtEndPr/>
    <w:sdtContent>
      <w:p w14:paraId="774A7291" w14:textId="77777777" w:rsidR="00B81318" w:rsidRPr="006E7D5F" w:rsidRDefault="00B81318" w:rsidP="006E7D5F">
        <w:pPr>
          <w:pStyle w:val="llb"/>
          <w:jc w:val="center"/>
        </w:pPr>
        <w:r>
          <w:fldChar w:fldCharType="begin"/>
        </w:r>
        <w:r>
          <w:instrText>PAGE   \* MERGEFORMAT</w:instrText>
        </w:r>
        <w:r>
          <w:fldChar w:fldCharType="separate"/>
        </w:r>
        <w:r>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4448" w14:textId="65CE5346" w:rsidR="00B81318" w:rsidRDefault="00B81318" w:rsidP="003A0A5E">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DEB8" w14:textId="77777777" w:rsidR="00B81318" w:rsidRDefault="00B81318">
      <w:r>
        <w:separator/>
      </w:r>
    </w:p>
  </w:footnote>
  <w:footnote w:type="continuationSeparator" w:id="0">
    <w:p w14:paraId="737A9224" w14:textId="77777777" w:rsidR="00B81318" w:rsidRDefault="00B8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8929" w14:textId="77777777" w:rsidR="00B81318" w:rsidRPr="00AC6950" w:rsidRDefault="00B81318"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628"/>
    <w:multiLevelType w:val="hybridMultilevel"/>
    <w:tmpl w:val="C02279EC"/>
    <w:lvl w:ilvl="0" w:tplc="0809000F">
      <w:start w:val="1"/>
      <w:numFmt w:val="decimal"/>
      <w:lvlText w:val="%1."/>
      <w:lvlJc w:val="left"/>
      <w:pPr>
        <w:ind w:left="720" w:hanging="360"/>
      </w:pPr>
    </w:lvl>
    <w:lvl w:ilvl="1" w:tplc="040E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74B25"/>
    <w:multiLevelType w:val="multilevel"/>
    <w:tmpl w:val="219CD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F2ABF"/>
    <w:multiLevelType w:val="hybridMultilevel"/>
    <w:tmpl w:val="74C41E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215F8C"/>
    <w:multiLevelType w:val="singleLevel"/>
    <w:tmpl w:val="040E0017"/>
    <w:lvl w:ilvl="0">
      <w:start w:val="1"/>
      <w:numFmt w:val="lowerLetter"/>
      <w:lvlText w:val="%1)"/>
      <w:lvlJc w:val="left"/>
      <w:pPr>
        <w:ind w:left="431" w:hanging="431"/>
      </w:pPr>
      <w:rPr>
        <w:rFonts w:hint="default"/>
      </w:rPr>
    </w:lvl>
  </w:abstractNum>
  <w:abstractNum w:abstractNumId="4" w15:restartNumberingAfterBreak="0">
    <w:nsid w:val="08BC3B4D"/>
    <w:multiLevelType w:val="hybridMultilevel"/>
    <w:tmpl w:val="4BEAE6CA"/>
    <w:lvl w:ilvl="0" w:tplc="1BCA9B0E">
      <w:numFmt w:val="bullet"/>
      <w:lvlText w:val="-"/>
      <w:lvlJc w:val="left"/>
      <w:pPr>
        <w:ind w:left="1854" w:hanging="360"/>
      </w:pPr>
      <w:rPr>
        <w:rFonts w:ascii="Calibri" w:eastAsia="Calibri" w:hAnsi="Calibri"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5" w15:restartNumberingAfterBreak="0">
    <w:nsid w:val="08E91460"/>
    <w:multiLevelType w:val="hybridMultilevel"/>
    <w:tmpl w:val="B1B8948C"/>
    <w:lvl w:ilvl="0" w:tplc="040E0017">
      <w:start w:val="1"/>
      <w:numFmt w:val="lowerLetter"/>
      <w:lvlText w:val="%1)"/>
      <w:lvlJc w:val="left"/>
      <w:pPr>
        <w:ind w:left="1201" w:hanging="360"/>
      </w:pPr>
      <w:rPr>
        <w:rFonts w:hint="default"/>
      </w:rPr>
    </w:lvl>
    <w:lvl w:ilvl="1" w:tplc="040A0019" w:tentative="1">
      <w:start w:val="1"/>
      <w:numFmt w:val="lowerLetter"/>
      <w:lvlText w:val="%2."/>
      <w:lvlJc w:val="left"/>
      <w:pPr>
        <w:ind w:left="994" w:hanging="360"/>
      </w:pPr>
    </w:lvl>
    <w:lvl w:ilvl="2" w:tplc="040A001B" w:tentative="1">
      <w:start w:val="1"/>
      <w:numFmt w:val="lowerRoman"/>
      <w:lvlText w:val="%3."/>
      <w:lvlJc w:val="right"/>
      <w:pPr>
        <w:ind w:left="1714" w:hanging="180"/>
      </w:pPr>
    </w:lvl>
    <w:lvl w:ilvl="3" w:tplc="040A000F" w:tentative="1">
      <w:start w:val="1"/>
      <w:numFmt w:val="decimal"/>
      <w:lvlText w:val="%4."/>
      <w:lvlJc w:val="left"/>
      <w:pPr>
        <w:ind w:left="2434" w:hanging="360"/>
      </w:pPr>
    </w:lvl>
    <w:lvl w:ilvl="4" w:tplc="040A0019" w:tentative="1">
      <w:start w:val="1"/>
      <w:numFmt w:val="lowerLetter"/>
      <w:lvlText w:val="%5."/>
      <w:lvlJc w:val="left"/>
      <w:pPr>
        <w:ind w:left="3154" w:hanging="360"/>
      </w:pPr>
    </w:lvl>
    <w:lvl w:ilvl="5" w:tplc="040A001B" w:tentative="1">
      <w:start w:val="1"/>
      <w:numFmt w:val="lowerRoman"/>
      <w:lvlText w:val="%6."/>
      <w:lvlJc w:val="right"/>
      <w:pPr>
        <w:ind w:left="3874" w:hanging="180"/>
      </w:pPr>
    </w:lvl>
    <w:lvl w:ilvl="6" w:tplc="040A000F" w:tentative="1">
      <w:start w:val="1"/>
      <w:numFmt w:val="decimal"/>
      <w:lvlText w:val="%7."/>
      <w:lvlJc w:val="left"/>
      <w:pPr>
        <w:ind w:left="4594" w:hanging="360"/>
      </w:pPr>
    </w:lvl>
    <w:lvl w:ilvl="7" w:tplc="040A0019" w:tentative="1">
      <w:start w:val="1"/>
      <w:numFmt w:val="lowerLetter"/>
      <w:lvlText w:val="%8."/>
      <w:lvlJc w:val="left"/>
      <w:pPr>
        <w:ind w:left="5314" w:hanging="360"/>
      </w:pPr>
    </w:lvl>
    <w:lvl w:ilvl="8" w:tplc="040A001B" w:tentative="1">
      <w:start w:val="1"/>
      <w:numFmt w:val="lowerRoman"/>
      <w:lvlText w:val="%9."/>
      <w:lvlJc w:val="right"/>
      <w:pPr>
        <w:ind w:left="6034" w:hanging="180"/>
      </w:pPr>
    </w:lvl>
  </w:abstractNum>
  <w:abstractNum w:abstractNumId="6" w15:restartNumberingAfterBreak="0">
    <w:nsid w:val="09914064"/>
    <w:multiLevelType w:val="hybridMultilevel"/>
    <w:tmpl w:val="D94E01A4"/>
    <w:lvl w:ilvl="0" w:tplc="6A883C68">
      <w:start w:val="1"/>
      <w:numFmt w:val="bullet"/>
      <w:lvlText w:val="-"/>
      <w:lvlJc w:val="left"/>
      <w:pPr>
        <w:ind w:left="709" w:hanging="360"/>
      </w:pPr>
      <w:rPr>
        <w:rFonts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7" w15:restartNumberingAfterBreak="0">
    <w:nsid w:val="0A2F6CA5"/>
    <w:multiLevelType w:val="hybridMultilevel"/>
    <w:tmpl w:val="CF021E40"/>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15:restartNumberingAfterBreak="0">
    <w:nsid w:val="0A700DA3"/>
    <w:multiLevelType w:val="hybridMultilevel"/>
    <w:tmpl w:val="A1F0DF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9B14C3"/>
    <w:multiLevelType w:val="hybridMultilevel"/>
    <w:tmpl w:val="BB4E2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C9E4050"/>
    <w:multiLevelType w:val="hybridMultilevel"/>
    <w:tmpl w:val="0980B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999"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757F8C"/>
    <w:multiLevelType w:val="hybridMultilevel"/>
    <w:tmpl w:val="8026A742"/>
    <w:lvl w:ilvl="0" w:tplc="299A61AC">
      <w:numFmt w:val="bullet"/>
      <w:lvlText w:val="-"/>
      <w:lvlJc w:val="left"/>
      <w:pPr>
        <w:ind w:left="722" w:hanging="360"/>
      </w:pPr>
      <w:rPr>
        <w:rFonts w:ascii="Arial" w:eastAsia="Calibri" w:hAnsi="Arial" w:cs="Arial"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15" w15:restartNumberingAfterBreak="0">
    <w:nsid w:val="116C2184"/>
    <w:multiLevelType w:val="hybridMultilevel"/>
    <w:tmpl w:val="3A5E6FD4"/>
    <w:lvl w:ilvl="0" w:tplc="040E0017">
      <w:start w:val="1"/>
      <w:numFmt w:val="lowerLetter"/>
      <w:lvlText w:val="%1)"/>
      <w:lvlJc w:val="left"/>
      <w:pPr>
        <w:ind w:left="502" w:hanging="360"/>
      </w:pPr>
    </w:lvl>
    <w:lvl w:ilvl="1" w:tplc="040E0019">
      <w:start w:val="1"/>
      <w:numFmt w:val="decimal"/>
      <w:lvlText w:val="%2."/>
      <w:lvlJc w:val="left"/>
      <w:pPr>
        <w:tabs>
          <w:tab w:val="num" w:pos="502"/>
        </w:tabs>
        <w:ind w:left="50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12935023"/>
    <w:multiLevelType w:val="hybridMultilevel"/>
    <w:tmpl w:val="3B3E2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2CF4C4A"/>
    <w:multiLevelType w:val="hybridMultilevel"/>
    <w:tmpl w:val="96362D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12EE58F6"/>
    <w:multiLevelType w:val="hybridMultilevel"/>
    <w:tmpl w:val="4B267694"/>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57F94"/>
    <w:multiLevelType w:val="hybridMultilevel"/>
    <w:tmpl w:val="BDFADA60"/>
    <w:lvl w:ilvl="0" w:tplc="7E68E5F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3710F59"/>
    <w:multiLevelType w:val="hybridMultilevel"/>
    <w:tmpl w:val="4F50047C"/>
    <w:lvl w:ilvl="0" w:tplc="E4CAA688">
      <w:start w:val="1"/>
      <w:numFmt w:val="decimal"/>
      <w:lvlText w:val="%1."/>
      <w:lvlJc w:val="left"/>
      <w:pPr>
        <w:ind w:left="502" w:hanging="360"/>
      </w:pPr>
      <w:rPr>
        <w:rFonts w:ascii="Times New Roman" w:eastAsia="Times New Roman" w:hAnsi="Times New Roman" w:cs="Times New Roman"/>
        <w:lang w:val="en-US"/>
      </w:rPr>
    </w:lvl>
    <w:lvl w:ilvl="1" w:tplc="040E0017">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22" w15:restartNumberingAfterBreak="0">
    <w:nsid w:val="142D4455"/>
    <w:multiLevelType w:val="hybridMultilevel"/>
    <w:tmpl w:val="09CC3FF6"/>
    <w:lvl w:ilvl="0" w:tplc="B320882C">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144842AC"/>
    <w:multiLevelType w:val="hybridMultilevel"/>
    <w:tmpl w:val="25AA62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C936CD20">
      <w:numFmt w:val="bullet"/>
      <w:lvlText w:val="-"/>
      <w:lvlJc w:val="left"/>
      <w:pPr>
        <w:ind w:left="2160" w:hanging="180"/>
      </w:pPr>
      <w:rPr>
        <w:rFonts w:ascii="Garamond" w:eastAsia="Times New Roman" w:hAnsi="Garamon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E30A20"/>
    <w:multiLevelType w:val="hybridMultilevel"/>
    <w:tmpl w:val="521C5BF4"/>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6282AF9"/>
    <w:multiLevelType w:val="hybridMultilevel"/>
    <w:tmpl w:val="615205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8D66FAB"/>
    <w:multiLevelType w:val="hybridMultilevel"/>
    <w:tmpl w:val="63AA0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9E50BD0"/>
    <w:multiLevelType w:val="hybridMultilevel"/>
    <w:tmpl w:val="4170EA5C"/>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EA63E5"/>
    <w:multiLevelType w:val="hybridMultilevel"/>
    <w:tmpl w:val="B2F883E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1C744843"/>
    <w:multiLevelType w:val="hybridMultilevel"/>
    <w:tmpl w:val="CCEE6B9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1D6E32CA"/>
    <w:multiLevelType w:val="hybridMultilevel"/>
    <w:tmpl w:val="51B26D4C"/>
    <w:lvl w:ilvl="0" w:tplc="370C19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E1E1A9B"/>
    <w:multiLevelType w:val="hybridMultilevel"/>
    <w:tmpl w:val="C64A8B34"/>
    <w:lvl w:ilvl="0" w:tplc="040E0017">
      <w:start w:val="1"/>
      <w:numFmt w:val="lowerLetter"/>
      <w:lvlText w:val="%1)"/>
      <w:lvlJc w:val="left"/>
      <w:pPr>
        <w:ind w:left="1930" w:hanging="360"/>
      </w:pPr>
    </w:lvl>
    <w:lvl w:ilvl="1" w:tplc="040E0019" w:tentative="1">
      <w:start w:val="1"/>
      <w:numFmt w:val="lowerLetter"/>
      <w:lvlText w:val="%2."/>
      <w:lvlJc w:val="left"/>
      <w:pPr>
        <w:ind w:left="2650" w:hanging="360"/>
      </w:pPr>
    </w:lvl>
    <w:lvl w:ilvl="2" w:tplc="040E001B" w:tentative="1">
      <w:start w:val="1"/>
      <w:numFmt w:val="lowerRoman"/>
      <w:lvlText w:val="%3."/>
      <w:lvlJc w:val="right"/>
      <w:pPr>
        <w:ind w:left="3370" w:hanging="180"/>
      </w:pPr>
    </w:lvl>
    <w:lvl w:ilvl="3" w:tplc="040E000F" w:tentative="1">
      <w:start w:val="1"/>
      <w:numFmt w:val="decimal"/>
      <w:lvlText w:val="%4."/>
      <w:lvlJc w:val="left"/>
      <w:pPr>
        <w:ind w:left="4090" w:hanging="360"/>
      </w:pPr>
    </w:lvl>
    <w:lvl w:ilvl="4" w:tplc="040E0019" w:tentative="1">
      <w:start w:val="1"/>
      <w:numFmt w:val="lowerLetter"/>
      <w:lvlText w:val="%5."/>
      <w:lvlJc w:val="left"/>
      <w:pPr>
        <w:ind w:left="4810" w:hanging="360"/>
      </w:pPr>
    </w:lvl>
    <w:lvl w:ilvl="5" w:tplc="040E001B" w:tentative="1">
      <w:start w:val="1"/>
      <w:numFmt w:val="lowerRoman"/>
      <w:lvlText w:val="%6."/>
      <w:lvlJc w:val="right"/>
      <w:pPr>
        <w:ind w:left="5530" w:hanging="180"/>
      </w:pPr>
    </w:lvl>
    <w:lvl w:ilvl="6" w:tplc="040E000F" w:tentative="1">
      <w:start w:val="1"/>
      <w:numFmt w:val="decimal"/>
      <w:lvlText w:val="%7."/>
      <w:lvlJc w:val="left"/>
      <w:pPr>
        <w:ind w:left="6250" w:hanging="360"/>
      </w:pPr>
    </w:lvl>
    <w:lvl w:ilvl="7" w:tplc="040E0019" w:tentative="1">
      <w:start w:val="1"/>
      <w:numFmt w:val="lowerLetter"/>
      <w:lvlText w:val="%8."/>
      <w:lvlJc w:val="left"/>
      <w:pPr>
        <w:ind w:left="6970" w:hanging="360"/>
      </w:pPr>
    </w:lvl>
    <w:lvl w:ilvl="8" w:tplc="040E001B" w:tentative="1">
      <w:start w:val="1"/>
      <w:numFmt w:val="lowerRoman"/>
      <w:lvlText w:val="%9."/>
      <w:lvlJc w:val="right"/>
      <w:pPr>
        <w:ind w:left="7690" w:hanging="180"/>
      </w:pPr>
    </w:lvl>
  </w:abstractNum>
  <w:abstractNum w:abstractNumId="33"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4" w15:restartNumberingAfterBreak="0">
    <w:nsid w:val="1ED57B25"/>
    <w:multiLevelType w:val="hybridMultilevel"/>
    <w:tmpl w:val="24588824"/>
    <w:lvl w:ilvl="0" w:tplc="040E0001">
      <w:start w:val="1"/>
      <w:numFmt w:val="bullet"/>
      <w:lvlText w:val=""/>
      <w:lvlJc w:val="left"/>
      <w:pPr>
        <w:ind w:left="1441" w:hanging="360"/>
      </w:pPr>
      <w:rPr>
        <w:rFonts w:ascii="Symbol" w:hAnsi="Symbol" w:hint="default"/>
      </w:rPr>
    </w:lvl>
    <w:lvl w:ilvl="1" w:tplc="08090019">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5" w15:restartNumberingAfterBreak="0">
    <w:nsid w:val="1EF8595B"/>
    <w:multiLevelType w:val="hybridMultilevel"/>
    <w:tmpl w:val="7F822610"/>
    <w:lvl w:ilvl="0" w:tplc="040E0001">
      <w:start w:val="1"/>
      <w:numFmt w:val="bullet"/>
      <w:lvlText w:val=""/>
      <w:lvlJc w:val="left"/>
      <w:pPr>
        <w:ind w:left="901" w:hanging="360"/>
      </w:pPr>
      <w:rPr>
        <w:rFonts w:ascii="Symbol" w:hAnsi="Symbol" w:hint="default"/>
      </w:rPr>
    </w:lvl>
    <w:lvl w:ilvl="1" w:tplc="040E0003" w:tentative="1">
      <w:start w:val="1"/>
      <w:numFmt w:val="bullet"/>
      <w:lvlText w:val="o"/>
      <w:lvlJc w:val="left"/>
      <w:pPr>
        <w:ind w:left="1621" w:hanging="360"/>
      </w:pPr>
      <w:rPr>
        <w:rFonts w:ascii="Courier New" w:hAnsi="Courier New" w:cs="Courier New" w:hint="default"/>
      </w:rPr>
    </w:lvl>
    <w:lvl w:ilvl="2" w:tplc="040E0005" w:tentative="1">
      <w:start w:val="1"/>
      <w:numFmt w:val="bullet"/>
      <w:lvlText w:val=""/>
      <w:lvlJc w:val="left"/>
      <w:pPr>
        <w:ind w:left="2341" w:hanging="360"/>
      </w:pPr>
      <w:rPr>
        <w:rFonts w:ascii="Wingdings" w:hAnsi="Wingdings" w:hint="default"/>
      </w:rPr>
    </w:lvl>
    <w:lvl w:ilvl="3" w:tplc="040E0001" w:tentative="1">
      <w:start w:val="1"/>
      <w:numFmt w:val="bullet"/>
      <w:lvlText w:val=""/>
      <w:lvlJc w:val="left"/>
      <w:pPr>
        <w:ind w:left="3061" w:hanging="360"/>
      </w:pPr>
      <w:rPr>
        <w:rFonts w:ascii="Symbol" w:hAnsi="Symbol" w:hint="default"/>
      </w:rPr>
    </w:lvl>
    <w:lvl w:ilvl="4" w:tplc="040E0003" w:tentative="1">
      <w:start w:val="1"/>
      <w:numFmt w:val="bullet"/>
      <w:lvlText w:val="o"/>
      <w:lvlJc w:val="left"/>
      <w:pPr>
        <w:ind w:left="3781" w:hanging="360"/>
      </w:pPr>
      <w:rPr>
        <w:rFonts w:ascii="Courier New" w:hAnsi="Courier New" w:cs="Courier New" w:hint="default"/>
      </w:rPr>
    </w:lvl>
    <w:lvl w:ilvl="5" w:tplc="040E0005" w:tentative="1">
      <w:start w:val="1"/>
      <w:numFmt w:val="bullet"/>
      <w:lvlText w:val=""/>
      <w:lvlJc w:val="left"/>
      <w:pPr>
        <w:ind w:left="4501" w:hanging="360"/>
      </w:pPr>
      <w:rPr>
        <w:rFonts w:ascii="Wingdings" w:hAnsi="Wingdings" w:hint="default"/>
      </w:rPr>
    </w:lvl>
    <w:lvl w:ilvl="6" w:tplc="040E0001" w:tentative="1">
      <w:start w:val="1"/>
      <w:numFmt w:val="bullet"/>
      <w:lvlText w:val=""/>
      <w:lvlJc w:val="left"/>
      <w:pPr>
        <w:ind w:left="5221" w:hanging="360"/>
      </w:pPr>
      <w:rPr>
        <w:rFonts w:ascii="Symbol" w:hAnsi="Symbol" w:hint="default"/>
      </w:rPr>
    </w:lvl>
    <w:lvl w:ilvl="7" w:tplc="040E0003" w:tentative="1">
      <w:start w:val="1"/>
      <w:numFmt w:val="bullet"/>
      <w:lvlText w:val="o"/>
      <w:lvlJc w:val="left"/>
      <w:pPr>
        <w:ind w:left="5941" w:hanging="360"/>
      </w:pPr>
      <w:rPr>
        <w:rFonts w:ascii="Courier New" w:hAnsi="Courier New" w:cs="Courier New" w:hint="default"/>
      </w:rPr>
    </w:lvl>
    <w:lvl w:ilvl="8" w:tplc="040E0005" w:tentative="1">
      <w:start w:val="1"/>
      <w:numFmt w:val="bullet"/>
      <w:lvlText w:val=""/>
      <w:lvlJc w:val="left"/>
      <w:pPr>
        <w:ind w:left="6661" w:hanging="360"/>
      </w:pPr>
      <w:rPr>
        <w:rFonts w:ascii="Wingdings" w:hAnsi="Wingdings" w:hint="default"/>
      </w:rPr>
    </w:lvl>
  </w:abstractNum>
  <w:abstractNum w:abstractNumId="36" w15:restartNumberingAfterBreak="0">
    <w:nsid w:val="1F176276"/>
    <w:multiLevelType w:val="hybridMultilevel"/>
    <w:tmpl w:val="4478164C"/>
    <w:lvl w:ilvl="0" w:tplc="CA9C52FC">
      <w:start w:val="1"/>
      <w:numFmt w:val="decimal"/>
      <w:lvlText w:val="%1)"/>
      <w:lvlJc w:val="left"/>
      <w:pPr>
        <w:ind w:left="720" w:hanging="360"/>
      </w:pPr>
      <w:rPr>
        <w:rFonts w:ascii="Arial" w:eastAsia="Times New Roman" w:hAnsi="Arial" w:cs="Arial"/>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F5A7C8E"/>
    <w:multiLevelType w:val="hybridMultilevel"/>
    <w:tmpl w:val="4B464AAA"/>
    <w:lvl w:ilvl="0" w:tplc="2E0E310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38" w15:restartNumberingAfterBreak="0">
    <w:nsid w:val="1F830FD4"/>
    <w:multiLevelType w:val="hybridMultilevel"/>
    <w:tmpl w:val="D758E91A"/>
    <w:lvl w:ilvl="0" w:tplc="040E0001">
      <w:start w:val="1"/>
      <w:numFmt w:val="bullet"/>
      <w:pStyle w:val="Bekezds-kitl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0A640C6"/>
    <w:multiLevelType w:val="multilevel"/>
    <w:tmpl w:val="6D6A13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40" w15:restartNumberingAfterBreak="0">
    <w:nsid w:val="218A75CC"/>
    <w:multiLevelType w:val="hybridMultilevel"/>
    <w:tmpl w:val="E2568522"/>
    <w:lvl w:ilvl="0" w:tplc="E81E66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1" w15:restartNumberingAfterBreak="0">
    <w:nsid w:val="222C396C"/>
    <w:multiLevelType w:val="hybridMultilevel"/>
    <w:tmpl w:val="4A726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3871A6C"/>
    <w:multiLevelType w:val="hybridMultilevel"/>
    <w:tmpl w:val="991AE07E"/>
    <w:lvl w:ilvl="0" w:tplc="0809000F">
      <w:start w:val="1"/>
      <w:numFmt w:val="decimal"/>
      <w:lvlText w:val="%1."/>
      <w:lvlJc w:val="left"/>
      <w:pPr>
        <w:ind w:left="433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41746E9"/>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3C445F"/>
    <w:multiLevelType w:val="hybridMultilevel"/>
    <w:tmpl w:val="6F4A048A"/>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46D29B7"/>
    <w:multiLevelType w:val="hybridMultilevel"/>
    <w:tmpl w:val="14648E1A"/>
    <w:lvl w:ilvl="0" w:tplc="040E000F">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6" w15:restartNumberingAfterBreak="0">
    <w:nsid w:val="27E82CE3"/>
    <w:multiLevelType w:val="hybridMultilevel"/>
    <w:tmpl w:val="96269C60"/>
    <w:lvl w:ilvl="0" w:tplc="9C60757E">
      <w:start w:val="1"/>
      <w:numFmt w:val="decimal"/>
      <w:lvlText w:val="%1."/>
      <w:lvlJc w:val="left"/>
      <w:pPr>
        <w:ind w:left="360" w:hanging="360"/>
      </w:pPr>
      <w:rPr>
        <w:i w:val="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28D115EC"/>
    <w:multiLevelType w:val="hybridMultilevel"/>
    <w:tmpl w:val="624EBB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8D77D9C"/>
    <w:multiLevelType w:val="hybridMultilevel"/>
    <w:tmpl w:val="2E3E5882"/>
    <w:lvl w:ilvl="0" w:tplc="41EC7998">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9" w15:restartNumberingAfterBreak="0">
    <w:nsid w:val="29722397"/>
    <w:multiLevelType w:val="hybridMultilevel"/>
    <w:tmpl w:val="074AED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51" w15:restartNumberingAfterBreak="0">
    <w:nsid w:val="2A8B4517"/>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C417A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15:restartNumberingAfterBreak="0">
    <w:nsid w:val="2EA53931"/>
    <w:multiLevelType w:val="hybridMultilevel"/>
    <w:tmpl w:val="A6E29F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F016C18"/>
    <w:multiLevelType w:val="hybridMultilevel"/>
    <w:tmpl w:val="3DD0E19C"/>
    <w:lvl w:ilvl="0" w:tplc="C32C0EF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6" w15:restartNumberingAfterBreak="0">
    <w:nsid w:val="2FC435D6"/>
    <w:multiLevelType w:val="hybridMultilevel"/>
    <w:tmpl w:val="1D94F772"/>
    <w:lvl w:ilvl="0" w:tplc="78C6CAA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7" w15:restartNumberingAfterBreak="0">
    <w:nsid w:val="30B716AD"/>
    <w:multiLevelType w:val="hybridMultilevel"/>
    <w:tmpl w:val="FEEC4208"/>
    <w:lvl w:ilvl="0" w:tplc="040E0017">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8" w15:restartNumberingAfterBreak="0">
    <w:nsid w:val="355C46FE"/>
    <w:multiLevelType w:val="hybridMultilevel"/>
    <w:tmpl w:val="8C10E7F4"/>
    <w:lvl w:ilvl="0" w:tplc="949C9772">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9" w15:restartNumberingAfterBreak="0">
    <w:nsid w:val="378F07E8"/>
    <w:multiLevelType w:val="hybridMultilevel"/>
    <w:tmpl w:val="B8EFF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89E477E"/>
    <w:multiLevelType w:val="hybridMultilevel"/>
    <w:tmpl w:val="D6D43A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1" w15:restartNumberingAfterBreak="0">
    <w:nsid w:val="3A300431"/>
    <w:multiLevelType w:val="hybridMultilevel"/>
    <w:tmpl w:val="FEFCCB72"/>
    <w:lvl w:ilvl="0" w:tplc="040E0017">
      <w:start w:val="1"/>
      <w:numFmt w:val="lowerLetter"/>
      <w:lvlText w:val="%1)"/>
      <w:lvlJc w:val="left"/>
      <w:pPr>
        <w:ind w:left="363" w:hanging="360"/>
      </w:pPr>
      <w:rPr>
        <w:b w:val="0"/>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62" w15:restartNumberingAfterBreak="0">
    <w:nsid w:val="3B171EA8"/>
    <w:multiLevelType w:val="hybridMultilevel"/>
    <w:tmpl w:val="4B1616A6"/>
    <w:lvl w:ilvl="0" w:tplc="F7D675E4">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DBF7BFE"/>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41022ED7"/>
    <w:multiLevelType w:val="hybridMultilevel"/>
    <w:tmpl w:val="60AE8F84"/>
    <w:lvl w:ilvl="0" w:tplc="040E0001">
      <w:start w:val="1"/>
      <w:numFmt w:val="bullet"/>
      <w:lvlText w:val=""/>
      <w:lvlJc w:val="left"/>
      <w:pPr>
        <w:ind w:left="993" w:hanging="360"/>
      </w:pPr>
      <w:rPr>
        <w:rFonts w:ascii="Symbol" w:hAnsi="Symbol" w:hint="default"/>
      </w:rPr>
    </w:lvl>
    <w:lvl w:ilvl="1" w:tplc="040E0003" w:tentative="1">
      <w:start w:val="1"/>
      <w:numFmt w:val="bullet"/>
      <w:lvlText w:val="o"/>
      <w:lvlJc w:val="left"/>
      <w:pPr>
        <w:ind w:left="1713" w:hanging="360"/>
      </w:pPr>
      <w:rPr>
        <w:rFonts w:ascii="Courier New" w:hAnsi="Courier New" w:cs="Courier New" w:hint="default"/>
      </w:rPr>
    </w:lvl>
    <w:lvl w:ilvl="2" w:tplc="040E0005" w:tentative="1">
      <w:start w:val="1"/>
      <w:numFmt w:val="bullet"/>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65"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6" w15:restartNumberingAfterBreak="0">
    <w:nsid w:val="42393589"/>
    <w:multiLevelType w:val="hybridMultilevel"/>
    <w:tmpl w:val="30D0E4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255058C"/>
    <w:multiLevelType w:val="hybridMultilevel"/>
    <w:tmpl w:val="F656EC46"/>
    <w:lvl w:ilvl="0" w:tplc="0809000F">
      <w:start w:val="1"/>
      <w:numFmt w:val="decimal"/>
      <w:lvlText w:val="%1."/>
      <w:lvlJc w:val="left"/>
      <w:pPr>
        <w:ind w:left="720" w:hanging="360"/>
      </w:p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4692350"/>
    <w:multiLevelType w:val="hybridMultilevel"/>
    <w:tmpl w:val="F2CAEC2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9" w15:restartNumberingAfterBreak="0">
    <w:nsid w:val="447A3F13"/>
    <w:multiLevelType w:val="hybridMultilevel"/>
    <w:tmpl w:val="236A12DA"/>
    <w:lvl w:ilvl="0" w:tplc="3586B3EE">
      <w:start w:val="1"/>
      <w:numFmt w:val="decimal"/>
      <w:lvlText w:val="%1."/>
      <w:lvlJc w:val="left"/>
      <w:pPr>
        <w:ind w:left="0" w:hanging="360"/>
      </w:pPr>
      <w:rPr>
        <w:rFonts w:hint="default"/>
        <w:b/>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70" w15:restartNumberingAfterBreak="0">
    <w:nsid w:val="46642170"/>
    <w:multiLevelType w:val="hybridMultilevel"/>
    <w:tmpl w:val="43E8AEB6"/>
    <w:lvl w:ilvl="0" w:tplc="70ECADFC">
      <w:start w:val="1"/>
      <w:numFmt w:val="lowerLetter"/>
      <w:lvlText w:val="%1)"/>
      <w:lvlJc w:val="left"/>
      <w:pPr>
        <w:ind w:left="502" w:hanging="360"/>
      </w:pPr>
    </w:lvl>
    <w:lvl w:ilvl="1" w:tplc="040E0019">
      <w:start w:val="1"/>
      <w:numFmt w:val="decimal"/>
      <w:lvlText w:val="%2."/>
      <w:lvlJc w:val="left"/>
      <w:pPr>
        <w:tabs>
          <w:tab w:val="num" w:pos="178"/>
        </w:tabs>
        <w:ind w:left="178" w:hanging="360"/>
      </w:pPr>
    </w:lvl>
    <w:lvl w:ilvl="2" w:tplc="040E001B">
      <w:start w:val="1"/>
      <w:numFmt w:val="decimal"/>
      <w:lvlText w:val="%3."/>
      <w:lvlJc w:val="left"/>
      <w:pPr>
        <w:tabs>
          <w:tab w:val="num" w:pos="898"/>
        </w:tabs>
        <w:ind w:left="898" w:hanging="360"/>
      </w:pPr>
    </w:lvl>
    <w:lvl w:ilvl="3" w:tplc="040E000F">
      <w:start w:val="1"/>
      <w:numFmt w:val="decimal"/>
      <w:lvlText w:val="%4."/>
      <w:lvlJc w:val="left"/>
      <w:pPr>
        <w:tabs>
          <w:tab w:val="num" w:pos="1618"/>
        </w:tabs>
        <w:ind w:left="1618" w:hanging="360"/>
      </w:pPr>
    </w:lvl>
    <w:lvl w:ilvl="4" w:tplc="040E0019">
      <w:start w:val="1"/>
      <w:numFmt w:val="decimal"/>
      <w:lvlText w:val="%5."/>
      <w:lvlJc w:val="left"/>
      <w:pPr>
        <w:tabs>
          <w:tab w:val="num" w:pos="2338"/>
        </w:tabs>
        <w:ind w:left="2338" w:hanging="360"/>
      </w:pPr>
    </w:lvl>
    <w:lvl w:ilvl="5" w:tplc="040E001B">
      <w:start w:val="1"/>
      <w:numFmt w:val="decimal"/>
      <w:lvlText w:val="%6."/>
      <w:lvlJc w:val="left"/>
      <w:pPr>
        <w:tabs>
          <w:tab w:val="num" w:pos="3058"/>
        </w:tabs>
        <w:ind w:left="3058" w:hanging="360"/>
      </w:pPr>
    </w:lvl>
    <w:lvl w:ilvl="6" w:tplc="040E000F">
      <w:start w:val="1"/>
      <w:numFmt w:val="decimal"/>
      <w:lvlText w:val="%7."/>
      <w:lvlJc w:val="left"/>
      <w:pPr>
        <w:tabs>
          <w:tab w:val="num" w:pos="3778"/>
        </w:tabs>
        <w:ind w:left="3778" w:hanging="360"/>
      </w:pPr>
    </w:lvl>
    <w:lvl w:ilvl="7" w:tplc="040E0019">
      <w:start w:val="1"/>
      <w:numFmt w:val="decimal"/>
      <w:lvlText w:val="%8."/>
      <w:lvlJc w:val="left"/>
      <w:pPr>
        <w:tabs>
          <w:tab w:val="num" w:pos="4498"/>
        </w:tabs>
        <w:ind w:left="4498" w:hanging="360"/>
      </w:pPr>
    </w:lvl>
    <w:lvl w:ilvl="8" w:tplc="040E001B">
      <w:start w:val="1"/>
      <w:numFmt w:val="decimal"/>
      <w:lvlText w:val="%9."/>
      <w:lvlJc w:val="left"/>
      <w:pPr>
        <w:tabs>
          <w:tab w:val="num" w:pos="5218"/>
        </w:tabs>
        <w:ind w:left="5218" w:hanging="360"/>
      </w:pPr>
    </w:lvl>
  </w:abstractNum>
  <w:abstractNum w:abstractNumId="7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2" w15:restartNumberingAfterBreak="0">
    <w:nsid w:val="49186561"/>
    <w:multiLevelType w:val="hybridMultilevel"/>
    <w:tmpl w:val="28025B5A"/>
    <w:lvl w:ilvl="0" w:tplc="FD541240">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499D5645"/>
    <w:multiLevelType w:val="hybridMultilevel"/>
    <w:tmpl w:val="BB10FF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A3E5E20"/>
    <w:multiLevelType w:val="hybridMultilevel"/>
    <w:tmpl w:val="31A86C1A"/>
    <w:lvl w:ilvl="0" w:tplc="EC4C9E36">
      <w:numFmt w:val="bullet"/>
      <w:lvlText w:val="-"/>
      <w:lvlJc w:val="left"/>
      <w:pPr>
        <w:ind w:left="1004" w:hanging="360"/>
      </w:pPr>
      <w:rPr>
        <w:rFonts w:ascii="Times New Roman" w:eastAsia="Times New Roman" w:hAnsi="Times New Roman" w:cs="Times New Roman" w:hint="default"/>
        <w:sz w:val="22"/>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5" w15:restartNumberingAfterBreak="0">
    <w:nsid w:val="4B942383"/>
    <w:multiLevelType w:val="hybridMultilevel"/>
    <w:tmpl w:val="9CCE30BA"/>
    <w:lvl w:ilvl="0" w:tplc="DE8075C0">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243926"/>
    <w:multiLevelType w:val="hybridMultilevel"/>
    <w:tmpl w:val="2B965CC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045D8"/>
    <w:multiLevelType w:val="hybridMultilevel"/>
    <w:tmpl w:val="845079FA"/>
    <w:lvl w:ilvl="0" w:tplc="0809000F">
      <w:start w:val="1"/>
      <w:numFmt w:val="decimal"/>
      <w:lvlText w:val="%1."/>
      <w:lvlJc w:val="left"/>
      <w:pPr>
        <w:ind w:left="720" w:hanging="360"/>
      </w:pPr>
    </w:lvl>
    <w:lvl w:ilvl="1" w:tplc="040E0017">
      <w:start w:val="1"/>
      <w:numFmt w:val="lowerLetter"/>
      <w:lvlText w:val="%2)"/>
      <w:lvlJc w:val="left"/>
      <w:pPr>
        <w:ind w:left="1440" w:hanging="360"/>
      </w:pPr>
    </w:lvl>
    <w:lvl w:ilvl="2" w:tplc="E5EE9A50">
      <w:start w:val="1"/>
      <w:numFmt w:val="upperRoman"/>
      <w:lvlText w:val="%3."/>
      <w:lvlJc w:val="left"/>
      <w:pPr>
        <w:ind w:left="2700" w:hanging="720"/>
      </w:pPr>
      <w:rPr>
        <w:rFonts w:eastAsia="Times New Roman"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777DC6"/>
    <w:multiLevelType w:val="hybridMultilevel"/>
    <w:tmpl w:val="D14CCF7E"/>
    <w:lvl w:ilvl="0" w:tplc="0809000F">
      <w:start w:val="1"/>
      <w:numFmt w:val="decimal"/>
      <w:lvlText w:val="%1."/>
      <w:lvlJc w:val="left"/>
      <w:pPr>
        <w:ind w:left="720" w:hanging="360"/>
      </w:pPr>
      <w:rPr>
        <w:rFonts w:hint="default"/>
      </w:rPr>
    </w:lvl>
    <w:lvl w:ilvl="1" w:tplc="F93C00C6">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DD31B2"/>
    <w:multiLevelType w:val="hybridMultilevel"/>
    <w:tmpl w:val="800A7D70"/>
    <w:lvl w:ilvl="0" w:tplc="19BCB61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80" w15:restartNumberingAfterBreak="0">
    <w:nsid w:val="506163F4"/>
    <w:multiLevelType w:val="hybridMultilevel"/>
    <w:tmpl w:val="8FAA13C8"/>
    <w:lvl w:ilvl="0" w:tplc="0B38E156">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08E0BBD"/>
    <w:multiLevelType w:val="multilevel"/>
    <w:tmpl w:val="2C8EA480"/>
    <w:lvl w:ilvl="0">
      <w:start w:val="1"/>
      <w:numFmt w:val="decimal"/>
      <w:pStyle w:val="Stlus1"/>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3765"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1602467"/>
    <w:multiLevelType w:val="multilevel"/>
    <w:tmpl w:val="D982CE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19E6424"/>
    <w:multiLevelType w:val="hybridMultilevel"/>
    <w:tmpl w:val="0E50825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4" w15:restartNumberingAfterBreak="0">
    <w:nsid w:val="532B6EBB"/>
    <w:multiLevelType w:val="hybridMultilevel"/>
    <w:tmpl w:val="ADE6D630"/>
    <w:lvl w:ilvl="0" w:tplc="ED7A0F8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85" w15:restartNumberingAfterBreak="0">
    <w:nsid w:val="534555B0"/>
    <w:multiLevelType w:val="hybridMultilevel"/>
    <w:tmpl w:val="1084DE5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4883D8B"/>
    <w:multiLevelType w:val="hybridMultilevel"/>
    <w:tmpl w:val="96C8F6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53E7FB8"/>
    <w:multiLevelType w:val="multilevel"/>
    <w:tmpl w:val="A274B6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88" w15:restartNumberingAfterBreak="0">
    <w:nsid w:val="57FA687C"/>
    <w:multiLevelType w:val="hybridMultilevel"/>
    <w:tmpl w:val="34ECD03A"/>
    <w:lvl w:ilvl="0" w:tplc="C936CD20">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9" w15:restartNumberingAfterBreak="0">
    <w:nsid w:val="5A70476E"/>
    <w:multiLevelType w:val="hybridMultilevel"/>
    <w:tmpl w:val="36B8ABB2"/>
    <w:lvl w:ilvl="0" w:tplc="040E0011">
      <w:start w:val="1"/>
      <w:numFmt w:val="decimal"/>
      <w:lvlText w:val="%1)"/>
      <w:lvlJc w:val="left"/>
      <w:pPr>
        <w:ind w:left="852" w:hanging="284"/>
      </w:pPr>
      <w:rPr>
        <w:rFonts w:hint="default"/>
        <w:b w:val="0"/>
        <w:i w:val="0"/>
      </w:rPr>
    </w:lvl>
    <w:lvl w:ilvl="1" w:tplc="C936CD20">
      <w:numFmt w:val="bullet"/>
      <w:lvlText w:val="-"/>
      <w:lvlJc w:val="left"/>
      <w:pPr>
        <w:tabs>
          <w:tab w:val="num" w:pos="1070"/>
        </w:tabs>
        <w:ind w:left="1070" w:hanging="360"/>
      </w:pPr>
      <w:rPr>
        <w:rFonts w:ascii="Garamond" w:eastAsia="Times New Roman" w:hAnsi="Garamond" w:cs="Times New Roman" w:hint="default"/>
      </w:r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90" w15:restartNumberingAfterBreak="0">
    <w:nsid w:val="5A9A1D65"/>
    <w:multiLevelType w:val="hybridMultilevel"/>
    <w:tmpl w:val="EA2ADBA8"/>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1" w15:restartNumberingAfterBreak="0">
    <w:nsid w:val="5CD06362"/>
    <w:multiLevelType w:val="hybridMultilevel"/>
    <w:tmpl w:val="B7D60816"/>
    <w:lvl w:ilvl="0" w:tplc="F93C00C6">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5FFD2882"/>
    <w:multiLevelType w:val="hybridMultilevel"/>
    <w:tmpl w:val="5DD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0003D8F"/>
    <w:multiLevelType w:val="hybridMultilevel"/>
    <w:tmpl w:val="9B0A444A"/>
    <w:lvl w:ilvl="0" w:tplc="040E0017">
      <w:start w:val="1"/>
      <w:numFmt w:val="lowerLetter"/>
      <w:lvlText w:val="%1)"/>
      <w:lvlJc w:val="left"/>
      <w:pPr>
        <w:ind w:left="722" w:hanging="360"/>
      </w:pPr>
      <w:rPr>
        <w:rFonts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94" w15:restartNumberingAfterBreak="0">
    <w:nsid w:val="60D35290"/>
    <w:multiLevelType w:val="singleLevel"/>
    <w:tmpl w:val="6A883C68"/>
    <w:lvl w:ilvl="0">
      <w:start w:val="1"/>
      <w:numFmt w:val="bullet"/>
      <w:lvlText w:val="-"/>
      <w:lvlJc w:val="left"/>
      <w:pPr>
        <w:tabs>
          <w:tab w:val="num" w:pos="360"/>
        </w:tabs>
        <w:ind w:left="360" w:hanging="360"/>
      </w:pPr>
      <w:rPr>
        <w:rFonts w:hint="default"/>
      </w:rPr>
    </w:lvl>
  </w:abstractNum>
  <w:abstractNum w:abstractNumId="95" w15:restartNumberingAfterBreak="0">
    <w:nsid w:val="62BF02C2"/>
    <w:multiLevelType w:val="multilevel"/>
    <w:tmpl w:val="C8064A20"/>
    <w:lvl w:ilvl="0">
      <w:start w:val="1"/>
      <w:numFmt w:val="decimal"/>
      <w:lvlText w:val="%1."/>
      <w:lvlJc w:val="left"/>
      <w:pPr>
        <w:ind w:left="360" w:hanging="360"/>
      </w:pPr>
      <w:rPr>
        <w:b w:val="0"/>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3307486"/>
    <w:multiLevelType w:val="hybridMultilevel"/>
    <w:tmpl w:val="04CC67A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7" w15:restartNumberingAfterBreak="0">
    <w:nsid w:val="64C11C0A"/>
    <w:multiLevelType w:val="hybridMultilevel"/>
    <w:tmpl w:val="E8BC2550"/>
    <w:lvl w:ilvl="0" w:tplc="6498744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98" w15:restartNumberingAfterBreak="0">
    <w:nsid w:val="6575169D"/>
    <w:multiLevelType w:val="multilevel"/>
    <w:tmpl w:val="734EF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63B36DF"/>
    <w:multiLevelType w:val="hybridMultilevel"/>
    <w:tmpl w:val="91B66690"/>
    <w:lvl w:ilvl="0" w:tplc="CE5C1BEE">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7F576C9"/>
    <w:multiLevelType w:val="hybridMultilevel"/>
    <w:tmpl w:val="D7A093E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1" w15:restartNumberingAfterBreak="0">
    <w:nsid w:val="6A0924E9"/>
    <w:multiLevelType w:val="hybridMultilevel"/>
    <w:tmpl w:val="5D0C2034"/>
    <w:lvl w:ilvl="0" w:tplc="6A883C68">
      <w:start w:val="1"/>
      <w:numFmt w:val="bullet"/>
      <w:lvlText w:val="-"/>
      <w:lvlJc w:val="left"/>
      <w:pPr>
        <w:ind w:left="862" w:hanging="360"/>
      </w:pPr>
      <w:rPr>
        <w:rFont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6A3369F6"/>
    <w:multiLevelType w:val="hybridMultilevel"/>
    <w:tmpl w:val="B442D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6AA516B6"/>
    <w:multiLevelType w:val="hybridMultilevel"/>
    <w:tmpl w:val="065EB824"/>
    <w:lvl w:ilvl="0" w:tplc="040E0017">
      <w:start w:val="1"/>
      <w:numFmt w:val="lowerLetter"/>
      <w:lvlText w:val="%1)"/>
      <w:lvlJc w:val="left"/>
      <w:pPr>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AB903EB"/>
    <w:multiLevelType w:val="hybridMultilevel"/>
    <w:tmpl w:val="FFD2ACD0"/>
    <w:lvl w:ilvl="0" w:tplc="0B38E156">
      <w:start w:val="1"/>
      <w:numFmt w:val="bullet"/>
      <w:lvlText w:val="–"/>
      <w:lvlJc w:val="left"/>
      <w:pPr>
        <w:ind w:left="725" w:hanging="360"/>
      </w:pPr>
      <w:rPr>
        <w:rFonts w:ascii="Garamond" w:hAnsi="Garamond" w:hint="default"/>
      </w:rPr>
    </w:lvl>
    <w:lvl w:ilvl="1" w:tplc="040E0003">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105" w15:restartNumberingAfterBreak="0">
    <w:nsid w:val="6BB66D3F"/>
    <w:multiLevelType w:val="hybridMultilevel"/>
    <w:tmpl w:val="8DF223D4"/>
    <w:lvl w:ilvl="0" w:tplc="C3C873EE">
      <w:start w:val="1"/>
      <w:numFmt w:val="decimal"/>
      <w:lvlText w:val="%1."/>
      <w:lvlJc w:val="left"/>
      <w:pPr>
        <w:ind w:left="786"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06" w15:restartNumberingAfterBreak="0">
    <w:nsid w:val="6CDA3D74"/>
    <w:multiLevelType w:val="hybridMultilevel"/>
    <w:tmpl w:val="AEB4AF6E"/>
    <w:lvl w:ilvl="0" w:tplc="6C3CC232">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6E9C30D0"/>
    <w:multiLevelType w:val="hybridMultilevel"/>
    <w:tmpl w:val="D49AA948"/>
    <w:lvl w:ilvl="0" w:tplc="9DC8A7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8" w15:restartNumberingAfterBreak="0">
    <w:nsid w:val="6EC83BCD"/>
    <w:multiLevelType w:val="hybridMultilevel"/>
    <w:tmpl w:val="0246898C"/>
    <w:lvl w:ilvl="0" w:tplc="040E0001">
      <w:start w:val="1"/>
      <w:numFmt w:val="bullet"/>
      <w:lvlText w:val=""/>
      <w:lvlJc w:val="left"/>
      <w:pPr>
        <w:ind w:left="777" w:hanging="360"/>
      </w:pPr>
      <w:rPr>
        <w:rFonts w:ascii="Symbol" w:hAnsi="Symbol" w:hint="default"/>
      </w:rPr>
    </w:lvl>
    <w:lvl w:ilvl="1" w:tplc="040E0003">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9" w15:restartNumberingAfterBreak="0">
    <w:nsid w:val="6ED9440A"/>
    <w:multiLevelType w:val="hybridMultilevel"/>
    <w:tmpl w:val="01A20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1" w15:restartNumberingAfterBreak="0">
    <w:nsid w:val="70EF500C"/>
    <w:multiLevelType w:val="hybridMultilevel"/>
    <w:tmpl w:val="B3181528"/>
    <w:lvl w:ilvl="0" w:tplc="50960C1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12" w15:restartNumberingAfterBreak="0">
    <w:nsid w:val="71174D38"/>
    <w:multiLevelType w:val="hybridMultilevel"/>
    <w:tmpl w:val="35405F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3" w15:restartNumberingAfterBreak="0">
    <w:nsid w:val="71702D27"/>
    <w:multiLevelType w:val="hybridMultilevel"/>
    <w:tmpl w:val="D9D691BA"/>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205003D"/>
    <w:multiLevelType w:val="hybridMultilevel"/>
    <w:tmpl w:val="8C729C20"/>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73683CB5"/>
    <w:multiLevelType w:val="hybridMultilevel"/>
    <w:tmpl w:val="60FE722A"/>
    <w:lvl w:ilvl="0" w:tplc="040E0001">
      <w:start w:val="1"/>
      <w:numFmt w:val="bullet"/>
      <w:lvlText w:val=""/>
      <w:lvlJc w:val="left"/>
      <w:pPr>
        <w:tabs>
          <w:tab w:val="num" w:pos="900"/>
        </w:tabs>
        <w:ind w:left="9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7" w15:restartNumberingAfterBreak="0">
    <w:nsid w:val="74E07C59"/>
    <w:multiLevelType w:val="multilevel"/>
    <w:tmpl w:val="E7FE8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55F1AA6"/>
    <w:multiLevelType w:val="hybridMultilevel"/>
    <w:tmpl w:val="F37212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6BE2CAB"/>
    <w:multiLevelType w:val="hybridMultilevel"/>
    <w:tmpl w:val="578E4784"/>
    <w:lvl w:ilvl="0" w:tplc="040E0017">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796E5547"/>
    <w:multiLevelType w:val="hybridMultilevel"/>
    <w:tmpl w:val="A9F6AE7E"/>
    <w:lvl w:ilvl="0" w:tplc="112AEC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21" w15:restartNumberingAfterBreak="0">
    <w:nsid w:val="799A5F14"/>
    <w:multiLevelType w:val="hybridMultilevel"/>
    <w:tmpl w:val="29AC10FA"/>
    <w:lvl w:ilvl="0" w:tplc="040E0011">
      <w:start w:val="1"/>
      <w:numFmt w:val="decimal"/>
      <w:lvlText w:val="%1)"/>
      <w:lvlJc w:val="left"/>
      <w:pPr>
        <w:ind w:left="852" w:hanging="284"/>
      </w:pPr>
      <w:rPr>
        <w:rFonts w:hint="default"/>
        <w:b w:val="0"/>
        <w:i w:val="0"/>
      </w:rPr>
    </w:lvl>
    <w:lvl w:ilvl="1" w:tplc="040E0019">
      <w:start w:val="1"/>
      <w:numFmt w:val="decimal"/>
      <w:lvlText w:val="%2."/>
      <w:lvlJc w:val="left"/>
      <w:pPr>
        <w:tabs>
          <w:tab w:val="num" w:pos="1070"/>
        </w:tabs>
        <w:ind w:left="1070" w:hanging="360"/>
      </w:p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122" w15:restartNumberingAfterBreak="0">
    <w:nsid w:val="7AC661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7AF7321E"/>
    <w:multiLevelType w:val="hybridMultilevel"/>
    <w:tmpl w:val="B3263CF2"/>
    <w:lvl w:ilvl="0" w:tplc="C7AA4AA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24" w15:restartNumberingAfterBreak="0">
    <w:nsid w:val="7B5E26EE"/>
    <w:multiLevelType w:val="hybridMultilevel"/>
    <w:tmpl w:val="C944CD14"/>
    <w:lvl w:ilvl="0" w:tplc="7DDAA5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5" w15:restartNumberingAfterBreak="0">
    <w:nsid w:val="7D993565"/>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7E04315D"/>
    <w:multiLevelType w:val="hybridMultilevel"/>
    <w:tmpl w:val="A5343D00"/>
    <w:lvl w:ilvl="0" w:tplc="002858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7" w15:restartNumberingAfterBreak="0">
    <w:nsid w:val="7E665201"/>
    <w:multiLevelType w:val="hybridMultilevel"/>
    <w:tmpl w:val="DCD68B6E"/>
    <w:lvl w:ilvl="0" w:tplc="6A86EEEE">
      <w:start w:val="1"/>
      <w:numFmt w:val="lowerLetter"/>
      <w:lvlText w:val="%1)"/>
      <w:lvlJc w:val="left"/>
      <w:pPr>
        <w:ind w:left="720" w:hanging="360"/>
      </w:pPr>
      <w:rPr>
        <w:rFonts w:hint="default"/>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20"/>
  </w:num>
  <w:num w:numId="3">
    <w:abstractNumId w:val="50"/>
  </w:num>
  <w:num w:numId="4">
    <w:abstractNumId w:val="11"/>
  </w:num>
  <w:num w:numId="5">
    <w:abstractNumId w:val="12"/>
  </w:num>
  <w:num w:numId="6">
    <w:abstractNumId w:val="26"/>
  </w:num>
  <w:num w:numId="7">
    <w:abstractNumId w:val="110"/>
  </w:num>
  <w:num w:numId="8">
    <w:abstractNumId w:val="65"/>
    <w:lvlOverride w:ilvl="0">
      <w:startOverride w:val="1"/>
    </w:lvlOverride>
  </w:num>
  <w:num w:numId="9">
    <w:abstractNumId w:val="126"/>
  </w:num>
  <w:num w:numId="10">
    <w:abstractNumId w:val="38"/>
  </w:num>
  <w:num w:numId="11">
    <w:abstractNumId w:val="65"/>
  </w:num>
  <w:num w:numId="12">
    <w:abstractNumId w:val="116"/>
  </w:num>
  <w:num w:numId="13">
    <w:abstractNumId w:val="71"/>
  </w:num>
  <w:num w:numId="14">
    <w:abstractNumId w:val="53"/>
  </w:num>
  <w:num w:numId="15">
    <w:abstractNumId w:val="29"/>
  </w:num>
  <w:num w:numId="16">
    <w:abstractNumId w:val="96"/>
  </w:num>
  <w:num w:numId="17">
    <w:abstractNumId w:val="106"/>
  </w:num>
  <w:num w:numId="18">
    <w:abstractNumId w:val="69"/>
  </w:num>
  <w:num w:numId="19">
    <w:abstractNumId w:val="25"/>
  </w:num>
  <w:num w:numId="20">
    <w:abstractNumId w:val="85"/>
  </w:num>
  <w:num w:numId="21">
    <w:abstractNumId w:val="2"/>
  </w:num>
  <w:num w:numId="22">
    <w:abstractNumId w:val="62"/>
  </w:num>
  <w:num w:numId="23">
    <w:abstractNumId w:val="3"/>
  </w:num>
  <w:num w:numId="24">
    <w:abstractNumId w:val="82"/>
  </w:num>
  <w:num w:numId="25">
    <w:abstractNumId w:val="7"/>
  </w:num>
  <w:num w:numId="26">
    <w:abstractNumId w:val="117"/>
  </w:num>
  <w:num w:numId="27">
    <w:abstractNumId w:val="100"/>
  </w:num>
  <w:num w:numId="28">
    <w:abstractNumId w:val="87"/>
  </w:num>
  <w:num w:numId="29">
    <w:abstractNumId w:val="18"/>
  </w:num>
  <w:num w:numId="30">
    <w:abstractNumId w:val="94"/>
  </w:num>
  <w:num w:numId="31">
    <w:abstractNumId w:val="28"/>
  </w:num>
  <w:num w:numId="32">
    <w:abstractNumId w:val="75"/>
  </w:num>
  <w:num w:numId="33">
    <w:abstractNumId w:val="92"/>
  </w:num>
  <w:num w:numId="34">
    <w:abstractNumId w:val="16"/>
  </w:num>
  <w:num w:numId="35">
    <w:abstractNumId w:val="74"/>
  </w:num>
  <w:num w:numId="3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04"/>
  </w:num>
  <w:num w:numId="39">
    <w:abstractNumId w:val="108"/>
  </w:num>
  <w:num w:numId="40">
    <w:abstractNumId w:val="99"/>
  </w:num>
  <w:num w:numId="41">
    <w:abstractNumId w:val="30"/>
  </w:num>
  <w:num w:numId="42">
    <w:abstractNumId w:val="17"/>
  </w:num>
  <w:num w:numId="43">
    <w:abstractNumId w:val="79"/>
  </w:num>
  <w:num w:numId="44">
    <w:abstractNumId w:val="56"/>
  </w:num>
  <w:num w:numId="45">
    <w:abstractNumId w:val="46"/>
  </w:num>
  <w:num w:numId="46">
    <w:abstractNumId w:val="35"/>
  </w:num>
  <w:num w:numId="47">
    <w:abstractNumId w:val="102"/>
  </w:num>
  <w:num w:numId="48">
    <w:abstractNumId w:val="57"/>
  </w:num>
  <w:num w:numId="49">
    <w:abstractNumId w:val="121"/>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9"/>
  </w:num>
  <w:num w:numId="53">
    <w:abstractNumId w:val="68"/>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36"/>
  </w:num>
  <w:num w:numId="57">
    <w:abstractNumId w:val="88"/>
  </w:num>
  <w:num w:numId="58">
    <w:abstractNumId w:val="89"/>
  </w:num>
  <w:num w:numId="59">
    <w:abstractNumId w:val="73"/>
  </w:num>
  <w:num w:numId="60">
    <w:abstractNumId w:val="6"/>
  </w:num>
  <w:num w:numId="61">
    <w:abstractNumId w:val="10"/>
  </w:num>
  <w:num w:numId="62">
    <w:abstractNumId w:val="81"/>
  </w:num>
  <w:num w:numId="63">
    <w:abstractNumId w:val="13"/>
  </w:num>
  <w:num w:numId="64">
    <w:abstractNumId w:val="119"/>
  </w:num>
  <w:num w:numId="65">
    <w:abstractNumId w:val="72"/>
  </w:num>
  <w:num w:numId="66">
    <w:abstractNumId w:val="54"/>
  </w:num>
  <w:num w:numId="67">
    <w:abstractNumId w:val="21"/>
  </w:num>
  <w:num w:numId="68">
    <w:abstractNumId w:val="27"/>
  </w:num>
  <w:num w:numId="69">
    <w:abstractNumId w:val="64"/>
  </w:num>
  <w:num w:numId="70">
    <w:abstractNumId w:val="83"/>
  </w:num>
  <w:num w:numId="71">
    <w:abstractNumId w:val="112"/>
  </w:num>
  <w:num w:numId="72">
    <w:abstractNumId w:val="60"/>
  </w:num>
  <w:num w:numId="73">
    <w:abstractNumId w:val="4"/>
  </w:num>
  <w:num w:numId="74">
    <w:abstractNumId w:val="80"/>
  </w:num>
  <w:num w:numId="75">
    <w:abstractNumId w:val="90"/>
  </w:num>
  <w:num w:numId="76">
    <w:abstractNumId w:val="8"/>
  </w:num>
  <w:num w:numId="77">
    <w:abstractNumId w:val="127"/>
  </w:num>
  <w:num w:numId="78">
    <w:abstractNumId w:val="101"/>
  </w:num>
  <w:num w:numId="79">
    <w:abstractNumId w:val="120"/>
  </w:num>
  <w:num w:numId="80">
    <w:abstractNumId w:val="58"/>
  </w:num>
  <w:num w:numId="81">
    <w:abstractNumId w:val="55"/>
  </w:num>
  <w:num w:numId="82">
    <w:abstractNumId w:val="97"/>
  </w:num>
  <w:num w:numId="83">
    <w:abstractNumId w:val="111"/>
  </w:num>
  <w:num w:numId="84">
    <w:abstractNumId w:val="84"/>
  </w:num>
  <w:num w:numId="85">
    <w:abstractNumId w:val="105"/>
  </w:num>
  <w:num w:numId="86">
    <w:abstractNumId w:val="40"/>
  </w:num>
  <w:num w:numId="87">
    <w:abstractNumId w:val="123"/>
  </w:num>
  <w:num w:numId="88">
    <w:abstractNumId w:val="45"/>
  </w:num>
  <w:num w:numId="89">
    <w:abstractNumId w:val="37"/>
  </w:num>
  <w:num w:numId="90">
    <w:abstractNumId w:val="48"/>
  </w:num>
  <w:num w:numId="91">
    <w:abstractNumId w:val="5"/>
  </w:num>
  <w:num w:numId="92">
    <w:abstractNumId w:val="32"/>
  </w:num>
  <w:num w:numId="93">
    <w:abstractNumId w:val="61"/>
  </w:num>
  <w:num w:numId="94">
    <w:abstractNumId w:val="103"/>
  </w:num>
  <w:num w:numId="95">
    <w:abstractNumId w:val="47"/>
  </w:num>
  <w:num w:numId="96">
    <w:abstractNumId w:val="66"/>
  </w:num>
  <w:num w:numId="97">
    <w:abstractNumId w:val="118"/>
  </w:num>
  <w:num w:numId="98">
    <w:abstractNumId w:val="49"/>
  </w:num>
  <w:num w:numId="99">
    <w:abstractNumId w:val="41"/>
  </w:num>
  <w:num w:numId="100">
    <w:abstractNumId w:val="86"/>
  </w:num>
  <w:num w:numId="101">
    <w:abstractNumId w:val="98"/>
  </w:num>
  <w:num w:numId="102">
    <w:abstractNumId w:val="24"/>
  </w:num>
  <w:num w:numId="103">
    <w:abstractNumId w:val="44"/>
  </w:num>
  <w:num w:numId="104">
    <w:abstractNumId w:val="1"/>
  </w:num>
  <w:num w:numId="105">
    <w:abstractNumId w:val="91"/>
  </w:num>
  <w:num w:numId="106">
    <w:abstractNumId w:val="76"/>
  </w:num>
  <w:num w:numId="107">
    <w:abstractNumId w:val="42"/>
  </w:num>
  <w:num w:numId="108">
    <w:abstractNumId w:val="125"/>
  </w:num>
  <w:num w:numId="109">
    <w:abstractNumId w:val="63"/>
  </w:num>
  <w:num w:numId="110">
    <w:abstractNumId w:val="107"/>
  </w:num>
  <w:num w:numId="111">
    <w:abstractNumId w:val="113"/>
  </w:num>
  <w:num w:numId="112">
    <w:abstractNumId w:val="114"/>
  </w:num>
  <w:num w:numId="113">
    <w:abstractNumId w:val="34"/>
  </w:num>
  <w:num w:numId="114">
    <w:abstractNumId w:val="23"/>
  </w:num>
  <w:num w:numId="115">
    <w:abstractNumId w:val="19"/>
  </w:num>
  <w:num w:numId="116">
    <w:abstractNumId w:val="51"/>
  </w:num>
  <w:num w:numId="117">
    <w:abstractNumId w:val="78"/>
  </w:num>
  <w:num w:numId="118">
    <w:abstractNumId w:val="14"/>
  </w:num>
  <w:num w:numId="119">
    <w:abstractNumId w:val="93"/>
  </w:num>
  <w:num w:numId="120">
    <w:abstractNumId w:val="59"/>
  </w:num>
  <w:num w:numId="121">
    <w:abstractNumId w:val="22"/>
  </w:num>
  <w:num w:numId="122">
    <w:abstractNumId w:val="43"/>
  </w:num>
  <w:num w:numId="123">
    <w:abstractNumId w:val="122"/>
  </w:num>
  <w:num w:numId="124">
    <w:abstractNumId w:val="52"/>
  </w:num>
  <w:num w:numId="125">
    <w:abstractNumId w:val="95"/>
  </w:num>
  <w:num w:numId="126">
    <w:abstractNumId w:val="77"/>
  </w:num>
  <w:num w:numId="127">
    <w:abstractNumId w:val="0"/>
  </w:num>
  <w:num w:numId="128">
    <w:abstractNumId w:val="124"/>
  </w:num>
  <w:num w:numId="129">
    <w:abstractNumId w:val="109"/>
  </w:num>
  <w:num w:numId="130">
    <w:abstractNumId w:val="6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E5"/>
    <w:rsid w:val="00000C1E"/>
    <w:rsid w:val="000015F4"/>
    <w:rsid w:val="00001F55"/>
    <w:rsid w:val="0000273C"/>
    <w:rsid w:val="000032FB"/>
    <w:rsid w:val="00003860"/>
    <w:rsid w:val="00005A83"/>
    <w:rsid w:val="0000696F"/>
    <w:rsid w:val="00007D6F"/>
    <w:rsid w:val="000118E6"/>
    <w:rsid w:val="00013716"/>
    <w:rsid w:val="0001471E"/>
    <w:rsid w:val="0001611E"/>
    <w:rsid w:val="00017B1B"/>
    <w:rsid w:val="000205E3"/>
    <w:rsid w:val="00021260"/>
    <w:rsid w:val="00024342"/>
    <w:rsid w:val="0002498B"/>
    <w:rsid w:val="00024DF0"/>
    <w:rsid w:val="000250E6"/>
    <w:rsid w:val="00025C8E"/>
    <w:rsid w:val="00026D89"/>
    <w:rsid w:val="00027695"/>
    <w:rsid w:val="00027B62"/>
    <w:rsid w:val="0003002C"/>
    <w:rsid w:val="00030633"/>
    <w:rsid w:val="00032100"/>
    <w:rsid w:val="00033357"/>
    <w:rsid w:val="00035236"/>
    <w:rsid w:val="0003545F"/>
    <w:rsid w:val="00035697"/>
    <w:rsid w:val="0003626E"/>
    <w:rsid w:val="00037204"/>
    <w:rsid w:val="00037A8F"/>
    <w:rsid w:val="00037E61"/>
    <w:rsid w:val="00041A33"/>
    <w:rsid w:val="00041B96"/>
    <w:rsid w:val="000426AF"/>
    <w:rsid w:val="00042CFE"/>
    <w:rsid w:val="00042EBB"/>
    <w:rsid w:val="0004552A"/>
    <w:rsid w:val="00047487"/>
    <w:rsid w:val="000526B1"/>
    <w:rsid w:val="00055283"/>
    <w:rsid w:val="000552C2"/>
    <w:rsid w:val="0005577F"/>
    <w:rsid w:val="00056185"/>
    <w:rsid w:val="00056589"/>
    <w:rsid w:val="00056999"/>
    <w:rsid w:val="00057B2C"/>
    <w:rsid w:val="00060148"/>
    <w:rsid w:val="00060A09"/>
    <w:rsid w:val="00060ED5"/>
    <w:rsid w:val="00061D4E"/>
    <w:rsid w:val="00063216"/>
    <w:rsid w:val="00063396"/>
    <w:rsid w:val="0006374F"/>
    <w:rsid w:val="00064546"/>
    <w:rsid w:val="000656AA"/>
    <w:rsid w:val="00067BE2"/>
    <w:rsid w:val="00067C0C"/>
    <w:rsid w:val="000735C7"/>
    <w:rsid w:val="00075190"/>
    <w:rsid w:val="00076332"/>
    <w:rsid w:val="0008131E"/>
    <w:rsid w:val="00081654"/>
    <w:rsid w:val="00081934"/>
    <w:rsid w:val="0008245B"/>
    <w:rsid w:val="00083165"/>
    <w:rsid w:val="000831EC"/>
    <w:rsid w:val="000847AF"/>
    <w:rsid w:val="00084ED7"/>
    <w:rsid w:val="000854AE"/>
    <w:rsid w:val="0008567D"/>
    <w:rsid w:val="000859F4"/>
    <w:rsid w:val="00085EAE"/>
    <w:rsid w:val="0008648D"/>
    <w:rsid w:val="00086B3A"/>
    <w:rsid w:val="000878CD"/>
    <w:rsid w:val="000878F5"/>
    <w:rsid w:val="00087E97"/>
    <w:rsid w:val="00091FBD"/>
    <w:rsid w:val="000926F9"/>
    <w:rsid w:val="000947A1"/>
    <w:rsid w:val="00094EB5"/>
    <w:rsid w:val="000A2AC4"/>
    <w:rsid w:val="000A2B25"/>
    <w:rsid w:val="000A3A63"/>
    <w:rsid w:val="000A3D8B"/>
    <w:rsid w:val="000A525D"/>
    <w:rsid w:val="000A5B10"/>
    <w:rsid w:val="000A71F3"/>
    <w:rsid w:val="000A72FE"/>
    <w:rsid w:val="000A76B8"/>
    <w:rsid w:val="000B0536"/>
    <w:rsid w:val="000B09B2"/>
    <w:rsid w:val="000B5886"/>
    <w:rsid w:val="000B6B49"/>
    <w:rsid w:val="000B6C87"/>
    <w:rsid w:val="000C0C78"/>
    <w:rsid w:val="000C28B6"/>
    <w:rsid w:val="000C2918"/>
    <w:rsid w:val="000C3E5E"/>
    <w:rsid w:val="000C5445"/>
    <w:rsid w:val="000C698D"/>
    <w:rsid w:val="000C6F1F"/>
    <w:rsid w:val="000C701E"/>
    <w:rsid w:val="000C701F"/>
    <w:rsid w:val="000D1985"/>
    <w:rsid w:val="000D1C8B"/>
    <w:rsid w:val="000D1E44"/>
    <w:rsid w:val="000D2C83"/>
    <w:rsid w:val="000D40AE"/>
    <w:rsid w:val="000D4F61"/>
    <w:rsid w:val="000D5F26"/>
    <w:rsid w:val="000E2CBD"/>
    <w:rsid w:val="000E3BD5"/>
    <w:rsid w:val="000E4AE9"/>
    <w:rsid w:val="000E4EE3"/>
    <w:rsid w:val="000E5A29"/>
    <w:rsid w:val="000E7BA4"/>
    <w:rsid w:val="000F2858"/>
    <w:rsid w:val="000F2AE0"/>
    <w:rsid w:val="000F30B8"/>
    <w:rsid w:val="000F39BF"/>
    <w:rsid w:val="000F424A"/>
    <w:rsid w:val="000F5F54"/>
    <w:rsid w:val="000F68FE"/>
    <w:rsid w:val="001004BF"/>
    <w:rsid w:val="0010144D"/>
    <w:rsid w:val="00101654"/>
    <w:rsid w:val="00101EEC"/>
    <w:rsid w:val="00102C55"/>
    <w:rsid w:val="00102F7D"/>
    <w:rsid w:val="001037A0"/>
    <w:rsid w:val="0010447E"/>
    <w:rsid w:val="0010496C"/>
    <w:rsid w:val="00105D7F"/>
    <w:rsid w:val="00110868"/>
    <w:rsid w:val="00110A06"/>
    <w:rsid w:val="00110B53"/>
    <w:rsid w:val="00110C88"/>
    <w:rsid w:val="00111B79"/>
    <w:rsid w:val="001125ED"/>
    <w:rsid w:val="00112EC8"/>
    <w:rsid w:val="00113C88"/>
    <w:rsid w:val="00114321"/>
    <w:rsid w:val="00114CD7"/>
    <w:rsid w:val="00114E4B"/>
    <w:rsid w:val="001152E4"/>
    <w:rsid w:val="001225E6"/>
    <w:rsid w:val="001226FF"/>
    <w:rsid w:val="00124275"/>
    <w:rsid w:val="001255A4"/>
    <w:rsid w:val="00125F29"/>
    <w:rsid w:val="00130602"/>
    <w:rsid w:val="001318BD"/>
    <w:rsid w:val="00131EAC"/>
    <w:rsid w:val="00132260"/>
    <w:rsid w:val="00132F1C"/>
    <w:rsid w:val="00133A51"/>
    <w:rsid w:val="00134ADA"/>
    <w:rsid w:val="001356A6"/>
    <w:rsid w:val="001357D0"/>
    <w:rsid w:val="00136260"/>
    <w:rsid w:val="001368B5"/>
    <w:rsid w:val="00136A24"/>
    <w:rsid w:val="001401EE"/>
    <w:rsid w:val="001402C5"/>
    <w:rsid w:val="0014086D"/>
    <w:rsid w:val="001421CC"/>
    <w:rsid w:val="00143691"/>
    <w:rsid w:val="001441BE"/>
    <w:rsid w:val="00144C29"/>
    <w:rsid w:val="00146312"/>
    <w:rsid w:val="00147317"/>
    <w:rsid w:val="0014776A"/>
    <w:rsid w:val="00150045"/>
    <w:rsid w:val="001509FD"/>
    <w:rsid w:val="00152DBF"/>
    <w:rsid w:val="00153134"/>
    <w:rsid w:val="001536CF"/>
    <w:rsid w:val="00153F04"/>
    <w:rsid w:val="001544EF"/>
    <w:rsid w:val="00154FC9"/>
    <w:rsid w:val="0015602C"/>
    <w:rsid w:val="00156502"/>
    <w:rsid w:val="001572AB"/>
    <w:rsid w:val="00162118"/>
    <w:rsid w:val="00166F6C"/>
    <w:rsid w:val="00166FC5"/>
    <w:rsid w:val="00170D01"/>
    <w:rsid w:val="001723AB"/>
    <w:rsid w:val="001740E5"/>
    <w:rsid w:val="001747F6"/>
    <w:rsid w:val="00176262"/>
    <w:rsid w:val="00176C77"/>
    <w:rsid w:val="001815BC"/>
    <w:rsid w:val="0018359E"/>
    <w:rsid w:val="001851CB"/>
    <w:rsid w:val="001854D6"/>
    <w:rsid w:val="0018619A"/>
    <w:rsid w:val="001870A7"/>
    <w:rsid w:val="00187BFC"/>
    <w:rsid w:val="00190A28"/>
    <w:rsid w:val="00193666"/>
    <w:rsid w:val="0019460A"/>
    <w:rsid w:val="00197350"/>
    <w:rsid w:val="00197C0A"/>
    <w:rsid w:val="00197C28"/>
    <w:rsid w:val="00197C6D"/>
    <w:rsid w:val="00197F2C"/>
    <w:rsid w:val="001A109F"/>
    <w:rsid w:val="001A2BAA"/>
    <w:rsid w:val="001A36FA"/>
    <w:rsid w:val="001A561C"/>
    <w:rsid w:val="001A6D96"/>
    <w:rsid w:val="001B0B87"/>
    <w:rsid w:val="001B1352"/>
    <w:rsid w:val="001B17C2"/>
    <w:rsid w:val="001B1886"/>
    <w:rsid w:val="001B295E"/>
    <w:rsid w:val="001B33CB"/>
    <w:rsid w:val="001B3486"/>
    <w:rsid w:val="001B5B52"/>
    <w:rsid w:val="001C0FAA"/>
    <w:rsid w:val="001C17B1"/>
    <w:rsid w:val="001C22B7"/>
    <w:rsid w:val="001C24F1"/>
    <w:rsid w:val="001C3A15"/>
    <w:rsid w:val="001C3A79"/>
    <w:rsid w:val="001C466F"/>
    <w:rsid w:val="001C4C0F"/>
    <w:rsid w:val="001C5C33"/>
    <w:rsid w:val="001C748D"/>
    <w:rsid w:val="001D169A"/>
    <w:rsid w:val="001D190D"/>
    <w:rsid w:val="001D4211"/>
    <w:rsid w:val="001D542F"/>
    <w:rsid w:val="001D556B"/>
    <w:rsid w:val="001D5999"/>
    <w:rsid w:val="001D59FD"/>
    <w:rsid w:val="001D60A8"/>
    <w:rsid w:val="001D7401"/>
    <w:rsid w:val="001E09E6"/>
    <w:rsid w:val="001E34FF"/>
    <w:rsid w:val="001E4231"/>
    <w:rsid w:val="001E621D"/>
    <w:rsid w:val="001E76EE"/>
    <w:rsid w:val="001F09DE"/>
    <w:rsid w:val="001F0E5D"/>
    <w:rsid w:val="001F1610"/>
    <w:rsid w:val="001F1773"/>
    <w:rsid w:val="001F36ED"/>
    <w:rsid w:val="001F477F"/>
    <w:rsid w:val="001F6839"/>
    <w:rsid w:val="001F7B5B"/>
    <w:rsid w:val="001F7C46"/>
    <w:rsid w:val="002002EF"/>
    <w:rsid w:val="00200AE8"/>
    <w:rsid w:val="002012AD"/>
    <w:rsid w:val="002020E4"/>
    <w:rsid w:val="00202DD1"/>
    <w:rsid w:val="0020317E"/>
    <w:rsid w:val="002043B1"/>
    <w:rsid w:val="0020572B"/>
    <w:rsid w:val="00205DA1"/>
    <w:rsid w:val="00206642"/>
    <w:rsid w:val="00207D30"/>
    <w:rsid w:val="00210B19"/>
    <w:rsid w:val="0021328C"/>
    <w:rsid w:val="00214230"/>
    <w:rsid w:val="002142BE"/>
    <w:rsid w:val="0021484C"/>
    <w:rsid w:val="0021495D"/>
    <w:rsid w:val="00214F4A"/>
    <w:rsid w:val="0022056B"/>
    <w:rsid w:val="00222594"/>
    <w:rsid w:val="00223240"/>
    <w:rsid w:val="002234C1"/>
    <w:rsid w:val="00223EE6"/>
    <w:rsid w:val="002242C2"/>
    <w:rsid w:val="0022764E"/>
    <w:rsid w:val="00232442"/>
    <w:rsid w:val="00232E91"/>
    <w:rsid w:val="002339E8"/>
    <w:rsid w:val="00233CF1"/>
    <w:rsid w:val="0023475E"/>
    <w:rsid w:val="00236D99"/>
    <w:rsid w:val="00240C97"/>
    <w:rsid w:val="00242299"/>
    <w:rsid w:val="002429CD"/>
    <w:rsid w:val="00245129"/>
    <w:rsid w:val="0024525F"/>
    <w:rsid w:val="0024793C"/>
    <w:rsid w:val="002503DD"/>
    <w:rsid w:val="002522F1"/>
    <w:rsid w:val="002539A1"/>
    <w:rsid w:val="00254B7C"/>
    <w:rsid w:val="002561BB"/>
    <w:rsid w:val="002602F5"/>
    <w:rsid w:val="002611AE"/>
    <w:rsid w:val="00261205"/>
    <w:rsid w:val="0026180A"/>
    <w:rsid w:val="00261821"/>
    <w:rsid w:val="00262DB4"/>
    <w:rsid w:val="002640A4"/>
    <w:rsid w:val="0026478B"/>
    <w:rsid w:val="00270724"/>
    <w:rsid w:val="00270AC4"/>
    <w:rsid w:val="00271371"/>
    <w:rsid w:val="00271FF3"/>
    <w:rsid w:val="0027288D"/>
    <w:rsid w:val="00272DF3"/>
    <w:rsid w:val="00273052"/>
    <w:rsid w:val="0027402D"/>
    <w:rsid w:val="002804FC"/>
    <w:rsid w:val="002824B0"/>
    <w:rsid w:val="002840AB"/>
    <w:rsid w:val="00286073"/>
    <w:rsid w:val="002866DE"/>
    <w:rsid w:val="00287D15"/>
    <w:rsid w:val="00290D47"/>
    <w:rsid w:val="00290D4A"/>
    <w:rsid w:val="00290EB0"/>
    <w:rsid w:val="00292079"/>
    <w:rsid w:val="00292177"/>
    <w:rsid w:val="002939B3"/>
    <w:rsid w:val="00294B81"/>
    <w:rsid w:val="002A00EA"/>
    <w:rsid w:val="002A17DC"/>
    <w:rsid w:val="002A190C"/>
    <w:rsid w:val="002A1D93"/>
    <w:rsid w:val="002A2306"/>
    <w:rsid w:val="002A2F19"/>
    <w:rsid w:val="002A3B0E"/>
    <w:rsid w:val="002A554D"/>
    <w:rsid w:val="002B1477"/>
    <w:rsid w:val="002B15E7"/>
    <w:rsid w:val="002B3674"/>
    <w:rsid w:val="002B4D45"/>
    <w:rsid w:val="002B6B78"/>
    <w:rsid w:val="002B6D25"/>
    <w:rsid w:val="002B78E0"/>
    <w:rsid w:val="002C728F"/>
    <w:rsid w:val="002C7AB8"/>
    <w:rsid w:val="002C7D4D"/>
    <w:rsid w:val="002C7DD0"/>
    <w:rsid w:val="002D0C60"/>
    <w:rsid w:val="002D1075"/>
    <w:rsid w:val="002D5525"/>
    <w:rsid w:val="002D5731"/>
    <w:rsid w:val="002D5E55"/>
    <w:rsid w:val="002D5F85"/>
    <w:rsid w:val="002D6333"/>
    <w:rsid w:val="002D74A0"/>
    <w:rsid w:val="002D7925"/>
    <w:rsid w:val="002E0051"/>
    <w:rsid w:val="002E3119"/>
    <w:rsid w:val="002E464D"/>
    <w:rsid w:val="002E5672"/>
    <w:rsid w:val="002E5E04"/>
    <w:rsid w:val="002E7104"/>
    <w:rsid w:val="002E77A4"/>
    <w:rsid w:val="002F0517"/>
    <w:rsid w:val="002F09EF"/>
    <w:rsid w:val="002F34ED"/>
    <w:rsid w:val="002F4109"/>
    <w:rsid w:val="002F5F9B"/>
    <w:rsid w:val="002F602F"/>
    <w:rsid w:val="002F69F6"/>
    <w:rsid w:val="002F6F46"/>
    <w:rsid w:val="003001A7"/>
    <w:rsid w:val="00300EE3"/>
    <w:rsid w:val="003014C4"/>
    <w:rsid w:val="003018F5"/>
    <w:rsid w:val="00302136"/>
    <w:rsid w:val="00303C38"/>
    <w:rsid w:val="003040DC"/>
    <w:rsid w:val="003101D8"/>
    <w:rsid w:val="003103C5"/>
    <w:rsid w:val="00313246"/>
    <w:rsid w:val="00316742"/>
    <w:rsid w:val="00316C45"/>
    <w:rsid w:val="00317030"/>
    <w:rsid w:val="003219EF"/>
    <w:rsid w:val="003231ED"/>
    <w:rsid w:val="0032392A"/>
    <w:rsid w:val="0032761D"/>
    <w:rsid w:val="00327A74"/>
    <w:rsid w:val="00327DF7"/>
    <w:rsid w:val="003317C6"/>
    <w:rsid w:val="003317D8"/>
    <w:rsid w:val="00333212"/>
    <w:rsid w:val="003356F4"/>
    <w:rsid w:val="0034002C"/>
    <w:rsid w:val="00340D1D"/>
    <w:rsid w:val="00341BB5"/>
    <w:rsid w:val="00343278"/>
    <w:rsid w:val="00343614"/>
    <w:rsid w:val="00343772"/>
    <w:rsid w:val="00344BBC"/>
    <w:rsid w:val="00344D9E"/>
    <w:rsid w:val="003450FB"/>
    <w:rsid w:val="0034578A"/>
    <w:rsid w:val="00350467"/>
    <w:rsid w:val="0035153B"/>
    <w:rsid w:val="003524A6"/>
    <w:rsid w:val="003537B9"/>
    <w:rsid w:val="0035380F"/>
    <w:rsid w:val="00353CE2"/>
    <w:rsid w:val="003548F7"/>
    <w:rsid w:val="00355612"/>
    <w:rsid w:val="00356054"/>
    <w:rsid w:val="003564E2"/>
    <w:rsid w:val="003574BC"/>
    <w:rsid w:val="00357609"/>
    <w:rsid w:val="003605FC"/>
    <w:rsid w:val="00361A82"/>
    <w:rsid w:val="00363384"/>
    <w:rsid w:val="003659A1"/>
    <w:rsid w:val="00366F78"/>
    <w:rsid w:val="003701D4"/>
    <w:rsid w:val="003704B1"/>
    <w:rsid w:val="00371235"/>
    <w:rsid w:val="0037135D"/>
    <w:rsid w:val="00371A0E"/>
    <w:rsid w:val="003728FE"/>
    <w:rsid w:val="0037305D"/>
    <w:rsid w:val="00373920"/>
    <w:rsid w:val="00373BD2"/>
    <w:rsid w:val="003745EA"/>
    <w:rsid w:val="0037494A"/>
    <w:rsid w:val="00374B99"/>
    <w:rsid w:val="003751B6"/>
    <w:rsid w:val="003762B6"/>
    <w:rsid w:val="0037649E"/>
    <w:rsid w:val="0037696F"/>
    <w:rsid w:val="0038014C"/>
    <w:rsid w:val="00380293"/>
    <w:rsid w:val="00380643"/>
    <w:rsid w:val="00381C15"/>
    <w:rsid w:val="00381DB5"/>
    <w:rsid w:val="003824BF"/>
    <w:rsid w:val="003827F0"/>
    <w:rsid w:val="00384338"/>
    <w:rsid w:val="003846D7"/>
    <w:rsid w:val="00384F15"/>
    <w:rsid w:val="00385A05"/>
    <w:rsid w:val="0038709B"/>
    <w:rsid w:val="0039013C"/>
    <w:rsid w:val="00390328"/>
    <w:rsid w:val="003905E0"/>
    <w:rsid w:val="00391091"/>
    <w:rsid w:val="003917C6"/>
    <w:rsid w:val="00391B59"/>
    <w:rsid w:val="003952BA"/>
    <w:rsid w:val="003956AC"/>
    <w:rsid w:val="00395B14"/>
    <w:rsid w:val="00395D13"/>
    <w:rsid w:val="00396C71"/>
    <w:rsid w:val="0039749C"/>
    <w:rsid w:val="00397F34"/>
    <w:rsid w:val="003A0388"/>
    <w:rsid w:val="003A0A5E"/>
    <w:rsid w:val="003A0BAC"/>
    <w:rsid w:val="003A0CB5"/>
    <w:rsid w:val="003A35FB"/>
    <w:rsid w:val="003A3B73"/>
    <w:rsid w:val="003A4727"/>
    <w:rsid w:val="003A6A96"/>
    <w:rsid w:val="003B043B"/>
    <w:rsid w:val="003B12B2"/>
    <w:rsid w:val="003B3DA4"/>
    <w:rsid w:val="003B46BE"/>
    <w:rsid w:val="003B4EE0"/>
    <w:rsid w:val="003B5446"/>
    <w:rsid w:val="003B59D4"/>
    <w:rsid w:val="003B79B2"/>
    <w:rsid w:val="003B7D27"/>
    <w:rsid w:val="003C0A9B"/>
    <w:rsid w:val="003C2FE1"/>
    <w:rsid w:val="003C43A2"/>
    <w:rsid w:val="003C5699"/>
    <w:rsid w:val="003C5EE4"/>
    <w:rsid w:val="003C7831"/>
    <w:rsid w:val="003D04DD"/>
    <w:rsid w:val="003D1142"/>
    <w:rsid w:val="003D21C5"/>
    <w:rsid w:val="003D2B63"/>
    <w:rsid w:val="003D3BD5"/>
    <w:rsid w:val="003D4832"/>
    <w:rsid w:val="003D4D75"/>
    <w:rsid w:val="003D52BC"/>
    <w:rsid w:val="003D5AEB"/>
    <w:rsid w:val="003D632F"/>
    <w:rsid w:val="003D79FA"/>
    <w:rsid w:val="003E01E2"/>
    <w:rsid w:val="003E0AA1"/>
    <w:rsid w:val="003E3409"/>
    <w:rsid w:val="003E34A4"/>
    <w:rsid w:val="003E4A1B"/>
    <w:rsid w:val="003F128A"/>
    <w:rsid w:val="003F5995"/>
    <w:rsid w:val="003F60FF"/>
    <w:rsid w:val="003F722E"/>
    <w:rsid w:val="00402555"/>
    <w:rsid w:val="00404850"/>
    <w:rsid w:val="00404D45"/>
    <w:rsid w:val="00407047"/>
    <w:rsid w:val="004112F8"/>
    <w:rsid w:val="00411B57"/>
    <w:rsid w:val="00413959"/>
    <w:rsid w:val="0041484F"/>
    <w:rsid w:val="00416421"/>
    <w:rsid w:val="004178DD"/>
    <w:rsid w:val="00417995"/>
    <w:rsid w:val="00417FEF"/>
    <w:rsid w:val="00420AED"/>
    <w:rsid w:val="00421BD5"/>
    <w:rsid w:val="00422F66"/>
    <w:rsid w:val="00423AD8"/>
    <w:rsid w:val="00423D50"/>
    <w:rsid w:val="0042412D"/>
    <w:rsid w:val="00424892"/>
    <w:rsid w:val="00424CDC"/>
    <w:rsid w:val="00426965"/>
    <w:rsid w:val="00430DA7"/>
    <w:rsid w:val="0043271E"/>
    <w:rsid w:val="0043276D"/>
    <w:rsid w:val="00432832"/>
    <w:rsid w:val="004330EA"/>
    <w:rsid w:val="00434DC6"/>
    <w:rsid w:val="00435D88"/>
    <w:rsid w:val="00436450"/>
    <w:rsid w:val="00436E79"/>
    <w:rsid w:val="00440671"/>
    <w:rsid w:val="004425E6"/>
    <w:rsid w:val="004426C6"/>
    <w:rsid w:val="00442ABF"/>
    <w:rsid w:val="00442D16"/>
    <w:rsid w:val="004451FE"/>
    <w:rsid w:val="0044570B"/>
    <w:rsid w:val="00446450"/>
    <w:rsid w:val="004465FE"/>
    <w:rsid w:val="00447526"/>
    <w:rsid w:val="00447696"/>
    <w:rsid w:val="00447806"/>
    <w:rsid w:val="004504B2"/>
    <w:rsid w:val="00451BC8"/>
    <w:rsid w:val="00451F95"/>
    <w:rsid w:val="00452C28"/>
    <w:rsid w:val="00453087"/>
    <w:rsid w:val="00454AFF"/>
    <w:rsid w:val="00455A38"/>
    <w:rsid w:val="00455B0C"/>
    <w:rsid w:val="00455FE6"/>
    <w:rsid w:val="00456726"/>
    <w:rsid w:val="004568D8"/>
    <w:rsid w:val="00456D50"/>
    <w:rsid w:val="0045760D"/>
    <w:rsid w:val="00463B08"/>
    <w:rsid w:val="00463CF7"/>
    <w:rsid w:val="0046552B"/>
    <w:rsid w:val="00465939"/>
    <w:rsid w:val="00465D2C"/>
    <w:rsid w:val="004674FE"/>
    <w:rsid w:val="004677D1"/>
    <w:rsid w:val="00467968"/>
    <w:rsid w:val="0047000B"/>
    <w:rsid w:val="0047029F"/>
    <w:rsid w:val="0047051F"/>
    <w:rsid w:val="00471D29"/>
    <w:rsid w:val="0047222E"/>
    <w:rsid w:val="00472869"/>
    <w:rsid w:val="004729CE"/>
    <w:rsid w:val="00472C2B"/>
    <w:rsid w:val="00472CEE"/>
    <w:rsid w:val="00474131"/>
    <w:rsid w:val="00474927"/>
    <w:rsid w:val="004763B7"/>
    <w:rsid w:val="00480150"/>
    <w:rsid w:val="004805E6"/>
    <w:rsid w:val="0048107C"/>
    <w:rsid w:val="0048183A"/>
    <w:rsid w:val="004830AA"/>
    <w:rsid w:val="004831C7"/>
    <w:rsid w:val="0048408A"/>
    <w:rsid w:val="004845FE"/>
    <w:rsid w:val="00484C92"/>
    <w:rsid w:val="00486713"/>
    <w:rsid w:val="0049028C"/>
    <w:rsid w:val="0049145C"/>
    <w:rsid w:val="00491483"/>
    <w:rsid w:val="004919C2"/>
    <w:rsid w:val="00494C89"/>
    <w:rsid w:val="00495E93"/>
    <w:rsid w:val="0049686E"/>
    <w:rsid w:val="00497418"/>
    <w:rsid w:val="00497541"/>
    <w:rsid w:val="004979E4"/>
    <w:rsid w:val="004A1272"/>
    <w:rsid w:val="004A4C9B"/>
    <w:rsid w:val="004A50BC"/>
    <w:rsid w:val="004A58E3"/>
    <w:rsid w:val="004A5F09"/>
    <w:rsid w:val="004A7AF4"/>
    <w:rsid w:val="004B14BB"/>
    <w:rsid w:val="004B1A68"/>
    <w:rsid w:val="004B2252"/>
    <w:rsid w:val="004B2C70"/>
    <w:rsid w:val="004B3BBB"/>
    <w:rsid w:val="004B5DFB"/>
    <w:rsid w:val="004B6EA9"/>
    <w:rsid w:val="004B7355"/>
    <w:rsid w:val="004B7761"/>
    <w:rsid w:val="004C194E"/>
    <w:rsid w:val="004C3AB1"/>
    <w:rsid w:val="004C4985"/>
    <w:rsid w:val="004C5E3F"/>
    <w:rsid w:val="004C65F7"/>
    <w:rsid w:val="004C7EDF"/>
    <w:rsid w:val="004D12E9"/>
    <w:rsid w:val="004D270F"/>
    <w:rsid w:val="004D2888"/>
    <w:rsid w:val="004D455D"/>
    <w:rsid w:val="004D5B64"/>
    <w:rsid w:val="004D5C27"/>
    <w:rsid w:val="004D6905"/>
    <w:rsid w:val="004D7635"/>
    <w:rsid w:val="004E0844"/>
    <w:rsid w:val="004E1092"/>
    <w:rsid w:val="004E183C"/>
    <w:rsid w:val="004E2BA2"/>
    <w:rsid w:val="004E4493"/>
    <w:rsid w:val="004E555D"/>
    <w:rsid w:val="004E6501"/>
    <w:rsid w:val="004E6691"/>
    <w:rsid w:val="004E7DEA"/>
    <w:rsid w:val="004F1BAA"/>
    <w:rsid w:val="004F22D7"/>
    <w:rsid w:val="004F2609"/>
    <w:rsid w:val="004F42D5"/>
    <w:rsid w:val="004F58BB"/>
    <w:rsid w:val="004F645B"/>
    <w:rsid w:val="004F6762"/>
    <w:rsid w:val="004F72B9"/>
    <w:rsid w:val="004F7B29"/>
    <w:rsid w:val="0050045B"/>
    <w:rsid w:val="00500767"/>
    <w:rsid w:val="00501172"/>
    <w:rsid w:val="00502C4B"/>
    <w:rsid w:val="00503A99"/>
    <w:rsid w:val="005049BF"/>
    <w:rsid w:val="00505737"/>
    <w:rsid w:val="0050657B"/>
    <w:rsid w:val="00506DD2"/>
    <w:rsid w:val="00510401"/>
    <w:rsid w:val="00510922"/>
    <w:rsid w:val="0051392A"/>
    <w:rsid w:val="00513B1F"/>
    <w:rsid w:val="005146BB"/>
    <w:rsid w:val="0051486A"/>
    <w:rsid w:val="005149CD"/>
    <w:rsid w:val="00514E5C"/>
    <w:rsid w:val="00515DBE"/>
    <w:rsid w:val="005161EB"/>
    <w:rsid w:val="00516455"/>
    <w:rsid w:val="00516568"/>
    <w:rsid w:val="005175FD"/>
    <w:rsid w:val="00517847"/>
    <w:rsid w:val="00521248"/>
    <w:rsid w:val="00523EF1"/>
    <w:rsid w:val="00524219"/>
    <w:rsid w:val="0052458B"/>
    <w:rsid w:val="0052475D"/>
    <w:rsid w:val="0052546E"/>
    <w:rsid w:val="0052584F"/>
    <w:rsid w:val="0053039A"/>
    <w:rsid w:val="005312FD"/>
    <w:rsid w:val="005330AB"/>
    <w:rsid w:val="00533BEE"/>
    <w:rsid w:val="0053480C"/>
    <w:rsid w:val="0053517C"/>
    <w:rsid w:val="0053793F"/>
    <w:rsid w:val="00543C09"/>
    <w:rsid w:val="00544934"/>
    <w:rsid w:val="00546761"/>
    <w:rsid w:val="00550795"/>
    <w:rsid w:val="00552CD0"/>
    <w:rsid w:val="005534FA"/>
    <w:rsid w:val="00554D48"/>
    <w:rsid w:val="005559C2"/>
    <w:rsid w:val="00555C4A"/>
    <w:rsid w:val="00555E51"/>
    <w:rsid w:val="0055790C"/>
    <w:rsid w:val="00557A68"/>
    <w:rsid w:val="00560D02"/>
    <w:rsid w:val="00561175"/>
    <w:rsid w:val="0056250C"/>
    <w:rsid w:val="005627BE"/>
    <w:rsid w:val="005648EE"/>
    <w:rsid w:val="0056495F"/>
    <w:rsid w:val="00566616"/>
    <w:rsid w:val="00571C3C"/>
    <w:rsid w:val="00571F2A"/>
    <w:rsid w:val="00572483"/>
    <w:rsid w:val="0057250D"/>
    <w:rsid w:val="00572611"/>
    <w:rsid w:val="005763C5"/>
    <w:rsid w:val="00577A23"/>
    <w:rsid w:val="00581D24"/>
    <w:rsid w:val="0058459E"/>
    <w:rsid w:val="00586C7D"/>
    <w:rsid w:val="00586D4D"/>
    <w:rsid w:val="00590420"/>
    <w:rsid w:val="00592826"/>
    <w:rsid w:val="00593614"/>
    <w:rsid w:val="00595125"/>
    <w:rsid w:val="00596465"/>
    <w:rsid w:val="005976B0"/>
    <w:rsid w:val="005A011E"/>
    <w:rsid w:val="005A0991"/>
    <w:rsid w:val="005A0A5A"/>
    <w:rsid w:val="005A0DBF"/>
    <w:rsid w:val="005A10B2"/>
    <w:rsid w:val="005A3531"/>
    <w:rsid w:val="005A3DDE"/>
    <w:rsid w:val="005A788E"/>
    <w:rsid w:val="005A7A4F"/>
    <w:rsid w:val="005B0757"/>
    <w:rsid w:val="005B0A26"/>
    <w:rsid w:val="005B116E"/>
    <w:rsid w:val="005B237F"/>
    <w:rsid w:val="005B23D6"/>
    <w:rsid w:val="005B6047"/>
    <w:rsid w:val="005B65DB"/>
    <w:rsid w:val="005B7683"/>
    <w:rsid w:val="005B7E00"/>
    <w:rsid w:val="005C04E1"/>
    <w:rsid w:val="005C0DF9"/>
    <w:rsid w:val="005C1578"/>
    <w:rsid w:val="005C327A"/>
    <w:rsid w:val="005C3883"/>
    <w:rsid w:val="005C3992"/>
    <w:rsid w:val="005C3F73"/>
    <w:rsid w:val="005C498A"/>
    <w:rsid w:val="005C49C9"/>
    <w:rsid w:val="005C5BB7"/>
    <w:rsid w:val="005C66BA"/>
    <w:rsid w:val="005C6C05"/>
    <w:rsid w:val="005D0DA7"/>
    <w:rsid w:val="005D1A2C"/>
    <w:rsid w:val="005D1CD7"/>
    <w:rsid w:val="005D20BA"/>
    <w:rsid w:val="005D2945"/>
    <w:rsid w:val="005D2F26"/>
    <w:rsid w:val="005D2FF5"/>
    <w:rsid w:val="005D3479"/>
    <w:rsid w:val="005D34E0"/>
    <w:rsid w:val="005D7A20"/>
    <w:rsid w:val="005E3771"/>
    <w:rsid w:val="005E4C0B"/>
    <w:rsid w:val="005E5438"/>
    <w:rsid w:val="005E6335"/>
    <w:rsid w:val="005E7F01"/>
    <w:rsid w:val="005F3818"/>
    <w:rsid w:val="005F385B"/>
    <w:rsid w:val="005F3E3D"/>
    <w:rsid w:val="005F4A67"/>
    <w:rsid w:val="005F5E88"/>
    <w:rsid w:val="005F7232"/>
    <w:rsid w:val="005F787B"/>
    <w:rsid w:val="00601433"/>
    <w:rsid w:val="00601AB9"/>
    <w:rsid w:val="00602F0C"/>
    <w:rsid w:val="00603723"/>
    <w:rsid w:val="0060429B"/>
    <w:rsid w:val="00606145"/>
    <w:rsid w:val="00607665"/>
    <w:rsid w:val="00610E45"/>
    <w:rsid w:val="00611413"/>
    <w:rsid w:val="0061214D"/>
    <w:rsid w:val="00613679"/>
    <w:rsid w:val="00614148"/>
    <w:rsid w:val="00615D11"/>
    <w:rsid w:val="00616A08"/>
    <w:rsid w:val="006200F4"/>
    <w:rsid w:val="00621208"/>
    <w:rsid w:val="0062163D"/>
    <w:rsid w:val="00625FCE"/>
    <w:rsid w:val="00627BFA"/>
    <w:rsid w:val="00630134"/>
    <w:rsid w:val="006310B8"/>
    <w:rsid w:val="00631430"/>
    <w:rsid w:val="00631CF4"/>
    <w:rsid w:val="00633DA1"/>
    <w:rsid w:val="0063422F"/>
    <w:rsid w:val="00635933"/>
    <w:rsid w:val="006406E6"/>
    <w:rsid w:val="0064085A"/>
    <w:rsid w:val="00641138"/>
    <w:rsid w:val="00641E19"/>
    <w:rsid w:val="00642277"/>
    <w:rsid w:val="00642A07"/>
    <w:rsid w:val="00643529"/>
    <w:rsid w:val="0064354D"/>
    <w:rsid w:val="00643CB4"/>
    <w:rsid w:val="00643E00"/>
    <w:rsid w:val="00644A32"/>
    <w:rsid w:val="00644BE4"/>
    <w:rsid w:val="00645470"/>
    <w:rsid w:val="00647D35"/>
    <w:rsid w:val="006518B6"/>
    <w:rsid w:val="00651F4C"/>
    <w:rsid w:val="006521B2"/>
    <w:rsid w:val="00653203"/>
    <w:rsid w:val="00661627"/>
    <w:rsid w:val="0066253D"/>
    <w:rsid w:val="00663996"/>
    <w:rsid w:val="00663F62"/>
    <w:rsid w:val="00665EB7"/>
    <w:rsid w:val="00666A50"/>
    <w:rsid w:val="00667955"/>
    <w:rsid w:val="006707C1"/>
    <w:rsid w:val="00672E59"/>
    <w:rsid w:val="00674DCF"/>
    <w:rsid w:val="0067570F"/>
    <w:rsid w:val="006757D9"/>
    <w:rsid w:val="00675C4F"/>
    <w:rsid w:val="00680749"/>
    <w:rsid w:val="00681108"/>
    <w:rsid w:val="00681AA4"/>
    <w:rsid w:val="00684FF2"/>
    <w:rsid w:val="006858A7"/>
    <w:rsid w:val="00690C97"/>
    <w:rsid w:val="00690FE6"/>
    <w:rsid w:val="00691E16"/>
    <w:rsid w:val="00692157"/>
    <w:rsid w:val="0069441B"/>
    <w:rsid w:val="006950B3"/>
    <w:rsid w:val="00695476"/>
    <w:rsid w:val="006969A5"/>
    <w:rsid w:val="00697AF4"/>
    <w:rsid w:val="006A01C0"/>
    <w:rsid w:val="006A1116"/>
    <w:rsid w:val="006A2515"/>
    <w:rsid w:val="006A411F"/>
    <w:rsid w:val="006A54BA"/>
    <w:rsid w:val="006A6274"/>
    <w:rsid w:val="006A66EB"/>
    <w:rsid w:val="006B0392"/>
    <w:rsid w:val="006B04E5"/>
    <w:rsid w:val="006B098E"/>
    <w:rsid w:val="006B13B0"/>
    <w:rsid w:val="006B2726"/>
    <w:rsid w:val="006B2FDE"/>
    <w:rsid w:val="006B7418"/>
    <w:rsid w:val="006C072D"/>
    <w:rsid w:val="006C26AC"/>
    <w:rsid w:val="006C2893"/>
    <w:rsid w:val="006C2C3D"/>
    <w:rsid w:val="006C3CE5"/>
    <w:rsid w:val="006C3F24"/>
    <w:rsid w:val="006C4435"/>
    <w:rsid w:val="006C4553"/>
    <w:rsid w:val="006C4871"/>
    <w:rsid w:val="006C6CE9"/>
    <w:rsid w:val="006C700F"/>
    <w:rsid w:val="006D05E6"/>
    <w:rsid w:val="006D0881"/>
    <w:rsid w:val="006D14B1"/>
    <w:rsid w:val="006D3867"/>
    <w:rsid w:val="006D3970"/>
    <w:rsid w:val="006D3C69"/>
    <w:rsid w:val="006D3E68"/>
    <w:rsid w:val="006D4F7A"/>
    <w:rsid w:val="006D67E9"/>
    <w:rsid w:val="006D688D"/>
    <w:rsid w:val="006D7130"/>
    <w:rsid w:val="006E23CE"/>
    <w:rsid w:val="006E45F8"/>
    <w:rsid w:val="006E57E3"/>
    <w:rsid w:val="006E5F78"/>
    <w:rsid w:val="006E7D5F"/>
    <w:rsid w:val="006F0376"/>
    <w:rsid w:val="006F1F26"/>
    <w:rsid w:val="006F25AA"/>
    <w:rsid w:val="006F2720"/>
    <w:rsid w:val="006F3016"/>
    <w:rsid w:val="006F3111"/>
    <w:rsid w:val="006F370B"/>
    <w:rsid w:val="006F39C8"/>
    <w:rsid w:val="006F5D02"/>
    <w:rsid w:val="006F6144"/>
    <w:rsid w:val="007020BA"/>
    <w:rsid w:val="00702E90"/>
    <w:rsid w:val="0070313F"/>
    <w:rsid w:val="00703E97"/>
    <w:rsid w:val="00705192"/>
    <w:rsid w:val="0070681E"/>
    <w:rsid w:val="00706A85"/>
    <w:rsid w:val="0070784C"/>
    <w:rsid w:val="00707C38"/>
    <w:rsid w:val="0071185D"/>
    <w:rsid w:val="007123EB"/>
    <w:rsid w:val="00712EDD"/>
    <w:rsid w:val="00713743"/>
    <w:rsid w:val="007151C2"/>
    <w:rsid w:val="0072015F"/>
    <w:rsid w:val="00721651"/>
    <w:rsid w:val="00722186"/>
    <w:rsid w:val="007221FF"/>
    <w:rsid w:val="0072226A"/>
    <w:rsid w:val="00722449"/>
    <w:rsid w:val="007236B8"/>
    <w:rsid w:val="0072398E"/>
    <w:rsid w:val="00724756"/>
    <w:rsid w:val="0072498C"/>
    <w:rsid w:val="00726BE7"/>
    <w:rsid w:val="007275D5"/>
    <w:rsid w:val="007319B3"/>
    <w:rsid w:val="00732382"/>
    <w:rsid w:val="007324AA"/>
    <w:rsid w:val="00732D87"/>
    <w:rsid w:val="007331CE"/>
    <w:rsid w:val="00735D0D"/>
    <w:rsid w:val="0073752A"/>
    <w:rsid w:val="00737660"/>
    <w:rsid w:val="007376E0"/>
    <w:rsid w:val="00740870"/>
    <w:rsid w:val="007419E5"/>
    <w:rsid w:val="0074407B"/>
    <w:rsid w:val="007449D2"/>
    <w:rsid w:val="00744A1F"/>
    <w:rsid w:val="00745311"/>
    <w:rsid w:val="0074558E"/>
    <w:rsid w:val="00745E8F"/>
    <w:rsid w:val="00746D82"/>
    <w:rsid w:val="007474DD"/>
    <w:rsid w:val="00747DC3"/>
    <w:rsid w:val="007514B5"/>
    <w:rsid w:val="00754A11"/>
    <w:rsid w:val="00754A7F"/>
    <w:rsid w:val="00755E30"/>
    <w:rsid w:val="00757E64"/>
    <w:rsid w:val="00760776"/>
    <w:rsid w:val="007626EA"/>
    <w:rsid w:val="007636AE"/>
    <w:rsid w:val="0076418C"/>
    <w:rsid w:val="007653D9"/>
    <w:rsid w:val="00765D05"/>
    <w:rsid w:val="00766E5B"/>
    <w:rsid w:val="00767D3F"/>
    <w:rsid w:val="00770DCC"/>
    <w:rsid w:val="00771A7A"/>
    <w:rsid w:val="00772AE6"/>
    <w:rsid w:val="0077321B"/>
    <w:rsid w:val="007736F7"/>
    <w:rsid w:val="00773D37"/>
    <w:rsid w:val="00773FB7"/>
    <w:rsid w:val="00774306"/>
    <w:rsid w:val="0077511C"/>
    <w:rsid w:val="007755EE"/>
    <w:rsid w:val="007768BB"/>
    <w:rsid w:val="007807E2"/>
    <w:rsid w:val="00781C2A"/>
    <w:rsid w:val="00782B80"/>
    <w:rsid w:val="0078379F"/>
    <w:rsid w:val="007854D2"/>
    <w:rsid w:val="00786EF4"/>
    <w:rsid w:val="00787ED7"/>
    <w:rsid w:val="00791092"/>
    <w:rsid w:val="007913EE"/>
    <w:rsid w:val="00791851"/>
    <w:rsid w:val="0079246A"/>
    <w:rsid w:val="00792C7B"/>
    <w:rsid w:val="007945C4"/>
    <w:rsid w:val="00794F54"/>
    <w:rsid w:val="0079575C"/>
    <w:rsid w:val="00796EA1"/>
    <w:rsid w:val="00797661"/>
    <w:rsid w:val="00797E19"/>
    <w:rsid w:val="007A0137"/>
    <w:rsid w:val="007A096A"/>
    <w:rsid w:val="007A2BE7"/>
    <w:rsid w:val="007A2CAB"/>
    <w:rsid w:val="007A4652"/>
    <w:rsid w:val="007B0C8C"/>
    <w:rsid w:val="007B1174"/>
    <w:rsid w:val="007B13CC"/>
    <w:rsid w:val="007B1D91"/>
    <w:rsid w:val="007B1FDF"/>
    <w:rsid w:val="007B2362"/>
    <w:rsid w:val="007B39B9"/>
    <w:rsid w:val="007B5111"/>
    <w:rsid w:val="007B598E"/>
    <w:rsid w:val="007B7FC8"/>
    <w:rsid w:val="007C0DEE"/>
    <w:rsid w:val="007C4204"/>
    <w:rsid w:val="007C47BE"/>
    <w:rsid w:val="007C5FF7"/>
    <w:rsid w:val="007D011F"/>
    <w:rsid w:val="007D1579"/>
    <w:rsid w:val="007D2D1A"/>
    <w:rsid w:val="007D2EC7"/>
    <w:rsid w:val="007D4679"/>
    <w:rsid w:val="007D56C3"/>
    <w:rsid w:val="007D5EF0"/>
    <w:rsid w:val="007D67A3"/>
    <w:rsid w:val="007D6B1F"/>
    <w:rsid w:val="007D6B27"/>
    <w:rsid w:val="007D73BB"/>
    <w:rsid w:val="007D7986"/>
    <w:rsid w:val="007D7E92"/>
    <w:rsid w:val="007E0286"/>
    <w:rsid w:val="007E033C"/>
    <w:rsid w:val="007E186B"/>
    <w:rsid w:val="007E1874"/>
    <w:rsid w:val="007E2C6C"/>
    <w:rsid w:val="007E308B"/>
    <w:rsid w:val="007E3D10"/>
    <w:rsid w:val="007E6CAA"/>
    <w:rsid w:val="007F169C"/>
    <w:rsid w:val="007F197C"/>
    <w:rsid w:val="007F1D57"/>
    <w:rsid w:val="007F7E59"/>
    <w:rsid w:val="008058FA"/>
    <w:rsid w:val="008120BC"/>
    <w:rsid w:val="00813E0B"/>
    <w:rsid w:val="0081407C"/>
    <w:rsid w:val="008215E7"/>
    <w:rsid w:val="0082397B"/>
    <w:rsid w:val="00823B7E"/>
    <w:rsid w:val="00824030"/>
    <w:rsid w:val="0082616A"/>
    <w:rsid w:val="00826CC5"/>
    <w:rsid w:val="008272B9"/>
    <w:rsid w:val="00827E35"/>
    <w:rsid w:val="00830180"/>
    <w:rsid w:val="008302D3"/>
    <w:rsid w:val="00830DA9"/>
    <w:rsid w:val="0083188B"/>
    <w:rsid w:val="00831AFB"/>
    <w:rsid w:val="00832140"/>
    <w:rsid w:val="008324C3"/>
    <w:rsid w:val="0083252A"/>
    <w:rsid w:val="0083287E"/>
    <w:rsid w:val="00832C62"/>
    <w:rsid w:val="0083324C"/>
    <w:rsid w:val="008339D5"/>
    <w:rsid w:val="008349B3"/>
    <w:rsid w:val="008370C0"/>
    <w:rsid w:val="00840065"/>
    <w:rsid w:val="008404CA"/>
    <w:rsid w:val="00840534"/>
    <w:rsid w:val="0084289A"/>
    <w:rsid w:val="0084334B"/>
    <w:rsid w:val="00844283"/>
    <w:rsid w:val="008457D1"/>
    <w:rsid w:val="0084582F"/>
    <w:rsid w:val="00845F65"/>
    <w:rsid w:val="008467EB"/>
    <w:rsid w:val="00847C0A"/>
    <w:rsid w:val="008512C4"/>
    <w:rsid w:val="00851A3E"/>
    <w:rsid w:val="008528A0"/>
    <w:rsid w:val="0085446A"/>
    <w:rsid w:val="00854939"/>
    <w:rsid w:val="00854F4D"/>
    <w:rsid w:val="0085541F"/>
    <w:rsid w:val="00860131"/>
    <w:rsid w:val="00860860"/>
    <w:rsid w:val="008613E3"/>
    <w:rsid w:val="00861E54"/>
    <w:rsid w:val="00862C5C"/>
    <w:rsid w:val="00864468"/>
    <w:rsid w:val="00866547"/>
    <w:rsid w:val="00874A2E"/>
    <w:rsid w:val="008771C5"/>
    <w:rsid w:val="00877828"/>
    <w:rsid w:val="0088064A"/>
    <w:rsid w:val="00880760"/>
    <w:rsid w:val="00881D3F"/>
    <w:rsid w:val="00882213"/>
    <w:rsid w:val="00884914"/>
    <w:rsid w:val="00884C3C"/>
    <w:rsid w:val="0089151A"/>
    <w:rsid w:val="00892467"/>
    <w:rsid w:val="008935BD"/>
    <w:rsid w:val="008936DF"/>
    <w:rsid w:val="00893C64"/>
    <w:rsid w:val="00893DD3"/>
    <w:rsid w:val="00894BBA"/>
    <w:rsid w:val="00895598"/>
    <w:rsid w:val="00896F85"/>
    <w:rsid w:val="008A0897"/>
    <w:rsid w:val="008A09F4"/>
    <w:rsid w:val="008A1C40"/>
    <w:rsid w:val="008A26E7"/>
    <w:rsid w:val="008A27F6"/>
    <w:rsid w:val="008A3E3E"/>
    <w:rsid w:val="008A5D86"/>
    <w:rsid w:val="008A5DD6"/>
    <w:rsid w:val="008B1DDF"/>
    <w:rsid w:val="008B2C96"/>
    <w:rsid w:val="008B3CF2"/>
    <w:rsid w:val="008B488A"/>
    <w:rsid w:val="008B5E1A"/>
    <w:rsid w:val="008B60AC"/>
    <w:rsid w:val="008B61E3"/>
    <w:rsid w:val="008B69ED"/>
    <w:rsid w:val="008B6B0D"/>
    <w:rsid w:val="008B7EFC"/>
    <w:rsid w:val="008C05F1"/>
    <w:rsid w:val="008C127A"/>
    <w:rsid w:val="008C3D36"/>
    <w:rsid w:val="008C474C"/>
    <w:rsid w:val="008C51FD"/>
    <w:rsid w:val="008C56D8"/>
    <w:rsid w:val="008D278B"/>
    <w:rsid w:val="008D4842"/>
    <w:rsid w:val="008D5CB9"/>
    <w:rsid w:val="008D6221"/>
    <w:rsid w:val="008D6E08"/>
    <w:rsid w:val="008E26F2"/>
    <w:rsid w:val="008E3579"/>
    <w:rsid w:val="008E3B05"/>
    <w:rsid w:val="008E417A"/>
    <w:rsid w:val="008E51A3"/>
    <w:rsid w:val="008E5C01"/>
    <w:rsid w:val="008E7BD9"/>
    <w:rsid w:val="008E7FA0"/>
    <w:rsid w:val="008F0DBB"/>
    <w:rsid w:val="008F1015"/>
    <w:rsid w:val="008F1B8F"/>
    <w:rsid w:val="008F24D2"/>
    <w:rsid w:val="008F53E5"/>
    <w:rsid w:val="00900B53"/>
    <w:rsid w:val="00901947"/>
    <w:rsid w:val="00903040"/>
    <w:rsid w:val="00903478"/>
    <w:rsid w:val="00903AC3"/>
    <w:rsid w:val="0090620B"/>
    <w:rsid w:val="009075D8"/>
    <w:rsid w:val="00907E6D"/>
    <w:rsid w:val="00910BD1"/>
    <w:rsid w:val="00913C6B"/>
    <w:rsid w:val="00915E11"/>
    <w:rsid w:val="00917A8E"/>
    <w:rsid w:val="00920B77"/>
    <w:rsid w:val="00920E1A"/>
    <w:rsid w:val="00921352"/>
    <w:rsid w:val="009228DF"/>
    <w:rsid w:val="00924012"/>
    <w:rsid w:val="009251BA"/>
    <w:rsid w:val="00925712"/>
    <w:rsid w:val="00926EA9"/>
    <w:rsid w:val="00930D57"/>
    <w:rsid w:val="00930F98"/>
    <w:rsid w:val="009335C5"/>
    <w:rsid w:val="00933E50"/>
    <w:rsid w:val="00934193"/>
    <w:rsid w:val="00934F6E"/>
    <w:rsid w:val="00935452"/>
    <w:rsid w:val="009356BA"/>
    <w:rsid w:val="009364B5"/>
    <w:rsid w:val="0093782C"/>
    <w:rsid w:val="00937A0B"/>
    <w:rsid w:val="00937D15"/>
    <w:rsid w:val="00940547"/>
    <w:rsid w:val="00940D2C"/>
    <w:rsid w:val="0094233D"/>
    <w:rsid w:val="00942F16"/>
    <w:rsid w:val="0094454A"/>
    <w:rsid w:val="009470BB"/>
    <w:rsid w:val="00950ACA"/>
    <w:rsid w:val="00951577"/>
    <w:rsid w:val="0095329A"/>
    <w:rsid w:val="0095448B"/>
    <w:rsid w:val="00954E7F"/>
    <w:rsid w:val="00955C0B"/>
    <w:rsid w:val="00957B80"/>
    <w:rsid w:val="00957F22"/>
    <w:rsid w:val="009607A1"/>
    <w:rsid w:val="009616D3"/>
    <w:rsid w:val="00961F15"/>
    <w:rsid w:val="00962CF1"/>
    <w:rsid w:val="00962FE4"/>
    <w:rsid w:val="009645E0"/>
    <w:rsid w:val="00965215"/>
    <w:rsid w:val="009665AC"/>
    <w:rsid w:val="00971593"/>
    <w:rsid w:val="009733F9"/>
    <w:rsid w:val="009737EE"/>
    <w:rsid w:val="0097729A"/>
    <w:rsid w:val="00980203"/>
    <w:rsid w:val="00980B48"/>
    <w:rsid w:val="00980F17"/>
    <w:rsid w:val="00981A17"/>
    <w:rsid w:val="009833AA"/>
    <w:rsid w:val="009833B5"/>
    <w:rsid w:val="009848CA"/>
    <w:rsid w:val="00986EEB"/>
    <w:rsid w:val="00987055"/>
    <w:rsid w:val="00990B18"/>
    <w:rsid w:val="009947A0"/>
    <w:rsid w:val="00995610"/>
    <w:rsid w:val="009974B0"/>
    <w:rsid w:val="009A0FDC"/>
    <w:rsid w:val="009A16C1"/>
    <w:rsid w:val="009A2C3E"/>
    <w:rsid w:val="009A40B5"/>
    <w:rsid w:val="009A4F0C"/>
    <w:rsid w:val="009A5061"/>
    <w:rsid w:val="009A6A6E"/>
    <w:rsid w:val="009A6CB8"/>
    <w:rsid w:val="009A7E6D"/>
    <w:rsid w:val="009B098D"/>
    <w:rsid w:val="009B1378"/>
    <w:rsid w:val="009B13D0"/>
    <w:rsid w:val="009B1673"/>
    <w:rsid w:val="009B2208"/>
    <w:rsid w:val="009B7C44"/>
    <w:rsid w:val="009B7F1B"/>
    <w:rsid w:val="009C09A6"/>
    <w:rsid w:val="009C26B8"/>
    <w:rsid w:val="009C3E16"/>
    <w:rsid w:val="009C6632"/>
    <w:rsid w:val="009D0800"/>
    <w:rsid w:val="009D1272"/>
    <w:rsid w:val="009D1816"/>
    <w:rsid w:val="009D20F5"/>
    <w:rsid w:val="009D211F"/>
    <w:rsid w:val="009D2629"/>
    <w:rsid w:val="009D289E"/>
    <w:rsid w:val="009D2EEB"/>
    <w:rsid w:val="009D3844"/>
    <w:rsid w:val="009D3B3D"/>
    <w:rsid w:val="009D4156"/>
    <w:rsid w:val="009D497A"/>
    <w:rsid w:val="009D650C"/>
    <w:rsid w:val="009D730C"/>
    <w:rsid w:val="009D791E"/>
    <w:rsid w:val="009E2123"/>
    <w:rsid w:val="009E3629"/>
    <w:rsid w:val="009E3A57"/>
    <w:rsid w:val="009E5B37"/>
    <w:rsid w:val="009E6358"/>
    <w:rsid w:val="009E63E9"/>
    <w:rsid w:val="009E68B6"/>
    <w:rsid w:val="009E6B71"/>
    <w:rsid w:val="009E7AC9"/>
    <w:rsid w:val="009F1737"/>
    <w:rsid w:val="009F2797"/>
    <w:rsid w:val="009F388A"/>
    <w:rsid w:val="009F3C7B"/>
    <w:rsid w:val="009F413A"/>
    <w:rsid w:val="00A003A4"/>
    <w:rsid w:val="00A00F2A"/>
    <w:rsid w:val="00A01F45"/>
    <w:rsid w:val="00A0221C"/>
    <w:rsid w:val="00A025D0"/>
    <w:rsid w:val="00A03212"/>
    <w:rsid w:val="00A037BC"/>
    <w:rsid w:val="00A03C89"/>
    <w:rsid w:val="00A054B5"/>
    <w:rsid w:val="00A06042"/>
    <w:rsid w:val="00A06C8F"/>
    <w:rsid w:val="00A077F5"/>
    <w:rsid w:val="00A11ED9"/>
    <w:rsid w:val="00A12170"/>
    <w:rsid w:val="00A13667"/>
    <w:rsid w:val="00A14A44"/>
    <w:rsid w:val="00A15CEC"/>
    <w:rsid w:val="00A16867"/>
    <w:rsid w:val="00A16993"/>
    <w:rsid w:val="00A16B78"/>
    <w:rsid w:val="00A17909"/>
    <w:rsid w:val="00A210A4"/>
    <w:rsid w:val="00A21238"/>
    <w:rsid w:val="00A2173F"/>
    <w:rsid w:val="00A244C7"/>
    <w:rsid w:val="00A24C8E"/>
    <w:rsid w:val="00A2561E"/>
    <w:rsid w:val="00A265E1"/>
    <w:rsid w:val="00A26654"/>
    <w:rsid w:val="00A26EB3"/>
    <w:rsid w:val="00A26ED3"/>
    <w:rsid w:val="00A3105B"/>
    <w:rsid w:val="00A315D4"/>
    <w:rsid w:val="00A32F88"/>
    <w:rsid w:val="00A34730"/>
    <w:rsid w:val="00A34F95"/>
    <w:rsid w:val="00A350D9"/>
    <w:rsid w:val="00A35B5C"/>
    <w:rsid w:val="00A372AA"/>
    <w:rsid w:val="00A41B24"/>
    <w:rsid w:val="00A42E23"/>
    <w:rsid w:val="00A44C60"/>
    <w:rsid w:val="00A44DF7"/>
    <w:rsid w:val="00A464B3"/>
    <w:rsid w:val="00A464F4"/>
    <w:rsid w:val="00A46E24"/>
    <w:rsid w:val="00A471A5"/>
    <w:rsid w:val="00A47949"/>
    <w:rsid w:val="00A5096A"/>
    <w:rsid w:val="00A5103B"/>
    <w:rsid w:val="00A51156"/>
    <w:rsid w:val="00A5129F"/>
    <w:rsid w:val="00A5182D"/>
    <w:rsid w:val="00A519CE"/>
    <w:rsid w:val="00A5489C"/>
    <w:rsid w:val="00A550F0"/>
    <w:rsid w:val="00A56BCD"/>
    <w:rsid w:val="00A57D44"/>
    <w:rsid w:val="00A60012"/>
    <w:rsid w:val="00A608FA"/>
    <w:rsid w:val="00A61ED0"/>
    <w:rsid w:val="00A6203F"/>
    <w:rsid w:val="00A65850"/>
    <w:rsid w:val="00A664A8"/>
    <w:rsid w:val="00A700AD"/>
    <w:rsid w:val="00A73471"/>
    <w:rsid w:val="00A73CF3"/>
    <w:rsid w:val="00A7432D"/>
    <w:rsid w:val="00A75C5C"/>
    <w:rsid w:val="00A77604"/>
    <w:rsid w:val="00A77EEE"/>
    <w:rsid w:val="00A800A3"/>
    <w:rsid w:val="00A80A47"/>
    <w:rsid w:val="00A818A3"/>
    <w:rsid w:val="00A82CB2"/>
    <w:rsid w:val="00A841A7"/>
    <w:rsid w:val="00A8495F"/>
    <w:rsid w:val="00A85D91"/>
    <w:rsid w:val="00A9033D"/>
    <w:rsid w:val="00A917E0"/>
    <w:rsid w:val="00A9238B"/>
    <w:rsid w:val="00A92A4F"/>
    <w:rsid w:val="00A92BC7"/>
    <w:rsid w:val="00A9330C"/>
    <w:rsid w:val="00A93E58"/>
    <w:rsid w:val="00A94C01"/>
    <w:rsid w:val="00A962B3"/>
    <w:rsid w:val="00A971CC"/>
    <w:rsid w:val="00A979C0"/>
    <w:rsid w:val="00A97EDD"/>
    <w:rsid w:val="00AA0D68"/>
    <w:rsid w:val="00AA389A"/>
    <w:rsid w:val="00AA605E"/>
    <w:rsid w:val="00AA782B"/>
    <w:rsid w:val="00AA7D28"/>
    <w:rsid w:val="00AA7D6E"/>
    <w:rsid w:val="00AB0AB2"/>
    <w:rsid w:val="00AB0CDE"/>
    <w:rsid w:val="00AB2E4F"/>
    <w:rsid w:val="00AB397B"/>
    <w:rsid w:val="00AB3E83"/>
    <w:rsid w:val="00AB3EEC"/>
    <w:rsid w:val="00AB5B26"/>
    <w:rsid w:val="00AB5BF0"/>
    <w:rsid w:val="00AB610C"/>
    <w:rsid w:val="00AB7DBF"/>
    <w:rsid w:val="00AC0014"/>
    <w:rsid w:val="00AC301A"/>
    <w:rsid w:val="00AC3395"/>
    <w:rsid w:val="00AC367B"/>
    <w:rsid w:val="00AC6950"/>
    <w:rsid w:val="00AC6F05"/>
    <w:rsid w:val="00AC76B5"/>
    <w:rsid w:val="00AD03EA"/>
    <w:rsid w:val="00AD1DB5"/>
    <w:rsid w:val="00AD259C"/>
    <w:rsid w:val="00AD4F75"/>
    <w:rsid w:val="00AD5A20"/>
    <w:rsid w:val="00AD60CF"/>
    <w:rsid w:val="00AD6390"/>
    <w:rsid w:val="00AD67F5"/>
    <w:rsid w:val="00AD7420"/>
    <w:rsid w:val="00AE071E"/>
    <w:rsid w:val="00AE2208"/>
    <w:rsid w:val="00AE2D57"/>
    <w:rsid w:val="00AE3AF0"/>
    <w:rsid w:val="00AE3CD1"/>
    <w:rsid w:val="00AE41D5"/>
    <w:rsid w:val="00AE4D73"/>
    <w:rsid w:val="00AE78A7"/>
    <w:rsid w:val="00AF0550"/>
    <w:rsid w:val="00AF07A6"/>
    <w:rsid w:val="00AF16D7"/>
    <w:rsid w:val="00AF1C92"/>
    <w:rsid w:val="00AF2ACE"/>
    <w:rsid w:val="00AF32CF"/>
    <w:rsid w:val="00AF32FB"/>
    <w:rsid w:val="00AF5406"/>
    <w:rsid w:val="00AF7B9B"/>
    <w:rsid w:val="00B00FD0"/>
    <w:rsid w:val="00B04181"/>
    <w:rsid w:val="00B0428D"/>
    <w:rsid w:val="00B04F5F"/>
    <w:rsid w:val="00B06F72"/>
    <w:rsid w:val="00B06F8B"/>
    <w:rsid w:val="00B0751A"/>
    <w:rsid w:val="00B07A03"/>
    <w:rsid w:val="00B103F8"/>
    <w:rsid w:val="00B1081D"/>
    <w:rsid w:val="00B10B5C"/>
    <w:rsid w:val="00B12E58"/>
    <w:rsid w:val="00B13746"/>
    <w:rsid w:val="00B14132"/>
    <w:rsid w:val="00B15880"/>
    <w:rsid w:val="00B16900"/>
    <w:rsid w:val="00B20404"/>
    <w:rsid w:val="00B20627"/>
    <w:rsid w:val="00B213CB"/>
    <w:rsid w:val="00B21B86"/>
    <w:rsid w:val="00B23BAC"/>
    <w:rsid w:val="00B244B7"/>
    <w:rsid w:val="00B25631"/>
    <w:rsid w:val="00B25C26"/>
    <w:rsid w:val="00B25F53"/>
    <w:rsid w:val="00B261BA"/>
    <w:rsid w:val="00B264E4"/>
    <w:rsid w:val="00B271B0"/>
    <w:rsid w:val="00B30280"/>
    <w:rsid w:val="00B3064A"/>
    <w:rsid w:val="00B30837"/>
    <w:rsid w:val="00B31971"/>
    <w:rsid w:val="00B31E24"/>
    <w:rsid w:val="00B32098"/>
    <w:rsid w:val="00B32490"/>
    <w:rsid w:val="00B3331F"/>
    <w:rsid w:val="00B34366"/>
    <w:rsid w:val="00B3473A"/>
    <w:rsid w:val="00B34DB9"/>
    <w:rsid w:val="00B370DC"/>
    <w:rsid w:val="00B37787"/>
    <w:rsid w:val="00B37FFC"/>
    <w:rsid w:val="00B401E1"/>
    <w:rsid w:val="00B40298"/>
    <w:rsid w:val="00B41DE3"/>
    <w:rsid w:val="00B4230E"/>
    <w:rsid w:val="00B43180"/>
    <w:rsid w:val="00B4342D"/>
    <w:rsid w:val="00B4506F"/>
    <w:rsid w:val="00B45D0C"/>
    <w:rsid w:val="00B45D6B"/>
    <w:rsid w:val="00B4607B"/>
    <w:rsid w:val="00B46BE4"/>
    <w:rsid w:val="00B46F92"/>
    <w:rsid w:val="00B4727E"/>
    <w:rsid w:val="00B515C6"/>
    <w:rsid w:val="00B51E64"/>
    <w:rsid w:val="00B52012"/>
    <w:rsid w:val="00B52ACF"/>
    <w:rsid w:val="00B53689"/>
    <w:rsid w:val="00B53C3B"/>
    <w:rsid w:val="00B54E70"/>
    <w:rsid w:val="00B55625"/>
    <w:rsid w:val="00B55827"/>
    <w:rsid w:val="00B56865"/>
    <w:rsid w:val="00B602C9"/>
    <w:rsid w:val="00B604EC"/>
    <w:rsid w:val="00B6093D"/>
    <w:rsid w:val="00B6094C"/>
    <w:rsid w:val="00B60C4B"/>
    <w:rsid w:val="00B62845"/>
    <w:rsid w:val="00B64835"/>
    <w:rsid w:val="00B6510D"/>
    <w:rsid w:val="00B66894"/>
    <w:rsid w:val="00B66A7E"/>
    <w:rsid w:val="00B67049"/>
    <w:rsid w:val="00B67DBD"/>
    <w:rsid w:val="00B702D5"/>
    <w:rsid w:val="00B71B84"/>
    <w:rsid w:val="00B723C6"/>
    <w:rsid w:val="00B73F72"/>
    <w:rsid w:val="00B749D9"/>
    <w:rsid w:val="00B76319"/>
    <w:rsid w:val="00B76523"/>
    <w:rsid w:val="00B76A96"/>
    <w:rsid w:val="00B77569"/>
    <w:rsid w:val="00B77BF9"/>
    <w:rsid w:val="00B800CB"/>
    <w:rsid w:val="00B8074B"/>
    <w:rsid w:val="00B80C9C"/>
    <w:rsid w:val="00B8101A"/>
    <w:rsid w:val="00B81318"/>
    <w:rsid w:val="00B81DE2"/>
    <w:rsid w:val="00B83EF3"/>
    <w:rsid w:val="00B84107"/>
    <w:rsid w:val="00B861AB"/>
    <w:rsid w:val="00B86421"/>
    <w:rsid w:val="00B91141"/>
    <w:rsid w:val="00B93F54"/>
    <w:rsid w:val="00B941DF"/>
    <w:rsid w:val="00BA08D7"/>
    <w:rsid w:val="00BA08D9"/>
    <w:rsid w:val="00BA0E02"/>
    <w:rsid w:val="00BA134D"/>
    <w:rsid w:val="00BA1484"/>
    <w:rsid w:val="00BA2A45"/>
    <w:rsid w:val="00BA38AF"/>
    <w:rsid w:val="00BA5968"/>
    <w:rsid w:val="00BA5D7A"/>
    <w:rsid w:val="00BA5FD4"/>
    <w:rsid w:val="00BA6514"/>
    <w:rsid w:val="00BA6770"/>
    <w:rsid w:val="00BA680F"/>
    <w:rsid w:val="00BA737A"/>
    <w:rsid w:val="00BA7A59"/>
    <w:rsid w:val="00BB101B"/>
    <w:rsid w:val="00BB27C2"/>
    <w:rsid w:val="00BB4101"/>
    <w:rsid w:val="00BB4EA8"/>
    <w:rsid w:val="00BB60B5"/>
    <w:rsid w:val="00BB6954"/>
    <w:rsid w:val="00BB7D50"/>
    <w:rsid w:val="00BC0A82"/>
    <w:rsid w:val="00BC1D3B"/>
    <w:rsid w:val="00BC210C"/>
    <w:rsid w:val="00BC2EE1"/>
    <w:rsid w:val="00BC5679"/>
    <w:rsid w:val="00BC5AEB"/>
    <w:rsid w:val="00BC7CF1"/>
    <w:rsid w:val="00BC7F79"/>
    <w:rsid w:val="00BD0575"/>
    <w:rsid w:val="00BD12AC"/>
    <w:rsid w:val="00BD29BB"/>
    <w:rsid w:val="00BD3A10"/>
    <w:rsid w:val="00BD5111"/>
    <w:rsid w:val="00BD5D48"/>
    <w:rsid w:val="00BD6042"/>
    <w:rsid w:val="00BD6D36"/>
    <w:rsid w:val="00BD75B8"/>
    <w:rsid w:val="00BE0014"/>
    <w:rsid w:val="00BE0697"/>
    <w:rsid w:val="00BE125E"/>
    <w:rsid w:val="00BE1BA3"/>
    <w:rsid w:val="00BE1C66"/>
    <w:rsid w:val="00BE238E"/>
    <w:rsid w:val="00BE364F"/>
    <w:rsid w:val="00BE5440"/>
    <w:rsid w:val="00BE5843"/>
    <w:rsid w:val="00BE5A96"/>
    <w:rsid w:val="00BE6817"/>
    <w:rsid w:val="00BE7B0D"/>
    <w:rsid w:val="00BF0359"/>
    <w:rsid w:val="00BF05A1"/>
    <w:rsid w:val="00BF10BD"/>
    <w:rsid w:val="00BF3AF0"/>
    <w:rsid w:val="00BF4FF6"/>
    <w:rsid w:val="00BF5CD0"/>
    <w:rsid w:val="00C01574"/>
    <w:rsid w:val="00C01BC5"/>
    <w:rsid w:val="00C01E5E"/>
    <w:rsid w:val="00C01E8F"/>
    <w:rsid w:val="00C021B9"/>
    <w:rsid w:val="00C036A7"/>
    <w:rsid w:val="00C0411D"/>
    <w:rsid w:val="00C05018"/>
    <w:rsid w:val="00C0501F"/>
    <w:rsid w:val="00C06C38"/>
    <w:rsid w:val="00C06F2F"/>
    <w:rsid w:val="00C07885"/>
    <w:rsid w:val="00C07B68"/>
    <w:rsid w:val="00C10070"/>
    <w:rsid w:val="00C120A5"/>
    <w:rsid w:val="00C136F8"/>
    <w:rsid w:val="00C146F6"/>
    <w:rsid w:val="00C1563C"/>
    <w:rsid w:val="00C15870"/>
    <w:rsid w:val="00C17469"/>
    <w:rsid w:val="00C20799"/>
    <w:rsid w:val="00C2208A"/>
    <w:rsid w:val="00C22512"/>
    <w:rsid w:val="00C22FB8"/>
    <w:rsid w:val="00C23421"/>
    <w:rsid w:val="00C25A21"/>
    <w:rsid w:val="00C25FCE"/>
    <w:rsid w:val="00C30755"/>
    <w:rsid w:val="00C31F64"/>
    <w:rsid w:val="00C32305"/>
    <w:rsid w:val="00C33B72"/>
    <w:rsid w:val="00C33EF0"/>
    <w:rsid w:val="00C34700"/>
    <w:rsid w:val="00C37574"/>
    <w:rsid w:val="00C40141"/>
    <w:rsid w:val="00C40D89"/>
    <w:rsid w:val="00C4308C"/>
    <w:rsid w:val="00C43636"/>
    <w:rsid w:val="00C43AC5"/>
    <w:rsid w:val="00C442CE"/>
    <w:rsid w:val="00C444D8"/>
    <w:rsid w:val="00C45019"/>
    <w:rsid w:val="00C45318"/>
    <w:rsid w:val="00C45F84"/>
    <w:rsid w:val="00C469E0"/>
    <w:rsid w:val="00C47546"/>
    <w:rsid w:val="00C511AE"/>
    <w:rsid w:val="00C522B0"/>
    <w:rsid w:val="00C522BD"/>
    <w:rsid w:val="00C535B3"/>
    <w:rsid w:val="00C55272"/>
    <w:rsid w:val="00C55C92"/>
    <w:rsid w:val="00C572DB"/>
    <w:rsid w:val="00C604FA"/>
    <w:rsid w:val="00C6191D"/>
    <w:rsid w:val="00C63F2A"/>
    <w:rsid w:val="00C64F11"/>
    <w:rsid w:val="00C66C0F"/>
    <w:rsid w:val="00C7100F"/>
    <w:rsid w:val="00C71B22"/>
    <w:rsid w:val="00C732D2"/>
    <w:rsid w:val="00C74188"/>
    <w:rsid w:val="00C74CF7"/>
    <w:rsid w:val="00C74D88"/>
    <w:rsid w:val="00C75858"/>
    <w:rsid w:val="00C75FDD"/>
    <w:rsid w:val="00C76B54"/>
    <w:rsid w:val="00C7726F"/>
    <w:rsid w:val="00C82AAB"/>
    <w:rsid w:val="00C862E9"/>
    <w:rsid w:val="00C865E9"/>
    <w:rsid w:val="00C86CE7"/>
    <w:rsid w:val="00C87213"/>
    <w:rsid w:val="00C87785"/>
    <w:rsid w:val="00C907C0"/>
    <w:rsid w:val="00C90DBA"/>
    <w:rsid w:val="00C93837"/>
    <w:rsid w:val="00C93E3A"/>
    <w:rsid w:val="00C969B7"/>
    <w:rsid w:val="00C978FE"/>
    <w:rsid w:val="00C97D6D"/>
    <w:rsid w:val="00CA1751"/>
    <w:rsid w:val="00CA2C88"/>
    <w:rsid w:val="00CA2C9A"/>
    <w:rsid w:val="00CA398B"/>
    <w:rsid w:val="00CA4195"/>
    <w:rsid w:val="00CA53F3"/>
    <w:rsid w:val="00CA58CE"/>
    <w:rsid w:val="00CA67F6"/>
    <w:rsid w:val="00CB2FFF"/>
    <w:rsid w:val="00CB3CC6"/>
    <w:rsid w:val="00CB69D5"/>
    <w:rsid w:val="00CB6A71"/>
    <w:rsid w:val="00CB7817"/>
    <w:rsid w:val="00CC00F9"/>
    <w:rsid w:val="00CC09F1"/>
    <w:rsid w:val="00CC4CB1"/>
    <w:rsid w:val="00CC627E"/>
    <w:rsid w:val="00CC779A"/>
    <w:rsid w:val="00CD29CE"/>
    <w:rsid w:val="00CD2D58"/>
    <w:rsid w:val="00CD36BC"/>
    <w:rsid w:val="00CD5575"/>
    <w:rsid w:val="00CD65F9"/>
    <w:rsid w:val="00CD6E8D"/>
    <w:rsid w:val="00CD724F"/>
    <w:rsid w:val="00CE0E94"/>
    <w:rsid w:val="00CE1528"/>
    <w:rsid w:val="00CE188C"/>
    <w:rsid w:val="00CE2951"/>
    <w:rsid w:val="00CE2959"/>
    <w:rsid w:val="00CE4208"/>
    <w:rsid w:val="00CE517D"/>
    <w:rsid w:val="00CE7EE6"/>
    <w:rsid w:val="00CF148C"/>
    <w:rsid w:val="00CF16A4"/>
    <w:rsid w:val="00CF2D94"/>
    <w:rsid w:val="00CF796E"/>
    <w:rsid w:val="00D00D53"/>
    <w:rsid w:val="00D0190B"/>
    <w:rsid w:val="00D02170"/>
    <w:rsid w:val="00D03058"/>
    <w:rsid w:val="00D03681"/>
    <w:rsid w:val="00D03D18"/>
    <w:rsid w:val="00D0645A"/>
    <w:rsid w:val="00D065E5"/>
    <w:rsid w:val="00D07038"/>
    <w:rsid w:val="00D0775C"/>
    <w:rsid w:val="00D111BC"/>
    <w:rsid w:val="00D11D8B"/>
    <w:rsid w:val="00D144FA"/>
    <w:rsid w:val="00D14B0F"/>
    <w:rsid w:val="00D14CF3"/>
    <w:rsid w:val="00D153A2"/>
    <w:rsid w:val="00D15E6E"/>
    <w:rsid w:val="00D16FCF"/>
    <w:rsid w:val="00D2052A"/>
    <w:rsid w:val="00D21043"/>
    <w:rsid w:val="00D22E2D"/>
    <w:rsid w:val="00D2465A"/>
    <w:rsid w:val="00D24B89"/>
    <w:rsid w:val="00D265EF"/>
    <w:rsid w:val="00D267EF"/>
    <w:rsid w:val="00D2761D"/>
    <w:rsid w:val="00D27A6A"/>
    <w:rsid w:val="00D27E35"/>
    <w:rsid w:val="00D30F21"/>
    <w:rsid w:val="00D3412C"/>
    <w:rsid w:val="00D342A2"/>
    <w:rsid w:val="00D3528B"/>
    <w:rsid w:val="00D355D0"/>
    <w:rsid w:val="00D35A4B"/>
    <w:rsid w:val="00D35AAC"/>
    <w:rsid w:val="00D36F24"/>
    <w:rsid w:val="00D37DDF"/>
    <w:rsid w:val="00D41E60"/>
    <w:rsid w:val="00D4367B"/>
    <w:rsid w:val="00D43BFC"/>
    <w:rsid w:val="00D44D33"/>
    <w:rsid w:val="00D4514E"/>
    <w:rsid w:val="00D463F1"/>
    <w:rsid w:val="00D5146B"/>
    <w:rsid w:val="00D514D7"/>
    <w:rsid w:val="00D514FB"/>
    <w:rsid w:val="00D524BB"/>
    <w:rsid w:val="00D531F1"/>
    <w:rsid w:val="00D53612"/>
    <w:rsid w:val="00D54C92"/>
    <w:rsid w:val="00D54E93"/>
    <w:rsid w:val="00D55320"/>
    <w:rsid w:val="00D55579"/>
    <w:rsid w:val="00D561C8"/>
    <w:rsid w:val="00D57CCE"/>
    <w:rsid w:val="00D61668"/>
    <w:rsid w:val="00D62DCD"/>
    <w:rsid w:val="00D645C6"/>
    <w:rsid w:val="00D64847"/>
    <w:rsid w:val="00D653EC"/>
    <w:rsid w:val="00D65E8E"/>
    <w:rsid w:val="00D66C96"/>
    <w:rsid w:val="00D66D24"/>
    <w:rsid w:val="00D6703D"/>
    <w:rsid w:val="00D6774E"/>
    <w:rsid w:val="00D67CAA"/>
    <w:rsid w:val="00D70119"/>
    <w:rsid w:val="00D7047D"/>
    <w:rsid w:val="00D717DA"/>
    <w:rsid w:val="00D74111"/>
    <w:rsid w:val="00D74D8C"/>
    <w:rsid w:val="00D76537"/>
    <w:rsid w:val="00D7659E"/>
    <w:rsid w:val="00D76A0E"/>
    <w:rsid w:val="00D815CF"/>
    <w:rsid w:val="00D82CFE"/>
    <w:rsid w:val="00D839A5"/>
    <w:rsid w:val="00D84140"/>
    <w:rsid w:val="00D84BA5"/>
    <w:rsid w:val="00D87461"/>
    <w:rsid w:val="00D92A20"/>
    <w:rsid w:val="00D946B0"/>
    <w:rsid w:val="00D97B42"/>
    <w:rsid w:val="00DA1E3F"/>
    <w:rsid w:val="00DA21F8"/>
    <w:rsid w:val="00DA2679"/>
    <w:rsid w:val="00DA26D4"/>
    <w:rsid w:val="00DA2B1E"/>
    <w:rsid w:val="00DA3039"/>
    <w:rsid w:val="00DA34FD"/>
    <w:rsid w:val="00DA5D9D"/>
    <w:rsid w:val="00DA6B88"/>
    <w:rsid w:val="00DA73B6"/>
    <w:rsid w:val="00DB0120"/>
    <w:rsid w:val="00DB127D"/>
    <w:rsid w:val="00DB283E"/>
    <w:rsid w:val="00DB73AA"/>
    <w:rsid w:val="00DC076A"/>
    <w:rsid w:val="00DC142A"/>
    <w:rsid w:val="00DC1C0C"/>
    <w:rsid w:val="00DC4428"/>
    <w:rsid w:val="00DC5DFB"/>
    <w:rsid w:val="00DC5EF5"/>
    <w:rsid w:val="00DC7B56"/>
    <w:rsid w:val="00DC7FB5"/>
    <w:rsid w:val="00DD0183"/>
    <w:rsid w:val="00DD0436"/>
    <w:rsid w:val="00DD101F"/>
    <w:rsid w:val="00DD11CA"/>
    <w:rsid w:val="00DD573B"/>
    <w:rsid w:val="00DD5F5A"/>
    <w:rsid w:val="00DD62AD"/>
    <w:rsid w:val="00DD68A3"/>
    <w:rsid w:val="00DD694E"/>
    <w:rsid w:val="00DD7153"/>
    <w:rsid w:val="00DE0F89"/>
    <w:rsid w:val="00DE197A"/>
    <w:rsid w:val="00DE24DA"/>
    <w:rsid w:val="00DE25DF"/>
    <w:rsid w:val="00DE376D"/>
    <w:rsid w:val="00DE47EA"/>
    <w:rsid w:val="00DE4DA2"/>
    <w:rsid w:val="00DE5133"/>
    <w:rsid w:val="00DE7AB6"/>
    <w:rsid w:val="00DE7BA7"/>
    <w:rsid w:val="00DF0481"/>
    <w:rsid w:val="00DF0566"/>
    <w:rsid w:val="00DF16CF"/>
    <w:rsid w:val="00DF2967"/>
    <w:rsid w:val="00DF2DA0"/>
    <w:rsid w:val="00DF48CB"/>
    <w:rsid w:val="00DF4F58"/>
    <w:rsid w:val="00DF6743"/>
    <w:rsid w:val="00DF7E29"/>
    <w:rsid w:val="00E00A8E"/>
    <w:rsid w:val="00E052BC"/>
    <w:rsid w:val="00E06486"/>
    <w:rsid w:val="00E06CA8"/>
    <w:rsid w:val="00E111BB"/>
    <w:rsid w:val="00E11F2F"/>
    <w:rsid w:val="00E12647"/>
    <w:rsid w:val="00E13A3A"/>
    <w:rsid w:val="00E14CD2"/>
    <w:rsid w:val="00E21871"/>
    <w:rsid w:val="00E21CF3"/>
    <w:rsid w:val="00E227A1"/>
    <w:rsid w:val="00E236DB"/>
    <w:rsid w:val="00E23B79"/>
    <w:rsid w:val="00E26FFB"/>
    <w:rsid w:val="00E301AE"/>
    <w:rsid w:val="00E315BC"/>
    <w:rsid w:val="00E323F8"/>
    <w:rsid w:val="00E333E7"/>
    <w:rsid w:val="00E33610"/>
    <w:rsid w:val="00E339D4"/>
    <w:rsid w:val="00E33BB1"/>
    <w:rsid w:val="00E34014"/>
    <w:rsid w:val="00E35139"/>
    <w:rsid w:val="00E362EC"/>
    <w:rsid w:val="00E36386"/>
    <w:rsid w:val="00E36ADB"/>
    <w:rsid w:val="00E411EA"/>
    <w:rsid w:val="00E42198"/>
    <w:rsid w:val="00E42D84"/>
    <w:rsid w:val="00E44555"/>
    <w:rsid w:val="00E4526A"/>
    <w:rsid w:val="00E453EB"/>
    <w:rsid w:val="00E50608"/>
    <w:rsid w:val="00E512A3"/>
    <w:rsid w:val="00E5158D"/>
    <w:rsid w:val="00E5165B"/>
    <w:rsid w:val="00E52555"/>
    <w:rsid w:val="00E52ABA"/>
    <w:rsid w:val="00E5314F"/>
    <w:rsid w:val="00E5395E"/>
    <w:rsid w:val="00E54FDE"/>
    <w:rsid w:val="00E55627"/>
    <w:rsid w:val="00E57011"/>
    <w:rsid w:val="00E57DFE"/>
    <w:rsid w:val="00E613A5"/>
    <w:rsid w:val="00E62522"/>
    <w:rsid w:val="00E653E3"/>
    <w:rsid w:val="00E66AEE"/>
    <w:rsid w:val="00E70C7E"/>
    <w:rsid w:val="00E70C89"/>
    <w:rsid w:val="00E70FF5"/>
    <w:rsid w:val="00E72D89"/>
    <w:rsid w:val="00E73560"/>
    <w:rsid w:val="00E736A7"/>
    <w:rsid w:val="00E76B21"/>
    <w:rsid w:val="00E77E7E"/>
    <w:rsid w:val="00E8052E"/>
    <w:rsid w:val="00E80BC2"/>
    <w:rsid w:val="00E80F1D"/>
    <w:rsid w:val="00E8168E"/>
    <w:rsid w:val="00E83952"/>
    <w:rsid w:val="00E83DDD"/>
    <w:rsid w:val="00E83FF2"/>
    <w:rsid w:val="00E84B1A"/>
    <w:rsid w:val="00E84DCA"/>
    <w:rsid w:val="00E85895"/>
    <w:rsid w:val="00E86187"/>
    <w:rsid w:val="00E86EE7"/>
    <w:rsid w:val="00E8786F"/>
    <w:rsid w:val="00E87C26"/>
    <w:rsid w:val="00E9039F"/>
    <w:rsid w:val="00E911EC"/>
    <w:rsid w:val="00E91D57"/>
    <w:rsid w:val="00E93DC6"/>
    <w:rsid w:val="00E93E2D"/>
    <w:rsid w:val="00E94316"/>
    <w:rsid w:val="00E94358"/>
    <w:rsid w:val="00E9467F"/>
    <w:rsid w:val="00E94D3C"/>
    <w:rsid w:val="00E94F99"/>
    <w:rsid w:val="00E9529B"/>
    <w:rsid w:val="00E96444"/>
    <w:rsid w:val="00EA1933"/>
    <w:rsid w:val="00EA1DA0"/>
    <w:rsid w:val="00EA2361"/>
    <w:rsid w:val="00EA52AA"/>
    <w:rsid w:val="00EA5D84"/>
    <w:rsid w:val="00EA71FC"/>
    <w:rsid w:val="00EA774E"/>
    <w:rsid w:val="00EA7D00"/>
    <w:rsid w:val="00EB11D4"/>
    <w:rsid w:val="00EB2886"/>
    <w:rsid w:val="00EB2B81"/>
    <w:rsid w:val="00EB398E"/>
    <w:rsid w:val="00EB56F2"/>
    <w:rsid w:val="00EB6805"/>
    <w:rsid w:val="00EB7FC0"/>
    <w:rsid w:val="00EC020E"/>
    <w:rsid w:val="00EC1082"/>
    <w:rsid w:val="00EC2FFB"/>
    <w:rsid w:val="00EC4096"/>
    <w:rsid w:val="00EC429C"/>
    <w:rsid w:val="00EC4A42"/>
    <w:rsid w:val="00EC4FE0"/>
    <w:rsid w:val="00EC4FF3"/>
    <w:rsid w:val="00EC6A51"/>
    <w:rsid w:val="00EC7278"/>
    <w:rsid w:val="00ED05AC"/>
    <w:rsid w:val="00ED10E2"/>
    <w:rsid w:val="00ED325F"/>
    <w:rsid w:val="00ED5AD8"/>
    <w:rsid w:val="00ED5E93"/>
    <w:rsid w:val="00ED61EE"/>
    <w:rsid w:val="00ED6C77"/>
    <w:rsid w:val="00ED6D4C"/>
    <w:rsid w:val="00EE0463"/>
    <w:rsid w:val="00EE04FA"/>
    <w:rsid w:val="00EE07AF"/>
    <w:rsid w:val="00EE2C22"/>
    <w:rsid w:val="00EE4050"/>
    <w:rsid w:val="00EE4149"/>
    <w:rsid w:val="00EE70BC"/>
    <w:rsid w:val="00EE7B7B"/>
    <w:rsid w:val="00EF0BCB"/>
    <w:rsid w:val="00EF368C"/>
    <w:rsid w:val="00EF64CE"/>
    <w:rsid w:val="00EF6D4B"/>
    <w:rsid w:val="00F0035A"/>
    <w:rsid w:val="00F00850"/>
    <w:rsid w:val="00F00E39"/>
    <w:rsid w:val="00F02B53"/>
    <w:rsid w:val="00F044F5"/>
    <w:rsid w:val="00F04E3E"/>
    <w:rsid w:val="00F07432"/>
    <w:rsid w:val="00F1044F"/>
    <w:rsid w:val="00F10771"/>
    <w:rsid w:val="00F10B99"/>
    <w:rsid w:val="00F123F2"/>
    <w:rsid w:val="00F13618"/>
    <w:rsid w:val="00F178CA"/>
    <w:rsid w:val="00F2024C"/>
    <w:rsid w:val="00F205E5"/>
    <w:rsid w:val="00F208CD"/>
    <w:rsid w:val="00F23678"/>
    <w:rsid w:val="00F254E0"/>
    <w:rsid w:val="00F25E68"/>
    <w:rsid w:val="00F262A5"/>
    <w:rsid w:val="00F26782"/>
    <w:rsid w:val="00F30A5A"/>
    <w:rsid w:val="00F320FD"/>
    <w:rsid w:val="00F32A45"/>
    <w:rsid w:val="00F34AF0"/>
    <w:rsid w:val="00F34DE1"/>
    <w:rsid w:val="00F363E7"/>
    <w:rsid w:val="00F428A4"/>
    <w:rsid w:val="00F440BF"/>
    <w:rsid w:val="00F461AB"/>
    <w:rsid w:val="00F4721A"/>
    <w:rsid w:val="00F5019A"/>
    <w:rsid w:val="00F511A1"/>
    <w:rsid w:val="00F512A3"/>
    <w:rsid w:val="00F51AB4"/>
    <w:rsid w:val="00F523A8"/>
    <w:rsid w:val="00F52688"/>
    <w:rsid w:val="00F54723"/>
    <w:rsid w:val="00F54925"/>
    <w:rsid w:val="00F54FBE"/>
    <w:rsid w:val="00F561A3"/>
    <w:rsid w:val="00F57359"/>
    <w:rsid w:val="00F57AF5"/>
    <w:rsid w:val="00F60A86"/>
    <w:rsid w:val="00F60CF5"/>
    <w:rsid w:val="00F61BCF"/>
    <w:rsid w:val="00F6243E"/>
    <w:rsid w:val="00F62B87"/>
    <w:rsid w:val="00F62D30"/>
    <w:rsid w:val="00F63880"/>
    <w:rsid w:val="00F64251"/>
    <w:rsid w:val="00F65208"/>
    <w:rsid w:val="00F656BF"/>
    <w:rsid w:val="00F66BF4"/>
    <w:rsid w:val="00F6773B"/>
    <w:rsid w:val="00F67BE6"/>
    <w:rsid w:val="00F7011E"/>
    <w:rsid w:val="00F702E1"/>
    <w:rsid w:val="00F72DAD"/>
    <w:rsid w:val="00F72EF0"/>
    <w:rsid w:val="00F735D6"/>
    <w:rsid w:val="00F74FDA"/>
    <w:rsid w:val="00F757CF"/>
    <w:rsid w:val="00F77E3F"/>
    <w:rsid w:val="00F828E0"/>
    <w:rsid w:val="00F83460"/>
    <w:rsid w:val="00F83726"/>
    <w:rsid w:val="00F8481F"/>
    <w:rsid w:val="00F84C6B"/>
    <w:rsid w:val="00F8560A"/>
    <w:rsid w:val="00F86B33"/>
    <w:rsid w:val="00F877EA"/>
    <w:rsid w:val="00F9126D"/>
    <w:rsid w:val="00F91C17"/>
    <w:rsid w:val="00F949B1"/>
    <w:rsid w:val="00F958EE"/>
    <w:rsid w:val="00F96EEB"/>
    <w:rsid w:val="00F96F8A"/>
    <w:rsid w:val="00F9761F"/>
    <w:rsid w:val="00FA027C"/>
    <w:rsid w:val="00FA0561"/>
    <w:rsid w:val="00FA08AA"/>
    <w:rsid w:val="00FA0F04"/>
    <w:rsid w:val="00FA102C"/>
    <w:rsid w:val="00FA1E7E"/>
    <w:rsid w:val="00FA3D4D"/>
    <w:rsid w:val="00FA4B8E"/>
    <w:rsid w:val="00FA752D"/>
    <w:rsid w:val="00FA7C80"/>
    <w:rsid w:val="00FA7EF7"/>
    <w:rsid w:val="00FB0896"/>
    <w:rsid w:val="00FB0A16"/>
    <w:rsid w:val="00FB0DB2"/>
    <w:rsid w:val="00FB2E47"/>
    <w:rsid w:val="00FB3124"/>
    <w:rsid w:val="00FB3AE1"/>
    <w:rsid w:val="00FB4050"/>
    <w:rsid w:val="00FB47A4"/>
    <w:rsid w:val="00FB4BE7"/>
    <w:rsid w:val="00FB53FF"/>
    <w:rsid w:val="00FC0CDA"/>
    <w:rsid w:val="00FC1D95"/>
    <w:rsid w:val="00FC2352"/>
    <w:rsid w:val="00FC23BB"/>
    <w:rsid w:val="00FC244C"/>
    <w:rsid w:val="00FC4283"/>
    <w:rsid w:val="00FC4A67"/>
    <w:rsid w:val="00FC4C19"/>
    <w:rsid w:val="00FC5616"/>
    <w:rsid w:val="00FC5B46"/>
    <w:rsid w:val="00FC6045"/>
    <w:rsid w:val="00FD0C25"/>
    <w:rsid w:val="00FD168F"/>
    <w:rsid w:val="00FD176E"/>
    <w:rsid w:val="00FD1CCC"/>
    <w:rsid w:val="00FD328C"/>
    <w:rsid w:val="00FD3EAB"/>
    <w:rsid w:val="00FD7299"/>
    <w:rsid w:val="00FD7A9F"/>
    <w:rsid w:val="00FE0442"/>
    <w:rsid w:val="00FE2005"/>
    <w:rsid w:val="00FE2094"/>
    <w:rsid w:val="00FE300F"/>
    <w:rsid w:val="00FE4696"/>
    <w:rsid w:val="00FE6A4D"/>
    <w:rsid w:val="00FE764B"/>
    <w:rsid w:val="00FF0645"/>
    <w:rsid w:val="00FF0A29"/>
    <w:rsid w:val="00FF0A2D"/>
    <w:rsid w:val="00FF0D73"/>
    <w:rsid w:val="00FF333A"/>
    <w:rsid w:val="00FF3BCB"/>
    <w:rsid w:val="00FF5382"/>
    <w:rsid w:val="00FF54E9"/>
    <w:rsid w:val="00FF5B19"/>
    <w:rsid w:val="00FF6080"/>
    <w:rsid w:val="00FF70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AA14F2"/>
  <w15:docId w15:val="{C4FFD591-1AFA-4F36-8EC9-0D236438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D5B64"/>
    <w:pPr>
      <w:spacing w:after="150" w:line="276" w:lineRule="auto"/>
      <w:jc w:val="both"/>
    </w:pPr>
    <w:rPr>
      <w:rFonts w:ascii="Calibri" w:hAnsi="Calibri"/>
      <w:szCs w:val="20"/>
    </w:rPr>
  </w:style>
  <w:style w:type="paragraph" w:styleId="Cmsor1">
    <w:name w:val="heading 1"/>
    <w:aliases w:val="Char Char, Char Char"/>
    <w:basedOn w:val="Norml"/>
    <w:next w:val="Norml"/>
    <w:link w:val="Cmsor1Char"/>
    <w:qFormat/>
    <w:rsid w:val="004D5B64"/>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basedOn w:val="Norml"/>
    <w:next w:val="Norml"/>
    <w:link w:val="Cmsor2Char"/>
    <w:unhideWhenUsed/>
    <w:qFormat/>
    <w:rsid w:val="004D5B64"/>
    <w:pPr>
      <w:numPr>
        <w:ilvl w:val="1"/>
        <w:numId w:val="3"/>
      </w:numPr>
      <w:spacing w:before="210" w:after="75"/>
      <w:jc w:val="left"/>
      <w:outlineLvl w:val="1"/>
    </w:pPr>
    <w:rPr>
      <w:b/>
      <w:color w:val="898D8D" w:themeColor="text2"/>
      <w:sz w:val="24"/>
      <w:szCs w:val="38"/>
    </w:rPr>
  </w:style>
  <w:style w:type="paragraph" w:styleId="Cmsor3">
    <w:name w:val="heading 3"/>
    <w:basedOn w:val="Norml"/>
    <w:next w:val="Norml"/>
    <w:link w:val="Cmsor3Char"/>
    <w:unhideWhenUsed/>
    <w:qFormat/>
    <w:rsid w:val="004D5B64"/>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4D5B64"/>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4D5B64"/>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4D5B64"/>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unhideWhenUsed/>
    <w:qFormat/>
    <w:rsid w:val="004D5B64"/>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4D5B64"/>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unhideWhenUsed/>
    <w:qFormat/>
    <w:rsid w:val="004D5B64"/>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4D5B6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4D5B64"/>
  </w:style>
  <w:style w:type="table" w:customStyle="1" w:styleId="tblzat-mtrix">
    <w:name w:val="táblázat - mátrix"/>
    <w:basedOn w:val="Normltblzat"/>
    <w:uiPriority w:val="2"/>
    <w:qFormat/>
    <w:rsid w:val="004D5B64"/>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4D5B64"/>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4D5B64"/>
    <w:pPr>
      <w:numPr>
        <w:numId w:val="8"/>
      </w:numPr>
      <w:contextualSpacing/>
    </w:pPr>
  </w:style>
  <w:style w:type="character" w:styleId="Hiperhivatkozs">
    <w:name w:val="Hyperlink"/>
    <w:basedOn w:val="Vgjegyzet-hivatkozs"/>
    <w:uiPriority w:val="99"/>
    <w:rsid w:val="004D5B64"/>
    <w:rPr>
      <w:rFonts w:ascii="Calibri" w:hAnsi="Calibri"/>
      <w:color w:val="0000FF"/>
      <w:sz w:val="20"/>
      <w:u w:val="single"/>
      <w:vertAlign w:val="superscript"/>
    </w:rPr>
  </w:style>
  <w:style w:type="table" w:customStyle="1" w:styleId="tblzat-oldallces">
    <w:name w:val="táblázat - oldalléces"/>
    <w:basedOn w:val="Normltblzat"/>
    <w:uiPriority w:val="3"/>
    <w:qFormat/>
    <w:rsid w:val="004D5B64"/>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4D5B64"/>
    <w:rPr>
      <w:vertAlign w:val="superscript"/>
    </w:rPr>
  </w:style>
  <w:style w:type="paragraph" w:styleId="Buborkszveg">
    <w:name w:val="Balloon Text"/>
    <w:basedOn w:val="Norml"/>
    <w:link w:val="BuborkszvegChar"/>
    <w:uiPriority w:val="99"/>
    <w:semiHidden/>
    <w:unhideWhenUsed/>
    <w:rsid w:val="004D5B64"/>
    <w:rPr>
      <w:rFonts w:ascii="Tahoma" w:hAnsi="Tahoma" w:cs="Tahoma"/>
      <w:sz w:val="16"/>
      <w:szCs w:val="16"/>
    </w:rPr>
  </w:style>
  <w:style w:type="paragraph" w:customStyle="1" w:styleId="Magyarzszveg">
    <w:name w:val="Magyarázó szöveg"/>
    <w:basedOn w:val="Norml"/>
    <w:next w:val="Norml"/>
    <w:uiPriority w:val="7"/>
    <w:rsid w:val="004D5B64"/>
    <w:rPr>
      <w:color w:val="202653" w:themeColor="accent5"/>
      <w:sz w:val="18"/>
    </w:rPr>
  </w:style>
  <w:style w:type="character" w:customStyle="1" w:styleId="BuborkszvegChar">
    <w:name w:val="Buborékszöveg Char"/>
    <w:basedOn w:val="Bekezdsalapbettpusa"/>
    <w:link w:val="Buborkszveg"/>
    <w:uiPriority w:val="99"/>
    <w:semiHidden/>
    <w:rsid w:val="004D5B64"/>
    <w:rPr>
      <w:rFonts w:ascii="Tahoma" w:hAnsi="Tahoma" w:cs="Tahoma"/>
      <w:sz w:val="16"/>
      <w:szCs w:val="16"/>
    </w:rPr>
  </w:style>
  <w:style w:type="paragraph" w:styleId="lfej">
    <w:name w:val="header"/>
    <w:basedOn w:val="Norml"/>
    <w:link w:val="lfejChar"/>
    <w:uiPriority w:val="99"/>
    <w:unhideWhenUsed/>
    <w:rsid w:val="004D5B64"/>
    <w:pPr>
      <w:tabs>
        <w:tab w:val="center" w:pos="4536"/>
        <w:tab w:val="right" w:pos="9072"/>
      </w:tabs>
    </w:pPr>
  </w:style>
  <w:style w:type="character" w:customStyle="1" w:styleId="lfejChar">
    <w:name w:val="Élőfej Char"/>
    <w:basedOn w:val="Bekezdsalapbettpusa"/>
    <w:link w:val="lfej"/>
    <w:uiPriority w:val="99"/>
    <w:rsid w:val="004D5B64"/>
    <w:rPr>
      <w:rFonts w:ascii="Calibri" w:hAnsi="Calibri"/>
      <w:szCs w:val="20"/>
    </w:rPr>
  </w:style>
  <w:style w:type="paragraph" w:styleId="llb">
    <w:name w:val="footer"/>
    <w:basedOn w:val="Norml"/>
    <w:link w:val="llbChar"/>
    <w:uiPriority w:val="99"/>
    <w:unhideWhenUsed/>
    <w:rsid w:val="004D5B64"/>
    <w:pPr>
      <w:tabs>
        <w:tab w:val="center" w:pos="4536"/>
        <w:tab w:val="right" w:pos="9072"/>
      </w:tabs>
    </w:pPr>
  </w:style>
  <w:style w:type="character" w:customStyle="1" w:styleId="llbChar">
    <w:name w:val="Élőláb Char"/>
    <w:basedOn w:val="Bekezdsalapbettpusa"/>
    <w:link w:val="llb"/>
    <w:uiPriority w:val="99"/>
    <w:rsid w:val="004D5B64"/>
    <w:rPr>
      <w:rFonts w:ascii="Calibri" w:hAnsi="Calibri"/>
      <w:szCs w:val="20"/>
    </w:rPr>
  </w:style>
  <w:style w:type="paragraph" w:customStyle="1" w:styleId="Szmozs">
    <w:name w:val="Számozás"/>
    <w:basedOn w:val="Norml"/>
    <w:uiPriority w:val="4"/>
    <w:qFormat/>
    <w:rsid w:val="004D5B64"/>
    <w:pPr>
      <w:numPr>
        <w:numId w:val="4"/>
      </w:numPr>
      <w:spacing w:before="120"/>
      <w:contextualSpacing/>
    </w:pPr>
  </w:style>
  <w:style w:type="table" w:styleId="Rcsostblzat">
    <w:name w:val="Table Grid"/>
    <w:aliases w:val="Szegély nélküli"/>
    <w:basedOn w:val="Normltblzat"/>
    <w:uiPriority w:val="59"/>
    <w:rsid w:val="004D5B64"/>
    <w:pPr>
      <w:contextualSpacing/>
    </w:pPr>
    <w:rPr>
      <w:rFonts w:ascii="Calibri" w:hAnsi="Calibri"/>
      <w:szCs w:val="20"/>
    </w:rPr>
    <w:tblPr/>
    <w:tcPr>
      <w:vAlign w:val="center"/>
    </w:tcPr>
  </w:style>
  <w:style w:type="character" w:customStyle="1" w:styleId="Cmsor4Char">
    <w:name w:val="Címsor 4 Char"/>
    <w:basedOn w:val="Bekezdsalapbettpusa"/>
    <w:link w:val="Cmsor4"/>
    <w:rsid w:val="004D5B64"/>
    <w:rPr>
      <w:rFonts w:ascii="Calibri" w:hAnsi="Calibri"/>
      <w:iCs/>
      <w:color w:val="898D8D" w:themeColor="text2"/>
      <w:szCs w:val="30"/>
    </w:rPr>
  </w:style>
  <w:style w:type="character" w:customStyle="1" w:styleId="Cmsor5Char">
    <w:name w:val="Címsor 5 Char"/>
    <w:basedOn w:val="Bekezdsalapbettpusa"/>
    <w:link w:val="Cmsor5"/>
    <w:rsid w:val="004D5B64"/>
    <w:rPr>
      <w:rFonts w:ascii="Calibri" w:hAnsi="Calibri"/>
      <w:color w:val="898D8D" w:themeColor="text2"/>
      <w:szCs w:val="26"/>
    </w:rPr>
  </w:style>
  <w:style w:type="character" w:customStyle="1" w:styleId="Cmsor6Char">
    <w:name w:val="Címsor 6 Char"/>
    <w:basedOn w:val="Bekezdsalapbettpusa"/>
    <w:link w:val="Cmsor6"/>
    <w:rsid w:val="004D5B64"/>
    <w:rPr>
      <w:rFonts w:ascii="Calibri" w:hAnsi="Calibri"/>
      <w:color w:val="898D8D" w:themeColor="text2"/>
      <w:szCs w:val="20"/>
    </w:rPr>
  </w:style>
  <w:style w:type="character" w:customStyle="1" w:styleId="Cmsor1Char">
    <w:name w:val="Címsor 1 Char"/>
    <w:aliases w:val="Char Char Char, Char Char Char"/>
    <w:basedOn w:val="Bekezdsalapbettpusa"/>
    <w:link w:val="Cmsor1"/>
    <w:rsid w:val="004D5B64"/>
    <w:rPr>
      <w:rFonts w:ascii="Calibri" w:eastAsiaTheme="majorEastAsia" w:hAnsi="Calibri" w:cstheme="majorBidi"/>
      <w:b/>
      <w:bCs/>
      <w:caps/>
      <w:color w:val="898D8D" w:themeColor="text2"/>
      <w:sz w:val="24"/>
      <w:szCs w:val="42"/>
    </w:rPr>
  </w:style>
  <w:style w:type="character" w:customStyle="1" w:styleId="Cmsor2Char">
    <w:name w:val="Címsor 2 Char"/>
    <w:basedOn w:val="Bekezdsalapbettpusa"/>
    <w:link w:val="Cmsor2"/>
    <w:rsid w:val="004D5B64"/>
    <w:rPr>
      <w:rFonts w:ascii="Calibri" w:hAnsi="Calibri"/>
      <w:b/>
      <w:color w:val="898D8D" w:themeColor="text2"/>
      <w:sz w:val="24"/>
      <w:szCs w:val="38"/>
    </w:rPr>
  </w:style>
  <w:style w:type="character" w:customStyle="1" w:styleId="Cmsor3Char">
    <w:name w:val="Címsor 3 Char"/>
    <w:basedOn w:val="Bekezdsalapbettpusa"/>
    <w:link w:val="Cmsor3"/>
    <w:rsid w:val="004D5B64"/>
    <w:rPr>
      <w:rFonts w:ascii="Calibri" w:hAnsi="Calibri"/>
      <w:bCs/>
      <w:color w:val="898D8D" w:themeColor="text2"/>
      <w:szCs w:val="34"/>
    </w:rPr>
  </w:style>
  <w:style w:type="paragraph" w:styleId="Cm">
    <w:name w:val="Title"/>
    <w:basedOn w:val="Norml"/>
    <w:next w:val="Norml"/>
    <w:link w:val="CmChar"/>
    <w:uiPriority w:val="3"/>
    <w:qFormat/>
    <w:rsid w:val="004D5B64"/>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4D5B64"/>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rsid w:val="004D5B64"/>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4D5B64"/>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rsid w:val="004D5B64"/>
    <w:rPr>
      <w:rFonts w:ascii="Calibri" w:eastAsiaTheme="majorEastAsia" w:hAnsi="Calibri" w:cstheme="majorBidi"/>
      <w:i/>
      <w:iCs/>
      <w:color w:val="404040" w:themeColor="text1" w:themeTint="BF"/>
      <w:szCs w:val="20"/>
    </w:rPr>
  </w:style>
  <w:style w:type="numbering" w:customStyle="1" w:styleId="Style1">
    <w:name w:val="Style1"/>
    <w:uiPriority w:val="99"/>
    <w:rsid w:val="004D5B64"/>
    <w:pPr>
      <w:numPr>
        <w:numId w:val="1"/>
      </w:numPr>
    </w:pPr>
  </w:style>
  <w:style w:type="paragraph" w:styleId="TJ7">
    <w:name w:val="toc 7"/>
    <w:basedOn w:val="Norml"/>
    <w:next w:val="Norml"/>
    <w:autoRedefine/>
    <w:uiPriority w:val="99"/>
    <w:locked/>
    <w:rsid w:val="004D5B64"/>
    <w:pPr>
      <w:spacing w:after="100"/>
      <w:ind w:left="1200"/>
    </w:pPr>
    <w:rPr>
      <w:color w:val="295A7E" w:themeColor="accent6" w:themeShade="80"/>
    </w:rPr>
  </w:style>
  <w:style w:type="paragraph" w:styleId="TJ8">
    <w:name w:val="toc 8"/>
    <w:basedOn w:val="Norml"/>
    <w:next w:val="Norml"/>
    <w:autoRedefine/>
    <w:uiPriority w:val="99"/>
    <w:locked/>
    <w:rsid w:val="004D5B64"/>
    <w:pPr>
      <w:spacing w:after="100"/>
      <w:ind w:left="1400"/>
    </w:pPr>
    <w:rPr>
      <w:color w:val="295A7E" w:themeColor="accent6" w:themeShade="80"/>
    </w:rPr>
  </w:style>
  <w:style w:type="paragraph" w:styleId="TJ9">
    <w:name w:val="toc 9"/>
    <w:basedOn w:val="Norml"/>
    <w:next w:val="Norml"/>
    <w:autoRedefine/>
    <w:uiPriority w:val="99"/>
    <w:locked/>
    <w:rsid w:val="004D5B64"/>
    <w:pPr>
      <w:spacing w:after="100"/>
      <w:ind w:left="1600"/>
    </w:pPr>
    <w:rPr>
      <w:color w:val="295A7E" w:themeColor="accent6" w:themeShade="80"/>
    </w:rPr>
  </w:style>
  <w:style w:type="table" w:customStyle="1" w:styleId="Calendar2">
    <w:name w:val="Calendar 2"/>
    <w:basedOn w:val="Normltblzat"/>
    <w:uiPriority w:val="99"/>
    <w:qFormat/>
    <w:rsid w:val="004D5B64"/>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D5B64"/>
    <w:rPr>
      <w:rFonts w:eastAsiaTheme="minorEastAsia"/>
      <w:color w:val="898D8D" w:themeColor="text2"/>
      <w:sz w:val="16"/>
    </w:rPr>
  </w:style>
  <w:style w:type="character" w:customStyle="1" w:styleId="LbjegyzetszvegChar">
    <w:name w:val="Lábjegyzetszöveg Char"/>
    <w:basedOn w:val="Bekezdsalapbettpusa"/>
    <w:link w:val="Lbjegyzetszveg"/>
    <w:uiPriority w:val="99"/>
    <w:rsid w:val="004D5B64"/>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4D5B6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D5B64"/>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4D5B6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4D5B64"/>
    <w:rPr>
      <w:color w:val="295A7E" w:themeColor="accent6" w:themeShade="80"/>
    </w:rPr>
  </w:style>
  <w:style w:type="character" w:customStyle="1" w:styleId="VgjegyzetszvegeChar">
    <w:name w:val="Végjegyzet szövege Char"/>
    <w:basedOn w:val="Bekezdsalapbettpusa"/>
    <w:link w:val="Vgjegyzetszvege"/>
    <w:uiPriority w:val="99"/>
    <w:semiHidden/>
    <w:rsid w:val="004D5B64"/>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4D5B64"/>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4D5B64"/>
    <w:pPr>
      <w:numPr>
        <w:numId w:val="5"/>
      </w:numPr>
    </w:pPr>
  </w:style>
  <w:style w:type="paragraph" w:customStyle="1" w:styleId="Tblaszvegstlus">
    <w:name w:val="Tábla szöveg stílus"/>
    <w:basedOn w:val="Norml"/>
    <w:link w:val="TblaszvegstlusChar"/>
    <w:uiPriority w:val="8"/>
    <w:qFormat/>
    <w:rsid w:val="004D5B64"/>
  </w:style>
  <w:style w:type="character" w:customStyle="1" w:styleId="ListaszerbekezdsChar">
    <w:name w:val="Listaszerű bekezdés Char"/>
    <w:basedOn w:val="Bekezdsalapbettpusa"/>
    <w:link w:val="Listaszerbekezds"/>
    <w:uiPriority w:val="4"/>
    <w:rsid w:val="004D5B64"/>
    <w:rPr>
      <w:rFonts w:ascii="Calibri" w:hAnsi="Calibri"/>
      <w:szCs w:val="20"/>
    </w:rPr>
  </w:style>
  <w:style w:type="character" w:customStyle="1" w:styleId="Listaszerbekezds2Char">
    <w:name w:val="Listaszerű bekezdés 2 Char"/>
    <w:basedOn w:val="ListaszerbekezdsChar"/>
    <w:link w:val="Listaszerbekezds2"/>
    <w:uiPriority w:val="4"/>
    <w:rsid w:val="004D5B64"/>
    <w:rPr>
      <w:rFonts w:ascii="Calibri" w:hAnsi="Calibri"/>
      <w:szCs w:val="20"/>
    </w:rPr>
  </w:style>
  <w:style w:type="character" w:customStyle="1" w:styleId="TblaszvegstlusChar">
    <w:name w:val="Tábla szöveg stílus Char"/>
    <w:basedOn w:val="Bekezdsalapbettpusa"/>
    <w:link w:val="Tblaszvegstlus"/>
    <w:uiPriority w:val="8"/>
    <w:rsid w:val="004D5B64"/>
    <w:rPr>
      <w:rFonts w:ascii="Calibri" w:hAnsi="Calibri"/>
      <w:szCs w:val="20"/>
    </w:rPr>
  </w:style>
  <w:style w:type="character" w:styleId="Finomhivatkozs">
    <w:name w:val="Subtle Reference"/>
    <w:basedOn w:val="Bekezdsalapbettpusa"/>
    <w:uiPriority w:val="31"/>
    <w:rsid w:val="004D5B64"/>
    <w:rPr>
      <w:sz w:val="24"/>
      <w:szCs w:val="24"/>
      <w:u w:val="single"/>
    </w:rPr>
  </w:style>
  <w:style w:type="character" w:styleId="Ershivatkozs">
    <w:name w:val="Intense Reference"/>
    <w:basedOn w:val="Bekezdsalapbettpusa"/>
    <w:uiPriority w:val="32"/>
    <w:rsid w:val="004D5B64"/>
    <w:rPr>
      <w:b/>
      <w:sz w:val="24"/>
      <w:u w:val="single"/>
    </w:rPr>
  </w:style>
  <w:style w:type="paragraph" w:customStyle="1" w:styleId="Listaszerbekezds2szint">
    <w:name w:val="Listaszerű bekezdés 2. szint"/>
    <w:basedOn w:val="Listaszerbekezds"/>
    <w:link w:val="Listaszerbekezds2szintChar"/>
    <w:uiPriority w:val="4"/>
    <w:qFormat/>
    <w:rsid w:val="004D5B64"/>
    <w:pPr>
      <w:numPr>
        <w:numId w:val="7"/>
      </w:numPr>
    </w:pPr>
  </w:style>
  <w:style w:type="paragraph" w:customStyle="1" w:styleId="Listaszerbekezds3szint">
    <w:name w:val="Listaszerű bekezdés 3. szint"/>
    <w:basedOn w:val="Listaszerbekezds"/>
    <w:link w:val="Listaszerbekezds3szintChar"/>
    <w:uiPriority w:val="4"/>
    <w:qFormat/>
    <w:rsid w:val="004D5B64"/>
    <w:pPr>
      <w:numPr>
        <w:ilvl w:val="2"/>
        <w:numId w:val="12"/>
      </w:numPr>
    </w:pPr>
  </w:style>
  <w:style w:type="character" w:customStyle="1" w:styleId="Listaszerbekezds2szintChar">
    <w:name w:val="Listaszerű bekezdés 2. szint Char"/>
    <w:basedOn w:val="ListaszerbekezdsChar"/>
    <w:link w:val="Listaszerbekezds2szint"/>
    <w:uiPriority w:val="4"/>
    <w:rsid w:val="004D5B64"/>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4D5B64"/>
    <w:rPr>
      <w:rFonts w:ascii="Calibri" w:hAnsi="Calibri"/>
      <w:szCs w:val="20"/>
    </w:rPr>
  </w:style>
  <w:style w:type="paragraph" w:styleId="Alcm">
    <w:name w:val="Subtitle"/>
    <w:basedOn w:val="Norml"/>
    <w:next w:val="Norml"/>
    <w:link w:val="AlcmChar"/>
    <w:uiPriority w:val="11"/>
    <w:rsid w:val="004D5B6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4D5B64"/>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4D5B64"/>
    <w:pPr>
      <w:numPr>
        <w:numId w:val="6"/>
      </w:numPr>
    </w:pPr>
  </w:style>
  <w:style w:type="character" w:customStyle="1" w:styleId="ListabetvelChar">
    <w:name w:val="Lista betűvel Char"/>
    <w:basedOn w:val="ListaszerbekezdsChar"/>
    <w:link w:val="Listabetvel"/>
    <w:uiPriority w:val="4"/>
    <w:rsid w:val="004D5B64"/>
    <w:rPr>
      <w:rFonts w:ascii="Calibri" w:hAnsi="Calibri"/>
      <w:szCs w:val="20"/>
    </w:rPr>
  </w:style>
  <w:style w:type="paragraph" w:customStyle="1" w:styleId="Erskiemels1">
    <w:name w:val="Erős kiemelés1"/>
    <w:basedOn w:val="Norml"/>
    <w:link w:val="ErskiemelsChar"/>
    <w:uiPriority w:val="5"/>
    <w:qFormat/>
    <w:rsid w:val="004D5B64"/>
    <w:rPr>
      <w:b/>
      <w:i/>
    </w:rPr>
  </w:style>
  <w:style w:type="character" w:customStyle="1" w:styleId="ErskiemelsChar">
    <w:name w:val="Erős kiemelés Char"/>
    <w:basedOn w:val="Bekezdsalapbettpusa"/>
    <w:link w:val="Erskiemels1"/>
    <w:uiPriority w:val="5"/>
    <w:rsid w:val="004D5B64"/>
    <w:rPr>
      <w:rFonts w:ascii="Calibri" w:hAnsi="Calibri"/>
      <w:b/>
      <w:i/>
      <w:szCs w:val="20"/>
    </w:rPr>
  </w:style>
  <w:style w:type="paragraph" w:customStyle="1" w:styleId="Bold">
    <w:name w:val="Bold"/>
    <w:basedOn w:val="Norml"/>
    <w:link w:val="BoldChar"/>
    <w:uiPriority w:val="6"/>
    <w:qFormat/>
    <w:rsid w:val="004D5B64"/>
    <w:rPr>
      <w:b/>
    </w:rPr>
  </w:style>
  <w:style w:type="character" w:customStyle="1" w:styleId="BoldChar">
    <w:name w:val="Bold Char"/>
    <w:basedOn w:val="Bekezdsalapbettpusa"/>
    <w:link w:val="Bold"/>
    <w:uiPriority w:val="6"/>
    <w:rsid w:val="004D5B64"/>
    <w:rPr>
      <w:rFonts w:ascii="Calibri" w:hAnsi="Calibri"/>
      <w:b/>
      <w:szCs w:val="20"/>
    </w:rPr>
  </w:style>
  <w:style w:type="character" w:styleId="Mrltotthiperhivatkozs">
    <w:name w:val="FollowedHyperlink"/>
    <w:basedOn w:val="Bekezdsalapbettpusa"/>
    <w:uiPriority w:val="99"/>
    <w:semiHidden/>
    <w:unhideWhenUsed/>
    <w:rsid w:val="004D5B64"/>
    <w:rPr>
      <w:color w:val="7BAFD4" w:themeColor="followedHyperlink"/>
      <w:u w:val="single"/>
    </w:rPr>
  </w:style>
  <w:style w:type="paragraph" w:styleId="Tartalomjegyzkcmsora">
    <w:name w:val="TOC Heading"/>
    <w:basedOn w:val="Cmsor1"/>
    <w:next w:val="Norml"/>
    <w:uiPriority w:val="39"/>
    <w:unhideWhenUsed/>
    <w:qFormat/>
    <w:rsid w:val="004D5B6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4D5B64"/>
    <w:pPr>
      <w:spacing w:after="100"/>
      <w:ind w:left="220"/>
      <w:jc w:val="left"/>
    </w:pPr>
    <w:rPr>
      <w:rFonts w:eastAsiaTheme="minorEastAsia"/>
    </w:rPr>
  </w:style>
  <w:style w:type="paragraph" w:styleId="TJ1">
    <w:name w:val="toc 1"/>
    <w:basedOn w:val="Norml"/>
    <w:next w:val="Norml"/>
    <w:autoRedefine/>
    <w:uiPriority w:val="39"/>
    <w:unhideWhenUsed/>
    <w:qFormat/>
    <w:locked/>
    <w:rsid w:val="004D5B64"/>
    <w:pPr>
      <w:spacing w:after="100"/>
      <w:jc w:val="left"/>
    </w:pPr>
    <w:rPr>
      <w:rFonts w:eastAsiaTheme="minorEastAsia"/>
    </w:rPr>
  </w:style>
  <w:style w:type="paragraph" w:styleId="TJ3">
    <w:name w:val="toc 3"/>
    <w:basedOn w:val="Norml"/>
    <w:next w:val="Norml"/>
    <w:uiPriority w:val="39"/>
    <w:unhideWhenUsed/>
    <w:qFormat/>
    <w:locked/>
    <w:rsid w:val="004D5B64"/>
    <w:pPr>
      <w:spacing w:after="100"/>
      <w:ind w:left="400"/>
    </w:pPr>
  </w:style>
  <w:style w:type="paragraph" w:customStyle="1" w:styleId="StyleTOC2Left015">
    <w:name w:val="Style TOC 2 + Left:  0.15&quot;"/>
    <w:basedOn w:val="TJ2"/>
    <w:rsid w:val="004D5B64"/>
    <w:pPr>
      <w:ind w:left="216"/>
    </w:pPr>
    <w:rPr>
      <w:rFonts w:eastAsia="Times New Roman" w:cs="Times New Roman"/>
    </w:rPr>
  </w:style>
  <w:style w:type="paragraph" w:customStyle="1" w:styleId="StyleTOC3Left031">
    <w:name w:val="Style TOC 3 + Left:  0.31&quot;"/>
    <w:basedOn w:val="TJ3"/>
    <w:rsid w:val="004D5B64"/>
    <w:pPr>
      <w:ind w:left="446"/>
    </w:pPr>
    <w:rPr>
      <w:rFonts w:eastAsia="Times New Roman" w:cs="Times New Roman"/>
    </w:rPr>
  </w:style>
  <w:style w:type="numbering" w:customStyle="1" w:styleId="Hierarchikuslista">
    <w:name w:val="Hierarchikus lista"/>
    <w:uiPriority w:val="99"/>
    <w:rsid w:val="004D5B64"/>
    <w:pPr>
      <w:numPr>
        <w:numId w:val="2"/>
      </w:numPr>
    </w:pPr>
  </w:style>
  <w:style w:type="paragraph" w:customStyle="1" w:styleId="HierarchikusLista0">
    <w:name w:val="Hierarchikus Lista"/>
    <w:basedOn w:val="Listaszerbekezds"/>
    <w:link w:val="HierarchikusListaChar"/>
    <w:qFormat/>
    <w:rsid w:val="004D5B64"/>
    <w:pPr>
      <w:numPr>
        <w:numId w:val="0"/>
      </w:numPr>
    </w:pPr>
  </w:style>
  <w:style w:type="character" w:customStyle="1" w:styleId="HierarchikusListaChar">
    <w:name w:val="Hierarchikus Lista Char"/>
    <w:basedOn w:val="ListaszerbekezdsChar"/>
    <w:link w:val="HierarchikusLista0"/>
    <w:rsid w:val="004D5B64"/>
    <w:rPr>
      <w:rFonts w:ascii="Calibri" w:hAnsi="Calibri"/>
      <w:szCs w:val="20"/>
    </w:rPr>
  </w:style>
  <w:style w:type="character" w:styleId="Kiemels2">
    <w:name w:val="Strong"/>
    <w:aliases w:val="Kiemelés2"/>
    <w:basedOn w:val="Bekezdsalapbettpusa"/>
    <w:uiPriority w:val="22"/>
    <w:rsid w:val="004D5B64"/>
    <w:rPr>
      <w:b/>
      <w:bCs/>
    </w:rPr>
  </w:style>
  <w:style w:type="character" w:styleId="Kiemels">
    <w:name w:val="Emphasis"/>
    <w:basedOn w:val="Bekezdsalapbettpusa"/>
    <w:uiPriority w:val="6"/>
    <w:qFormat/>
    <w:rsid w:val="004D5B64"/>
    <w:rPr>
      <w:i/>
      <w:iCs/>
    </w:rPr>
  </w:style>
  <w:style w:type="paragraph" w:styleId="Nincstrkz">
    <w:name w:val="No Spacing"/>
    <w:basedOn w:val="Norml"/>
    <w:uiPriority w:val="1"/>
    <w:rsid w:val="004D5B64"/>
    <w:rPr>
      <w:szCs w:val="32"/>
    </w:rPr>
  </w:style>
  <w:style w:type="paragraph" w:styleId="Idzet">
    <w:name w:val="Quote"/>
    <w:basedOn w:val="Norml"/>
    <w:next w:val="Norml"/>
    <w:link w:val="IdzetChar"/>
    <w:uiPriority w:val="29"/>
    <w:rsid w:val="004D5B64"/>
    <w:rPr>
      <w:i/>
    </w:rPr>
  </w:style>
  <w:style w:type="character" w:customStyle="1" w:styleId="IdzetChar">
    <w:name w:val="Idézet Char"/>
    <w:basedOn w:val="Bekezdsalapbettpusa"/>
    <w:link w:val="Idzet"/>
    <w:uiPriority w:val="29"/>
    <w:rsid w:val="004D5B64"/>
    <w:rPr>
      <w:rFonts w:ascii="Calibri" w:hAnsi="Calibri"/>
      <w:i/>
      <w:szCs w:val="20"/>
    </w:rPr>
  </w:style>
  <w:style w:type="paragraph" w:styleId="Kiemeltidzet">
    <w:name w:val="Intense Quote"/>
    <w:basedOn w:val="Norml"/>
    <w:next w:val="Norml"/>
    <w:link w:val="KiemeltidzetChar"/>
    <w:uiPriority w:val="30"/>
    <w:rsid w:val="004D5B64"/>
    <w:pPr>
      <w:ind w:left="720" w:right="720"/>
    </w:pPr>
    <w:rPr>
      <w:b/>
      <w:i/>
    </w:rPr>
  </w:style>
  <w:style w:type="character" w:customStyle="1" w:styleId="KiemeltidzetChar">
    <w:name w:val="Kiemelt idézet Char"/>
    <w:basedOn w:val="Bekezdsalapbettpusa"/>
    <w:link w:val="Kiemeltidzet"/>
    <w:uiPriority w:val="30"/>
    <w:rsid w:val="004D5B64"/>
    <w:rPr>
      <w:rFonts w:ascii="Calibri" w:hAnsi="Calibri"/>
      <w:b/>
      <w:i/>
      <w:szCs w:val="20"/>
    </w:rPr>
  </w:style>
  <w:style w:type="character" w:styleId="Erskiemels">
    <w:name w:val="Intense Emphasis"/>
    <w:basedOn w:val="Bekezdsalapbettpusa"/>
    <w:uiPriority w:val="21"/>
    <w:rsid w:val="004D5B64"/>
    <w:rPr>
      <w:b/>
      <w:i/>
      <w:sz w:val="24"/>
      <w:szCs w:val="24"/>
      <w:u w:val="single"/>
    </w:rPr>
  </w:style>
  <w:style w:type="character" w:styleId="Knyvcme">
    <w:name w:val="Book Title"/>
    <w:basedOn w:val="Bekezdsalapbettpusa"/>
    <w:uiPriority w:val="33"/>
    <w:rsid w:val="004D5B64"/>
    <w:rPr>
      <w:rFonts w:ascii="Calibri" w:eastAsiaTheme="majorEastAsia" w:hAnsi="Calibri"/>
      <w:b/>
      <w:i/>
      <w:sz w:val="24"/>
      <w:szCs w:val="24"/>
    </w:rPr>
  </w:style>
  <w:style w:type="paragraph" w:customStyle="1" w:styleId="Szvegdobozstlus">
    <w:name w:val="Szövegdoboz stílus"/>
    <w:basedOn w:val="HierarchikusLista0"/>
    <w:qFormat/>
    <w:rsid w:val="004D5B64"/>
    <w:rPr>
      <w:b/>
      <w:i/>
      <w:color w:val="009EE0"/>
    </w:rPr>
  </w:style>
  <w:style w:type="table" w:customStyle="1" w:styleId="Rcsos">
    <w:name w:val="Rácsos"/>
    <w:basedOn w:val="Normltblzat"/>
    <w:uiPriority w:val="99"/>
    <w:rsid w:val="004D5B64"/>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Jegyzethivatkozs">
    <w:name w:val="annotation reference"/>
    <w:basedOn w:val="Bekezdsalapbettpusa"/>
    <w:unhideWhenUsed/>
    <w:rsid w:val="0064354D"/>
    <w:rPr>
      <w:sz w:val="16"/>
      <w:szCs w:val="16"/>
    </w:rPr>
  </w:style>
  <w:style w:type="paragraph" w:styleId="Jegyzetszveg">
    <w:name w:val="annotation text"/>
    <w:basedOn w:val="Norml"/>
    <w:link w:val="JegyzetszvegChar"/>
    <w:unhideWhenUsed/>
    <w:rsid w:val="0064354D"/>
  </w:style>
  <w:style w:type="character" w:customStyle="1" w:styleId="JegyzetszvegChar">
    <w:name w:val="Jegyzetszöveg Char"/>
    <w:basedOn w:val="Bekezdsalapbettpusa"/>
    <w:link w:val="Jegyzetszveg"/>
    <w:rsid w:val="0064354D"/>
    <w:rPr>
      <w:rFonts w:ascii="Calibri" w:hAnsi="Calibri"/>
      <w:szCs w:val="20"/>
    </w:rPr>
  </w:style>
  <w:style w:type="paragraph" w:styleId="Megjegyzstrgya">
    <w:name w:val="annotation subject"/>
    <w:basedOn w:val="Jegyzetszveg"/>
    <w:next w:val="Jegyzetszveg"/>
    <w:link w:val="MegjegyzstrgyaChar"/>
    <w:unhideWhenUsed/>
    <w:rsid w:val="0064085A"/>
    <w:pPr>
      <w:spacing w:line="240" w:lineRule="auto"/>
    </w:pPr>
    <w:rPr>
      <w:b/>
      <w:bCs/>
    </w:rPr>
  </w:style>
  <w:style w:type="character" w:customStyle="1" w:styleId="MegjegyzstrgyaChar">
    <w:name w:val="Megjegyzés tárgya Char"/>
    <w:basedOn w:val="JegyzetszvegChar"/>
    <w:link w:val="Megjegyzstrgya"/>
    <w:rsid w:val="0064085A"/>
    <w:rPr>
      <w:rFonts w:ascii="Calibri" w:hAnsi="Calibri"/>
      <w:b/>
      <w:bCs/>
      <w:szCs w:val="20"/>
    </w:rPr>
  </w:style>
  <w:style w:type="paragraph" w:styleId="Vltozat">
    <w:name w:val="Revision"/>
    <w:hidden/>
    <w:uiPriority w:val="99"/>
    <w:semiHidden/>
    <w:rsid w:val="00D03D18"/>
    <w:rPr>
      <w:rFonts w:ascii="Calibri" w:hAnsi="Calibri"/>
    </w:rPr>
  </w:style>
  <w:style w:type="paragraph" w:styleId="Szvegtrzs2">
    <w:name w:val="Body Text 2"/>
    <w:basedOn w:val="Norml"/>
    <w:link w:val="Szvegtrzs2Char"/>
    <w:rsid w:val="0093782C"/>
    <w:pPr>
      <w:spacing w:after="0" w:line="240" w:lineRule="auto"/>
    </w:pPr>
    <w:rPr>
      <w:rFonts w:ascii="Times New Roman" w:eastAsia="Times New Roman" w:hAnsi="Times New Roman" w:cs="Times New Roman"/>
      <w:sz w:val="24"/>
    </w:rPr>
  </w:style>
  <w:style w:type="character" w:customStyle="1" w:styleId="Szvegtrzs2Char">
    <w:name w:val="Szövegtörzs 2 Char"/>
    <w:basedOn w:val="Bekezdsalapbettpusa"/>
    <w:link w:val="Szvegtrzs2"/>
    <w:rsid w:val="0093782C"/>
    <w:rPr>
      <w:rFonts w:ascii="Times New Roman" w:eastAsia="Times New Roman" w:hAnsi="Times New Roman" w:cs="Times New Roman"/>
      <w:sz w:val="24"/>
      <w:szCs w:val="20"/>
    </w:rPr>
  </w:style>
  <w:style w:type="paragraph" w:customStyle="1" w:styleId="Erskiemels2">
    <w:name w:val="Erős kiemelés2"/>
    <w:basedOn w:val="Norml"/>
    <w:uiPriority w:val="5"/>
    <w:qFormat/>
    <w:rsid w:val="00796EA1"/>
    <w:rPr>
      <w:b/>
      <w:i/>
    </w:rPr>
  </w:style>
  <w:style w:type="paragraph" w:customStyle="1" w:styleId="Default">
    <w:name w:val="Default"/>
    <w:rsid w:val="00DC7FB5"/>
    <w:pPr>
      <w:autoSpaceDE w:val="0"/>
      <w:autoSpaceDN w:val="0"/>
      <w:adjustRightInd w:val="0"/>
    </w:pPr>
    <w:rPr>
      <w:rFonts w:ascii="Times New Roman" w:eastAsia="Calibri" w:hAnsi="Times New Roman" w:cs="Times New Roman"/>
      <w:color w:val="000000"/>
      <w:sz w:val="24"/>
      <w:szCs w:val="24"/>
    </w:rPr>
  </w:style>
  <w:style w:type="paragraph" w:styleId="NormlWeb">
    <w:name w:val="Normal (Web)"/>
    <w:basedOn w:val="Norml"/>
    <w:uiPriority w:val="99"/>
    <w:rsid w:val="00DC7FB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Szvegtrzs">
    <w:name w:val="Body Text"/>
    <w:basedOn w:val="Norml"/>
    <w:link w:val="SzvegtrzsChar"/>
    <w:rsid w:val="00DC7FB5"/>
    <w:pPr>
      <w:widowControl w:val="0"/>
      <w:spacing w:after="0" w:line="240" w:lineRule="auto"/>
    </w:pPr>
    <w:rPr>
      <w:rFonts w:ascii="Times New Roman" w:eastAsia="Times New Roman" w:hAnsi="Times New Roman" w:cs="Times New Roman"/>
      <w:spacing w:val="-6"/>
      <w:sz w:val="24"/>
      <w:lang w:val="x-none" w:eastAsia="x-none"/>
    </w:rPr>
  </w:style>
  <w:style w:type="character" w:customStyle="1" w:styleId="SzvegtrzsChar">
    <w:name w:val="Szövegtörzs Char"/>
    <w:basedOn w:val="Bekezdsalapbettpusa"/>
    <w:link w:val="Szvegtrzs"/>
    <w:rsid w:val="00DC7FB5"/>
    <w:rPr>
      <w:rFonts w:ascii="Times New Roman" w:eastAsia="Times New Roman" w:hAnsi="Times New Roman" w:cs="Times New Roman"/>
      <w:spacing w:val="-6"/>
      <w:sz w:val="24"/>
      <w:szCs w:val="20"/>
      <w:lang w:val="x-none" w:eastAsia="x-none"/>
    </w:rPr>
  </w:style>
  <w:style w:type="paragraph" w:customStyle="1" w:styleId="ossz2">
    <w:name w:val="ossz2"/>
    <w:basedOn w:val="Norml"/>
    <w:next w:val="Norml"/>
    <w:rsid w:val="00DC7FB5"/>
    <w:pPr>
      <w:spacing w:after="120" w:line="240" w:lineRule="auto"/>
    </w:pPr>
    <w:rPr>
      <w:rFonts w:ascii="Times New Roman" w:eastAsia="Times New Roman" w:hAnsi="Times New Roman" w:cs="Times New Roman"/>
      <w:sz w:val="24"/>
    </w:rPr>
  </w:style>
  <w:style w:type="paragraph" w:customStyle="1" w:styleId="CharChar1CharCharCharCharCharCharCharCharCharCharCharCharChar">
    <w:name w:val="Char Char1 Char Char Char Char Char Char Char Char Char Char Char Char Char"/>
    <w:basedOn w:val="Norml"/>
    <w:rsid w:val="00DC7FB5"/>
    <w:pPr>
      <w:spacing w:after="160" w:line="240" w:lineRule="exact"/>
      <w:jc w:val="left"/>
    </w:pPr>
    <w:rPr>
      <w:rFonts w:ascii="Verdana" w:eastAsia="Times New Roman" w:hAnsi="Verdana" w:cs="Times New Roman"/>
      <w:lang w:val="en-US" w:eastAsia="en-US"/>
    </w:rPr>
  </w:style>
  <w:style w:type="paragraph" w:styleId="Szvegtrzs3">
    <w:name w:val="Body Text 3"/>
    <w:basedOn w:val="Norml"/>
    <w:link w:val="Szvegtrzs3Char"/>
    <w:unhideWhenUsed/>
    <w:rsid w:val="00DC7FB5"/>
    <w:pPr>
      <w:spacing w:after="120" w:line="240" w:lineRule="auto"/>
      <w:jc w:val="left"/>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rsid w:val="00DC7FB5"/>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nhideWhenUsed/>
    <w:rsid w:val="00DC7FB5"/>
    <w:pPr>
      <w:spacing w:after="120" w:line="240" w:lineRule="auto"/>
      <w:ind w:left="283"/>
      <w:jc w:val="left"/>
    </w:pPr>
    <w:rPr>
      <w:rFonts w:ascii="Times New Roman" w:eastAsia="Times New Roman" w:hAnsi="Times New Roman" w:cs="Times New Roman"/>
      <w:lang w:val="x-none" w:eastAsia="x-none"/>
    </w:rPr>
  </w:style>
  <w:style w:type="character" w:customStyle="1" w:styleId="SzvegtrzsbehzssalChar">
    <w:name w:val="Szövegtörzs behúzással Char"/>
    <w:basedOn w:val="Bekezdsalapbettpusa"/>
    <w:link w:val="Szvegtrzsbehzssal"/>
    <w:rsid w:val="00DC7FB5"/>
    <w:rPr>
      <w:rFonts w:ascii="Times New Roman" w:eastAsia="Times New Roman" w:hAnsi="Times New Roman" w:cs="Times New Roman"/>
      <w:szCs w:val="20"/>
      <w:lang w:val="x-none" w:eastAsia="x-none"/>
    </w:rPr>
  </w:style>
  <w:style w:type="character" w:styleId="Oldalszm">
    <w:name w:val="page number"/>
    <w:basedOn w:val="Bekezdsalapbettpusa"/>
    <w:rsid w:val="00DC7FB5"/>
  </w:style>
  <w:style w:type="paragraph" w:styleId="Szvegtrzsbehzssal2">
    <w:name w:val="Body Text Indent 2"/>
    <w:basedOn w:val="Norml"/>
    <w:link w:val="Szvegtrzsbehzssal2Char"/>
    <w:rsid w:val="00DC7FB5"/>
    <w:pPr>
      <w:spacing w:after="0" w:line="240" w:lineRule="auto"/>
      <w:ind w:left="709" w:hanging="709"/>
    </w:pPr>
    <w:rPr>
      <w:rFonts w:ascii="Times New Roman" w:eastAsia="Times New Roman" w:hAnsi="Times New Roman" w:cs="Times New Roman"/>
      <w:spacing w:val="-6"/>
      <w:sz w:val="24"/>
      <w:lang w:val="x-none" w:eastAsia="x-none"/>
    </w:rPr>
  </w:style>
  <w:style w:type="character" w:customStyle="1" w:styleId="Szvegtrzsbehzssal2Char">
    <w:name w:val="Szövegtörzs behúzással 2 Char"/>
    <w:basedOn w:val="Bekezdsalapbettpusa"/>
    <w:link w:val="Szvegtrzsbehzssal2"/>
    <w:rsid w:val="00DC7FB5"/>
    <w:rPr>
      <w:rFonts w:ascii="Times New Roman" w:eastAsia="Times New Roman" w:hAnsi="Times New Roman" w:cs="Times New Roman"/>
      <w:spacing w:val="-6"/>
      <w:sz w:val="24"/>
      <w:szCs w:val="20"/>
      <w:lang w:val="x-none" w:eastAsia="x-none"/>
    </w:rPr>
  </w:style>
  <w:style w:type="character" w:customStyle="1" w:styleId="LbjegyzetszvegChar1">
    <w:name w:val="Lábjegyzetszöveg Char1"/>
    <w:uiPriority w:val="99"/>
    <w:semiHidden/>
    <w:rsid w:val="00DC7FB5"/>
    <w:rPr>
      <w:lang w:eastAsia="en-US"/>
    </w:rPr>
  </w:style>
  <w:style w:type="paragraph" w:customStyle="1" w:styleId="Char1">
    <w:name w:val="Char1"/>
    <w:basedOn w:val="Norml"/>
    <w:rsid w:val="00DC7FB5"/>
    <w:pPr>
      <w:spacing w:after="160" w:line="240" w:lineRule="exact"/>
      <w:jc w:val="left"/>
    </w:pPr>
    <w:rPr>
      <w:rFonts w:ascii="Verdana" w:eastAsia="Times New Roman" w:hAnsi="Verdana" w:cs="Times New Roman"/>
      <w:lang w:val="en-US" w:eastAsia="en-US"/>
    </w:rPr>
  </w:style>
  <w:style w:type="character" w:customStyle="1" w:styleId="Char">
    <w:name w:val="Char"/>
    <w:rsid w:val="00DC7FB5"/>
    <w:rPr>
      <w:lang w:val="hu-HU" w:eastAsia="hu-HU" w:bidi="ar-SA"/>
    </w:rPr>
  </w:style>
  <w:style w:type="paragraph" w:customStyle="1" w:styleId="Bekezds-kitlt">
    <w:name w:val="Bekezdés-kitölt"/>
    <w:basedOn w:val="Norml"/>
    <w:rsid w:val="00DC7FB5"/>
    <w:pPr>
      <w:numPr>
        <w:numId w:val="10"/>
      </w:numPr>
      <w:spacing w:after="0" w:line="240" w:lineRule="auto"/>
    </w:pPr>
    <w:rPr>
      <w:rFonts w:ascii="Garamond" w:eastAsia="Times New Roman" w:hAnsi="Garamond" w:cs="Times New Roman"/>
      <w:sz w:val="24"/>
    </w:rPr>
  </w:style>
  <w:style w:type="paragraph" w:customStyle="1" w:styleId="Folyszveg-kitlt">
    <w:name w:val="Folyószöveg-kitölt"/>
    <w:basedOn w:val="Norml"/>
    <w:rsid w:val="00DC7FB5"/>
    <w:pPr>
      <w:spacing w:after="0" w:line="240" w:lineRule="auto"/>
    </w:pPr>
    <w:rPr>
      <w:rFonts w:ascii="Garamond" w:eastAsia="Times New Roman" w:hAnsi="Garamond" w:cs="Times New Roman"/>
      <w:sz w:val="24"/>
    </w:rPr>
  </w:style>
  <w:style w:type="character" w:styleId="Lbjegyzet-hivatkozs">
    <w:name w:val="footnote reference"/>
    <w:rsid w:val="00DC7FB5"/>
    <w:rPr>
      <w:vertAlign w:val="superscript"/>
    </w:rPr>
  </w:style>
  <w:style w:type="paragraph" w:styleId="Csakszveg">
    <w:name w:val="Plain Text"/>
    <w:basedOn w:val="Norml"/>
    <w:link w:val="CsakszvegChar"/>
    <w:uiPriority w:val="99"/>
    <w:rsid w:val="00DC7FB5"/>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DC7FB5"/>
    <w:rPr>
      <w:rFonts w:ascii="Courier New" w:eastAsia="Times New Roman" w:hAnsi="Courier New" w:cs="Times New Roman"/>
      <w:szCs w:val="20"/>
      <w:lang w:val="x-none" w:eastAsia="x-none"/>
    </w:rPr>
  </w:style>
  <w:style w:type="paragraph" w:customStyle="1" w:styleId="c1">
    <w:name w:val="c1"/>
    <w:basedOn w:val="Norml"/>
    <w:rsid w:val="00DC7FB5"/>
    <w:pPr>
      <w:spacing w:after="0" w:line="240" w:lineRule="auto"/>
      <w:ind w:firstLine="284"/>
    </w:pPr>
    <w:rPr>
      <w:rFonts w:ascii="Times New Roman" w:eastAsia="Times New Roman" w:hAnsi="Times New Roman" w:cs="Times New Roman"/>
      <w:color w:val="000000"/>
    </w:rPr>
  </w:style>
  <w:style w:type="paragraph" w:customStyle="1" w:styleId="TableLine">
    <w:name w:val="TableLine"/>
    <w:basedOn w:val="Norml"/>
    <w:rsid w:val="00DC7FB5"/>
    <w:pPr>
      <w:spacing w:before="60" w:after="60" w:line="240" w:lineRule="auto"/>
    </w:pPr>
    <w:rPr>
      <w:rFonts w:ascii="Times New Roman" w:eastAsia="Times New Roman" w:hAnsi="Times New Roman" w:cs="Times New Roman"/>
      <w:sz w:val="24"/>
    </w:rPr>
  </w:style>
  <w:style w:type="paragraph" w:customStyle="1" w:styleId="levl">
    <w:name w:val="levél"/>
    <w:basedOn w:val="Norml"/>
    <w:rsid w:val="00DC7FB5"/>
    <w:pPr>
      <w:spacing w:after="120" w:line="312" w:lineRule="auto"/>
    </w:pPr>
    <w:rPr>
      <w:rFonts w:ascii="Times New Roman" w:eastAsia="Times New Roman" w:hAnsi="Times New Roman" w:cs="Times New Roman"/>
      <w:sz w:val="24"/>
    </w:rPr>
  </w:style>
  <w:style w:type="paragraph" w:styleId="Szvegtrzsbehzssal3">
    <w:name w:val="Body Text Indent 3"/>
    <w:basedOn w:val="Norml"/>
    <w:link w:val="Szvegtrzsbehzssal3Char"/>
    <w:rsid w:val="00DC7FB5"/>
    <w:pPr>
      <w:spacing w:after="0" w:line="240" w:lineRule="auto"/>
      <w:ind w:firstLine="180"/>
    </w:pPr>
    <w:rPr>
      <w:rFonts w:ascii="Times New Roman" w:eastAsia="Times New Roman" w:hAnsi="Times New Roman" w:cs="Times New Roman"/>
      <w:snapToGrid w:val="0"/>
      <w:sz w:val="22"/>
      <w:szCs w:val="24"/>
      <w:lang w:val="x-none" w:eastAsia="x-none"/>
    </w:rPr>
  </w:style>
  <w:style w:type="character" w:customStyle="1" w:styleId="Szvegtrzsbehzssal3Char">
    <w:name w:val="Szövegtörzs behúzással 3 Char"/>
    <w:basedOn w:val="Bekezdsalapbettpusa"/>
    <w:link w:val="Szvegtrzsbehzssal3"/>
    <w:rsid w:val="00DC7FB5"/>
    <w:rPr>
      <w:rFonts w:ascii="Times New Roman" w:eastAsia="Times New Roman" w:hAnsi="Times New Roman" w:cs="Times New Roman"/>
      <w:snapToGrid w:val="0"/>
      <w:sz w:val="22"/>
      <w:szCs w:val="24"/>
      <w:lang w:val="x-none" w:eastAsia="x-none"/>
    </w:rPr>
  </w:style>
  <w:style w:type="paragraph" w:styleId="Dokumentumtrkp">
    <w:name w:val="Document Map"/>
    <w:aliases w:val=" Char3"/>
    <w:basedOn w:val="Norml"/>
    <w:link w:val="DokumentumtrkpChar"/>
    <w:rsid w:val="00DC7FB5"/>
    <w:pPr>
      <w:shd w:val="clear" w:color="auto" w:fill="000080"/>
      <w:spacing w:after="0" w:line="240" w:lineRule="auto"/>
      <w:jc w:val="left"/>
    </w:pPr>
    <w:rPr>
      <w:rFonts w:ascii="Tahoma" w:eastAsia="Times New Roman" w:hAnsi="Tahoma" w:cs="Times New Roman"/>
      <w:lang w:val="x-none" w:eastAsia="x-none"/>
    </w:rPr>
  </w:style>
  <w:style w:type="character" w:customStyle="1" w:styleId="DokumentumtrkpChar">
    <w:name w:val="Dokumentumtérkép Char"/>
    <w:aliases w:val=" Char3 Char"/>
    <w:basedOn w:val="Bekezdsalapbettpusa"/>
    <w:link w:val="Dokumentumtrkp"/>
    <w:rsid w:val="00DC7FB5"/>
    <w:rPr>
      <w:rFonts w:ascii="Tahoma" w:eastAsia="Times New Roman" w:hAnsi="Tahoma" w:cs="Times New Roman"/>
      <w:szCs w:val="20"/>
      <w:shd w:val="clear" w:color="auto" w:fill="000080"/>
      <w:lang w:val="x-none" w:eastAsia="x-none"/>
    </w:rPr>
  </w:style>
  <w:style w:type="paragraph" w:customStyle="1" w:styleId="msolistparagraph0">
    <w:name w:val="msolistparagraph"/>
    <w:basedOn w:val="Norml"/>
    <w:rsid w:val="00DC7FB5"/>
    <w:pPr>
      <w:spacing w:after="0" w:line="240" w:lineRule="auto"/>
      <w:ind w:left="720"/>
      <w:jc w:val="left"/>
    </w:pPr>
    <w:rPr>
      <w:rFonts w:ascii="Times New Roman" w:eastAsia="Times New Roman" w:hAnsi="Times New Roman" w:cs="Times New Roman"/>
      <w:sz w:val="24"/>
      <w:szCs w:val="24"/>
    </w:rPr>
  </w:style>
  <w:style w:type="paragraph" w:styleId="TJ4">
    <w:name w:val="toc 4"/>
    <w:basedOn w:val="Norml"/>
    <w:next w:val="Norml"/>
    <w:autoRedefine/>
    <w:uiPriority w:val="39"/>
    <w:unhideWhenUsed/>
    <w:locked/>
    <w:rsid w:val="00DC7FB5"/>
    <w:pPr>
      <w:tabs>
        <w:tab w:val="right" w:leader="dot" w:pos="9072"/>
      </w:tabs>
      <w:spacing w:after="100"/>
      <w:ind w:left="851"/>
      <w:jc w:val="left"/>
    </w:pPr>
    <w:rPr>
      <w:rFonts w:eastAsia="Times New Roman" w:cs="Times New Roman"/>
      <w:noProof/>
      <w:snapToGrid w:val="0"/>
      <w:sz w:val="22"/>
    </w:rPr>
  </w:style>
  <w:style w:type="paragraph" w:styleId="TJ5">
    <w:name w:val="toc 5"/>
    <w:basedOn w:val="Norml"/>
    <w:next w:val="Norml"/>
    <w:autoRedefine/>
    <w:uiPriority w:val="39"/>
    <w:unhideWhenUsed/>
    <w:locked/>
    <w:rsid w:val="00DC7FB5"/>
    <w:pPr>
      <w:spacing w:after="100"/>
      <w:ind w:left="880"/>
      <w:jc w:val="left"/>
    </w:pPr>
    <w:rPr>
      <w:rFonts w:eastAsia="Times New Roman" w:cs="Times New Roman"/>
      <w:sz w:val="22"/>
    </w:rPr>
  </w:style>
  <w:style w:type="paragraph" w:styleId="TJ6">
    <w:name w:val="toc 6"/>
    <w:basedOn w:val="Norml"/>
    <w:next w:val="Norml"/>
    <w:autoRedefine/>
    <w:uiPriority w:val="39"/>
    <w:unhideWhenUsed/>
    <w:locked/>
    <w:rsid w:val="00DC7FB5"/>
    <w:pPr>
      <w:spacing w:after="100"/>
      <w:ind w:left="1100"/>
      <w:jc w:val="left"/>
    </w:pPr>
    <w:rPr>
      <w:rFonts w:eastAsia="Times New Roman" w:cs="Times New Roman"/>
      <w:sz w:val="22"/>
    </w:rPr>
  </w:style>
  <w:style w:type="paragraph" w:customStyle="1" w:styleId="normalbetu">
    <w:name w:val="normalbetu"/>
    <w:basedOn w:val="Norml"/>
    <w:rsid w:val="00DC7FB5"/>
    <w:pPr>
      <w:spacing w:before="100" w:beforeAutospacing="1" w:after="100" w:afterAutospacing="1" w:line="300" w:lineRule="atLeast"/>
      <w:jc w:val="left"/>
    </w:pPr>
    <w:rPr>
      <w:rFonts w:ascii="Tahoma" w:eastAsia="Times New Roman" w:hAnsi="Tahoma" w:cs="Tahoma"/>
      <w:sz w:val="18"/>
      <w:szCs w:val="18"/>
    </w:rPr>
  </w:style>
  <w:style w:type="paragraph" w:customStyle="1" w:styleId="CharChar1">
    <w:name w:val="Char Char1"/>
    <w:basedOn w:val="Norml"/>
    <w:rsid w:val="00DC7FB5"/>
    <w:pPr>
      <w:spacing w:before="100" w:beforeAutospacing="1" w:after="160" w:line="240" w:lineRule="exact"/>
    </w:pPr>
    <w:rPr>
      <w:rFonts w:ascii="Tahoma" w:eastAsia="Calibri" w:hAnsi="Tahoma" w:cs="Times New Roman"/>
      <w:lang w:val="en-US" w:eastAsia="en-US"/>
    </w:rPr>
  </w:style>
  <w:style w:type="paragraph" w:customStyle="1" w:styleId="default0">
    <w:name w:val="default"/>
    <w:basedOn w:val="Norml"/>
    <w:uiPriority w:val="99"/>
    <w:rsid w:val="00DC7FB5"/>
    <w:pPr>
      <w:autoSpaceDE w:val="0"/>
      <w:autoSpaceDN w:val="0"/>
      <w:spacing w:after="0" w:line="240" w:lineRule="auto"/>
      <w:jc w:val="left"/>
    </w:pPr>
    <w:rPr>
      <w:rFonts w:ascii="Times New Roman" w:eastAsia="Calibri" w:hAnsi="Times New Roman" w:cs="Times New Roman"/>
      <w:color w:val="000000"/>
      <w:sz w:val="24"/>
      <w:szCs w:val="24"/>
    </w:rPr>
  </w:style>
  <w:style w:type="paragraph" w:customStyle="1" w:styleId="Erskiemels3">
    <w:name w:val="Erős kiemelés3"/>
    <w:basedOn w:val="Norml"/>
    <w:uiPriority w:val="5"/>
    <w:qFormat/>
    <w:rsid w:val="00957B80"/>
    <w:rPr>
      <w:b/>
      <w:i/>
    </w:rPr>
  </w:style>
  <w:style w:type="paragraph" w:customStyle="1" w:styleId="Erskiemels4">
    <w:name w:val="Erős kiemelés4"/>
    <w:basedOn w:val="Norml"/>
    <w:uiPriority w:val="5"/>
    <w:qFormat/>
    <w:rsid w:val="000B09B2"/>
    <w:rPr>
      <w:b/>
      <w:i/>
    </w:rPr>
  </w:style>
  <w:style w:type="paragraph" w:customStyle="1" w:styleId="ENBoxtitle">
    <w:name w:val="EN_Box_title"/>
    <w:basedOn w:val="Norml"/>
    <w:next w:val="Norml"/>
    <w:uiPriority w:val="1"/>
    <w:qFormat/>
    <w:rsid w:val="004D5B64"/>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4D5B64"/>
    <w:pPr>
      <w:keepNext/>
      <w:spacing w:after="40"/>
      <w:jc w:val="center"/>
    </w:pPr>
    <w:rPr>
      <w:b/>
      <w:bCs/>
      <w:color w:val="808080"/>
      <w:szCs w:val="18"/>
    </w:rPr>
  </w:style>
  <w:style w:type="paragraph" w:customStyle="1" w:styleId="ENCaption2Col">
    <w:name w:val="EN_Caption_2Col"/>
    <w:basedOn w:val="Norml"/>
    <w:next w:val="Norml"/>
    <w:uiPriority w:val="1"/>
    <w:qFormat/>
    <w:rsid w:val="004D5B64"/>
    <w:pPr>
      <w:keepNext/>
      <w:spacing w:after="40"/>
      <w:jc w:val="left"/>
    </w:pPr>
    <w:rPr>
      <w:b/>
      <w:bCs/>
      <w:color w:val="808080"/>
      <w:szCs w:val="18"/>
    </w:rPr>
  </w:style>
  <w:style w:type="paragraph" w:customStyle="1" w:styleId="ENCaptionBox">
    <w:name w:val="EN_Caption_Box"/>
    <w:basedOn w:val="Norml"/>
    <w:next w:val="Norml"/>
    <w:uiPriority w:val="1"/>
    <w:qFormat/>
    <w:rsid w:val="004D5B64"/>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4D5B6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4D5B64"/>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4D5B64"/>
    <w:rPr>
      <w:rFonts w:eastAsiaTheme="minorEastAsia"/>
      <w:color w:val="808080"/>
      <w:sz w:val="18"/>
    </w:rPr>
  </w:style>
  <w:style w:type="paragraph" w:customStyle="1" w:styleId="ENNormal">
    <w:name w:val="EN_Normal"/>
    <w:basedOn w:val="Norml"/>
    <w:uiPriority w:val="1"/>
    <w:qFormat/>
    <w:rsid w:val="004D5B64"/>
  </w:style>
  <w:style w:type="paragraph" w:customStyle="1" w:styleId="ENNormalBox">
    <w:name w:val="EN_Normal_Box"/>
    <w:basedOn w:val="Norml"/>
    <w:uiPriority w:val="1"/>
    <w:qFormat/>
    <w:rsid w:val="004D5B64"/>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4D5B64"/>
    <w:pPr>
      <w:keepLines/>
      <w:jc w:val="center"/>
    </w:pPr>
    <w:rPr>
      <w:color w:val="808080"/>
      <w:sz w:val="18"/>
    </w:rPr>
  </w:style>
  <w:style w:type="paragraph" w:customStyle="1" w:styleId="ENNote2Col">
    <w:name w:val="EN_Note_2Col"/>
    <w:basedOn w:val="Norml"/>
    <w:next w:val="ENNormal"/>
    <w:uiPriority w:val="1"/>
    <w:qFormat/>
    <w:rsid w:val="004D5B64"/>
    <w:pPr>
      <w:keepLines/>
    </w:pPr>
    <w:rPr>
      <w:color w:val="808080"/>
      <w:sz w:val="18"/>
    </w:rPr>
  </w:style>
  <w:style w:type="paragraph" w:customStyle="1" w:styleId="ENNoteBox">
    <w:name w:val="EN_Note_Box"/>
    <w:basedOn w:val="Norml"/>
    <w:next w:val="ENNormalBox"/>
    <w:uiPriority w:val="1"/>
    <w:qFormat/>
    <w:rsid w:val="004D5B64"/>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4D5B64"/>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4D5B64"/>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4D5B64"/>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4D5B64"/>
    <w:pPr>
      <w:keepNext/>
      <w:spacing w:after="40"/>
      <w:jc w:val="center"/>
    </w:pPr>
    <w:rPr>
      <w:sz w:val="20"/>
    </w:rPr>
  </w:style>
  <w:style w:type="paragraph" w:customStyle="1" w:styleId="HUCaption2Col">
    <w:name w:val="HU_Caption_2Col"/>
    <w:basedOn w:val="Kpalrs"/>
    <w:next w:val="Norml"/>
    <w:uiPriority w:val="1"/>
    <w:qFormat/>
    <w:rsid w:val="004D5B64"/>
    <w:pPr>
      <w:keepNext/>
      <w:spacing w:after="40"/>
    </w:pPr>
    <w:rPr>
      <w:sz w:val="20"/>
    </w:rPr>
  </w:style>
  <w:style w:type="paragraph" w:customStyle="1" w:styleId="HUCaptionBox">
    <w:name w:val="HU_Caption_Box"/>
    <w:basedOn w:val="Kpalrs"/>
    <w:next w:val="Norml"/>
    <w:uiPriority w:val="1"/>
    <w:qFormat/>
    <w:rsid w:val="004D5B64"/>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4D5B6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4D5B64"/>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4D5B64"/>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4D5B64"/>
    <w:rPr>
      <w:rFonts w:ascii="Calibri" w:hAnsi="Calibri"/>
      <w:caps/>
      <w:color w:val="898D8D" w:themeColor="text2"/>
      <w:szCs w:val="20"/>
    </w:rPr>
  </w:style>
  <w:style w:type="paragraph" w:customStyle="1" w:styleId="HUFootnote">
    <w:name w:val="HU_Footnote"/>
    <w:basedOn w:val="Lbjegyzetszveg"/>
    <w:uiPriority w:val="1"/>
    <w:qFormat/>
    <w:rsid w:val="004D5B64"/>
    <w:rPr>
      <w:color w:val="808080"/>
      <w:sz w:val="18"/>
    </w:rPr>
  </w:style>
  <w:style w:type="paragraph" w:customStyle="1" w:styleId="HUNormalBox">
    <w:name w:val="HU_Normal_Box"/>
    <w:basedOn w:val="Norml"/>
    <w:uiPriority w:val="1"/>
    <w:qFormat/>
    <w:rsid w:val="004D5B64"/>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4D5B64"/>
    <w:pPr>
      <w:keepLines/>
      <w:jc w:val="center"/>
    </w:pPr>
    <w:rPr>
      <w:color w:val="808080"/>
      <w:sz w:val="18"/>
    </w:rPr>
  </w:style>
  <w:style w:type="paragraph" w:customStyle="1" w:styleId="HUNote2Col">
    <w:name w:val="HU_Note_2Col"/>
    <w:basedOn w:val="Norml"/>
    <w:next w:val="Norml"/>
    <w:uiPriority w:val="1"/>
    <w:qFormat/>
    <w:rsid w:val="004D5B64"/>
    <w:pPr>
      <w:keepLines/>
    </w:pPr>
    <w:rPr>
      <w:color w:val="808080"/>
      <w:sz w:val="18"/>
    </w:rPr>
  </w:style>
  <w:style w:type="paragraph" w:customStyle="1" w:styleId="HUNoteBox">
    <w:name w:val="HU_Note_Box"/>
    <w:basedOn w:val="Norml"/>
    <w:next w:val="HUNormalBox"/>
    <w:link w:val="HUNoteBoxChar"/>
    <w:uiPriority w:val="1"/>
    <w:qFormat/>
    <w:rsid w:val="004D5B64"/>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4D5B64"/>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4D5B64"/>
    <w:pPr>
      <w:keepNext/>
    </w:pPr>
  </w:style>
  <w:style w:type="character" w:customStyle="1" w:styleId="HUSectionTitleChar">
    <w:name w:val="HU_Section_Title Char"/>
    <w:basedOn w:val="Cmsor2Char"/>
    <w:link w:val="HUSectionTitle"/>
    <w:uiPriority w:val="1"/>
    <w:rsid w:val="004D5B64"/>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4D5B64"/>
    <w:pPr>
      <w:keepNext/>
      <w:ind w:left="595" w:hanging="595"/>
    </w:pPr>
  </w:style>
  <w:style w:type="character" w:customStyle="1" w:styleId="HUSubsectionTitleChar">
    <w:name w:val="HU_Subsection_Title Char"/>
    <w:basedOn w:val="Cmsor3Char"/>
    <w:link w:val="HUSubsectionTitle"/>
    <w:uiPriority w:val="1"/>
    <w:rsid w:val="004D5B64"/>
    <w:rPr>
      <w:rFonts w:ascii="Calibri" w:hAnsi="Calibri"/>
      <w:bCs/>
      <w:color w:val="898D8D" w:themeColor="text2"/>
      <w:szCs w:val="34"/>
    </w:rPr>
  </w:style>
  <w:style w:type="paragraph" w:customStyle="1" w:styleId="Heading1Kiadvny">
    <w:name w:val="Heading 1 Kiadvány"/>
    <w:basedOn w:val="Cmsor1"/>
    <w:qFormat/>
    <w:rsid w:val="004D5B64"/>
    <w:rPr>
      <w:b w:val="0"/>
      <w:caps w:val="0"/>
      <w:sz w:val="52"/>
    </w:rPr>
  </w:style>
  <w:style w:type="paragraph" w:customStyle="1" w:styleId="Erskiemels5">
    <w:name w:val="Erős kiemelés5"/>
    <w:basedOn w:val="Norml"/>
    <w:uiPriority w:val="5"/>
    <w:qFormat/>
    <w:rsid w:val="00DA2B1E"/>
    <w:rPr>
      <w:b/>
      <w:i/>
    </w:rPr>
  </w:style>
  <w:style w:type="character" w:customStyle="1" w:styleId="st1">
    <w:name w:val="st1"/>
    <w:basedOn w:val="Bekezdsalapbettpusa"/>
    <w:rsid w:val="00DF48CB"/>
  </w:style>
  <w:style w:type="paragraph" w:customStyle="1" w:styleId="CM11">
    <w:name w:val="CM1+1"/>
    <w:basedOn w:val="Default"/>
    <w:next w:val="Default"/>
    <w:uiPriority w:val="99"/>
    <w:rsid w:val="00DF48CB"/>
    <w:rPr>
      <w:rFonts w:ascii="EUAlbertina" w:hAnsi="EUAlbertina"/>
      <w:color w:val="auto"/>
    </w:rPr>
  </w:style>
  <w:style w:type="paragraph" w:customStyle="1" w:styleId="CM31">
    <w:name w:val="CM3+1"/>
    <w:basedOn w:val="Default"/>
    <w:next w:val="Default"/>
    <w:uiPriority w:val="99"/>
    <w:rsid w:val="00DF48CB"/>
    <w:rPr>
      <w:rFonts w:ascii="EUAlbertina" w:hAnsi="EUAlbertina"/>
      <w:color w:val="auto"/>
    </w:rPr>
  </w:style>
  <w:style w:type="character" w:customStyle="1" w:styleId="BaseparagraphnumberedChar">
    <w:name w:val="Base paragraph numbered Char"/>
    <w:link w:val="Baseparagraphnumbered"/>
    <w:locked/>
    <w:rsid w:val="00DF48CB"/>
    <w:rPr>
      <w:sz w:val="24"/>
      <w:szCs w:val="24"/>
      <w:lang w:val="en-GB" w:eastAsia="en-GB"/>
    </w:rPr>
  </w:style>
  <w:style w:type="paragraph" w:customStyle="1" w:styleId="Baseparagraphnumbered">
    <w:name w:val="Base paragraph numbered"/>
    <w:basedOn w:val="Norml"/>
    <w:link w:val="BaseparagraphnumberedChar"/>
    <w:qFormat/>
    <w:rsid w:val="00DF48CB"/>
    <w:pPr>
      <w:spacing w:after="240" w:line="240" w:lineRule="auto"/>
    </w:pPr>
    <w:rPr>
      <w:rFonts w:ascii="Verdana" w:hAnsi="Verdana"/>
      <w:sz w:val="24"/>
      <w:szCs w:val="24"/>
      <w:lang w:val="en-GB" w:eastAsia="en-GB"/>
    </w:rPr>
  </w:style>
  <w:style w:type="paragraph" w:customStyle="1" w:styleId="Stlus1">
    <w:name w:val="Stílus1"/>
    <w:basedOn w:val="Baseparagraphnumbered"/>
    <w:link w:val="Stlus1Char"/>
    <w:qFormat/>
    <w:rsid w:val="00DF48CB"/>
    <w:pPr>
      <w:numPr>
        <w:numId w:val="62"/>
      </w:numPr>
    </w:pPr>
    <w:rPr>
      <w:rFonts w:ascii="Arial" w:eastAsia="Times New Roman" w:hAnsi="Arial"/>
      <w:b/>
    </w:rPr>
  </w:style>
  <w:style w:type="paragraph" w:customStyle="1" w:styleId="subtitlenumbered">
    <w:name w:val="subtitle numbered"/>
    <w:basedOn w:val="Alcm"/>
    <w:uiPriority w:val="99"/>
    <w:qFormat/>
    <w:rsid w:val="00DF48CB"/>
    <w:pPr>
      <w:numPr>
        <w:numId w:val="63"/>
      </w:numPr>
      <w:spacing w:before="120" w:after="120" w:line="240" w:lineRule="auto"/>
      <w:jc w:val="left"/>
    </w:pPr>
    <w:rPr>
      <w:rFonts w:ascii="Times New Roman" w:eastAsia="Times New Roman" w:hAnsi="Times New Roman" w:cs="Times New Roman"/>
      <w:caps/>
      <w:sz w:val="24"/>
      <w:szCs w:val="24"/>
      <w:lang w:val="en-US" w:eastAsia="en-GB"/>
    </w:rPr>
  </w:style>
  <w:style w:type="paragraph" w:customStyle="1" w:styleId="sub-subtitlenumbered">
    <w:name w:val="sub-subtitle numbered"/>
    <w:basedOn w:val="subtitlenumbered"/>
    <w:link w:val="sub-subtitlenumberedChar"/>
    <w:uiPriority w:val="99"/>
    <w:qFormat/>
    <w:rsid w:val="00DF48CB"/>
    <w:pPr>
      <w:numPr>
        <w:ilvl w:val="1"/>
      </w:numPr>
      <w:tabs>
        <w:tab w:val="left" w:pos="993"/>
      </w:tabs>
    </w:pPr>
    <w:rPr>
      <w:b/>
      <w:caps w:val="0"/>
      <w:kern w:val="32"/>
    </w:rPr>
  </w:style>
  <w:style w:type="paragraph" w:customStyle="1" w:styleId="sub-sub-subtitle">
    <w:name w:val="sub-sub-sub title"/>
    <w:basedOn w:val="sub-subtitlenumbered"/>
    <w:uiPriority w:val="99"/>
    <w:qFormat/>
    <w:rsid w:val="00DF48CB"/>
    <w:pPr>
      <w:numPr>
        <w:ilvl w:val="2"/>
      </w:numPr>
      <w:tabs>
        <w:tab w:val="num" w:pos="360"/>
        <w:tab w:val="num" w:pos="2160"/>
      </w:tabs>
      <w:ind w:left="2160" w:hanging="360"/>
    </w:pPr>
    <w:rPr>
      <w:b w:val="0"/>
    </w:rPr>
  </w:style>
  <w:style w:type="character" w:customStyle="1" w:styleId="sub-subtitlenumberedChar">
    <w:name w:val="sub-subtitle numbered Char"/>
    <w:link w:val="sub-subtitlenumbered"/>
    <w:uiPriority w:val="99"/>
    <w:rsid w:val="00DF48CB"/>
    <w:rPr>
      <w:rFonts w:ascii="Times New Roman" w:eastAsia="Times New Roman" w:hAnsi="Times New Roman" w:cs="Times New Roman"/>
      <w:b/>
      <w:kern w:val="32"/>
      <w:sz w:val="24"/>
      <w:szCs w:val="24"/>
      <w:lang w:val="en-US" w:eastAsia="en-GB"/>
    </w:rPr>
  </w:style>
  <w:style w:type="character" w:customStyle="1" w:styleId="Stlus1Char">
    <w:name w:val="Stílus1 Char"/>
    <w:link w:val="Stlus1"/>
    <w:rsid w:val="00DF48CB"/>
    <w:rPr>
      <w:rFonts w:ascii="Arial" w:eastAsia="Times New Roman" w:hAnsi="Arial"/>
      <w:b/>
      <w:sz w:val="24"/>
      <w:szCs w:val="24"/>
      <w:lang w:val="en-GB" w:eastAsia="en-GB"/>
    </w:rPr>
  </w:style>
  <w:style w:type="paragraph" w:customStyle="1" w:styleId="Erskiemels6">
    <w:name w:val="Erős kiemelés6"/>
    <w:basedOn w:val="Norml"/>
    <w:uiPriority w:val="5"/>
    <w:qFormat/>
    <w:rsid w:val="00C4501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409">
      <w:bodyDiv w:val="1"/>
      <w:marLeft w:val="0"/>
      <w:marRight w:val="0"/>
      <w:marTop w:val="0"/>
      <w:marBottom w:val="0"/>
      <w:divBdr>
        <w:top w:val="none" w:sz="0" w:space="0" w:color="auto"/>
        <w:left w:val="none" w:sz="0" w:space="0" w:color="auto"/>
        <w:bottom w:val="none" w:sz="0" w:space="0" w:color="auto"/>
        <w:right w:val="none" w:sz="0" w:space="0" w:color="auto"/>
      </w:divBdr>
    </w:div>
    <w:div w:id="76246588">
      <w:bodyDiv w:val="1"/>
      <w:marLeft w:val="0"/>
      <w:marRight w:val="0"/>
      <w:marTop w:val="0"/>
      <w:marBottom w:val="0"/>
      <w:divBdr>
        <w:top w:val="none" w:sz="0" w:space="0" w:color="auto"/>
        <w:left w:val="none" w:sz="0" w:space="0" w:color="auto"/>
        <w:bottom w:val="none" w:sz="0" w:space="0" w:color="auto"/>
        <w:right w:val="none" w:sz="0" w:space="0" w:color="auto"/>
      </w:divBdr>
    </w:div>
    <w:div w:id="180246960">
      <w:bodyDiv w:val="1"/>
      <w:marLeft w:val="0"/>
      <w:marRight w:val="0"/>
      <w:marTop w:val="0"/>
      <w:marBottom w:val="0"/>
      <w:divBdr>
        <w:top w:val="none" w:sz="0" w:space="0" w:color="auto"/>
        <w:left w:val="none" w:sz="0" w:space="0" w:color="auto"/>
        <w:bottom w:val="none" w:sz="0" w:space="0" w:color="auto"/>
        <w:right w:val="none" w:sz="0" w:space="0" w:color="auto"/>
      </w:divBdr>
    </w:div>
    <w:div w:id="227960184">
      <w:bodyDiv w:val="1"/>
      <w:marLeft w:val="0"/>
      <w:marRight w:val="0"/>
      <w:marTop w:val="0"/>
      <w:marBottom w:val="0"/>
      <w:divBdr>
        <w:top w:val="none" w:sz="0" w:space="0" w:color="auto"/>
        <w:left w:val="none" w:sz="0" w:space="0" w:color="auto"/>
        <w:bottom w:val="none" w:sz="0" w:space="0" w:color="auto"/>
        <w:right w:val="none" w:sz="0" w:space="0" w:color="auto"/>
      </w:divBdr>
    </w:div>
    <w:div w:id="363167273">
      <w:bodyDiv w:val="1"/>
      <w:marLeft w:val="0"/>
      <w:marRight w:val="0"/>
      <w:marTop w:val="0"/>
      <w:marBottom w:val="0"/>
      <w:divBdr>
        <w:top w:val="none" w:sz="0" w:space="0" w:color="auto"/>
        <w:left w:val="none" w:sz="0" w:space="0" w:color="auto"/>
        <w:bottom w:val="none" w:sz="0" w:space="0" w:color="auto"/>
        <w:right w:val="none" w:sz="0" w:space="0" w:color="auto"/>
      </w:divBdr>
    </w:div>
    <w:div w:id="427966748">
      <w:bodyDiv w:val="1"/>
      <w:marLeft w:val="0"/>
      <w:marRight w:val="0"/>
      <w:marTop w:val="0"/>
      <w:marBottom w:val="0"/>
      <w:divBdr>
        <w:top w:val="none" w:sz="0" w:space="0" w:color="auto"/>
        <w:left w:val="none" w:sz="0" w:space="0" w:color="auto"/>
        <w:bottom w:val="none" w:sz="0" w:space="0" w:color="auto"/>
        <w:right w:val="none" w:sz="0" w:space="0" w:color="auto"/>
      </w:divBdr>
    </w:div>
    <w:div w:id="45648555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81368485">
      <w:bodyDiv w:val="1"/>
      <w:marLeft w:val="0"/>
      <w:marRight w:val="0"/>
      <w:marTop w:val="0"/>
      <w:marBottom w:val="0"/>
      <w:divBdr>
        <w:top w:val="none" w:sz="0" w:space="0" w:color="auto"/>
        <w:left w:val="none" w:sz="0" w:space="0" w:color="auto"/>
        <w:bottom w:val="none" w:sz="0" w:space="0" w:color="auto"/>
        <w:right w:val="none" w:sz="0" w:space="0" w:color="auto"/>
      </w:divBdr>
    </w:div>
    <w:div w:id="1237011235">
      <w:bodyDiv w:val="1"/>
      <w:marLeft w:val="0"/>
      <w:marRight w:val="0"/>
      <w:marTop w:val="0"/>
      <w:marBottom w:val="0"/>
      <w:divBdr>
        <w:top w:val="none" w:sz="0" w:space="0" w:color="auto"/>
        <w:left w:val="none" w:sz="0" w:space="0" w:color="auto"/>
        <w:bottom w:val="none" w:sz="0" w:space="0" w:color="auto"/>
        <w:right w:val="none" w:sz="0" w:space="0" w:color="auto"/>
      </w:divBdr>
    </w:div>
    <w:div w:id="1241214426">
      <w:bodyDiv w:val="1"/>
      <w:marLeft w:val="0"/>
      <w:marRight w:val="0"/>
      <w:marTop w:val="0"/>
      <w:marBottom w:val="0"/>
      <w:divBdr>
        <w:top w:val="none" w:sz="0" w:space="0" w:color="auto"/>
        <w:left w:val="none" w:sz="0" w:space="0" w:color="auto"/>
        <w:bottom w:val="none" w:sz="0" w:space="0" w:color="auto"/>
        <w:right w:val="none" w:sz="0" w:space="0" w:color="auto"/>
      </w:divBdr>
    </w:div>
    <w:div w:id="1293094756">
      <w:bodyDiv w:val="1"/>
      <w:marLeft w:val="0"/>
      <w:marRight w:val="0"/>
      <w:marTop w:val="0"/>
      <w:marBottom w:val="0"/>
      <w:divBdr>
        <w:top w:val="none" w:sz="0" w:space="0" w:color="auto"/>
        <w:left w:val="none" w:sz="0" w:space="0" w:color="auto"/>
        <w:bottom w:val="none" w:sz="0" w:space="0" w:color="auto"/>
        <w:right w:val="none" w:sz="0" w:space="0" w:color="auto"/>
      </w:divBdr>
    </w:div>
    <w:div w:id="1362783400">
      <w:bodyDiv w:val="1"/>
      <w:marLeft w:val="0"/>
      <w:marRight w:val="0"/>
      <w:marTop w:val="0"/>
      <w:marBottom w:val="0"/>
      <w:divBdr>
        <w:top w:val="none" w:sz="0" w:space="0" w:color="auto"/>
        <w:left w:val="none" w:sz="0" w:space="0" w:color="auto"/>
        <w:bottom w:val="none" w:sz="0" w:space="0" w:color="auto"/>
        <w:right w:val="none" w:sz="0" w:space="0" w:color="auto"/>
      </w:divBdr>
    </w:div>
    <w:div w:id="1603755278">
      <w:bodyDiv w:val="1"/>
      <w:marLeft w:val="0"/>
      <w:marRight w:val="0"/>
      <w:marTop w:val="0"/>
      <w:marBottom w:val="0"/>
      <w:divBdr>
        <w:top w:val="none" w:sz="0" w:space="0" w:color="auto"/>
        <w:left w:val="none" w:sz="0" w:space="0" w:color="auto"/>
        <w:bottom w:val="none" w:sz="0" w:space="0" w:color="auto"/>
        <w:right w:val="none" w:sz="0" w:space="0" w:color="auto"/>
      </w:divBdr>
    </w:div>
    <w:div w:id="1980261132">
      <w:bodyDiv w:val="1"/>
      <w:marLeft w:val="0"/>
      <w:marRight w:val="0"/>
      <w:marTop w:val="0"/>
      <w:marBottom w:val="0"/>
      <w:divBdr>
        <w:top w:val="none" w:sz="0" w:space="0" w:color="auto"/>
        <w:left w:val="none" w:sz="0" w:space="0" w:color="auto"/>
        <w:bottom w:val="none" w:sz="0" w:space="0" w:color="auto"/>
        <w:right w:val="none" w:sz="0" w:space="0" w:color="auto"/>
      </w:divBdr>
    </w:div>
    <w:div w:id="2045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monetaris-politika/a-monetaris-politikai-eszkoztar/fedezetertekeles"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incidensek@mnb.h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BAFE87B4-134B-41B6-9D56-395D1D35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10502</Words>
  <Characters>69720</Characters>
  <Application>Microsoft Office Word</Application>
  <DocSecurity>0</DocSecurity>
  <Lines>581</Lines>
  <Paragraphs>160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80062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GubekI</dc:creator>
  <cp:lastModifiedBy>Szenthelyi Dávid</cp:lastModifiedBy>
  <cp:revision>13</cp:revision>
  <cp:lastPrinted>2019-03-20T12:52:00Z</cp:lastPrinted>
  <dcterms:created xsi:type="dcterms:W3CDTF">2019-03-28T08:38:00Z</dcterms:created>
  <dcterms:modified xsi:type="dcterms:W3CDTF">2019-04-18T07:55:00Z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gubeknei@mnb.hu</vt:lpwstr>
  </property>
  <property fmtid="{D5CDD505-2E9C-101B-9397-08002B2CF9AE}" pid="6" name="MSIP_Label_b0d11092-50c9-4e74-84b5-b1af078dc3d0_SetDate">
    <vt:lpwstr>2019-03-19T10:34:37.4215500+01:00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2024-03-19T09:34:38Z</vt:filetime>
  </property>
  <property fmtid="{D5CDD505-2E9C-101B-9397-08002B2CF9AE}" pid="12" name="Érvényességet beállító">
    <vt:lpwstr>gubeknei</vt:lpwstr>
  </property>
  <property fmtid="{D5CDD505-2E9C-101B-9397-08002B2CF9AE}" pid="13" name="Érvényességi idő első beállítása">
    <vt:filetime>2019-03-19T09:34:40Z</vt:filetime>
  </property>
</Properties>
</file>