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A10655" w:rsidRPr="007F2E93" w:rsidRDefault="00A10655" w:rsidP="00EF361E">
      <w:pPr>
        <w:pStyle w:val="Cmsor2"/>
        <w:ind w:right="270"/>
        <w:rPr>
          <w:rFonts w:ascii="Calibri" w:hAnsi="Calibri"/>
          <w:sz w:val="22"/>
          <w:szCs w:val="22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rulírozó és roll-over hiteleket sem). 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viszont kell jelenti olyan hiteleket is,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amelyeket egyébként a K01-es jelentés új szerződésekre vonatkozó tábláiban az aggregált adatokban nem kell jelenteni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(például az átst</w:t>
      </w:r>
      <w:r w:rsidR="003531A9">
        <w:rPr>
          <w:rFonts w:ascii="Calibri" w:hAnsi="Calibri" w:cs="Arial"/>
          <w:snapToGrid w:val="0"/>
          <w:sz w:val="22"/>
          <w:szCs w:val="22"/>
          <w:lang w:val="hu-HU" w:eastAsia="en-US"/>
        </w:rPr>
        <w:t>r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>ukturált hiteleket</w:t>
      </w:r>
      <w:r w:rsidR="00466899">
        <w:rPr>
          <w:rFonts w:ascii="Calibri" w:hAnsi="Calibri" w:cs="Arial"/>
          <w:snapToGrid w:val="0"/>
          <w:sz w:val="22"/>
          <w:szCs w:val="22"/>
          <w:lang w:val="hu-HU" w:eastAsia="en-US"/>
        </w:rPr>
        <w:t>)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</w:p>
    <w:p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hitelek esetében új szerződésnek minősül az eredeti szerződésben rögzített teljes összeg (hitelkeret) akkor is, ha a hitelt részletekben veszik igénybe.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Abban az esetben, ha a szerződés rögzíti a kamatláb alapjául szolgáló referenciakamatot, akkor a kamatláb nem tekinthető ismeretlennek függetlenül arról, hogy a folyósítás megtörtént-e vagy sem, tehát szerződéskötéskor kell jelenteni az ügyletet. </w:t>
      </w:r>
    </w:p>
    <w:p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:rsidR="00CB24D8" w:rsidRPr="007F2E93" w:rsidRDefault="00CB24D8" w:rsidP="00C97416">
      <w:pPr>
        <w:pStyle w:val="Listaszerbekezds"/>
        <w:spacing w:after="0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B322E5" w:rsidRPr="00DD5890" w:rsidRDefault="00B322E5" w:rsidP="00B322E5">
      <w:pPr>
        <w:pStyle w:val="Listaszerbekezds"/>
        <w:jc w:val="both"/>
        <w:rPr>
          <w:lang w:val="hu-HU"/>
        </w:rPr>
      </w:pPr>
      <w:r w:rsidRPr="00DD5890">
        <w:rPr>
          <w:highlight w:val="yellow"/>
          <w:lang w:val="hu-HU"/>
        </w:rPr>
        <w:t>A nem pénzügyi vállalatokkal pénzügyi lízing céllal kötött hitelügyletek esetében a K21 jelentésben a Hitelcél kódértékeként „LIZN” kódot kell megadni, míg a Fedezet jellege kódértéket a mögöttes fedezet típusa szerint kell jelenteni pl.: gépjármű esetén „C” (ingó vagyontárgy), vagy ingatlan esetén „K” (egyéb nem lakóingatlan).</w:t>
      </w:r>
    </w:p>
    <w:p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B24D8" w:rsidRPr="007F2E93" w:rsidRDefault="00CB24D8" w:rsidP="0021697E">
      <w:pPr>
        <w:pStyle w:val="Listaszerbekezds"/>
        <w:spacing w:after="0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újratárgyalás időpontjában fennálló hitelállományt kell 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</w:p>
    <w:p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D7DDB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egyedi h</w:t>
      </w:r>
      <w:r w:rsidR="005D34DE" w:rsidRPr="00471593">
        <w:rPr>
          <w:rFonts w:ascii="Calibri" w:hAnsi="Calibri" w:cs="Arial"/>
          <w:sz w:val="22"/>
          <w:szCs w:val="22"/>
          <w:lang w:val="hu-HU"/>
        </w:rPr>
        <w:t xml:space="preserve">itelek azonosítására szolgáló táblákban akkor kell feltüntetni egy adott hitelt, amikor az aggregált adatokban is figyelembe vételre kerül.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:rsidR="00CB24D8" w:rsidRDefault="00BA0B86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 w:rsidRPr="00B421FC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B421FC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B421FC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6A247A">
        <w:rPr>
          <w:rFonts w:asciiTheme="minorHAnsi" w:hAnsiTheme="minorHAnsi" w:cs="Arial"/>
          <w:snapToGrid w:val="0"/>
          <w:sz w:val="22"/>
          <w:highlight w:val="yellow"/>
          <w:lang w:val="hu-HU" w:eastAsia="en-US"/>
        </w:rPr>
        <w:t xml:space="preserve">vagy a </w:t>
      </w:r>
      <w:r w:rsidR="00564FEB" w:rsidRPr="006A247A">
        <w:rPr>
          <w:rFonts w:asciiTheme="minorHAnsi" w:hAnsiTheme="minorHAnsi" w:cs="Arial"/>
          <w:snapToGrid w:val="0"/>
          <w:sz w:val="22"/>
          <w:highlight w:val="yellow"/>
          <w:lang w:val="hu-HU" w:eastAsia="en-US"/>
        </w:rPr>
        <w:t xml:space="preserve">folyósításhoz </w:t>
      </w:r>
      <w:r w:rsidR="00B421FC" w:rsidRPr="006A247A">
        <w:rPr>
          <w:rFonts w:asciiTheme="minorHAnsi" w:hAnsiTheme="minorHAnsi" w:cs="Arial"/>
          <w:snapToGrid w:val="0"/>
          <w:sz w:val="22"/>
          <w:highlight w:val="yellow"/>
          <w:lang w:val="hu-HU" w:eastAsia="en-US"/>
        </w:rPr>
        <w:t>szükséges lakásbiztosítás megkötése</w:t>
      </w:r>
      <w:r w:rsidR="00CB24D8" w:rsidRPr="006A247A">
        <w:rPr>
          <w:rFonts w:asciiTheme="minorHAnsi" w:hAnsiTheme="minorHAnsi" w:cs="Arial"/>
          <w:snapToGrid w:val="0"/>
          <w:sz w:val="22"/>
          <w:szCs w:val="22"/>
          <w:highlight w:val="yellow"/>
          <w:lang w:val="hu-HU" w:eastAsia="en-US"/>
        </w:rPr>
        <w:t>,</w:t>
      </w:r>
      <w:r w:rsidR="00CB24D8" w:rsidRPr="00B421FC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 xml:space="preserve"> akkor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6A247A">
        <w:rPr>
          <w:rFonts w:ascii="Calibri" w:hAnsi="Calibri" w:cs="Arial"/>
          <w:snapToGrid w:val="0"/>
          <w:sz w:val="22"/>
          <w:szCs w:val="22"/>
          <w:highlight w:val="yellow"/>
          <w:lang w:val="hu-HU" w:eastAsia="en-US"/>
        </w:rPr>
        <w:t>vagy</w:t>
      </w:r>
      <w:r w:rsidR="00B421FC" w:rsidRPr="006A247A">
        <w:rPr>
          <w:rFonts w:ascii="Calibri" w:hAnsi="Calibri" w:cs="Arial"/>
          <w:snapToGrid w:val="0"/>
          <w:sz w:val="22"/>
          <w:szCs w:val="22"/>
          <w:highlight w:val="yellow"/>
          <w:lang w:val="hu-HU" w:eastAsia="en-US"/>
        </w:rPr>
        <w:t xml:space="preserve"> a lakásbiztosítás megkötése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már megtörtént volna. A fedezett hitelek esetében ebben az oszlopban a fedezet típusát kell megadni a 3. melléklet 4.6. pontja szerinti, az MNB honlapján közzétett kódlista alapján.</w:t>
      </w:r>
      <w:r w:rsidR="006A6D6F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7F2E93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7F2E93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7F2E93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:rsidR="00683C23" w:rsidRPr="00DD5890" w:rsidRDefault="00683C23" w:rsidP="00683C23">
      <w:pPr>
        <w:pStyle w:val="Listaszerbekezds"/>
        <w:jc w:val="both"/>
        <w:rPr>
          <w:highlight w:val="yellow"/>
          <w:lang w:val="hu-HU"/>
        </w:rPr>
      </w:pPr>
    </w:p>
    <w:p w:rsidR="00683C23" w:rsidRPr="00DD5890" w:rsidRDefault="00683C23" w:rsidP="0017105D">
      <w:pPr>
        <w:pStyle w:val="Listaszerbekezds"/>
        <w:jc w:val="both"/>
        <w:rPr>
          <w:rFonts w:cs="Arial"/>
          <w:snapToGrid w:val="0"/>
          <w:lang w:val="hu-HU"/>
        </w:rPr>
      </w:pPr>
      <w:r w:rsidRPr="00DD5890">
        <w:rPr>
          <w:highlight w:val="yellow"/>
          <w:lang w:val="hu-HU"/>
        </w:rPr>
        <w:t>A nem pénzügyi vállalatokkal pénzügyi lízing céllal kötött hitelügyletek esetében a K21 jelentésben a Hitelcél kódértékeként „LIZN” kódot kell megadni, míg a Fedezet jellege kódértéket a mögöttes fedezet típusa szerint kell jelenteni pl.: gépjármű esetén „C” (ingó vagyontárgy), vagy ingatlan esetén „K” (egyéb nem lakóingatlan).</w:t>
      </w:r>
    </w:p>
    <w:p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CB24D8" w:rsidRPr="004019F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lejáratáig.</w:t>
      </w:r>
    </w:p>
    <w:p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C97B4F" w:rsidRPr="007F2E93" w:rsidDel="003531A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4019F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futamidejével hónapokban kifejezve. 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fel.</w:t>
      </w:r>
    </w:p>
    <w:p w:rsidR="003C1D17" w:rsidRPr="00194E8E" w:rsidRDefault="003C1D17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 w:rsidRPr="00356431">
        <w:rPr>
          <w:rFonts w:cs="Arial"/>
          <w:snapToGrid w:val="0"/>
          <w:highlight w:val="yellow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81" w:rsidRDefault="00922F81" w:rsidP="00CD04E7">
      <w:r>
        <w:separator/>
      </w:r>
    </w:p>
  </w:endnote>
  <w:endnote w:type="continuationSeparator" w:id="0">
    <w:p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81" w:rsidRDefault="00922F81" w:rsidP="00CD04E7">
      <w:r>
        <w:separator/>
      </w:r>
    </w:p>
  </w:footnote>
  <w:footnote w:type="continuationSeparator" w:id="0">
    <w:p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23"/>
  </w:num>
  <w:num w:numId="8">
    <w:abstractNumId w:val="27"/>
  </w:num>
  <w:num w:numId="9">
    <w:abstractNumId w:val="15"/>
  </w:num>
  <w:num w:numId="10">
    <w:abstractNumId w:val="38"/>
  </w:num>
  <w:num w:numId="11">
    <w:abstractNumId w:val="7"/>
  </w:num>
  <w:num w:numId="12">
    <w:abstractNumId w:val="13"/>
  </w:num>
  <w:num w:numId="13">
    <w:abstractNumId w:val="34"/>
  </w:num>
  <w:num w:numId="14">
    <w:abstractNumId w:val="1"/>
  </w:num>
  <w:num w:numId="15">
    <w:abstractNumId w:val="31"/>
  </w:num>
  <w:num w:numId="16">
    <w:abstractNumId w:val="10"/>
  </w:num>
  <w:num w:numId="17">
    <w:abstractNumId w:val="12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6"/>
  </w:num>
  <w:num w:numId="23">
    <w:abstractNumId w:val="4"/>
  </w:num>
  <w:num w:numId="24">
    <w:abstractNumId w:val="37"/>
  </w:num>
  <w:num w:numId="25">
    <w:abstractNumId w:val="33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24"/>
  </w:num>
  <w:num w:numId="34">
    <w:abstractNumId w:val="20"/>
  </w:num>
  <w:num w:numId="35">
    <w:abstractNumId w:val="9"/>
  </w:num>
  <w:num w:numId="36">
    <w:abstractNumId w:val="14"/>
  </w:num>
  <w:num w:numId="37">
    <w:abstractNumId w:val="16"/>
  </w:num>
  <w:num w:numId="38">
    <w:abstractNumId w:val="19"/>
  </w:num>
  <w:num w:numId="39">
    <w:abstractNumId w:val="17"/>
  </w:num>
  <w:num w:numId="4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F1774"/>
    <w:rsid w:val="0021697E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71B"/>
    <w:rsid w:val="00340FB8"/>
    <w:rsid w:val="003434B9"/>
    <w:rsid w:val="003531A9"/>
    <w:rsid w:val="00362EED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FDF"/>
    <w:rsid w:val="006A6D6F"/>
    <w:rsid w:val="006B6C6B"/>
    <w:rsid w:val="006D289A"/>
    <w:rsid w:val="006D4160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911B0"/>
    <w:rsid w:val="00893274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E1E19"/>
    <w:rsid w:val="009F2ADA"/>
    <w:rsid w:val="00A047CA"/>
    <w:rsid w:val="00A10655"/>
    <w:rsid w:val="00A27F40"/>
    <w:rsid w:val="00A32E67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322E5"/>
    <w:rsid w:val="00B3261F"/>
    <w:rsid w:val="00B3752D"/>
    <w:rsid w:val="00B421FC"/>
    <w:rsid w:val="00B51443"/>
    <w:rsid w:val="00B565BC"/>
    <w:rsid w:val="00B70982"/>
    <w:rsid w:val="00B76E9F"/>
    <w:rsid w:val="00B80EF3"/>
    <w:rsid w:val="00B87C81"/>
    <w:rsid w:val="00B92082"/>
    <w:rsid w:val="00B97460"/>
    <w:rsid w:val="00BA0B86"/>
    <w:rsid w:val="00BA6B78"/>
    <w:rsid w:val="00BB33C5"/>
    <w:rsid w:val="00BC51A4"/>
    <w:rsid w:val="00BE3E0B"/>
    <w:rsid w:val="00C23599"/>
    <w:rsid w:val="00C37F85"/>
    <w:rsid w:val="00C4112A"/>
    <w:rsid w:val="00C42751"/>
    <w:rsid w:val="00C434DA"/>
    <w:rsid w:val="00C53BD3"/>
    <w:rsid w:val="00C61A77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32D7"/>
    <w:rsid w:val="00D157C7"/>
    <w:rsid w:val="00D2332A"/>
    <w:rsid w:val="00D646E7"/>
    <w:rsid w:val="00D650CD"/>
    <w:rsid w:val="00D66931"/>
    <w:rsid w:val="00D70850"/>
    <w:rsid w:val="00D75A2C"/>
    <w:rsid w:val="00D906AA"/>
    <w:rsid w:val="00DC0585"/>
    <w:rsid w:val="00DD1295"/>
    <w:rsid w:val="00DD5890"/>
    <w:rsid w:val="00DE54CD"/>
    <w:rsid w:val="00DF0A45"/>
    <w:rsid w:val="00E007B9"/>
    <w:rsid w:val="00E77692"/>
    <w:rsid w:val="00E85B8B"/>
    <w:rsid w:val="00EC3715"/>
    <w:rsid w:val="00ED2491"/>
    <w:rsid w:val="00ED330D"/>
    <w:rsid w:val="00EF361E"/>
    <w:rsid w:val="00F03982"/>
    <w:rsid w:val="00F11799"/>
    <w:rsid w:val="00F20CA8"/>
    <w:rsid w:val="00F256BD"/>
    <w:rsid w:val="00F321EF"/>
    <w:rsid w:val="00F45C7E"/>
    <w:rsid w:val="00F520A5"/>
    <w:rsid w:val="00F53107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5D86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A264-649E-43FE-8057-8118120D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1641</Words>
  <Characters>10856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Németh-Varga Dániel</cp:lastModifiedBy>
  <cp:revision>22</cp:revision>
  <cp:lastPrinted>2009-06-12T08:44:00Z</cp:lastPrinted>
  <dcterms:created xsi:type="dcterms:W3CDTF">2018-04-09T12:23:00Z</dcterms:created>
  <dcterms:modified xsi:type="dcterms:W3CDTF">2018-04-11T10:29:00Z</dcterms:modified>
</cp:coreProperties>
</file>