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49" w:rsidRPr="005840E1" w:rsidRDefault="00CB7F49" w:rsidP="00CB7F49">
      <w:pPr>
        <w:autoSpaceDE w:val="0"/>
        <w:autoSpaceDN w:val="0"/>
        <w:adjustRightInd w:val="0"/>
        <w:spacing w:after="0" w:line="240" w:lineRule="auto"/>
        <w:jc w:val="center"/>
        <w:rPr>
          <w:rFonts w:ascii="Calibri" w:eastAsia="Calibri" w:hAnsi="Calibri" w:cs="Times New Roman"/>
          <w:b/>
          <w:bCs/>
          <w:sz w:val="28"/>
          <w:szCs w:val="28"/>
        </w:rPr>
      </w:pPr>
      <w:r w:rsidRPr="005840E1">
        <w:rPr>
          <w:rFonts w:ascii="Calibri" w:eastAsia="Calibri" w:hAnsi="Calibri" w:cs="Times New Roman"/>
          <w:b/>
          <w:bCs/>
          <w:sz w:val="28"/>
          <w:szCs w:val="28"/>
        </w:rPr>
        <w:t>KÖZÉRDEKŰ KÉRDÉSEK ÉS VÁLASZOK</w:t>
      </w:r>
    </w:p>
    <w:p w:rsidR="00CB7F49" w:rsidRDefault="00CB7F49" w:rsidP="00CB7F49">
      <w:pPr>
        <w:autoSpaceDE w:val="0"/>
        <w:autoSpaceDN w:val="0"/>
        <w:adjustRightInd w:val="0"/>
        <w:spacing w:after="0" w:line="240" w:lineRule="auto"/>
        <w:jc w:val="center"/>
        <w:rPr>
          <w:rFonts w:ascii="Calibri" w:eastAsia="Calibri" w:hAnsi="Calibri" w:cs="Times New Roman"/>
          <w:b/>
          <w:bCs/>
          <w:sz w:val="28"/>
          <w:szCs w:val="28"/>
        </w:rPr>
      </w:pPr>
      <w:r w:rsidRPr="005840E1">
        <w:rPr>
          <w:rFonts w:ascii="Calibri" w:eastAsia="Calibri" w:hAnsi="Calibri" w:cs="Times New Roman"/>
          <w:b/>
          <w:bCs/>
          <w:sz w:val="28"/>
          <w:szCs w:val="28"/>
        </w:rPr>
        <w:t xml:space="preserve">A 2014. ÉVI </w:t>
      </w:r>
      <w:r w:rsidRPr="005840E1">
        <w:rPr>
          <w:rFonts w:ascii="Calibri" w:eastAsia="Calibri" w:hAnsi="Calibri" w:cs="Arial"/>
          <w:b/>
          <w:bCs/>
          <w:sz w:val="28"/>
          <w:szCs w:val="28"/>
        </w:rPr>
        <w:t>PÉNZ- ÉS HITELPIACI</w:t>
      </w:r>
      <w:r w:rsidRPr="005840E1">
        <w:rPr>
          <w:rFonts w:ascii="Calibri" w:eastAsia="Calibri" w:hAnsi="Calibri" w:cs="Times New Roman"/>
          <w:b/>
          <w:bCs/>
          <w:sz w:val="28"/>
          <w:szCs w:val="28"/>
        </w:rPr>
        <w:t xml:space="preserve"> </w:t>
      </w:r>
      <w:r w:rsidR="00FA7B0E">
        <w:rPr>
          <w:rFonts w:ascii="Calibri" w:eastAsia="Calibri" w:hAnsi="Calibri" w:cs="Times New Roman"/>
          <w:b/>
          <w:bCs/>
          <w:sz w:val="28"/>
          <w:szCs w:val="28"/>
        </w:rPr>
        <w:t xml:space="preserve">ELSŐDLEGESEN FELÜGYELETI CÉLÚ </w:t>
      </w:r>
      <w:r w:rsidRPr="005840E1">
        <w:rPr>
          <w:rFonts w:ascii="Calibri" w:eastAsia="Calibri" w:hAnsi="Calibri" w:cs="Times New Roman"/>
          <w:b/>
          <w:bCs/>
          <w:sz w:val="28"/>
          <w:szCs w:val="28"/>
        </w:rPr>
        <w:t xml:space="preserve">ADATSZOLGÁLTATÁSI </w:t>
      </w:r>
      <w:r w:rsidR="00FA7B0E">
        <w:rPr>
          <w:rFonts w:ascii="Calibri" w:eastAsia="Calibri" w:hAnsi="Calibri" w:cs="Times New Roman"/>
          <w:b/>
          <w:bCs/>
          <w:sz w:val="28"/>
          <w:szCs w:val="28"/>
        </w:rPr>
        <w:t xml:space="preserve">MNB </w:t>
      </w:r>
      <w:r w:rsidRPr="005840E1">
        <w:rPr>
          <w:rFonts w:ascii="Calibri" w:eastAsia="Calibri" w:hAnsi="Calibri" w:cs="Times New Roman"/>
          <w:b/>
          <w:bCs/>
          <w:sz w:val="28"/>
          <w:szCs w:val="28"/>
        </w:rPr>
        <w:t>RENDELETTEL KAPCSOLATBAN</w:t>
      </w:r>
    </w:p>
    <w:p w:rsidR="004D7898" w:rsidRDefault="004D7898" w:rsidP="00CB7F49">
      <w:pPr>
        <w:autoSpaceDE w:val="0"/>
        <w:autoSpaceDN w:val="0"/>
        <w:adjustRightInd w:val="0"/>
        <w:spacing w:after="0" w:line="240" w:lineRule="auto"/>
        <w:jc w:val="center"/>
        <w:rPr>
          <w:rFonts w:ascii="Calibri" w:eastAsia="Calibri" w:hAnsi="Calibri" w:cs="Times New Roman"/>
          <w:b/>
          <w:bCs/>
          <w:sz w:val="28"/>
          <w:szCs w:val="28"/>
        </w:rPr>
      </w:pPr>
    </w:p>
    <w:p w:rsidR="004D7898" w:rsidRPr="005840E1" w:rsidRDefault="004D7898" w:rsidP="00CB7F49">
      <w:pPr>
        <w:autoSpaceDE w:val="0"/>
        <w:autoSpaceDN w:val="0"/>
        <w:adjustRightInd w:val="0"/>
        <w:spacing w:after="0" w:line="240" w:lineRule="auto"/>
        <w:jc w:val="center"/>
        <w:rPr>
          <w:rFonts w:ascii="Calibri" w:eastAsia="Calibri" w:hAnsi="Calibri" w:cs="Times New Roman"/>
          <w:b/>
          <w:bCs/>
          <w:sz w:val="28"/>
          <w:szCs w:val="28"/>
        </w:rPr>
      </w:pPr>
    </w:p>
    <w:p w:rsidR="004D7898" w:rsidRPr="005840E1" w:rsidRDefault="004D7898" w:rsidP="004D7898">
      <w:pPr>
        <w:pStyle w:val="ListParagraph"/>
        <w:numPr>
          <w:ilvl w:val="0"/>
          <w:numId w:val="12"/>
        </w:numPr>
        <w:ind w:left="426" w:hanging="273"/>
        <w:jc w:val="both"/>
        <w:rPr>
          <w:b/>
          <w:sz w:val="26"/>
          <w:szCs w:val="26"/>
        </w:rPr>
      </w:pPr>
      <w:r w:rsidRPr="005840E1">
        <w:rPr>
          <w:b/>
          <w:sz w:val="26"/>
          <w:szCs w:val="26"/>
        </w:rPr>
        <w:t>Általános kérdések és válaszok</w:t>
      </w:r>
    </w:p>
    <w:p w:rsidR="00DA2320" w:rsidRPr="00B95B08" w:rsidRDefault="00DA2320" w:rsidP="0013228F">
      <w:pPr>
        <w:pStyle w:val="ListParagraph"/>
        <w:jc w:val="both"/>
        <w:rPr>
          <w:b/>
        </w:rPr>
      </w:pPr>
    </w:p>
    <w:p w:rsidR="006E5103" w:rsidRPr="00AF7647" w:rsidRDefault="004D7898" w:rsidP="0013228F">
      <w:pPr>
        <w:pStyle w:val="ListParagraph"/>
        <w:numPr>
          <w:ilvl w:val="0"/>
          <w:numId w:val="1"/>
        </w:numPr>
        <w:jc w:val="both"/>
      </w:pPr>
      <w:r w:rsidRPr="004D7898">
        <w:rPr>
          <w:b/>
          <w:u w:val="single"/>
        </w:rPr>
        <w:t>Kérdés:</w:t>
      </w:r>
      <w:r>
        <w:t xml:space="preserve"> </w:t>
      </w:r>
      <w:r w:rsidR="00296918" w:rsidRPr="00AF7647">
        <w:t xml:space="preserve">A rendelet-tervezet 4. §-a megfelelő iránymutatást ad az 575/2013/EU rendelettel összefüggő összevont alapú felügyeleti jelentési kötelezettséget érintőn. Ugyanakkor értelmezésünk szerint ugyanezen EU rendelethez kapcsolódó, egyes egyedi szintű adatszolgáltatások vonatkozásában (pl. Corep, nagykockázat vállalás, stb.) is </w:t>
      </w:r>
      <w:r w:rsidR="00296918" w:rsidRPr="00AF7647">
        <w:rPr>
          <w:b/>
        </w:rPr>
        <w:t>szükséges volna rendelkezést kiadni</w:t>
      </w:r>
      <w:r w:rsidR="00296918" w:rsidRPr="00AF7647">
        <w:t xml:space="preserve"> arra vonatkozólag, hogy a releváns egyedi adatszolgáltatásokat a jelenlegi gyakorlat szerinti HA</w:t>
      </w:r>
      <w:r w:rsidR="000D2FD0">
        <w:t>S</w:t>
      </w:r>
      <w:r w:rsidR="00296918" w:rsidRPr="00AF7647">
        <w:t xml:space="preserve"> alapon, vagy IFRS alapon kell elkészíteni. </w:t>
      </w:r>
    </w:p>
    <w:p w:rsidR="00D03E17" w:rsidRPr="00AF7647" w:rsidRDefault="00D03E17" w:rsidP="0013228F">
      <w:pPr>
        <w:pStyle w:val="ListParagraph"/>
        <w:jc w:val="both"/>
      </w:pPr>
    </w:p>
    <w:p w:rsidR="005B3CDC" w:rsidRPr="00AF7647" w:rsidRDefault="00296918" w:rsidP="0013228F">
      <w:pPr>
        <w:pStyle w:val="ListParagraph"/>
        <w:jc w:val="both"/>
        <w:rPr>
          <w:b/>
          <w:u w:val="single"/>
        </w:rPr>
      </w:pPr>
      <w:r w:rsidRPr="00AF7647">
        <w:rPr>
          <w:b/>
          <w:u w:val="single"/>
        </w:rPr>
        <w:t xml:space="preserve">Válasz: </w:t>
      </w:r>
    </w:p>
    <w:p w:rsidR="00D87C79" w:rsidRDefault="00296918" w:rsidP="0013228F">
      <w:pPr>
        <w:pStyle w:val="ListParagraph"/>
        <w:jc w:val="both"/>
      </w:pPr>
      <w:r w:rsidRPr="00AF7647">
        <w:t>A</w:t>
      </w:r>
      <w:r w:rsidR="00886C3C" w:rsidRPr="00AF7647">
        <w:t>z adatszolgáltatási ITS</w:t>
      </w:r>
      <w:r w:rsidRPr="00AF7647">
        <w:t xml:space="preserve"> </w:t>
      </w:r>
      <w:r w:rsidR="00886C3C" w:rsidRPr="00AF7647">
        <w:t>(</w:t>
      </w:r>
      <w:r w:rsidRPr="00AF7647">
        <w:t>COREP</w:t>
      </w:r>
      <w:r w:rsidR="00612A62" w:rsidRPr="00AF7647">
        <w:t>, nagykockázat vállalás stb.</w:t>
      </w:r>
      <w:r w:rsidR="00886C3C" w:rsidRPr="00AF7647">
        <w:t>)</w:t>
      </w:r>
      <w:r w:rsidRPr="00AF7647">
        <w:t xml:space="preserve"> nem tárgya jelen rendelet-tervezetnek.</w:t>
      </w:r>
      <w:r w:rsidR="005B3CDC" w:rsidRPr="00AF7647">
        <w:t xml:space="preserve"> </w:t>
      </w:r>
      <w:r w:rsidR="00AF7647" w:rsidRPr="00AF7647">
        <w:t>Az</w:t>
      </w:r>
      <w:r w:rsidR="00AF7647">
        <w:t xml:space="preserve"> egyedi szintű ITS adatszolgáltatásokat továbbra is a magyar számviteli </w:t>
      </w:r>
      <w:r w:rsidR="000D2FD0">
        <w:t>szabályok alapján (HAS)</w:t>
      </w:r>
      <w:r w:rsidR="00AF7647">
        <w:t xml:space="preserve"> kell teljesíteni. </w:t>
      </w:r>
    </w:p>
    <w:p w:rsidR="00493E98" w:rsidRPr="00B95B08" w:rsidRDefault="00493E98" w:rsidP="0013228F">
      <w:pPr>
        <w:pStyle w:val="ListParagraph"/>
        <w:jc w:val="both"/>
      </w:pPr>
    </w:p>
    <w:p w:rsidR="00D03E17" w:rsidRPr="00B95B08" w:rsidRDefault="004D7898" w:rsidP="0013228F">
      <w:pPr>
        <w:pStyle w:val="ListParagraph"/>
        <w:numPr>
          <w:ilvl w:val="0"/>
          <w:numId w:val="1"/>
        </w:numPr>
        <w:jc w:val="both"/>
      </w:pPr>
      <w:r w:rsidRPr="004D7898">
        <w:rPr>
          <w:b/>
          <w:u w:val="single"/>
        </w:rPr>
        <w:t>Kérdés</w:t>
      </w:r>
      <w:r>
        <w:t xml:space="preserve">: </w:t>
      </w:r>
      <w:r w:rsidR="006E5103" w:rsidRPr="00B95B08">
        <w:t xml:space="preserve">A rendelet-tervezet </w:t>
      </w:r>
      <w:r w:rsidR="006E5103" w:rsidRPr="00493E98">
        <w:rPr>
          <w:b/>
        </w:rPr>
        <w:t>8. §</w:t>
      </w:r>
      <w:r w:rsidR="00DA38E5" w:rsidRPr="00493E98">
        <w:rPr>
          <w:b/>
        </w:rPr>
        <w:t xml:space="preserve"> s</w:t>
      </w:r>
      <w:r w:rsidR="006E5103" w:rsidRPr="00493E98">
        <w:rPr>
          <w:b/>
        </w:rPr>
        <w:t>zerinti adatszolgáltatására vonatkozólag a 9. §-ban nincs utalás</w:t>
      </w:r>
      <w:r w:rsidR="006E5103" w:rsidRPr="00B95B08">
        <w:t>, hogy milyen csatornán kell továbbítani (KAP vagy EBEAD), ezért ezt kérjük pótolni.</w:t>
      </w:r>
      <w:r w:rsidR="00D87C79" w:rsidRPr="00B95B08">
        <w:t xml:space="preserve"> </w:t>
      </w:r>
    </w:p>
    <w:p w:rsidR="008C3AB3" w:rsidRPr="00B95B08" w:rsidRDefault="005B3CDC" w:rsidP="0013228F">
      <w:pPr>
        <w:pStyle w:val="ListParagraph"/>
        <w:jc w:val="both"/>
        <w:rPr>
          <w:rFonts w:cs="Arial"/>
          <w:b/>
          <w:bCs/>
        </w:rPr>
      </w:pPr>
      <w:r w:rsidRPr="00B95B08">
        <w:rPr>
          <w:rFonts w:cs="Arial"/>
          <w:b/>
          <w:bCs/>
          <w:u w:val="single"/>
        </w:rPr>
        <w:t>Válasz:</w:t>
      </w:r>
      <w:r w:rsidRPr="00B95B08">
        <w:rPr>
          <w:rFonts w:cs="Arial"/>
          <w:b/>
          <w:bCs/>
        </w:rPr>
        <w:t xml:space="preserve"> </w:t>
      </w:r>
    </w:p>
    <w:p w:rsidR="005B3CDC" w:rsidRPr="00B95B08" w:rsidRDefault="005B3CDC" w:rsidP="0013228F">
      <w:pPr>
        <w:pStyle w:val="ListParagraph"/>
        <w:jc w:val="both"/>
        <w:rPr>
          <w:rFonts w:cs="Arial"/>
          <w:bCs/>
        </w:rPr>
      </w:pPr>
      <w:r w:rsidRPr="00B95B08">
        <w:rPr>
          <w:rFonts w:cs="Arial"/>
          <w:bCs/>
        </w:rPr>
        <w:t xml:space="preserve">A rendelet 9. §-ában foglalt rendelkezés szerint a felügyeleti jelentést a KAP rendszeren keresztül kell teljesíteni. </w:t>
      </w:r>
    </w:p>
    <w:p w:rsidR="005B3CDC" w:rsidRPr="00B95B08" w:rsidRDefault="005B3CDC" w:rsidP="0013228F">
      <w:pPr>
        <w:pStyle w:val="ListParagraph"/>
        <w:spacing w:after="240"/>
        <w:jc w:val="both"/>
        <w:rPr>
          <w:rFonts w:cs="Arial"/>
          <w:bCs/>
        </w:rPr>
      </w:pPr>
      <w:r w:rsidRPr="00B95B08">
        <w:rPr>
          <w:rFonts w:cs="Arial"/>
          <w:bCs/>
        </w:rPr>
        <w:t>Az erre vonatkozó részlet a rendelet főszövegéből:</w:t>
      </w:r>
    </w:p>
    <w:p w:rsidR="005B3CDC" w:rsidRPr="00B95B08" w:rsidRDefault="005B3CDC" w:rsidP="0013228F">
      <w:pPr>
        <w:pStyle w:val="ListParagraph"/>
        <w:jc w:val="both"/>
        <w:rPr>
          <w:rFonts w:cs="Arial"/>
          <w:i/>
        </w:rPr>
      </w:pPr>
      <w:r w:rsidRPr="00B95B08">
        <w:rPr>
          <w:rFonts w:cs="Arial"/>
          <w:bCs/>
          <w:i/>
        </w:rPr>
        <w:t>„</w:t>
      </w:r>
      <w:r w:rsidRPr="00B95B08">
        <w:rPr>
          <w:rFonts w:cs="Arial"/>
          <w:b/>
          <w:bCs/>
          <w:i/>
        </w:rPr>
        <w:t xml:space="preserve">9. § </w:t>
      </w:r>
      <w:r w:rsidRPr="00B95B08">
        <w:rPr>
          <w:rFonts w:cs="Arial"/>
          <w:bCs/>
          <w:i/>
        </w:rPr>
        <w:t>(1</w:t>
      </w:r>
      <w:r w:rsidRPr="00B95B08">
        <w:rPr>
          <w:rFonts w:cs="Arial"/>
          <w:bCs/>
          <w:i/>
          <w:u w:val="single"/>
        </w:rPr>
        <w:t>)</w:t>
      </w:r>
      <w:r w:rsidRPr="00B95B08">
        <w:rPr>
          <w:rFonts w:cs="Arial"/>
          <w:b/>
          <w:bCs/>
          <w:i/>
          <w:u w:val="single"/>
        </w:rPr>
        <w:t xml:space="preserve"> </w:t>
      </w:r>
      <w:r w:rsidRPr="00B95B08">
        <w:rPr>
          <w:rFonts w:cs="Arial"/>
          <w:i/>
          <w:u w:val="single"/>
        </w:rPr>
        <w:t>Az adatszolgáltató a felügyeleti jelentést,</w:t>
      </w:r>
      <w:r w:rsidRPr="00B95B08">
        <w:rPr>
          <w:rFonts w:cs="Arial"/>
          <w:i/>
        </w:rPr>
        <w:t xml:space="preserve"> valamint a …./2013/EU bizottsági rendeletben előírt adatszolgáltatási kötelezettséget az MNB által meghatározott elektronikus formában, fokozott biztonságú vagy minősített elektronikus aláírással ellátva – a (2) bekezdésben foglalt eltéréssel – </w:t>
      </w:r>
      <w:r w:rsidRPr="00B95B08">
        <w:rPr>
          <w:rFonts w:cs="Arial"/>
          <w:i/>
          <w:u w:val="single"/>
        </w:rPr>
        <w:t>az MNB „Kihelyezett Adatküldő Program” megnevezésű jelentésfogadó rendszerén (a továbbiakban: KAP rendszer) keresztül teljesíti.</w:t>
      </w:r>
      <w:r w:rsidRPr="00B95B08">
        <w:rPr>
          <w:rFonts w:cs="Arial"/>
          <w:i/>
        </w:rPr>
        <w:t>”</w:t>
      </w:r>
    </w:p>
    <w:p w:rsidR="005B3CDC" w:rsidRPr="00B95B08" w:rsidRDefault="005B3CDC" w:rsidP="0013228F">
      <w:pPr>
        <w:pStyle w:val="ListParagraph"/>
        <w:jc w:val="both"/>
        <w:rPr>
          <w:rFonts w:cs="Arial"/>
          <w:bCs/>
        </w:rPr>
      </w:pPr>
      <w:r w:rsidRPr="00B95B08">
        <w:rPr>
          <w:rFonts w:cs="Arial"/>
          <w:bCs/>
        </w:rPr>
        <w:t>Eltérő rendelkezés hiányában ez vonatkozik a 8. §-ban előírt adatszolgáltatásra is, azaz a tárgyévi javadalmazási adatokat továbbra is a KAP rendszeren keresztül kell a megküldeni.</w:t>
      </w:r>
    </w:p>
    <w:p w:rsidR="00875FE0" w:rsidRPr="00B95B08" w:rsidRDefault="00875FE0" w:rsidP="0013228F">
      <w:pPr>
        <w:pStyle w:val="ListParagraph"/>
        <w:jc w:val="both"/>
      </w:pPr>
    </w:p>
    <w:p w:rsidR="006A60C2" w:rsidRPr="00B95B08" w:rsidRDefault="006A60C2" w:rsidP="0013228F">
      <w:pPr>
        <w:pStyle w:val="ListParagraph"/>
        <w:jc w:val="both"/>
        <w:rPr>
          <w:b/>
        </w:rPr>
      </w:pPr>
    </w:p>
    <w:p w:rsidR="001C030E" w:rsidRPr="00B95B08" w:rsidRDefault="004D7898" w:rsidP="0013228F">
      <w:pPr>
        <w:pStyle w:val="ListParagraph"/>
        <w:numPr>
          <w:ilvl w:val="0"/>
          <w:numId w:val="1"/>
        </w:numPr>
        <w:jc w:val="both"/>
      </w:pPr>
      <w:r w:rsidRPr="004D7898">
        <w:rPr>
          <w:b/>
          <w:u w:val="single"/>
        </w:rPr>
        <w:t>Kérdés</w:t>
      </w:r>
      <w:r>
        <w:t xml:space="preserve">: </w:t>
      </w:r>
      <w:r w:rsidR="00682BC2" w:rsidRPr="00B95B08">
        <w:t xml:space="preserve">II.A.1.1. (6) „az állományokba be kell számítani a hó vége utáni harmadik munkanapig ismertté vált, a hó utolsó napjáig még le nem könyvelt, a tárgyhónapot érintő, teljesített tételeket”. Kérjük a 3 napos visszakönyvelési szabályt törölni. A tulajdonosi jelentések határideje egyre rövidül, így különösen év közben nehézséget okoz, a 3 napos visszakönyvelési időszak bevárása. </w:t>
      </w:r>
    </w:p>
    <w:p w:rsidR="0013228F" w:rsidRPr="00B95B08" w:rsidRDefault="00DE1AE9" w:rsidP="0013228F">
      <w:pPr>
        <w:autoSpaceDE w:val="0"/>
        <w:autoSpaceDN w:val="0"/>
        <w:adjustRightInd w:val="0"/>
        <w:spacing w:after="0"/>
        <w:ind w:left="709"/>
        <w:jc w:val="both"/>
        <w:rPr>
          <w:rFonts w:cs="Arial"/>
          <w:b/>
          <w:bCs/>
        </w:rPr>
      </w:pPr>
      <w:r w:rsidRPr="00B95B08">
        <w:rPr>
          <w:rFonts w:cs="Arial"/>
          <w:b/>
          <w:bCs/>
          <w:u w:val="single"/>
        </w:rPr>
        <w:t>Válasz:</w:t>
      </w:r>
      <w:r w:rsidRPr="00B95B08">
        <w:rPr>
          <w:rFonts w:cs="Arial"/>
          <w:b/>
          <w:bCs/>
        </w:rPr>
        <w:t xml:space="preserve"> </w:t>
      </w:r>
    </w:p>
    <w:p w:rsidR="00DE1AE9" w:rsidRPr="00B95B08" w:rsidRDefault="008304BF" w:rsidP="0013228F">
      <w:pPr>
        <w:autoSpaceDE w:val="0"/>
        <w:autoSpaceDN w:val="0"/>
        <w:adjustRightInd w:val="0"/>
        <w:spacing w:after="0"/>
        <w:ind w:left="709"/>
        <w:jc w:val="both"/>
        <w:rPr>
          <w:rFonts w:cs="Arial"/>
          <w:bCs/>
        </w:rPr>
      </w:pPr>
      <w:r>
        <w:rPr>
          <w:rFonts w:cs="Arial"/>
          <w:bCs/>
        </w:rPr>
        <w:t>J</w:t>
      </w:r>
      <w:r w:rsidR="00DE1AE9" w:rsidRPr="00B95B08">
        <w:rPr>
          <w:rFonts w:cs="Arial"/>
          <w:bCs/>
        </w:rPr>
        <w:t>elen rendeletnek összhangban kell lenni</w:t>
      </w:r>
      <w:r w:rsidR="00D35102" w:rsidRPr="00B95B08">
        <w:rPr>
          <w:rFonts w:cs="Arial"/>
          <w:bCs/>
        </w:rPr>
        <w:t>e</w:t>
      </w:r>
      <w:r w:rsidR="00DE1AE9" w:rsidRPr="00B95B08">
        <w:rPr>
          <w:rFonts w:cs="Arial"/>
          <w:bCs/>
        </w:rPr>
        <w:t xml:space="preserve"> a 23/2013 (XI. 6.) MNB rendelettel, amely kimondja, hogy „- az állományokba be kell számítani a hó vége utáni harmadik munkanapig </w:t>
      </w:r>
      <w:r w:rsidR="00DE1AE9" w:rsidRPr="00B95B08">
        <w:rPr>
          <w:rFonts w:cs="Arial"/>
          <w:bCs/>
        </w:rPr>
        <w:lastRenderedPageBreak/>
        <w:t>ismertté vált, a hó utolsó napjáig még le nem könyvelt, a tárgyhónapot érintő, teljesített tételeket.” (</w:t>
      </w:r>
      <w:r w:rsidR="00D35102" w:rsidRPr="00B95B08">
        <w:rPr>
          <w:rFonts w:cs="Arial"/>
          <w:bCs/>
        </w:rPr>
        <w:t xml:space="preserve">23/2013. MNB rendelet 2. melléklet </w:t>
      </w:r>
      <w:r w:rsidR="00DE1AE9" w:rsidRPr="00B95B08">
        <w:rPr>
          <w:rFonts w:cs="Arial"/>
          <w:bCs/>
        </w:rPr>
        <w:t>„F01_F03_F08_F09_F14_F77-F85_kitoltesi”</w:t>
      </w:r>
      <w:r w:rsidR="00D35102" w:rsidRPr="00B95B08">
        <w:rPr>
          <w:rFonts w:cs="Arial"/>
          <w:bCs/>
        </w:rPr>
        <w:t>fájl)</w:t>
      </w:r>
    </w:p>
    <w:p w:rsidR="00DE1AE9" w:rsidRPr="00B95B08" w:rsidRDefault="008304BF" w:rsidP="0013228F">
      <w:pPr>
        <w:pStyle w:val="ListParagraph"/>
        <w:jc w:val="both"/>
        <w:rPr>
          <w:rFonts w:cs="Arial"/>
          <w:bCs/>
        </w:rPr>
      </w:pPr>
      <w:r>
        <w:rPr>
          <w:rFonts w:cs="Arial"/>
          <w:bCs/>
        </w:rPr>
        <w:t>Megítélésünk szerint a</w:t>
      </w:r>
      <w:r w:rsidR="00DE1AE9" w:rsidRPr="00B95B08">
        <w:rPr>
          <w:rFonts w:cs="Arial"/>
          <w:bCs/>
        </w:rPr>
        <w:t xml:space="preserve"> </w:t>
      </w:r>
      <w:r w:rsidR="008C3AB3" w:rsidRPr="00B95B08">
        <w:rPr>
          <w:rFonts w:cs="Arial"/>
          <w:bCs/>
        </w:rPr>
        <w:t>három</w:t>
      </w:r>
      <w:r w:rsidR="00DE1AE9" w:rsidRPr="00B95B08">
        <w:rPr>
          <w:rFonts w:cs="Arial"/>
          <w:bCs/>
        </w:rPr>
        <w:t>napos visszakönyvelési időszak minimálisan szükséges ahhoz, hogy az analitikus és főkönyvi számlák egyeztetése és a 250/2000. Korm.rendelet 12. §-ában előírt időszak végi zárási feladatok elvégzését követően az adatszolgáltatásban szereplő adatok az elvárt minőségi szinten mutassák az intézmény könyveiben szereplő eszközöket és forrásokat.</w:t>
      </w:r>
    </w:p>
    <w:p w:rsidR="00D60A00" w:rsidRPr="00B95B08" w:rsidRDefault="00D60A00" w:rsidP="0013228F">
      <w:pPr>
        <w:pStyle w:val="ListParagraph"/>
        <w:jc w:val="both"/>
      </w:pPr>
    </w:p>
    <w:p w:rsidR="00AF02E0" w:rsidRPr="00B95B08" w:rsidRDefault="004D7898" w:rsidP="0013228F">
      <w:pPr>
        <w:pStyle w:val="ListParagraph"/>
        <w:numPr>
          <w:ilvl w:val="0"/>
          <w:numId w:val="1"/>
        </w:numPr>
        <w:jc w:val="both"/>
      </w:pPr>
      <w:r w:rsidRPr="004D7898">
        <w:rPr>
          <w:b/>
          <w:u w:val="single"/>
        </w:rPr>
        <w:t>Kérdés</w:t>
      </w:r>
      <w:r>
        <w:t xml:space="preserve">: </w:t>
      </w:r>
      <w:r w:rsidR="00D60A00" w:rsidRPr="00B95B08">
        <w:t xml:space="preserve">A 10. oldalon a „II.A.1.1 Általános előírások” 1. pontja szerint a fogalmak és rövidítések magyarázatát e melléklet (= 3. számú melléklet) tartalmazza. Véleményünk szerint a fogalmak és rövidítések az 1. számú mellékletben találhatók. </w:t>
      </w:r>
    </w:p>
    <w:p w:rsidR="0013228F" w:rsidRPr="00B95B08" w:rsidRDefault="00AF02E0" w:rsidP="0013228F">
      <w:pPr>
        <w:pStyle w:val="ListParagraph"/>
        <w:jc w:val="both"/>
        <w:rPr>
          <w:rFonts w:cs="Arial"/>
          <w:b/>
          <w:bCs/>
          <w:u w:val="single"/>
        </w:rPr>
      </w:pPr>
      <w:r w:rsidRPr="00B95B08">
        <w:rPr>
          <w:rFonts w:cs="Arial"/>
          <w:b/>
          <w:bCs/>
          <w:u w:val="single"/>
        </w:rPr>
        <w:t xml:space="preserve">Válasz: </w:t>
      </w:r>
    </w:p>
    <w:p w:rsidR="005B3CDC" w:rsidRPr="00B95B08" w:rsidRDefault="00BC7A83" w:rsidP="0013228F">
      <w:pPr>
        <w:pStyle w:val="ListParagraph"/>
        <w:jc w:val="both"/>
      </w:pPr>
      <w:r>
        <w:rPr>
          <w:rFonts w:cs="Arial"/>
          <w:bCs/>
        </w:rPr>
        <w:t>Módosított</w:t>
      </w:r>
      <w:r w:rsidR="00DE1AE9" w:rsidRPr="00B95B08">
        <w:rPr>
          <w:rFonts w:cs="Arial"/>
          <w:bCs/>
        </w:rPr>
        <w:t>uk a kitöltési előírást.</w:t>
      </w:r>
    </w:p>
    <w:p w:rsidR="00DA2320" w:rsidRPr="00B95B08" w:rsidRDefault="00DA2320" w:rsidP="0013228F">
      <w:pPr>
        <w:pStyle w:val="ListParagraph"/>
        <w:jc w:val="both"/>
      </w:pPr>
    </w:p>
    <w:p w:rsidR="00493E98" w:rsidRPr="00493E98" w:rsidRDefault="004D7898" w:rsidP="0013228F">
      <w:pPr>
        <w:pStyle w:val="ListParagraph"/>
        <w:numPr>
          <w:ilvl w:val="0"/>
          <w:numId w:val="1"/>
        </w:numPr>
        <w:spacing w:after="0"/>
        <w:ind w:left="709"/>
        <w:jc w:val="both"/>
        <w:rPr>
          <w:rFonts w:cs="Arial"/>
          <w:b/>
          <w:bCs/>
          <w:u w:val="single"/>
        </w:rPr>
      </w:pPr>
      <w:r w:rsidRPr="004D7898">
        <w:rPr>
          <w:b/>
          <w:u w:val="single"/>
        </w:rPr>
        <w:t>Kérdés</w:t>
      </w:r>
      <w:r>
        <w:t xml:space="preserve">: </w:t>
      </w:r>
      <w:r w:rsidR="004906E1" w:rsidRPr="00B95B08">
        <w:t xml:space="preserve">Több táblában (4A, 7F, 8AP…a teljesség igény nélkül), a korábban 0 napos hátralévő lejárat, illetve legrégebbi hátralék eltűnt a táblákból. Mit vár az MNB a 0 napos lejárt hiteleket a nem lejártak között kell jelentenünk? </w:t>
      </w:r>
    </w:p>
    <w:p w:rsidR="0013228F" w:rsidRPr="00493E98" w:rsidRDefault="00493E98" w:rsidP="00493E98">
      <w:pPr>
        <w:spacing w:after="0"/>
        <w:ind w:left="349"/>
        <w:jc w:val="both"/>
        <w:rPr>
          <w:rFonts w:cs="Arial"/>
          <w:b/>
          <w:bCs/>
          <w:u w:val="single"/>
        </w:rPr>
      </w:pPr>
      <w:r w:rsidRPr="00493E98">
        <w:rPr>
          <w:rFonts w:cs="Arial"/>
          <w:b/>
          <w:bCs/>
        </w:rPr>
        <w:t xml:space="preserve">      </w:t>
      </w:r>
      <w:r>
        <w:rPr>
          <w:rFonts w:cs="Arial"/>
          <w:b/>
          <w:bCs/>
          <w:u w:val="single"/>
        </w:rPr>
        <w:t xml:space="preserve"> </w:t>
      </w:r>
      <w:r w:rsidR="00AF02E0" w:rsidRPr="00493E98">
        <w:rPr>
          <w:rFonts w:cs="Arial"/>
          <w:b/>
          <w:bCs/>
          <w:u w:val="single"/>
        </w:rPr>
        <w:t xml:space="preserve">Válasz: </w:t>
      </w:r>
    </w:p>
    <w:p w:rsidR="00AF02E0" w:rsidRPr="00B95B08" w:rsidRDefault="002C14F9" w:rsidP="0013228F">
      <w:pPr>
        <w:spacing w:after="0"/>
        <w:ind w:left="709"/>
        <w:jc w:val="both"/>
      </w:pPr>
      <w:r w:rsidRPr="00B95B08">
        <w:rPr>
          <w:rFonts w:cs="Arial"/>
          <w:bCs/>
        </w:rPr>
        <w:t xml:space="preserve">A nulla napos hátralék azt jelenti, hogy nincs hátralék, illetve a nulla napos hátralévő futamidő az, hogy az adott törlesztés esedékessé vált. Egy évvel ezelőtt </w:t>
      </w:r>
      <w:r w:rsidR="00EF00F8" w:rsidRPr="00B95B08">
        <w:rPr>
          <w:rFonts w:cs="Arial"/>
          <w:bCs/>
        </w:rPr>
        <w:t xml:space="preserve">módosult </w:t>
      </w:r>
      <w:r w:rsidRPr="00B95B08">
        <w:rPr>
          <w:rFonts w:cs="Arial"/>
          <w:bCs/>
        </w:rPr>
        <w:t xml:space="preserve">az említett táblákban a sávok alsó </w:t>
      </w:r>
      <w:r w:rsidR="00EF00F8" w:rsidRPr="00B95B08">
        <w:rPr>
          <w:rFonts w:cs="Arial"/>
          <w:bCs/>
        </w:rPr>
        <w:t xml:space="preserve">korlátja </w:t>
      </w:r>
      <w:r w:rsidRPr="00B95B08">
        <w:rPr>
          <w:rFonts w:cs="Arial"/>
          <w:bCs/>
        </w:rPr>
        <w:t xml:space="preserve">0 napról 1 napra. Az esedékesség napját követően </w:t>
      </w:r>
      <w:r w:rsidR="0013228F" w:rsidRPr="00B95B08">
        <w:rPr>
          <w:rFonts w:cs="Arial"/>
          <w:bCs/>
        </w:rPr>
        <w:t>egy</w:t>
      </w:r>
      <w:r w:rsidRPr="00B95B08">
        <w:rPr>
          <w:rFonts w:cs="Arial"/>
          <w:bCs/>
        </w:rPr>
        <w:t xml:space="preserve">napos késedelembeesésnek az esedékesség napját követő első nap számít. Hátralévő futamidő tekintetében </w:t>
      </w:r>
      <w:r w:rsidR="0013228F" w:rsidRPr="00B95B08">
        <w:rPr>
          <w:rFonts w:cs="Arial"/>
          <w:bCs/>
        </w:rPr>
        <w:t>egy</w:t>
      </w:r>
      <w:r w:rsidRPr="00B95B08">
        <w:rPr>
          <w:rFonts w:cs="Arial"/>
          <w:bCs/>
        </w:rPr>
        <w:t xml:space="preserve"> nap van hátra az esedékesség napjáig, ha a</w:t>
      </w:r>
      <w:r w:rsidR="00DE1AE9" w:rsidRPr="00B95B08">
        <w:rPr>
          <w:rFonts w:cs="Arial"/>
          <w:bCs/>
        </w:rPr>
        <w:t>z adott tétel a jelentés vonatkozási időpontját követő napon válik</w:t>
      </w:r>
      <w:r w:rsidRPr="00B95B08">
        <w:rPr>
          <w:rFonts w:cs="Arial"/>
          <w:bCs/>
        </w:rPr>
        <w:t xml:space="preserve"> </w:t>
      </w:r>
      <w:r w:rsidR="00DE1AE9" w:rsidRPr="00B95B08">
        <w:rPr>
          <w:rFonts w:cs="Arial"/>
          <w:bCs/>
        </w:rPr>
        <w:t>esedékessé.</w:t>
      </w:r>
    </w:p>
    <w:p w:rsidR="00285ABA" w:rsidRPr="00B95B08" w:rsidRDefault="00285ABA" w:rsidP="0013228F">
      <w:pPr>
        <w:pStyle w:val="ListParagraph"/>
        <w:jc w:val="both"/>
      </w:pPr>
    </w:p>
    <w:p w:rsidR="00B4219B" w:rsidRDefault="00B4219B" w:rsidP="0013228F">
      <w:pPr>
        <w:pStyle w:val="ListParagraph"/>
        <w:jc w:val="both"/>
      </w:pPr>
    </w:p>
    <w:p w:rsidR="004D7898" w:rsidRPr="005840E1" w:rsidRDefault="004D7898" w:rsidP="004D7898">
      <w:pPr>
        <w:pStyle w:val="ListParagraph"/>
        <w:numPr>
          <w:ilvl w:val="0"/>
          <w:numId w:val="12"/>
        </w:numPr>
        <w:ind w:left="284" w:hanging="273"/>
        <w:jc w:val="both"/>
        <w:rPr>
          <w:b/>
          <w:sz w:val="26"/>
          <w:szCs w:val="26"/>
        </w:rPr>
      </w:pPr>
      <w:r w:rsidRPr="005840E1">
        <w:rPr>
          <w:b/>
          <w:sz w:val="26"/>
          <w:szCs w:val="26"/>
        </w:rPr>
        <w:t>Az egyes táblákhoz kapcsolódó kérdések és válaszok</w:t>
      </w:r>
    </w:p>
    <w:p w:rsidR="004D7898" w:rsidRDefault="004D7898" w:rsidP="004D7898">
      <w:pPr>
        <w:pStyle w:val="ListParagraph"/>
        <w:ind w:left="1440"/>
        <w:jc w:val="both"/>
        <w:rPr>
          <w:b/>
        </w:rPr>
      </w:pPr>
    </w:p>
    <w:p w:rsidR="008B19D0" w:rsidRDefault="004D7898" w:rsidP="004D7898">
      <w:pPr>
        <w:pStyle w:val="ListParagraph"/>
        <w:ind w:left="0"/>
        <w:jc w:val="both"/>
        <w:rPr>
          <w:b/>
        </w:rPr>
      </w:pPr>
      <w:r>
        <w:rPr>
          <w:b/>
        </w:rPr>
        <w:t>1AB FELÜGYELETI MÉRLEG (ESZKÖZÖK KÖNYV SZERINTI BRUTTÓ ADATOKKAL)</w:t>
      </w:r>
    </w:p>
    <w:p w:rsidR="004D7898" w:rsidRPr="004D7898" w:rsidRDefault="004D7898" w:rsidP="004D7898">
      <w:pPr>
        <w:pStyle w:val="ListParagraph"/>
        <w:ind w:left="0"/>
        <w:jc w:val="both"/>
        <w:rPr>
          <w:b/>
        </w:rPr>
      </w:pPr>
    </w:p>
    <w:p w:rsidR="004D7898" w:rsidRDefault="004D7898" w:rsidP="004D7898">
      <w:pPr>
        <w:ind w:left="709"/>
        <w:jc w:val="both"/>
        <w:rPr>
          <w:rFonts w:cs="Arial"/>
        </w:rPr>
      </w:pPr>
      <w:r w:rsidRPr="004D7898">
        <w:rPr>
          <w:b/>
          <w:u w:val="single"/>
        </w:rPr>
        <w:t>Kérdés</w:t>
      </w:r>
      <w:r>
        <w:t xml:space="preserve">: </w:t>
      </w:r>
      <w:r>
        <w:rPr>
          <w:rFonts w:cs="Arial"/>
        </w:rPr>
        <w:t>1AB5 Hitelek</w:t>
      </w:r>
    </w:p>
    <w:p w:rsidR="00682BC2" w:rsidRPr="00B95B08" w:rsidRDefault="00682BC2" w:rsidP="004D7898">
      <w:pPr>
        <w:ind w:left="709"/>
        <w:jc w:val="both"/>
        <w:rPr>
          <w:rFonts w:cs="Arial"/>
        </w:rPr>
      </w:pPr>
      <w:r w:rsidRPr="00B95B08">
        <w:rPr>
          <w:rFonts w:cs="Arial"/>
        </w:rPr>
        <w:t xml:space="preserve">A folyószámlahitelek között kell jelenteni a határozott futamidővel nem rendelkező újratöltődő (rulírozó, rollover) hitelek, a Széchenyi Kártyahitelek állományát, továbbá azokat a hitelkártyához kapcsolódó követeléseket, ahol a bank kamatmentes periódust biztosít. Azokat a hitelkártya-konstrukciókat, ahol a bank nem biztosít kamatmentes periódust, az áruvásárlási és egyéb fogyasztási hitelek között kell kimutatni. A folyószámlahitelek között kell jelenteni az értékpapír fedezettel rendelkező folyószámlahitelek állományát is. </w:t>
      </w:r>
    </w:p>
    <w:p w:rsidR="00682BC2" w:rsidRPr="00B95B08" w:rsidRDefault="00682BC2" w:rsidP="0013228F">
      <w:pPr>
        <w:pStyle w:val="ListParagraph"/>
        <w:jc w:val="both"/>
        <w:rPr>
          <w:rFonts w:cs="Arial"/>
        </w:rPr>
      </w:pPr>
      <w:r w:rsidRPr="00B95B08">
        <w:rPr>
          <w:rFonts w:cs="Arial"/>
        </w:rPr>
        <w:t xml:space="preserve">Abban az esetben, ha egy hitelkeret terhére folyósított kölcsön nem elégíti ki az újratöltődő (rulírozó, rollover) hitelnek az e melléklet I. 3. rész 83. pontjában meghatározott fogalmát, akkor azt nem a folyószámlahitelek között, hanem a hitelcélnak megfelelő soron kell </w:t>
      </w:r>
      <w:r w:rsidRPr="00B95B08">
        <w:rPr>
          <w:rFonts w:cs="Arial"/>
        </w:rPr>
        <w:lastRenderedPageBreak/>
        <w:t>szerepeltetni. Amennyiben a hitel célja nem ismert, úgy a hitelt lakossági ügyfelek esetében a fogyasztási hitelek – személyi hitelek között, míg a többi szektor esetében az egyéb hitelek között, az eredeti lejáratnak megfelelő soron kell kimutatni.</w:t>
      </w:r>
    </w:p>
    <w:p w:rsidR="00682BC2" w:rsidRPr="00B95B08" w:rsidRDefault="00682BC2" w:rsidP="0013228F">
      <w:pPr>
        <w:pStyle w:val="ListParagraph"/>
        <w:jc w:val="both"/>
        <w:rPr>
          <w:rFonts w:cs="Arial"/>
        </w:rPr>
      </w:pPr>
    </w:p>
    <w:p w:rsidR="00DE1AE9" w:rsidRPr="00B95B08" w:rsidRDefault="00682BC2" w:rsidP="0013228F">
      <w:pPr>
        <w:pStyle w:val="ListParagraph"/>
        <w:jc w:val="both"/>
        <w:rPr>
          <w:rFonts w:cs="Arial"/>
          <w:b/>
          <w:bCs/>
          <w:highlight w:val="yellow"/>
          <w:u w:val="single"/>
        </w:rPr>
      </w:pPr>
      <w:r w:rsidRPr="00B95B08">
        <w:rPr>
          <w:rFonts w:cs="Arial"/>
        </w:rPr>
        <w:t xml:space="preserve">Kérjük ne töröljék a „határozott futamidővel nem rendelkező” meghatározást, mivel az ilyen típusú ügyletek nem minősülnek folyószámla hitelnek, ezek forgóeszköz hitelek. Nem találtuk az I.3. rész 83. pontját. </w:t>
      </w:r>
    </w:p>
    <w:p w:rsidR="0013228F" w:rsidRPr="00B95B08" w:rsidRDefault="00DE1AE9" w:rsidP="0013228F">
      <w:pPr>
        <w:pStyle w:val="ListParagraph"/>
        <w:jc w:val="both"/>
        <w:rPr>
          <w:rFonts w:cs="Arial"/>
          <w:b/>
          <w:bCs/>
          <w:u w:val="single"/>
        </w:rPr>
      </w:pPr>
      <w:r w:rsidRPr="00B95B08">
        <w:rPr>
          <w:rFonts w:cs="Arial"/>
          <w:b/>
          <w:bCs/>
          <w:u w:val="single"/>
        </w:rPr>
        <w:t xml:space="preserve">Válasz: </w:t>
      </w:r>
    </w:p>
    <w:p w:rsidR="00DE1AE9" w:rsidRPr="00B95B08" w:rsidRDefault="00DE1AE9" w:rsidP="0013228F">
      <w:pPr>
        <w:pStyle w:val="ListParagraph"/>
        <w:jc w:val="both"/>
        <w:rPr>
          <w:rFonts w:cs="Arial"/>
          <w:bCs/>
        </w:rPr>
      </w:pPr>
      <w:r w:rsidRPr="00B95B08">
        <w:rPr>
          <w:rFonts w:cs="Arial"/>
          <w:bCs/>
        </w:rPr>
        <w:t xml:space="preserve">Az „Újratöltődő (rulírozó, rollover) hitel” 1. melléklet 141. pontjában szereplő fogalma az EKB irányelvéhez igazodóan négy alapvető kritériumon alapul, a 23/2013 (XI. 6.) MNB rendelet 2. mellékletével egyezően. A futamidő a feltételek között nem szerepel, ezért ezt a jellemzőt a kitöltési előírásból töröljük. </w:t>
      </w:r>
    </w:p>
    <w:p w:rsidR="00DE1AE9" w:rsidRPr="00B95B08" w:rsidRDefault="00DE1AE9" w:rsidP="0013228F">
      <w:pPr>
        <w:pStyle w:val="ListParagraph"/>
        <w:jc w:val="both"/>
        <w:rPr>
          <w:rFonts w:cs="Arial"/>
          <w:bCs/>
        </w:rPr>
      </w:pPr>
      <w:r w:rsidRPr="00B95B08">
        <w:rPr>
          <w:rFonts w:cs="Arial"/>
          <w:bCs/>
        </w:rPr>
        <w:t>Az „Újratöltődő (rulírozó, rollover) hitel” foga</w:t>
      </w:r>
      <w:r w:rsidR="0062272A">
        <w:rPr>
          <w:rFonts w:cs="Arial"/>
          <w:bCs/>
        </w:rPr>
        <w:t>lma helyesen az 1. melléklet 142</w:t>
      </w:r>
      <w:r w:rsidRPr="00B95B08">
        <w:rPr>
          <w:rFonts w:cs="Arial"/>
          <w:bCs/>
        </w:rPr>
        <w:t>. pontjában szerepel.  A 3. mellékletben az I.3. rész 83. pontra való hivatkozást javítjuk.</w:t>
      </w:r>
    </w:p>
    <w:p w:rsidR="00DE1AE9" w:rsidRPr="00B95B08" w:rsidRDefault="00DE1AE9" w:rsidP="0013228F">
      <w:pPr>
        <w:pStyle w:val="ListParagraph"/>
        <w:jc w:val="both"/>
        <w:rPr>
          <w:rFonts w:cs="Arial"/>
          <w:bCs/>
          <w:highlight w:val="yellow"/>
        </w:rPr>
      </w:pPr>
      <w:r w:rsidRPr="00B95B08">
        <w:rPr>
          <w:rFonts w:cs="Arial"/>
          <w:bCs/>
          <w:highlight w:val="yellow"/>
        </w:rPr>
        <w:t xml:space="preserve"> </w:t>
      </w:r>
    </w:p>
    <w:p w:rsidR="00DE1AE9" w:rsidRPr="00B95B08" w:rsidRDefault="00DE1AE9" w:rsidP="0013228F">
      <w:pPr>
        <w:pStyle w:val="ListParagraph"/>
        <w:jc w:val="both"/>
        <w:rPr>
          <w:rFonts w:cs="Arial"/>
          <w:bCs/>
        </w:rPr>
      </w:pPr>
    </w:p>
    <w:p w:rsidR="004D7898" w:rsidRPr="00C20DA1" w:rsidRDefault="004D7898" w:rsidP="004D7898">
      <w:pPr>
        <w:pStyle w:val="ListParagraph"/>
        <w:ind w:left="0"/>
        <w:jc w:val="both"/>
        <w:rPr>
          <w:rFonts w:cs="Arial"/>
          <w:b/>
        </w:rPr>
      </w:pPr>
      <w:r w:rsidRPr="00C20DA1">
        <w:rPr>
          <w:rFonts w:cs="Arial"/>
          <w:b/>
        </w:rPr>
        <w:t>7F PROJEKTFINANSZÍROZÁSI HITELEK</w:t>
      </w:r>
    </w:p>
    <w:p w:rsidR="008B19D0" w:rsidRPr="00B95B08" w:rsidRDefault="008B19D0" w:rsidP="0013228F">
      <w:pPr>
        <w:pStyle w:val="ListParagraph"/>
        <w:jc w:val="both"/>
        <w:rPr>
          <w:rFonts w:cs="Arial"/>
        </w:rPr>
      </w:pPr>
    </w:p>
    <w:p w:rsidR="005B3CDC" w:rsidRDefault="004D7898" w:rsidP="004D7898">
      <w:pPr>
        <w:pStyle w:val="ListParagraph"/>
        <w:jc w:val="both"/>
        <w:rPr>
          <w:rFonts w:cs="Arial"/>
        </w:rPr>
      </w:pPr>
      <w:r w:rsidRPr="004D7898">
        <w:rPr>
          <w:rFonts w:cs="Arial"/>
          <w:b/>
          <w:u w:val="single"/>
        </w:rPr>
        <w:t>Kérdés:</w:t>
      </w:r>
      <w:r>
        <w:rPr>
          <w:rFonts w:cs="Arial"/>
        </w:rPr>
        <w:t xml:space="preserve"> </w:t>
      </w:r>
      <w:r w:rsidR="004906E1" w:rsidRPr="00493E98">
        <w:rPr>
          <w:rFonts w:cs="Arial"/>
        </w:rPr>
        <w:t>Mi a kiegészítő projekt hitel definíciója (7</w:t>
      </w:r>
      <w:r w:rsidR="005B3CDC" w:rsidRPr="00493E98">
        <w:rPr>
          <w:rFonts w:cs="Arial"/>
        </w:rPr>
        <w:t>F-be</w:t>
      </w:r>
      <w:r w:rsidR="004906E1" w:rsidRPr="00493E98">
        <w:rPr>
          <w:rFonts w:cs="Arial"/>
        </w:rPr>
        <w:t xml:space="preserve">n)? </w:t>
      </w:r>
    </w:p>
    <w:p w:rsidR="004D7898" w:rsidRPr="00493E98" w:rsidRDefault="004D7898" w:rsidP="004D7898">
      <w:pPr>
        <w:pStyle w:val="ListParagraph"/>
        <w:jc w:val="both"/>
        <w:rPr>
          <w:rFonts w:cs="Arial"/>
        </w:rPr>
      </w:pPr>
    </w:p>
    <w:p w:rsidR="0013228F" w:rsidRPr="00B95B08" w:rsidRDefault="005B3CDC" w:rsidP="0013228F">
      <w:pPr>
        <w:pStyle w:val="ListParagraph"/>
        <w:jc w:val="both"/>
        <w:rPr>
          <w:rFonts w:cs="Arial"/>
          <w:b/>
          <w:bCs/>
          <w:u w:val="single"/>
        </w:rPr>
      </w:pPr>
      <w:r w:rsidRPr="00B95B08">
        <w:rPr>
          <w:rFonts w:cs="Arial"/>
          <w:b/>
          <w:bCs/>
          <w:u w:val="single"/>
        </w:rPr>
        <w:t>Válasz:</w:t>
      </w:r>
      <w:r w:rsidR="00D35102" w:rsidRPr="00B95B08">
        <w:rPr>
          <w:rFonts w:cs="Arial"/>
          <w:b/>
          <w:bCs/>
          <w:u w:val="single"/>
        </w:rPr>
        <w:t xml:space="preserve"> </w:t>
      </w:r>
    </w:p>
    <w:p w:rsidR="005B3CDC" w:rsidRPr="00B95B08" w:rsidRDefault="00D35102" w:rsidP="0013228F">
      <w:pPr>
        <w:pStyle w:val="ListParagraph"/>
        <w:jc w:val="both"/>
        <w:rPr>
          <w:rFonts w:cs="Arial"/>
        </w:rPr>
      </w:pPr>
      <w:r w:rsidRPr="00B95B08">
        <w:rPr>
          <w:rFonts w:cs="Arial"/>
          <w:bCs/>
        </w:rPr>
        <w:t>Az 1. mellékletet kiegészítjük a „</w:t>
      </w:r>
      <w:r w:rsidRPr="00B95B08">
        <w:rPr>
          <w:rFonts w:cs="Arial"/>
        </w:rPr>
        <w:t>kiegészítő projekt hitel” fogalmával</w:t>
      </w:r>
      <w:r w:rsidR="00177064" w:rsidRPr="00B95B08">
        <w:rPr>
          <w:rFonts w:cs="Arial"/>
        </w:rPr>
        <w:t xml:space="preserve"> az alábbiak szerint:</w:t>
      </w:r>
    </w:p>
    <w:p w:rsidR="00177064" w:rsidRPr="00B95B08" w:rsidRDefault="00177064" w:rsidP="0013228F">
      <w:pPr>
        <w:pStyle w:val="ListParagraph"/>
        <w:jc w:val="both"/>
        <w:rPr>
          <w:rFonts w:cs="Arial"/>
        </w:rPr>
      </w:pPr>
      <w:r w:rsidRPr="00B95B08">
        <w:rPr>
          <w:rFonts w:cs="Arial"/>
        </w:rPr>
        <w:t>„Amennyiben a vállalkozás az Új Magyarország Fejlesztési Terv, az Új Magyarország Vidékfejlesztési Program vagy egyéb nemzeti, illetve külföldi finanszírozású beruházási tárgyú pályázati kiíráshoz kérelmet nyújt be, akkor projekt kiegészítő hitel keretében igényelhet hitelt, önerejét és az elnyert vissza nem térítendő támogatást kiegészítő banki társfinanszírozás formájában. (</w:t>
      </w:r>
      <w:r w:rsidR="0013228F" w:rsidRPr="00B95B08">
        <w:rPr>
          <w:rFonts w:cs="Arial"/>
        </w:rPr>
        <w:t>I</w:t>
      </w:r>
      <w:r w:rsidRPr="00B95B08">
        <w:rPr>
          <w:rFonts w:cs="Arial"/>
        </w:rPr>
        <w:t>rányadó jogszabály: pl. az Új Magyarország Vidékfejlesztési Program finanszírozás</w:t>
      </w:r>
      <w:r w:rsidR="008C3AB3" w:rsidRPr="00B95B08">
        <w:rPr>
          <w:rFonts w:cs="Arial"/>
        </w:rPr>
        <w:t>á</w:t>
      </w:r>
      <w:r w:rsidRPr="00B95B08">
        <w:rPr>
          <w:rFonts w:cs="Arial"/>
        </w:rPr>
        <w:t>hoz igénybe vehető projekt kiegészítő hitelről szóló 78/2009. (VI. 30.) FVM rendelet”</w:t>
      </w:r>
      <w:r w:rsidR="0013228F" w:rsidRPr="00B95B08">
        <w:rPr>
          <w:rFonts w:cs="Arial"/>
        </w:rPr>
        <w:t>)</w:t>
      </w:r>
    </w:p>
    <w:p w:rsidR="00177064" w:rsidRPr="00B95B08" w:rsidRDefault="00177064" w:rsidP="0013228F">
      <w:pPr>
        <w:pStyle w:val="ListParagraph"/>
        <w:jc w:val="both"/>
        <w:rPr>
          <w:rFonts w:cs="Arial"/>
        </w:rPr>
      </w:pPr>
    </w:p>
    <w:p w:rsidR="004D7898" w:rsidRPr="00C20DA1" w:rsidRDefault="004D7898" w:rsidP="004D7898">
      <w:pPr>
        <w:pStyle w:val="ListParagraph"/>
        <w:ind w:left="0"/>
        <w:jc w:val="both"/>
        <w:rPr>
          <w:rFonts w:cs="Arial"/>
          <w:b/>
        </w:rPr>
      </w:pPr>
      <w:r w:rsidRPr="00C20DA1">
        <w:rPr>
          <w:rFonts w:cs="Arial"/>
          <w:b/>
        </w:rPr>
        <w:t>7K HITELINTÉZETEK ÁLTAL NYÚJTOTT GYŰJTŐSZÁMLAHITELEKHEZ KAPCSOLÓDÓ ADATOK</w:t>
      </w:r>
    </w:p>
    <w:p w:rsidR="008B19D0" w:rsidRPr="00B95B08" w:rsidRDefault="008B19D0" w:rsidP="0013228F">
      <w:pPr>
        <w:pStyle w:val="ListParagraph"/>
        <w:jc w:val="both"/>
        <w:rPr>
          <w:rFonts w:cs="Arial"/>
        </w:rPr>
      </w:pPr>
    </w:p>
    <w:p w:rsidR="0013228F" w:rsidRPr="00B95B08" w:rsidRDefault="004D7898" w:rsidP="0013228F">
      <w:pPr>
        <w:pStyle w:val="ListParagraph"/>
        <w:jc w:val="both"/>
        <w:rPr>
          <w:rFonts w:cs="Arial"/>
          <w:b/>
          <w:bCs/>
          <w:u w:val="single"/>
        </w:rPr>
      </w:pPr>
      <w:r w:rsidRPr="004D7898">
        <w:rPr>
          <w:rFonts w:cs="Arial"/>
          <w:b/>
          <w:u w:val="single"/>
        </w:rPr>
        <w:t>Kérdés</w:t>
      </w:r>
      <w:r>
        <w:rPr>
          <w:rFonts w:cs="Arial"/>
        </w:rPr>
        <w:t xml:space="preserve">: </w:t>
      </w:r>
      <w:r w:rsidR="000E4E7B" w:rsidRPr="00B95B08">
        <w:rPr>
          <w:rFonts w:cs="Arial"/>
        </w:rPr>
        <w:t>A 7K01-7K02 sorokban kizárólag csak a 2012. április 1. utáni gyűjtőszámlahitel-konstrukcióban résztvevő devizakölcsönök adatait kell szerepeltetni. Jól érjük, hogy a 7K táblában a 7K01-7K02 soron az új gyűjtőszámla konstrukciót együtt kell szerepeltetni a korábban ezen a soron jelentett adatokkal?</w:t>
      </w:r>
      <w:r w:rsidR="002604AB" w:rsidRPr="00B95B08">
        <w:rPr>
          <w:rFonts w:cs="Arial"/>
        </w:rPr>
        <w:t xml:space="preserve"> </w:t>
      </w:r>
    </w:p>
    <w:p w:rsidR="0013228F" w:rsidRPr="00B95B08" w:rsidRDefault="003C6D02" w:rsidP="0013228F">
      <w:pPr>
        <w:pStyle w:val="ListParagraph"/>
        <w:jc w:val="both"/>
        <w:rPr>
          <w:rFonts w:cs="Arial"/>
        </w:rPr>
      </w:pPr>
      <w:r w:rsidRPr="00B95B08">
        <w:rPr>
          <w:rFonts w:cs="Arial"/>
          <w:b/>
          <w:bCs/>
          <w:u w:val="single"/>
        </w:rPr>
        <w:t>Válasz:</w:t>
      </w:r>
      <w:r w:rsidRPr="00B95B08">
        <w:rPr>
          <w:rFonts w:cs="Arial"/>
        </w:rPr>
        <w:t xml:space="preserve"> </w:t>
      </w:r>
    </w:p>
    <w:p w:rsidR="003C6D02" w:rsidRPr="00B95B08" w:rsidRDefault="003C6D02" w:rsidP="0013228F">
      <w:pPr>
        <w:pStyle w:val="ListParagraph"/>
        <w:jc w:val="both"/>
        <w:rPr>
          <w:rFonts w:cs="Arial"/>
        </w:rPr>
      </w:pPr>
      <w:r w:rsidRPr="00B95B08">
        <w:rPr>
          <w:rFonts w:cs="Arial"/>
          <w:bCs/>
        </w:rPr>
        <w:t>Igen, együtt kell</w:t>
      </w:r>
      <w:r w:rsidR="00640F39" w:rsidRPr="00B95B08">
        <w:rPr>
          <w:rFonts w:cs="Arial"/>
          <w:bCs/>
        </w:rPr>
        <w:t xml:space="preserve"> </w:t>
      </w:r>
      <w:r w:rsidR="00640F39" w:rsidRPr="00B95B08">
        <w:rPr>
          <w:rFonts w:cs="Arial"/>
        </w:rPr>
        <w:t>szerepeltetni</w:t>
      </w:r>
      <w:r w:rsidRPr="00B95B08">
        <w:rPr>
          <w:rFonts w:cs="Arial"/>
          <w:bCs/>
        </w:rPr>
        <w:t>.</w:t>
      </w:r>
      <w:r w:rsidR="004912EE" w:rsidRPr="00B95B08">
        <w:rPr>
          <w:rFonts w:cs="Arial"/>
          <w:bCs/>
        </w:rPr>
        <w:t xml:space="preserve"> A 7K01-7K02 sorokban továbbra is a 2012. április 1. után kötött összes </w:t>
      </w:r>
      <w:r w:rsidR="0001799E" w:rsidRPr="00B95B08">
        <w:rPr>
          <w:rFonts w:cs="Arial"/>
          <w:bCs/>
        </w:rPr>
        <w:t>gyűjtőszámlahitel-konstrukcióban résztvevő devizakölcsön</w:t>
      </w:r>
      <w:r w:rsidR="004912EE" w:rsidRPr="00B95B08">
        <w:rPr>
          <w:rFonts w:cs="Arial"/>
          <w:bCs/>
        </w:rPr>
        <w:t>t szerepeltetni kell.</w:t>
      </w:r>
    </w:p>
    <w:p w:rsidR="008B19D0" w:rsidRPr="00B95B08" w:rsidRDefault="008B19D0" w:rsidP="0013228F">
      <w:pPr>
        <w:pStyle w:val="ListParagraph"/>
        <w:jc w:val="both"/>
        <w:rPr>
          <w:rFonts w:cs="Arial"/>
        </w:rPr>
      </w:pPr>
    </w:p>
    <w:p w:rsidR="005B3CDC" w:rsidRPr="004D7898" w:rsidRDefault="004D7898" w:rsidP="004D7898">
      <w:pPr>
        <w:pStyle w:val="ListParagraph"/>
        <w:ind w:left="0"/>
        <w:jc w:val="both"/>
        <w:rPr>
          <w:rFonts w:cs="Arial"/>
          <w:b/>
        </w:rPr>
      </w:pPr>
      <w:r w:rsidRPr="00C20DA1">
        <w:rPr>
          <w:rFonts w:cs="Arial"/>
          <w:b/>
        </w:rPr>
        <w:t>8C ÉRTÉKVESZTÉS ÉS ÉRTÉKVESZTÉS VISSZA</w:t>
      </w:r>
      <w:r>
        <w:rPr>
          <w:rFonts w:cs="Arial"/>
          <w:b/>
        </w:rPr>
        <w:t>ÍRÁSA</w:t>
      </w:r>
    </w:p>
    <w:p w:rsidR="008B19D0" w:rsidRPr="00B95B08" w:rsidRDefault="008B19D0" w:rsidP="0013228F">
      <w:pPr>
        <w:pStyle w:val="ListParagraph"/>
        <w:jc w:val="both"/>
        <w:rPr>
          <w:rFonts w:cs="Arial"/>
        </w:rPr>
      </w:pPr>
    </w:p>
    <w:p w:rsidR="006C597A" w:rsidRPr="00D209AD" w:rsidRDefault="004D7898" w:rsidP="00D209AD">
      <w:pPr>
        <w:ind w:left="709"/>
        <w:jc w:val="both"/>
        <w:rPr>
          <w:rFonts w:cs="Arial"/>
          <w:b/>
          <w:bCs/>
          <w:u w:val="single"/>
        </w:rPr>
      </w:pPr>
      <w:r w:rsidRPr="00D209AD">
        <w:rPr>
          <w:b/>
          <w:u w:val="single"/>
        </w:rPr>
        <w:lastRenderedPageBreak/>
        <w:t xml:space="preserve">Kérdés: </w:t>
      </w:r>
      <w:r w:rsidR="008B19D0" w:rsidRPr="0013228F">
        <w:t xml:space="preserve">A táblába belekerült  új oszlop - </w:t>
      </w:r>
      <w:r w:rsidR="008B19D0" w:rsidRPr="00D209AD">
        <w:rPr>
          <w:i/>
        </w:rPr>
        <w:t>„12 (l) Állományi számlával szemben elszámolt értékvesztés eszköz értékesítés miatt„</w:t>
      </w:r>
      <w:r w:rsidR="008B19D0" w:rsidRPr="0013228F">
        <w:t xml:space="preserve"> - </w:t>
      </w:r>
      <w:r w:rsidR="008B19D0" w:rsidRPr="00D209AD">
        <w:rPr>
          <w:b/>
          <w:u w:val="single"/>
        </w:rPr>
        <w:t>tartalmi követelményeit kérjük bővebben, részletesebben kifejteni</w:t>
      </w:r>
      <w:r w:rsidR="008B19D0" w:rsidRPr="0013228F">
        <w:t xml:space="preserve">. Mivel eszközértékesítés esetén értékvesztés visszaírására kerül sor, ennek vannak is  külön oszlopai a 8C táblában, az </w:t>
      </w:r>
      <w:r w:rsidR="008B19D0" w:rsidRPr="00D209AD">
        <w:rPr>
          <w:i/>
        </w:rPr>
        <w:t>„5(e) Visszaírás - az adott évi ráfordítások csökkentésével - Eszköz értékesítés miatt”</w:t>
      </w:r>
      <w:r w:rsidR="008B19D0" w:rsidRPr="0013228F">
        <w:t xml:space="preserve"> és a </w:t>
      </w:r>
      <w:r w:rsidR="008B19D0" w:rsidRPr="00D209AD">
        <w:rPr>
          <w:i/>
        </w:rPr>
        <w:t xml:space="preserve">„9(i) Visszaírás - az adott évi bevételek növelésével (előző évek képzése miatt) - Eszköz értékesítés miatt”. </w:t>
      </w:r>
      <w:r w:rsidR="008B19D0" w:rsidRPr="0013228F">
        <w:t>Az új oszlop elnevezésében található „elszámolt értékvesztés”</w:t>
      </w:r>
      <w:r w:rsidR="008B19D0" w:rsidRPr="00D209AD">
        <w:rPr>
          <w:i/>
        </w:rPr>
        <w:t xml:space="preserve"> </w:t>
      </w:r>
      <w:r w:rsidR="008B19D0" w:rsidRPr="0013228F">
        <w:t xml:space="preserve">kifejezés viszont arra utal, hogy a megképzett értékvesztés összegét kell megadnunk. Az 5(e) és 9(i) oszlopok kitöltésénél is a Hitkr. 9. § (18) bekezdésére történt hivatkozás a részletes kitöltési előírásokban. </w:t>
      </w:r>
    </w:p>
    <w:p w:rsidR="00493E98" w:rsidRDefault="00493E98" w:rsidP="0013228F">
      <w:pPr>
        <w:pStyle w:val="ListParagraph"/>
        <w:jc w:val="both"/>
        <w:rPr>
          <w:rFonts w:cs="Arial"/>
          <w:b/>
          <w:bCs/>
          <w:u w:val="single"/>
        </w:rPr>
      </w:pPr>
    </w:p>
    <w:p w:rsidR="0013228F" w:rsidRPr="0013228F" w:rsidRDefault="006C597A" w:rsidP="0013228F">
      <w:pPr>
        <w:pStyle w:val="ListParagraph"/>
        <w:jc w:val="both"/>
        <w:rPr>
          <w:rFonts w:cs="Arial"/>
          <w:b/>
          <w:bCs/>
          <w:u w:val="single"/>
        </w:rPr>
      </w:pPr>
      <w:r w:rsidRPr="0013228F">
        <w:rPr>
          <w:rFonts w:cs="Arial"/>
          <w:b/>
          <w:bCs/>
          <w:u w:val="single"/>
        </w:rPr>
        <w:t xml:space="preserve">Válasz: </w:t>
      </w:r>
    </w:p>
    <w:p w:rsidR="006C597A" w:rsidRPr="0013228F" w:rsidRDefault="006C597A" w:rsidP="0013228F">
      <w:pPr>
        <w:pStyle w:val="ListParagraph"/>
        <w:jc w:val="both"/>
        <w:rPr>
          <w:rFonts w:cs="Arial"/>
          <w:bCs/>
        </w:rPr>
      </w:pPr>
      <w:r w:rsidRPr="0013228F">
        <w:rPr>
          <w:rFonts w:cs="Arial"/>
          <w:bCs/>
        </w:rPr>
        <w:t>Az egyértelműség érdekében rövid példával mutat</w:t>
      </w:r>
      <w:r w:rsidR="00794AB7" w:rsidRPr="0013228F">
        <w:rPr>
          <w:rFonts w:cs="Arial"/>
          <w:bCs/>
        </w:rPr>
        <w:t>j</w:t>
      </w:r>
      <w:r w:rsidRPr="0013228F">
        <w:rPr>
          <w:rFonts w:cs="Arial"/>
          <w:bCs/>
        </w:rPr>
        <w:t xml:space="preserve">uk </w:t>
      </w:r>
      <w:r w:rsidR="00794AB7" w:rsidRPr="0013228F">
        <w:rPr>
          <w:rFonts w:cs="Arial"/>
          <w:bCs/>
        </w:rPr>
        <w:t>be</w:t>
      </w:r>
      <w:r w:rsidRPr="0013228F">
        <w:rPr>
          <w:rFonts w:cs="Arial"/>
          <w:bCs/>
        </w:rPr>
        <w:t xml:space="preserve">, hogy saját követelés értékesítése esetén a megképzett értékvesztésből milyen összeg jelentendő a 12 l) (Új neve: „Értékvesztés kivezetés eszközértékesítés miatt”) oszlopban és milyen összeget kell kimutatni értékvesztés visszaírásaként: </w:t>
      </w:r>
    </w:p>
    <w:p w:rsidR="006C597A" w:rsidRPr="0013228F" w:rsidRDefault="006C597A" w:rsidP="0013228F">
      <w:pPr>
        <w:pStyle w:val="ListParagraph"/>
        <w:spacing w:after="0"/>
        <w:jc w:val="both"/>
        <w:rPr>
          <w:rFonts w:cs="Arial"/>
          <w:bCs/>
        </w:rPr>
      </w:pPr>
      <w:r w:rsidRPr="0013228F">
        <w:rPr>
          <w:rFonts w:cs="Arial"/>
          <w:bCs/>
        </w:rPr>
        <w:t>bekerülési érték: 500</w:t>
      </w:r>
    </w:p>
    <w:p w:rsidR="006C597A" w:rsidRPr="0013228F" w:rsidRDefault="006C597A" w:rsidP="0013228F">
      <w:pPr>
        <w:pStyle w:val="ListParagraph"/>
        <w:spacing w:after="0"/>
        <w:jc w:val="both"/>
        <w:rPr>
          <w:rFonts w:cs="Arial"/>
          <w:bCs/>
        </w:rPr>
      </w:pPr>
      <w:r w:rsidRPr="0013228F">
        <w:rPr>
          <w:rFonts w:cs="Arial"/>
          <w:bCs/>
        </w:rPr>
        <w:t>értékvesztés: 140 (előző évben)</w:t>
      </w:r>
    </w:p>
    <w:p w:rsidR="006C597A" w:rsidRPr="0013228F" w:rsidRDefault="006C597A" w:rsidP="0013228F">
      <w:pPr>
        <w:pStyle w:val="ListParagraph"/>
        <w:spacing w:after="0"/>
        <w:jc w:val="both"/>
        <w:rPr>
          <w:rFonts w:cs="Arial"/>
          <w:bCs/>
        </w:rPr>
      </w:pPr>
      <w:r w:rsidRPr="0013228F">
        <w:rPr>
          <w:rFonts w:cs="Arial"/>
          <w:bCs/>
        </w:rPr>
        <w:t>könyv szerinti érték: 360</w:t>
      </w:r>
    </w:p>
    <w:p w:rsidR="006C597A" w:rsidRPr="0013228F" w:rsidRDefault="006C597A" w:rsidP="0013228F">
      <w:pPr>
        <w:pStyle w:val="ListParagraph"/>
        <w:spacing w:after="0"/>
        <w:jc w:val="both"/>
        <w:rPr>
          <w:rFonts w:cs="Arial"/>
          <w:bCs/>
        </w:rPr>
      </w:pPr>
      <w:r w:rsidRPr="0013228F">
        <w:rPr>
          <w:rFonts w:cs="Arial"/>
          <w:bCs/>
        </w:rPr>
        <w:t>befolyt érték: 410</w:t>
      </w:r>
    </w:p>
    <w:p w:rsidR="006C597A" w:rsidRPr="0013228F" w:rsidRDefault="006C597A" w:rsidP="0013228F">
      <w:pPr>
        <w:pStyle w:val="ListParagraph"/>
        <w:spacing w:after="0"/>
        <w:jc w:val="both"/>
        <w:rPr>
          <w:rFonts w:cs="Arial"/>
          <w:bCs/>
        </w:rPr>
      </w:pPr>
    </w:p>
    <w:p w:rsidR="006C597A" w:rsidRPr="0013228F" w:rsidRDefault="006C597A" w:rsidP="0013228F">
      <w:pPr>
        <w:pStyle w:val="ListParagraph"/>
        <w:spacing w:after="0"/>
        <w:jc w:val="both"/>
        <w:rPr>
          <w:rFonts w:cs="Arial"/>
          <w:bCs/>
        </w:rPr>
      </w:pPr>
      <w:r w:rsidRPr="0013228F">
        <w:rPr>
          <w:rFonts w:cs="Arial"/>
          <w:bCs/>
        </w:rPr>
        <w:t>1) „Értékvesztés kivezetés eszközértékesítés miatt” l) oszlop: 500-410=90 (mérlegben);</w:t>
      </w:r>
    </w:p>
    <w:p w:rsidR="006C597A" w:rsidRPr="0013228F" w:rsidRDefault="006C597A" w:rsidP="0013228F">
      <w:pPr>
        <w:pStyle w:val="ListParagraph"/>
        <w:spacing w:after="0"/>
        <w:jc w:val="both"/>
        <w:rPr>
          <w:rFonts w:cs="Arial"/>
          <w:bCs/>
        </w:rPr>
      </w:pPr>
      <w:r w:rsidRPr="0013228F">
        <w:rPr>
          <w:rFonts w:cs="Arial"/>
          <w:bCs/>
        </w:rPr>
        <w:t>2) Előző évben képzett értékvesztés visszaírása i) oszlop: 140-90= 50 (bevétel)</w:t>
      </w:r>
    </w:p>
    <w:p w:rsidR="006C597A" w:rsidRPr="0013228F" w:rsidRDefault="006C597A" w:rsidP="0013228F">
      <w:pPr>
        <w:pStyle w:val="ListParagraph"/>
        <w:spacing w:after="0"/>
        <w:jc w:val="both"/>
        <w:rPr>
          <w:rFonts w:cs="Arial"/>
          <w:bCs/>
        </w:rPr>
      </w:pPr>
      <w:r w:rsidRPr="0013228F">
        <w:rPr>
          <w:rFonts w:cs="Arial"/>
          <w:bCs/>
        </w:rPr>
        <w:t>[Egyéb könyvelések:</w:t>
      </w:r>
    </w:p>
    <w:p w:rsidR="006C597A" w:rsidRPr="0013228F" w:rsidRDefault="006C597A" w:rsidP="0013228F">
      <w:pPr>
        <w:pStyle w:val="ListParagraph"/>
        <w:spacing w:after="0"/>
        <w:jc w:val="both"/>
        <w:rPr>
          <w:rFonts w:cs="Arial"/>
          <w:bCs/>
        </w:rPr>
      </w:pPr>
      <w:r w:rsidRPr="0013228F">
        <w:rPr>
          <w:rFonts w:cs="Arial"/>
          <w:bCs/>
        </w:rPr>
        <w:t>saját követelés - értékesítésből származó realizált bevétel: 410</w:t>
      </w:r>
    </w:p>
    <w:p w:rsidR="006C597A" w:rsidRPr="0013228F" w:rsidRDefault="006C597A" w:rsidP="0013228F">
      <w:pPr>
        <w:pStyle w:val="ListParagraph"/>
        <w:spacing w:after="0"/>
        <w:jc w:val="both"/>
        <w:rPr>
          <w:rFonts w:cs="Arial"/>
          <w:bCs/>
        </w:rPr>
      </w:pPr>
      <w:r w:rsidRPr="0013228F">
        <w:rPr>
          <w:rFonts w:cs="Arial"/>
          <w:bCs/>
        </w:rPr>
        <w:t xml:space="preserve">könyv szerinti érték kivezetése realizált ráfordításként: 410] </w:t>
      </w:r>
    </w:p>
    <w:p w:rsidR="006C597A" w:rsidRPr="0013228F" w:rsidRDefault="006C597A" w:rsidP="0013228F">
      <w:pPr>
        <w:pStyle w:val="ListParagraph"/>
        <w:jc w:val="both"/>
        <w:rPr>
          <w:rFonts w:cs="Arial"/>
          <w:bCs/>
        </w:rPr>
      </w:pPr>
      <w:r w:rsidRPr="0013228F">
        <w:rPr>
          <w:rFonts w:cs="Arial"/>
          <w:bCs/>
        </w:rPr>
        <w:t>(vásárolt követelés értékesítésénél a bevételek és ráfordítások nettó módon jelennek meg a pénzügyi szolgáltatás bevételei vagy ráfordításai között)</w:t>
      </w:r>
    </w:p>
    <w:p w:rsidR="008B19D0" w:rsidRPr="0013228F" w:rsidRDefault="008B19D0" w:rsidP="0013228F">
      <w:pPr>
        <w:pStyle w:val="ListParagraph"/>
        <w:jc w:val="both"/>
        <w:rPr>
          <w:rFonts w:cstheme="minorHAnsi"/>
        </w:rPr>
      </w:pPr>
    </w:p>
    <w:p w:rsidR="00D209AD" w:rsidRDefault="00D209AD" w:rsidP="00D209AD">
      <w:pPr>
        <w:pStyle w:val="ListParagraph"/>
        <w:ind w:left="0"/>
        <w:jc w:val="both"/>
        <w:rPr>
          <w:rFonts w:cs="Arial"/>
          <w:b/>
        </w:rPr>
      </w:pPr>
      <w:r w:rsidRPr="00C20DA1">
        <w:rPr>
          <w:rFonts w:cs="Arial"/>
          <w:b/>
        </w:rPr>
        <w:t>8PBF FEDEZETEK, BIZTOSÍTÉKOK ÉS EGYÉB MÉRLEGEN KÍVÜLI TÉTELEK</w:t>
      </w:r>
    </w:p>
    <w:p w:rsidR="00D209AD" w:rsidRPr="00C20DA1" w:rsidRDefault="00D209AD" w:rsidP="00D209AD">
      <w:pPr>
        <w:pStyle w:val="ListParagraph"/>
        <w:ind w:left="284"/>
        <w:jc w:val="both"/>
        <w:rPr>
          <w:rFonts w:cs="Arial"/>
          <w:b/>
        </w:rPr>
      </w:pPr>
    </w:p>
    <w:p w:rsidR="00D209AD" w:rsidRPr="00716B1A" w:rsidRDefault="00D209AD" w:rsidP="00D209AD">
      <w:pPr>
        <w:pStyle w:val="ListParagraph"/>
        <w:jc w:val="both"/>
      </w:pPr>
      <w:r>
        <w:rPr>
          <w:b/>
          <w:u w:val="single"/>
        </w:rPr>
        <w:t xml:space="preserve">Kérdés: </w:t>
      </w:r>
      <w:r w:rsidRPr="00716B1A">
        <w:t xml:space="preserve">A mérleg alatti tételként kimutatott megvásárolt követelések sorhoz tartozó szürke </w:t>
      </w:r>
      <w:r w:rsidRPr="00716B1A">
        <w:rPr>
          <w:b/>
        </w:rPr>
        <w:t xml:space="preserve">cellák aktívvá tétele kapcsán a c és b oszlopban kimutatandó adatokra vonatkozóan a kitöltési útmutatóban pontosítani </w:t>
      </w:r>
      <w:r w:rsidR="000D2FD0">
        <w:rPr>
          <w:b/>
        </w:rPr>
        <w:t xml:space="preserve">javasoljuk </w:t>
      </w:r>
      <w:r w:rsidRPr="00716B1A">
        <w:rPr>
          <w:b/>
        </w:rPr>
        <w:t xml:space="preserve">az elvárásokat. </w:t>
      </w:r>
    </w:p>
    <w:p w:rsidR="00D209AD" w:rsidRPr="00716B1A" w:rsidRDefault="00D209AD" w:rsidP="00D209AD">
      <w:pPr>
        <w:pStyle w:val="ListParagraph"/>
        <w:ind w:left="709"/>
        <w:jc w:val="both"/>
      </w:pPr>
    </w:p>
    <w:p w:rsidR="00D209AD" w:rsidRPr="00716B1A" w:rsidRDefault="00D209AD" w:rsidP="00D209AD">
      <w:pPr>
        <w:pStyle w:val="ListParagraph"/>
        <w:spacing w:after="0"/>
        <w:ind w:left="709"/>
        <w:jc w:val="both"/>
        <w:rPr>
          <w:rFonts w:cs="Arial"/>
          <w:b/>
          <w:bCs/>
          <w:u w:val="single"/>
        </w:rPr>
      </w:pPr>
      <w:r w:rsidRPr="00716B1A">
        <w:rPr>
          <w:rFonts w:cs="Arial"/>
          <w:b/>
          <w:bCs/>
          <w:u w:val="single"/>
        </w:rPr>
        <w:t xml:space="preserve">Válasz: </w:t>
      </w:r>
    </w:p>
    <w:p w:rsidR="000E4E7B" w:rsidRDefault="00D209AD" w:rsidP="00D209AD">
      <w:pPr>
        <w:pStyle w:val="ListParagraph"/>
        <w:jc w:val="both"/>
        <w:rPr>
          <w:rFonts w:cs="Arial"/>
          <w:bCs/>
        </w:rPr>
      </w:pPr>
      <w:r w:rsidRPr="00716B1A">
        <w:rPr>
          <w:rFonts w:cs="Arial"/>
          <w:bCs/>
        </w:rPr>
        <w:t xml:space="preserve">Tekintettel arra, hogy a hitelintézetek </w:t>
      </w:r>
      <w:r w:rsidR="000D2FD0">
        <w:rPr>
          <w:rFonts w:cs="Arial"/>
          <w:bCs/>
        </w:rPr>
        <w:t xml:space="preserve">egyedi szintű </w:t>
      </w:r>
      <w:r w:rsidRPr="00716B1A">
        <w:rPr>
          <w:rFonts w:cs="Arial"/>
          <w:bCs/>
        </w:rPr>
        <w:t xml:space="preserve">adatszolgáltatása 2014-ben </w:t>
      </w:r>
      <w:r w:rsidR="000D2FD0">
        <w:rPr>
          <w:rFonts w:cs="Arial"/>
          <w:bCs/>
        </w:rPr>
        <w:t>átfogó</w:t>
      </w:r>
      <w:r w:rsidRPr="00716B1A">
        <w:rPr>
          <w:rFonts w:cs="Arial"/>
          <w:bCs/>
        </w:rPr>
        <w:t xml:space="preserve"> felülvizsgálatra kerül, eltekintünk az új adatok bekérésétől. A szóban forgó két cellát visszaállítjuk nem töltendő szürke cellává</w:t>
      </w:r>
      <w:r w:rsidR="000D2FD0">
        <w:rPr>
          <w:rFonts w:cs="Arial"/>
          <w:bCs/>
        </w:rPr>
        <w:t>.</w:t>
      </w:r>
    </w:p>
    <w:p w:rsidR="00D209AD" w:rsidRDefault="00D209AD" w:rsidP="00D209AD">
      <w:pPr>
        <w:pStyle w:val="ListParagraph"/>
        <w:jc w:val="both"/>
        <w:rPr>
          <w:rFonts w:cs="Arial"/>
          <w:bCs/>
        </w:rPr>
      </w:pPr>
    </w:p>
    <w:p w:rsidR="00D209AD" w:rsidRDefault="00D209AD" w:rsidP="00D209AD">
      <w:pPr>
        <w:pStyle w:val="ListParagraph"/>
        <w:ind w:left="0"/>
        <w:jc w:val="both"/>
        <w:rPr>
          <w:rFonts w:cs="Arial"/>
          <w:b/>
        </w:rPr>
      </w:pPr>
      <w:r w:rsidRPr="00B44CCD">
        <w:rPr>
          <w:rFonts w:cs="Arial"/>
          <w:b/>
        </w:rPr>
        <w:t>9AA-9AG KAMATKOCKÁZAT ELEMZÉS</w:t>
      </w:r>
    </w:p>
    <w:p w:rsidR="00D209AD" w:rsidRPr="0013228F" w:rsidRDefault="00D209AD" w:rsidP="00D209AD">
      <w:pPr>
        <w:pStyle w:val="ListParagraph"/>
        <w:jc w:val="both"/>
        <w:rPr>
          <w:rFonts w:cs="Arial"/>
        </w:rPr>
      </w:pPr>
    </w:p>
    <w:p w:rsidR="000E4E7B" w:rsidRPr="0013228F" w:rsidRDefault="00D209AD" w:rsidP="0013228F">
      <w:pPr>
        <w:pStyle w:val="ListParagraph"/>
        <w:jc w:val="both"/>
        <w:rPr>
          <w:rFonts w:cs="Arial"/>
        </w:rPr>
      </w:pPr>
      <w:r w:rsidRPr="00D209AD">
        <w:rPr>
          <w:rFonts w:cs="Arial"/>
          <w:b/>
          <w:u w:val="single"/>
        </w:rPr>
        <w:t>Kérdés:</w:t>
      </w:r>
      <w:r>
        <w:rPr>
          <w:rFonts w:cs="Arial"/>
        </w:rPr>
        <w:t xml:space="preserve"> </w:t>
      </w:r>
      <w:r w:rsidR="000E4E7B" w:rsidRPr="0013228F">
        <w:rPr>
          <w:rFonts w:cs="Arial"/>
        </w:rPr>
        <w:t xml:space="preserve">A mérlegen belüli tételeket könyv szerinti nettó értéken kell kimutatni. </w:t>
      </w:r>
    </w:p>
    <w:p w:rsidR="000E4E7B" w:rsidRPr="0013228F" w:rsidRDefault="000E4E7B" w:rsidP="0013228F">
      <w:pPr>
        <w:pStyle w:val="ListParagraph"/>
        <w:spacing w:after="0"/>
        <w:jc w:val="both"/>
        <w:rPr>
          <w:rFonts w:cs="Arial"/>
        </w:rPr>
      </w:pPr>
      <w:r w:rsidRPr="0013228F">
        <w:rPr>
          <w:rFonts w:cs="Arial"/>
        </w:rPr>
        <w:lastRenderedPageBreak/>
        <w:t>Kérjük az újonnan betett „nettó” kifejezést törölni, hiszen vannak olyan ügyletek, melyek 100%-ban értékvesztettek, és nem lejártak, így hordoznak kamatkockázatot, de az új kitöltési szerint nem kerülnek majd be a 9A táblába.</w:t>
      </w:r>
      <w:r w:rsidR="002604AB" w:rsidRPr="0013228F">
        <w:rPr>
          <w:rFonts w:cs="Arial"/>
        </w:rPr>
        <w:t xml:space="preserve"> </w:t>
      </w:r>
    </w:p>
    <w:p w:rsidR="00F43B3D" w:rsidRPr="0013228F" w:rsidRDefault="00F43B3D" w:rsidP="0013228F">
      <w:pPr>
        <w:pStyle w:val="ListParagraph"/>
        <w:spacing w:after="0"/>
        <w:jc w:val="both"/>
        <w:rPr>
          <w:rFonts w:cs="Arial"/>
        </w:rPr>
      </w:pPr>
    </w:p>
    <w:p w:rsidR="0013228F" w:rsidRPr="0013228F" w:rsidRDefault="001D29A2" w:rsidP="0013228F">
      <w:pPr>
        <w:pStyle w:val="ListParagraph"/>
        <w:spacing w:after="0"/>
        <w:jc w:val="both"/>
        <w:rPr>
          <w:rFonts w:cs="Arial"/>
          <w:b/>
          <w:bCs/>
          <w:u w:val="single"/>
        </w:rPr>
      </w:pPr>
      <w:r w:rsidRPr="0013228F">
        <w:rPr>
          <w:rFonts w:cs="Arial"/>
          <w:b/>
          <w:bCs/>
          <w:u w:val="single"/>
        </w:rPr>
        <w:t xml:space="preserve">Válasz: </w:t>
      </w:r>
    </w:p>
    <w:p w:rsidR="001D29A2" w:rsidRPr="0013228F" w:rsidRDefault="001D29A2" w:rsidP="0013228F">
      <w:pPr>
        <w:pStyle w:val="ListParagraph"/>
        <w:spacing w:after="0"/>
        <w:jc w:val="both"/>
        <w:rPr>
          <w:rFonts w:cs="Arial"/>
          <w:bCs/>
        </w:rPr>
      </w:pPr>
      <w:r w:rsidRPr="0013228F">
        <w:rPr>
          <w:rFonts w:cs="Arial"/>
          <w:bCs/>
        </w:rPr>
        <w:t>Kérjük, hogy a továbbiakban a 9A táblákban a mérlegen belüli tételeket nettó könyv szerinti értéken szíveskedjenek szerepeltetni.</w:t>
      </w:r>
    </w:p>
    <w:p w:rsidR="001D29A2" w:rsidRDefault="001D29A2" w:rsidP="0013228F">
      <w:pPr>
        <w:pStyle w:val="ListParagraph"/>
        <w:jc w:val="both"/>
        <w:rPr>
          <w:rFonts w:cs="Arial"/>
          <w:bCs/>
        </w:rPr>
      </w:pPr>
      <w:r w:rsidRPr="0013228F">
        <w:rPr>
          <w:rFonts w:cs="Arial"/>
          <w:bCs/>
        </w:rPr>
        <w:t>Valóban a nem lejárt 100%-ban értékvesztett ügyletek is hordoznak valamekkora kamatkockázatot, de biztosan nem annyit, mint azok, amelyeknél a bankok nem kényszerültek értékvesztés leírására. Véleményünk szerint a kamatkockázatról pontosabb képet kapunk, ha nem a bruttó, hanem a nettó könyv szerinti értéken szerepelnek az ügyletek a 9A táblában.</w:t>
      </w:r>
    </w:p>
    <w:p w:rsidR="00D209AD" w:rsidRPr="0013228F" w:rsidRDefault="00D209AD" w:rsidP="0013228F">
      <w:pPr>
        <w:pStyle w:val="ListParagraph"/>
        <w:jc w:val="both"/>
        <w:rPr>
          <w:rFonts w:cs="Arial"/>
          <w:bCs/>
        </w:rPr>
      </w:pPr>
    </w:p>
    <w:p w:rsidR="00D209AD" w:rsidRPr="00B44CCD" w:rsidRDefault="00D209AD" w:rsidP="00D209AD">
      <w:pPr>
        <w:pStyle w:val="ListParagraph"/>
        <w:ind w:left="0"/>
        <w:jc w:val="both"/>
        <w:rPr>
          <w:rFonts w:cs="Arial"/>
          <w:b/>
          <w:bCs/>
        </w:rPr>
      </w:pPr>
      <w:r w:rsidRPr="00B44CCD">
        <w:rPr>
          <w:rFonts w:cs="Arial"/>
          <w:b/>
          <w:bCs/>
        </w:rPr>
        <w:t>C12H MÉRLEGEN KÍVÜLI TÉTELEK – FÜGGŐ ÉS JÖVŐBENI KÖTELEZETTSÉGEK</w:t>
      </w:r>
    </w:p>
    <w:p w:rsidR="008B19D0" w:rsidRPr="0013228F" w:rsidRDefault="008B19D0" w:rsidP="0013228F">
      <w:pPr>
        <w:pStyle w:val="ListParagraph"/>
        <w:jc w:val="both"/>
      </w:pPr>
    </w:p>
    <w:p w:rsidR="00794AB7" w:rsidRPr="00D209AD" w:rsidRDefault="00D209AD" w:rsidP="00D209AD">
      <w:pPr>
        <w:ind w:left="709"/>
        <w:jc w:val="both"/>
        <w:rPr>
          <w:b/>
          <w:u w:val="single"/>
        </w:rPr>
      </w:pPr>
      <w:r w:rsidRPr="00D209AD">
        <w:rPr>
          <w:b/>
          <w:u w:val="single"/>
        </w:rPr>
        <w:t>Kérdés</w:t>
      </w:r>
      <w:r w:rsidR="00794AB7" w:rsidRPr="00D209AD">
        <w:rPr>
          <w:b/>
          <w:u w:val="single"/>
        </w:rPr>
        <w:t>:</w:t>
      </w:r>
      <w:r w:rsidR="00794AB7" w:rsidRPr="0013228F">
        <w:t xml:space="preserve"> </w:t>
      </w:r>
      <w:r w:rsidR="00493E98">
        <w:t>A</w:t>
      </w:r>
      <w:r w:rsidR="00794AB7" w:rsidRPr="0013228F">
        <w:t xml:space="preserve"> standard módszerben érintett hitelintézetek számára eddig a C11 H tábla volt érintett. Az új jelentéscsomagban e helyett már csak a C12 H jelentés szerepel, ugyanakkor a </w:t>
      </w:r>
      <w:r w:rsidR="00794AB7" w:rsidRPr="00D209AD">
        <w:rPr>
          <w:b/>
        </w:rPr>
        <w:t>kitöltési útmutató nem tartalmaz kiegészítést, pontosítást a nem IRB módszert alkalmazó jelentés összeállítás esetén</w:t>
      </w:r>
      <w:r w:rsidR="00794AB7" w:rsidRPr="0013228F">
        <w:t xml:space="preserve">. </w:t>
      </w:r>
      <w:r w:rsidR="00493E98">
        <w:t>A f</w:t>
      </w:r>
      <w:r w:rsidR="00493E98" w:rsidRPr="00D209AD">
        <w:rPr>
          <w:rFonts w:cs="Arial"/>
        </w:rPr>
        <w:t xml:space="preserve">üggő és jövőbeni kötelezettségek Jelenleg a COREP táblák között van a C11H (Sztenderd módszert alkalmazó intézmények esetén) és C12H (IRB módszert alkalmazó intézmények esetén) tábla. Beemelésre került a nem COREP jelentések közé a C12H tábla? A C11H tábla nem? Ez az új tábla tartalmazza a C11H táblában lévő adatokat is? Milyen összefüggés van a nem COREP C12H tábla és a COREP C11H és C12H táblák között? </w:t>
      </w:r>
    </w:p>
    <w:p w:rsidR="0013228F" w:rsidRPr="0013228F" w:rsidRDefault="00794AB7" w:rsidP="0013228F">
      <w:pPr>
        <w:pStyle w:val="ListParagraph"/>
        <w:jc w:val="both"/>
        <w:rPr>
          <w:rFonts w:cs="Arial"/>
          <w:bCs/>
        </w:rPr>
      </w:pPr>
      <w:r w:rsidRPr="0013228F">
        <w:rPr>
          <w:rFonts w:cs="Arial"/>
          <w:b/>
          <w:bCs/>
          <w:u w:val="single"/>
        </w:rPr>
        <w:t>Válasz:</w:t>
      </w:r>
      <w:r w:rsidRPr="0013228F">
        <w:rPr>
          <w:rFonts w:cs="Arial"/>
          <w:bCs/>
        </w:rPr>
        <w:t xml:space="preserve"> </w:t>
      </w:r>
    </w:p>
    <w:p w:rsidR="00794AB7" w:rsidRPr="0013228F" w:rsidRDefault="00794AB7" w:rsidP="0013228F">
      <w:pPr>
        <w:pStyle w:val="ListParagraph"/>
        <w:jc w:val="both"/>
        <w:rPr>
          <w:rFonts w:cs="Arial"/>
          <w:bCs/>
        </w:rPr>
      </w:pPr>
      <w:r w:rsidRPr="0013228F">
        <w:rPr>
          <w:rFonts w:cs="Arial"/>
          <w:bCs/>
        </w:rPr>
        <w:t>A mérlegen kívüli kötelezettségek kimutatására a felügyeleti adatszolgáltatási rendeletbe a C12H táblát emeltük be, mivel ez a tábla magában foglalja a sztenderd C11H tábla sorait is, a hitelezési kockázatkezelés IRB módszerét alkalmazó hitelintézetekre jellemző sorokon túl. Az egyesített új táblában a továbbiakban nem számít, hogy az adatszolgáltató milyen módszerrel számolja ki a mérlegen kívüli kötelezettségek tőkekövetelményét.</w:t>
      </w:r>
    </w:p>
    <w:p w:rsidR="00794AB7" w:rsidRPr="0013228F" w:rsidRDefault="00794AB7" w:rsidP="0013228F">
      <w:pPr>
        <w:pStyle w:val="ListParagraph"/>
        <w:jc w:val="both"/>
        <w:rPr>
          <w:rFonts w:cs="Arial"/>
        </w:rPr>
      </w:pPr>
    </w:p>
    <w:p w:rsidR="00FB39D3" w:rsidRDefault="00FB39D3" w:rsidP="00FB39D3">
      <w:pPr>
        <w:autoSpaceDE w:val="0"/>
        <w:autoSpaceDN w:val="0"/>
        <w:adjustRightInd w:val="0"/>
        <w:spacing w:after="0" w:line="240" w:lineRule="auto"/>
        <w:jc w:val="center"/>
        <w:rPr>
          <w:rFonts w:ascii="Calibri" w:eastAsia="Calibri" w:hAnsi="Calibri" w:cs="Times New Roman"/>
          <w:b/>
          <w:bCs/>
          <w:sz w:val="28"/>
          <w:szCs w:val="28"/>
        </w:rPr>
      </w:pPr>
      <w:r w:rsidRPr="00FB39D3">
        <w:rPr>
          <w:rFonts w:ascii="Calibri" w:eastAsia="Calibri" w:hAnsi="Calibri" w:cs="Times New Roman"/>
          <w:b/>
          <w:bCs/>
          <w:sz w:val="28"/>
          <w:szCs w:val="28"/>
        </w:rPr>
        <w:t xml:space="preserve">KÖZÉRDEKŰ KÉRDÉSEK ÉS VÁLASZOK </w:t>
      </w:r>
      <w:r w:rsidR="0029673A">
        <w:rPr>
          <w:rFonts w:ascii="Calibri" w:eastAsia="Calibri" w:hAnsi="Calibri" w:cs="Times New Roman"/>
          <w:b/>
          <w:bCs/>
          <w:sz w:val="28"/>
          <w:szCs w:val="28"/>
        </w:rPr>
        <w:t xml:space="preserve">A </w:t>
      </w:r>
      <w:r w:rsidRPr="00FB39D3">
        <w:rPr>
          <w:rFonts w:ascii="Calibri" w:eastAsia="Calibri" w:hAnsi="Calibri" w:cs="Times New Roman"/>
          <w:b/>
          <w:bCs/>
          <w:sz w:val="28"/>
          <w:szCs w:val="28"/>
        </w:rPr>
        <w:t xml:space="preserve">2014. ÉVI </w:t>
      </w:r>
      <w:r w:rsidR="0029673A">
        <w:rPr>
          <w:rFonts w:ascii="Calibri" w:eastAsia="Calibri" w:hAnsi="Calibri" w:cs="Times New Roman"/>
          <w:b/>
          <w:bCs/>
          <w:sz w:val="28"/>
          <w:szCs w:val="28"/>
        </w:rPr>
        <w:t xml:space="preserve">BIZTOSÍTÁSI PIACI SZERVEZETEK ELSŐDLEGESEN FELÜGYELETI CÉLÚ ADATSZOLGÁLTATÁSÁRÓL SZÓLÓ MNB RENDELETTEL </w:t>
      </w:r>
      <w:r w:rsidRPr="00FB39D3">
        <w:rPr>
          <w:rFonts w:ascii="Calibri" w:eastAsia="Calibri" w:hAnsi="Calibri" w:cs="Times New Roman"/>
          <w:b/>
          <w:bCs/>
          <w:sz w:val="28"/>
          <w:szCs w:val="28"/>
        </w:rPr>
        <w:t>KAPCSOLATBAN</w:t>
      </w:r>
    </w:p>
    <w:p w:rsidR="00FB39D3" w:rsidRPr="00FB39D3" w:rsidRDefault="00FB39D3" w:rsidP="00FB39D3">
      <w:pPr>
        <w:autoSpaceDE w:val="0"/>
        <w:autoSpaceDN w:val="0"/>
        <w:adjustRightInd w:val="0"/>
        <w:spacing w:after="0" w:line="240" w:lineRule="auto"/>
        <w:jc w:val="center"/>
        <w:rPr>
          <w:rFonts w:ascii="Calibri" w:eastAsia="Calibri" w:hAnsi="Calibri" w:cs="Times New Roman"/>
          <w:b/>
          <w:bCs/>
          <w:sz w:val="28"/>
          <w:szCs w:val="28"/>
        </w:rPr>
      </w:pPr>
    </w:p>
    <w:p w:rsidR="00FB39D3" w:rsidRPr="0029673A" w:rsidRDefault="00FB39D3" w:rsidP="00FB39D3">
      <w:pPr>
        <w:rPr>
          <w:b/>
        </w:rPr>
      </w:pPr>
      <w:r w:rsidRPr="0029673A">
        <w:rPr>
          <w:b/>
        </w:rPr>
        <w:t>Független biztosításközvetítők</w:t>
      </w:r>
    </w:p>
    <w:p w:rsidR="00FB39D3" w:rsidRPr="0029673A" w:rsidRDefault="00FB39D3" w:rsidP="0029673A">
      <w:pPr>
        <w:ind w:left="708"/>
        <w:rPr>
          <w:rFonts w:cs="Arial"/>
          <w:bCs/>
        </w:rPr>
      </w:pPr>
      <w:r w:rsidRPr="0029673A">
        <w:rPr>
          <w:rFonts w:cs="Arial"/>
          <w:b/>
          <w:bCs/>
          <w:u w:val="single"/>
        </w:rPr>
        <w:t>Kérdés</w:t>
      </w:r>
      <w:r w:rsidRPr="00394BEC">
        <w:rPr>
          <w:sz w:val="20"/>
          <w:szCs w:val="20"/>
        </w:rPr>
        <w:t xml:space="preserve">: </w:t>
      </w:r>
      <w:r w:rsidRPr="0029673A">
        <w:rPr>
          <w:rFonts w:cs="Arial"/>
          <w:bCs/>
        </w:rPr>
        <w:t>Mit kell jelenteni a 48B1A tábla 2. és 3., valamint a 8. és 9. oszlopában?</w:t>
      </w:r>
    </w:p>
    <w:p w:rsidR="00FB39D3" w:rsidRPr="0029673A" w:rsidRDefault="00FB39D3" w:rsidP="0029673A">
      <w:pPr>
        <w:ind w:left="708"/>
        <w:jc w:val="both"/>
        <w:rPr>
          <w:rFonts w:cs="Arial"/>
          <w:bCs/>
        </w:rPr>
      </w:pPr>
      <w:r w:rsidRPr="0029673A">
        <w:rPr>
          <w:rFonts w:cs="Arial"/>
          <w:b/>
          <w:bCs/>
          <w:u w:val="single"/>
        </w:rPr>
        <w:t>Válasz</w:t>
      </w:r>
      <w:r w:rsidRPr="0029673A">
        <w:rPr>
          <w:rFonts w:cs="Arial"/>
          <w:bCs/>
        </w:rPr>
        <w:t xml:space="preserve">: A 48B1A tábla 2. és 3. oszlopában továbbra is a tárgyévben kiszámlázott bruttó jutalékbevételt (a sztornó tételek figyelembevétele nélkül) kell jelenteni. A 8. és 9. oszlopban </w:t>
      </w:r>
      <w:r w:rsidRPr="0029673A">
        <w:rPr>
          <w:rFonts w:cs="Arial"/>
          <w:bCs/>
        </w:rPr>
        <w:lastRenderedPageBreak/>
        <w:t>a tárgyévben visszaírásra került jutalékok összegét kell jelenteni, függetlenül a jutalék kiszámlázás évétől.</w:t>
      </w:r>
    </w:p>
    <w:p w:rsidR="00794AB7" w:rsidRPr="0013228F" w:rsidRDefault="00794AB7" w:rsidP="0013228F">
      <w:pPr>
        <w:pStyle w:val="ListParagraph"/>
        <w:jc w:val="both"/>
        <w:rPr>
          <w:rFonts w:cs="Arial"/>
          <w:bCs/>
          <w:highlight w:val="yellow"/>
        </w:rPr>
      </w:pPr>
      <w:r w:rsidRPr="0013228F">
        <w:rPr>
          <w:rFonts w:cs="Arial"/>
          <w:bCs/>
          <w:highlight w:val="yellow"/>
        </w:rPr>
        <w:t xml:space="preserve">  </w:t>
      </w:r>
    </w:p>
    <w:sectPr w:rsidR="00794AB7" w:rsidRPr="0013228F" w:rsidSect="00C4391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0B8" w:rsidRDefault="006C40B8" w:rsidP="00FF2765">
      <w:pPr>
        <w:spacing w:after="0" w:line="240" w:lineRule="auto"/>
      </w:pPr>
      <w:r>
        <w:separator/>
      </w:r>
    </w:p>
  </w:endnote>
  <w:endnote w:type="continuationSeparator" w:id="0">
    <w:p w:rsidR="006C40B8" w:rsidRDefault="006C40B8" w:rsidP="00FF2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JEJNL+HHelvetica">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662899"/>
      <w:docPartObj>
        <w:docPartGallery w:val="Page Numbers (Bottom of Page)"/>
        <w:docPartUnique/>
      </w:docPartObj>
    </w:sdtPr>
    <w:sdtContent>
      <w:p w:rsidR="004D7898" w:rsidRDefault="00CB2657">
        <w:pPr>
          <w:pStyle w:val="Footer"/>
          <w:jc w:val="center"/>
        </w:pPr>
        <w:fldSimple w:instr="PAGE   \* MERGEFORMAT">
          <w:r w:rsidR="007512BA">
            <w:rPr>
              <w:noProof/>
            </w:rPr>
            <w:t>1</w:t>
          </w:r>
        </w:fldSimple>
      </w:p>
    </w:sdtContent>
  </w:sdt>
  <w:p w:rsidR="004D7898" w:rsidRDefault="004D7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0B8" w:rsidRDefault="006C40B8" w:rsidP="00FF2765">
      <w:pPr>
        <w:spacing w:after="0" w:line="240" w:lineRule="auto"/>
      </w:pPr>
      <w:r>
        <w:separator/>
      </w:r>
    </w:p>
  </w:footnote>
  <w:footnote w:type="continuationSeparator" w:id="0">
    <w:p w:rsidR="006C40B8" w:rsidRDefault="006C40B8" w:rsidP="00FF27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8B9"/>
    <w:multiLevelType w:val="hybridMultilevel"/>
    <w:tmpl w:val="1B9A627E"/>
    <w:lvl w:ilvl="0" w:tplc="431840BE">
      <w:start w:val="1"/>
      <w:numFmt w:val="upperRoman"/>
      <w:lvlText w:val="%1."/>
      <w:lvlJc w:val="left"/>
      <w:pPr>
        <w:ind w:left="1344" w:hanging="720"/>
      </w:pPr>
      <w:rPr>
        <w:rFonts w:hint="default"/>
      </w:rPr>
    </w:lvl>
    <w:lvl w:ilvl="1" w:tplc="040E0019" w:tentative="1">
      <w:start w:val="1"/>
      <w:numFmt w:val="lowerLetter"/>
      <w:lvlText w:val="%2."/>
      <w:lvlJc w:val="left"/>
      <w:pPr>
        <w:ind w:left="1704" w:hanging="360"/>
      </w:pPr>
    </w:lvl>
    <w:lvl w:ilvl="2" w:tplc="040E001B" w:tentative="1">
      <w:start w:val="1"/>
      <w:numFmt w:val="lowerRoman"/>
      <w:lvlText w:val="%3."/>
      <w:lvlJc w:val="right"/>
      <w:pPr>
        <w:ind w:left="2424" w:hanging="180"/>
      </w:pPr>
    </w:lvl>
    <w:lvl w:ilvl="3" w:tplc="040E000F" w:tentative="1">
      <w:start w:val="1"/>
      <w:numFmt w:val="decimal"/>
      <w:lvlText w:val="%4."/>
      <w:lvlJc w:val="left"/>
      <w:pPr>
        <w:ind w:left="3144" w:hanging="360"/>
      </w:pPr>
    </w:lvl>
    <w:lvl w:ilvl="4" w:tplc="040E0019" w:tentative="1">
      <w:start w:val="1"/>
      <w:numFmt w:val="lowerLetter"/>
      <w:lvlText w:val="%5."/>
      <w:lvlJc w:val="left"/>
      <w:pPr>
        <w:ind w:left="3864" w:hanging="360"/>
      </w:pPr>
    </w:lvl>
    <w:lvl w:ilvl="5" w:tplc="040E001B" w:tentative="1">
      <w:start w:val="1"/>
      <w:numFmt w:val="lowerRoman"/>
      <w:lvlText w:val="%6."/>
      <w:lvlJc w:val="right"/>
      <w:pPr>
        <w:ind w:left="4584" w:hanging="180"/>
      </w:pPr>
    </w:lvl>
    <w:lvl w:ilvl="6" w:tplc="040E000F" w:tentative="1">
      <w:start w:val="1"/>
      <w:numFmt w:val="decimal"/>
      <w:lvlText w:val="%7."/>
      <w:lvlJc w:val="left"/>
      <w:pPr>
        <w:ind w:left="5304" w:hanging="360"/>
      </w:pPr>
    </w:lvl>
    <w:lvl w:ilvl="7" w:tplc="040E0019" w:tentative="1">
      <w:start w:val="1"/>
      <w:numFmt w:val="lowerLetter"/>
      <w:lvlText w:val="%8."/>
      <w:lvlJc w:val="left"/>
      <w:pPr>
        <w:ind w:left="6024" w:hanging="360"/>
      </w:pPr>
    </w:lvl>
    <w:lvl w:ilvl="8" w:tplc="040E001B" w:tentative="1">
      <w:start w:val="1"/>
      <w:numFmt w:val="lowerRoman"/>
      <w:lvlText w:val="%9."/>
      <w:lvlJc w:val="right"/>
      <w:pPr>
        <w:ind w:left="6744" w:hanging="180"/>
      </w:pPr>
    </w:lvl>
  </w:abstractNum>
  <w:abstractNum w:abstractNumId="1">
    <w:nsid w:val="0CBD65AC"/>
    <w:multiLevelType w:val="hybridMultilevel"/>
    <w:tmpl w:val="EC5282E4"/>
    <w:lvl w:ilvl="0" w:tplc="E502359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16C2184"/>
    <w:multiLevelType w:val="hybridMultilevel"/>
    <w:tmpl w:val="3A5E6FD4"/>
    <w:lvl w:ilvl="0" w:tplc="040E0017">
      <w:start w:val="1"/>
      <w:numFmt w:val="lowerLetter"/>
      <w:lvlText w:val="%1)"/>
      <w:lvlJc w:val="left"/>
      <w:pPr>
        <w:ind w:left="502"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18843A11"/>
    <w:multiLevelType w:val="hybridMultilevel"/>
    <w:tmpl w:val="989CFEA8"/>
    <w:lvl w:ilvl="0" w:tplc="227C70A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20203354"/>
    <w:multiLevelType w:val="multilevel"/>
    <w:tmpl w:val="91168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922489"/>
    <w:multiLevelType w:val="hybridMultilevel"/>
    <w:tmpl w:val="EC761012"/>
    <w:lvl w:ilvl="0" w:tplc="2B4EBDFC">
      <w:start w:val="1"/>
      <w:numFmt w:val="decimal"/>
      <w:lvlText w:val="%1."/>
      <w:lvlJc w:val="left"/>
      <w:pPr>
        <w:ind w:left="1440" w:hanging="360"/>
      </w:pPr>
      <w:rPr>
        <w:rFonts w:cs="Arial" w:hint="default"/>
        <w:b/>
        <w:u w:val="single"/>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nsid w:val="256552BD"/>
    <w:multiLevelType w:val="hybridMultilevel"/>
    <w:tmpl w:val="200CD91C"/>
    <w:lvl w:ilvl="0" w:tplc="10247BEA">
      <w:start w:val="1"/>
      <w:numFmt w:val="upp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
    <w:nsid w:val="2FBF5DBD"/>
    <w:multiLevelType w:val="hybridMultilevel"/>
    <w:tmpl w:val="C406BF0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9F3569B"/>
    <w:multiLevelType w:val="hybridMultilevel"/>
    <w:tmpl w:val="8B70E4F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D720519"/>
    <w:multiLevelType w:val="hybridMultilevel"/>
    <w:tmpl w:val="8B70E4F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45F2A7E"/>
    <w:multiLevelType w:val="hybridMultilevel"/>
    <w:tmpl w:val="F90A9FD4"/>
    <w:lvl w:ilvl="0" w:tplc="243A187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4FA8246F"/>
    <w:multiLevelType w:val="hybridMultilevel"/>
    <w:tmpl w:val="F9E42742"/>
    <w:lvl w:ilvl="0" w:tplc="87E02D80">
      <w:start w:val="1"/>
      <w:numFmt w:val="decimal"/>
      <w:lvlText w:val="%1."/>
      <w:lvlJc w:val="left"/>
      <w:pPr>
        <w:ind w:left="1080" w:hanging="360"/>
      </w:pPr>
      <w:rPr>
        <w:rFonts w:asciiTheme="minorHAnsi" w:hAnsiTheme="minorHAnsi" w:cs="Arial" w:hint="default"/>
        <w:color w:val="0070C0"/>
        <w:sz w:val="2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59E1500B"/>
    <w:multiLevelType w:val="hybridMultilevel"/>
    <w:tmpl w:val="466CFCA8"/>
    <w:lvl w:ilvl="0" w:tplc="BC88687E">
      <w:start w:val="1"/>
      <w:numFmt w:val="decimal"/>
      <w:lvlText w:val="%1."/>
      <w:lvlJc w:val="left"/>
      <w:pPr>
        <w:ind w:left="1080" w:hanging="360"/>
      </w:pPr>
      <w:rPr>
        <w:rFonts w:hint="default"/>
        <w:b/>
        <w:u w:val="singl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641D0908"/>
    <w:multiLevelType w:val="hybridMultilevel"/>
    <w:tmpl w:val="1054E0AC"/>
    <w:lvl w:ilvl="0" w:tplc="5E9CE04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68B93BE2"/>
    <w:multiLevelType w:val="hybridMultilevel"/>
    <w:tmpl w:val="F4088926"/>
    <w:lvl w:ilvl="0" w:tplc="4BA452E0">
      <w:start w:val="1"/>
      <w:numFmt w:val="upp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nsid w:val="799A5F14"/>
    <w:multiLevelType w:val="hybridMultilevel"/>
    <w:tmpl w:val="29AC10FA"/>
    <w:lvl w:ilvl="0" w:tplc="040E0011">
      <w:start w:val="1"/>
      <w:numFmt w:val="decimal"/>
      <w:lvlText w:val="%1)"/>
      <w:lvlJc w:val="left"/>
      <w:pPr>
        <w:ind w:left="852" w:hanging="284"/>
      </w:pPr>
      <w:rPr>
        <w:rFonts w:hint="default"/>
        <w:b w:val="0"/>
        <w:i w:val="0"/>
      </w:rPr>
    </w:lvl>
    <w:lvl w:ilvl="1" w:tplc="040E0019">
      <w:start w:val="1"/>
      <w:numFmt w:val="decimal"/>
      <w:lvlText w:val="%2."/>
      <w:lvlJc w:val="left"/>
      <w:pPr>
        <w:tabs>
          <w:tab w:val="num" w:pos="1070"/>
        </w:tabs>
        <w:ind w:left="1070" w:hanging="360"/>
      </w:pPr>
    </w:lvl>
    <w:lvl w:ilvl="2" w:tplc="040E001B">
      <w:start w:val="1"/>
      <w:numFmt w:val="decimal"/>
      <w:lvlText w:val="%3."/>
      <w:lvlJc w:val="left"/>
      <w:pPr>
        <w:tabs>
          <w:tab w:val="num" w:pos="2728"/>
        </w:tabs>
        <w:ind w:left="2728" w:hanging="360"/>
      </w:pPr>
    </w:lvl>
    <w:lvl w:ilvl="3" w:tplc="040E000F">
      <w:start w:val="1"/>
      <w:numFmt w:val="decimal"/>
      <w:lvlText w:val="%4."/>
      <w:lvlJc w:val="left"/>
      <w:pPr>
        <w:tabs>
          <w:tab w:val="num" w:pos="3448"/>
        </w:tabs>
        <w:ind w:left="3448" w:hanging="360"/>
      </w:pPr>
    </w:lvl>
    <w:lvl w:ilvl="4" w:tplc="040E0019">
      <w:start w:val="1"/>
      <w:numFmt w:val="decimal"/>
      <w:lvlText w:val="%5."/>
      <w:lvlJc w:val="left"/>
      <w:pPr>
        <w:tabs>
          <w:tab w:val="num" w:pos="4168"/>
        </w:tabs>
        <w:ind w:left="4168" w:hanging="360"/>
      </w:pPr>
    </w:lvl>
    <w:lvl w:ilvl="5" w:tplc="040E001B">
      <w:start w:val="1"/>
      <w:numFmt w:val="decimal"/>
      <w:lvlText w:val="%6."/>
      <w:lvlJc w:val="left"/>
      <w:pPr>
        <w:tabs>
          <w:tab w:val="num" w:pos="4888"/>
        </w:tabs>
        <w:ind w:left="4888" w:hanging="360"/>
      </w:pPr>
    </w:lvl>
    <w:lvl w:ilvl="6" w:tplc="040E000F">
      <w:start w:val="1"/>
      <w:numFmt w:val="decimal"/>
      <w:lvlText w:val="%7."/>
      <w:lvlJc w:val="left"/>
      <w:pPr>
        <w:tabs>
          <w:tab w:val="num" w:pos="5608"/>
        </w:tabs>
        <w:ind w:left="5608" w:hanging="360"/>
      </w:pPr>
    </w:lvl>
    <w:lvl w:ilvl="7" w:tplc="040E0019">
      <w:start w:val="1"/>
      <w:numFmt w:val="decimal"/>
      <w:lvlText w:val="%8."/>
      <w:lvlJc w:val="left"/>
      <w:pPr>
        <w:tabs>
          <w:tab w:val="num" w:pos="6328"/>
        </w:tabs>
        <w:ind w:left="6328" w:hanging="360"/>
      </w:pPr>
    </w:lvl>
    <w:lvl w:ilvl="8" w:tplc="040E001B">
      <w:start w:val="1"/>
      <w:numFmt w:val="decimal"/>
      <w:lvlText w:val="%9."/>
      <w:lvlJc w:val="left"/>
      <w:pPr>
        <w:tabs>
          <w:tab w:val="num" w:pos="7048"/>
        </w:tabs>
        <w:ind w:left="7048" w:hanging="360"/>
      </w:pPr>
    </w:lvl>
  </w:abstractNum>
  <w:num w:numId="1">
    <w:abstractNumId w:val="9"/>
  </w:num>
  <w:num w:numId="2">
    <w:abstractNumId w:val="15"/>
  </w:num>
  <w:num w:numId="3">
    <w:abstractNumId w:val="2"/>
  </w:num>
  <w:num w:numId="4">
    <w:abstractNumId w:val="14"/>
  </w:num>
  <w:num w:numId="5">
    <w:abstractNumId w:val="13"/>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1"/>
  </w:num>
  <w:num w:numId="11">
    <w:abstractNumId w:val="1"/>
  </w:num>
  <w:num w:numId="12">
    <w:abstractNumId w:val="0"/>
  </w:num>
  <w:num w:numId="13">
    <w:abstractNumId w:val="10"/>
  </w:num>
  <w:num w:numId="14">
    <w:abstractNumId w:val="12"/>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E5103"/>
    <w:rsid w:val="0001799E"/>
    <w:rsid w:val="000272CF"/>
    <w:rsid w:val="00034708"/>
    <w:rsid w:val="00076373"/>
    <w:rsid w:val="00085788"/>
    <w:rsid w:val="00094BC4"/>
    <w:rsid w:val="00097532"/>
    <w:rsid w:val="000C4BA0"/>
    <w:rsid w:val="000D2FD0"/>
    <w:rsid w:val="000E4E7B"/>
    <w:rsid w:val="000F0915"/>
    <w:rsid w:val="00115A4A"/>
    <w:rsid w:val="0013228F"/>
    <w:rsid w:val="001504C2"/>
    <w:rsid w:val="001517BB"/>
    <w:rsid w:val="00173F30"/>
    <w:rsid w:val="0017594E"/>
    <w:rsid w:val="00177064"/>
    <w:rsid w:val="00186C08"/>
    <w:rsid w:val="0019128D"/>
    <w:rsid w:val="001C030E"/>
    <w:rsid w:val="001D29A2"/>
    <w:rsid w:val="001E621A"/>
    <w:rsid w:val="002219F3"/>
    <w:rsid w:val="002604AB"/>
    <w:rsid w:val="00285ABA"/>
    <w:rsid w:val="0029167E"/>
    <w:rsid w:val="0029673A"/>
    <w:rsid w:val="00296918"/>
    <w:rsid w:val="002A0B02"/>
    <w:rsid w:val="002A5869"/>
    <w:rsid w:val="002A5FCD"/>
    <w:rsid w:val="002A7D96"/>
    <w:rsid w:val="002C14F9"/>
    <w:rsid w:val="002E1797"/>
    <w:rsid w:val="002E3CEB"/>
    <w:rsid w:val="003331C5"/>
    <w:rsid w:val="00376BCA"/>
    <w:rsid w:val="003806F2"/>
    <w:rsid w:val="00386D4D"/>
    <w:rsid w:val="00393EC9"/>
    <w:rsid w:val="003C6D02"/>
    <w:rsid w:val="003D0D5C"/>
    <w:rsid w:val="003D1CEE"/>
    <w:rsid w:val="003E09DD"/>
    <w:rsid w:val="003E706D"/>
    <w:rsid w:val="003F0B94"/>
    <w:rsid w:val="003F3BA1"/>
    <w:rsid w:val="00414849"/>
    <w:rsid w:val="00415276"/>
    <w:rsid w:val="00423520"/>
    <w:rsid w:val="004347F5"/>
    <w:rsid w:val="00435496"/>
    <w:rsid w:val="004906E1"/>
    <w:rsid w:val="004912EE"/>
    <w:rsid w:val="00493E98"/>
    <w:rsid w:val="004A1915"/>
    <w:rsid w:val="004A1CA9"/>
    <w:rsid w:val="004D7898"/>
    <w:rsid w:val="004F43E6"/>
    <w:rsid w:val="00520161"/>
    <w:rsid w:val="00544ABB"/>
    <w:rsid w:val="00555D8F"/>
    <w:rsid w:val="00570850"/>
    <w:rsid w:val="0058609F"/>
    <w:rsid w:val="005B1F91"/>
    <w:rsid w:val="005B3CDC"/>
    <w:rsid w:val="005C13E3"/>
    <w:rsid w:val="005C687F"/>
    <w:rsid w:val="005D0890"/>
    <w:rsid w:val="005D2AB6"/>
    <w:rsid w:val="005E1E18"/>
    <w:rsid w:val="00602C4A"/>
    <w:rsid w:val="00612A62"/>
    <w:rsid w:val="0062272A"/>
    <w:rsid w:val="00640F39"/>
    <w:rsid w:val="00650180"/>
    <w:rsid w:val="00682BC2"/>
    <w:rsid w:val="006A140F"/>
    <w:rsid w:val="006A44EF"/>
    <w:rsid w:val="006A60C2"/>
    <w:rsid w:val="006C40B8"/>
    <w:rsid w:val="006C597A"/>
    <w:rsid w:val="006C6F15"/>
    <w:rsid w:val="006D055D"/>
    <w:rsid w:val="006E5103"/>
    <w:rsid w:val="007053FE"/>
    <w:rsid w:val="00717BFB"/>
    <w:rsid w:val="0072595E"/>
    <w:rsid w:val="00730FF8"/>
    <w:rsid w:val="00750F6A"/>
    <w:rsid w:val="007512BA"/>
    <w:rsid w:val="0075393F"/>
    <w:rsid w:val="00794AB7"/>
    <w:rsid w:val="00794C1C"/>
    <w:rsid w:val="00797DED"/>
    <w:rsid w:val="007B3C54"/>
    <w:rsid w:val="007D1B35"/>
    <w:rsid w:val="007F0023"/>
    <w:rsid w:val="007F6CF3"/>
    <w:rsid w:val="008065D2"/>
    <w:rsid w:val="00817627"/>
    <w:rsid w:val="00824D42"/>
    <w:rsid w:val="008304BF"/>
    <w:rsid w:val="00834538"/>
    <w:rsid w:val="00844914"/>
    <w:rsid w:val="00846BF2"/>
    <w:rsid w:val="00855FED"/>
    <w:rsid w:val="00875FE0"/>
    <w:rsid w:val="0088272E"/>
    <w:rsid w:val="00886C3C"/>
    <w:rsid w:val="008B023E"/>
    <w:rsid w:val="008B19D0"/>
    <w:rsid w:val="008C3AB3"/>
    <w:rsid w:val="008D46E4"/>
    <w:rsid w:val="008D797F"/>
    <w:rsid w:val="008F2478"/>
    <w:rsid w:val="0090797B"/>
    <w:rsid w:val="00923829"/>
    <w:rsid w:val="00932D12"/>
    <w:rsid w:val="00935C0A"/>
    <w:rsid w:val="00936F55"/>
    <w:rsid w:val="00943A98"/>
    <w:rsid w:val="00960200"/>
    <w:rsid w:val="009644FA"/>
    <w:rsid w:val="00981C3B"/>
    <w:rsid w:val="0099678E"/>
    <w:rsid w:val="009A7FF3"/>
    <w:rsid w:val="009B1802"/>
    <w:rsid w:val="009C14F1"/>
    <w:rsid w:val="009C6159"/>
    <w:rsid w:val="009D4246"/>
    <w:rsid w:val="009E08E1"/>
    <w:rsid w:val="009F1B85"/>
    <w:rsid w:val="009F787C"/>
    <w:rsid w:val="009F7885"/>
    <w:rsid w:val="00A304A3"/>
    <w:rsid w:val="00A31613"/>
    <w:rsid w:val="00A352B6"/>
    <w:rsid w:val="00A4368E"/>
    <w:rsid w:val="00A47395"/>
    <w:rsid w:val="00A47731"/>
    <w:rsid w:val="00A51C03"/>
    <w:rsid w:val="00A5600A"/>
    <w:rsid w:val="00A67729"/>
    <w:rsid w:val="00A82F18"/>
    <w:rsid w:val="00A94062"/>
    <w:rsid w:val="00AB795D"/>
    <w:rsid w:val="00AC081A"/>
    <w:rsid w:val="00AD393F"/>
    <w:rsid w:val="00AE25CF"/>
    <w:rsid w:val="00AF02E0"/>
    <w:rsid w:val="00AF1578"/>
    <w:rsid w:val="00AF7647"/>
    <w:rsid w:val="00B11437"/>
    <w:rsid w:val="00B30D2C"/>
    <w:rsid w:val="00B417F6"/>
    <w:rsid w:val="00B4219B"/>
    <w:rsid w:val="00B4332E"/>
    <w:rsid w:val="00B62816"/>
    <w:rsid w:val="00B73FE3"/>
    <w:rsid w:val="00B80B5B"/>
    <w:rsid w:val="00B94B12"/>
    <w:rsid w:val="00B95B08"/>
    <w:rsid w:val="00BC5F5F"/>
    <w:rsid w:val="00BC7A83"/>
    <w:rsid w:val="00BE3151"/>
    <w:rsid w:val="00C43918"/>
    <w:rsid w:val="00C944F8"/>
    <w:rsid w:val="00C95ACF"/>
    <w:rsid w:val="00CA7C43"/>
    <w:rsid w:val="00CB0C20"/>
    <w:rsid w:val="00CB2657"/>
    <w:rsid w:val="00CB7A91"/>
    <w:rsid w:val="00CB7F49"/>
    <w:rsid w:val="00CC306C"/>
    <w:rsid w:val="00CD5216"/>
    <w:rsid w:val="00CE3F56"/>
    <w:rsid w:val="00D019F7"/>
    <w:rsid w:val="00D03E17"/>
    <w:rsid w:val="00D209AD"/>
    <w:rsid w:val="00D30AAF"/>
    <w:rsid w:val="00D35102"/>
    <w:rsid w:val="00D60A00"/>
    <w:rsid w:val="00D87C79"/>
    <w:rsid w:val="00D90BD8"/>
    <w:rsid w:val="00D916B7"/>
    <w:rsid w:val="00D94561"/>
    <w:rsid w:val="00DA2320"/>
    <w:rsid w:val="00DA38E5"/>
    <w:rsid w:val="00DB18BE"/>
    <w:rsid w:val="00DB2B35"/>
    <w:rsid w:val="00DE1AE9"/>
    <w:rsid w:val="00E058CF"/>
    <w:rsid w:val="00E51482"/>
    <w:rsid w:val="00E74605"/>
    <w:rsid w:val="00E74A81"/>
    <w:rsid w:val="00EA1294"/>
    <w:rsid w:val="00EA385F"/>
    <w:rsid w:val="00EB472C"/>
    <w:rsid w:val="00EF00F8"/>
    <w:rsid w:val="00F1007B"/>
    <w:rsid w:val="00F14351"/>
    <w:rsid w:val="00F170C0"/>
    <w:rsid w:val="00F269E3"/>
    <w:rsid w:val="00F27897"/>
    <w:rsid w:val="00F306BB"/>
    <w:rsid w:val="00F3231B"/>
    <w:rsid w:val="00F379C7"/>
    <w:rsid w:val="00F43B3D"/>
    <w:rsid w:val="00F632A6"/>
    <w:rsid w:val="00F91A8D"/>
    <w:rsid w:val="00F94468"/>
    <w:rsid w:val="00FA3C0A"/>
    <w:rsid w:val="00FA7B0E"/>
    <w:rsid w:val="00FB345F"/>
    <w:rsid w:val="00FB39D3"/>
    <w:rsid w:val="00FC7CD6"/>
    <w:rsid w:val="00FD41B1"/>
    <w:rsid w:val="00FE0AA1"/>
    <w:rsid w:val="00FE376E"/>
    <w:rsid w:val="00FF276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18"/>
  </w:style>
  <w:style w:type="paragraph" w:styleId="Heading2">
    <w:name w:val="heading 2"/>
    <w:basedOn w:val="Normal"/>
    <w:next w:val="Normal"/>
    <w:link w:val="Heading2Char"/>
    <w:qFormat/>
    <w:rsid w:val="00B73FE3"/>
    <w:pPr>
      <w:keepNext/>
      <w:spacing w:after="0" w:line="240" w:lineRule="auto"/>
      <w:outlineLvl w:val="1"/>
    </w:pPr>
    <w:rPr>
      <w:rFonts w:ascii="Times New Roman" w:eastAsia="Times New Roman" w:hAnsi="Times New Roman" w:cs="Times New Roman"/>
      <w:b/>
      <w:bCs/>
      <w:iCs/>
      <w:sz w:val="24"/>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5103"/>
    <w:pPr>
      <w:ind w:left="720"/>
      <w:contextualSpacing/>
    </w:pPr>
  </w:style>
  <w:style w:type="paragraph" w:customStyle="1" w:styleId="Default">
    <w:name w:val="Default"/>
    <w:basedOn w:val="Normal"/>
    <w:uiPriority w:val="99"/>
    <w:rsid w:val="009B1802"/>
    <w:pPr>
      <w:autoSpaceDE w:val="0"/>
      <w:autoSpaceDN w:val="0"/>
      <w:spacing w:after="0" w:line="240" w:lineRule="auto"/>
    </w:pPr>
    <w:rPr>
      <w:rFonts w:ascii="CJEJNL+HHelvetica" w:hAnsi="CJEJNL+HHelvetica" w:cs="Times New Roman"/>
      <w:color w:val="000000"/>
      <w:sz w:val="24"/>
      <w:szCs w:val="24"/>
      <w:lang w:eastAsia="hu-HU"/>
    </w:rPr>
  </w:style>
  <w:style w:type="character" w:customStyle="1" w:styleId="Heading2Char">
    <w:name w:val="Heading 2 Char"/>
    <w:basedOn w:val="DefaultParagraphFont"/>
    <w:link w:val="Heading2"/>
    <w:rsid w:val="00B73FE3"/>
    <w:rPr>
      <w:rFonts w:ascii="Times New Roman" w:eastAsia="Times New Roman" w:hAnsi="Times New Roman" w:cs="Times New Roman"/>
      <w:b/>
      <w:bCs/>
      <w:iCs/>
      <w:sz w:val="24"/>
      <w:szCs w:val="28"/>
      <w:lang w:eastAsia="hu-HU"/>
    </w:rPr>
  </w:style>
  <w:style w:type="paragraph" w:styleId="Header">
    <w:name w:val="header"/>
    <w:basedOn w:val="Normal"/>
    <w:link w:val="HeaderChar"/>
    <w:uiPriority w:val="99"/>
    <w:unhideWhenUsed/>
    <w:rsid w:val="00FF27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2765"/>
  </w:style>
  <w:style w:type="paragraph" w:styleId="Footer">
    <w:name w:val="footer"/>
    <w:basedOn w:val="Normal"/>
    <w:link w:val="FooterChar"/>
    <w:uiPriority w:val="99"/>
    <w:unhideWhenUsed/>
    <w:rsid w:val="00FF27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2765"/>
  </w:style>
  <w:style w:type="character" w:styleId="Hyperlink">
    <w:name w:val="Hyperlink"/>
    <w:basedOn w:val="DefaultParagraphFont"/>
    <w:uiPriority w:val="99"/>
    <w:semiHidden/>
    <w:unhideWhenUsed/>
    <w:rsid w:val="009644FA"/>
    <w:rPr>
      <w:color w:val="0000FF"/>
      <w:u w:val="single"/>
    </w:rPr>
  </w:style>
  <w:style w:type="character" w:customStyle="1" w:styleId="ListParagraphChar">
    <w:name w:val="List Paragraph Char"/>
    <w:basedOn w:val="DefaultParagraphFont"/>
    <w:link w:val="ListParagraph"/>
    <w:uiPriority w:val="4"/>
    <w:locked/>
    <w:rsid w:val="006C597A"/>
  </w:style>
  <w:style w:type="paragraph" w:styleId="CommentText">
    <w:name w:val="annotation text"/>
    <w:basedOn w:val="Normal"/>
    <w:link w:val="CommentTextChar"/>
    <w:uiPriority w:val="99"/>
    <w:semiHidden/>
    <w:unhideWhenUsed/>
    <w:rsid w:val="005D0890"/>
    <w:pPr>
      <w:spacing w:after="150"/>
      <w:jc w:val="both"/>
    </w:pPr>
    <w:rPr>
      <w:rFonts w:ascii="Times New Roman" w:hAnsi="Times New Roman" w:cs="Times New Roman"/>
      <w:sz w:val="20"/>
      <w:szCs w:val="20"/>
      <w:lang w:eastAsia="hu-HU"/>
    </w:rPr>
  </w:style>
  <w:style w:type="character" w:customStyle="1" w:styleId="JegyzetszvegChar">
    <w:name w:val="Jegyzetszöveg Char"/>
    <w:basedOn w:val="DefaultParagraphFont"/>
    <w:link w:val="CommentText"/>
    <w:uiPriority w:val="99"/>
    <w:semiHidden/>
    <w:rsid w:val="005D0890"/>
    <w:rPr>
      <w:sz w:val="20"/>
      <w:szCs w:val="20"/>
    </w:rPr>
  </w:style>
  <w:style w:type="character" w:customStyle="1" w:styleId="CommentTextChar">
    <w:name w:val="Comment Text Char"/>
    <w:basedOn w:val="DefaultParagraphFont"/>
    <w:link w:val="CommentText"/>
    <w:uiPriority w:val="99"/>
    <w:semiHidden/>
    <w:locked/>
    <w:rsid w:val="005D0890"/>
    <w:rPr>
      <w:rFonts w:ascii="Times New Roman" w:hAnsi="Times New Roman" w:cs="Times New Roman"/>
      <w:sz w:val="20"/>
      <w:szCs w:val="20"/>
      <w:lang w:eastAsia="hu-HU"/>
    </w:rPr>
  </w:style>
  <w:style w:type="character" w:styleId="CommentReference">
    <w:name w:val="annotation reference"/>
    <w:basedOn w:val="DefaultParagraphFont"/>
    <w:uiPriority w:val="99"/>
    <w:semiHidden/>
    <w:unhideWhenUsed/>
    <w:rsid w:val="005D0890"/>
    <w:rPr>
      <w:sz w:val="16"/>
      <w:szCs w:val="16"/>
    </w:rPr>
  </w:style>
  <w:style w:type="paragraph" w:styleId="BalloonText">
    <w:name w:val="Balloon Text"/>
    <w:basedOn w:val="Normal"/>
    <w:link w:val="BalloonTextChar"/>
    <w:uiPriority w:val="99"/>
    <w:semiHidden/>
    <w:unhideWhenUsed/>
    <w:rsid w:val="005D0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9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347F5"/>
    <w:pPr>
      <w:spacing w:after="200" w:line="240" w:lineRule="auto"/>
      <w:jc w:val="left"/>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347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qFormat/>
    <w:rsid w:val="00B73FE3"/>
    <w:pPr>
      <w:keepNext/>
      <w:spacing w:after="0" w:line="240" w:lineRule="auto"/>
      <w:outlineLvl w:val="1"/>
    </w:pPr>
    <w:rPr>
      <w:rFonts w:ascii="Times New Roman" w:eastAsia="Times New Roman" w:hAnsi="Times New Roman" w:cs="Times New Roman"/>
      <w:b/>
      <w:bCs/>
      <w:iCs/>
      <w:sz w:val="24"/>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E5103"/>
    <w:pPr>
      <w:ind w:left="720"/>
      <w:contextualSpacing/>
    </w:pPr>
  </w:style>
  <w:style w:type="paragraph" w:customStyle="1" w:styleId="Default">
    <w:name w:val="Default"/>
    <w:basedOn w:val="Norml"/>
    <w:uiPriority w:val="99"/>
    <w:rsid w:val="009B1802"/>
    <w:pPr>
      <w:autoSpaceDE w:val="0"/>
      <w:autoSpaceDN w:val="0"/>
      <w:spacing w:after="0" w:line="240" w:lineRule="auto"/>
    </w:pPr>
    <w:rPr>
      <w:rFonts w:ascii="CJEJNL+HHelvetica" w:hAnsi="CJEJNL+HHelvetica" w:cs="Times New Roman"/>
      <w:color w:val="000000"/>
      <w:sz w:val="24"/>
      <w:szCs w:val="24"/>
      <w:lang w:eastAsia="hu-HU"/>
    </w:rPr>
  </w:style>
  <w:style w:type="character" w:customStyle="1" w:styleId="Cmsor2Char">
    <w:name w:val="Címsor 2 Char"/>
    <w:basedOn w:val="Bekezdsalapbettpusa"/>
    <w:link w:val="Cmsor2"/>
    <w:rsid w:val="00B73FE3"/>
    <w:rPr>
      <w:rFonts w:ascii="Times New Roman" w:eastAsia="Times New Roman" w:hAnsi="Times New Roman" w:cs="Times New Roman"/>
      <w:b/>
      <w:bCs/>
      <w:iCs/>
      <w:sz w:val="24"/>
      <w:szCs w:val="28"/>
      <w:lang w:eastAsia="hu-HU"/>
    </w:rPr>
  </w:style>
  <w:style w:type="paragraph" w:styleId="lfej">
    <w:name w:val="header"/>
    <w:basedOn w:val="Norml"/>
    <w:link w:val="lfejChar"/>
    <w:uiPriority w:val="99"/>
    <w:unhideWhenUsed/>
    <w:rsid w:val="00FF2765"/>
    <w:pPr>
      <w:tabs>
        <w:tab w:val="center" w:pos="4536"/>
        <w:tab w:val="right" w:pos="9072"/>
      </w:tabs>
      <w:spacing w:after="0" w:line="240" w:lineRule="auto"/>
    </w:pPr>
  </w:style>
  <w:style w:type="character" w:customStyle="1" w:styleId="lfejChar">
    <w:name w:val="Élőfej Char"/>
    <w:basedOn w:val="Bekezdsalapbettpusa"/>
    <w:link w:val="lfej"/>
    <w:uiPriority w:val="99"/>
    <w:rsid w:val="00FF2765"/>
  </w:style>
  <w:style w:type="paragraph" w:styleId="llb">
    <w:name w:val="footer"/>
    <w:basedOn w:val="Norml"/>
    <w:link w:val="llbChar"/>
    <w:uiPriority w:val="99"/>
    <w:unhideWhenUsed/>
    <w:rsid w:val="00FF2765"/>
    <w:pPr>
      <w:tabs>
        <w:tab w:val="center" w:pos="4536"/>
        <w:tab w:val="right" w:pos="9072"/>
      </w:tabs>
      <w:spacing w:after="0" w:line="240" w:lineRule="auto"/>
    </w:pPr>
  </w:style>
  <w:style w:type="character" w:customStyle="1" w:styleId="llbChar">
    <w:name w:val="Élőláb Char"/>
    <w:basedOn w:val="Bekezdsalapbettpusa"/>
    <w:link w:val="llb"/>
    <w:uiPriority w:val="99"/>
    <w:rsid w:val="00FF2765"/>
  </w:style>
</w:styles>
</file>

<file path=word/webSettings.xml><?xml version="1.0" encoding="utf-8"?>
<w:webSettings xmlns:r="http://schemas.openxmlformats.org/officeDocument/2006/relationships" xmlns:w="http://schemas.openxmlformats.org/wordprocessingml/2006/main">
  <w:divs>
    <w:div w:id="236788828">
      <w:bodyDiv w:val="1"/>
      <w:marLeft w:val="0"/>
      <w:marRight w:val="0"/>
      <w:marTop w:val="0"/>
      <w:marBottom w:val="0"/>
      <w:divBdr>
        <w:top w:val="none" w:sz="0" w:space="0" w:color="auto"/>
        <w:left w:val="none" w:sz="0" w:space="0" w:color="auto"/>
        <w:bottom w:val="none" w:sz="0" w:space="0" w:color="auto"/>
        <w:right w:val="none" w:sz="0" w:space="0" w:color="auto"/>
      </w:divBdr>
    </w:div>
    <w:div w:id="644504688">
      <w:bodyDiv w:val="1"/>
      <w:marLeft w:val="0"/>
      <w:marRight w:val="0"/>
      <w:marTop w:val="0"/>
      <w:marBottom w:val="0"/>
      <w:divBdr>
        <w:top w:val="none" w:sz="0" w:space="0" w:color="auto"/>
        <w:left w:val="none" w:sz="0" w:space="0" w:color="auto"/>
        <w:bottom w:val="none" w:sz="0" w:space="0" w:color="auto"/>
        <w:right w:val="none" w:sz="0" w:space="0" w:color="auto"/>
      </w:divBdr>
    </w:div>
    <w:div w:id="855384958">
      <w:bodyDiv w:val="1"/>
      <w:marLeft w:val="0"/>
      <w:marRight w:val="0"/>
      <w:marTop w:val="0"/>
      <w:marBottom w:val="0"/>
      <w:divBdr>
        <w:top w:val="none" w:sz="0" w:space="0" w:color="auto"/>
        <w:left w:val="none" w:sz="0" w:space="0" w:color="auto"/>
        <w:bottom w:val="none" w:sz="0" w:space="0" w:color="auto"/>
        <w:right w:val="none" w:sz="0" w:space="0" w:color="auto"/>
      </w:divBdr>
    </w:div>
    <w:div w:id="1340156611">
      <w:bodyDiv w:val="1"/>
      <w:marLeft w:val="0"/>
      <w:marRight w:val="0"/>
      <w:marTop w:val="0"/>
      <w:marBottom w:val="0"/>
      <w:divBdr>
        <w:top w:val="none" w:sz="0" w:space="0" w:color="auto"/>
        <w:left w:val="none" w:sz="0" w:space="0" w:color="auto"/>
        <w:bottom w:val="none" w:sz="0" w:space="0" w:color="auto"/>
        <w:right w:val="none" w:sz="0" w:space="0" w:color="auto"/>
      </w:divBdr>
    </w:div>
    <w:div w:id="16203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65C47-3A83-4B2F-98A8-A8A727D8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1534</Words>
  <Characters>10591</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OTP Bank Nyrt.</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Kócsyné Török Anikó</dc:creator>
  <cp:lastModifiedBy>adorjana</cp:lastModifiedBy>
  <cp:revision>2</cp:revision>
  <cp:lastPrinted>2013-12-03T08:16:00Z</cp:lastPrinted>
  <dcterms:created xsi:type="dcterms:W3CDTF">2013-12-18T14:20:00Z</dcterms:created>
  <dcterms:modified xsi:type="dcterms:W3CDTF">2013-12-18T14:20:00Z</dcterms:modified>
</cp:coreProperties>
</file>