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25A1" w14:textId="77777777" w:rsidR="00041F40" w:rsidRPr="00B944EB" w:rsidRDefault="00041F40" w:rsidP="00041F40">
      <w:r>
        <w:rPr>
          <w:noProof/>
        </w:rPr>
        <mc:AlternateContent>
          <mc:Choice Requires="wps">
            <w:drawing>
              <wp:anchor distT="0" distB="0" distL="114300" distR="114300" simplePos="0" relativeHeight="251659264" behindDoc="0" locked="0" layoutInCell="1" allowOverlap="1" wp14:anchorId="003379D5" wp14:editId="51D585B1">
                <wp:simplePos x="0" y="0"/>
                <wp:positionH relativeFrom="page">
                  <wp:posOffset>0</wp:posOffset>
                </wp:positionH>
                <wp:positionV relativeFrom="paragraph">
                  <wp:posOffset>-908050</wp:posOffset>
                </wp:positionV>
                <wp:extent cx="2159635" cy="11414125"/>
                <wp:effectExtent l="0" t="0" r="0" b="0"/>
                <wp:wrapNone/>
                <wp:docPr id="1" name="Téglalap 1"/>
                <wp:cNvGraphicFramePr/>
                <a:graphic xmlns:a="http://schemas.openxmlformats.org/drawingml/2006/main">
                  <a:graphicData uri="http://schemas.microsoft.com/office/word/2010/wordprocessingShape">
                    <wps:wsp>
                      <wps:cNvSpPr/>
                      <wps:spPr>
                        <a:xfrm>
                          <a:off x="0" y="0"/>
                          <a:ext cx="2159635" cy="11414125"/>
                        </a:xfrm>
                        <a:prstGeom prst="rect">
                          <a:avLst/>
                        </a:prstGeom>
                        <a:solidFill>
                          <a:srgbClr val="0A21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2538" id="Téglalap 1" o:spid="_x0000_s1026" style="position:absolute;margin-left:0;margin-top:-71.5pt;width:170.05pt;height:89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" fillcolor="#0a2146" stroked="f" strokeweight="2pt">
                <w10:wrap anchorx="page"/>
              </v:rect>
            </w:pict>
          </mc:Fallback>
        </mc:AlternateContent>
      </w:r>
      <w:r>
        <w:rPr>
          <w:noProof/>
        </w:rPr>
        <mc:AlternateContent>
          <mc:Choice Requires="wps">
            <w:drawing>
              <wp:anchor distT="45720" distB="45720" distL="114300" distR="114300" simplePos="0" relativeHeight="251664384" behindDoc="0" locked="0" layoutInCell="1" allowOverlap="1" wp14:anchorId="0776C2AE" wp14:editId="721733DF">
                <wp:simplePos x="0" y="0"/>
                <wp:positionH relativeFrom="column">
                  <wp:posOffset>3968750</wp:posOffset>
                </wp:positionH>
                <wp:positionV relativeFrom="paragraph">
                  <wp:posOffset>7745730</wp:posOffset>
                </wp:positionV>
                <wp:extent cx="2360930" cy="1404620"/>
                <wp:effectExtent l="0" t="0" r="0" b="698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6E5794" w14:textId="77777777" w:rsidR="00041F40" w:rsidRPr="002D0F0F" w:rsidRDefault="00041F40" w:rsidP="00041F40">
                            <w:pPr>
                              <w:spacing w:after="0" w:line="240" w:lineRule="auto"/>
                              <w:jc w:val="right"/>
                              <w:rPr>
                                <w:color w:val="0A2146"/>
                                <w:sz w:val="58"/>
                                <w:szCs w:val="58"/>
                              </w:rPr>
                            </w:pPr>
                            <w:r w:rsidRPr="002D0F0F">
                              <w:rPr>
                                <w:color w:val="0A2146"/>
                                <w:sz w:val="58"/>
                                <w:szCs w:val="58"/>
                              </w:rPr>
                              <w:t>20</w:t>
                            </w:r>
                            <w:r>
                              <w:rPr>
                                <w:color w:val="0A2146"/>
                                <w:sz w:val="58"/>
                                <w:szCs w:val="58"/>
                              </w:rPr>
                              <w:t>22</w:t>
                            </w:r>
                          </w:p>
                          <w:p w14:paraId="7722BCE7" w14:textId="7BBA4312" w:rsidR="00041F40" w:rsidRPr="009A5001" w:rsidRDefault="00041F40" w:rsidP="00041F40">
                            <w:pPr>
                              <w:jc w:val="right"/>
                              <w:rPr>
                                <w:rFonts w:cstheme="minorHAnsi"/>
                                <w:spacing w:val="20"/>
                                <w:sz w:val="24"/>
                                <w:szCs w:val="24"/>
                              </w:rPr>
                            </w:pPr>
                            <w:r>
                              <w:rPr>
                                <w:rFonts w:cstheme="minorHAnsi"/>
                                <w:spacing w:val="20"/>
                                <w:sz w:val="24"/>
                                <w:szCs w:val="24"/>
                              </w:rPr>
                              <w:t>AU</w:t>
                            </w:r>
                            <w:r w:rsidR="00A304D5">
                              <w:rPr>
                                <w:rFonts w:cstheme="minorHAnsi"/>
                                <w:spacing w:val="20"/>
                                <w:sz w:val="24"/>
                                <w:szCs w:val="24"/>
                              </w:rPr>
                              <w:t>GU</w:t>
                            </w:r>
                            <w:r>
                              <w:rPr>
                                <w:rFonts w:cstheme="minorHAnsi"/>
                                <w:spacing w:val="20"/>
                                <w:sz w:val="24"/>
                                <w:szCs w:val="24"/>
                              </w:rPr>
                              <w:t>SZTUS</w:t>
                            </w:r>
                            <w:r w:rsidRPr="009A5001">
                              <w:rPr>
                                <w:rFonts w:cstheme="minorHAnsi"/>
                                <w:spacing w:val="20"/>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76C2AE" id="_x0000_t202" coordsize="21600,21600" o:spt="202" path="m,l,21600r21600,l21600,xe">
                <v:stroke joinstyle="miter"/>
                <v:path gradientshapeok="t" o:connecttype="rect"/>
              </v:shapetype>
              <v:shape id="Szövegdoboz 2" o:spid="_x0000_s1026" type="#_x0000_t202" style="position:absolute;left:0;text-align:left;margin-left:312.5pt;margin-top:609.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" stroked="f">
                <v:textbox style="mso-fit-shape-to-text:t">
                  <w:txbxContent>
                    <w:p w14:paraId="6F6E5794" w14:textId="77777777" w:rsidR="00041F40" w:rsidRPr="002D0F0F" w:rsidRDefault="00041F40" w:rsidP="00041F40">
                      <w:pPr>
                        <w:spacing w:after="0" w:line="240" w:lineRule="auto"/>
                        <w:jc w:val="right"/>
                        <w:rPr>
                          <w:color w:val="0A2146"/>
                          <w:sz w:val="58"/>
                          <w:szCs w:val="58"/>
                        </w:rPr>
                      </w:pPr>
                      <w:r w:rsidRPr="002D0F0F">
                        <w:rPr>
                          <w:color w:val="0A2146"/>
                          <w:sz w:val="58"/>
                          <w:szCs w:val="58"/>
                        </w:rPr>
                        <w:t>20</w:t>
                      </w:r>
                      <w:r>
                        <w:rPr>
                          <w:color w:val="0A2146"/>
                          <w:sz w:val="58"/>
                          <w:szCs w:val="58"/>
                        </w:rPr>
                        <w:t>22</w:t>
                      </w:r>
                    </w:p>
                    <w:p w14:paraId="7722BCE7" w14:textId="7BBA4312" w:rsidR="00041F40" w:rsidRPr="009A5001" w:rsidRDefault="00041F40" w:rsidP="00041F40">
                      <w:pPr>
                        <w:jc w:val="right"/>
                        <w:rPr>
                          <w:rFonts w:cstheme="minorHAnsi"/>
                          <w:spacing w:val="20"/>
                          <w:sz w:val="24"/>
                          <w:szCs w:val="24"/>
                        </w:rPr>
                      </w:pPr>
                      <w:r>
                        <w:rPr>
                          <w:rFonts w:cstheme="minorHAnsi"/>
                          <w:spacing w:val="20"/>
                          <w:sz w:val="24"/>
                          <w:szCs w:val="24"/>
                        </w:rPr>
                        <w:t>AU</w:t>
                      </w:r>
                      <w:r w:rsidR="00A304D5">
                        <w:rPr>
                          <w:rFonts w:cstheme="minorHAnsi"/>
                          <w:spacing w:val="20"/>
                          <w:sz w:val="24"/>
                          <w:szCs w:val="24"/>
                        </w:rPr>
                        <w:t>GU</w:t>
                      </w:r>
                      <w:r>
                        <w:rPr>
                          <w:rFonts w:cstheme="minorHAnsi"/>
                          <w:spacing w:val="20"/>
                          <w:sz w:val="24"/>
                          <w:szCs w:val="24"/>
                        </w:rPr>
                        <w:t>SZTUS</w:t>
                      </w:r>
                      <w:r w:rsidRPr="009A5001">
                        <w:rPr>
                          <w:rFonts w:cstheme="minorHAnsi"/>
                          <w:spacing w:val="20"/>
                          <w:sz w:val="24"/>
                          <w:szCs w:val="24"/>
                        </w:rPr>
                        <w:t xml:space="preserve">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F2DE7B8" wp14:editId="1F1F8BD6">
                <wp:simplePos x="0" y="0"/>
                <wp:positionH relativeFrom="column">
                  <wp:posOffset>3059430</wp:posOffset>
                </wp:positionH>
                <wp:positionV relativeFrom="bottomMargin">
                  <wp:posOffset>-1824990</wp:posOffset>
                </wp:positionV>
                <wp:extent cx="3354705" cy="1404620"/>
                <wp:effectExtent l="0" t="0" r="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7D489702" w14:textId="77777777" w:rsidR="00041F40" w:rsidRPr="00CB789B" w:rsidRDefault="00041F40" w:rsidP="00041F40">
                            <w:pPr>
                              <w:jc w:val="right"/>
                              <w:rPr>
                                <w:color w:val="0A2146"/>
                                <w:sz w:val="30"/>
                                <w:szCs w:val="3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DE7B8" id="_x0000_s1027" type="#_x0000_t202" style="position:absolute;left:0;text-align:left;margin-left:240.9pt;margin-top:-143.7pt;width:264.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qEQIAAP4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" stroked="f">
                <v:textbox style="mso-fit-shape-to-text:t">
                  <w:txbxContent>
                    <w:p w14:paraId="7D489702" w14:textId="77777777" w:rsidR="00041F40" w:rsidRPr="00CB789B" w:rsidRDefault="00041F40" w:rsidP="00041F40">
                      <w:pPr>
                        <w:jc w:val="right"/>
                        <w:rPr>
                          <w:color w:val="0A2146"/>
                          <w:sz w:val="30"/>
                          <w:szCs w:val="30"/>
                        </w:rPr>
                      </w:pPr>
                    </w:p>
                  </w:txbxContent>
                </v:textbox>
                <w10:wrap type="square" anchory="margin"/>
              </v:shape>
            </w:pict>
          </mc:Fallback>
        </mc:AlternateContent>
      </w:r>
      <w:r>
        <w:rPr>
          <w:noProof/>
        </w:rPr>
        <mc:AlternateContent>
          <mc:Choice Requires="wps">
            <w:drawing>
              <wp:anchor distT="45720" distB="45720" distL="114300" distR="114300" simplePos="0" relativeHeight="251661312" behindDoc="0" locked="0" layoutInCell="1" allowOverlap="1" wp14:anchorId="18444C50" wp14:editId="0F305C0D">
                <wp:simplePos x="0" y="0"/>
                <wp:positionH relativeFrom="column">
                  <wp:posOffset>2657475</wp:posOffset>
                </wp:positionH>
                <wp:positionV relativeFrom="paragraph">
                  <wp:posOffset>1085215</wp:posOffset>
                </wp:positionV>
                <wp:extent cx="3841115" cy="1029335"/>
                <wp:effectExtent l="0" t="0" r="698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029335"/>
                        </a:xfrm>
                        <a:prstGeom prst="rect">
                          <a:avLst/>
                        </a:prstGeom>
                        <a:solidFill>
                          <a:srgbClr val="FFFFFF"/>
                        </a:solidFill>
                        <a:ln w="9525">
                          <a:noFill/>
                          <a:miter lim="800000"/>
                          <a:headEnd/>
                          <a:tailEnd/>
                        </a:ln>
                      </wps:spPr>
                      <wps:txbx>
                        <w:txbxContent>
                          <w:p w14:paraId="074DC135" w14:textId="77777777" w:rsidR="00041F40" w:rsidRPr="00CB789B" w:rsidRDefault="00041F40" w:rsidP="00041F40">
                            <w:pPr>
                              <w:jc w:val="center"/>
                              <w:rPr>
                                <w:rFonts w:asciiTheme="majorHAnsi" w:hAnsiTheme="majorHAnsi" w:cstheme="majorHAnsi"/>
                                <w:caps/>
                                <w:color w:val="0A2146"/>
                                <w:sz w:val="24"/>
                                <w:szCs w:val="24"/>
                              </w:rPr>
                            </w:pPr>
                          </w:p>
                          <w:p w14:paraId="4CF9CD58" w14:textId="77777777" w:rsidR="00041F40" w:rsidRPr="00CB789B" w:rsidRDefault="00041F40" w:rsidP="00041F40">
                            <w:pPr>
                              <w:rPr>
                                <w:color w:val="0A214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4C50" id="_x0000_s1028" type="#_x0000_t202" style="position:absolute;left:0;text-align:left;margin-left:209.25pt;margin-top:85.45pt;width:302.45pt;height:8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" stroked="f">
                <v:textbox>
                  <w:txbxContent>
                    <w:p w14:paraId="074DC135" w14:textId="77777777" w:rsidR="00041F40" w:rsidRPr="00CB789B" w:rsidRDefault="00041F40" w:rsidP="00041F40">
                      <w:pPr>
                        <w:jc w:val="center"/>
                        <w:rPr>
                          <w:rFonts w:asciiTheme="majorHAnsi" w:hAnsiTheme="majorHAnsi" w:cstheme="majorHAnsi"/>
                          <w:caps/>
                          <w:color w:val="0A2146"/>
                          <w:sz w:val="24"/>
                          <w:szCs w:val="24"/>
                        </w:rPr>
                      </w:pPr>
                    </w:p>
                    <w:p w14:paraId="4CF9CD58" w14:textId="77777777" w:rsidR="00041F40" w:rsidRPr="00CB789B" w:rsidRDefault="00041F40" w:rsidP="00041F40">
                      <w:pPr>
                        <w:rPr>
                          <w:color w:val="0A2146"/>
                        </w:rPr>
                      </w:pPr>
                    </w:p>
                  </w:txbxContent>
                </v:textbox>
                <w10:wrap type="square"/>
              </v:shape>
            </w:pict>
          </mc:Fallback>
        </mc:AlternateContent>
      </w:r>
      <w:r>
        <w:rPr>
          <w:noProof/>
        </w:rPr>
        <w:drawing>
          <wp:anchor distT="0" distB="0" distL="114300" distR="114300" simplePos="0" relativeHeight="251660288" behindDoc="0" locked="0" layoutInCell="1" allowOverlap="1" wp14:anchorId="4D482109" wp14:editId="63282697">
            <wp:simplePos x="0" y="0"/>
            <wp:positionH relativeFrom="column">
              <wp:posOffset>-396240</wp:posOffset>
            </wp:positionH>
            <wp:positionV relativeFrom="paragraph">
              <wp:posOffset>864235</wp:posOffset>
            </wp:positionV>
            <wp:extent cx="1440000" cy="1440000"/>
            <wp:effectExtent l="0" t="0" r="825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747269D8" w14:textId="1E29ECA3" w:rsidR="00041F40" w:rsidRDefault="00041F40">
      <w:pPr>
        <w:spacing w:after="0" w:line="240" w:lineRule="auto"/>
        <w:jc w:val="left"/>
        <w:rPr>
          <w:b/>
          <w:color w:val="12316B" w:themeColor="text2" w:themeTint="E6"/>
          <w:sz w:val="28"/>
          <w:szCs w:val="28"/>
        </w:rPr>
      </w:pPr>
      <w:r>
        <w:rPr>
          <w:noProof/>
        </w:rPr>
        <mc:AlternateContent>
          <mc:Choice Requires="wps">
            <w:drawing>
              <wp:anchor distT="45720" distB="45720" distL="114300" distR="114300" simplePos="0" relativeHeight="251662336" behindDoc="0" locked="0" layoutInCell="1" allowOverlap="1" wp14:anchorId="165D6445" wp14:editId="17DC76BF">
                <wp:simplePos x="0" y="0"/>
                <wp:positionH relativeFrom="column">
                  <wp:posOffset>2484095</wp:posOffset>
                </wp:positionH>
                <wp:positionV relativeFrom="paragraph">
                  <wp:posOffset>2856230</wp:posOffset>
                </wp:positionV>
                <wp:extent cx="3699510" cy="1382395"/>
                <wp:effectExtent l="0" t="0" r="0" b="8255"/>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382395"/>
                        </a:xfrm>
                        <a:prstGeom prst="rect">
                          <a:avLst/>
                        </a:prstGeom>
                        <a:solidFill>
                          <a:srgbClr val="FFFFFF"/>
                        </a:solidFill>
                        <a:ln w="9525">
                          <a:noFill/>
                          <a:miter lim="800000"/>
                          <a:headEnd/>
                          <a:tailEnd/>
                        </a:ln>
                      </wps:spPr>
                      <wps:txbx>
                        <w:txbxContent>
                          <w:p w14:paraId="201BD4C1" w14:textId="77777777" w:rsidR="00041F40" w:rsidRPr="00CB789B" w:rsidRDefault="00041F40" w:rsidP="00041F40">
                            <w:pPr>
                              <w:jc w:val="center"/>
                              <w:rPr>
                                <w:color w:val="0A2146"/>
                                <w:sz w:val="50"/>
                                <w:szCs w:val="50"/>
                              </w:rPr>
                            </w:pPr>
                            <w:r w:rsidRPr="00BB5E1D">
                              <w:rPr>
                                <w:color w:val="0A2146"/>
                                <w:sz w:val="50"/>
                                <w:szCs w:val="50"/>
                              </w:rPr>
                              <w:t xml:space="preserve">A MAGYAR NEMZETI BANK </w:t>
                            </w:r>
                            <w:proofErr w:type="spellStart"/>
                            <w:r w:rsidRPr="00BB5E1D">
                              <w:rPr>
                                <w:color w:val="0A2146"/>
                                <w:sz w:val="50"/>
                                <w:szCs w:val="50"/>
                              </w:rPr>
                              <w:t>SZEKTORÁLIS</w:t>
                            </w:r>
                            <w:proofErr w:type="spellEnd"/>
                            <w:r w:rsidRPr="00BB5E1D">
                              <w:rPr>
                                <w:color w:val="0A2146"/>
                                <w:sz w:val="50"/>
                                <w:szCs w:val="50"/>
                              </w:rPr>
                              <w:t xml:space="preserve"> KOCKÁZATÉRTÉKELÉSE</w:t>
                            </w:r>
                          </w:p>
                          <w:p w14:paraId="66BDABAE" w14:textId="77777777" w:rsidR="00041F40" w:rsidRPr="00CB789B" w:rsidRDefault="00041F40" w:rsidP="00041F40">
                            <w:pPr>
                              <w:jc w:val="right"/>
                              <w:rPr>
                                <w:color w:val="0A2146"/>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D6445" id="_x0000_s1029" type="#_x0000_t202" style="position:absolute;margin-left:195.6pt;margin-top:224.9pt;width:291.3pt;height:10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" stroked="f">
                <v:textbox>
                  <w:txbxContent>
                    <w:p w14:paraId="201BD4C1" w14:textId="77777777" w:rsidR="00041F40" w:rsidRPr="00CB789B" w:rsidRDefault="00041F40" w:rsidP="00041F40">
                      <w:pPr>
                        <w:jc w:val="center"/>
                        <w:rPr>
                          <w:color w:val="0A2146"/>
                          <w:sz w:val="50"/>
                          <w:szCs w:val="50"/>
                        </w:rPr>
                      </w:pPr>
                      <w:r w:rsidRPr="00BB5E1D">
                        <w:rPr>
                          <w:color w:val="0A2146"/>
                          <w:sz w:val="50"/>
                          <w:szCs w:val="50"/>
                        </w:rPr>
                        <w:t xml:space="preserve">A MAGYAR NEMZETI BANK </w:t>
                      </w:r>
                      <w:proofErr w:type="spellStart"/>
                      <w:r w:rsidRPr="00BB5E1D">
                        <w:rPr>
                          <w:color w:val="0A2146"/>
                          <w:sz w:val="50"/>
                          <w:szCs w:val="50"/>
                        </w:rPr>
                        <w:t>SZEKTORÁLIS</w:t>
                      </w:r>
                      <w:proofErr w:type="spellEnd"/>
                      <w:r w:rsidRPr="00BB5E1D">
                        <w:rPr>
                          <w:color w:val="0A2146"/>
                          <w:sz w:val="50"/>
                          <w:szCs w:val="50"/>
                        </w:rPr>
                        <w:t xml:space="preserve"> KOCKÁZATÉRTÉKELÉSE</w:t>
                      </w:r>
                    </w:p>
                    <w:p w14:paraId="66BDABAE" w14:textId="77777777" w:rsidR="00041F40" w:rsidRPr="00CB789B" w:rsidRDefault="00041F40" w:rsidP="00041F40">
                      <w:pPr>
                        <w:jc w:val="right"/>
                        <w:rPr>
                          <w:color w:val="0A2146"/>
                          <w:sz w:val="50"/>
                          <w:szCs w:val="50"/>
                        </w:rPr>
                      </w:pPr>
                    </w:p>
                  </w:txbxContent>
                </v:textbox>
                <w10:wrap type="square"/>
              </v:shape>
            </w:pict>
          </mc:Fallback>
        </mc:AlternateContent>
      </w:r>
      <w:r>
        <w:rPr>
          <w:b/>
          <w:color w:val="12316B" w:themeColor="text2" w:themeTint="E6"/>
          <w:sz w:val="28"/>
          <w:szCs w:val="28"/>
        </w:rPr>
        <w:br w:type="page"/>
      </w:r>
    </w:p>
    <w:sdt>
      <w:sdtPr>
        <w:rPr>
          <w:rFonts w:eastAsiaTheme="minorHAnsi" w:cstheme="minorBidi"/>
          <w:bCs w:val="0"/>
          <w:color w:val="auto"/>
          <w:sz w:val="20"/>
          <w:szCs w:val="20"/>
        </w:rPr>
        <w:id w:val="1260712129"/>
        <w:docPartObj>
          <w:docPartGallery w:val="Table of Contents"/>
          <w:docPartUnique/>
        </w:docPartObj>
      </w:sdtPr>
      <w:sdtEndPr>
        <w:rPr>
          <w:b/>
        </w:rPr>
      </w:sdtEndPr>
      <w:sdtContent>
        <w:p w14:paraId="1A206048" w14:textId="3D273E6A" w:rsidR="00041F40" w:rsidRDefault="00041F40">
          <w:pPr>
            <w:pStyle w:val="Tartalomjegyzkcmsora"/>
          </w:pPr>
          <w:r>
            <w:t>Tartalomjegyzék</w:t>
          </w:r>
        </w:p>
        <w:p w14:paraId="309398FD" w14:textId="1B3BFEB2" w:rsidR="00406EFB" w:rsidRDefault="00041F40">
          <w:pPr>
            <w:pStyle w:val="TJ1"/>
            <w:tabs>
              <w:tab w:val="right" w:leader="dot" w:pos="9514"/>
            </w:tabs>
            <w:rPr>
              <w:rFonts w:asciiTheme="minorHAnsi" w:hAnsiTheme="minorHAnsi"/>
              <w:noProof/>
              <w:sz w:val="22"/>
              <w:szCs w:val="22"/>
            </w:rPr>
          </w:pPr>
          <w:r>
            <w:fldChar w:fldCharType="begin"/>
          </w:r>
          <w:r>
            <w:instrText xml:space="preserve"> TOC \o "1-3" \h \z \u </w:instrText>
          </w:r>
          <w:r>
            <w:fldChar w:fldCharType="separate"/>
          </w:r>
          <w:hyperlink w:anchor="_Toc109906003" w:history="1">
            <w:r w:rsidR="00406EFB" w:rsidRPr="0039194C">
              <w:rPr>
                <w:rStyle w:val="Hiperhivatkozs"/>
                <w:noProof/>
              </w:rPr>
              <w:t>1. Bevezetés</w:t>
            </w:r>
            <w:r w:rsidR="00406EFB">
              <w:rPr>
                <w:noProof/>
                <w:webHidden/>
              </w:rPr>
              <w:tab/>
            </w:r>
            <w:r w:rsidR="00406EFB">
              <w:rPr>
                <w:noProof/>
                <w:webHidden/>
              </w:rPr>
              <w:fldChar w:fldCharType="begin"/>
            </w:r>
            <w:r w:rsidR="00406EFB">
              <w:rPr>
                <w:noProof/>
                <w:webHidden/>
              </w:rPr>
              <w:instrText xml:space="preserve"> PAGEREF _Toc109906003 \h </w:instrText>
            </w:r>
            <w:r w:rsidR="00406EFB">
              <w:rPr>
                <w:noProof/>
                <w:webHidden/>
              </w:rPr>
            </w:r>
            <w:r w:rsidR="00406EFB">
              <w:rPr>
                <w:noProof/>
                <w:webHidden/>
              </w:rPr>
              <w:fldChar w:fldCharType="separate"/>
            </w:r>
            <w:r w:rsidR="00406EFB">
              <w:rPr>
                <w:noProof/>
                <w:webHidden/>
              </w:rPr>
              <w:t>5</w:t>
            </w:r>
            <w:r w:rsidR="00406EFB">
              <w:rPr>
                <w:noProof/>
                <w:webHidden/>
              </w:rPr>
              <w:fldChar w:fldCharType="end"/>
            </w:r>
          </w:hyperlink>
        </w:p>
        <w:p w14:paraId="2960EBDE" w14:textId="794BFC68" w:rsidR="00406EFB" w:rsidRDefault="005A24F5">
          <w:pPr>
            <w:pStyle w:val="TJ1"/>
            <w:tabs>
              <w:tab w:val="right" w:leader="dot" w:pos="9514"/>
            </w:tabs>
            <w:rPr>
              <w:rFonts w:asciiTheme="minorHAnsi" w:hAnsiTheme="minorHAnsi"/>
              <w:noProof/>
              <w:sz w:val="22"/>
              <w:szCs w:val="22"/>
            </w:rPr>
          </w:pPr>
          <w:hyperlink w:anchor="_Toc109906004" w:history="1">
            <w:r w:rsidR="00406EFB" w:rsidRPr="0039194C">
              <w:rPr>
                <w:rStyle w:val="Hiperhivatkozs"/>
                <w:noProof/>
              </w:rPr>
              <w:t>2. A Pandémia és az orosz-ukrán konfliktus hatásai</w:t>
            </w:r>
            <w:r w:rsidR="00406EFB">
              <w:rPr>
                <w:noProof/>
                <w:webHidden/>
              </w:rPr>
              <w:tab/>
            </w:r>
            <w:r w:rsidR="00406EFB">
              <w:rPr>
                <w:noProof/>
                <w:webHidden/>
              </w:rPr>
              <w:fldChar w:fldCharType="begin"/>
            </w:r>
            <w:r w:rsidR="00406EFB">
              <w:rPr>
                <w:noProof/>
                <w:webHidden/>
              </w:rPr>
              <w:instrText xml:space="preserve"> PAGEREF _Toc109906004 \h </w:instrText>
            </w:r>
            <w:r w:rsidR="00406EFB">
              <w:rPr>
                <w:noProof/>
                <w:webHidden/>
              </w:rPr>
            </w:r>
            <w:r w:rsidR="00406EFB">
              <w:rPr>
                <w:noProof/>
                <w:webHidden/>
              </w:rPr>
              <w:fldChar w:fldCharType="separate"/>
            </w:r>
            <w:r w:rsidR="00406EFB">
              <w:rPr>
                <w:noProof/>
                <w:webHidden/>
              </w:rPr>
              <w:t>6</w:t>
            </w:r>
            <w:r w:rsidR="00406EFB">
              <w:rPr>
                <w:noProof/>
                <w:webHidden/>
              </w:rPr>
              <w:fldChar w:fldCharType="end"/>
            </w:r>
          </w:hyperlink>
        </w:p>
        <w:p w14:paraId="064561D8" w14:textId="47D563B2" w:rsidR="00406EFB" w:rsidRDefault="005A24F5">
          <w:pPr>
            <w:pStyle w:val="TJ1"/>
            <w:tabs>
              <w:tab w:val="right" w:leader="dot" w:pos="9514"/>
            </w:tabs>
            <w:rPr>
              <w:rFonts w:asciiTheme="minorHAnsi" w:hAnsiTheme="minorHAnsi"/>
              <w:noProof/>
              <w:sz w:val="22"/>
              <w:szCs w:val="22"/>
            </w:rPr>
          </w:pPr>
          <w:hyperlink w:anchor="_Toc109906005" w:history="1">
            <w:r w:rsidR="00406EFB" w:rsidRPr="0039194C">
              <w:rPr>
                <w:rStyle w:val="Hiperhivatkozs"/>
                <w:noProof/>
              </w:rPr>
              <w:t>3. Kockázatértékelés</w:t>
            </w:r>
            <w:r w:rsidR="00406EFB">
              <w:rPr>
                <w:noProof/>
                <w:webHidden/>
              </w:rPr>
              <w:tab/>
            </w:r>
            <w:r w:rsidR="00406EFB">
              <w:rPr>
                <w:noProof/>
                <w:webHidden/>
              </w:rPr>
              <w:fldChar w:fldCharType="begin"/>
            </w:r>
            <w:r w:rsidR="00406EFB">
              <w:rPr>
                <w:noProof/>
                <w:webHidden/>
              </w:rPr>
              <w:instrText xml:space="preserve"> PAGEREF _Toc109906005 \h </w:instrText>
            </w:r>
            <w:r w:rsidR="00406EFB">
              <w:rPr>
                <w:noProof/>
                <w:webHidden/>
              </w:rPr>
            </w:r>
            <w:r w:rsidR="00406EFB">
              <w:rPr>
                <w:noProof/>
                <w:webHidden/>
              </w:rPr>
              <w:fldChar w:fldCharType="separate"/>
            </w:r>
            <w:r w:rsidR="00406EFB">
              <w:rPr>
                <w:noProof/>
                <w:webHidden/>
              </w:rPr>
              <w:t>7</w:t>
            </w:r>
            <w:r w:rsidR="00406EFB">
              <w:rPr>
                <w:noProof/>
                <w:webHidden/>
              </w:rPr>
              <w:fldChar w:fldCharType="end"/>
            </w:r>
          </w:hyperlink>
        </w:p>
        <w:p w14:paraId="2EC745CE" w14:textId="20B34761" w:rsidR="00406EFB" w:rsidRDefault="005A24F5">
          <w:pPr>
            <w:pStyle w:val="TJ2"/>
            <w:tabs>
              <w:tab w:val="right" w:leader="dot" w:pos="9514"/>
            </w:tabs>
            <w:rPr>
              <w:rFonts w:asciiTheme="minorHAnsi" w:hAnsiTheme="minorHAnsi"/>
              <w:noProof/>
              <w:sz w:val="22"/>
              <w:szCs w:val="22"/>
            </w:rPr>
          </w:pPr>
          <w:hyperlink w:anchor="_Toc109906006" w:history="1">
            <w:r w:rsidR="00406EFB" w:rsidRPr="0039194C">
              <w:rPr>
                <w:rStyle w:val="Hiperhivatkozs"/>
                <w:noProof/>
              </w:rPr>
              <w:t>3.1. Hitelintézeti szektor</w:t>
            </w:r>
            <w:r w:rsidR="00406EFB">
              <w:rPr>
                <w:noProof/>
                <w:webHidden/>
              </w:rPr>
              <w:tab/>
            </w:r>
            <w:r w:rsidR="00406EFB">
              <w:rPr>
                <w:noProof/>
                <w:webHidden/>
              </w:rPr>
              <w:fldChar w:fldCharType="begin"/>
            </w:r>
            <w:r w:rsidR="00406EFB">
              <w:rPr>
                <w:noProof/>
                <w:webHidden/>
              </w:rPr>
              <w:instrText xml:space="preserve"> PAGEREF _Toc109906006 \h </w:instrText>
            </w:r>
            <w:r w:rsidR="00406EFB">
              <w:rPr>
                <w:noProof/>
                <w:webHidden/>
              </w:rPr>
            </w:r>
            <w:r w:rsidR="00406EFB">
              <w:rPr>
                <w:noProof/>
                <w:webHidden/>
              </w:rPr>
              <w:fldChar w:fldCharType="separate"/>
            </w:r>
            <w:r w:rsidR="00406EFB">
              <w:rPr>
                <w:noProof/>
                <w:webHidden/>
              </w:rPr>
              <w:t>7</w:t>
            </w:r>
            <w:r w:rsidR="00406EFB">
              <w:rPr>
                <w:noProof/>
                <w:webHidden/>
              </w:rPr>
              <w:fldChar w:fldCharType="end"/>
            </w:r>
          </w:hyperlink>
        </w:p>
        <w:p w14:paraId="2DCDBB5D" w14:textId="19EEA3F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07"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_Toc109906007 \h </w:instrText>
            </w:r>
            <w:r w:rsidR="00406EFB">
              <w:rPr>
                <w:noProof/>
                <w:webHidden/>
              </w:rPr>
            </w:r>
            <w:r w:rsidR="00406EFB">
              <w:rPr>
                <w:noProof/>
                <w:webHidden/>
              </w:rPr>
              <w:fldChar w:fldCharType="separate"/>
            </w:r>
            <w:r w:rsidR="00406EFB">
              <w:rPr>
                <w:noProof/>
                <w:webHidden/>
              </w:rPr>
              <w:t>7</w:t>
            </w:r>
            <w:r w:rsidR="00406EFB">
              <w:rPr>
                <w:noProof/>
                <w:webHidden/>
              </w:rPr>
              <w:fldChar w:fldCharType="end"/>
            </w:r>
          </w:hyperlink>
        </w:p>
        <w:p w14:paraId="4899BC38" w14:textId="3DF34E0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08"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_Toc109906008 \h </w:instrText>
            </w:r>
            <w:r w:rsidR="00406EFB">
              <w:rPr>
                <w:noProof/>
                <w:webHidden/>
              </w:rPr>
            </w:r>
            <w:r w:rsidR="00406EFB">
              <w:rPr>
                <w:noProof/>
                <w:webHidden/>
              </w:rPr>
              <w:fldChar w:fldCharType="separate"/>
            </w:r>
            <w:r w:rsidR="00406EFB">
              <w:rPr>
                <w:noProof/>
                <w:webHidden/>
              </w:rPr>
              <w:t>7</w:t>
            </w:r>
            <w:r w:rsidR="00406EFB">
              <w:rPr>
                <w:noProof/>
                <w:webHidden/>
              </w:rPr>
              <w:fldChar w:fldCharType="end"/>
            </w:r>
          </w:hyperlink>
        </w:p>
        <w:p w14:paraId="4CD69D97" w14:textId="20FF75C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09"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_Toc109906009 \h </w:instrText>
            </w:r>
            <w:r w:rsidR="00406EFB">
              <w:rPr>
                <w:noProof/>
                <w:webHidden/>
              </w:rPr>
            </w:r>
            <w:r w:rsidR="00406EFB">
              <w:rPr>
                <w:noProof/>
                <w:webHidden/>
              </w:rPr>
              <w:fldChar w:fldCharType="separate"/>
            </w:r>
            <w:r w:rsidR="00406EFB">
              <w:rPr>
                <w:noProof/>
                <w:webHidden/>
              </w:rPr>
              <w:t>9</w:t>
            </w:r>
            <w:r w:rsidR="00406EFB">
              <w:rPr>
                <w:noProof/>
                <w:webHidden/>
              </w:rPr>
              <w:fldChar w:fldCharType="end"/>
            </w:r>
          </w:hyperlink>
        </w:p>
        <w:p w14:paraId="60687D40" w14:textId="05ECF5A9"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0"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_Toc109906010 \h </w:instrText>
            </w:r>
            <w:r w:rsidR="00406EFB">
              <w:rPr>
                <w:noProof/>
                <w:webHidden/>
              </w:rPr>
            </w:r>
            <w:r w:rsidR="00406EFB">
              <w:rPr>
                <w:noProof/>
                <w:webHidden/>
              </w:rPr>
              <w:fldChar w:fldCharType="separate"/>
            </w:r>
            <w:r w:rsidR="00406EFB">
              <w:rPr>
                <w:noProof/>
                <w:webHidden/>
              </w:rPr>
              <w:t>9</w:t>
            </w:r>
            <w:r w:rsidR="00406EFB">
              <w:rPr>
                <w:noProof/>
                <w:webHidden/>
              </w:rPr>
              <w:fldChar w:fldCharType="end"/>
            </w:r>
          </w:hyperlink>
        </w:p>
        <w:p w14:paraId="2399E076" w14:textId="720BA3FB"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1"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_Toc109906011 \h </w:instrText>
            </w:r>
            <w:r w:rsidR="00406EFB">
              <w:rPr>
                <w:noProof/>
                <w:webHidden/>
              </w:rPr>
            </w:r>
            <w:r w:rsidR="00406EFB">
              <w:rPr>
                <w:noProof/>
                <w:webHidden/>
              </w:rPr>
              <w:fldChar w:fldCharType="separate"/>
            </w:r>
            <w:r w:rsidR="00406EFB">
              <w:rPr>
                <w:noProof/>
                <w:webHidden/>
              </w:rPr>
              <w:t>10</w:t>
            </w:r>
            <w:r w:rsidR="00406EFB">
              <w:rPr>
                <w:noProof/>
                <w:webHidden/>
              </w:rPr>
              <w:fldChar w:fldCharType="end"/>
            </w:r>
          </w:hyperlink>
        </w:p>
        <w:p w14:paraId="6144CB08" w14:textId="1529F128"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2"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Alszektorok</w:t>
            </w:r>
            <w:r w:rsidR="00406EFB">
              <w:rPr>
                <w:noProof/>
                <w:webHidden/>
              </w:rPr>
              <w:tab/>
            </w:r>
            <w:r w:rsidR="00406EFB">
              <w:rPr>
                <w:noProof/>
                <w:webHidden/>
              </w:rPr>
              <w:fldChar w:fldCharType="begin"/>
            </w:r>
            <w:r w:rsidR="00406EFB">
              <w:rPr>
                <w:noProof/>
                <w:webHidden/>
              </w:rPr>
              <w:instrText xml:space="preserve"> PAGEREF _Toc109906012 \h </w:instrText>
            </w:r>
            <w:r w:rsidR="00406EFB">
              <w:rPr>
                <w:noProof/>
                <w:webHidden/>
              </w:rPr>
            </w:r>
            <w:r w:rsidR="00406EFB">
              <w:rPr>
                <w:noProof/>
                <w:webHidden/>
              </w:rPr>
              <w:fldChar w:fldCharType="separate"/>
            </w:r>
            <w:r w:rsidR="00406EFB">
              <w:rPr>
                <w:noProof/>
                <w:webHidden/>
              </w:rPr>
              <w:t>10</w:t>
            </w:r>
            <w:r w:rsidR="00406EFB">
              <w:rPr>
                <w:noProof/>
                <w:webHidden/>
              </w:rPr>
              <w:fldChar w:fldCharType="end"/>
            </w:r>
          </w:hyperlink>
        </w:p>
        <w:p w14:paraId="272DECA4" w14:textId="3CF24C8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3" w:history="1">
            <w:r w:rsidR="00406EFB" w:rsidRPr="0039194C">
              <w:rPr>
                <w:rStyle w:val="Hiperhivatkozs"/>
                <w:noProof/>
              </w:rPr>
              <w:t>7.</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_Toc109906013 \h </w:instrText>
            </w:r>
            <w:r w:rsidR="00406EFB">
              <w:rPr>
                <w:noProof/>
                <w:webHidden/>
              </w:rPr>
            </w:r>
            <w:r w:rsidR="00406EFB">
              <w:rPr>
                <w:noProof/>
                <w:webHidden/>
              </w:rPr>
              <w:fldChar w:fldCharType="separate"/>
            </w:r>
            <w:r w:rsidR="00406EFB">
              <w:rPr>
                <w:noProof/>
                <w:webHidden/>
              </w:rPr>
              <w:t>11</w:t>
            </w:r>
            <w:r w:rsidR="00406EFB">
              <w:rPr>
                <w:noProof/>
                <w:webHidden/>
              </w:rPr>
              <w:fldChar w:fldCharType="end"/>
            </w:r>
          </w:hyperlink>
        </w:p>
        <w:p w14:paraId="27DC1749" w14:textId="7822D15F" w:rsidR="00406EFB" w:rsidRDefault="005A24F5">
          <w:pPr>
            <w:pStyle w:val="TJ2"/>
            <w:tabs>
              <w:tab w:val="right" w:leader="dot" w:pos="9514"/>
            </w:tabs>
            <w:rPr>
              <w:rFonts w:asciiTheme="minorHAnsi" w:hAnsiTheme="minorHAnsi"/>
              <w:noProof/>
              <w:sz w:val="22"/>
              <w:szCs w:val="22"/>
            </w:rPr>
          </w:pPr>
          <w:hyperlink w:anchor="_Toc109906014" w:history="1">
            <w:r w:rsidR="00406EFB" w:rsidRPr="0039194C">
              <w:rPr>
                <w:rStyle w:val="Hiperhivatkozs"/>
                <w:noProof/>
              </w:rPr>
              <w:t>3.2. Pénzforgalmi intézményi szektor</w:t>
            </w:r>
            <w:r w:rsidR="00406EFB">
              <w:rPr>
                <w:noProof/>
                <w:webHidden/>
              </w:rPr>
              <w:tab/>
            </w:r>
            <w:r w:rsidR="00406EFB">
              <w:rPr>
                <w:noProof/>
                <w:webHidden/>
              </w:rPr>
              <w:fldChar w:fldCharType="begin"/>
            </w:r>
            <w:r w:rsidR="00406EFB">
              <w:rPr>
                <w:noProof/>
                <w:webHidden/>
              </w:rPr>
              <w:instrText xml:space="preserve"> PAGEREF _Toc109906014 \h </w:instrText>
            </w:r>
            <w:r w:rsidR="00406EFB">
              <w:rPr>
                <w:noProof/>
                <w:webHidden/>
              </w:rPr>
            </w:r>
            <w:r w:rsidR="00406EFB">
              <w:rPr>
                <w:noProof/>
                <w:webHidden/>
              </w:rPr>
              <w:fldChar w:fldCharType="separate"/>
            </w:r>
            <w:r w:rsidR="00406EFB">
              <w:rPr>
                <w:noProof/>
                <w:webHidden/>
              </w:rPr>
              <w:t>11</w:t>
            </w:r>
            <w:r w:rsidR="00406EFB">
              <w:rPr>
                <w:noProof/>
                <w:webHidden/>
              </w:rPr>
              <w:fldChar w:fldCharType="end"/>
            </w:r>
          </w:hyperlink>
        </w:p>
        <w:p w14:paraId="41761ED7" w14:textId="33DC935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5"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_Toc109906015 \h </w:instrText>
            </w:r>
            <w:r w:rsidR="00406EFB">
              <w:rPr>
                <w:noProof/>
                <w:webHidden/>
              </w:rPr>
            </w:r>
            <w:r w:rsidR="00406EFB">
              <w:rPr>
                <w:noProof/>
                <w:webHidden/>
              </w:rPr>
              <w:fldChar w:fldCharType="separate"/>
            </w:r>
            <w:r w:rsidR="00406EFB">
              <w:rPr>
                <w:noProof/>
                <w:webHidden/>
              </w:rPr>
              <w:t>11</w:t>
            </w:r>
            <w:r w:rsidR="00406EFB">
              <w:rPr>
                <w:noProof/>
                <w:webHidden/>
              </w:rPr>
              <w:fldChar w:fldCharType="end"/>
            </w:r>
          </w:hyperlink>
        </w:p>
        <w:p w14:paraId="6B89F758" w14:textId="73CAFC1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6"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_Toc109906016 \h </w:instrText>
            </w:r>
            <w:r w:rsidR="00406EFB">
              <w:rPr>
                <w:noProof/>
                <w:webHidden/>
              </w:rPr>
            </w:r>
            <w:r w:rsidR="00406EFB">
              <w:rPr>
                <w:noProof/>
                <w:webHidden/>
              </w:rPr>
              <w:fldChar w:fldCharType="separate"/>
            </w:r>
            <w:r w:rsidR="00406EFB">
              <w:rPr>
                <w:noProof/>
                <w:webHidden/>
              </w:rPr>
              <w:t>12</w:t>
            </w:r>
            <w:r w:rsidR="00406EFB">
              <w:rPr>
                <w:noProof/>
                <w:webHidden/>
              </w:rPr>
              <w:fldChar w:fldCharType="end"/>
            </w:r>
          </w:hyperlink>
        </w:p>
        <w:p w14:paraId="26E2D19F" w14:textId="3313EC7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7"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_Toc109906017 \h </w:instrText>
            </w:r>
            <w:r w:rsidR="00406EFB">
              <w:rPr>
                <w:noProof/>
                <w:webHidden/>
              </w:rPr>
            </w:r>
            <w:r w:rsidR="00406EFB">
              <w:rPr>
                <w:noProof/>
                <w:webHidden/>
              </w:rPr>
              <w:fldChar w:fldCharType="separate"/>
            </w:r>
            <w:r w:rsidR="00406EFB">
              <w:rPr>
                <w:noProof/>
                <w:webHidden/>
              </w:rPr>
              <w:t>13</w:t>
            </w:r>
            <w:r w:rsidR="00406EFB">
              <w:rPr>
                <w:noProof/>
                <w:webHidden/>
              </w:rPr>
              <w:fldChar w:fldCharType="end"/>
            </w:r>
          </w:hyperlink>
        </w:p>
        <w:p w14:paraId="669094E7" w14:textId="4B8113FD"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8"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_Toc109906018 \h </w:instrText>
            </w:r>
            <w:r w:rsidR="00406EFB">
              <w:rPr>
                <w:noProof/>
                <w:webHidden/>
              </w:rPr>
            </w:r>
            <w:r w:rsidR="00406EFB">
              <w:rPr>
                <w:noProof/>
                <w:webHidden/>
              </w:rPr>
              <w:fldChar w:fldCharType="separate"/>
            </w:r>
            <w:r w:rsidR="00406EFB">
              <w:rPr>
                <w:noProof/>
                <w:webHidden/>
              </w:rPr>
              <w:t>14</w:t>
            </w:r>
            <w:r w:rsidR="00406EFB">
              <w:rPr>
                <w:noProof/>
                <w:webHidden/>
              </w:rPr>
              <w:fldChar w:fldCharType="end"/>
            </w:r>
          </w:hyperlink>
        </w:p>
        <w:p w14:paraId="53AD6172" w14:textId="7CE4368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19"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_Toc109906019 \h </w:instrText>
            </w:r>
            <w:r w:rsidR="00406EFB">
              <w:rPr>
                <w:noProof/>
                <w:webHidden/>
              </w:rPr>
            </w:r>
            <w:r w:rsidR="00406EFB">
              <w:rPr>
                <w:noProof/>
                <w:webHidden/>
              </w:rPr>
              <w:fldChar w:fldCharType="separate"/>
            </w:r>
            <w:r w:rsidR="00406EFB">
              <w:rPr>
                <w:noProof/>
                <w:webHidden/>
              </w:rPr>
              <w:t>14</w:t>
            </w:r>
            <w:r w:rsidR="00406EFB">
              <w:rPr>
                <w:noProof/>
                <w:webHidden/>
              </w:rPr>
              <w:fldChar w:fldCharType="end"/>
            </w:r>
          </w:hyperlink>
        </w:p>
        <w:p w14:paraId="3D803219" w14:textId="735B7CAB"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0"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Alszektorok</w:t>
            </w:r>
            <w:r w:rsidR="00406EFB">
              <w:rPr>
                <w:noProof/>
                <w:webHidden/>
              </w:rPr>
              <w:tab/>
            </w:r>
            <w:r w:rsidR="00406EFB">
              <w:rPr>
                <w:noProof/>
                <w:webHidden/>
              </w:rPr>
              <w:fldChar w:fldCharType="begin"/>
            </w:r>
            <w:r w:rsidR="00406EFB">
              <w:rPr>
                <w:noProof/>
                <w:webHidden/>
              </w:rPr>
              <w:instrText xml:space="preserve"> PAGEREF _Toc109906020 \h </w:instrText>
            </w:r>
            <w:r w:rsidR="00406EFB">
              <w:rPr>
                <w:noProof/>
                <w:webHidden/>
              </w:rPr>
            </w:r>
            <w:r w:rsidR="00406EFB">
              <w:rPr>
                <w:noProof/>
                <w:webHidden/>
              </w:rPr>
              <w:fldChar w:fldCharType="separate"/>
            </w:r>
            <w:r w:rsidR="00406EFB">
              <w:rPr>
                <w:noProof/>
                <w:webHidden/>
              </w:rPr>
              <w:t>14</w:t>
            </w:r>
            <w:r w:rsidR="00406EFB">
              <w:rPr>
                <w:noProof/>
                <w:webHidden/>
              </w:rPr>
              <w:fldChar w:fldCharType="end"/>
            </w:r>
          </w:hyperlink>
        </w:p>
        <w:p w14:paraId="7A0EC132" w14:textId="19BFA407"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1" w:history="1">
            <w:r w:rsidR="00406EFB" w:rsidRPr="0039194C">
              <w:rPr>
                <w:rStyle w:val="Hiperhivatkozs"/>
                <w:noProof/>
              </w:rPr>
              <w:t>7.</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_Toc109906021 \h </w:instrText>
            </w:r>
            <w:r w:rsidR="00406EFB">
              <w:rPr>
                <w:noProof/>
                <w:webHidden/>
              </w:rPr>
            </w:r>
            <w:r w:rsidR="00406EFB">
              <w:rPr>
                <w:noProof/>
                <w:webHidden/>
              </w:rPr>
              <w:fldChar w:fldCharType="separate"/>
            </w:r>
            <w:r w:rsidR="00406EFB">
              <w:rPr>
                <w:noProof/>
                <w:webHidden/>
              </w:rPr>
              <w:t>15</w:t>
            </w:r>
            <w:r w:rsidR="00406EFB">
              <w:rPr>
                <w:noProof/>
                <w:webHidden/>
              </w:rPr>
              <w:fldChar w:fldCharType="end"/>
            </w:r>
          </w:hyperlink>
        </w:p>
        <w:p w14:paraId="23168C62" w14:textId="2779E688" w:rsidR="00406EFB" w:rsidRDefault="005A24F5">
          <w:pPr>
            <w:pStyle w:val="TJ2"/>
            <w:tabs>
              <w:tab w:val="right" w:leader="dot" w:pos="9514"/>
            </w:tabs>
            <w:rPr>
              <w:rFonts w:asciiTheme="minorHAnsi" w:hAnsiTheme="minorHAnsi"/>
              <w:noProof/>
              <w:sz w:val="22"/>
              <w:szCs w:val="22"/>
            </w:rPr>
          </w:pPr>
          <w:hyperlink w:anchor="_Toc109906022" w:history="1">
            <w:r w:rsidR="00406EFB" w:rsidRPr="0039194C">
              <w:rPr>
                <w:rStyle w:val="Hiperhivatkozs"/>
                <w:noProof/>
              </w:rPr>
              <w:t>3.3. Elektronikuspénz-kibocsátó szolgáltatói szektor</w:t>
            </w:r>
            <w:r w:rsidR="00406EFB">
              <w:rPr>
                <w:noProof/>
                <w:webHidden/>
              </w:rPr>
              <w:tab/>
            </w:r>
            <w:r w:rsidR="00406EFB">
              <w:rPr>
                <w:noProof/>
                <w:webHidden/>
              </w:rPr>
              <w:fldChar w:fldCharType="begin"/>
            </w:r>
            <w:r w:rsidR="00406EFB">
              <w:rPr>
                <w:noProof/>
                <w:webHidden/>
              </w:rPr>
              <w:instrText xml:space="preserve"> PAGEREF _Toc109906022 \h </w:instrText>
            </w:r>
            <w:r w:rsidR="00406EFB">
              <w:rPr>
                <w:noProof/>
                <w:webHidden/>
              </w:rPr>
            </w:r>
            <w:r w:rsidR="00406EFB">
              <w:rPr>
                <w:noProof/>
                <w:webHidden/>
              </w:rPr>
              <w:fldChar w:fldCharType="separate"/>
            </w:r>
            <w:r w:rsidR="00406EFB">
              <w:rPr>
                <w:noProof/>
                <w:webHidden/>
              </w:rPr>
              <w:t>16</w:t>
            </w:r>
            <w:r w:rsidR="00406EFB">
              <w:rPr>
                <w:noProof/>
                <w:webHidden/>
              </w:rPr>
              <w:fldChar w:fldCharType="end"/>
            </w:r>
          </w:hyperlink>
        </w:p>
        <w:p w14:paraId="331450C3" w14:textId="69AB760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3"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_Toc109906023 \h </w:instrText>
            </w:r>
            <w:r w:rsidR="00406EFB">
              <w:rPr>
                <w:noProof/>
                <w:webHidden/>
              </w:rPr>
            </w:r>
            <w:r w:rsidR="00406EFB">
              <w:rPr>
                <w:noProof/>
                <w:webHidden/>
              </w:rPr>
              <w:fldChar w:fldCharType="separate"/>
            </w:r>
            <w:r w:rsidR="00406EFB">
              <w:rPr>
                <w:noProof/>
                <w:webHidden/>
              </w:rPr>
              <w:t>16</w:t>
            </w:r>
            <w:r w:rsidR="00406EFB">
              <w:rPr>
                <w:noProof/>
                <w:webHidden/>
              </w:rPr>
              <w:fldChar w:fldCharType="end"/>
            </w:r>
          </w:hyperlink>
        </w:p>
        <w:p w14:paraId="2D6B156B" w14:textId="629B20D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4"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_Toc109906024 \h </w:instrText>
            </w:r>
            <w:r w:rsidR="00406EFB">
              <w:rPr>
                <w:noProof/>
                <w:webHidden/>
              </w:rPr>
            </w:r>
            <w:r w:rsidR="00406EFB">
              <w:rPr>
                <w:noProof/>
                <w:webHidden/>
              </w:rPr>
              <w:fldChar w:fldCharType="separate"/>
            </w:r>
            <w:r w:rsidR="00406EFB">
              <w:rPr>
                <w:noProof/>
                <w:webHidden/>
              </w:rPr>
              <w:t>16</w:t>
            </w:r>
            <w:r w:rsidR="00406EFB">
              <w:rPr>
                <w:noProof/>
                <w:webHidden/>
              </w:rPr>
              <w:fldChar w:fldCharType="end"/>
            </w:r>
          </w:hyperlink>
        </w:p>
        <w:p w14:paraId="002175C7" w14:textId="1CD7798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5"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_Toc109906025 \h </w:instrText>
            </w:r>
            <w:r w:rsidR="00406EFB">
              <w:rPr>
                <w:noProof/>
                <w:webHidden/>
              </w:rPr>
            </w:r>
            <w:r w:rsidR="00406EFB">
              <w:rPr>
                <w:noProof/>
                <w:webHidden/>
              </w:rPr>
              <w:fldChar w:fldCharType="separate"/>
            </w:r>
            <w:r w:rsidR="00406EFB">
              <w:rPr>
                <w:noProof/>
                <w:webHidden/>
              </w:rPr>
              <w:t>17</w:t>
            </w:r>
            <w:r w:rsidR="00406EFB">
              <w:rPr>
                <w:noProof/>
                <w:webHidden/>
              </w:rPr>
              <w:fldChar w:fldCharType="end"/>
            </w:r>
          </w:hyperlink>
        </w:p>
        <w:p w14:paraId="1EB006D9" w14:textId="65923FE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6"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_Toc109906026 \h </w:instrText>
            </w:r>
            <w:r w:rsidR="00406EFB">
              <w:rPr>
                <w:noProof/>
                <w:webHidden/>
              </w:rPr>
            </w:r>
            <w:r w:rsidR="00406EFB">
              <w:rPr>
                <w:noProof/>
                <w:webHidden/>
              </w:rPr>
              <w:fldChar w:fldCharType="separate"/>
            </w:r>
            <w:r w:rsidR="00406EFB">
              <w:rPr>
                <w:noProof/>
                <w:webHidden/>
              </w:rPr>
              <w:t>17</w:t>
            </w:r>
            <w:r w:rsidR="00406EFB">
              <w:rPr>
                <w:noProof/>
                <w:webHidden/>
              </w:rPr>
              <w:fldChar w:fldCharType="end"/>
            </w:r>
          </w:hyperlink>
        </w:p>
        <w:p w14:paraId="6203651C" w14:textId="53D4C6E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7"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_Toc109906027 \h </w:instrText>
            </w:r>
            <w:r w:rsidR="00406EFB">
              <w:rPr>
                <w:noProof/>
                <w:webHidden/>
              </w:rPr>
            </w:r>
            <w:r w:rsidR="00406EFB">
              <w:rPr>
                <w:noProof/>
                <w:webHidden/>
              </w:rPr>
              <w:fldChar w:fldCharType="separate"/>
            </w:r>
            <w:r w:rsidR="00406EFB">
              <w:rPr>
                <w:noProof/>
                <w:webHidden/>
              </w:rPr>
              <w:t>17</w:t>
            </w:r>
            <w:r w:rsidR="00406EFB">
              <w:rPr>
                <w:noProof/>
                <w:webHidden/>
              </w:rPr>
              <w:fldChar w:fldCharType="end"/>
            </w:r>
          </w:hyperlink>
        </w:p>
        <w:p w14:paraId="374AC6D4" w14:textId="32B7941C"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28"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_Toc109906028 \h </w:instrText>
            </w:r>
            <w:r w:rsidR="00406EFB">
              <w:rPr>
                <w:noProof/>
                <w:webHidden/>
              </w:rPr>
            </w:r>
            <w:r w:rsidR="00406EFB">
              <w:rPr>
                <w:noProof/>
                <w:webHidden/>
              </w:rPr>
              <w:fldChar w:fldCharType="separate"/>
            </w:r>
            <w:r w:rsidR="00406EFB">
              <w:rPr>
                <w:noProof/>
                <w:webHidden/>
              </w:rPr>
              <w:t>17</w:t>
            </w:r>
            <w:r w:rsidR="00406EFB">
              <w:rPr>
                <w:noProof/>
                <w:webHidden/>
              </w:rPr>
              <w:fldChar w:fldCharType="end"/>
            </w:r>
          </w:hyperlink>
        </w:p>
        <w:p w14:paraId="4ABA7CD2" w14:textId="3252BA5E" w:rsidR="00406EFB" w:rsidRDefault="005A24F5">
          <w:pPr>
            <w:pStyle w:val="TJ2"/>
            <w:tabs>
              <w:tab w:val="right" w:leader="dot" w:pos="9514"/>
            </w:tabs>
            <w:rPr>
              <w:rFonts w:asciiTheme="minorHAnsi" w:hAnsiTheme="minorHAnsi"/>
              <w:noProof/>
              <w:sz w:val="22"/>
              <w:szCs w:val="22"/>
            </w:rPr>
          </w:pPr>
          <w:hyperlink w:anchor="_Toc109906029" w:history="1">
            <w:r w:rsidR="00406EFB" w:rsidRPr="0039194C">
              <w:rPr>
                <w:rStyle w:val="Hiperhivatkozs"/>
                <w:noProof/>
              </w:rPr>
              <w:t>3.4. Pénzváltó irodák</w:t>
            </w:r>
            <w:r w:rsidR="00406EFB">
              <w:rPr>
                <w:noProof/>
                <w:webHidden/>
              </w:rPr>
              <w:tab/>
            </w:r>
            <w:r w:rsidR="00406EFB">
              <w:rPr>
                <w:noProof/>
                <w:webHidden/>
              </w:rPr>
              <w:fldChar w:fldCharType="begin"/>
            </w:r>
            <w:r w:rsidR="00406EFB">
              <w:rPr>
                <w:noProof/>
                <w:webHidden/>
              </w:rPr>
              <w:instrText xml:space="preserve"> PAGEREF _Toc109906029 \h </w:instrText>
            </w:r>
            <w:r w:rsidR="00406EFB">
              <w:rPr>
                <w:noProof/>
                <w:webHidden/>
              </w:rPr>
            </w:r>
            <w:r w:rsidR="00406EFB">
              <w:rPr>
                <w:noProof/>
                <w:webHidden/>
              </w:rPr>
              <w:fldChar w:fldCharType="separate"/>
            </w:r>
            <w:r w:rsidR="00406EFB">
              <w:rPr>
                <w:noProof/>
                <w:webHidden/>
              </w:rPr>
              <w:t>18</w:t>
            </w:r>
            <w:r w:rsidR="00406EFB">
              <w:rPr>
                <w:noProof/>
                <w:webHidden/>
              </w:rPr>
              <w:fldChar w:fldCharType="end"/>
            </w:r>
          </w:hyperlink>
        </w:p>
        <w:p w14:paraId="6F535AE7" w14:textId="4F579AF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0"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_Toc109906030 \h </w:instrText>
            </w:r>
            <w:r w:rsidR="00406EFB">
              <w:rPr>
                <w:noProof/>
                <w:webHidden/>
              </w:rPr>
            </w:r>
            <w:r w:rsidR="00406EFB">
              <w:rPr>
                <w:noProof/>
                <w:webHidden/>
              </w:rPr>
              <w:fldChar w:fldCharType="separate"/>
            </w:r>
            <w:r w:rsidR="00406EFB">
              <w:rPr>
                <w:noProof/>
                <w:webHidden/>
              </w:rPr>
              <w:t>18</w:t>
            </w:r>
            <w:r w:rsidR="00406EFB">
              <w:rPr>
                <w:noProof/>
                <w:webHidden/>
              </w:rPr>
              <w:fldChar w:fldCharType="end"/>
            </w:r>
          </w:hyperlink>
        </w:p>
        <w:p w14:paraId="6BD34F38" w14:textId="4D5BC5EC"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1"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_Toc109906031 \h </w:instrText>
            </w:r>
            <w:r w:rsidR="00406EFB">
              <w:rPr>
                <w:noProof/>
                <w:webHidden/>
              </w:rPr>
            </w:r>
            <w:r w:rsidR="00406EFB">
              <w:rPr>
                <w:noProof/>
                <w:webHidden/>
              </w:rPr>
              <w:fldChar w:fldCharType="separate"/>
            </w:r>
            <w:r w:rsidR="00406EFB">
              <w:rPr>
                <w:noProof/>
                <w:webHidden/>
              </w:rPr>
              <w:t>18</w:t>
            </w:r>
            <w:r w:rsidR="00406EFB">
              <w:rPr>
                <w:noProof/>
                <w:webHidden/>
              </w:rPr>
              <w:fldChar w:fldCharType="end"/>
            </w:r>
          </w:hyperlink>
        </w:p>
        <w:p w14:paraId="24930890" w14:textId="41B1C9C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2"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_Toc109906032 \h </w:instrText>
            </w:r>
            <w:r w:rsidR="00406EFB">
              <w:rPr>
                <w:noProof/>
                <w:webHidden/>
              </w:rPr>
            </w:r>
            <w:r w:rsidR="00406EFB">
              <w:rPr>
                <w:noProof/>
                <w:webHidden/>
              </w:rPr>
              <w:fldChar w:fldCharType="separate"/>
            </w:r>
            <w:r w:rsidR="00406EFB">
              <w:rPr>
                <w:noProof/>
                <w:webHidden/>
              </w:rPr>
              <w:t>19</w:t>
            </w:r>
            <w:r w:rsidR="00406EFB">
              <w:rPr>
                <w:noProof/>
                <w:webHidden/>
              </w:rPr>
              <w:fldChar w:fldCharType="end"/>
            </w:r>
          </w:hyperlink>
        </w:p>
        <w:p w14:paraId="37BC4179" w14:textId="0470EC7D"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3"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_Toc109906033 \h </w:instrText>
            </w:r>
            <w:r w:rsidR="00406EFB">
              <w:rPr>
                <w:noProof/>
                <w:webHidden/>
              </w:rPr>
            </w:r>
            <w:r w:rsidR="00406EFB">
              <w:rPr>
                <w:noProof/>
                <w:webHidden/>
              </w:rPr>
              <w:fldChar w:fldCharType="separate"/>
            </w:r>
            <w:r w:rsidR="00406EFB">
              <w:rPr>
                <w:noProof/>
                <w:webHidden/>
              </w:rPr>
              <w:t>19</w:t>
            </w:r>
            <w:r w:rsidR="00406EFB">
              <w:rPr>
                <w:noProof/>
                <w:webHidden/>
              </w:rPr>
              <w:fldChar w:fldCharType="end"/>
            </w:r>
          </w:hyperlink>
        </w:p>
        <w:p w14:paraId="4C288B89" w14:textId="7641C4A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4"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_Toc109906034 \h </w:instrText>
            </w:r>
            <w:r w:rsidR="00406EFB">
              <w:rPr>
                <w:noProof/>
                <w:webHidden/>
              </w:rPr>
            </w:r>
            <w:r w:rsidR="00406EFB">
              <w:rPr>
                <w:noProof/>
                <w:webHidden/>
              </w:rPr>
              <w:fldChar w:fldCharType="separate"/>
            </w:r>
            <w:r w:rsidR="00406EFB">
              <w:rPr>
                <w:noProof/>
                <w:webHidden/>
              </w:rPr>
              <w:t>20</w:t>
            </w:r>
            <w:r w:rsidR="00406EFB">
              <w:rPr>
                <w:noProof/>
                <w:webHidden/>
              </w:rPr>
              <w:fldChar w:fldCharType="end"/>
            </w:r>
          </w:hyperlink>
        </w:p>
        <w:p w14:paraId="4A7DD2AC" w14:textId="6E110E9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5"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_Toc109906035 \h </w:instrText>
            </w:r>
            <w:r w:rsidR="00406EFB">
              <w:rPr>
                <w:noProof/>
                <w:webHidden/>
              </w:rPr>
            </w:r>
            <w:r w:rsidR="00406EFB">
              <w:rPr>
                <w:noProof/>
                <w:webHidden/>
              </w:rPr>
              <w:fldChar w:fldCharType="separate"/>
            </w:r>
            <w:r w:rsidR="00406EFB">
              <w:rPr>
                <w:noProof/>
                <w:webHidden/>
              </w:rPr>
              <w:t>20</w:t>
            </w:r>
            <w:r w:rsidR="00406EFB">
              <w:rPr>
                <w:noProof/>
                <w:webHidden/>
              </w:rPr>
              <w:fldChar w:fldCharType="end"/>
            </w:r>
          </w:hyperlink>
        </w:p>
        <w:p w14:paraId="5807EA66" w14:textId="0FE4E833" w:rsidR="00406EFB" w:rsidRDefault="005A24F5">
          <w:pPr>
            <w:pStyle w:val="TJ2"/>
            <w:tabs>
              <w:tab w:val="right" w:leader="dot" w:pos="9514"/>
            </w:tabs>
            <w:rPr>
              <w:rFonts w:asciiTheme="minorHAnsi" w:hAnsiTheme="minorHAnsi"/>
              <w:noProof/>
              <w:sz w:val="22"/>
              <w:szCs w:val="22"/>
            </w:rPr>
          </w:pPr>
          <w:hyperlink w:anchor="_Toc109906036" w:history="1">
            <w:r w:rsidR="00406EFB" w:rsidRPr="0039194C">
              <w:rPr>
                <w:rStyle w:val="Hiperhivatkozs"/>
                <w:noProof/>
              </w:rPr>
              <w:t>3.5. Befektetési vállalkozások</w:t>
            </w:r>
            <w:r w:rsidR="00406EFB">
              <w:rPr>
                <w:noProof/>
                <w:webHidden/>
              </w:rPr>
              <w:tab/>
            </w:r>
            <w:r w:rsidR="00406EFB">
              <w:rPr>
                <w:noProof/>
                <w:webHidden/>
              </w:rPr>
              <w:fldChar w:fldCharType="begin"/>
            </w:r>
            <w:r w:rsidR="00406EFB">
              <w:rPr>
                <w:noProof/>
                <w:webHidden/>
              </w:rPr>
              <w:instrText xml:space="preserve"> PAGEREF _Toc109906036 \h </w:instrText>
            </w:r>
            <w:r w:rsidR="00406EFB">
              <w:rPr>
                <w:noProof/>
                <w:webHidden/>
              </w:rPr>
            </w:r>
            <w:r w:rsidR="00406EFB">
              <w:rPr>
                <w:noProof/>
                <w:webHidden/>
              </w:rPr>
              <w:fldChar w:fldCharType="separate"/>
            </w:r>
            <w:r w:rsidR="00406EFB">
              <w:rPr>
                <w:noProof/>
                <w:webHidden/>
              </w:rPr>
              <w:t>20</w:t>
            </w:r>
            <w:r w:rsidR="00406EFB">
              <w:rPr>
                <w:noProof/>
                <w:webHidden/>
              </w:rPr>
              <w:fldChar w:fldCharType="end"/>
            </w:r>
          </w:hyperlink>
        </w:p>
        <w:p w14:paraId="42B823B2" w14:textId="08F29318"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7"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_Toc109906037 \h </w:instrText>
            </w:r>
            <w:r w:rsidR="00406EFB">
              <w:rPr>
                <w:noProof/>
                <w:webHidden/>
              </w:rPr>
            </w:r>
            <w:r w:rsidR="00406EFB">
              <w:rPr>
                <w:noProof/>
                <w:webHidden/>
              </w:rPr>
              <w:fldChar w:fldCharType="separate"/>
            </w:r>
            <w:r w:rsidR="00406EFB">
              <w:rPr>
                <w:noProof/>
                <w:webHidden/>
              </w:rPr>
              <w:t>20</w:t>
            </w:r>
            <w:r w:rsidR="00406EFB">
              <w:rPr>
                <w:noProof/>
                <w:webHidden/>
              </w:rPr>
              <w:fldChar w:fldCharType="end"/>
            </w:r>
          </w:hyperlink>
        </w:p>
        <w:p w14:paraId="2D3E38EF" w14:textId="17C75F87"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8"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_Toc109906038 \h </w:instrText>
            </w:r>
            <w:r w:rsidR="00406EFB">
              <w:rPr>
                <w:noProof/>
                <w:webHidden/>
              </w:rPr>
            </w:r>
            <w:r w:rsidR="00406EFB">
              <w:rPr>
                <w:noProof/>
                <w:webHidden/>
              </w:rPr>
              <w:fldChar w:fldCharType="separate"/>
            </w:r>
            <w:r w:rsidR="00406EFB">
              <w:rPr>
                <w:noProof/>
                <w:webHidden/>
              </w:rPr>
              <w:t>20</w:t>
            </w:r>
            <w:r w:rsidR="00406EFB">
              <w:rPr>
                <w:noProof/>
                <w:webHidden/>
              </w:rPr>
              <w:fldChar w:fldCharType="end"/>
            </w:r>
          </w:hyperlink>
        </w:p>
        <w:p w14:paraId="471AF76D" w14:textId="426DC90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39"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_Toc109906039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7092D8D3" w14:textId="48D74DE2"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0"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_Toc109906040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4C951AC0" w14:textId="266C2AF2"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1"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_Toc109906041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0F301A95" w14:textId="38076D9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2"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_Toc109906042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43789002" w14:textId="11FFFDA2" w:rsidR="00406EFB" w:rsidRDefault="005A24F5">
          <w:pPr>
            <w:pStyle w:val="TJ2"/>
            <w:tabs>
              <w:tab w:val="right" w:leader="dot" w:pos="9514"/>
            </w:tabs>
            <w:rPr>
              <w:rFonts w:asciiTheme="minorHAnsi" w:hAnsiTheme="minorHAnsi"/>
              <w:noProof/>
              <w:sz w:val="22"/>
              <w:szCs w:val="22"/>
            </w:rPr>
          </w:pPr>
          <w:hyperlink w:anchor="_Toc109906043" w:history="1">
            <w:r w:rsidR="00406EFB" w:rsidRPr="0039194C">
              <w:rPr>
                <w:rStyle w:val="Hiperhivatkozs"/>
                <w:noProof/>
              </w:rPr>
              <w:t>3.6. Kollektív befektetési vállalkozások/alapkezelők</w:t>
            </w:r>
            <w:r w:rsidR="00406EFB">
              <w:rPr>
                <w:noProof/>
                <w:webHidden/>
              </w:rPr>
              <w:tab/>
            </w:r>
            <w:r w:rsidR="00406EFB">
              <w:rPr>
                <w:noProof/>
                <w:webHidden/>
              </w:rPr>
              <w:fldChar w:fldCharType="begin"/>
            </w:r>
            <w:r w:rsidR="00406EFB">
              <w:rPr>
                <w:noProof/>
                <w:webHidden/>
              </w:rPr>
              <w:instrText xml:space="preserve"> PAGEREF _Toc109906043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03397A51" w14:textId="13F8CBF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4"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_Toc109906044 \h </w:instrText>
            </w:r>
            <w:r w:rsidR="00406EFB">
              <w:rPr>
                <w:noProof/>
                <w:webHidden/>
              </w:rPr>
            </w:r>
            <w:r w:rsidR="00406EFB">
              <w:rPr>
                <w:noProof/>
                <w:webHidden/>
              </w:rPr>
              <w:fldChar w:fldCharType="separate"/>
            </w:r>
            <w:r w:rsidR="00406EFB">
              <w:rPr>
                <w:noProof/>
                <w:webHidden/>
              </w:rPr>
              <w:t>22</w:t>
            </w:r>
            <w:r w:rsidR="00406EFB">
              <w:rPr>
                <w:noProof/>
                <w:webHidden/>
              </w:rPr>
              <w:fldChar w:fldCharType="end"/>
            </w:r>
          </w:hyperlink>
        </w:p>
        <w:p w14:paraId="4F1623E1" w14:textId="7D52642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5"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_Toc109906045 \h </w:instrText>
            </w:r>
            <w:r w:rsidR="00406EFB">
              <w:rPr>
                <w:noProof/>
                <w:webHidden/>
              </w:rPr>
            </w:r>
            <w:r w:rsidR="00406EFB">
              <w:rPr>
                <w:noProof/>
                <w:webHidden/>
              </w:rPr>
              <w:fldChar w:fldCharType="separate"/>
            </w:r>
            <w:r w:rsidR="00406EFB">
              <w:rPr>
                <w:noProof/>
                <w:webHidden/>
              </w:rPr>
              <w:t>23</w:t>
            </w:r>
            <w:r w:rsidR="00406EFB">
              <w:rPr>
                <w:noProof/>
                <w:webHidden/>
              </w:rPr>
              <w:fldChar w:fldCharType="end"/>
            </w:r>
          </w:hyperlink>
        </w:p>
        <w:p w14:paraId="1F6B6042" w14:textId="73FE909D"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6"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_Toc109906046 \h </w:instrText>
            </w:r>
            <w:r w:rsidR="00406EFB">
              <w:rPr>
                <w:noProof/>
                <w:webHidden/>
              </w:rPr>
            </w:r>
            <w:r w:rsidR="00406EFB">
              <w:rPr>
                <w:noProof/>
                <w:webHidden/>
              </w:rPr>
              <w:fldChar w:fldCharType="separate"/>
            </w:r>
            <w:r w:rsidR="00406EFB">
              <w:rPr>
                <w:noProof/>
                <w:webHidden/>
              </w:rPr>
              <w:t>24</w:t>
            </w:r>
            <w:r w:rsidR="00406EFB">
              <w:rPr>
                <w:noProof/>
                <w:webHidden/>
              </w:rPr>
              <w:fldChar w:fldCharType="end"/>
            </w:r>
          </w:hyperlink>
        </w:p>
        <w:p w14:paraId="75589592" w14:textId="184B581D"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7"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_Toc109906047 \h </w:instrText>
            </w:r>
            <w:r w:rsidR="00406EFB">
              <w:rPr>
                <w:noProof/>
                <w:webHidden/>
              </w:rPr>
            </w:r>
            <w:r w:rsidR="00406EFB">
              <w:rPr>
                <w:noProof/>
                <w:webHidden/>
              </w:rPr>
              <w:fldChar w:fldCharType="separate"/>
            </w:r>
            <w:r w:rsidR="00406EFB">
              <w:rPr>
                <w:noProof/>
                <w:webHidden/>
              </w:rPr>
              <w:t>24</w:t>
            </w:r>
            <w:r w:rsidR="00406EFB">
              <w:rPr>
                <w:noProof/>
                <w:webHidden/>
              </w:rPr>
              <w:fldChar w:fldCharType="end"/>
            </w:r>
          </w:hyperlink>
        </w:p>
        <w:p w14:paraId="626EFAD2" w14:textId="57A3AEF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8"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_Toc109906048 \h </w:instrText>
            </w:r>
            <w:r w:rsidR="00406EFB">
              <w:rPr>
                <w:noProof/>
                <w:webHidden/>
              </w:rPr>
            </w:r>
            <w:r w:rsidR="00406EFB">
              <w:rPr>
                <w:noProof/>
                <w:webHidden/>
              </w:rPr>
              <w:fldChar w:fldCharType="separate"/>
            </w:r>
            <w:r w:rsidR="00406EFB">
              <w:rPr>
                <w:noProof/>
                <w:webHidden/>
              </w:rPr>
              <w:t>24</w:t>
            </w:r>
            <w:r w:rsidR="00406EFB">
              <w:rPr>
                <w:noProof/>
                <w:webHidden/>
              </w:rPr>
              <w:fldChar w:fldCharType="end"/>
            </w:r>
          </w:hyperlink>
        </w:p>
        <w:p w14:paraId="569942FF" w14:textId="0BDA433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49"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_Toc109906049 \h </w:instrText>
            </w:r>
            <w:r w:rsidR="00406EFB">
              <w:rPr>
                <w:noProof/>
                <w:webHidden/>
              </w:rPr>
            </w:r>
            <w:r w:rsidR="00406EFB">
              <w:rPr>
                <w:noProof/>
                <w:webHidden/>
              </w:rPr>
              <w:fldChar w:fldCharType="separate"/>
            </w:r>
            <w:r w:rsidR="00406EFB">
              <w:rPr>
                <w:noProof/>
                <w:webHidden/>
              </w:rPr>
              <w:t>25</w:t>
            </w:r>
            <w:r w:rsidR="00406EFB">
              <w:rPr>
                <w:noProof/>
                <w:webHidden/>
              </w:rPr>
              <w:fldChar w:fldCharType="end"/>
            </w:r>
          </w:hyperlink>
        </w:p>
        <w:p w14:paraId="50AC2261" w14:textId="20949360" w:rsidR="00406EFB" w:rsidRDefault="005A24F5">
          <w:pPr>
            <w:pStyle w:val="TJ2"/>
            <w:tabs>
              <w:tab w:val="right" w:leader="dot" w:pos="9514"/>
            </w:tabs>
            <w:rPr>
              <w:rFonts w:asciiTheme="minorHAnsi" w:hAnsiTheme="minorHAnsi"/>
              <w:noProof/>
              <w:sz w:val="22"/>
              <w:szCs w:val="22"/>
            </w:rPr>
          </w:pPr>
          <w:hyperlink w:anchor="_Toc109906050" w:history="1">
            <w:r w:rsidR="00406EFB" w:rsidRPr="0039194C">
              <w:rPr>
                <w:rStyle w:val="Hiperhivatkozs"/>
                <w:noProof/>
              </w:rPr>
              <w:t>3.7. Egyéb pénzügyi szolgáltatók</w:t>
            </w:r>
            <w:r w:rsidR="00406EFB">
              <w:rPr>
                <w:noProof/>
                <w:webHidden/>
              </w:rPr>
              <w:tab/>
            </w:r>
            <w:r w:rsidR="00406EFB">
              <w:rPr>
                <w:noProof/>
                <w:webHidden/>
              </w:rPr>
              <w:fldChar w:fldCharType="begin"/>
            </w:r>
            <w:r w:rsidR="00406EFB">
              <w:rPr>
                <w:noProof/>
                <w:webHidden/>
              </w:rPr>
              <w:instrText xml:space="preserve"> PAGEREF _Toc109906050 \h </w:instrText>
            </w:r>
            <w:r w:rsidR="00406EFB">
              <w:rPr>
                <w:noProof/>
                <w:webHidden/>
              </w:rPr>
            </w:r>
            <w:r w:rsidR="00406EFB">
              <w:rPr>
                <w:noProof/>
                <w:webHidden/>
              </w:rPr>
              <w:fldChar w:fldCharType="separate"/>
            </w:r>
            <w:r w:rsidR="00406EFB">
              <w:rPr>
                <w:noProof/>
                <w:webHidden/>
              </w:rPr>
              <w:t>25</w:t>
            </w:r>
            <w:r w:rsidR="00406EFB">
              <w:rPr>
                <w:noProof/>
                <w:webHidden/>
              </w:rPr>
              <w:fldChar w:fldCharType="end"/>
            </w:r>
          </w:hyperlink>
        </w:p>
        <w:p w14:paraId="76AFB2BC" w14:textId="0FDB4B4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1"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_Toc109906051 \h </w:instrText>
            </w:r>
            <w:r w:rsidR="00406EFB">
              <w:rPr>
                <w:noProof/>
                <w:webHidden/>
              </w:rPr>
            </w:r>
            <w:r w:rsidR="00406EFB">
              <w:rPr>
                <w:noProof/>
                <w:webHidden/>
              </w:rPr>
              <w:fldChar w:fldCharType="separate"/>
            </w:r>
            <w:r w:rsidR="00406EFB">
              <w:rPr>
                <w:noProof/>
                <w:webHidden/>
              </w:rPr>
              <w:t>25</w:t>
            </w:r>
            <w:r w:rsidR="00406EFB">
              <w:rPr>
                <w:noProof/>
                <w:webHidden/>
              </w:rPr>
              <w:fldChar w:fldCharType="end"/>
            </w:r>
          </w:hyperlink>
        </w:p>
        <w:p w14:paraId="4D68CBC9" w14:textId="5D3DD8B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2"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_Toc109906052 \h </w:instrText>
            </w:r>
            <w:r w:rsidR="00406EFB">
              <w:rPr>
                <w:noProof/>
                <w:webHidden/>
              </w:rPr>
            </w:r>
            <w:r w:rsidR="00406EFB">
              <w:rPr>
                <w:noProof/>
                <w:webHidden/>
              </w:rPr>
              <w:fldChar w:fldCharType="separate"/>
            </w:r>
            <w:r w:rsidR="00406EFB">
              <w:rPr>
                <w:noProof/>
                <w:webHidden/>
              </w:rPr>
              <w:t>25</w:t>
            </w:r>
            <w:r w:rsidR="00406EFB">
              <w:rPr>
                <w:noProof/>
                <w:webHidden/>
              </w:rPr>
              <w:fldChar w:fldCharType="end"/>
            </w:r>
          </w:hyperlink>
        </w:p>
        <w:p w14:paraId="485EB0AA" w14:textId="6884D36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3"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_Toc109906053 \h </w:instrText>
            </w:r>
            <w:r w:rsidR="00406EFB">
              <w:rPr>
                <w:noProof/>
                <w:webHidden/>
              </w:rPr>
            </w:r>
            <w:r w:rsidR="00406EFB">
              <w:rPr>
                <w:noProof/>
                <w:webHidden/>
              </w:rPr>
              <w:fldChar w:fldCharType="separate"/>
            </w:r>
            <w:r w:rsidR="00406EFB">
              <w:rPr>
                <w:noProof/>
                <w:webHidden/>
              </w:rPr>
              <w:t>26</w:t>
            </w:r>
            <w:r w:rsidR="00406EFB">
              <w:rPr>
                <w:noProof/>
                <w:webHidden/>
              </w:rPr>
              <w:fldChar w:fldCharType="end"/>
            </w:r>
          </w:hyperlink>
        </w:p>
        <w:p w14:paraId="73AC5102" w14:textId="5376B65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4"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_Toc109906054 \h </w:instrText>
            </w:r>
            <w:r w:rsidR="00406EFB">
              <w:rPr>
                <w:noProof/>
                <w:webHidden/>
              </w:rPr>
            </w:r>
            <w:r w:rsidR="00406EFB">
              <w:rPr>
                <w:noProof/>
                <w:webHidden/>
              </w:rPr>
              <w:fldChar w:fldCharType="separate"/>
            </w:r>
            <w:r w:rsidR="00406EFB">
              <w:rPr>
                <w:noProof/>
                <w:webHidden/>
              </w:rPr>
              <w:t>26</w:t>
            </w:r>
            <w:r w:rsidR="00406EFB">
              <w:rPr>
                <w:noProof/>
                <w:webHidden/>
              </w:rPr>
              <w:fldChar w:fldCharType="end"/>
            </w:r>
          </w:hyperlink>
        </w:p>
        <w:p w14:paraId="34AC9F1B" w14:textId="3D6882A9"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5"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_Toc109906055 \h </w:instrText>
            </w:r>
            <w:r w:rsidR="00406EFB">
              <w:rPr>
                <w:noProof/>
                <w:webHidden/>
              </w:rPr>
            </w:r>
            <w:r w:rsidR="00406EFB">
              <w:rPr>
                <w:noProof/>
                <w:webHidden/>
              </w:rPr>
              <w:fldChar w:fldCharType="separate"/>
            </w:r>
            <w:r w:rsidR="00406EFB">
              <w:rPr>
                <w:noProof/>
                <w:webHidden/>
              </w:rPr>
              <w:t>27</w:t>
            </w:r>
            <w:r w:rsidR="00406EFB">
              <w:rPr>
                <w:noProof/>
                <w:webHidden/>
              </w:rPr>
              <w:fldChar w:fldCharType="end"/>
            </w:r>
          </w:hyperlink>
        </w:p>
        <w:p w14:paraId="5D609F81" w14:textId="51CE40C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6"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_Toc109906056 \h </w:instrText>
            </w:r>
            <w:r w:rsidR="00406EFB">
              <w:rPr>
                <w:noProof/>
                <w:webHidden/>
              </w:rPr>
            </w:r>
            <w:r w:rsidR="00406EFB">
              <w:rPr>
                <w:noProof/>
                <w:webHidden/>
              </w:rPr>
              <w:fldChar w:fldCharType="separate"/>
            </w:r>
            <w:r w:rsidR="00406EFB">
              <w:rPr>
                <w:noProof/>
                <w:webHidden/>
              </w:rPr>
              <w:t>27</w:t>
            </w:r>
            <w:r w:rsidR="00406EFB">
              <w:rPr>
                <w:noProof/>
                <w:webHidden/>
              </w:rPr>
              <w:fldChar w:fldCharType="end"/>
            </w:r>
          </w:hyperlink>
        </w:p>
        <w:p w14:paraId="5ED409C1" w14:textId="6915CA75" w:rsidR="00406EFB" w:rsidRDefault="005A24F5">
          <w:pPr>
            <w:pStyle w:val="TJ2"/>
            <w:tabs>
              <w:tab w:val="right" w:leader="dot" w:pos="9514"/>
            </w:tabs>
            <w:rPr>
              <w:rFonts w:asciiTheme="minorHAnsi" w:hAnsiTheme="minorHAnsi"/>
              <w:noProof/>
              <w:sz w:val="22"/>
              <w:szCs w:val="22"/>
            </w:rPr>
          </w:pPr>
          <w:hyperlink w:anchor="_Toc109906057" w:history="1">
            <w:r w:rsidR="00406EFB" w:rsidRPr="0039194C">
              <w:rPr>
                <w:rStyle w:val="Hiperhivatkozs"/>
                <w:noProof/>
              </w:rPr>
              <w:t>3.8. Életbiztosítók</w:t>
            </w:r>
            <w:r w:rsidR="00406EFB">
              <w:rPr>
                <w:noProof/>
                <w:webHidden/>
              </w:rPr>
              <w:tab/>
            </w:r>
            <w:r w:rsidR="00406EFB">
              <w:rPr>
                <w:noProof/>
                <w:webHidden/>
              </w:rPr>
              <w:fldChar w:fldCharType="begin"/>
            </w:r>
            <w:r w:rsidR="00406EFB">
              <w:rPr>
                <w:noProof/>
                <w:webHidden/>
              </w:rPr>
              <w:instrText xml:space="preserve"> PAGEREF _Toc109906057 \h </w:instrText>
            </w:r>
            <w:r w:rsidR="00406EFB">
              <w:rPr>
                <w:noProof/>
                <w:webHidden/>
              </w:rPr>
            </w:r>
            <w:r w:rsidR="00406EFB">
              <w:rPr>
                <w:noProof/>
                <w:webHidden/>
              </w:rPr>
              <w:fldChar w:fldCharType="separate"/>
            </w:r>
            <w:r w:rsidR="00406EFB">
              <w:rPr>
                <w:noProof/>
                <w:webHidden/>
              </w:rPr>
              <w:t>27</w:t>
            </w:r>
            <w:r w:rsidR="00406EFB">
              <w:rPr>
                <w:noProof/>
                <w:webHidden/>
              </w:rPr>
              <w:fldChar w:fldCharType="end"/>
            </w:r>
          </w:hyperlink>
        </w:p>
        <w:p w14:paraId="07870E8D" w14:textId="48BCBF2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8"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_Toc109906058 \h </w:instrText>
            </w:r>
            <w:r w:rsidR="00406EFB">
              <w:rPr>
                <w:noProof/>
                <w:webHidden/>
              </w:rPr>
            </w:r>
            <w:r w:rsidR="00406EFB">
              <w:rPr>
                <w:noProof/>
                <w:webHidden/>
              </w:rPr>
              <w:fldChar w:fldCharType="separate"/>
            </w:r>
            <w:r w:rsidR="00406EFB">
              <w:rPr>
                <w:noProof/>
                <w:webHidden/>
              </w:rPr>
              <w:t>27</w:t>
            </w:r>
            <w:r w:rsidR="00406EFB">
              <w:rPr>
                <w:noProof/>
                <w:webHidden/>
              </w:rPr>
              <w:fldChar w:fldCharType="end"/>
            </w:r>
          </w:hyperlink>
        </w:p>
        <w:p w14:paraId="6345FE1A" w14:textId="650548F7"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59"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_Toc109906059 \h </w:instrText>
            </w:r>
            <w:r w:rsidR="00406EFB">
              <w:rPr>
                <w:noProof/>
                <w:webHidden/>
              </w:rPr>
            </w:r>
            <w:r w:rsidR="00406EFB">
              <w:rPr>
                <w:noProof/>
                <w:webHidden/>
              </w:rPr>
              <w:fldChar w:fldCharType="separate"/>
            </w:r>
            <w:r w:rsidR="00406EFB">
              <w:rPr>
                <w:noProof/>
                <w:webHidden/>
              </w:rPr>
              <w:t>27</w:t>
            </w:r>
            <w:r w:rsidR="00406EFB">
              <w:rPr>
                <w:noProof/>
                <w:webHidden/>
              </w:rPr>
              <w:fldChar w:fldCharType="end"/>
            </w:r>
          </w:hyperlink>
        </w:p>
        <w:p w14:paraId="0F322535" w14:textId="5E64545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0"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_Toc109906060 \h </w:instrText>
            </w:r>
            <w:r w:rsidR="00406EFB">
              <w:rPr>
                <w:noProof/>
                <w:webHidden/>
              </w:rPr>
            </w:r>
            <w:r w:rsidR="00406EFB">
              <w:rPr>
                <w:noProof/>
                <w:webHidden/>
              </w:rPr>
              <w:fldChar w:fldCharType="separate"/>
            </w:r>
            <w:r w:rsidR="00406EFB">
              <w:rPr>
                <w:noProof/>
                <w:webHidden/>
              </w:rPr>
              <w:t>28</w:t>
            </w:r>
            <w:r w:rsidR="00406EFB">
              <w:rPr>
                <w:noProof/>
                <w:webHidden/>
              </w:rPr>
              <w:fldChar w:fldCharType="end"/>
            </w:r>
          </w:hyperlink>
        </w:p>
        <w:p w14:paraId="11CA1C1A" w14:textId="3D5BC4B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1"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_Toc109906061 \h </w:instrText>
            </w:r>
            <w:r w:rsidR="00406EFB">
              <w:rPr>
                <w:noProof/>
                <w:webHidden/>
              </w:rPr>
            </w:r>
            <w:r w:rsidR="00406EFB">
              <w:rPr>
                <w:noProof/>
                <w:webHidden/>
              </w:rPr>
              <w:fldChar w:fldCharType="separate"/>
            </w:r>
            <w:r w:rsidR="00406EFB">
              <w:rPr>
                <w:noProof/>
                <w:webHidden/>
              </w:rPr>
              <w:t>28</w:t>
            </w:r>
            <w:r w:rsidR="00406EFB">
              <w:rPr>
                <w:noProof/>
                <w:webHidden/>
              </w:rPr>
              <w:fldChar w:fldCharType="end"/>
            </w:r>
          </w:hyperlink>
        </w:p>
        <w:p w14:paraId="11A4CD9E" w14:textId="2DAB34F4"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2"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_Toc109906062 \h </w:instrText>
            </w:r>
            <w:r w:rsidR="00406EFB">
              <w:rPr>
                <w:noProof/>
                <w:webHidden/>
              </w:rPr>
            </w:r>
            <w:r w:rsidR="00406EFB">
              <w:rPr>
                <w:noProof/>
                <w:webHidden/>
              </w:rPr>
              <w:fldChar w:fldCharType="separate"/>
            </w:r>
            <w:r w:rsidR="00406EFB">
              <w:rPr>
                <w:noProof/>
                <w:webHidden/>
              </w:rPr>
              <w:t>28</w:t>
            </w:r>
            <w:r w:rsidR="00406EFB">
              <w:rPr>
                <w:noProof/>
                <w:webHidden/>
              </w:rPr>
              <w:fldChar w:fldCharType="end"/>
            </w:r>
          </w:hyperlink>
        </w:p>
        <w:p w14:paraId="7A70D467" w14:textId="4E34C4B3"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3"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_Toc109906063 \h </w:instrText>
            </w:r>
            <w:r w:rsidR="00406EFB">
              <w:rPr>
                <w:noProof/>
                <w:webHidden/>
              </w:rPr>
            </w:r>
            <w:r w:rsidR="00406EFB">
              <w:rPr>
                <w:noProof/>
                <w:webHidden/>
              </w:rPr>
              <w:fldChar w:fldCharType="separate"/>
            </w:r>
            <w:r w:rsidR="00406EFB">
              <w:rPr>
                <w:noProof/>
                <w:webHidden/>
              </w:rPr>
              <w:t>29</w:t>
            </w:r>
            <w:r w:rsidR="00406EFB">
              <w:rPr>
                <w:noProof/>
                <w:webHidden/>
              </w:rPr>
              <w:fldChar w:fldCharType="end"/>
            </w:r>
          </w:hyperlink>
        </w:p>
        <w:p w14:paraId="5591617D" w14:textId="41EAD13A" w:rsidR="00406EFB" w:rsidRDefault="005A24F5">
          <w:pPr>
            <w:pStyle w:val="TJ2"/>
            <w:tabs>
              <w:tab w:val="right" w:leader="dot" w:pos="9514"/>
            </w:tabs>
            <w:rPr>
              <w:rFonts w:asciiTheme="minorHAnsi" w:hAnsiTheme="minorHAnsi"/>
              <w:noProof/>
              <w:sz w:val="22"/>
              <w:szCs w:val="22"/>
            </w:rPr>
          </w:pPr>
          <w:hyperlink w:anchor="_Toc109906064" w:history="1">
            <w:r w:rsidR="00406EFB" w:rsidRPr="0039194C">
              <w:rPr>
                <w:rStyle w:val="Hiperhivatkozs"/>
                <w:noProof/>
              </w:rPr>
              <w:t>3.9. Életbiztosítás közvetítő</w:t>
            </w:r>
            <w:r w:rsidR="00406EFB">
              <w:rPr>
                <w:noProof/>
                <w:webHidden/>
              </w:rPr>
              <w:tab/>
            </w:r>
            <w:r w:rsidR="00406EFB">
              <w:rPr>
                <w:noProof/>
                <w:webHidden/>
              </w:rPr>
              <w:fldChar w:fldCharType="begin"/>
            </w:r>
            <w:r w:rsidR="00406EFB">
              <w:rPr>
                <w:noProof/>
                <w:webHidden/>
              </w:rPr>
              <w:instrText xml:space="preserve"> PAGEREF _Toc109906064 \h </w:instrText>
            </w:r>
            <w:r w:rsidR="00406EFB">
              <w:rPr>
                <w:noProof/>
                <w:webHidden/>
              </w:rPr>
            </w:r>
            <w:r w:rsidR="00406EFB">
              <w:rPr>
                <w:noProof/>
                <w:webHidden/>
              </w:rPr>
              <w:fldChar w:fldCharType="separate"/>
            </w:r>
            <w:r w:rsidR="00406EFB">
              <w:rPr>
                <w:noProof/>
                <w:webHidden/>
              </w:rPr>
              <w:t>29</w:t>
            </w:r>
            <w:r w:rsidR="00406EFB">
              <w:rPr>
                <w:noProof/>
                <w:webHidden/>
              </w:rPr>
              <w:fldChar w:fldCharType="end"/>
            </w:r>
          </w:hyperlink>
        </w:p>
        <w:p w14:paraId="4555CBCE" w14:textId="47530F17"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5"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_Toc109906065 \h </w:instrText>
            </w:r>
            <w:r w:rsidR="00406EFB">
              <w:rPr>
                <w:noProof/>
                <w:webHidden/>
              </w:rPr>
            </w:r>
            <w:r w:rsidR="00406EFB">
              <w:rPr>
                <w:noProof/>
                <w:webHidden/>
              </w:rPr>
              <w:fldChar w:fldCharType="separate"/>
            </w:r>
            <w:r w:rsidR="00406EFB">
              <w:rPr>
                <w:noProof/>
                <w:webHidden/>
              </w:rPr>
              <w:t>29</w:t>
            </w:r>
            <w:r w:rsidR="00406EFB">
              <w:rPr>
                <w:noProof/>
                <w:webHidden/>
              </w:rPr>
              <w:fldChar w:fldCharType="end"/>
            </w:r>
          </w:hyperlink>
        </w:p>
        <w:p w14:paraId="07787E0C" w14:textId="7179502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6"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_Toc109906066 \h </w:instrText>
            </w:r>
            <w:r w:rsidR="00406EFB">
              <w:rPr>
                <w:noProof/>
                <w:webHidden/>
              </w:rPr>
            </w:r>
            <w:r w:rsidR="00406EFB">
              <w:rPr>
                <w:noProof/>
                <w:webHidden/>
              </w:rPr>
              <w:fldChar w:fldCharType="separate"/>
            </w:r>
            <w:r w:rsidR="00406EFB">
              <w:rPr>
                <w:noProof/>
                <w:webHidden/>
              </w:rPr>
              <w:t>29</w:t>
            </w:r>
            <w:r w:rsidR="00406EFB">
              <w:rPr>
                <w:noProof/>
                <w:webHidden/>
              </w:rPr>
              <w:fldChar w:fldCharType="end"/>
            </w:r>
          </w:hyperlink>
        </w:p>
        <w:p w14:paraId="34884E87" w14:textId="167555D2"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7"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w:t>
            </w:r>
            <w:r w:rsidR="00406EFB">
              <w:rPr>
                <w:noProof/>
                <w:webHidden/>
              </w:rPr>
              <w:tab/>
            </w:r>
            <w:r w:rsidR="00406EFB">
              <w:rPr>
                <w:noProof/>
                <w:webHidden/>
              </w:rPr>
              <w:fldChar w:fldCharType="begin"/>
            </w:r>
            <w:r w:rsidR="00406EFB">
              <w:rPr>
                <w:noProof/>
                <w:webHidden/>
              </w:rPr>
              <w:instrText xml:space="preserve"> PAGEREF _Toc109906067 \h </w:instrText>
            </w:r>
            <w:r w:rsidR="00406EFB">
              <w:rPr>
                <w:noProof/>
                <w:webHidden/>
              </w:rPr>
            </w:r>
            <w:r w:rsidR="00406EFB">
              <w:rPr>
                <w:noProof/>
                <w:webHidden/>
              </w:rPr>
              <w:fldChar w:fldCharType="separate"/>
            </w:r>
            <w:r w:rsidR="00406EFB">
              <w:rPr>
                <w:noProof/>
                <w:webHidden/>
              </w:rPr>
              <w:t>30</w:t>
            </w:r>
            <w:r w:rsidR="00406EFB">
              <w:rPr>
                <w:noProof/>
                <w:webHidden/>
              </w:rPr>
              <w:fldChar w:fldCharType="end"/>
            </w:r>
          </w:hyperlink>
        </w:p>
        <w:p w14:paraId="6C396569" w14:textId="0B6D2D8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8"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Felügyeleti tevékenység</w:t>
            </w:r>
            <w:r w:rsidR="00406EFB">
              <w:rPr>
                <w:noProof/>
                <w:webHidden/>
              </w:rPr>
              <w:tab/>
            </w:r>
            <w:r w:rsidR="00406EFB">
              <w:rPr>
                <w:noProof/>
                <w:webHidden/>
              </w:rPr>
              <w:fldChar w:fldCharType="begin"/>
            </w:r>
            <w:r w:rsidR="00406EFB">
              <w:rPr>
                <w:noProof/>
                <w:webHidden/>
              </w:rPr>
              <w:instrText xml:space="preserve"> PAGEREF _Toc109906068 \h </w:instrText>
            </w:r>
            <w:r w:rsidR="00406EFB">
              <w:rPr>
                <w:noProof/>
                <w:webHidden/>
              </w:rPr>
            </w:r>
            <w:r w:rsidR="00406EFB">
              <w:rPr>
                <w:noProof/>
                <w:webHidden/>
              </w:rPr>
              <w:fldChar w:fldCharType="separate"/>
            </w:r>
            <w:r w:rsidR="00406EFB">
              <w:rPr>
                <w:noProof/>
                <w:webHidden/>
              </w:rPr>
              <w:t>30</w:t>
            </w:r>
            <w:r w:rsidR="00406EFB">
              <w:rPr>
                <w:noProof/>
                <w:webHidden/>
              </w:rPr>
              <w:fldChar w:fldCharType="end"/>
            </w:r>
          </w:hyperlink>
        </w:p>
        <w:p w14:paraId="70F45B36" w14:textId="40C8E14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69" w:history="1">
            <w:r w:rsidR="00406EFB" w:rsidRPr="0039194C">
              <w:rPr>
                <w:rStyle w:val="Hiperhivatkozs"/>
                <w:noProof/>
              </w:rPr>
              <w:t>5.</w:t>
            </w:r>
            <w:r w:rsidR="00406EFB">
              <w:rPr>
                <w:rFonts w:asciiTheme="minorHAnsi" w:eastAsiaTheme="minorEastAsia" w:hAnsiTheme="minorHAnsi"/>
                <w:noProof/>
                <w:sz w:val="22"/>
                <w:szCs w:val="22"/>
              </w:rPr>
              <w:tab/>
            </w:r>
            <w:r w:rsidR="00406EFB" w:rsidRPr="0039194C">
              <w:rPr>
                <w:rStyle w:val="Hiperhivatkozs"/>
                <w:noProof/>
              </w:rPr>
              <w:t>Azonosított jogsértések</w:t>
            </w:r>
            <w:r w:rsidR="00406EFB">
              <w:rPr>
                <w:noProof/>
                <w:webHidden/>
              </w:rPr>
              <w:tab/>
            </w:r>
            <w:r w:rsidR="00406EFB">
              <w:rPr>
                <w:noProof/>
                <w:webHidden/>
              </w:rPr>
              <w:fldChar w:fldCharType="begin"/>
            </w:r>
            <w:r w:rsidR="00406EFB">
              <w:rPr>
                <w:noProof/>
                <w:webHidden/>
              </w:rPr>
              <w:instrText xml:space="preserve"> PAGEREF _Toc109906069 \h </w:instrText>
            </w:r>
            <w:r w:rsidR="00406EFB">
              <w:rPr>
                <w:noProof/>
                <w:webHidden/>
              </w:rPr>
            </w:r>
            <w:r w:rsidR="00406EFB">
              <w:rPr>
                <w:noProof/>
                <w:webHidden/>
              </w:rPr>
              <w:fldChar w:fldCharType="separate"/>
            </w:r>
            <w:r w:rsidR="00406EFB">
              <w:rPr>
                <w:noProof/>
                <w:webHidden/>
              </w:rPr>
              <w:t>30</w:t>
            </w:r>
            <w:r w:rsidR="00406EFB">
              <w:rPr>
                <w:noProof/>
                <w:webHidden/>
              </w:rPr>
              <w:fldChar w:fldCharType="end"/>
            </w:r>
          </w:hyperlink>
        </w:p>
        <w:p w14:paraId="695C2060" w14:textId="6C182819"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0" w:history="1">
            <w:r w:rsidR="00406EFB" w:rsidRPr="0039194C">
              <w:rPr>
                <w:rStyle w:val="Hiperhivatkozs"/>
                <w:noProof/>
              </w:rPr>
              <w:t>6.</w:t>
            </w:r>
            <w:r w:rsidR="00406EFB">
              <w:rPr>
                <w:rFonts w:asciiTheme="minorHAnsi" w:eastAsiaTheme="minorEastAsia" w:hAnsiTheme="minorHAnsi"/>
                <w:noProof/>
                <w:sz w:val="22"/>
                <w:szCs w:val="22"/>
              </w:rPr>
              <w:tab/>
            </w:r>
            <w:r w:rsidR="00406EFB" w:rsidRPr="0039194C">
              <w:rPr>
                <w:rStyle w:val="Hiperhivatkozs"/>
                <w:noProof/>
              </w:rPr>
              <w:t>Alszektorok</w:t>
            </w:r>
            <w:r w:rsidR="00406EFB">
              <w:rPr>
                <w:noProof/>
                <w:webHidden/>
              </w:rPr>
              <w:tab/>
            </w:r>
            <w:r w:rsidR="00406EFB">
              <w:rPr>
                <w:noProof/>
                <w:webHidden/>
              </w:rPr>
              <w:fldChar w:fldCharType="begin"/>
            </w:r>
            <w:r w:rsidR="00406EFB">
              <w:rPr>
                <w:noProof/>
                <w:webHidden/>
              </w:rPr>
              <w:instrText xml:space="preserve"> PAGEREF _Toc109906070 \h </w:instrText>
            </w:r>
            <w:r w:rsidR="00406EFB">
              <w:rPr>
                <w:noProof/>
                <w:webHidden/>
              </w:rPr>
            </w:r>
            <w:r w:rsidR="00406EFB">
              <w:rPr>
                <w:noProof/>
                <w:webHidden/>
              </w:rPr>
              <w:fldChar w:fldCharType="separate"/>
            </w:r>
            <w:r w:rsidR="00406EFB">
              <w:rPr>
                <w:noProof/>
                <w:webHidden/>
              </w:rPr>
              <w:t>31</w:t>
            </w:r>
            <w:r w:rsidR="00406EFB">
              <w:rPr>
                <w:noProof/>
                <w:webHidden/>
              </w:rPr>
              <w:fldChar w:fldCharType="end"/>
            </w:r>
          </w:hyperlink>
        </w:p>
        <w:p w14:paraId="0E52E329" w14:textId="5098B6D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1" w:history="1">
            <w:r w:rsidR="00406EFB" w:rsidRPr="0039194C">
              <w:rPr>
                <w:rStyle w:val="Hiperhivatkozs"/>
                <w:noProof/>
              </w:rPr>
              <w:t>7.</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_Toc109906071 \h </w:instrText>
            </w:r>
            <w:r w:rsidR="00406EFB">
              <w:rPr>
                <w:noProof/>
                <w:webHidden/>
              </w:rPr>
            </w:r>
            <w:r w:rsidR="00406EFB">
              <w:rPr>
                <w:noProof/>
                <w:webHidden/>
              </w:rPr>
              <w:fldChar w:fldCharType="separate"/>
            </w:r>
            <w:r w:rsidR="00406EFB">
              <w:rPr>
                <w:noProof/>
                <w:webHidden/>
              </w:rPr>
              <w:t>32</w:t>
            </w:r>
            <w:r w:rsidR="00406EFB">
              <w:rPr>
                <w:noProof/>
                <w:webHidden/>
              </w:rPr>
              <w:fldChar w:fldCharType="end"/>
            </w:r>
          </w:hyperlink>
        </w:p>
        <w:p w14:paraId="1CE15F08" w14:textId="36BA0081" w:rsidR="00406EFB" w:rsidRDefault="005A24F5">
          <w:pPr>
            <w:pStyle w:val="TJ2"/>
            <w:tabs>
              <w:tab w:val="right" w:leader="dot" w:pos="9514"/>
            </w:tabs>
            <w:rPr>
              <w:rFonts w:asciiTheme="minorHAnsi" w:hAnsiTheme="minorHAnsi"/>
              <w:noProof/>
              <w:sz w:val="22"/>
              <w:szCs w:val="22"/>
            </w:rPr>
          </w:pPr>
          <w:hyperlink w:anchor="_Toc109906072" w:history="1">
            <w:r w:rsidR="00406EFB" w:rsidRPr="0039194C">
              <w:rPr>
                <w:rStyle w:val="Hiperhivatkozs"/>
                <w:bCs/>
                <w:noProof/>
              </w:rPr>
              <w:t>3.10.</w:t>
            </w:r>
            <w:r w:rsidR="00406EFB" w:rsidRPr="0039194C">
              <w:rPr>
                <w:rStyle w:val="Hiperhivatkozs"/>
                <w:noProof/>
              </w:rPr>
              <w:t xml:space="preserve"> Bizalmi vagyonkezelők</w:t>
            </w:r>
            <w:r w:rsidR="00406EFB">
              <w:rPr>
                <w:noProof/>
                <w:webHidden/>
              </w:rPr>
              <w:tab/>
            </w:r>
            <w:r w:rsidR="00406EFB">
              <w:rPr>
                <w:noProof/>
                <w:webHidden/>
              </w:rPr>
              <w:fldChar w:fldCharType="begin"/>
            </w:r>
            <w:r w:rsidR="00406EFB">
              <w:rPr>
                <w:noProof/>
                <w:webHidden/>
              </w:rPr>
              <w:instrText xml:space="preserve"> PAGEREF _Toc109906072 \h </w:instrText>
            </w:r>
            <w:r w:rsidR="00406EFB">
              <w:rPr>
                <w:noProof/>
                <w:webHidden/>
              </w:rPr>
            </w:r>
            <w:r w:rsidR="00406EFB">
              <w:rPr>
                <w:noProof/>
                <w:webHidden/>
              </w:rPr>
              <w:fldChar w:fldCharType="separate"/>
            </w:r>
            <w:r w:rsidR="00406EFB">
              <w:rPr>
                <w:noProof/>
                <w:webHidden/>
              </w:rPr>
              <w:t>32</w:t>
            </w:r>
            <w:r w:rsidR="00406EFB">
              <w:rPr>
                <w:noProof/>
                <w:webHidden/>
              </w:rPr>
              <w:fldChar w:fldCharType="end"/>
            </w:r>
          </w:hyperlink>
        </w:p>
        <w:p w14:paraId="0D078628" w14:textId="491B4858"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3"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_Toc109906073 \h </w:instrText>
            </w:r>
            <w:r w:rsidR="00406EFB">
              <w:rPr>
                <w:noProof/>
                <w:webHidden/>
              </w:rPr>
            </w:r>
            <w:r w:rsidR="00406EFB">
              <w:rPr>
                <w:noProof/>
                <w:webHidden/>
              </w:rPr>
              <w:fldChar w:fldCharType="separate"/>
            </w:r>
            <w:r w:rsidR="00406EFB">
              <w:rPr>
                <w:noProof/>
                <w:webHidden/>
              </w:rPr>
              <w:t>32</w:t>
            </w:r>
            <w:r w:rsidR="00406EFB">
              <w:rPr>
                <w:noProof/>
                <w:webHidden/>
              </w:rPr>
              <w:fldChar w:fldCharType="end"/>
            </w:r>
          </w:hyperlink>
        </w:p>
        <w:p w14:paraId="74B2749C" w14:textId="167E8A7D"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4"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_Toc109906074 \h </w:instrText>
            </w:r>
            <w:r w:rsidR="00406EFB">
              <w:rPr>
                <w:noProof/>
                <w:webHidden/>
              </w:rPr>
            </w:r>
            <w:r w:rsidR="00406EFB">
              <w:rPr>
                <w:noProof/>
                <w:webHidden/>
              </w:rPr>
              <w:fldChar w:fldCharType="separate"/>
            </w:r>
            <w:r w:rsidR="00406EFB">
              <w:rPr>
                <w:noProof/>
                <w:webHidden/>
              </w:rPr>
              <w:t>33</w:t>
            </w:r>
            <w:r w:rsidR="00406EFB">
              <w:rPr>
                <w:noProof/>
                <w:webHidden/>
              </w:rPr>
              <w:fldChar w:fldCharType="end"/>
            </w:r>
          </w:hyperlink>
        </w:p>
        <w:p w14:paraId="7D307AD5" w14:textId="4AB0835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5"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_Toc109906075 \h </w:instrText>
            </w:r>
            <w:r w:rsidR="00406EFB">
              <w:rPr>
                <w:noProof/>
                <w:webHidden/>
              </w:rPr>
            </w:r>
            <w:r w:rsidR="00406EFB">
              <w:rPr>
                <w:noProof/>
                <w:webHidden/>
              </w:rPr>
              <w:fldChar w:fldCharType="separate"/>
            </w:r>
            <w:r w:rsidR="00406EFB">
              <w:rPr>
                <w:noProof/>
                <w:webHidden/>
              </w:rPr>
              <w:t>33</w:t>
            </w:r>
            <w:r w:rsidR="00406EFB">
              <w:rPr>
                <w:noProof/>
                <w:webHidden/>
              </w:rPr>
              <w:fldChar w:fldCharType="end"/>
            </w:r>
          </w:hyperlink>
        </w:p>
        <w:p w14:paraId="47E52874" w14:textId="5DE7288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6"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_Toc109906076 \h </w:instrText>
            </w:r>
            <w:r w:rsidR="00406EFB">
              <w:rPr>
                <w:noProof/>
                <w:webHidden/>
              </w:rPr>
            </w:r>
            <w:r w:rsidR="00406EFB">
              <w:rPr>
                <w:noProof/>
                <w:webHidden/>
              </w:rPr>
              <w:fldChar w:fldCharType="separate"/>
            </w:r>
            <w:r w:rsidR="00406EFB">
              <w:rPr>
                <w:noProof/>
                <w:webHidden/>
              </w:rPr>
              <w:t>34</w:t>
            </w:r>
            <w:r w:rsidR="00406EFB">
              <w:rPr>
                <w:noProof/>
                <w:webHidden/>
              </w:rPr>
              <w:fldChar w:fldCharType="end"/>
            </w:r>
          </w:hyperlink>
        </w:p>
        <w:p w14:paraId="3D4DB359" w14:textId="073052FA" w:rsidR="00406EFB" w:rsidRDefault="005A24F5">
          <w:pPr>
            <w:pStyle w:val="TJ2"/>
            <w:tabs>
              <w:tab w:val="right" w:leader="dot" w:pos="9514"/>
            </w:tabs>
            <w:rPr>
              <w:rFonts w:asciiTheme="minorHAnsi" w:hAnsiTheme="minorHAnsi"/>
              <w:noProof/>
              <w:sz w:val="22"/>
              <w:szCs w:val="22"/>
            </w:rPr>
          </w:pPr>
          <w:hyperlink w:anchor="_Toc109906077" w:history="1">
            <w:r w:rsidR="00406EFB" w:rsidRPr="0039194C">
              <w:rPr>
                <w:rStyle w:val="Hiperhivatkozs"/>
                <w:noProof/>
              </w:rPr>
              <w:t>3.11. Pénztárak</w:t>
            </w:r>
            <w:r w:rsidR="00406EFB">
              <w:rPr>
                <w:noProof/>
                <w:webHidden/>
              </w:rPr>
              <w:tab/>
            </w:r>
            <w:r w:rsidR="00406EFB">
              <w:rPr>
                <w:noProof/>
                <w:webHidden/>
              </w:rPr>
              <w:fldChar w:fldCharType="begin"/>
            </w:r>
            <w:r w:rsidR="00406EFB">
              <w:rPr>
                <w:noProof/>
                <w:webHidden/>
              </w:rPr>
              <w:instrText xml:space="preserve"> PAGEREF _Toc109906077 \h </w:instrText>
            </w:r>
            <w:r w:rsidR="00406EFB">
              <w:rPr>
                <w:noProof/>
                <w:webHidden/>
              </w:rPr>
            </w:r>
            <w:r w:rsidR="00406EFB">
              <w:rPr>
                <w:noProof/>
                <w:webHidden/>
              </w:rPr>
              <w:fldChar w:fldCharType="separate"/>
            </w:r>
            <w:r w:rsidR="00406EFB">
              <w:rPr>
                <w:noProof/>
                <w:webHidden/>
              </w:rPr>
              <w:t>34</w:t>
            </w:r>
            <w:r w:rsidR="00406EFB">
              <w:rPr>
                <w:noProof/>
                <w:webHidden/>
              </w:rPr>
              <w:fldChar w:fldCharType="end"/>
            </w:r>
          </w:hyperlink>
        </w:p>
        <w:p w14:paraId="68E62290" w14:textId="0C8CD02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8"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_Toc109906078 \h </w:instrText>
            </w:r>
            <w:r w:rsidR="00406EFB">
              <w:rPr>
                <w:noProof/>
                <w:webHidden/>
              </w:rPr>
            </w:r>
            <w:r w:rsidR="00406EFB">
              <w:rPr>
                <w:noProof/>
                <w:webHidden/>
              </w:rPr>
              <w:fldChar w:fldCharType="separate"/>
            </w:r>
            <w:r w:rsidR="00406EFB">
              <w:rPr>
                <w:noProof/>
                <w:webHidden/>
              </w:rPr>
              <w:t>34</w:t>
            </w:r>
            <w:r w:rsidR="00406EFB">
              <w:rPr>
                <w:noProof/>
                <w:webHidden/>
              </w:rPr>
              <w:fldChar w:fldCharType="end"/>
            </w:r>
          </w:hyperlink>
        </w:p>
        <w:p w14:paraId="5FC8E838" w14:textId="43F397E6"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79"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_Toc109906079 \h </w:instrText>
            </w:r>
            <w:r w:rsidR="00406EFB">
              <w:rPr>
                <w:noProof/>
                <w:webHidden/>
              </w:rPr>
            </w:r>
            <w:r w:rsidR="00406EFB">
              <w:rPr>
                <w:noProof/>
                <w:webHidden/>
              </w:rPr>
              <w:fldChar w:fldCharType="separate"/>
            </w:r>
            <w:r w:rsidR="00406EFB">
              <w:rPr>
                <w:noProof/>
                <w:webHidden/>
              </w:rPr>
              <w:t>34</w:t>
            </w:r>
            <w:r w:rsidR="00406EFB">
              <w:rPr>
                <w:noProof/>
                <w:webHidden/>
              </w:rPr>
              <w:fldChar w:fldCharType="end"/>
            </w:r>
          </w:hyperlink>
        </w:p>
        <w:p w14:paraId="39819A7D" w14:textId="30F93119"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0"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_Toc109906080 \h </w:instrText>
            </w:r>
            <w:r w:rsidR="00406EFB">
              <w:rPr>
                <w:noProof/>
                <w:webHidden/>
              </w:rPr>
            </w:r>
            <w:r w:rsidR="00406EFB">
              <w:rPr>
                <w:noProof/>
                <w:webHidden/>
              </w:rPr>
              <w:fldChar w:fldCharType="separate"/>
            </w:r>
            <w:r w:rsidR="00406EFB">
              <w:rPr>
                <w:noProof/>
                <w:webHidden/>
              </w:rPr>
              <w:t>35</w:t>
            </w:r>
            <w:r w:rsidR="00406EFB">
              <w:rPr>
                <w:noProof/>
                <w:webHidden/>
              </w:rPr>
              <w:fldChar w:fldCharType="end"/>
            </w:r>
          </w:hyperlink>
        </w:p>
        <w:p w14:paraId="3C1087B3" w14:textId="2483E64C"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1"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_Toc109906081 \h </w:instrText>
            </w:r>
            <w:r w:rsidR="00406EFB">
              <w:rPr>
                <w:noProof/>
                <w:webHidden/>
              </w:rPr>
            </w:r>
            <w:r w:rsidR="00406EFB">
              <w:rPr>
                <w:noProof/>
                <w:webHidden/>
              </w:rPr>
              <w:fldChar w:fldCharType="separate"/>
            </w:r>
            <w:r w:rsidR="00406EFB">
              <w:rPr>
                <w:noProof/>
                <w:webHidden/>
              </w:rPr>
              <w:t>35</w:t>
            </w:r>
            <w:r w:rsidR="00406EFB">
              <w:rPr>
                <w:noProof/>
                <w:webHidden/>
              </w:rPr>
              <w:fldChar w:fldCharType="end"/>
            </w:r>
          </w:hyperlink>
        </w:p>
        <w:p w14:paraId="6132B325" w14:textId="5DDF31F3" w:rsidR="00406EFB" w:rsidRDefault="005A24F5">
          <w:pPr>
            <w:pStyle w:val="TJ2"/>
            <w:tabs>
              <w:tab w:val="right" w:leader="dot" w:pos="9514"/>
            </w:tabs>
            <w:rPr>
              <w:rFonts w:asciiTheme="minorHAnsi" w:hAnsiTheme="minorHAnsi"/>
              <w:noProof/>
              <w:sz w:val="22"/>
              <w:szCs w:val="22"/>
            </w:rPr>
          </w:pPr>
          <w:hyperlink w:anchor="_Toc109906082" w:history="1">
            <w:r w:rsidR="00406EFB" w:rsidRPr="0039194C">
              <w:rPr>
                <w:rStyle w:val="Hiperhivatkozs"/>
                <w:noProof/>
              </w:rPr>
              <w:t>3.12. Foglalkoztatói nyugdíjszolgáltatók</w:t>
            </w:r>
            <w:r w:rsidR="00406EFB">
              <w:rPr>
                <w:noProof/>
                <w:webHidden/>
              </w:rPr>
              <w:tab/>
            </w:r>
            <w:r w:rsidR="00406EFB">
              <w:rPr>
                <w:noProof/>
                <w:webHidden/>
              </w:rPr>
              <w:fldChar w:fldCharType="begin"/>
            </w:r>
            <w:r w:rsidR="00406EFB">
              <w:rPr>
                <w:noProof/>
                <w:webHidden/>
              </w:rPr>
              <w:instrText xml:space="preserve"> PAGEREF _Toc109906082 \h </w:instrText>
            </w:r>
            <w:r w:rsidR="00406EFB">
              <w:rPr>
                <w:noProof/>
                <w:webHidden/>
              </w:rPr>
            </w:r>
            <w:r w:rsidR="00406EFB">
              <w:rPr>
                <w:noProof/>
                <w:webHidden/>
              </w:rPr>
              <w:fldChar w:fldCharType="separate"/>
            </w:r>
            <w:r w:rsidR="00406EFB">
              <w:rPr>
                <w:noProof/>
                <w:webHidden/>
              </w:rPr>
              <w:t>36</w:t>
            </w:r>
            <w:r w:rsidR="00406EFB">
              <w:rPr>
                <w:noProof/>
                <w:webHidden/>
              </w:rPr>
              <w:fldChar w:fldCharType="end"/>
            </w:r>
          </w:hyperlink>
        </w:p>
        <w:p w14:paraId="710F7977" w14:textId="525A6367"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3"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_Toc109906083 \h </w:instrText>
            </w:r>
            <w:r w:rsidR="00406EFB">
              <w:rPr>
                <w:noProof/>
                <w:webHidden/>
              </w:rPr>
            </w:r>
            <w:r w:rsidR="00406EFB">
              <w:rPr>
                <w:noProof/>
                <w:webHidden/>
              </w:rPr>
              <w:fldChar w:fldCharType="separate"/>
            </w:r>
            <w:r w:rsidR="00406EFB">
              <w:rPr>
                <w:noProof/>
                <w:webHidden/>
              </w:rPr>
              <w:t>36</w:t>
            </w:r>
            <w:r w:rsidR="00406EFB">
              <w:rPr>
                <w:noProof/>
                <w:webHidden/>
              </w:rPr>
              <w:fldChar w:fldCharType="end"/>
            </w:r>
          </w:hyperlink>
        </w:p>
        <w:p w14:paraId="79B3C110" w14:textId="04D793CC"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4"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_Toc109906084 \h </w:instrText>
            </w:r>
            <w:r w:rsidR="00406EFB">
              <w:rPr>
                <w:noProof/>
                <w:webHidden/>
              </w:rPr>
            </w:r>
            <w:r w:rsidR="00406EFB">
              <w:rPr>
                <w:noProof/>
                <w:webHidden/>
              </w:rPr>
              <w:fldChar w:fldCharType="separate"/>
            </w:r>
            <w:r w:rsidR="00406EFB">
              <w:rPr>
                <w:noProof/>
                <w:webHidden/>
              </w:rPr>
              <w:t>36</w:t>
            </w:r>
            <w:r w:rsidR="00406EFB">
              <w:rPr>
                <w:noProof/>
                <w:webHidden/>
              </w:rPr>
              <w:fldChar w:fldCharType="end"/>
            </w:r>
          </w:hyperlink>
        </w:p>
        <w:p w14:paraId="00028651" w14:textId="61BD93E3"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5"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_Toc109906085 \h </w:instrText>
            </w:r>
            <w:r w:rsidR="00406EFB">
              <w:rPr>
                <w:noProof/>
                <w:webHidden/>
              </w:rPr>
            </w:r>
            <w:r w:rsidR="00406EFB">
              <w:rPr>
                <w:noProof/>
                <w:webHidden/>
              </w:rPr>
              <w:fldChar w:fldCharType="separate"/>
            </w:r>
            <w:r w:rsidR="00406EFB">
              <w:rPr>
                <w:noProof/>
                <w:webHidden/>
              </w:rPr>
              <w:t>36</w:t>
            </w:r>
            <w:r w:rsidR="00406EFB">
              <w:rPr>
                <w:noProof/>
                <w:webHidden/>
              </w:rPr>
              <w:fldChar w:fldCharType="end"/>
            </w:r>
          </w:hyperlink>
        </w:p>
        <w:p w14:paraId="7BE77C82" w14:textId="6C6C72BC"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6"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_Toc109906086 \h </w:instrText>
            </w:r>
            <w:r w:rsidR="00406EFB">
              <w:rPr>
                <w:noProof/>
                <w:webHidden/>
              </w:rPr>
            </w:r>
            <w:r w:rsidR="00406EFB">
              <w:rPr>
                <w:noProof/>
                <w:webHidden/>
              </w:rPr>
              <w:fldChar w:fldCharType="separate"/>
            </w:r>
            <w:r w:rsidR="00406EFB">
              <w:rPr>
                <w:noProof/>
                <w:webHidden/>
              </w:rPr>
              <w:t>37</w:t>
            </w:r>
            <w:r w:rsidR="00406EFB">
              <w:rPr>
                <w:noProof/>
                <w:webHidden/>
              </w:rPr>
              <w:fldChar w:fldCharType="end"/>
            </w:r>
          </w:hyperlink>
        </w:p>
        <w:p w14:paraId="7AA07213" w14:textId="6E89C84E" w:rsidR="00406EFB" w:rsidRDefault="005A24F5">
          <w:pPr>
            <w:pStyle w:val="TJ2"/>
            <w:tabs>
              <w:tab w:val="right" w:leader="dot" w:pos="9514"/>
            </w:tabs>
            <w:rPr>
              <w:rFonts w:asciiTheme="minorHAnsi" w:hAnsiTheme="minorHAnsi"/>
              <w:noProof/>
              <w:sz w:val="22"/>
              <w:szCs w:val="22"/>
            </w:rPr>
          </w:pPr>
          <w:hyperlink w:anchor="_Toc109906087" w:history="1">
            <w:r w:rsidR="00406EFB" w:rsidRPr="0039194C">
              <w:rPr>
                <w:rStyle w:val="Hiperhivatkozs"/>
                <w:noProof/>
              </w:rPr>
              <w:t>3.13. Utalvány-kibocsátók</w:t>
            </w:r>
            <w:r w:rsidR="00406EFB">
              <w:rPr>
                <w:noProof/>
                <w:webHidden/>
              </w:rPr>
              <w:tab/>
            </w:r>
            <w:r w:rsidR="00406EFB">
              <w:rPr>
                <w:noProof/>
                <w:webHidden/>
              </w:rPr>
              <w:fldChar w:fldCharType="begin"/>
            </w:r>
            <w:r w:rsidR="00406EFB">
              <w:rPr>
                <w:noProof/>
                <w:webHidden/>
              </w:rPr>
              <w:instrText xml:space="preserve"> PAGEREF _Toc109906087 \h </w:instrText>
            </w:r>
            <w:r w:rsidR="00406EFB">
              <w:rPr>
                <w:noProof/>
                <w:webHidden/>
              </w:rPr>
            </w:r>
            <w:r w:rsidR="00406EFB">
              <w:rPr>
                <w:noProof/>
                <w:webHidden/>
              </w:rPr>
              <w:fldChar w:fldCharType="separate"/>
            </w:r>
            <w:r w:rsidR="00406EFB">
              <w:rPr>
                <w:noProof/>
                <w:webHidden/>
              </w:rPr>
              <w:t>37</w:t>
            </w:r>
            <w:r w:rsidR="00406EFB">
              <w:rPr>
                <w:noProof/>
                <w:webHidden/>
              </w:rPr>
              <w:fldChar w:fldCharType="end"/>
            </w:r>
          </w:hyperlink>
        </w:p>
        <w:p w14:paraId="78452B6D" w14:textId="5B1CB6D9"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8"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_Toc109906088 \h </w:instrText>
            </w:r>
            <w:r w:rsidR="00406EFB">
              <w:rPr>
                <w:noProof/>
                <w:webHidden/>
              </w:rPr>
            </w:r>
            <w:r w:rsidR="00406EFB">
              <w:rPr>
                <w:noProof/>
                <w:webHidden/>
              </w:rPr>
              <w:fldChar w:fldCharType="separate"/>
            </w:r>
            <w:r w:rsidR="00406EFB">
              <w:rPr>
                <w:noProof/>
                <w:webHidden/>
              </w:rPr>
              <w:t>37</w:t>
            </w:r>
            <w:r w:rsidR="00406EFB">
              <w:rPr>
                <w:noProof/>
                <w:webHidden/>
              </w:rPr>
              <w:fldChar w:fldCharType="end"/>
            </w:r>
          </w:hyperlink>
        </w:p>
        <w:p w14:paraId="109FDD6D" w14:textId="2899FAC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89"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_Toc109906089 \h </w:instrText>
            </w:r>
            <w:r w:rsidR="00406EFB">
              <w:rPr>
                <w:noProof/>
                <w:webHidden/>
              </w:rPr>
            </w:r>
            <w:r w:rsidR="00406EFB">
              <w:rPr>
                <w:noProof/>
                <w:webHidden/>
              </w:rPr>
              <w:fldChar w:fldCharType="separate"/>
            </w:r>
            <w:r w:rsidR="00406EFB">
              <w:rPr>
                <w:noProof/>
                <w:webHidden/>
              </w:rPr>
              <w:t>37</w:t>
            </w:r>
            <w:r w:rsidR="00406EFB">
              <w:rPr>
                <w:noProof/>
                <w:webHidden/>
              </w:rPr>
              <w:fldChar w:fldCharType="end"/>
            </w:r>
          </w:hyperlink>
        </w:p>
        <w:p w14:paraId="5FFE5691" w14:textId="2EE2C95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0"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_Toc109906090 \h </w:instrText>
            </w:r>
            <w:r w:rsidR="00406EFB">
              <w:rPr>
                <w:noProof/>
                <w:webHidden/>
              </w:rPr>
            </w:r>
            <w:r w:rsidR="00406EFB">
              <w:rPr>
                <w:noProof/>
                <w:webHidden/>
              </w:rPr>
              <w:fldChar w:fldCharType="separate"/>
            </w:r>
            <w:r w:rsidR="00406EFB">
              <w:rPr>
                <w:noProof/>
                <w:webHidden/>
              </w:rPr>
              <w:t>38</w:t>
            </w:r>
            <w:r w:rsidR="00406EFB">
              <w:rPr>
                <w:noProof/>
                <w:webHidden/>
              </w:rPr>
              <w:fldChar w:fldCharType="end"/>
            </w:r>
          </w:hyperlink>
        </w:p>
        <w:p w14:paraId="3B4BECD1" w14:textId="6CF6C00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1"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_Toc109906091 \h </w:instrText>
            </w:r>
            <w:r w:rsidR="00406EFB">
              <w:rPr>
                <w:noProof/>
                <w:webHidden/>
              </w:rPr>
            </w:r>
            <w:r w:rsidR="00406EFB">
              <w:rPr>
                <w:noProof/>
                <w:webHidden/>
              </w:rPr>
              <w:fldChar w:fldCharType="separate"/>
            </w:r>
            <w:r w:rsidR="00406EFB">
              <w:rPr>
                <w:noProof/>
                <w:webHidden/>
              </w:rPr>
              <w:t>38</w:t>
            </w:r>
            <w:r w:rsidR="00406EFB">
              <w:rPr>
                <w:noProof/>
                <w:webHidden/>
              </w:rPr>
              <w:fldChar w:fldCharType="end"/>
            </w:r>
          </w:hyperlink>
        </w:p>
        <w:p w14:paraId="6AC8D63B" w14:textId="7683E443" w:rsidR="00406EFB" w:rsidRDefault="005A24F5">
          <w:pPr>
            <w:pStyle w:val="TJ2"/>
            <w:tabs>
              <w:tab w:val="right" w:leader="dot" w:pos="9514"/>
            </w:tabs>
            <w:rPr>
              <w:rFonts w:asciiTheme="minorHAnsi" w:hAnsiTheme="minorHAnsi"/>
              <w:noProof/>
              <w:sz w:val="22"/>
              <w:szCs w:val="22"/>
            </w:rPr>
          </w:pPr>
          <w:hyperlink w:anchor="_Toc109906092" w:history="1">
            <w:r w:rsidR="00406EFB" w:rsidRPr="0039194C">
              <w:rPr>
                <w:rStyle w:val="Hiperhivatkozs"/>
                <w:noProof/>
              </w:rPr>
              <w:t>3.14. Piacműködtetők</w:t>
            </w:r>
            <w:r w:rsidR="00406EFB">
              <w:rPr>
                <w:noProof/>
                <w:webHidden/>
              </w:rPr>
              <w:tab/>
            </w:r>
            <w:r w:rsidR="00406EFB">
              <w:rPr>
                <w:noProof/>
                <w:webHidden/>
              </w:rPr>
              <w:fldChar w:fldCharType="begin"/>
            </w:r>
            <w:r w:rsidR="00406EFB">
              <w:rPr>
                <w:noProof/>
                <w:webHidden/>
              </w:rPr>
              <w:instrText xml:space="preserve"> PAGEREF _Toc109906092 \h </w:instrText>
            </w:r>
            <w:r w:rsidR="00406EFB">
              <w:rPr>
                <w:noProof/>
                <w:webHidden/>
              </w:rPr>
            </w:r>
            <w:r w:rsidR="00406EFB">
              <w:rPr>
                <w:noProof/>
                <w:webHidden/>
              </w:rPr>
              <w:fldChar w:fldCharType="separate"/>
            </w:r>
            <w:r w:rsidR="00406EFB">
              <w:rPr>
                <w:noProof/>
                <w:webHidden/>
              </w:rPr>
              <w:t>38</w:t>
            </w:r>
            <w:r w:rsidR="00406EFB">
              <w:rPr>
                <w:noProof/>
                <w:webHidden/>
              </w:rPr>
              <w:fldChar w:fldCharType="end"/>
            </w:r>
          </w:hyperlink>
        </w:p>
        <w:p w14:paraId="35CF7A23" w14:textId="3AAAAD8B"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3"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_Toc109906093 \h </w:instrText>
            </w:r>
            <w:r w:rsidR="00406EFB">
              <w:rPr>
                <w:noProof/>
                <w:webHidden/>
              </w:rPr>
            </w:r>
            <w:r w:rsidR="00406EFB">
              <w:rPr>
                <w:noProof/>
                <w:webHidden/>
              </w:rPr>
              <w:fldChar w:fldCharType="separate"/>
            </w:r>
            <w:r w:rsidR="00406EFB">
              <w:rPr>
                <w:noProof/>
                <w:webHidden/>
              </w:rPr>
              <w:t>38</w:t>
            </w:r>
            <w:r w:rsidR="00406EFB">
              <w:rPr>
                <w:noProof/>
                <w:webHidden/>
              </w:rPr>
              <w:fldChar w:fldCharType="end"/>
            </w:r>
          </w:hyperlink>
        </w:p>
        <w:p w14:paraId="738D6F59" w14:textId="65DFB2E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4"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_Toc109906094 \h </w:instrText>
            </w:r>
            <w:r w:rsidR="00406EFB">
              <w:rPr>
                <w:noProof/>
                <w:webHidden/>
              </w:rPr>
            </w:r>
            <w:r w:rsidR="00406EFB">
              <w:rPr>
                <w:noProof/>
                <w:webHidden/>
              </w:rPr>
              <w:fldChar w:fldCharType="separate"/>
            </w:r>
            <w:r w:rsidR="00406EFB">
              <w:rPr>
                <w:noProof/>
                <w:webHidden/>
              </w:rPr>
              <w:t>38</w:t>
            </w:r>
            <w:r w:rsidR="00406EFB">
              <w:rPr>
                <w:noProof/>
                <w:webHidden/>
              </w:rPr>
              <w:fldChar w:fldCharType="end"/>
            </w:r>
          </w:hyperlink>
        </w:p>
        <w:p w14:paraId="13F592FC" w14:textId="233AE2CF"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5"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_Toc109906095 \h </w:instrText>
            </w:r>
            <w:r w:rsidR="00406EFB">
              <w:rPr>
                <w:noProof/>
                <w:webHidden/>
              </w:rPr>
            </w:r>
            <w:r w:rsidR="00406EFB">
              <w:rPr>
                <w:noProof/>
                <w:webHidden/>
              </w:rPr>
              <w:fldChar w:fldCharType="separate"/>
            </w:r>
            <w:r w:rsidR="00406EFB">
              <w:rPr>
                <w:noProof/>
                <w:webHidden/>
              </w:rPr>
              <w:t>39</w:t>
            </w:r>
            <w:r w:rsidR="00406EFB">
              <w:rPr>
                <w:noProof/>
                <w:webHidden/>
              </w:rPr>
              <w:fldChar w:fldCharType="end"/>
            </w:r>
          </w:hyperlink>
        </w:p>
        <w:p w14:paraId="4F148585" w14:textId="37666F4B"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6"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_Toc109906096 \h </w:instrText>
            </w:r>
            <w:r w:rsidR="00406EFB">
              <w:rPr>
                <w:noProof/>
                <w:webHidden/>
              </w:rPr>
            </w:r>
            <w:r w:rsidR="00406EFB">
              <w:rPr>
                <w:noProof/>
                <w:webHidden/>
              </w:rPr>
              <w:fldChar w:fldCharType="separate"/>
            </w:r>
            <w:r w:rsidR="00406EFB">
              <w:rPr>
                <w:noProof/>
                <w:webHidden/>
              </w:rPr>
              <w:t>39</w:t>
            </w:r>
            <w:r w:rsidR="00406EFB">
              <w:rPr>
                <w:noProof/>
                <w:webHidden/>
              </w:rPr>
              <w:fldChar w:fldCharType="end"/>
            </w:r>
          </w:hyperlink>
        </w:p>
        <w:p w14:paraId="61530D17" w14:textId="1AC839DB" w:rsidR="00406EFB" w:rsidRDefault="005A24F5">
          <w:pPr>
            <w:pStyle w:val="TJ2"/>
            <w:tabs>
              <w:tab w:val="right" w:leader="dot" w:pos="9514"/>
            </w:tabs>
            <w:rPr>
              <w:rFonts w:asciiTheme="minorHAnsi" w:hAnsiTheme="minorHAnsi"/>
              <w:noProof/>
              <w:sz w:val="22"/>
              <w:szCs w:val="22"/>
            </w:rPr>
          </w:pPr>
          <w:hyperlink w:anchor="_Toc109906097" w:history="1">
            <w:r w:rsidR="00406EFB" w:rsidRPr="0039194C">
              <w:rPr>
                <w:rStyle w:val="Hiperhivatkozs"/>
                <w:noProof/>
              </w:rPr>
              <w:t>3.15. Pénzpiaci közvetítők</w:t>
            </w:r>
            <w:r w:rsidR="00406EFB">
              <w:rPr>
                <w:noProof/>
                <w:webHidden/>
              </w:rPr>
              <w:tab/>
            </w:r>
            <w:r w:rsidR="00406EFB">
              <w:rPr>
                <w:noProof/>
                <w:webHidden/>
              </w:rPr>
              <w:fldChar w:fldCharType="begin"/>
            </w:r>
            <w:r w:rsidR="00406EFB">
              <w:rPr>
                <w:noProof/>
                <w:webHidden/>
              </w:rPr>
              <w:instrText xml:space="preserve"> PAGEREF _Toc109906097 \h </w:instrText>
            </w:r>
            <w:r w:rsidR="00406EFB">
              <w:rPr>
                <w:noProof/>
                <w:webHidden/>
              </w:rPr>
            </w:r>
            <w:r w:rsidR="00406EFB">
              <w:rPr>
                <w:noProof/>
                <w:webHidden/>
              </w:rPr>
              <w:fldChar w:fldCharType="separate"/>
            </w:r>
            <w:r w:rsidR="00406EFB">
              <w:rPr>
                <w:noProof/>
                <w:webHidden/>
              </w:rPr>
              <w:t>39</w:t>
            </w:r>
            <w:r w:rsidR="00406EFB">
              <w:rPr>
                <w:noProof/>
                <w:webHidden/>
              </w:rPr>
              <w:fldChar w:fldCharType="end"/>
            </w:r>
          </w:hyperlink>
        </w:p>
        <w:p w14:paraId="4A2A1A06" w14:textId="0F8AAD05"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8"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_Toc109906098 \h </w:instrText>
            </w:r>
            <w:r w:rsidR="00406EFB">
              <w:rPr>
                <w:noProof/>
                <w:webHidden/>
              </w:rPr>
            </w:r>
            <w:r w:rsidR="00406EFB">
              <w:rPr>
                <w:noProof/>
                <w:webHidden/>
              </w:rPr>
              <w:fldChar w:fldCharType="separate"/>
            </w:r>
            <w:r w:rsidR="00406EFB">
              <w:rPr>
                <w:noProof/>
                <w:webHidden/>
              </w:rPr>
              <w:t>39</w:t>
            </w:r>
            <w:r w:rsidR="00406EFB">
              <w:rPr>
                <w:noProof/>
                <w:webHidden/>
              </w:rPr>
              <w:fldChar w:fldCharType="end"/>
            </w:r>
          </w:hyperlink>
        </w:p>
        <w:p w14:paraId="4C353CE2" w14:textId="1150D8E0"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099"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_Toc109906099 \h </w:instrText>
            </w:r>
            <w:r w:rsidR="00406EFB">
              <w:rPr>
                <w:noProof/>
                <w:webHidden/>
              </w:rPr>
            </w:r>
            <w:r w:rsidR="00406EFB">
              <w:rPr>
                <w:noProof/>
                <w:webHidden/>
              </w:rPr>
              <w:fldChar w:fldCharType="separate"/>
            </w:r>
            <w:r w:rsidR="00406EFB">
              <w:rPr>
                <w:noProof/>
                <w:webHidden/>
              </w:rPr>
              <w:t>39</w:t>
            </w:r>
            <w:r w:rsidR="00406EFB">
              <w:rPr>
                <w:noProof/>
                <w:webHidden/>
              </w:rPr>
              <w:fldChar w:fldCharType="end"/>
            </w:r>
          </w:hyperlink>
        </w:p>
        <w:p w14:paraId="316D88BD" w14:textId="6B243C21"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0"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_Toc109906100 \h </w:instrText>
            </w:r>
            <w:r w:rsidR="00406EFB">
              <w:rPr>
                <w:noProof/>
                <w:webHidden/>
              </w:rPr>
            </w:r>
            <w:r w:rsidR="00406EFB">
              <w:rPr>
                <w:noProof/>
                <w:webHidden/>
              </w:rPr>
              <w:fldChar w:fldCharType="separate"/>
            </w:r>
            <w:r w:rsidR="00406EFB">
              <w:rPr>
                <w:noProof/>
                <w:webHidden/>
              </w:rPr>
              <w:t>40</w:t>
            </w:r>
            <w:r w:rsidR="00406EFB">
              <w:rPr>
                <w:noProof/>
                <w:webHidden/>
              </w:rPr>
              <w:fldChar w:fldCharType="end"/>
            </w:r>
          </w:hyperlink>
        </w:p>
        <w:p w14:paraId="52237DF2" w14:textId="4D2A2D2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1"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_Toc109906101 \h </w:instrText>
            </w:r>
            <w:r w:rsidR="00406EFB">
              <w:rPr>
                <w:noProof/>
                <w:webHidden/>
              </w:rPr>
            </w:r>
            <w:r w:rsidR="00406EFB">
              <w:rPr>
                <w:noProof/>
                <w:webHidden/>
              </w:rPr>
              <w:fldChar w:fldCharType="separate"/>
            </w:r>
            <w:r w:rsidR="00406EFB">
              <w:rPr>
                <w:noProof/>
                <w:webHidden/>
              </w:rPr>
              <w:t>41</w:t>
            </w:r>
            <w:r w:rsidR="00406EFB">
              <w:rPr>
                <w:noProof/>
                <w:webHidden/>
              </w:rPr>
              <w:fldChar w:fldCharType="end"/>
            </w:r>
          </w:hyperlink>
        </w:p>
        <w:p w14:paraId="36A38B1A" w14:textId="3585DF6D" w:rsidR="00406EFB" w:rsidRDefault="005A24F5">
          <w:pPr>
            <w:pStyle w:val="TJ2"/>
            <w:tabs>
              <w:tab w:val="right" w:leader="dot" w:pos="9514"/>
            </w:tabs>
            <w:rPr>
              <w:rFonts w:asciiTheme="minorHAnsi" w:hAnsiTheme="minorHAnsi"/>
              <w:noProof/>
              <w:sz w:val="22"/>
              <w:szCs w:val="22"/>
            </w:rPr>
          </w:pPr>
          <w:hyperlink w:anchor="_Toc109906102" w:history="1">
            <w:r w:rsidR="00406EFB" w:rsidRPr="0039194C">
              <w:rPr>
                <w:rStyle w:val="Hiperhivatkozs"/>
                <w:noProof/>
              </w:rPr>
              <w:t>3.16. Pénzfeldolgozók</w:t>
            </w:r>
            <w:r w:rsidR="00406EFB">
              <w:rPr>
                <w:noProof/>
                <w:webHidden/>
              </w:rPr>
              <w:tab/>
            </w:r>
            <w:r w:rsidR="00406EFB">
              <w:rPr>
                <w:noProof/>
                <w:webHidden/>
              </w:rPr>
              <w:fldChar w:fldCharType="begin"/>
            </w:r>
            <w:r w:rsidR="00406EFB">
              <w:rPr>
                <w:noProof/>
                <w:webHidden/>
              </w:rPr>
              <w:instrText xml:space="preserve"> PAGEREF _Toc109906102 \h </w:instrText>
            </w:r>
            <w:r w:rsidR="00406EFB">
              <w:rPr>
                <w:noProof/>
                <w:webHidden/>
              </w:rPr>
            </w:r>
            <w:r w:rsidR="00406EFB">
              <w:rPr>
                <w:noProof/>
                <w:webHidden/>
              </w:rPr>
              <w:fldChar w:fldCharType="separate"/>
            </w:r>
            <w:r w:rsidR="00406EFB">
              <w:rPr>
                <w:noProof/>
                <w:webHidden/>
              </w:rPr>
              <w:t>41</w:t>
            </w:r>
            <w:r w:rsidR="00406EFB">
              <w:rPr>
                <w:noProof/>
                <w:webHidden/>
              </w:rPr>
              <w:fldChar w:fldCharType="end"/>
            </w:r>
          </w:hyperlink>
        </w:p>
        <w:p w14:paraId="3B1C2449" w14:textId="4E02CDE3"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3" w:history="1">
            <w:r w:rsidR="00406EFB" w:rsidRPr="0039194C">
              <w:rPr>
                <w:rStyle w:val="Hiperhivatkozs"/>
                <w:noProof/>
              </w:rPr>
              <w:t>1.</w:t>
            </w:r>
            <w:r w:rsidR="00406EFB">
              <w:rPr>
                <w:rFonts w:asciiTheme="minorHAnsi" w:eastAsiaTheme="minorEastAsia" w:hAnsiTheme="minorHAnsi"/>
                <w:noProof/>
                <w:sz w:val="22"/>
                <w:szCs w:val="22"/>
              </w:rPr>
              <w:tab/>
            </w:r>
            <w:r w:rsidR="00406EFB" w:rsidRPr="0039194C">
              <w:rPr>
                <w:rStyle w:val="Hiperhivatkozs"/>
                <w:noProof/>
              </w:rPr>
              <w:t>A szektor méretére, tevékenységi körére és összetettségére vonatkozó információk összesített formában</w:t>
            </w:r>
            <w:r w:rsidR="00406EFB">
              <w:rPr>
                <w:noProof/>
                <w:webHidden/>
              </w:rPr>
              <w:tab/>
            </w:r>
            <w:r w:rsidR="00406EFB">
              <w:rPr>
                <w:noProof/>
                <w:webHidden/>
              </w:rPr>
              <w:fldChar w:fldCharType="begin"/>
            </w:r>
            <w:r w:rsidR="00406EFB">
              <w:rPr>
                <w:noProof/>
                <w:webHidden/>
              </w:rPr>
              <w:instrText xml:space="preserve"> PAGEREF _Toc109906103 \h </w:instrText>
            </w:r>
            <w:r w:rsidR="00406EFB">
              <w:rPr>
                <w:noProof/>
                <w:webHidden/>
              </w:rPr>
            </w:r>
            <w:r w:rsidR="00406EFB">
              <w:rPr>
                <w:noProof/>
                <w:webHidden/>
              </w:rPr>
              <w:fldChar w:fldCharType="separate"/>
            </w:r>
            <w:r w:rsidR="00406EFB">
              <w:rPr>
                <w:noProof/>
                <w:webHidden/>
              </w:rPr>
              <w:t>41</w:t>
            </w:r>
            <w:r w:rsidR="00406EFB">
              <w:rPr>
                <w:noProof/>
                <w:webHidden/>
              </w:rPr>
              <w:fldChar w:fldCharType="end"/>
            </w:r>
          </w:hyperlink>
        </w:p>
        <w:p w14:paraId="41A8D511" w14:textId="510892AA"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4" w:history="1">
            <w:r w:rsidR="00406EFB" w:rsidRPr="0039194C">
              <w:rPr>
                <w:rStyle w:val="Hiperhivatkozs"/>
                <w:noProof/>
              </w:rPr>
              <w:t>2.</w:t>
            </w:r>
            <w:r w:rsidR="00406EFB">
              <w:rPr>
                <w:rFonts w:asciiTheme="minorHAnsi" w:eastAsiaTheme="minorEastAsia" w:hAnsiTheme="minorHAnsi"/>
                <w:noProof/>
                <w:sz w:val="22"/>
                <w:szCs w:val="22"/>
              </w:rPr>
              <w:tab/>
            </w:r>
            <w:r w:rsidR="00406EFB" w:rsidRPr="0039194C">
              <w:rPr>
                <w:rStyle w:val="Hiperhivatkozs"/>
                <w:noProof/>
              </w:rPr>
              <w:t>Inherens kockázatértékelés</w:t>
            </w:r>
            <w:r w:rsidR="00406EFB">
              <w:rPr>
                <w:noProof/>
                <w:webHidden/>
              </w:rPr>
              <w:tab/>
            </w:r>
            <w:r w:rsidR="00406EFB">
              <w:rPr>
                <w:noProof/>
                <w:webHidden/>
              </w:rPr>
              <w:fldChar w:fldCharType="begin"/>
            </w:r>
            <w:r w:rsidR="00406EFB">
              <w:rPr>
                <w:noProof/>
                <w:webHidden/>
              </w:rPr>
              <w:instrText xml:space="preserve"> PAGEREF _Toc109906104 \h </w:instrText>
            </w:r>
            <w:r w:rsidR="00406EFB">
              <w:rPr>
                <w:noProof/>
                <w:webHidden/>
              </w:rPr>
            </w:r>
            <w:r w:rsidR="00406EFB">
              <w:rPr>
                <w:noProof/>
                <w:webHidden/>
              </w:rPr>
              <w:fldChar w:fldCharType="separate"/>
            </w:r>
            <w:r w:rsidR="00406EFB">
              <w:rPr>
                <w:noProof/>
                <w:webHidden/>
              </w:rPr>
              <w:t>41</w:t>
            </w:r>
            <w:r w:rsidR="00406EFB">
              <w:rPr>
                <w:noProof/>
                <w:webHidden/>
              </w:rPr>
              <w:fldChar w:fldCharType="end"/>
            </w:r>
          </w:hyperlink>
        </w:p>
        <w:p w14:paraId="0502D122" w14:textId="0A0D63C8"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5" w:history="1">
            <w:r w:rsidR="00406EFB" w:rsidRPr="0039194C">
              <w:rPr>
                <w:rStyle w:val="Hiperhivatkozs"/>
                <w:noProof/>
              </w:rPr>
              <w:t>3.</w:t>
            </w:r>
            <w:r w:rsidR="00406EFB">
              <w:rPr>
                <w:rFonts w:asciiTheme="minorHAnsi" w:eastAsiaTheme="minorEastAsia" w:hAnsiTheme="minorHAnsi"/>
                <w:noProof/>
                <w:sz w:val="22"/>
                <w:szCs w:val="22"/>
              </w:rPr>
              <w:tab/>
            </w:r>
            <w:r w:rsidR="00406EFB" w:rsidRPr="0039194C">
              <w:rPr>
                <w:rStyle w:val="Hiperhivatkozs"/>
                <w:noProof/>
              </w:rPr>
              <w:t>Az ellenőrzések minősége, felügyeleti tevékenység, azonosított jogsértések</w:t>
            </w:r>
            <w:r w:rsidR="00406EFB">
              <w:rPr>
                <w:noProof/>
                <w:webHidden/>
              </w:rPr>
              <w:tab/>
            </w:r>
            <w:r w:rsidR="00406EFB">
              <w:rPr>
                <w:noProof/>
                <w:webHidden/>
              </w:rPr>
              <w:fldChar w:fldCharType="begin"/>
            </w:r>
            <w:r w:rsidR="00406EFB">
              <w:rPr>
                <w:noProof/>
                <w:webHidden/>
              </w:rPr>
              <w:instrText xml:space="preserve"> PAGEREF _Toc109906105 \h </w:instrText>
            </w:r>
            <w:r w:rsidR="00406EFB">
              <w:rPr>
                <w:noProof/>
                <w:webHidden/>
              </w:rPr>
            </w:r>
            <w:r w:rsidR="00406EFB">
              <w:rPr>
                <w:noProof/>
                <w:webHidden/>
              </w:rPr>
              <w:fldChar w:fldCharType="separate"/>
            </w:r>
            <w:r w:rsidR="00406EFB">
              <w:rPr>
                <w:noProof/>
                <w:webHidden/>
              </w:rPr>
              <w:t>42</w:t>
            </w:r>
            <w:r w:rsidR="00406EFB">
              <w:rPr>
                <w:noProof/>
                <w:webHidden/>
              </w:rPr>
              <w:fldChar w:fldCharType="end"/>
            </w:r>
          </w:hyperlink>
        </w:p>
        <w:p w14:paraId="581DC4AA" w14:textId="4DD0B6D8" w:rsidR="00406EFB" w:rsidRDefault="005A24F5">
          <w:pPr>
            <w:pStyle w:val="TJ3"/>
            <w:tabs>
              <w:tab w:val="left" w:pos="880"/>
              <w:tab w:val="right" w:leader="dot" w:pos="9514"/>
            </w:tabs>
            <w:rPr>
              <w:rFonts w:asciiTheme="minorHAnsi" w:eastAsiaTheme="minorEastAsia" w:hAnsiTheme="minorHAnsi"/>
              <w:noProof/>
              <w:sz w:val="22"/>
              <w:szCs w:val="22"/>
            </w:rPr>
          </w:pPr>
          <w:hyperlink w:anchor="_Toc109906106" w:history="1">
            <w:r w:rsidR="00406EFB" w:rsidRPr="0039194C">
              <w:rPr>
                <w:rStyle w:val="Hiperhivatkozs"/>
                <w:noProof/>
              </w:rPr>
              <w:t>4.</w:t>
            </w:r>
            <w:r w:rsidR="00406EFB">
              <w:rPr>
                <w:rFonts w:asciiTheme="minorHAnsi" w:eastAsiaTheme="minorEastAsia" w:hAnsiTheme="minorHAnsi"/>
                <w:noProof/>
                <w:sz w:val="22"/>
                <w:szCs w:val="22"/>
              </w:rPr>
              <w:tab/>
            </w:r>
            <w:r w:rsidR="00406EFB" w:rsidRPr="0039194C">
              <w:rPr>
                <w:rStyle w:val="Hiperhivatkozs"/>
                <w:noProof/>
              </w:rPr>
              <w:t>Maradványkockázat</w:t>
            </w:r>
            <w:r w:rsidR="00406EFB">
              <w:rPr>
                <w:noProof/>
                <w:webHidden/>
              </w:rPr>
              <w:tab/>
            </w:r>
            <w:r w:rsidR="00406EFB">
              <w:rPr>
                <w:noProof/>
                <w:webHidden/>
              </w:rPr>
              <w:fldChar w:fldCharType="begin"/>
            </w:r>
            <w:r w:rsidR="00406EFB">
              <w:rPr>
                <w:noProof/>
                <w:webHidden/>
              </w:rPr>
              <w:instrText xml:space="preserve"> PAGEREF _Toc109906106 \h </w:instrText>
            </w:r>
            <w:r w:rsidR="00406EFB">
              <w:rPr>
                <w:noProof/>
                <w:webHidden/>
              </w:rPr>
            </w:r>
            <w:r w:rsidR="00406EFB">
              <w:rPr>
                <w:noProof/>
                <w:webHidden/>
              </w:rPr>
              <w:fldChar w:fldCharType="separate"/>
            </w:r>
            <w:r w:rsidR="00406EFB">
              <w:rPr>
                <w:noProof/>
                <w:webHidden/>
              </w:rPr>
              <w:t>42</w:t>
            </w:r>
            <w:r w:rsidR="00406EFB">
              <w:rPr>
                <w:noProof/>
                <w:webHidden/>
              </w:rPr>
              <w:fldChar w:fldCharType="end"/>
            </w:r>
          </w:hyperlink>
        </w:p>
        <w:p w14:paraId="090E9A42" w14:textId="5EA2521C" w:rsidR="00406EFB" w:rsidRDefault="005A24F5">
          <w:pPr>
            <w:pStyle w:val="TJ1"/>
            <w:tabs>
              <w:tab w:val="right" w:leader="dot" w:pos="9514"/>
            </w:tabs>
            <w:rPr>
              <w:rFonts w:asciiTheme="minorHAnsi" w:hAnsiTheme="minorHAnsi"/>
              <w:noProof/>
              <w:sz w:val="22"/>
              <w:szCs w:val="22"/>
            </w:rPr>
          </w:pPr>
          <w:hyperlink w:anchor="_Toc109906107" w:history="1">
            <w:r w:rsidR="00406EFB" w:rsidRPr="0039194C">
              <w:rPr>
                <w:rStyle w:val="Hiperhivatkozs"/>
                <w:noProof/>
              </w:rPr>
              <w:t>4. ÖSSZEGZÉS</w:t>
            </w:r>
            <w:r w:rsidR="00406EFB">
              <w:rPr>
                <w:noProof/>
                <w:webHidden/>
              </w:rPr>
              <w:tab/>
            </w:r>
            <w:r w:rsidR="00406EFB">
              <w:rPr>
                <w:noProof/>
                <w:webHidden/>
              </w:rPr>
              <w:fldChar w:fldCharType="begin"/>
            </w:r>
            <w:r w:rsidR="00406EFB">
              <w:rPr>
                <w:noProof/>
                <w:webHidden/>
              </w:rPr>
              <w:instrText xml:space="preserve"> PAGEREF _Toc109906107 \h </w:instrText>
            </w:r>
            <w:r w:rsidR="00406EFB">
              <w:rPr>
                <w:noProof/>
                <w:webHidden/>
              </w:rPr>
            </w:r>
            <w:r w:rsidR="00406EFB">
              <w:rPr>
                <w:noProof/>
                <w:webHidden/>
              </w:rPr>
              <w:fldChar w:fldCharType="separate"/>
            </w:r>
            <w:r w:rsidR="00406EFB">
              <w:rPr>
                <w:noProof/>
                <w:webHidden/>
              </w:rPr>
              <w:t>43</w:t>
            </w:r>
            <w:r w:rsidR="00406EFB">
              <w:rPr>
                <w:noProof/>
                <w:webHidden/>
              </w:rPr>
              <w:fldChar w:fldCharType="end"/>
            </w:r>
          </w:hyperlink>
        </w:p>
        <w:p w14:paraId="671A64D3" w14:textId="10408A0E" w:rsidR="00041F40" w:rsidRDefault="00041F40">
          <w:r>
            <w:rPr>
              <w:b/>
              <w:bCs/>
            </w:rPr>
            <w:fldChar w:fldCharType="end"/>
          </w:r>
        </w:p>
      </w:sdtContent>
    </w:sdt>
    <w:p w14:paraId="21D618CC" w14:textId="341EE60E" w:rsidR="008A63C7" w:rsidRPr="008A63C7" w:rsidRDefault="005C1BE9" w:rsidP="000222BD">
      <w:pPr>
        <w:spacing w:after="0" w:line="240" w:lineRule="auto"/>
        <w:jc w:val="left"/>
      </w:pPr>
      <w:r>
        <w:br w:type="page"/>
      </w:r>
    </w:p>
    <w:p w14:paraId="0B9F2772" w14:textId="1D4CC3D1" w:rsidR="008A63C7" w:rsidRPr="00A07F4E" w:rsidRDefault="008A63C7" w:rsidP="00281B1D">
      <w:pPr>
        <w:pStyle w:val="Cmsor1"/>
      </w:pPr>
      <w:bookmarkStart w:id="0" w:name="_Toc109906003"/>
      <w:r>
        <w:lastRenderedPageBreak/>
        <w:t>Bevezetés</w:t>
      </w:r>
      <w:bookmarkEnd w:id="0"/>
    </w:p>
    <w:p w14:paraId="780813A5" w14:textId="71CC4AA9" w:rsidR="00BD4FE5" w:rsidRDefault="007130E2" w:rsidP="009D09F9">
      <w:r>
        <w:t xml:space="preserve">A </w:t>
      </w:r>
      <w:proofErr w:type="spellStart"/>
      <w:r w:rsidRPr="00EC3AC1">
        <w:t>pénzmosás</w:t>
      </w:r>
      <w:proofErr w:type="spellEnd"/>
      <w:r w:rsidRPr="00EC3AC1">
        <w:t xml:space="preserve"> és a terrorizmus finanszírozása megelőzéséről és megakadályozásáról</w:t>
      </w:r>
      <w:r>
        <w:t xml:space="preserve"> szóló </w:t>
      </w:r>
      <w:r w:rsidRPr="00EC3AC1">
        <w:t xml:space="preserve">2017. évi </w:t>
      </w:r>
      <w:r>
        <w:t>LIII</w:t>
      </w:r>
      <w:r w:rsidRPr="00EC3AC1">
        <w:t>. törvény</w:t>
      </w:r>
      <w:r>
        <w:t xml:space="preserve"> (</w:t>
      </w:r>
      <w:proofErr w:type="spellStart"/>
      <w:r w:rsidRPr="00281B1D">
        <w:rPr>
          <w:b/>
          <w:bCs/>
        </w:rPr>
        <w:t>Pmt</w:t>
      </w:r>
      <w:proofErr w:type="spellEnd"/>
      <w:r w:rsidRPr="00281B1D">
        <w:rPr>
          <w:b/>
          <w:bCs/>
        </w:rPr>
        <w:t>.</w:t>
      </w:r>
      <w:r>
        <w:t>) 28. §-ára figyelemmel, a</w:t>
      </w:r>
      <w:r w:rsidR="00A27EDC">
        <w:t xml:space="preserve"> Magyar Nemzeti Bank (</w:t>
      </w:r>
      <w:r w:rsidR="00A27EDC" w:rsidRPr="00281B1D">
        <w:rPr>
          <w:b/>
          <w:bCs/>
        </w:rPr>
        <w:t>MNB</w:t>
      </w:r>
      <w:r w:rsidR="00A27EDC">
        <w:t>)</w:t>
      </w:r>
      <w:r w:rsidR="009D09F9" w:rsidRPr="00A07F4E">
        <w:t xml:space="preserve"> </w:t>
      </w:r>
      <w:r w:rsidR="00CC483B">
        <w:t xml:space="preserve">a </w:t>
      </w:r>
      <w:proofErr w:type="spellStart"/>
      <w:r w:rsidR="00AB1A65">
        <w:t>szektorális</w:t>
      </w:r>
      <w:proofErr w:type="spellEnd"/>
      <w:r w:rsidR="00AB1A65">
        <w:t xml:space="preserve"> </w:t>
      </w:r>
      <w:r w:rsidR="00A27EDC">
        <w:t>kockázat</w:t>
      </w:r>
      <w:r w:rsidR="00A27EDC" w:rsidRPr="00A07F4E">
        <w:t>értékelés</w:t>
      </w:r>
      <w:r w:rsidR="00A27EDC">
        <w:t xml:space="preserve">nek elvégzésekor </w:t>
      </w:r>
      <w:r w:rsidR="00445855">
        <w:t>tekintettel volt</w:t>
      </w:r>
      <w:r w:rsidR="009D09F9" w:rsidRPr="00A07F4E">
        <w:t xml:space="preserve"> a</w:t>
      </w:r>
      <w:r w:rsidR="000A0C14">
        <w:t xml:space="preserve"> </w:t>
      </w:r>
      <w:r w:rsidR="009D09F9" w:rsidRPr="00A07F4E">
        <w:t>Nemzeti Kockázatértékelés</w:t>
      </w:r>
      <w:r w:rsidR="00445855">
        <w:t>re</w:t>
      </w:r>
      <w:r w:rsidR="009D09F9" w:rsidRPr="00A07F4E">
        <w:t xml:space="preserve"> (</w:t>
      </w:r>
      <w:r w:rsidR="009D09F9" w:rsidRPr="00281B1D">
        <w:rPr>
          <w:b/>
          <w:bCs/>
        </w:rPr>
        <w:t>NRA</w:t>
      </w:r>
      <w:r w:rsidR="009D09F9" w:rsidRPr="00A07F4E">
        <w:t>)</w:t>
      </w:r>
      <w:r w:rsidR="009D4E8A">
        <w:t>, illetve annak felülvizsgálatának eredményé</w:t>
      </w:r>
      <w:r w:rsidR="00445855">
        <w:t>re</w:t>
      </w:r>
      <w:r w:rsidR="009D09F9" w:rsidRPr="00A07F4E">
        <w:t>.</w:t>
      </w:r>
      <w:r w:rsidR="009D4E8A">
        <w:t xml:space="preserve"> </w:t>
      </w:r>
    </w:p>
    <w:p w14:paraId="4093B77E" w14:textId="061A31FE" w:rsidR="00A340CA" w:rsidRDefault="00A340CA" w:rsidP="009D09F9">
      <w:r>
        <w:t>Jelen kockázatértékelés a nemzetközi tapasztalatokat is figyelembe veszi, így az Európai Bizottság a határokon átnyúló tevékenységekhez kapcsolódó és a belső piacot érintő pénzmosási és terrorizmusfinanszírozási kockázatok értékeléséről szóló jelentését (</w:t>
      </w:r>
      <w:r w:rsidRPr="00281B1D">
        <w:rPr>
          <w:b/>
          <w:bCs/>
        </w:rPr>
        <w:t>Szupranacionális kockázatértékelés</w:t>
      </w:r>
      <w:r>
        <w:t>)</w:t>
      </w:r>
      <w:r w:rsidR="006C4D68">
        <w:t xml:space="preserve">, illetve </w:t>
      </w:r>
      <w:r w:rsidR="006C4D68" w:rsidRPr="00A07F4E">
        <w:t xml:space="preserve">az European Banking </w:t>
      </w:r>
      <w:proofErr w:type="spellStart"/>
      <w:r w:rsidR="006C4D68" w:rsidRPr="00A07F4E">
        <w:t>Authority</w:t>
      </w:r>
      <w:proofErr w:type="spellEnd"/>
      <w:r w:rsidR="006C4D68" w:rsidRPr="00A07F4E">
        <w:t xml:space="preserve"> (</w:t>
      </w:r>
      <w:proofErr w:type="spellStart"/>
      <w:r w:rsidR="006C4D68" w:rsidRPr="00554E41">
        <w:rPr>
          <w:b/>
          <w:bCs/>
        </w:rPr>
        <w:t>EBA</w:t>
      </w:r>
      <w:proofErr w:type="spellEnd"/>
      <w:r w:rsidR="006C4D68" w:rsidRPr="00A07F4E">
        <w:t xml:space="preserve">) </w:t>
      </w:r>
      <w:r w:rsidR="006C4D68">
        <w:t>által kiadott alábbi iránymutatásokat</w:t>
      </w:r>
      <w:r w:rsidR="00CC483B">
        <w:t xml:space="preserve"> és</w:t>
      </w:r>
      <w:r w:rsidR="006C4D68">
        <w:t xml:space="preserve"> véleményt is</w:t>
      </w:r>
      <w:r w:rsidR="00CC483B">
        <w:t>:</w:t>
      </w:r>
      <w:r w:rsidR="006C4D68">
        <w:t xml:space="preserve"> </w:t>
      </w:r>
    </w:p>
    <w:p w14:paraId="03D93554" w14:textId="180F3179" w:rsidR="00CA6053" w:rsidRDefault="00BD4FE5" w:rsidP="00BD4FE5">
      <w:pPr>
        <w:pStyle w:val="Listaszerbekezds"/>
        <w:numPr>
          <w:ilvl w:val="0"/>
          <w:numId w:val="212"/>
        </w:numPr>
      </w:pPr>
      <w:r w:rsidRPr="00281B1D">
        <w:rPr>
          <w:i/>
          <w:iCs/>
        </w:rPr>
        <w:t xml:space="preserve">a </w:t>
      </w:r>
      <w:proofErr w:type="spellStart"/>
      <w:r w:rsidRPr="00281B1D">
        <w:rPr>
          <w:i/>
          <w:iCs/>
        </w:rPr>
        <w:t>pénzmosás</w:t>
      </w:r>
      <w:proofErr w:type="spellEnd"/>
      <w:r w:rsidRPr="00281B1D">
        <w:rPr>
          <w:i/>
          <w:iCs/>
        </w:rPr>
        <w:t xml:space="preserve"> elleni küzdelemmel és a terrorizmus finanszírozásával kapcsolatos felügyelet kockázatalapú megközelítésének jellemzőiről, valamint a kockázatalapú felügyelet során szükséges lépésekről, az (EU) 2015/849 irányelv 48. cikkének (10) bekezdése alapján (az </w:t>
      </w:r>
      <w:proofErr w:type="spellStart"/>
      <w:r w:rsidRPr="00281B1D">
        <w:rPr>
          <w:i/>
          <w:iCs/>
        </w:rPr>
        <w:t>ESAs</w:t>
      </w:r>
      <w:proofErr w:type="spellEnd"/>
      <w:r w:rsidRPr="00281B1D">
        <w:rPr>
          <w:i/>
          <w:iCs/>
        </w:rPr>
        <w:t>/2016/72 közös iránymutatás módosítása</w:t>
      </w:r>
      <w:r w:rsidR="00CA6053" w:rsidRPr="00CA6053">
        <w:rPr>
          <w:i/>
          <w:iCs/>
        </w:rPr>
        <w:t>)</w:t>
      </w:r>
      <w:r w:rsidR="00CA6053" w:rsidRPr="00281B1D">
        <w:t xml:space="preserve"> (</w:t>
      </w:r>
      <w:proofErr w:type="spellStart"/>
      <w:r w:rsidR="00CA6053" w:rsidRPr="00CA6053">
        <w:t>EBA</w:t>
      </w:r>
      <w:proofErr w:type="spellEnd"/>
      <w:r w:rsidR="00CA6053" w:rsidRPr="00CA6053">
        <w:t>/</w:t>
      </w:r>
      <w:proofErr w:type="spellStart"/>
      <w:r w:rsidR="00CA6053" w:rsidRPr="00CA6053">
        <w:t>GL</w:t>
      </w:r>
      <w:proofErr w:type="spellEnd"/>
      <w:r w:rsidR="00CA6053" w:rsidRPr="00CA6053">
        <w:t>/2021/16)</w:t>
      </w:r>
    </w:p>
    <w:p w14:paraId="0134EAC8" w14:textId="52A10D0E" w:rsidR="00CA6053" w:rsidRPr="00281B1D" w:rsidRDefault="00CA6053" w:rsidP="00BD4FE5">
      <w:pPr>
        <w:pStyle w:val="Listaszerbekezds"/>
        <w:numPr>
          <w:ilvl w:val="0"/>
          <w:numId w:val="212"/>
        </w:numPr>
        <w:rPr>
          <w:i/>
          <w:iCs/>
        </w:rPr>
      </w:pPr>
      <w:r w:rsidRPr="00281B1D">
        <w:rPr>
          <w:i/>
          <w:iCs/>
        </w:rPr>
        <w:t xml:space="preserve">az (EU) 2015/849 irányelv 17. cikke és 18. cikkének (4) bekezdése szerint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(a továbbiakban: a pénzmosási és terrorizmusfinanszírozási kockázati tényezőkről szóló iránymutatások), amelyek hatályon kívül helyezik és felváltják a </w:t>
      </w:r>
      <w:proofErr w:type="spellStart"/>
      <w:r w:rsidRPr="00281B1D">
        <w:rPr>
          <w:i/>
          <w:iCs/>
        </w:rPr>
        <w:t>JC</w:t>
      </w:r>
      <w:proofErr w:type="spellEnd"/>
      <w:r w:rsidRPr="00281B1D">
        <w:rPr>
          <w:i/>
          <w:iCs/>
        </w:rPr>
        <w:t>/2017/37 hivatkozási számú iránymutatásokat</w:t>
      </w:r>
      <w:r>
        <w:rPr>
          <w:i/>
          <w:iCs/>
        </w:rPr>
        <w:t xml:space="preserve"> (</w:t>
      </w:r>
      <w:proofErr w:type="spellStart"/>
      <w:r>
        <w:t>EBA</w:t>
      </w:r>
      <w:proofErr w:type="spellEnd"/>
      <w:r>
        <w:t>/</w:t>
      </w:r>
      <w:proofErr w:type="spellStart"/>
      <w:r>
        <w:t>GL</w:t>
      </w:r>
      <w:proofErr w:type="spellEnd"/>
      <w:r>
        <w:t>/2021/02)</w:t>
      </w:r>
    </w:p>
    <w:p w14:paraId="711CAE46" w14:textId="55519093" w:rsidR="00CA6053" w:rsidRDefault="009D09F9" w:rsidP="00BD4FE5">
      <w:pPr>
        <w:pStyle w:val="Listaszerbekezds"/>
        <w:numPr>
          <w:ilvl w:val="0"/>
          <w:numId w:val="212"/>
        </w:numPr>
      </w:pPr>
      <w:proofErr w:type="spellStart"/>
      <w:r w:rsidRPr="00281B1D">
        <w:rPr>
          <w:i/>
          <w:iCs/>
        </w:rPr>
        <w:t>Opinion</w:t>
      </w:r>
      <w:proofErr w:type="spellEnd"/>
      <w:r w:rsidRPr="00281B1D">
        <w:rPr>
          <w:i/>
          <w:iCs/>
        </w:rPr>
        <w:t xml:space="preserve"> of </w:t>
      </w:r>
      <w:proofErr w:type="spellStart"/>
      <w:r w:rsidRPr="00281B1D">
        <w:rPr>
          <w:i/>
          <w:iCs/>
        </w:rPr>
        <w:t>the</w:t>
      </w:r>
      <w:proofErr w:type="spellEnd"/>
      <w:r w:rsidRPr="00281B1D">
        <w:rPr>
          <w:i/>
          <w:iCs/>
        </w:rPr>
        <w:t xml:space="preserve"> European Banking </w:t>
      </w:r>
      <w:proofErr w:type="spellStart"/>
      <w:r w:rsidRPr="00281B1D">
        <w:rPr>
          <w:i/>
          <w:iCs/>
        </w:rPr>
        <w:t>Authority</w:t>
      </w:r>
      <w:proofErr w:type="spellEnd"/>
      <w:r w:rsidRPr="00281B1D">
        <w:rPr>
          <w:i/>
          <w:iCs/>
        </w:rPr>
        <w:t xml:space="preserve"> </w:t>
      </w:r>
      <w:proofErr w:type="spellStart"/>
      <w:r w:rsidRPr="00281B1D">
        <w:rPr>
          <w:i/>
          <w:iCs/>
        </w:rPr>
        <w:t>on</w:t>
      </w:r>
      <w:proofErr w:type="spellEnd"/>
      <w:r w:rsidRPr="00281B1D">
        <w:rPr>
          <w:i/>
          <w:iCs/>
        </w:rPr>
        <w:t xml:space="preserve"> </w:t>
      </w:r>
      <w:proofErr w:type="spellStart"/>
      <w:r w:rsidRPr="00281B1D">
        <w:rPr>
          <w:i/>
          <w:iCs/>
        </w:rPr>
        <w:t>the</w:t>
      </w:r>
      <w:proofErr w:type="spellEnd"/>
      <w:r w:rsidRPr="00281B1D">
        <w:rPr>
          <w:i/>
          <w:iCs/>
        </w:rPr>
        <w:t xml:space="preserve"> </w:t>
      </w:r>
      <w:proofErr w:type="spellStart"/>
      <w:r w:rsidRPr="00281B1D">
        <w:rPr>
          <w:i/>
          <w:iCs/>
        </w:rPr>
        <w:t>risks</w:t>
      </w:r>
      <w:proofErr w:type="spellEnd"/>
      <w:r w:rsidRPr="00281B1D">
        <w:rPr>
          <w:i/>
          <w:iCs/>
        </w:rPr>
        <w:t xml:space="preserve"> of </w:t>
      </w:r>
      <w:proofErr w:type="spellStart"/>
      <w:r w:rsidRPr="00281B1D">
        <w:rPr>
          <w:i/>
          <w:iCs/>
        </w:rPr>
        <w:t>money</w:t>
      </w:r>
      <w:proofErr w:type="spellEnd"/>
      <w:r w:rsidRPr="00281B1D">
        <w:rPr>
          <w:i/>
          <w:iCs/>
        </w:rPr>
        <w:t xml:space="preserve"> </w:t>
      </w:r>
      <w:proofErr w:type="spellStart"/>
      <w:r w:rsidRPr="00281B1D">
        <w:rPr>
          <w:i/>
          <w:iCs/>
        </w:rPr>
        <w:t>laundering</w:t>
      </w:r>
      <w:proofErr w:type="spellEnd"/>
      <w:r w:rsidRPr="00281B1D">
        <w:rPr>
          <w:i/>
          <w:iCs/>
        </w:rPr>
        <w:t xml:space="preserve"> and </w:t>
      </w:r>
      <w:proofErr w:type="spellStart"/>
      <w:r w:rsidRPr="00281B1D">
        <w:rPr>
          <w:i/>
          <w:iCs/>
        </w:rPr>
        <w:t>terrorist</w:t>
      </w:r>
      <w:proofErr w:type="spellEnd"/>
      <w:r w:rsidRPr="00281B1D">
        <w:rPr>
          <w:i/>
          <w:iCs/>
        </w:rPr>
        <w:t xml:space="preserve"> </w:t>
      </w:r>
      <w:proofErr w:type="spellStart"/>
      <w:r w:rsidRPr="00281B1D">
        <w:rPr>
          <w:i/>
          <w:iCs/>
        </w:rPr>
        <w:t>financing</w:t>
      </w:r>
      <w:proofErr w:type="spellEnd"/>
      <w:r w:rsidRPr="00281B1D">
        <w:rPr>
          <w:i/>
          <w:iCs/>
        </w:rPr>
        <w:t xml:space="preserve"> </w:t>
      </w:r>
      <w:proofErr w:type="spellStart"/>
      <w:r w:rsidRPr="00281B1D">
        <w:rPr>
          <w:i/>
          <w:iCs/>
        </w:rPr>
        <w:t>affecting</w:t>
      </w:r>
      <w:proofErr w:type="spellEnd"/>
      <w:r w:rsidRPr="00281B1D">
        <w:rPr>
          <w:i/>
          <w:iCs/>
        </w:rPr>
        <w:t xml:space="preserve"> </w:t>
      </w:r>
      <w:proofErr w:type="spellStart"/>
      <w:r w:rsidRPr="00281B1D">
        <w:rPr>
          <w:i/>
          <w:iCs/>
        </w:rPr>
        <w:t>the</w:t>
      </w:r>
      <w:proofErr w:type="spellEnd"/>
      <w:r w:rsidRPr="00281B1D">
        <w:rPr>
          <w:i/>
          <w:iCs/>
        </w:rPr>
        <w:t xml:space="preserve"> European </w:t>
      </w:r>
      <w:proofErr w:type="spellStart"/>
      <w:r w:rsidRPr="00281B1D">
        <w:rPr>
          <w:i/>
          <w:iCs/>
        </w:rPr>
        <w:t>Union’s</w:t>
      </w:r>
      <w:proofErr w:type="spellEnd"/>
      <w:r w:rsidRPr="00281B1D">
        <w:rPr>
          <w:i/>
          <w:iCs/>
        </w:rPr>
        <w:t xml:space="preserve"> </w:t>
      </w:r>
      <w:proofErr w:type="spellStart"/>
      <w:r w:rsidRPr="00281B1D">
        <w:rPr>
          <w:i/>
          <w:iCs/>
        </w:rPr>
        <w:t>financial</w:t>
      </w:r>
      <w:proofErr w:type="spellEnd"/>
      <w:r w:rsidRPr="00281B1D">
        <w:rPr>
          <w:i/>
          <w:iCs/>
        </w:rPr>
        <w:t xml:space="preserve"> sector </w:t>
      </w:r>
      <w:r w:rsidRPr="00A07F4E">
        <w:t>(</w:t>
      </w:r>
      <w:proofErr w:type="spellStart"/>
      <w:r w:rsidRPr="00281B1D">
        <w:rPr>
          <w:b/>
          <w:bCs/>
        </w:rPr>
        <w:t>EBA</w:t>
      </w:r>
      <w:proofErr w:type="spellEnd"/>
      <w:r w:rsidRPr="00281B1D">
        <w:rPr>
          <w:b/>
          <w:bCs/>
        </w:rPr>
        <w:t xml:space="preserve"> </w:t>
      </w:r>
      <w:proofErr w:type="spellStart"/>
      <w:r w:rsidRPr="00281B1D">
        <w:rPr>
          <w:b/>
          <w:bCs/>
        </w:rPr>
        <w:t>Opinion</w:t>
      </w:r>
      <w:proofErr w:type="spellEnd"/>
      <w:r w:rsidRPr="00A07F4E">
        <w:t>)</w:t>
      </w:r>
    </w:p>
    <w:p w14:paraId="2D4C4C6D" w14:textId="0B9842D3" w:rsidR="00F84433" w:rsidRDefault="00F84433" w:rsidP="00FC37B3">
      <w:pPr>
        <w:spacing w:before="120"/>
      </w:pPr>
      <w:r w:rsidRPr="00A07F4E">
        <w:t xml:space="preserve">Az </w:t>
      </w:r>
      <w:proofErr w:type="spellStart"/>
      <w:r w:rsidRPr="005E5D99">
        <w:rPr>
          <w:b/>
          <w:bCs/>
        </w:rPr>
        <w:t>EBA</w:t>
      </w:r>
      <w:proofErr w:type="spellEnd"/>
      <w:r w:rsidRPr="005E5D99">
        <w:rPr>
          <w:b/>
          <w:bCs/>
        </w:rPr>
        <w:t xml:space="preserve"> </w:t>
      </w:r>
      <w:proofErr w:type="spellStart"/>
      <w:r w:rsidRPr="005E5D99">
        <w:rPr>
          <w:b/>
          <w:bCs/>
        </w:rPr>
        <w:t>Opinion</w:t>
      </w:r>
      <w:proofErr w:type="spellEnd"/>
      <w:r w:rsidRPr="00A07F4E">
        <w:t xml:space="preserve"> részben valamennyi </w:t>
      </w:r>
      <w:r w:rsidR="00A03E21">
        <w:t xml:space="preserve">külföldi </w:t>
      </w:r>
      <w:r w:rsidRPr="00A07F4E">
        <w:t>illetékes</w:t>
      </w:r>
      <w:r w:rsidR="00A03E21">
        <w:t xml:space="preserve"> felügyeleti</w:t>
      </w:r>
      <w:r w:rsidRPr="00A07F4E">
        <w:t xml:space="preserve"> hatóság által kitöltött kérdőíveken alapul, amely kérdőív</w:t>
      </w:r>
      <w:r w:rsidR="004B291D">
        <w:t xml:space="preserve">et az MNB </w:t>
      </w:r>
      <w:r w:rsidRPr="00A07F4E">
        <w:t xml:space="preserve">is kitöltötte és megküldte az </w:t>
      </w:r>
      <w:proofErr w:type="spellStart"/>
      <w:r w:rsidRPr="00A07F4E">
        <w:t>EBA-nak</w:t>
      </w:r>
      <w:proofErr w:type="spellEnd"/>
      <w:r w:rsidRPr="00A07F4E">
        <w:t xml:space="preserve">. </w:t>
      </w:r>
      <w:r w:rsidR="005972ED" w:rsidRPr="00A07F4E">
        <w:t>Az egyes szektorok értékelésénél a kérdőív</w:t>
      </w:r>
      <w:r w:rsidR="00DE478F" w:rsidRPr="00A07F4E">
        <w:t xml:space="preserve"> kitöltése során </w:t>
      </w:r>
      <w:r w:rsidR="005972ED" w:rsidRPr="00A07F4E">
        <w:t>megadott válaszok</w:t>
      </w:r>
      <w:r w:rsidR="004B291D">
        <w:t xml:space="preserve"> </w:t>
      </w:r>
      <w:r w:rsidR="005972ED" w:rsidRPr="00A07F4E">
        <w:t>részletez</w:t>
      </w:r>
      <w:r w:rsidR="004B291D">
        <w:t xml:space="preserve">ése is megtörtént. </w:t>
      </w:r>
      <w:r w:rsidR="005972ED" w:rsidRPr="00A07F4E">
        <w:t xml:space="preserve"> </w:t>
      </w:r>
    </w:p>
    <w:p w14:paraId="1E051B93" w14:textId="3E58E6B0" w:rsidR="006C4D68" w:rsidRPr="00A07F4E" w:rsidRDefault="00155F6D" w:rsidP="00C05E03">
      <w:r>
        <w:t>Jelen kockázatértékeléshez</w:t>
      </w:r>
      <w:r w:rsidR="003F5DF3">
        <w:t xml:space="preserve"> hozzájárul</w:t>
      </w:r>
      <w:r w:rsidR="00FF6D69">
        <w:t xml:space="preserve"> továbbá az</w:t>
      </w:r>
      <w:r w:rsidR="003F5DF3">
        <w:t xml:space="preserve"> </w:t>
      </w:r>
      <w:r w:rsidR="007015FF" w:rsidRPr="00281B1D">
        <w:t>Európai Felügyeleti Hatóságok (</w:t>
      </w:r>
      <w:proofErr w:type="spellStart"/>
      <w:r w:rsidR="007015FF" w:rsidRPr="00281B1D">
        <w:rPr>
          <w:b/>
          <w:bCs/>
        </w:rPr>
        <w:t>ESA</w:t>
      </w:r>
      <w:proofErr w:type="spellEnd"/>
      <w:r w:rsidR="007015FF" w:rsidRPr="00281B1D">
        <w:t>)</w:t>
      </w:r>
      <w:r w:rsidRPr="00281B1D">
        <w:t xml:space="preserve"> által kiadott</w:t>
      </w:r>
      <w:r>
        <w:t xml:space="preserve"> </w:t>
      </w:r>
      <w:r w:rsidR="003F5DF3" w:rsidRPr="00281B1D">
        <w:rPr>
          <w:i/>
          <w:iCs/>
        </w:rPr>
        <w:t>a hitelintézetek és pénzügyi intézmények felügyeletéért felelős illetékes hatóságok között az (EU) 2015/849 irányelv alkalmazásában történő együttműködésről és információcseréről</w:t>
      </w:r>
      <w:r w:rsidRPr="00281B1D">
        <w:t xml:space="preserve"> szóló iránymutatás</w:t>
      </w:r>
      <w:r>
        <w:t xml:space="preserve"> (</w:t>
      </w:r>
      <w:proofErr w:type="spellStart"/>
      <w:r w:rsidR="00C05E03">
        <w:t>JC</w:t>
      </w:r>
      <w:proofErr w:type="spellEnd"/>
      <w:r w:rsidR="00C05E03">
        <w:t>/2019/81</w:t>
      </w:r>
      <w:r>
        <w:t>)</w:t>
      </w:r>
      <w:r w:rsidR="00C05E03">
        <w:t xml:space="preserve"> (</w:t>
      </w:r>
      <w:proofErr w:type="spellStart"/>
      <w:r w:rsidR="0084793F" w:rsidRPr="00281B1D">
        <w:rPr>
          <w:rFonts w:cs="Times New Roman"/>
          <w:b/>
          <w:bCs/>
        </w:rPr>
        <w:t>AML</w:t>
      </w:r>
      <w:proofErr w:type="spellEnd"/>
      <w:r w:rsidR="0084793F" w:rsidRPr="00281B1D">
        <w:rPr>
          <w:rFonts w:cs="Times New Roman"/>
          <w:b/>
          <w:bCs/>
        </w:rPr>
        <w:t>/</w:t>
      </w:r>
      <w:proofErr w:type="spellStart"/>
      <w:r w:rsidR="0084793F" w:rsidRPr="00281B1D">
        <w:rPr>
          <w:rFonts w:cs="Times New Roman"/>
          <w:b/>
          <w:bCs/>
        </w:rPr>
        <w:t>CFT</w:t>
      </w:r>
      <w:proofErr w:type="spellEnd"/>
      <w:r w:rsidR="0084793F" w:rsidRPr="00281B1D">
        <w:rPr>
          <w:rFonts w:cs="Times New Roman"/>
          <w:b/>
          <w:bCs/>
        </w:rPr>
        <w:t xml:space="preserve"> kollégiumokról szóló </w:t>
      </w:r>
      <w:proofErr w:type="spellStart"/>
      <w:r w:rsidR="0084793F" w:rsidRPr="00281B1D">
        <w:rPr>
          <w:rFonts w:cs="Times New Roman"/>
          <w:b/>
          <w:bCs/>
        </w:rPr>
        <w:t>E</w:t>
      </w:r>
      <w:r w:rsidR="00A96D16">
        <w:rPr>
          <w:rFonts w:cs="Times New Roman"/>
          <w:b/>
          <w:bCs/>
        </w:rPr>
        <w:t>S</w:t>
      </w:r>
      <w:r w:rsidR="0084793F" w:rsidRPr="00281B1D">
        <w:rPr>
          <w:rFonts w:cs="Times New Roman"/>
          <w:b/>
          <w:bCs/>
        </w:rPr>
        <w:t>A</w:t>
      </w:r>
      <w:proofErr w:type="spellEnd"/>
      <w:r w:rsidR="0084793F" w:rsidRPr="00281B1D">
        <w:rPr>
          <w:rFonts w:cs="Times New Roman"/>
          <w:b/>
          <w:bCs/>
        </w:rPr>
        <w:t xml:space="preserve"> iránymutatás</w:t>
      </w:r>
      <w:r w:rsidR="00C05E03">
        <w:t>)</w:t>
      </w:r>
      <w:r w:rsidRPr="00281B1D">
        <w:t xml:space="preserve"> alapján felállított kollégiumok működése során szerezett </w:t>
      </w:r>
      <w:r>
        <w:t xml:space="preserve">egyes csoporthoz, annak tagjaihoz tartozó </w:t>
      </w:r>
      <w:r w:rsidRPr="00281B1D">
        <w:t>információk</w:t>
      </w:r>
      <w:r>
        <w:t xml:space="preserve">, kockázatok is egyaránt. </w:t>
      </w:r>
    </w:p>
    <w:p w14:paraId="04CF4600" w14:textId="56DC23D1" w:rsidR="009D09F9" w:rsidRPr="00A07F4E" w:rsidRDefault="00907600" w:rsidP="002E5A05">
      <w:r w:rsidRPr="00A07F4E">
        <w:t xml:space="preserve">Azon </w:t>
      </w:r>
      <w:r w:rsidR="002E5A05" w:rsidRPr="00A07F4E">
        <w:t>szektor</w:t>
      </w:r>
      <w:r w:rsidRPr="00A07F4E">
        <w:t>oknál</w:t>
      </w:r>
      <w:r w:rsidR="004B291D">
        <w:t xml:space="preserve">, </w:t>
      </w:r>
      <w:r w:rsidR="00BC611A" w:rsidRPr="00A07F4E">
        <w:t>a</w:t>
      </w:r>
      <w:r w:rsidRPr="00A07F4E">
        <w:t>hol</w:t>
      </w:r>
      <w:r w:rsidR="00BC611A" w:rsidRPr="00A07F4E">
        <w:t xml:space="preserve"> az </w:t>
      </w:r>
      <w:r w:rsidR="002E5A05" w:rsidRPr="00A07F4E">
        <w:t>üzleti modellek jelleg</w:t>
      </w:r>
      <w:r w:rsidR="003C6521" w:rsidRPr="00A07F4E">
        <w:t>e,</w:t>
      </w:r>
      <w:r w:rsidR="00BC611A" w:rsidRPr="00A07F4E">
        <w:t xml:space="preserve"> a szektor globális összefüggésben felmerülő sebezhetőségeknek a kitettség</w:t>
      </w:r>
      <w:r w:rsidR="003C6521" w:rsidRPr="00A07F4E">
        <w:t>e</w:t>
      </w:r>
      <w:r w:rsidR="00BC611A" w:rsidRPr="00A07F4E">
        <w:t xml:space="preserve">, illetve a pénzügyi </w:t>
      </w:r>
      <w:r w:rsidR="00A82EE2">
        <w:t xml:space="preserve">információs </w:t>
      </w:r>
      <w:r w:rsidR="00BC611A" w:rsidRPr="00A07F4E">
        <w:t xml:space="preserve">egység fenyegetettségi jelentései, riasztásai és tipológiái </w:t>
      </w:r>
      <w:r w:rsidR="0096774F" w:rsidRPr="00A07F4E">
        <w:t xml:space="preserve">külön </w:t>
      </w:r>
      <w:r w:rsidR="00BC611A" w:rsidRPr="00A07F4E">
        <w:t>nem kerül</w:t>
      </w:r>
      <w:r w:rsidR="003C6521" w:rsidRPr="00A07F4E">
        <w:t>t</w:t>
      </w:r>
      <w:r w:rsidR="00BC611A" w:rsidRPr="00A07F4E">
        <w:t>ek részletezésre, úgy a</w:t>
      </w:r>
      <w:r w:rsidR="004B291D">
        <w:t>z MNB</w:t>
      </w:r>
      <w:r w:rsidR="00BC611A" w:rsidRPr="00A07F4E">
        <w:t xml:space="preserve"> </w:t>
      </w:r>
      <w:r w:rsidR="00734F31" w:rsidRPr="009F3A30">
        <w:t>– amennyiben az adott szektor, alszektor vonatkozásában rendelkezésre állt –</w:t>
      </w:r>
      <w:r w:rsidR="00734F31" w:rsidRPr="00A07F4E">
        <w:t xml:space="preserve"> </w:t>
      </w:r>
      <w:r w:rsidR="00BC611A" w:rsidRPr="00A07F4E">
        <w:t>az NRA alapján értékelte az adott szektor érintett jellemzőit</w:t>
      </w:r>
      <w:r w:rsidR="006F4FD7" w:rsidRPr="00A07F4E">
        <w:t xml:space="preserve">. </w:t>
      </w:r>
    </w:p>
    <w:p w14:paraId="1EBD10EB" w14:textId="3D4810BC" w:rsidR="007818AA" w:rsidRPr="005A1AF1" w:rsidRDefault="000F0D66" w:rsidP="002E5A05">
      <w:r w:rsidRPr="00281B1D">
        <w:t>Jelen</w:t>
      </w:r>
      <w:r w:rsidR="00DF4854" w:rsidRPr="005A1AF1">
        <w:t xml:space="preserve"> </w:t>
      </w:r>
      <w:proofErr w:type="spellStart"/>
      <w:r w:rsidR="00DF4854" w:rsidRPr="005A1AF1">
        <w:t>szektorális</w:t>
      </w:r>
      <w:proofErr w:type="spellEnd"/>
      <w:r w:rsidR="00DF4854" w:rsidRPr="005A1AF1">
        <w:t xml:space="preserve"> kockázatértékelést a</w:t>
      </w:r>
      <w:r w:rsidRPr="00281B1D">
        <w:t xml:space="preserve">z MNB </w:t>
      </w:r>
      <w:r w:rsidR="00DF4854" w:rsidRPr="005A1AF1">
        <w:t xml:space="preserve">rendszeresen </w:t>
      </w:r>
      <w:r w:rsidR="00A82EE2">
        <w:t>(</w:t>
      </w:r>
      <w:r w:rsidR="005A24F5">
        <w:t>két</w:t>
      </w:r>
      <w:r w:rsidR="00DF4854" w:rsidRPr="00281B1D">
        <w:t>évente</w:t>
      </w:r>
      <w:r w:rsidR="00DF4854" w:rsidRPr="005A1AF1">
        <w:t xml:space="preserve">) vagy eseti jelleggel felülvizsgálja. </w:t>
      </w:r>
      <w:r w:rsidR="007818AA" w:rsidRPr="005A1AF1">
        <w:t>Amennyiben ML/</w:t>
      </w:r>
      <w:proofErr w:type="spellStart"/>
      <w:r w:rsidR="007818AA" w:rsidRPr="005A1AF1">
        <w:t>TF</w:t>
      </w:r>
      <w:proofErr w:type="spellEnd"/>
      <w:r w:rsidR="007818AA" w:rsidRPr="005A1AF1">
        <w:t xml:space="preserve"> kockázatot növelő tényező </w:t>
      </w:r>
      <w:r w:rsidR="00BF1E62" w:rsidRPr="005A1AF1">
        <w:t>merül fel</w:t>
      </w:r>
      <w:r w:rsidR="007818AA" w:rsidRPr="005A1AF1">
        <w:t xml:space="preserve">, úgy jelen kockázatértékelés </w:t>
      </w:r>
      <w:r w:rsidR="00BF1E62" w:rsidRPr="005A1AF1">
        <w:t>felülvizsgálata megtörténik</w:t>
      </w:r>
      <w:r w:rsidR="007818AA" w:rsidRPr="005A1AF1">
        <w:t xml:space="preserve"> és az azonosított kockázatnak megfelelően az érintett szektor</w:t>
      </w:r>
      <w:r w:rsidR="00BF1E62" w:rsidRPr="005A1AF1">
        <w:t>, alszektor</w:t>
      </w:r>
      <w:r w:rsidR="005618FD">
        <w:t xml:space="preserve">, illetve </w:t>
      </w:r>
      <w:proofErr w:type="spellStart"/>
      <w:r w:rsidR="005618FD">
        <w:t>al</w:t>
      </w:r>
      <w:proofErr w:type="spellEnd"/>
      <w:r w:rsidR="005618FD">
        <w:t>-alszektor</w:t>
      </w:r>
      <w:r w:rsidR="007818AA" w:rsidRPr="005A1AF1">
        <w:t xml:space="preserve"> </w:t>
      </w:r>
      <w:r w:rsidR="00BF1E62" w:rsidRPr="005A1AF1">
        <w:t>é</w:t>
      </w:r>
      <w:r w:rsidR="005E5D99">
        <w:t>rté</w:t>
      </w:r>
      <w:r w:rsidR="00BF1E62" w:rsidRPr="005A1AF1">
        <w:t>kelése a kockázatnak megfelelően</w:t>
      </w:r>
      <w:r w:rsidR="005E5D99">
        <w:t xml:space="preserve"> szintén</w:t>
      </w:r>
      <w:r w:rsidR="00BF1E62" w:rsidRPr="005A1AF1">
        <w:t xml:space="preserve"> módosul</w:t>
      </w:r>
      <w:r w:rsidR="007818AA" w:rsidRPr="005A1AF1">
        <w:t xml:space="preserve">. </w:t>
      </w:r>
    </w:p>
    <w:p w14:paraId="701DC5CA" w14:textId="31E128AE" w:rsidR="008A63C7" w:rsidRPr="00281B1D" w:rsidRDefault="00DF4854" w:rsidP="008A63C7">
      <w:pPr>
        <w:rPr>
          <w:highlight w:val="cyan"/>
        </w:rPr>
      </w:pPr>
      <w:r w:rsidRPr="005A1AF1">
        <w:t>A</w:t>
      </w:r>
      <w:r w:rsidR="00BF1E62" w:rsidRPr="00281B1D">
        <w:t xml:space="preserve">z MNB </w:t>
      </w:r>
      <w:r w:rsidRPr="005A1AF1">
        <w:t>rendszeresen felülvizsgálja a szolgáltatók részére közzétett útmutató</w:t>
      </w:r>
      <w:r w:rsidR="00FF6D69" w:rsidRPr="00281B1D">
        <w:t>k</w:t>
      </w:r>
      <w:r w:rsidRPr="005A1AF1">
        <w:t>, mintadokumentum</w:t>
      </w:r>
      <w:r w:rsidR="007C5767" w:rsidRPr="00281B1D">
        <w:t>o</w:t>
      </w:r>
      <w:r w:rsidR="00FF6D69" w:rsidRPr="00281B1D">
        <w:t>k</w:t>
      </w:r>
      <w:r w:rsidRPr="005A1AF1">
        <w:t>, vagy tájékoztatás</w:t>
      </w:r>
      <w:r w:rsidR="00FF6D69" w:rsidRPr="00281B1D">
        <w:t>ok</w:t>
      </w:r>
      <w:r w:rsidRPr="005A1AF1">
        <w:t xml:space="preserve"> megfelelőségét, többek között a nemzeti vagy európai jogszabályok változásait, a nemzeti vagy </w:t>
      </w:r>
      <w:r w:rsidR="005E5D99">
        <w:t>s</w:t>
      </w:r>
      <w:r w:rsidR="00A340CA" w:rsidRPr="005A1AF1">
        <w:t xml:space="preserve">zupranacionális </w:t>
      </w:r>
      <w:r w:rsidRPr="005A1AF1">
        <w:t xml:space="preserve">kockázatértékelés módosításait, illetve a </w:t>
      </w:r>
      <w:r w:rsidR="00FF6D69" w:rsidRPr="00281B1D">
        <w:t xml:space="preserve">jelen </w:t>
      </w:r>
      <w:r w:rsidRPr="005A1AF1">
        <w:t>kockázatértékelés módosításait követően.</w:t>
      </w:r>
    </w:p>
    <w:p w14:paraId="4139D5FC" w14:textId="57BE3D1B" w:rsidR="008A63C7" w:rsidRDefault="00E47912" w:rsidP="008A63C7">
      <w:r w:rsidRPr="00281B1D">
        <w:t xml:space="preserve">Jelen kockázatértékelésben használt fogalmak – eltérő rendelkezés hiányában – a </w:t>
      </w:r>
      <w:proofErr w:type="spellStart"/>
      <w:r w:rsidRPr="008A63C7">
        <w:t>Pmt</w:t>
      </w:r>
      <w:proofErr w:type="spellEnd"/>
      <w:r w:rsidRPr="008A63C7">
        <w:t xml:space="preserve">. </w:t>
      </w:r>
      <w:r w:rsidRPr="00281B1D">
        <w:t>és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 (VIII. 25.) MNB rendelet (</w:t>
      </w:r>
      <w:r w:rsidRPr="00281B1D">
        <w:rPr>
          <w:b/>
          <w:bCs/>
        </w:rPr>
        <w:t>MNB Rendelet</w:t>
      </w:r>
      <w:r w:rsidRPr="00281B1D">
        <w:t>) meghatározottak szerint értelmezendők.</w:t>
      </w:r>
    </w:p>
    <w:p w14:paraId="5B0844CE" w14:textId="41538AC5" w:rsidR="00F71E49" w:rsidRDefault="00D31BD1">
      <w:pPr>
        <w:pStyle w:val="Cmsor1"/>
      </w:pPr>
      <w:bookmarkStart w:id="1" w:name="_Toc109906004"/>
      <w:r>
        <w:lastRenderedPageBreak/>
        <w:t xml:space="preserve">A </w:t>
      </w:r>
      <w:r w:rsidR="0006460D">
        <w:t>P</w:t>
      </w:r>
      <w:r w:rsidR="00F71E49">
        <w:t>andémia és az orosz-ukrán konfliktus hatásai</w:t>
      </w:r>
      <w:bookmarkEnd w:id="1"/>
      <w:r w:rsidR="00F71E49">
        <w:t xml:space="preserve"> </w:t>
      </w:r>
    </w:p>
    <w:p w14:paraId="46DEB0C5" w14:textId="089D3B8C" w:rsidR="00E24CD3" w:rsidRDefault="00F71E49" w:rsidP="00E24CD3">
      <w:r w:rsidRPr="003A2A02">
        <w:t>A</w:t>
      </w:r>
      <w:r>
        <w:t xml:space="preserve"> COVID-19</w:t>
      </w:r>
      <w:r w:rsidRPr="003A2A02">
        <w:t xml:space="preserve"> világjárvány</w:t>
      </w:r>
      <w:r>
        <w:t xml:space="preserve"> jelentős befolyást gyakorolt a pénzügyi rendszerre,</w:t>
      </w:r>
      <w:r w:rsidRPr="00CD1D49">
        <w:t xml:space="preserve"> </w:t>
      </w:r>
      <w:r>
        <w:t>új kihívásokkal néztek szembe a szolgáltatók</w:t>
      </w:r>
      <w:r w:rsidR="00E65991">
        <w:t>. Az</w:t>
      </w:r>
      <w:r w:rsidR="0085343A">
        <w:t xml:space="preserve"> eddig nem tapasztalt, sajátos helyzetre</w:t>
      </w:r>
      <w:r w:rsidR="00BF0C62">
        <w:t>, új kockázatokra</w:t>
      </w:r>
      <w:r w:rsidR="0085343A">
        <w:t xml:space="preserve"> az </w:t>
      </w:r>
      <w:proofErr w:type="spellStart"/>
      <w:r w:rsidR="0085343A">
        <w:t>EBA</w:t>
      </w:r>
      <w:proofErr w:type="spellEnd"/>
      <w:r w:rsidR="0085343A">
        <w:t xml:space="preserve"> </w:t>
      </w:r>
      <w:proofErr w:type="spellStart"/>
      <w:r w:rsidR="0085343A">
        <w:t>Opinion</w:t>
      </w:r>
      <w:proofErr w:type="spellEnd"/>
      <w:r w:rsidR="0085343A">
        <w:t xml:space="preserve"> is kitér. A</w:t>
      </w:r>
      <w:r>
        <w:t xml:space="preserve"> pandémia egyes szolgáltatók bevételeinek csökkenését eredményezte, amelynek következménye lehetett munkavállalók elbocsátása, ezzel hatást gyakorolva a szolgáltatók </w:t>
      </w:r>
      <w:proofErr w:type="spellStart"/>
      <w:r w:rsidRPr="003A2A02">
        <w:t>AML</w:t>
      </w:r>
      <w:proofErr w:type="spellEnd"/>
      <w:r w:rsidRPr="003A2A02">
        <w:t>/</w:t>
      </w:r>
      <w:proofErr w:type="spellStart"/>
      <w:r w:rsidRPr="003A2A02">
        <w:t>CFT</w:t>
      </w:r>
      <w:proofErr w:type="spellEnd"/>
      <w:r>
        <w:t xml:space="preserve"> </w:t>
      </w:r>
      <w:r w:rsidRPr="003A2A02">
        <w:t>megfelelésé</w:t>
      </w:r>
      <w:r>
        <w:t>re</w:t>
      </w:r>
      <w:r w:rsidR="008823FB">
        <w:t xml:space="preserve"> is egyaránt</w:t>
      </w:r>
      <w:r>
        <w:t xml:space="preserve">. Az emberi érintkezések mérséklése érdekében az ügyfél-átvilágítási intézkedéseket a szolgáltatók nem személyesen, hanem távolról végzik/végezték, amely </w:t>
      </w:r>
      <w:r w:rsidR="008823FB">
        <w:t xml:space="preserve">eljárás </w:t>
      </w:r>
      <w:r>
        <w:t>nagyobb ML/</w:t>
      </w:r>
      <w:proofErr w:type="spellStart"/>
      <w:r>
        <w:t>TF</w:t>
      </w:r>
      <w:proofErr w:type="spellEnd"/>
      <w:r>
        <w:t xml:space="preserve"> kockázatot rejt/rejtett magában, különösen arra a tényre tekintettel, hogy a távoli azonosításra a szolgáltatóknak gyorsan kellett átállniuk, amely tovább növelte a távoli azonosításra használt rendszerekkel járó </w:t>
      </w:r>
      <w:r w:rsidRPr="0011224F">
        <w:t xml:space="preserve">kockázatokat, illetve egyúttal csökkentette a kockázatok mérséklése érdekében hozott intézkedések hatékonyságát. A járványhelyzetre tekintettel új tipológiák bevezetése </w:t>
      </w:r>
      <w:r w:rsidR="00096660" w:rsidRPr="005A2E27">
        <w:t>is</w:t>
      </w:r>
      <w:r w:rsidR="00096660" w:rsidRPr="00A105A3">
        <w:t xml:space="preserve"> szükségessé</w:t>
      </w:r>
      <w:r w:rsidR="00096660" w:rsidRPr="005A2E27">
        <w:t xml:space="preserve"> </w:t>
      </w:r>
      <w:r w:rsidRPr="0011224F">
        <w:t>vált.</w:t>
      </w:r>
      <w:r w:rsidR="00245510" w:rsidRPr="0011224F">
        <w:t xml:space="preserve"> </w:t>
      </w:r>
      <w:r w:rsidRPr="0011224F">
        <w:t>A pandémiás helyzet átrendezte továbbá</w:t>
      </w:r>
      <w:r>
        <w:t xml:space="preserve"> </w:t>
      </w:r>
      <w:r w:rsidRPr="008A2C68">
        <w:t>sok esetben az üzleti szokásokat</w:t>
      </w:r>
      <w:r>
        <w:t>, amely nehezítette</w:t>
      </w:r>
      <w:r w:rsidRPr="008A2C68">
        <w:t xml:space="preserve"> a tranzakciós szűrések során az ügyfél profil alapú figyeléseket. </w:t>
      </w:r>
      <w:r>
        <w:t xml:space="preserve">A pénzügyi rendszerre hatással volt a nagymértékű, hektikus árfolyamingadozás is, amely már önmagában növelte a tőkekivonást a </w:t>
      </w:r>
      <w:r w:rsidR="008823FB">
        <w:t>pénzügyi rendszerből</w:t>
      </w:r>
      <w:r>
        <w:t xml:space="preserve">, ezzel </w:t>
      </w:r>
      <w:r w:rsidRPr="008A2C68">
        <w:t>turbulenciá</w:t>
      </w:r>
      <w:r>
        <w:t xml:space="preserve">t okozva a szolgáltatók szűrési gyakorlatában. </w:t>
      </w:r>
      <w:r w:rsidR="00E24CD3">
        <w:t xml:space="preserve">A pandémia hozadéka továbbá, hogy a bankkártyával történő fizetés szélesebb körben történő elterjedése, készpénz használatától, aki teheti tartózkodik, amely a készpénzhasználat fokozatos visszaszorulását eredményezheti.  </w:t>
      </w:r>
    </w:p>
    <w:p w14:paraId="3DF774BE" w14:textId="00927D5A" w:rsidR="00F71E49" w:rsidRDefault="00F71E49" w:rsidP="00F71E49">
      <w:r>
        <w:t xml:space="preserve">A COVID-19 világjárvány a felügyelet munkáját is nagyban befolyásolta, a járvány visszaszorítása érdekében, az </w:t>
      </w:r>
      <w:proofErr w:type="spellStart"/>
      <w:r>
        <w:t>EBA</w:t>
      </w:r>
      <w:proofErr w:type="spellEnd"/>
      <w:r>
        <w:t xml:space="preserve"> </w:t>
      </w:r>
      <w:proofErr w:type="spellStart"/>
      <w:r>
        <w:t>Opinion</w:t>
      </w:r>
      <w:proofErr w:type="spellEnd"/>
      <w:r>
        <w:t xml:space="preserve"> alapján megállapítható, hogy számos illetékes hatóság távolról végezte, végzi a felügyeleti tevékenységét. </w:t>
      </w:r>
    </w:p>
    <w:p w14:paraId="59467DC1" w14:textId="55EF7FA4" w:rsidR="00F71E49" w:rsidRDefault="00F71E49" w:rsidP="00F71E49">
      <w:pPr>
        <w:shd w:val="clear" w:color="auto" w:fill="FFFFFF"/>
        <w:spacing w:after="100" w:afterAutospacing="1"/>
        <w:rPr>
          <w:color w:val="1A2521"/>
        </w:rPr>
      </w:pPr>
      <w:r>
        <w:t xml:space="preserve">Orosz-ukrán konfliktus </w:t>
      </w:r>
      <w:r>
        <w:rPr>
          <w:color w:val="000000"/>
        </w:rPr>
        <w:t xml:space="preserve">következtében, EU </w:t>
      </w:r>
      <w:r>
        <w:rPr>
          <w:color w:val="1A2521"/>
        </w:rPr>
        <w:t>Oroszország ellen szankciókat vezetett be válaszul az Ukrajna elleni orosz katonai agresszióra, valamint az orosz fegyveres erők által Ukrajnában elkövetett atrocitásokra. Ezen konfliktus és a célzott pénzügyi szankciók mellett bevezetett atipikus szankciók jelentős hatást gyakorolnak a pénzügyi rendszerre</w:t>
      </w:r>
      <w:r w:rsidR="00245510">
        <w:rPr>
          <w:color w:val="1A2521"/>
        </w:rPr>
        <w:t>, e</w:t>
      </w:r>
      <w:r>
        <w:rPr>
          <w:color w:val="1A2521"/>
        </w:rPr>
        <w:t xml:space="preserve">gyes atipikus szankciók plusz jelentéstételi kötelezettséget is előírnak a szolgáltatóknak. </w:t>
      </w:r>
      <w:r w:rsidR="005F719C">
        <w:rPr>
          <w:color w:val="1A2521"/>
        </w:rPr>
        <w:t xml:space="preserve">Az orosz-ukrán konfliktus hátasa továbbá az orosz tőke kivonulása az EU pénzügyi rendszeréből, illetve </w:t>
      </w:r>
      <w:r w:rsidR="00936A34">
        <w:rPr>
          <w:color w:val="1A2521"/>
        </w:rPr>
        <w:t xml:space="preserve">a háború elől </w:t>
      </w:r>
      <w:r w:rsidR="00AE169B">
        <w:rPr>
          <w:color w:val="1A2521"/>
        </w:rPr>
        <w:t xml:space="preserve">az EU-ba, </w:t>
      </w:r>
      <w:r w:rsidR="00936A34">
        <w:rPr>
          <w:color w:val="1A2521"/>
        </w:rPr>
        <w:t>Magyarországra érkező</w:t>
      </w:r>
      <w:r w:rsidR="005F719C">
        <w:rPr>
          <w:color w:val="1A2521"/>
        </w:rPr>
        <w:t xml:space="preserve"> menekültek megjelenése. Így a</w:t>
      </w:r>
      <w:r>
        <w:rPr>
          <w:color w:val="1A2521"/>
        </w:rPr>
        <w:t xml:space="preserve"> szolgáltatóknak a szankciók betartása mellett, különös figyelmet szükséges fordítaniuk arra, hogy az ukrán menekültek számára megfelelően biztosítsák </w:t>
      </w:r>
      <w:r>
        <w:t>a hozzáférést az EU pénzügyi rendszeréhez</w:t>
      </w:r>
      <w:r>
        <w:rPr>
          <w:color w:val="1A2521"/>
        </w:rPr>
        <w:t xml:space="preserve">. Jelen helyzetben a szolgáltatók szerepvállalása felértékelődik és nagyobb hangsúly helyeződik a szankciók betartásának biztosítására, </w:t>
      </w:r>
      <w:r w:rsidR="0055789A">
        <w:rPr>
          <w:color w:val="1A2521"/>
        </w:rPr>
        <w:t xml:space="preserve">így </w:t>
      </w:r>
      <w:r w:rsidR="00AE169B">
        <w:rPr>
          <w:color w:val="1A2521"/>
        </w:rPr>
        <w:t xml:space="preserve">feltételezhető, hogy </w:t>
      </w:r>
      <w:r>
        <w:rPr>
          <w:color w:val="1A2521"/>
        </w:rPr>
        <w:t xml:space="preserve">a szolgáltatók </w:t>
      </w:r>
      <w:proofErr w:type="spellStart"/>
      <w:r>
        <w:rPr>
          <w:color w:val="1A2521"/>
        </w:rPr>
        <w:t>AML</w:t>
      </w:r>
      <w:proofErr w:type="spellEnd"/>
      <w:r>
        <w:rPr>
          <w:color w:val="1A2521"/>
        </w:rPr>
        <w:t>/</w:t>
      </w:r>
      <w:proofErr w:type="spellStart"/>
      <w:r>
        <w:rPr>
          <w:color w:val="1A2521"/>
        </w:rPr>
        <w:t>CFT</w:t>
      </w:r>
      <w:proofErr w:type="spellEnd"/>
      <w:r>
        <w:rPr>
          <w:color w:val="1A2521"/>
        </w:rPr>
        <w:t xml:space="preserve"> erőforrásának jelentős része a szankciós területre összpontosul.  </w:t>
      </w:r>
    </w:p>
    <w:p w14:paraId="20AF78C2" w14:textId="45CA7032" w:rsidR="00F71E49" w:rsidRDefault="0055789A">
      <w:r>
        <w:t xml:space="preserve">Mind a COVID-19 világjárvány, mind az orosz-ukrán konfliktus érezteti a hatását </w:t>
      </w:r>
      <w:r w:rsidR="00F71E49">
        <w:t>valamennyi szektorban</w:t>
      </w:r>
      <w:r w:rsidR="00B22F30">
        <w:t>,</w:t>
      </w:r>
      <w:r w:rsidR="00A16BE8">
        <w:t xml:space="preserve"> </w:t>
      </w:r>
      <w:r w:rsidR="00B22F30">
        <w:t>amelyhez társítható ML/</w:t>
      </w:r>
      <w:proofErr w:type="spellStart"/>
      <w:r w:rsidR="00B22F30">
        <w:t>TF</w:t>
      </w:r>
      <w:proofErr w:type="spellEnd"/>
      <w:r w:rsidR="00F07DA3">
        <w:t xml:space="preserve"> kockázatok az inherens kockázatok meghatározásánál </w:t>
      </w:r>
      <w:r w:rsidR="00585E3C">
        <w:t xml:space="preserve">minden esetben </w:t>
      </w:r>
      <w:r w:rsidR="00F07DA3">
        <w:t>figyelembevételre kerültek</w:t>
      </w:r>
      <w:r w:rsidR="00245510">
        <w:t xml:space="preserve">. </w:t>
      </w:r>
    </w:p>
    <w:p w14:paraId="023F127F" w14:textId="12381F03" w:rsidR="00E57F87" w:rsidRDefault="00E57F87">
      <w:pPr>
        <w:spacing w:after="0" w:line="240" w:lineRule="auto"/>
        <w:jc w:val="left"/>
      </w:pPr>
      <w:r>
        <w:br w:type="page"/>
      </w:r>
    </w:p>
    <w:p w14:paraId="500FBF8D" w14:textId="68B74CC0" w:rsidR="008A63C7" w:rsidRDefault="008A63C7">
      <w:pPr>
        <w:pStyle w:val="Cmsor1"/>
      </w:pPr>
      <w:bookmarkStart w:id="2" w:name="_Toc109906005"/>
      <w:r>
        <w:lastRenderedPageBreak/>
        <w:t>Kockázatértékelés</w:t>
      </w:r>
      <w:bookmarkEnd w:id="2"/>
    </w:p>
    <w:p w14:paraId="563ED392" w14:textId="14860343" w:rsidR="000550A7" w:rsidRPr="008A63C7" w:rsidRDefault="000550A7" w:rsidP="00495166">
      <w:pPr>
        <w:pStyle w:val="Cmsor2"/>
      </w:pPr>
      <w:bookmarkStart w:id="3" w:name="_Toc109906006"/>
      <w:r w:rsidRPr="008A63C7">
        <w:t>Hitelintézet</w:t>
      </w:r>
      <w:r w:rsidR="001873B4" w:rsidRPr="008A63C7">
        <w:t>i szektor</w:t>
      </w:r>
      <w:r w:rsidR="00C1449C">
        <w:rPr>
          <w:rStyle w:val="Lbjegyzet-hivatkozs"/>
        </w:rPr>
        <w:footnoteReference w:id="2"/>
      </w:r>
      <w:bookmarkEnd w:id="3"/>
    </w:p>
    <w:p w14:paraId="43477DD4" w14:textId="77777777" w:rsidR="007C23C1" w:rsidRPr="00A07F4E" w:rsidRDefault="00195C7F" w:rsidP="007322B4">
      <w:pPr>
        <w:pStyle w:val="Cmsor3"/>
        <w:numPr>
          <w:ilvl w:val="0"/>
          <w:numId w:val="69"/>
        </w:numPr>
        <w:ind w:left="567" w:hanging="283"/>
      </w:pPr>
      <w:bookmarkStart w:id="4" w:name="_Toc109906007"/>
      <w:r w:rsidRPr="00A07F4E">
        <w:t>A szektor méretére, tevékenységi körére és összetettségére vonatkozó információk összesített formában</w:t>
      </w:r>
      <w:bookmarkEnd w:id="4"/>
    </w:p>
    <w:p w14:paraId="28B2F62C" w14:textId="263BBCA4" w:rsidR="001043EB" w:rsidRPr="00A07F4E" w:rsidRDefault="001043EB" w:rsidP="001043EB">
      <w:r w:rsidRPr="00A07F4E">
        <w:t xml:space="preserve">Magyarországon </w:t>
      </w:r>
      <w:r w:rsidR="001873B4" w:rsidRPr="00A07F4E">
        <w:t>tevékenységet folytató</w:t>
      </w:r>
      <w:r w:rsidR="00BD173C" w:rsidRPr="00A07F4E">
        <w:t xml:space="preserve">, </w:t>
      </w:r>
      <w:r w:rsidR="00DA131E">
        <w:t>az MNB</w:t>
      </w:r>
      <w:r w:rsidR="00BD173C" w:rsidRPr="00A07F4E">
        <w:t xml:space="preserve"> felügyelete alá tartozó</w:t>
      </w:r>
      <w:r w:rsidR="001873B4" w:rsidRPr="00A07F4E">
        <w:t xml:space="preserve"> </w:t>
      </w:r>
      <w:r w:rsidRPr="00A07F4E">
        <w:t xml:space="preserve">hitelintézetek száma </w:t>
      </w:r>
      <w:r w:rsidR="00487842" w:rsidRPr="00FC37B3">
        <w:t>4</w:t>
      </w:r>
      <w:r w:rsidR="00A86A7F" w:rsidRPr="00FC37B3">
        <w:t xml:space="preserve">0 és </w:t>
      </w:r>
      <w:r w:rsidR="001E7577" w:rsidRPr="00FC37B3">
        <w:t>5</w:t>
      </w:r>
      <w:r w:rsidR="00A86A7F" w:rsidRPr="00FC37B3">
        <w:t>0 közötti</w:t>
      </w:r>
      <w:r w:rsidR="00A86A7F" w:rsidRPr="00A07F4E">
        <w:t xml:space="preserve">. </w:t>
      </w:r>
      <w:r w:rsidRPr="00A07F4E">
        <w:t>Összetettségét tekintve, több olyan hitelintéz</w:t>
      </w:r>
      <w:r w:rsidR="00E84A2D" w:rsidRPr="00A07F4E">
        <w:t>et</w:t>
      </w:r>
      <w:r w:rsidRPr="00A07F4E">
        <w:t xml:space="preserve"> található </w:t>
      </w:r>
      <w:r w:rsidR="00E84A2D" w:rsidRPr="00A07F4E">
        <w:t>Magyar</w:t>
      </w:r>
      <w:r w:rsidRPr="00A07F4E">
        <w:t>ország</w:t>
      </w:r>
      <w:r w:rsidR="00E84A2D" w:rsidRPr="00A07F4E">
        <w:t>on</w:t>
      </w:r>
      <w:r w:rsidRPr="00A07F4E">
        <w:t xml:space="preserve">, </w:t>
      </w:r>
      <w:r w:rsidR="00E84A2D" w:rsidRPr="00A07F4E">
        <w:t>amelynek</w:t>
      </w:r>
      <w:r w:rsidRPr="00A07F4E">
        <w:t xml:space="preserve"> az anyavállalata más tagállamban került engedélyezésr</w:t>
      </w:r>
      <w:r w:rsidR="00E84A2D" w:rsidRPr="00A07F4E">
        <w:t xml:space="preserve">e. </w:t>
      </w:r>
      <w:r w:rsidR="00E70685">
        <w:rPr>
          <w:rFonts w:cs="Times New Roman"/>
        </w:rPr>
        <w:t xml:space="preserve">Jellemzően a hitelintézeti szektorhoz tartozó magyarországi hitelintézetek külföldi székhelyű hitelintézetnek a leányvállalatai, </w:t>
      </w:r>
      <w:proofErr w:type="spellStart"/>
      <w:r w:rsidR="00E70685">
        <w:rPr>
          <w:rFonts w:cs="Times New Roman"/>
        </w:rPr>
        <w:t>fióktelepei</w:t>
      </w:r>
      <w:proofErr w:type="spellEnd"/>
      <w:r w:rsidR="00E70685">
        <w:rPr>
          <w:rFonts w:cs="Times New Roman"/>
        </w:rPr>
        <w:t xml:space="preserve">. </w:t>
      </w:r>
      <w:r w:rsidR="00BB6BD7">
        <w:rPr>
          <w:rFonts w:cs="Times New Roman"/>
        </w:rPr>
        <w:t>Az anyavállalatok esetében</w:t>
      </w:r>
      <w:r w:rsidR="00E70685">
        <w:rPr>
          <w:rFonts w:cs="Times New Roman"/>
        </w:rPr>
        <w:t xml:space="preserve"> megállapítható, hogy jellemzően több mint három tagországban rendelkeznek leányvállalattal vagy fiókteleppel, így </w:t>
      </w:r>
      <w:r w:rsidR="00FC116C">
        <w:rPr>
          <w:rFonts w:cs="Times New Roman"/>
        </w:rPr>
        <w:t xml:space="preserve">az </w:t>
      </w:r>
      <w:proofErr w:type="spellStart"/>
      <w:r w:rsidR="00FC116C" w:rsidRPr="00FC116C">
        <w:rPr>
          <w:rFonts w:cs="Times New Roman"/>
        </w:rPr>
        <w:t>AML</w:t>
      </w:r>
      <w:proofErr w:type="spellEnd"/>
      <w:r w:rsidR="00FC116C" w:rsidRPr="00FC116C">
        <w:rPr>
          <w:rFonts w:cs="Times New Roman"/>
        </w:rPr>
        <w:t>/</w:t>
      </w:r>
      <w:proofErr w:type="spellStart"/>
      <w:r w:rsidR="00FC116C" w:rsidRPr="00FC116C">
        <w:rPr>
          <w:rFonts w:cs="Times New Roman"/>
        </w:rPr>
        <w:t>CFT</w:t>
      </w:r>
      <w:proofErr w:type="spellEnd"/>
      <w:r w:rsidR="00FC116C" w:rsidRPr="00FC116C">
        <w:rPr>
          <w:rFonts w:cs="Times New Roman"/>
        </w:rPr>
        <w:t xml:space="preserve"> kollégiumokról szóló </w:t>
      </w:r>
      <w:proofErr w:type="spellStart"/>
      <w:r w:rsidR="00FC116C" w:rsidRPr="00FC116C">
        <w:rPr>
          <w:rFonts w:cs="Times New Roman"/>
        </w:rPr>
        <w:t>E</w:t>
      </w:r>
      <w:r w:rsidR="00A96D16">
        <w:rPr>
          <w:rFonts w:cs="Times New Roman"/>
        </w:rPr>
        <w:t>S</w:t>
      </w:r>
      <w:r w:rsidR="00FC116C" w:rsidRPr="00FC116C">
        <w:rPr>
          <w:rFonts w:cs="Times New Roman"/>
        </w:rPr>
        <w:t>A</w:t>
      </w:r>
      <w:proofErr w:type="spellEnd"/>
      <w:r w:rsidR="00FC116C" w:rsidRPr="00FC116C">
        <w:rPr>
          <w:rFonts w:cs="Times New Roman"/>
        </w:rPr>
        <w:t xml:space="preserve"> iránymutatás</w:t>
      </w:r>
      <w:r w:rsidR="00FC116C">
        <w:rPr>
          <w:rFonts w:cs="Times New Roman"/>
        </w:rPr>
        <w:t xml:space="preserve"> </w:t>
      </w:r>
      <w:r w:rsidR="00E70685">
        <w:rPr>
          <w:rFonts w:cs="Times New Roman"/>
        </w:rPr>
        <w:t xml:space="preserve">alapján </w:t>
      </w:r>
      <w:r w:rsidR="00F53647">
        <w:rPr>
          <w:rFonts w:cs="Times New Roman"/>
        </w:rPr>
        <w:t xml:space="preserve">ezen esetekben </w:t>
      </w:r>
      <w:proofErr w:type="spellStart"/>
      <w:r w:rsidR="00F53647">
        <w:rPr>
          <w:rFonts w:cs="Times New Roman"/>
        </w:rPr>
        <w:t>AML</w:t>
      </w:r>
      <w:proofErr w:type="spellEnd"/>
      <w:r w:rsidR="00F53647">
        <w:rPr>
          <w:rFonts w:cs="Times New Roman"/>
        </w:rPr>
        <w:t>/</w:t>
      </w:r>
      <w:proofErr w:type="spellStart"/>
      <w:r w:rsidR="00F53647">
        <w:rPr>
          <w:rFonts w:cs="Times New Roman"/>
        </w:rPr>
        <w:t>CFT</w:t>
      </w:r>
      <w:proofErr w:type="spellEnd"/>
      <w:r w:rsidR="00F53647">
        <w:rPr>
          <w:rFonts w:cs="Times New Roman"/>
        </w:rPr>
        <w:t xml:space="preserve"> </w:t>
      </w:r>
      <w:r w:rsidR="00E70685">
        <w:rPr>
          <w:rFonts w:cs="Times New Roman"/>
        </w:rPr>
        <w:t>kollégium felállítása megtörtént. A</w:t>
      </w:r>
      <w:r w:rsidR="00643FAA">
        <w:rPr>
          <w:rFonts w:cs="Times New Roman"/>
        </w:rPr>
        <w:t xml:space="preserve">z </w:t>
      </w:r>
      <w:proofErr w:type="spellStart"/>
      <w:r w:rsidR="00643FAA">
        <w:rPr>
          <w:rFonts w:cs="Times New Roman"/>
        </w:rPr>
        <w:t>AML</w:t>
      </w:r>
      <w:proofErr w:type="spellEnd"/>
      <w:r w:rsidR="00643FAA">
        <w:rPr>
          <w:rFonts w:cs="Times New Roman"/>
        </w:rPr>
        <w:t>/</w:t>
      </w:r>
      <w:proofErr w:type="spellStart"/>
      <w:r w:rsidR="00643FAA">
        <w:rPr>
          <w:rFonts w:cs="Times New Roman"/>
        </w:rPr>
        <w:t>CFT</w:t>
      </w:r>
      <w:proofErr w:type="spellEnd"/>
      <w:r w:rsidR="00E70685">
        <w:rPr>
          <w:rFonts w:cs="Times New Roman"/>
        </w:rPr>
        <w:t xml:space="preserve"> kollégium keretében a tagországok illetékes hatóságai, illetve – a</w:t>
      </w:r>
      <w:r w:rsidR="00FC116C">
        <w:rPr>
          <w:rFonts w:cs="Times New Roman"/>
        </w:rPr>
        <w:t xml:space="preserve">z </w:t>
      </w:r>
      <w:proofErr w:type="spellStart"/>
      <w:r w:rsidR="00FC116C" w:rsidRPr="00FC116C">
        <w:rPr>
          <w:rFonts w:cs="Times New Roman"/>
        </w:rPr>
        <w:t>AML</w:t>
      </w:r>
      <w:proofErr w:type="spellEnd"/>
      <w:r w:rsidR="00FC116C" w:rsidRPr="00FC116C">
        <w:rPr>
          <w:rFonts w:cs="Times New Roman"/>
        </w:rPr>
        <w:t>/</w:t>
      </w:r>
      <w:proofErr w:type="spellStart"/>
      <w:r w:rsidR="00FC116C" w:rsidRPr="00FC116C">
        <w:rPr>
          <w:rFonts w:cs="Times New Roman"/>
        </w:rPr>
        <w:t>CFT</w:t>
      </w:r>
      <w:proofErr w:type="spellEnd"/>
      <w:r w:rsidR="00FC116C" w:rsidRPr="00FC116C">
        <w:rPr>
          <w:rFonts w:cs="Times New Roman"/>
        </w:rPr>
        <w:t xml:space="preserve"> kollégiumokról szóló </w:t>
      </w:r>
      <w:proofErr w:type="spellStart"/>
      <w:r w:rsidR="00FC116C" w:rsidRPr="00FC116C">
        <w:rPr>
          <w:rFonts w:cs="Times New Roman"/>
        </w:rPr>
        <w:t>E</w:t>
      </w:r>
      <w:r w:rsidR="00A96D16">
        <w:rPr>
          <w:rFonts w:cs="Times New Roman"/>
        </w:rPr>
        <w:t>S</w:t>
      </w:r>
      <w:r w:rsidR="00FC116C" w:rsidRPr="00FC116C">
        <w:rPr>
          <w:rFonts w:cs="Times New Roman"/>
        </w:rPr>
        <w:t>A</w:t>
      </w:r>
      <w:proofErr w:type="spellEnd"/>
      <w:r w:rsidR="00FC116C" w:rsidRPr="00FC116C">
        <w:rPr>
          <w:rFonts w:cs="Times New Roman"/>
        </w:rPr>
        <w:t xml:space="preserve"> iránymutatás</w:t>
      </w:r>
      <w:r w:rsidR="00E70685">
        <w:rPr>
          <w:rFonts w:cs="Times New Roman"/>
        </w:rPr>
        <w:t xml:space="preserve">ban meghatározott esetekben – harmadik országok felügyeletei közötti információcsere, tudásmegosztás történik, </w:t>
      </w:r>
      <w:r w:rsidR="00BA19BE">
        <w:rPr>
          <w:rFonts w:cs="Times New Roman"/>
        </w:rPr>
        <w:t xml:space="preserve">amely </w:t>
      </w:r>
      <w:r w:rsidR="00E70685">
        <w:rPr>
          <w:rFonts w:cs="Times New Roman"/>
        </w:rPr>
        <w:t>kockázatcsökkentő tényezőként értékelendő.</w:t>
      </w:r>
      <w:r w:rsidR="00BB6BD7">
        <w:rPr>
          <w:rFonts w:cs="Times New Roman"/>
        </w:rPr>
        <w:t xml:space="preserve"> </w:t>
      </w:r>
      <w:r w:rsidR="00BB6BD7" w:rsidRPr="00A07F4E">
        <w:t xml:space="preserve">Ezen tulajdonosi struktúra, külföldi érdekeltség a határokon átnyúló kockázatok értékelésénél </w:t>
      </w:r>
      <w:r w:rsidR="00BB6BD7">
        <w:t xml:space="preserve">is </w:t>
      </w:r>
      <w:r w:rsidR="00BB6BD7" w:rsidRPr="00A07F4E">
        <w:t>figyelembevételre került.</w:t>
      </w:r>
    </w:p>
    <w:p w14:paraId="749ACCC0" w14:textId="34EF8185" w:rsidR="00A0374B" w:rsidRDefault="00A0374B" w:rsidP="00A0374B">
      <w:pPr>
        <w:spacing w:before="120" w:after="120"/>
        <w:rPr>
          <w:rFonts w:cs="Times New Roman"/>
        </w:rPr>
      </w:pPr>
      <w:r w:rsidRPr="00A07F4E">
        <w:rPr>
          <w:rFonts w:cs="Times New Roman"/>
        </w:rPr>
        <w:t>A kölcsön</w:t>
      </w:r>
      <w:r w:rsidR="00643FAA">
        <w:rPr>
          <w:rFonts w:cs="Times New Roman"/>
        </w:rPr>
        <w:t>-</w:t>
      </w:r>
      <w:r w:rsidRPr="00A07F4E">
        <w:rPr>
          <w:rFonts w:cs="Times New Roman"/>
        </w:rPr>
        <w:t xml:space="preserve"> és hitelügyletek</w:t>
      </w:r>
      <w:r w:rsidR="005859EC" w:rsidRPr="009F3A30">
        <w:t>, valamint a</w:t>
      </w:r>
      <w:r w:rsidR="005859EC" w:rsidRPr="00A07F4E">
        <w:rPr>
          <w:rFonts w:cs="Times New Roman"/>
        </w:rPr>
        <w:t xml:space="preserve"> </w:t>
      </w:r>
      <w:r w:rsidRPr="00A07F4E">
        <w:rPr>
          <w:rFonts w:cs="Times New Roman"/>
        </w:rPr>
        <w:t xml:space="preserve">hitelkártyák elsődlegesen bankokhoz, egyéb szakosított hitelintézethez, jelzálog hitelintézetekhez kapcsolódnak. </w:t>
      </w:r>
      <w:r w:rsidR="0008332C" w:rsidRPr="00A07F4E">
        <w:rPr>
          <w:rFonts w:cs="Times New Roman"/>
        </w:rPr>
        <w:t>A hitelintézetek által végzett egyéb tevékenységekhez</w:t>
      </w:r>
      <w:r w:rsidR="00BD173C" w:rsidRPr="00A07F4E">
        <w:rPr>
          <w:rFonts w:cs="Times New Roman"/>
        </w:rPr>
        <w:t xml:space="preserve">, </w:t>
      </w:r>
      <w:r w:rsidR="00643FAA">
        <w:rPr>
          <w:rFonts w:cs="Times New Roman"/>
        </w:rPr>
        <w:t>így például</w:t>
      </w:r>
      <w:r w:rsidR="00643FAA" w:rsidRPr="00A07F4E">
        <w:rPr>
          <w:rFonts w:cs="Times New Roman"/>
        </w:rPr>
        <w:t xml:space="preserve"> </w:t>
      </w:r>
      <w:r w:rsidR="001F1D76" w:rsidRPr="00A07F4E">
        <w:rPr>
          <w:rFonts w:cs="Times New Roman"/>
        </w:rPr>
        <w:t xml:space="preserve">a </w:t>
      </w:r>
      <w:r w:rsidR="00BD173C" w:rsidRPr="00A07F4E">
        <w:rPr>
          <w:rFonts w:cs="Times New Roman"/>
        </w:rPr>
        <w:t>pénzforgalmi szolgáltatásokhoz, fizetési számlához</w:t>
      </w:r>
      <w:r w:rsidR="00310CEB" w:rsidRPr="00A07F4E">
        <w:rPr>
          <w:rFonts w:cs="Times New Roman"/>
        </w:rPr>
        <w:t>;</w:t>
      </w:r>
      <w:r w:rsidR="00BD173C" w:rsidRPr="00A07F4E">
        <w:rPr>
          <w:rFonts w:cs="Times New Roman"/>
        </w:rPr>
        <w:t xml:space="preserve"> biztosításhoz</w:t>
      </w:r>
      <w:r w:rsidR="00310CEB" w:rsidRPr="00A07F4E">
        <w:rPr>
          <w:rFonts w:cs="Times New Roman"/>
        </w:rPr>
        <w:t>;</w:t>
      </w:r>
      <w:r w:rsidR="00BD173C" w:rsidRPr="00A07F4E">
        <w:rPr>
          <w:rFonts w:cs="Times New Roman"/>
        </w:rPr>
        <w:t xml:space="preserve"> befektetési szolgált</w:t>
      </w:r>
      <w:r w:rsidR="00310CEB" w:rsidRPr="00A07F4E">
        <w:rPr>
          <w:rFonts w:cs="Times New Roman"/>
        </w:rPr>
        <w:t>a</w:t>
      </w:r>
      <w:r w:rsidR="00BD173C" w:rsidRPr="00A07F4E">
        <w:rPr>
          <w:rFonts w:cs="Times New Roman"/>
        </w:rPr>
        <w:t>tásokhoz</w:t>
      </w:r>
      <w:r w:rsidR="00310CEB" w:rsidRPr="00A07F4E">
        <w:rPr>
          <w:rFonts w:cs="Times New Roman"/>
        </w:rPr>
        <w:t>;</w:t>
      </w:r>
      <w:r w:rsidR="00BD173C" w:rsidRPr="00A07F4E">
        <w:rPr>
          <w:rFonts w:cs="Times New Roman"/>
        </w:rPr>
        <w:t xml:space="preserve"> pénzváltáshoz</w:t>
      </w:r>
      <w:r w:rsidR="00310CEB" w:rsidRPr="00A07F4E">
        <w:rPr>
          <w:rFonts w:cs="Times New Roman"/>
        </w:rPr>
        <w:t>;</w:t>
      </w:r>
      <w:r w:rsidR="00BD173C" w:rsidRPr="00A07F4E">
        <w:rPr>
          <w:rFonts w:cs="Times New Roman"/>
        </w:rPr>
        <w:t xml:space="preserve"> széfszolgáltatáshoz, </w:t>
      </w:r>
      <w:r w:rsidR="00626168" w:rsidRPr="00A07F4E">
        <w:rPr>
          <w:rFonts w:cs="Times New Roman"/>
        </w:rPr>
        <w:t xml:space="preserve">illetve esetlegesen a </w:t>
      </w:r>
      <w:r w:rsidR="00DA131E">
        <w:rPr>
          <w:rFonts w:cs="Times New Roman"/>
        </w:rPr>
        <w:t>pénzküldési szolgáltatások</w:t>
      </w:r>
      <w:r w:rsidR="00E65B04">
        <w:rPr>
          <w:rFonts w:cs="Times New Roman"/>
        </w:rPr>
        <w:t>hoz</w:t>
      </w:r>
      <w:r w:rsidR="00DA131E">
        <w:rPr>
          <w:rFonts w:cs="Times New Roman"/>
        </w:rPr>
        <w:t xml:space="preserve"> (</w:t>
      </w:r>
      <w:r w:rsidR="00BD173C" w:rsidRPr="00495166">
        <w:rPr>
          <w:rFonts w:cs="Times New Roman"/>
        </w:rPr>
        <w:t xml:space="preserve">Money </w:t>
      </w:r>
      <w:proofErr w:type="spellStart"/>
      <w:r w:rsidR="00BD173C" w:rsidRPr="00495166">
        <w:rPr>
          <w:rFonts w:cs="Times New Roman"/>
        </w:rPr>
        <w:t>or</w:t>
      </w:r>
      <w:proofErr w:type="spellEnd"/>
      <w:r w:rsidR="00BD173C" w:rsidRPr="00495166">
        <w:rPr>
          <w:rFonts w:cs="Times New Roman"/>
        </w:rPr>
        <w:t xml:space="preserve"> </w:t>
      </w:r>
      <w:proofErr w:type="spellStart"/>
      <w:r w:rsidR="00BD173C" w:rsidRPr="00495166">
        <w:rPr>
          <w:rFonts w:cs="Times New Roman"/>
        </w:rPr>
        <w:t>Value</w:t>
      </w:r>
      <w:proofErr w:type="spellEnd"/>
      <w:r w:rsidR="00BD173C" w:rsidRPr="00495166">
        <w:rPr>
          <w:rFonts w:cs="Times New Roman"/>
        </w:rPr>
        <w:t xml:space="preserve"> </w:t>
      </w:r>
      <w:proofErr w:type="spellStart"/>
      <w:r w:rsidR="00BD173C" w:rsidRPr="00495166">
        <w:rPr>
          <w:rFonts w:cs="Times New Roman"/>
        </w:rPr>
        <w:t>Transfer</w:t>
      </w:r>
      <w:proofErr w:type="spellEnd"/>
      <w:r w:rsidR="00BD173C" w:rsidRPr="00495166">
        <w:rPr>
          <w:rFonts w:cs="Times New Roman"/>
        </w:rPr>
        <w:t xml:space="preserve"> </w:t>
      </w:r>
      <w:proofErr w:type="spellStart"/>
      <w:r w:rsidR="00BD173C" w:rsidRPr="00495166">
        <w:rPr>
          <w:rFonts w:cs="Times New Roman"/>
        </w:rPr>
        <w:t>S</w:t>
      </w:r>
      <w:r w:rsidR="007322B4" w:rsidRPr="00495166">
        <w:rPr>
          <w:rFonts w:cs="Times New Roman"/>
        </w:rPr>
        <w:t>ervices</w:t>
      </w:r>
      <w:proofErr w:type="spellEnd"/>
      <w:r w:rsidR="00DA131E" w:rsidRPr="00495166">
        <w:rPr>
          <w:rFonts w:cs="Times New Roman"/>
        </w:rPr>
        <w:t>) (</w:t>
      </w:r>
      <w:proofErr w:type="spellStart"/>
      <w:r w:rsidR="00DA131E" w:rsidRPr="00495166">
        <w:rPr>
          <w:rFonts w:cs="Times New Roman"/>
          <w:b/>
          <w:bCs/>
        </w:rPr>
        <w:t>MVTS</w:t>
      </w:r>
      <w:proofErr w:type="spellEnd"/>
      <w:r w:rsidR="00DA131E" w:rsidRPr="00495166">
        <w:rPr>
          <w:rFonts w:cs="Times New Roman"/>
          <w:b/>
          <w:bCs/>
        </w:rPr>
        <w:t xml:space="preserve"> szolgáltatók</w:t>
      </w:r>
      <w:r w:rsidR="00DA131E" w:rsidRPr="00495166">
        <w:rPr>
          <w:rFonts w:cs="Times New Roman"/>
        </w:rPr>
        <w:t xml:space="preserve">) </w:t>
      </w:r>
      <w:r w:rsidR="00626168" w:rsidRPr="00A07F4E">
        <w:rPr>
          <w:rFonts w:cs="Times New Roman"/>
        </w:rPr>
        <w:t>és</w:t>
      </w:r>
      <w:r w:rsidR="00BD173C" w:rsidRPr="00A07F4E">
        <w:rPr>
          <w:rFonts w:cs="Times New Roman"/>
        </w:rPr>
        <w:t xml:space="preserve"> az elektronikus pénzhez kapcsolódó </w:t>
      </w:r>
      <w:r w:rsidR="0008332C" w:rsidRPr="00B10603">
        <w:rPr>
          <w:rFonts w:cs="Times New Roman"/>
        </w:rPr>
        <w:t>üzleti modellek jellegé</w:t>
      </w:r>
      <w:r w:rsidR="00AA0FBE" w:rsidRPr="00B10603">
        <w:rPr>
          <w:rFonts w:cs="Times New Roman"/>
        </w:rPr>
        <w:t>nek részletezését</w:t>
      </w:r>
      <w:r w:rsidR="0008332C" w:rsidRPr="00A07F4E">
        <w:rPr>
          <w:rFonts w:cs="Times New Roman"/>
        </w:rPr>
        <w:t xml:space="preserve"> </w:t>
      </w:r>
      <w:r w:rsidR="00BD173C" w:rsidRPr="00A07F4E">
        <w:rPr>
          <w:rFonts w:cs="Times New Roman"/>
        </w:rPr>
        <w:t xml:space="preserve">az </w:t>
      </w:r>
      <w:r w:rsidR="00863F9B" w:rsidRPr="00A07F4E">
        <w:rPr>
          <w:rFonts w:cs="Times New Roman"/>
        </w:rPr>
        <w:t>NRA</w:t>
      </w:r>
      <w:r w:rsidR="00BD173C" w:rsidRPr="00A07F4E">
        <w:rPr>
          <w:rFonts w:cs="Times New Roman"/>
        </w:rPr>
        <w:t xml:space="preserve"> tar</w:t>
      </w:r>
      <w:r w:rsidR="0008332C" w:rsidRPr="00A07F4E">
        <w:rPr>
          <w:rFonts w:cs="Times New Roman"/>
        </w:rPr>
        <w:t xml:space="preserve">talmazza. </w:t>
      </w:r>
    </w:p>
    <w:p w14:paraId="7C811E90" w14:textId="302835B0" w:rsidR="00C514A3" w:rsidRPr="00A07F4E" w:rsidRDefault="00C514A3" w:rsidP="00A0374B">
      <w:pPr>
        <w:spacing w:before="120" w:after="120"/>
        <w:rPr>
          <w:rFonts w:cs="Times New Roman"/>
        </w:rPr>
      </w:pPr>
      <w:r w:rsidRPr="00A07F4E">
        <w:rPr>
          <w:rFonts w:cs="Times New Roman"/>
        </w:rPr>
        <w:t xml:space="preserve">A hitelintézeti szektoron belül </w:t>
      </w:r>
      <w:r w:rsidR="00C2263B" w:rsidRPr="00A07F4E">
        <w:rPr>
          <w:rFonts w:cs="Times New Roman"/>
        </w:rPr>
        <w:t>a</w:t>
      </w:r>
      <w:r w:rsidR="00E65B04">
        <w:rPr>
          <w:rFonts w:cs="Times New Roman"/>
        </w:rPr>
        <w:t xml:space="preserve"> szolgáltatók</w:t>
      </w:r>
      <w:r w:rsidR="00C2263B" w:rsidRPr="00A07F4E">
        <w:rPr>
          <w:rFonts w:cs="Times New Roman"/>
        </w:rPr>
        <w:t xml:space="preserve"> </w:t>
      </w:r>
      <w:r w:rsidR="00E65B04" w:rsidRPr="00A07F4E">
        <w:rPr>
          <w:rFonts w:cs="Times New Roman"/>
        </w:rPr>
        <w:t>tevékenység</w:t>
      </w:r>
      <w:r w:rsidR="00E65B04">
        <w:rPr>
          <w:rFonts w:cs="Times New Roman"/>
        </w:rPr>
        <w:t>ének</w:t>
      </w:r>
      <w:r w:rsidR="00E65B04" w:rsidRPr="00A07F4E">
        <w:rPr>
          <w:rFonts w:cs="Times New Roman"/>
        </w:rPr>
        <w:t xml:space="preserve"> </w:t>
      </w:r>
      <w:r w:rsidR="00C2263B" w:rsidRPr="00A07F4E">
        <w:rPr>
          <w:rFonts w:cs="Times New Roman"/>
        </w:rPr>
        <w:t>jellege</w:t>
      </w:r>
      <w:r w:rsidR="00E65B04">
        <w:rPr>
          <w:rFonts w:cs="Times New Roman"/>
        </w:rPr>
        <w:t xml:space="preserve">, illetve a közös csoporthoz tartozás, </w:t>
      </w:r>
      <w:r w:rsidR="0044584C">
        <w:rPr>
          <w:rFonts w:cs="Times New Roman"/>
        </w:rPr>
        <w:t xml:space="preserve">az </w:t>
      </w:r>
      <w:proofErr w:type="spellStart"/>
      <w:r w:rsidR="00E65B04">
        <w:rPr>
          <w:rFonts w:cs="Times New Roman"/>
        </w:rPr>
        <w:t>AML</w:t>
      </w:r>
      <w:proofErr w:type="spellEnd"/>
      <w:r w:rsidR="00E65B04">
        <w:rPr>
          <w:rFonts w:cs="Times New Roman"/>
        </w:rPr>
        <w:t>/</w:t>
      </w:r>
      <w:proofErr w:type="spellStart"/>
      <w:r w:rsidR="00E65B04">
        <w:rPr>
          <w:rFonts w:cs="Times New Roman"/>
        </w:rPr>
        <w:t>CFT</w:t>
      </w:r>
      <w:proofErr w:type="spellEnd"/>
      <w:r w:rsidR="00E65B04">
        <w:rPr>
          <w:rFonts w:cs="Times New Roman"/>
        </w:rPr>
        <w:t xml:space="preserve"> kollégium felállítása</w:t>
      </w:r>
      <w:r w:rsidR="00C2263B" w:rsidRPr="00A07F4E">
        <w:rPr>
          <w:rFonts w:cs="Times New Roman"/>
        </w:rPr>
        <w:t xml:space="preserve"> szerint </w:t>
      </w:r>
      <w:r w:rsidRPr="00A07F4E">
        <w:rPr>
          <w:rFonts w:cs="Times New Roman"/>
        </w:rPr>
        <w:t>az alábbi alszektorok kerültek kialakításra:</w:t>
      </w:r>
    </w:p>
    <w:p w14:paraId="37432A5B" w14:textId="77777777" w:rsidR="00C514A3" w:rsidRDefault="00C514A3" w:rsidP="007A1308">
      <w:pPr>
        <w:pStyle w:val="Szvegtrzsbehzssal3"/>
        <w:numPr>
          <w:ilvl w:val="0"/>
          <w:numId w:val="21"/>
        </w:numPr>
        <w:spacing w:line="240" w:lineRule="auto"/>
        <w:rPr>
          <w:rFonts w:ascii="Calibri" w:eastAsia="Times New Roman" w:hAnsi="Calibri" w:cs="Calibri"/>
          <w:sz w:val="20"/>
          <w:szCs w:val="20"/>
        </w:rPr>
      </w:pPr>
      <w:r w:rsidRPr="00A07F4E">
        <w:rPr>
          <w:rFonts w:ascii="Calibri" w:eastAsia="Times New Roman" w:hAnsi="Calibri" w:cs="Calibri"/>
          <w:sz w:val="20"/>
          <w:szCs w:val="20"/>
        </w:rPr>
        <w:t>Szakosított hitelintézet</w:t>
      </w:r>
    </w:p>
    <w:p w14:paraId="666A436B" w14:textId="634898B7" w:rsidR="00C26EB5" w:rsidRPr="00A07F4E" w:rsidRDefault="00643FAA" w:rsidP="007A1308">
      <w:pPr>
        <w:pStyle w:val="Szvegtrzsbehzssal3"/>
        <w:numPr>
          <w:ilvl w:val="0"/>
          <w:numId w:val="21"/>
        </w:numPr>
        <w:spacing w:line="240" w:lineRule="auto"/>
        <w:rPr>
          <w:rFonts w:ascii="Calibri" w:eastAsia="Times New Roman" w:hAnsi="Calibri" w:cs="Calibri"/>
          <w:sz w:val="20"/>
          <w:szCs w:val="20"/>
        </w:rPr>
      </w:pPr>
      <w:proofErr w:type="spellStart"/>
      <w:r>
        <w:rPr>
          <w:rFonts w:ascii="Calibri" w:eastAsia="Times New Roman" w:hAnsi="Calibri" w:cs="Calibri"/>
          <w:sz w:val="20"/>
          <w:szCs w:val="20"/>
        </w:rPr>
        <w:t>AML</w:t>
      </w:r>
      <w:proofErr w:type="spellEnd"/>
      <w:r>
        <w:rPr>
          <w:rFonts w:ascii="Calibri" w:eastAsia="Times New Roman" w:hAnsi="Calibri" w:cs="Calibri"/>
          <w:sz w:val="20"/>
          <w:szCs w:val="20"/>
        </w:rPr>
        <w:t>/</w:t>
      </w:r>
      <w:proofErr w:type="spellStart"/>
      <w:r>
        <w:rPr>
          <w:rFonts w:ascii="Calibri" w:eastAsia="Times New Roman" w:hAnsi="Calibri" w:cs="Calibri"/>
          <w:sz w:val="20"/>
          <w:szCs w:val="20"/>
        </w:rPr>
        <w:t>CFT</w:t>
      </w:r>
      <w:proofErr w:type="spellEnd"/>
      <w:r>
        <w:rPr>
          <w:rFonts w:ascii="Calibri" w:eastAsia="Times New Roman" w:hAnsi="Calibri" w:cs="Calibri"/>
          <w:sz w:val="20"/>
          <w:szCs w:val="20"/>
        </w:rPr>
        <w:t xml:space="preserve"> </w:t>
      </w:r>
      <w:r w:rsidR="00C26EB5">
        <w:rPr>
          <w:rFonts w:ascii="Calibri" w:eastAsia="Times New Roman" w:hAnsi="Calibri" w:cs="Calibri"/>
          <w:sz w:val="20"/>
          <w:szCs w:val="20"/>
        </w:rPr>
        <w:t>kollégium mellett működő külföldi érintettségű csoport</w:t>
      </w:r>
      <w:r w:rsidR="00DB03D4">
        <w:rPr>
          <w:rFonts w:ascii="Calibri" w:eastAsia="Times New Roman" w:hAnsi="Calibri" w:cs="Calibri"/>
          <w:sz w:val="20"/>
          <w:szCs w:val="20"/>
        </w:rPr>
        <w:t>tag</w:t>
      </w:r>
    </w:p>
    <w:p w14:paraId="2EE95246" w14:textId="77777777" w:rsidR="00C514A3" w:rsidRPr="00A07F4E" w:rsidRDefault="00C514A3" w:rsidP="00C514A3">
      <w:pPr>
        <w:pStyle w:val="Szvegtrzsbehzssal3"/>
        <w:spacing w:line="240" w:lineRule="auto"/>
        <w:ind w:left="1080"/>
        <w:jc w:val="both"/>
        <w:rPr>
          <w:rFonts w:ascii="Calibri" w:eastAsia="Times New Roman" w:hAnsi="Calibri" w:cs="Calibri"/>
          <w:sz w:val="20"/>
          <w:szCs w:val="20"/>
        </w:rPr>
      </w:pPr>
    </w:p>
    <w:p w14:paraId="48062517" w14:textId="77777777" w:rsidR="007C23C1" w:rsidRPr="00A07F4E" w:rsidRDefault="007C23C1" w:rsidP="00A07F4E">
      <w:pPr>
        <w:pStyle w:val="Cmsor3"/>
        <w:numPr>
          <w:ilvl w:val="0"/>
          <w:numId w:val="69"/>
        </w:numPr>
        <w:ind w:left="567" w:hanging="283"/>
      </w:pPr>
      <w:bookmarkStart w:id="5" w:name="_Toc109906008"/>
      <w:r w:rsidRPr="00A07F4E">
        <w:t>Inherens kockázatértékelés:</w:t>
      </w:r>
      <w:bookmarkEnd w:id="5"/>
    </w:p>
    <w:p w14:paraId="2EC9BF25" w14:textId="77777777" w:rsidR="007377BD" w:rsidRPr="00A07F4E" w:rsidRDefault="007377BD" w:rsidP="00A07F4E">
      <w:pPr>
        <w:pStyle w:val="Listaszerbekezds"/>
        <w:numPr>
          <w:ilvl w:val="1"/>
          <w:numId w:val="13"/>
        </w:numPr>
        <w:ind w:left="851" w:hanging="284"/>
      </w:pPr>
      <w:r w:rsidRPr="00A07F4E">
        <w:t>A hitelintézeti szektorban rejlő ML/</w:t>
      </w:r>
      <w:proofErr w:type="spellStart"/>
      <w:r w:rsidRPr="00A07F4E">
        <w:t>TF</w:t>
      </w:r>
      <w:proofErr w:type="spellEnd"/>
      <w:r w:rsidRPr="00A07F4E">
        <w:t xml:space="preserve"> kockázati tényezők</w:t>
      </w:r>
    </w:p>
    <w:p w14:paraId="669EBAC1" w14:textId="68BB1AC3" w:rsidR="00056B99" w:rsidRDefault="00BF2782" w:rsidP="00B10603">
      <w:r>
        <w:t>Az MNB</w:t>
      </w:r>
      <w:r w:rsidR="006C2106" w:rsidRPr="00BF2782">
        <w:t xml:space="preserve"> a termékeknek/szolgáltatásoknak Nagyon jelentős kockázati besorolást rendelt, míg az ügyfele</w:t>
      </w:r>
      <w:r w:rsidR="001326A9" w:rsidRPr="00BF2782">
        <w:t>ket</w:t>
      </w:r>
      <w:r w:rsidR="006C2106" w:rsidRPr="00BF2782">
        <w:t xml:space="preserve">, </w:t>
      </w:r>
      <w:r w:rsidR="001326A9" w:rsidRPr="00BF2782">
        <w:t>földrajzi és étékesítési csatornát érintő kockázatok Jelentős kockázati besorolást kaptak.</w:t>
      </w:r>
      <w:r w:rsidR="001326A9" w:rsidRPr="00A07F4E">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9B3996" w:rsidRPr="003168BA" w14:paraId="0D8D9C78" w14:textId="77777777" w:rsidTr="00300DCA">
        <w:tc>
          <w:tcPr>
            <w:tcW w:w="3061" w:type="dxa"/>
          </w:tcPr>
          <w:p w14:paraId="57021CB0" w14:textId="77777777" w:rsidR="009B3996" w:rsidRPr="00495166" w:rsidRDefault="009B3996" w:rsidP="00B10603">
            <w:pPr>
              <w:jc w:val="center"/>
              <w:rPr>
                <w:b/>
                <w:bCs/>
              </w:rPr>
            </w:pPr>
            <w:r w:rsidRPr="00495166">
              <w:rPr>
                <w:b/>
                <w:bCs/>
              </w:rPr>
              <w:t>Kockázat megnevezése</w:t>
            </w:r>
          </w:p>
        </w:tc>
        <w:tc>
          <w:tcPr>
            <w:tcW w:w="3035" w:type="dxa"/>
          </w:tcPr>
          <w:p w14:paraId="0713616F" w14:textId="77777777" w:rsidR="009B3996" w:rsidRPr="00495166" w:rsidRDefault="009B3996" w:rsidP="00B10603">
            <w:pPr>
              <w:jc w:val="center"/>
              <w:rPr>
                <w:b/>
                <w:bCs/>
              </w:rPr>
            </w:pPr>
            <w:r w:rsidRPr="00495166">
              <w:rPr>
                <w:b/>
                <w:bCs/>
              </w:rPr>
              <w:t>Kockázati érték</w:t>
            </w:r>
          </w:p>
        </w:tc>
      </w:tr>
      <w:tr w:rsidR="009B3996" w:rsidRPr="003168BA" w14:paraId="790CABC2" w14:textId="77777777" w:rsidTr="00495166">
        <w:tc>
          <w:tcPr>
            <w:tcW w:w="3061" w:type="dxa"/>
            <w:shd w:val="clear" w:color="auto" w:fill="auto"/>
          </w:tcPr>
          <w:p w14:paraId="0CB86377" w14:textId="77777777" w:rsidR="009B3996" w:rsidRPr="00554E41" w:rsidRDefault="009B3996" w:rsidP="00495166">
            <w:pPr>
              <w:jc w:val="center"/>
              <w:rPr>
                <w:highlight w:val="yellow"/>
              </w:rPr>
            </w:pPr>
            <w:r w:rsidRPr="00495166">
              <w:t>Termék/szolgáltatás</w:t>
            </w:r>
          </w:p>
        </w:tc>
        <w:tc>
          <w:tcPr>
            <w:tcW w:w="3035" w:type="dxa"/>
            <w:shd w:val="clear" w:color="auto" w:fill="FF0000"/>
          </w:tcPr>
          <w:p w14:paraId="18CC84BB" w14:textId="0A01309F" w:rsidR="009B3996" w:rsidRPr="00554E41" w:rsidRDefault="00BF2782" w:rsidP="00495166">
            <w:pPr>
              <w:jc w:val="center"/>
              <w:rPr>
                <w:highlight w:val="yellow"/>
              </w:rPr>
            </w:pPr>
            <w:r>
              <w:t>Nagyon j</w:t>
            </w:r>
            <w:r w:rsidR="006F1EE1">
              <w:t>elentős</w:t>
            </w:r>
          </w:p>
        </w:tc>
      </w:tr>
      <w:tr w:rsidR="009B3996" w14:paraId="2BE2C244" w14:textId="77777777" w:rsidTr="00C63813">
        <w:tc>
          <w:tcPr>
            <w:tcW w:w="3061" w:type="dxa"/>
          </w:tcPr>
          <w:p w14:paraId="762629A9" w14:textId="77777777" w:rsidR="009B3996" w:rsidRDefault="009B3996" w:rsidP="00495166">
            <w:pPr>
              <w:jc w:val="center"/>
            </w:pPr>
            <w:r>
              <w:t>Ügyfelek</w:t>
            </w:r>
          </w:p>
        </w:tc>
        <w:tc>
          <w:tcPr>
            <w:tcW w:w="3035" w:type="dxa"/>
            <w:shd w:val="clear" w:color="auto" w:fill="FFC000"/>
          </w:tcPr>
          <w:p w14:paraId="31191FB9" w14:textId="6A990A8C" w:rsidR="009B3996" w:rsidRDefault="00BF2782" w:rsidP="00495166">
            <w:pPr>
              <w:jc w:val="center"/>
            </w:pPr>
            <w:r>
              <w:t>Jelentős</w:t>
            </w:r>
          </w:p>
        </w:tc>
      </w:tr>
      <w:tr w:rsidR="009B3996" w14:paraId="7E06144D" w14:textId="77777777" w:rsidTr="00495166">
        <w:tc>
          <w:tcPr>
            <w:tcW w:w="3061" w:type="dxa"/>
          </w:tcPr>
          <w:p w14:paraId="35437E2D" w14:textId="77777777" w:rsidR="009B3996" w:rsidRDefault="009B3996" w:rsidP="00495166">
            <w:pPr>
              <w:jc w:val="center"/>
            </w:pPr>
            <w:r>
              <w:t>Földrajzi</w:t>
            </w:r>
          </w:p>
        </w:tc>
        <w:tc>
          <w:tcPr>
            <w:tcW w:w="3035" w:type="dxa"/>
            <w:shd w:val="clear" w:color="auto" w:fill="FFC000"/>
          </w:tcPr>
          <w:p w14:paraId="794C4528" w14:textId="7B07D01A" w:rsidR="009B3996" w:rsidRDefault="009B3996" w:rsidP="00495166">
            <w:pPr>
              <w:jc w:val="center"/>
            </w:pPr>
            <w:r>
              <w:t>Jelentős</w:t>
            </w:r>
          </w:p>
        </w:tc>
      </w:tr>
      <w:tr w:rsidR="009B3996" w14:paraId="19BC6684" w14:textId="77777777" w:rsidTr="00C63813">
        <w:tc>
          <w:tcPr>
            <w:tcW w:w="3061" w:type="dxa"/>
          </w:tcPr>
          <w:p w14:paraId="4A45C914" w14:textId="77777777" w:rsidR="009B3996" w:rsidRDefault="009B3996" w:rsidP="00495166">
            <w:pPr>
              <w:jc w:val="center"/>
            </w:pPr>
            <w:r>
              <w:t>Értékesítési csatorna</w:t>
            </w:r>
          </w:p>
        </w:tc>
        <w:tc>
          <w:tcPr>
            <w:tcW w:w="3035" w:type="dxa"/>
            <w:shd w:val="clear" w:color="auto" w:fill="FFC000"/>
          </w:tcPr>
          <w:p w14:paraId="723FEEE3" w14:textId="74F3262F" w:rsidR="009B3996" w:rsidRDefault="00BF2782" w:rsidP="00495166">
            <w:pPr>
              <w:jc w:val="center"/>
            </w:pPr>
            <w:r>
              <w:t>Jelentős</w:t>
            </w:r>
          </w:p>
        </w:tc>
      </w:tr>
    </w:tbl>
    <w:p w14:paraId="2D399142" w14:textId="0647E2EA" w:rsidR="009B3996" w:rsidRDefault="009B3996" w:rsidP="00B10603"/>
    <w:p w14:paraId="24995B47" w14:textId="13A33A3A" w:rsidR="009B3996" w:rsidRDefault="00A43C09" w:rsidP="00495166">
      <w:pPr>
        <w:rPr>
          <w:rFonts w:cs="Times New Roman"/>
        </w:rPr>
      </w:pPr>
      <w:r w:rsidRPr="00A43C09">
        <w:rPr>
          <w:rFonts w:cs="Times New Roman"/>
        </w:rPr>
        <w:t xml:space="preserve">A hitelintézeti szektorra jellemző az összetettség, külföldi, mind tagállami, mind harmadik ország állampolgárai is megjelennek a hitelintézeti szektort kitevő szolgáltatók ügyfélkörében, illetve </w:t>
      </w:r>
      <w:r w:rsidR="00BB6BD7">
        <w:rPr>
          <w:rFonts w:cs="Times New Roman"/>
        </w:rPr>
        <w:t>több</w:t>
      </w:r>
      <w:r w:rsidRPr="00A43C09">
        <w:rPr>
          <w:rFonts w:cs="Times New Roman"/>
        </w:rPr>
        <w:t xml:space="preserve"> hitelintézet rendelkezik külföldi érdekeltséggel. Mindezek alapján, a hitelintézeti szektorban rejlő, határokon átnyúló ML/</w:t>
      </w:r>
      <w:proofErr w:type="spellStart"/>
      <w:r w:rsidRPr="00A43C09">
        <w:rPr>
          <w:rFonts w:cs="Times New Roman"/>
        </w:rPr>
        <w:t>TF</w:t>
      </w:r>
      <w:proofErr w:type="spellEnd"/>
      <w:r w:rsidRPr="00A43C09">
        <w:rPr>
          <w:rFonts w:cs="Times New Roman"/>
        </w:rPr>
        <w:t xml:space="preserve"> kockázatok Jelenetősnek tekinthetőek.</w:t>
      </w:r>
    </w:p>
    <w:p w14:paraId="78215C0E" w14:textId="36C61C2F" w:rsidR="005D6E13" w:rsidRPr="00A07F4E" w:rsidRDefault="005D6E13" w:rsidP="00495166">
      <w:pPr>
        <w:spacing w:before="120" w:after="120"/>
      </w:pPr>
      <w:r w:rsidRPr="005D6E13">
        <w:lastRenderedPageBreak/>
        <w:t>A szolgáltatásokat tekintve a hitelintézetek vonzó pénzmosási célpontként szolgálnak, a portfólió komplexitása, a széleskörű termékválaszték, a magasabb pénzmosási kockázatot hordozó termékek megléte is jellemző.</w:t>
      </w:r>
    </w:p>
    <w:p w14:paraId="585CC44A" w14:textId="77777777" w:rsidR="000D0711" w:rsidRPr="00A07F4E" w:rsidRDefault="000D0711" w:rsidP="000550A7">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kiemelte, hogy az illetékes hatóságok az ügyfeleket, a termékeket és a szolgáltatásokat tekintették a magasabb szintű inherens kockázatot jelentő tényezőknek. A földrajzi kockázatokat azok a ható</w:t>
      </w:r>
      <w:r w:rsidR="00A67AF1" w:rsidRPr="00A07F4E">
        <w:t>s</w:t>
      </w:r>
      <w:r w:rsidRPr="00A07F4E">
        <w:t>ágok is kiemelték, amelyek olyan hitelintézeteket felügyelnek, amelyek</w:t>
      </w:r>
      <w:r w:rsidR="00EF5CFD" w:rsidRPr="00A07F4E">
        <w:t>nek</w:t>
      </w:r>
      <w:r w:rsidRPr="00A07F4E">
        <w:t xml:space="preserve"> nagy a nem rezidens ügyfeleik aránya, nagy volumenű tranzakciókat hajtanak végre magas kockázatú országokkal, vagy levelező banki tevékenységet folytatnak.</w:t>
      </w:r>
    </w:p>
    <w:p w14:paraId="0DAF1F55" w14:textId="6AFC176D" w:rsidR="00B625D2" w:rsidRDefault="00B625D2" w:rsidP="007377BD">
      <w:r w:rsidRPr="00B625D2">
        <w:t xml:space="preserve">A </w:t>
      </w:r>
      <w:r w:rsidR="00ED5436">
        <w:t>s</w:t>
      </w:r>
      <w:r>
        <w:t>zektor</w:t>
      </w:r>
      <w:r w:rsidR="004B3EF2">
        <w:t>ban jellemző, hogy a</w:t>
      </w:r>
      <w:r>
        <w:t xml:space="preserve"> </w:t>
      </w:r>
      <w:r w:rsidRPr="00B625D2">
        <w:t xml:space="preserve">szolgáltatók továbbra is szabályalapú megoldásokat vagy utasításokat várnak az </w:t>
      </w:r>
      <w:proofErr w:type="spellStart"/>
      <w:r w:rsidRPr="00B625D2">
        <w:t>AML</w:t>
      </w:r>
      <w:proofErr w:type="spellEnd"/>
      <w:r w:rsidRPr="00B625D2">
        <w:t>/</w:t>
      </w:r>
      <w:proofErr w:type="spellStart"/>
      <w:r w:rsidRPr="00B625D2">
        <w:t>CFT</w:t>
      </w:r>
      <w:proofErr w:type="spellEnd"/>
      <w:r w:rsidRPr="00B625D2">
        <w:t xml:space="preserve"> politikák végrehajtásához, a kockázatalapú megközelítésük hatékonysága még fejlesztésre szorul</w:t>
      </w:r>
      <w:r w:rsidR="00BB6BD7">
        <w:t>.</w:t>
      </w:r>
      <w:r w:rsidRPr="00B625D2">
        <w:t xml:space="preserve"> Az erőforrások elosztása </w:t>
      </w:r>
      <w:r w:rsidR="004B3EF2">
        <w:t>is sok esetben nem</w:t>
      </w:r>
      <w:r w:rsidRPr="00B625D2">
        <w:t xml:space="preserve"> hatékony, </w:t>
      </w:r>
      <w:r w:rsidR="004B3EF2">
        <w:t xml:space="preserve">mert </w:t>
      </w:r>
      <w:r w:rsidRPr="00B625D2">
        <w:t>a</w:t>
      </w:r>
      <w:r w:rsidR="00495166">
        <w:t xml:space="preserve"> szolgáltatók</w:t>
      </w:r>
      <w:r w:rsidRPr="00B625D2">
        <w:t xml:space="preserve"> költségek és kiadások csökkentésének módjait kívánják megtalálni, mintsem a kockázatalapú eljárásokra összpontosítani, ami jelentős kockázati tényező. Általánosságban továbbá elmondható, hogy a szektorhoz tartozó szolgáltatók fejlesztendő </w:t>
      </w:r>
      <w:proofErr w:type="spellStart"/>
      <w:r w:rsidRPr="00B625D2">
        <w:t>AML</w:t>
      </w:r>
      <w:proofErr w:type="spellEnd"/>
      <w:r w:rsidRPr="00B625D2">
        <w:t xml:space="preserve"> tranzakciómonitoring</w:t>
      </w:r>
      <w:r w:rsidR="00643FAA">
        <w:t xml:space="preserve"> rendszerekkel, valamint a</w:t>
      </w:r>
      <w:r w:rsidRPr="00B625D2">
        <w:t xml:space="preserve"> gyanús ügyletek bejelentésére vonatkozó politikákkal és eljárásokkal rendelkeznek. A szolgáltatók felügyelet felé történő adatszolgáltatási gyakorlata fejlesztendő, az ügyfél-átvilágítás során a pénzeszköz források beszerzésének gyakorlata elmarad az elvárásoktól, valamint az összes releváns </w:t>
      </w:r>
      <w:proofErr w:type="spellStart"/>
      <w:r w:rsidRPr="00B625D2">
        <w:t>AML</w:t>
      </w:r>
      <w:proofErr w:type="spellEnd"/>
      <w:r w:rsidRPr="00B625D2">
        <w:t xml:space="preserve"> tipológia, „</w:t>
      </w:r>
      <w:proofErr w:type="spellStart"/>
      <w:r w:rsidRPr="00B625D2">
        <w:t>redflag</w:t>
      </w:r>
      <w:proofErr w:type="spellEnd"/>
      <w:r w:rsidRPr="00B625D2">
        <w:t xml:space="preserve">-ek” </w:t>
      </w:r>
      <w:r>
        <w:t>számos esetben</w:t>
      </w:r>
      <w:r w:rsidRPr="00B625D2">
        <w:t xml:space="preserve"> nem találhatóak meg a rendszerekben. További kockázat, hogy a vizsgálatoknál sokszor felmerül a képzések, a személyzet megfelelő ismereteinek és tudatosságának hiánya, amely jelentősen befolyásolhatja a hatékonyságot.</w:t>
      </w:r>
    </w:p>
    <w:p w14:paraId="0FB21ED5" w14:textId="77777777" w:rsidR="00995542" w:rsidRDefault="00995542" w:rsidP="00995542">
      <w:r>
        <w:t>További jellemző hiányosság az MNB által előírt kötelező szűrések elvégzésének hiánya, valamint a kockázatalapúság hiánya a szűrési gyakorlatban, melynek oka, hogy a hitelintézetek nem megfelelően ismerik fel a rájuk jellemző kockázatokat, vagy az általuk detektált kockázatok kiszűrésére nem alakítanak ki megfelelő szűrőrendszert.</w:t>
      </w:r>
    </w:p>
    <w:p w14:paraId="2F4FAE91" w14:textId="3401C99B" w:rsidR="000F4811" w:rsidRPr="00A07F4E" w:rsidRDefault="000F4811" w:rsidP="007377BD">
      <w:r w:rsidRPr="000F4811">
        <w:t>A hitelintézetek esetében kiemelendő a levelező banki kapcsolatok által jelentett kockázat</w:t>
      </w:r>
      <w:r w:rsidRPr="00506BD2">
        <w:t>. A 2020</w:t>
      </w:r>
      <w:r w:rsidR="00D42E00">
        <w:t>.</w:t>
      </w:r>
      <w:r w:rsidRPr="00506BD2">
        <w:t xml:space="preserve"> évi adatszolgáltatás alapján a hitelintézetek 3 588 levelező banki kapcsolattal rendelkeztek</w:t>
      </w:r>
      <w:r w:rsidR="00343E1A" w:rsidRPr="00495166">
        <w:t>.</w:t>
      </w:r>
      <w:r w:rsidRPr="00506BD2">
        <w:t xml:space="preserve"> </w:t>
      </w:r>
      <w:r w:rsidRPr="000F4811">
        <w:t xml:space="preserve">A levelezőbanki kapcsolatok során kiemelten fontos a </w:t>
      </w:r>
      <w:r w:rsidR="00D42E00">
        <w:t>levelezett bankok</w:t>
      </w:r>
      <w:r w:rsidR="00D42E00" w:rsidRPr="000F4811">
        <w:t xml:space="preserve"> </w:t>
      </w:r>
      <w:r w:rsidRPr="000F4811">
        <w:t>által jelentett kockázatok beazonosítása</w:t>
      </w:r>
      <w:r w:rsidR="00D42E00">
        <w:t>,</w:t>
      </w:r>
      <w:r w:rsidRPr="000F4811">
        <w:t xml:space="preserve"> kellően részletes </w:t>
      </w:r>
      <w:proofErr w:type="spellStart"/>
      <w:r w:rsidRPr="000F4811">
        <w:t>KYC</w:t>
      </w:r>
      <w:proofErr w:type="spellEnd"/>
      <w:r w:rsidRPr="000F4811">
        <w:t xml:space="preserve"> folyamat kialakítása, figyelemmel arra, hogy az ügyfelek egyes tranzakciói a levelezőbankok közreműködésével kerülnek továbbításra, így az ügyfél nem csak a számlavezető, de a levelezőbank részére is kockázatot jelentenek. </w:t>
      </w:r>
    </w:p>
    <w:p w14:paraId="19BCC21D" w14:textId="50337731" w:rsidR="008A12EB" w:rsidRPr="009F3A30" w:rsidRDefault="008A12EB" w:rsidP="00DA3FC1">
      <w:r w:rsidRPr="009F3A30">
        <w:t>További kapcsolódó kockázat a magyar hitelintézetek által vezetett tranzitszámlákkal kapcsolatosan merül</w:t>
      </w:r>
      <w:r w:rsidR="005859EC" w:rsidRPr="009F3A30">
        <w:t>t</w:t>
      </w:r>
      <w:r w:rsidRPr="009F3A30">
        <w:t xml:space="preserve"> fel. Ez a jelenség jól látszik a szolgáltatók bejelentéseiből és a nemzetközi megkeresésekből.  A tranzit fizetési számlák esetén a számlára a külföldi forrásszámláról érkező jóváírások és a külföldi célszámlára irányuló terhelések összege közel azonos, és az átutalások mögött nem azonosítható racionális gazdasági indok. Az átutalások jellemzően külföldi székhelyű hitelintézetek által vezetett fizetési számlákról érkeznek, illetve általában a küldő országtól eltérő országban (elsősorban pénzügyi központokban) bejegyzett, de külföldi székhelyű hitelintézethez utalják tovább az összegeket.</w:t>
      </w:r>
    </w:p>
    <w:p w14:paraId="796F9FEF" w14:textId="226C96F5" w:rsidR="00810689" w:rsidRDefault="00810689" w:rsidP="00DA3FC1">
      <w:r w:rsidRPr="009F3A30">
        <w:t>További kockázatot növelő tényező</w:t>
      </w:r>
      <w:r w:rsidR="005859EC" w:rsidRPr="009F3A30">
        <w:t>, kiemelt kockázat</w:t>
      </w:r>
      <w:r w:rsidRPr="009F3A30">
        <w:t xml:space="preserve"> a bűncselekményekből származó jövedelmek áramlása a bankszektorba, és még mindig gyakori jelenség, hogy kisebb összegű juttatásokért cserébe strómanok vesznek részt bankszámlanyitásokban.</w:t>
      </w:r>
      <w:r w:rsidRPr="00A07F4E">
        <w:t xml:space="preserve">  </w:t>
      </w:r>
    </w:p>
    <w:p w14:paraId="5A167AAC" w14:textId="28D54C35" w:rsidR="007C7586" w:rsidRDefault="00E43740" w:rsidP="00495166">
      <w:pPr>
        <w:shd w:val="clear" w:color="auto" w:fill="FFFFFF"/>
        <w:spacing w:after="100" w:afterAutospacing="1"/>
      </w:pPr>
      <w:r>
        <w:t xml:space="preserve">Jelenleg kockázat </w:t>
      </w:r>
      <w:r w:rsidRPr="00F16B9C">
        <w:t xml:space="preserve">a 2. </w:t>
      </w:r>
      <w:r w:rsidR="00495166">
        <w:t>fejezetben</w:t>
      </w:r>
      <w:r w:rsidR="00495166" w:rsidRPr="00F16B9C">
        <w:t xml:space="preserve"> </w:t>
      </w:r>
      <w:r w:rsidRPr="00F16B9C">
        <w:t xml:space="preserve">kifejtett </w:t>
      </w:r>
      <w:r w:rsidR="007C7586" w:rsidRPr="00F16B9C">
        <w:t>orosz-ukrán konfliktus</w:t>
      </w:r>
      <w:r>
        <w:t>, amelynek</w:t>
      </w:r>
      <w:r w:rsidR="007C7586" w:rsidRPr="00E526A6">
        <w:t xml:space="preserve"> </w:t>
      </w:r>
      <w:r w:rsidR="007C7586">
        <w:t xml:space="preserve">következtében a szektorhoz tartozó </w:t>
      </w:r>
      <w:r w:rsidR="00102525">
        <w:t xml:space="preserve">egyik </w:t>
      </w:r>
      <w:r w:rsidR="007C7586">
        <w:t xml:space="preserve">szolgáltató, </w:t>
      </w:r>
      <w:r w:rsidR="00102525">
        <w:t xml:space="preserve">a </w:t>
      </w:r>
      <w:proofErr w:type="spellStart"/>
      <w:r w:rsidR="007C7586" w:rsidRPr="00E526A6">
        <w:t>Sberbank</w:t>
      </w:r>
      <w:proofErr w:type="spellEnd"/>
      <w:r w:rsidR="007C7586">
        <w:t xml:space="preserve"> Magyarország Zrt. </w:t>
      </w:r>
      <w:r w:rsidR="007C7586" w:rsidRPr="00E526A6">
        <w:t>az osztrák anya</w:t>
      </w:r>
      <w:r w:rsidR="007C7586">
        <w:t xml:space="preserve">vállalattól és </w:t>
      </w:r>
      <w:r w:rsidR="007C7586" w:rsidRPr="00E526A6">
        <w:t>a</w:t>
      </w:r>
      <w:r w:rsidR="00F71E49">
        <w:t xml:space="preserve"> –</w:t>
      </w:r>
      <w:r>
        <w:t xml:space="preserve"> </w:t>
      </w:r>
      <w:r w:rsidR="007C7586" w:rsidRPr="00E526A6">
        <w:t>nemzetközi szankciók által sújtott</w:t>
      </w:r>
      <w:r w:rsidR="00F71E49">
        <w:t xml:space="preserve"> – </w:t>
      </w:r>
      <w:r w:rsidR="007C7586" w:rsidRPr="00E526A6">
        <w:t xml:space="preserve">orosz </w:t>
      </w:r>
      <w:proofErr w:type="spellStart"/>
      <w:r w:rsidR="007C7586" w:rsidRPr="00E526A6">
        <w:t>Sberbanktól</w:t>
      </w:r>
      <w:proofErr w:type="spellEnd"/>
      <w:r w:rsidR="007C7586" w:rsidRPr="00E526A6">
        <w:t xml:space="preserve"> érkező negatív hatások miatt került súlyos fizetőképességi (likviditási) és tőkehelyzetbe</w:t>
      </w:r>
      <w:r w:rsidR="007C7586">
        <w:t xml:space="preserve">. </w:t>
      </w:r>
      <w:r w:rsidR="007C7586" w:rsidRPr="007C7586">
        <w:t xml:space="preserve">Az európai szanálási hatóság végelszámolást indított a magyar </w:t>
      </w:r>
      <w:proofErr w:type="spellStart"/>
      <w:r w:rsidR="007C7586" w:rsidRPr="007C7586">
        <w:t>Sberbank</w:t>
      </w:r>
      <w:proofErr w:type="spellEnd"/>
      <w:r w:rsidR="007C7586" w:rsidRPr="007C7586">
        <w:t xml:space="preserve"> anyavállalatánál, az osztrák </w:t>
      </w:r>
      <w:proofErr w:type="spellStart"/>
      <w:r w:rsidR="007C7586" w:rsidRPr="007C7586">
        <w:t>Sberbank</w:t>
      </w:r>
      <w:proofErr w:type="spellEnd"/>
      <w:r w:rsidR="007C7586" w:rsidRPr="007C7586">
        <w:t xml:space="preserve"> Europe </w:t>
      </w:r>
      <w:proofErr w:type="spellStart"/>
      <w:r w:rsidR="007C7586" w:rsidRPr="007C7586">
        <w:t>AG-nál</w:t>
      </w:r>
      <w:proofErr w:type="spellEnd"/>
      <w:r w:rsidR="007C7586">
        <w:t>, majd a</w:t>
      </w:r>
      <w:r w:rsidR="007C7586" w:rsidRPr="007C7586">
        <w:t xml:space="preserve"> </w:t>
      </w:r>
      <w:proofErr w:type="spellStart"/>
      <w:r w:rsidR="007C7586" w:rsidRPr="007C7586">
        <w:t>Sberbank</w:t>
      </w:r>
      <w:proofErr w:type="spellEnd"/>
      <w:r w:rsidR="007C7586" w:rsidRPr="007C7586">
        <w:t xml:space="preserve"> Magyarország Zrt. súlyos likviditási és tőkehelyzete miatt az MNB </w:t>
      </w:r>
      <w:r w:rsidR="00557C8E">
        <w:t xml:space="preserve">2022. március 2-i </w:t>
      </w:r>
      <w:proofErr w:type="gramStart"/>
      <w:r w:rsidR="00557C8E">
        <w:t xml:space="preserve">hatállyal </w:t>
      </w:r>
      <w:r w:rsidR="007C7586" w:rsidRPr="007C7586">
        <w:t xml:space="preserve"> visszavonta</w:t>
      </w:r>
      <w:proofErr w:type="gramEnd"/>
      <w:r w:rsidR="007C7586" w:rsidRPr="007C7586">
        <w:t xml:space="preserve"> a hazai hitelintézet tevékenységi engedélyét és elrendelte annak végelszámolását.</w:t>
      </w:r>
      <w:r w:rsidR="007C7586">
        <w:t xml:space="preserve"> </w:t>
      </w:r>
      <w:r w:rsidR="0003068F">
        <w:t>Ennek hatására a szolgáltatóknak olyan új ügyfél kapcsolat létesítéseket kell elvégezni</w:t>
      </w:r>
      <w:r w:rsidR="00D15963">
        <w:t>ük</w:t>
      </w:r>
      <w:r w:rsidR="0003068F">
        <w:t xml:space="preserve"> a korábbi </w:t>
      </w:r>
      <w:proofErr w:type="spellStart"/>
      <w:r w:rsidR="0003068F">
        <w:t>Sberbank</w:t>
      </w:r>
      <w:proofErr w:type="spellEnd"/>
      <w:r w:rsidR="0003068F">
        <w:t xml:space="preserve"> ügyfelek vonatkozásában, ahol nem rendelkeznek ügyfél profillal </w:t>
      </w:r>
      <w:r w:rsidR="00A55FF6">
        <w:t xml:space="preserve">és a partner korábbi kockázati értékítéletét sem ismerhetik meg. </w:t>
      </w:r>
    </w:p>
    <w:p w14:paraId="19D96466" w14:textId="77777777" w:rsidR="00E57F87" w:rsidRDefault="00E57F87" w:rsidP="00495166">
      <w:pPr>
        <w:shd w:val="clear" w:color="auto" w:fill="FFFFFF"/>
        <w:spacing w:after="100" w:afterAutospacing="1"/>
      </w:pPr>
    </w:p>
    <w:p w14:paraId="05E1F417" w14:textId="70E9A463" w:rsidR="0060456E" w:rsidRPr="009D2B35" w:rsidRDefault="00177356" w:rsidP="0060456E">
      <w:pPr>
        <w:shd w:val="clear" w:color="auto" w:fill="FFFFFF"/>
        <w:spacing w:after="100" w:afterAutospacing="1"/>
        <w:rPr>
          <w:color w:val="1A2521"/>
        </w:rPr>
      </w:pPr>
      <w:r w:rsidRPr="00177356">
        <w:lastRenderedPageBreak/>
        <w:t xml:space="preserve">A </w:t>
      </w:r>
      <w:proofErr w:type="spellStart"/>
      <w:r w:rsidRPr="00177356">
        <w:t>Sberbank</w:t>
      </w:r>
      <w:proofErr w:type="spellEnd"/>
      <w:r w:rsidRPr="00177356">
        <w:t xml:space="preserve"> Magyarország Zrt. végelszámolására további hatást gyakorol a Tanács (EU) 2022/1273 rendelete (2022. július 21.) az Ukrajna területi integritását, szuverenitását és függetlenségét aláásó vagy fenyegető intézkedések miatti korlátozó intézkedésekről szóló 269/2014/EU rendelet módosításáról (</w:t>
      </w:r>
      <w:r w:rsidRPr="0044641A">
        <w:rPr>
          <w:b/>
          <w:bCs/>
        </w:rPr>
        <w:t>269/2014/EU rendelet</w:t>
      </w:r>
      <w:r w:rsidRPr="00177356">
        <w:t xml:space="preserve">). A 269/2014/EU </w:t>
      </w:r>
      <w:proofErr w:type="spellStart"/>
      <w:r w:rsidRPr="00177356">
        <w:t>ren</w:t>
      </w:r>
      <w:proofErr w:type="spellEnd"/>
      <w:r w:rsidRPr="00177356">
        <w:t xml:space="preserve">-delet I. Mellékletének a „II. Szervezetek” részébe 2022. július 21-ei hatállyal felkerült az orosz </w:t>
      </w:r>
      <w:proofErr w:type="spellStart"/>
      <w:r w:rsidRPr="00177356">
        <w:t>Sberbank</w:t>
      </w:r>
      <w:proofErr w:type="spellEnd"/>
      <w:r w:rsidRPr="00177356">
        <w:t xml:space="preserve">, mint célzott szankcióval érintett szervezet. Az orosz </w:t>
      </w:r>
      <w:proofErr w:type="spellStart"/>
      <w:r w:rsidRPr="00177356">
        <w:t>Sberbank</w:t>
      </w:r>
      <w:proofErr w:type="spellEnd"/>
      <w:r w:rsidRPr="00177356">
        <w:t xml:space="preserve"> szankciós listára történő felkerülése alapján a 269/2014/EU rendelet – 2. cikkére tekintettel – szankcióval érintettek továbbá az orosz </w:t>
      </w:r>
      <w:proofErr w:type="spellStart"/>
      <w:r w:rsidRPr="00177356">
        <w:t>Sberbankkal</w:t>
      </w:r>
      <w:proofErr w:type="spellEnd"/>
      <w:r w:rsidRPr="00177356">
        <w:t xml:space="preserve"> összefüggésbe hozható természetes vagy jogi személyek, szervezetek, így a </w:t>
      </w:r>
      <w:proofErr w:type="spellStart"/>
      <w:r w:rsidRPr="00177356">
        <w:t>Sberbank</w:t>
      </w:r>
      <w:proofErr w:type="spellEnd"/>
      <w:r w:rsidRPr="00177356">
        <w:t xml:space="preserve"> Magyarország Zrt. is, következésképp a hozzájuk tartozó, az ezek birtokában lévő vagy ellenőrzése alatt álló minden pénzeszközt és gazdasági erőforrást is be kell fagyasztani. Azonban a 269/2014/EU rendelet 6b. cikk (2a) bekezdése alapján a tagállam illetékes hatóságai engedélyezhetik „</w:t>
      </w:r>
      <w:r w:rsidRPr="0044641A">
        <w:rPr>
          <w:i/>
          <w:iCs/>
        </w:rPr>
        <w:t xml:space="preserve">egyes </w:t>
      </w:r>
      <w:proofErr w:type="spellStart"/>
      <w:r w:rsidRPr="0044641A">
        <w:rPr>
          <w:i/>
          <w:iCs/>
        </w:rPr>
        <w:t>befa-gyasztott</w:t>
      </w:r>
      <w:proofErr w:type="spellEnd"/>
      <w:r w:rsidRPr="0044641A">
        <w:rPr>
          <w:i/>
          <w:iCs/>
        </w:rPr>
        <w:t xml:space="preserve"> pénzeszközök vagy gazdasági erőforrások felszabadítását, vagy egyes pénzeszközöknek vagy gazdasági erőforrásoknak az említett szervezet számára történő rendelkezésre bocsátását, az illetékes hatóságok által megfelelő-</w:t>
      </w:r>
      <w:proofErr w:type="spellStart"/>
      <w:r w:rsidRPr="0044641A">
        <w:rPr>
          <w:i/>
          <w:iCs/>
        </w:rPr>
        <w:t>nek</w:t>
      </w:r>
      <w:proofErr w:type="spellEnd"/>
      <w:r w:rsidRPr="0044641A">
        <w:rPr>
          <w:i/>
          <w:iCs/>
        </w:rPr>
        <w:t xml:space="preserve"> ítélt feltételek mellett, és annak megállapítását követően, hogy az ilyen pénzeszközök vagy gazdasági erőforrások szükségesek a 2022. július 21. előtt e szervezettel végrehajtott műveleteknek, megkötött szerződéseknek vagy egyéb megállapodásoknak - többek között a levelezőbanki kapcsolatoknak -2023. augusztus 22-ig történő megszüntetésé-</w:t>
      </w:r>
      <w:proofErr w:type="spellStart"/>
      <w:r w:rsidRPr="0044641A">
        <w:rPr>
          <w:i/>
          <w:iCs/>
        </w:rPr>
        <w:t>hez</w:t>
      </w:r>
      <w:proofErr w:type="spellEnd"/>
      <w:r w:rsidRPr="0044641A">
        <w:rPr>
          <w:i/>
          <w:iCs/>
        </w:rPr>
        <w:t>.</w:t>
      </w:r>
      <w:r w:rsidRPr="00177356">
        <w:t>”. Magyarországon engedélyt a (Nemzeti Adó- és Vámhivatal Pénzmosás Elleni Információs Irodája (</w:t>
      </w:r>
      <w:proofErr w:type="spellStart"/>
      <w:r w:rsidRPr="0044641A">
        <w:rPr>
          <w:b/>
          <w:bCs/>
        </w:rPr>
        <w:t>NAV</w:t>
      </w:r>
      <w:proofErr w:type="spellEnd"/>
      <w:r w:rsidRPr="0044641A">
        <w:rPr>
          <w:b/>
          <w:bCs/>
        </w:rPr>
        <w:t xml:space="preserve"> </w:t>
      </w:r>
      <w:proofErr w:type="spellStart"/>
      <w:r w:rsidRPr="0044641A">
        <w:rPr>
          <w:b/>
          <w:bCs/>
        </w:rPr>
        <w:t>PEI</w:t>
      </w:r>
      <w:proofErr w:type="spellEnd"/>
      <w:r w:rsidRPr="00177356">
        <w:t xml:space="preserve">)) ad-hat.  </w:t>
      </w:r>
    </w:p>
    <w:p w14:paraId="139C1B0D" w14:textId="77777777" w:rsidR="002C3A0F" w:rsidRPr="00A07F4E" w:rsidRDefault="002C3A0F" w:rsidP="00A07F4E">
      <w:pPr>
        <w:pStyle w:val="Listaszerbekezds"/>
        <w:numPr>
          <w:ilvl w:val="1"/>
          <w:numId w:val="13"/>
        </w:numPr>
        <w:ind w:left="851" w:hanging="284"/>
      </w:pPr>
      <w:r w:rsidRPr="00A07F4E">
        <w:t>A hitelintézeti szektorban rejlő, határokon átnyúló ML/</w:t>
      </w:r>
      <w:proofErr w:type="spellStart"/>
      <w:r w:rsidRPr="00A07F4E">
        <w:t>TF</w:t>
      </w:r>
      <w:proofErr w:type="spellEnd"/>
      <w:r w:rsidRPr="00A07F4E">
        <w:t xml:space="preserve"> kockázatok</w:t>
      </w:r>
    </w:p>
    <w:p w14:paraId="1ABD1A67" w14:textId="2DB33C97" w:rsidR="007377BD" w:rsidRPr="00A07F4E" w:rsidRDefault="007377BD" w:rsidP="007377BD">
      <w:r w:rsidRPr="00A07F4E">
        <w:t xml:space="preserve">A hitelintézeti szektorra jellemző az összetettség, külföldi, mind tagállami, mind harmadik ország állampolgárai is megjelennek a hitelintézeti szektort kitevő </w:t>
      </w:r>
      <w:r w:rsidR="00A37D9D">
        <w:t>szolgáltatók</w:t>
      </w:r>
      <w:r w:rsidRPr="00A07F4E">
        <w:t xml:space="preserve"> ügyfélkörében, illetve </w:t>
      </w:r>
      <w:r w:rsidR="00E43740">
        <w:t>több</w:t>
      </w:r>
      <w:r w:rsidR="00E43740" w:rsidRPr="00A07F4E">
        <w:t xml:space="preserve"> </w:t>
      </w:r>
      <w:r w:rsidRPr="00A07F4E">
        <w:t xml:space="preserve">hitelintézet rendelkezik külföldi érdekeltséggel. </w:t>
      </w:r>
      <w:r w:rsidR="00500176">
        <w:t>A határokon átnyúló M</w:t>
      </w:r>
      <w:r w:rsidR="000B5E06">
        <w:t>L</w:t>
      </w:r>
      <w:r w:rsidR="00500176">
        <w:t>/</w:t>
      </w:r>
      <w:proofErr w:type="spellStart"/>
      <w:r w:rsidR="00500176">
        <w:t>TF</w:t>
      </w:r>
      <w:proofErr w:type="spellEnd"/>
      <w:r w:rsidR="00500176">
        <w:t xml:space="preserve"> kockázatot </w:t>
      </w:r>
      <w:r w:rsidR="0087743A">
        <w:t xml:space="preserve">jelenleg nagyban </w:t>
      </w:r>
      <w:r w:rsidR="000B5E06">
        <w:t>befolyásolja</w:t>
      </w:r>
      <w:r w:rsidR="00500176">
        <w:t xml:space="preserve"> az orosz-ukrán konfliktus, amely következtében </w:t>
      </w:r>
      <w:r w:rsidR="000B5E06">
        <w:t xml:space="preserve">Magyarországra érkező </w:t>
      </w:r>
      <w:r w:rsidR="00500176">
        <w:t>menekültek</w:t>
      </w:r>
      <w:r w:rsidR="000B5E06">
        <w:t xml:space="preserve"> száma nő. További kockázati tényezőként értékelendő az orosz tőke bankrendszerből történő kiáramlása. </w:t>
      </w:r>
      <w:r w:rsidRPr="00A07F4E">
        <w:t>Mindeze</w:t>
      </w:r>
      <w:r w:rsidR="0087743A">
        <w:t>n tényezőkre tekintettel</w:t>
      </w:r>
      <w:r w:rsidRPr="00A07F4E">
        <w:t>, a hitelintézeti szektorban rejlő, határokon átnyúló ML/</w:t>
      </w:r>
      <w:proofErr w:type="spellStart"/>
      <w:r w:rsidRPr="00A07F4E">
        <w:t>TF</w:t>
      </w:r>
      <w:proofErr w:type="spellEnd"/>
      <w:r w:rsidRPr="00A07F4E">
        <w:t xml:space="preserve"> kockázatok Jelenető</w:t>
      </w:r>
      <w:r w:rsidR="0087743A">
        <w:t>snek értékelendőek</w:t>
      </w:r>
      <w:r w:rsidRPr="00A07F4E">
        <w:t xml:space="preserve">. </w:t>
      </w:r>
    </w:p>
    <w:p w14:paraId="63AA97D0" w14:textId="7789067E" w:rsidR="00077C4E" w:rsidRPr="00A07F4E" w:rsidRDefault="002E3995" w:rsidP="00597253">
      <w:pPr>
        <w:rPr>
          <w:b/>
          <w:bCs/>
        </w:rPr>
      </w:pPr>
      <w:r w:rsidRPr="00A07F4E">
        <w:rPr>
          <w:b/>
          <w:bCs/>
        </w:rPr>
        <w:t>A</w:t>
      </w:r>
      <w:r w:rsidR="00E41D1F">
        <w:rPr>
          <w:b/>
          <w:bCs/>
        </w:rPr>
        <w:t xml:space="preserve">z MNB </w:t>
      </w:r>
      <w:r w:rsidR="00597253" w:rsidRPr="00A07F4E">
        <w:rPr>
          <w:b/>
          <w:bCs/>
        </w:rPr>
        <w:t xml:space="preserve">a fenti valamennyi kockázatot mérlegelve </w:t>
      </w:r>
      <w:r w:rsidRPr="00A07F4E">
        <w:rPr>
          <w:b/>
          <w:bCs/>
        </w:rPr>
        <w:t xml:space="preserve">a hitelintézeti szektor </w:t>
      </w:r>
      <w:r w:rsidR="00597253" w:rsidRPr="00A07F4E">
        <w:rPr>
          <w:b/>
          <w:bCs/>
        </w:rPr>
        <w:t>inherens kockázatát</w:t>
      </w:r>
      <w:r w:rsidR="006813E2" w:rsidRPr="00A07F4E">
        <w:rPr>
          <w:b/>
          <w:bCs/>
        </w:rPr>
        <w:t xml:space="preserve"> Nagyon j</w:t>
      </w:r>
      <w:r w:rsidRPr="00A07F4E">
        <w:rPr>
          <w:b/>
          <w:bCs/>
        </w:rPr>
        <w:t>elentős</w:t>
      </w:r>
      <w:r w:rsidR="00597253" w:rsidRPr="00A07F4E">
        <w:rPr>
          <w:b/>
          <w:bCs/>
        </w:rPr>
        <w:t>nek értékeli</w:t>
      </w:r>
      <w:r w:rsidR="006813E2" w:rsidRPr="00A07F4E">
        <w:rPr>
          <w:b/>
          <w:bCs/>
        </w:rPr>
        <w:t>.</w:t>
      </w:r>
    </w:p>
    <w:tbl>
      <w:tblPr>
        <w:tblW w:w="3020" w:type="dxa"/>
        <w:jc w:val="center"/>
        <w:tblCellMar>
          <w:left w:w="70" w:type="dxa"/>
          <w:right w:w="70" w:type="dxa"/>
        </w:tblCellMar>
        <w:tblLook w:val="04A0" w:firstRow="1" w:lastRow="0" w:firstColumn="1" w:lastColumn="0" w:noHBand="0" w:noVBand="1"/>
      </w:tblPr>
      <w:tblGrid>
        <w:gridCol w:w="1580"/>
        <w:gridCol w:w="1440"/>
      </w:tblGrid>
      <w:tr w:rsidR="0015483C" w:rsidRPr="00A07F4E" w14:paraId="023443FC" w14:textId="77777777" w:rsidTr="009F3A30">
        <w:trPr>
          <w:trHeight w:val="300"/>
          <w:jc w:val="center"/>
        </w:trPr>
        <w:tc>
          <w:tcPr>
            <w:tcW w:w="1580" w:type="dxa"/>
            <w:tcBorders>
              <w:top w:val="nil"/>
              <w:left w:val="nil"/>
              <w:bottom w:val="nil"/>
              <w:right w:val="nil"/>
            </w:tcBorders>
            <w:shd w:val="clear" w:color="auto" w:fill="auto"/>
            <w:noWrap/>
            <w:vAlign w:val="center"/>
            <w:hideMark/>
          </w:tcPr>
          <w:p w14:paraId="228F01D2" w14:textId="77777777" w:rsidR="0015483C" w:rsidRPr="00A07F4E" w:rsidRDefault="0015483C" w:rsidP="009F3A30">
            <w:pPr>
              <w:spacing w:after="0" w:line="240" w:lineRule="auto"/>
              <w:jc w:val="left"/>
              <w:rPr>
                <w:rFonts w:eastAsia="Times New Roman" w:cs="Times New Roman"/>
                <w:b/>
                <w:bCs/>
                <w:color w:val="000000"/>
                <w:sz w:val="18"/>
                <w:szCs w:val="18"/>
              </w:rPr>
            </w:pPr>
            <w:r w:rsidRPr="00A07F4E">
              <w:rPr>
                <w:rFonts w:eastAsia="Times New Roman" w:cs="Times New Roman"/>
                <w:b/>
                <w:bCs/>
                <w:color w:val="000000"/>
                <w:sz w:val="18"/>
                <w:szCs w:val="18"/>
              </w:rPr>
              <w:t>Inherens kockázat:</w:t>
            </w:r>
          </w:p>
        </w:tc>
        <w:tc>
          <w:tcPr>
            <w:tcW w:w="1440" w:type="dxa"/>
            <w:tcBorders>
              <w:top w:val="single" w:sz="4" w:space="0" w:color="auto"/>
              <w:left w:val="single" w:sz="4" w:space="0" w:color="auto"/>
              <w:bottom w:val="single" w:sz="4" w:space="0" w:color="auto"/>
              <w:right w:val="single" w:sz="4" w:space="0" w:color="auto"/>
            </w:tcBorders>
            <w:shd w:val="clear" w:color="000000" w:fill="FF603B"/>
            <w:noWrap/>
            <w:vAlign w:val="center"/>
            <w:hideMark/>
          </w:tcPr>
          <w:p w14:paraId="6345A769" w14:textId="77777777" w:rsidR="0015483C" w:rsidRPr="00A07F4E" w:rsidRDefault="0015483C" w:rsidP="0015483C">
            <w:pPr>
              <w:spacing w:after="0" w:line="240" w:lineRule="auto"/>
              <w:jc w:val="center"/>
              <w:rPr>
                <w:rFonts w:eastAsia="Times New Roman" w:cs="Times New Roman"/>
                <w:sz w:val="18"/>
                <w:szCs w:val="18"/>
              </w:rPr>
            </w:pPr>
            <w:r w:rsidRPr="00A07F4E">
              <w:rPr>
                <w:rFonts w:eastAsia="Times New Roman" w:cs="Times New Roman"/>
                <w:sz w:val="18"/>
                <w:szCs w:val="18"/>
              </w:rPr>
              <w:t>Nagyon jelentős</w:t>
            </w:r>
          </w:p>
        </w:tc>
      </w:tr>
    </w:tbl>
    <w:p w14:paraId="2A20D00C" w14:textId="03F89A5B" w:rsidR="0015483C" w:rsidRDefault="0015483C" w:rsidP="00597253">
      <w:pPr>
        <w:rPr>
          <w:b/>
          <w:bCs/>
        </w:rPr>
      </w:pPr>
    </w:p>
    <w:p w14:paraId="15ECB69B" w14:textId="77777777" w:rsidR="008347D1" w:rsidRPr="00A07F4E" w:rsidRDefault="008347D1" w:rsidP="00A07F4E">
      <w:pPr>
        <w:pStyle w:val="Cmsor3"/>
        <w:numPr>
          <w:ilvl w:val="0"/>
          <w:numId w:val="69"/>
        </w:numPr>
        <w:ind w:left="567" w:hanging="283"/>
      </w:pPr>
      <w:bookmarkStart w:id="6" w:name="_Toc106108233"/>
      <w:bookmarkStart w:id="7" w:name="_Toc106108346"/>
      <w:bookmarkStart w:id="8" w:name="_Toc106120827"/>
      <w:bookmarkStart w:id="9" w:name="_Toc106183434"/>
      <w:bookmarkStart w:id="10" w:name="_Toc106192384"/>
      <w:bookmarkStart w:id="11" w:name="_Toc106197980"/>
      <w:bookmarkStart w:id="12" w:name="_Toc106198626"/>
      <w:bookmarkStart w:id="13" w:name="_Toc106201820"/>
      <w:bookmarkStart w:id="14" w:name="_Toc106869529"/>
      <w:bookmarkStart w:id="15" w:name="_Toc107236394"/>
      <w:bookmarkStart w:id="16" w:name="_Toc107237302"/>
      <w:bookmarkStart w:id="17" w:name="_Toc107237627"/>
      <w:bookmarkStart w:id="18" w:name="_Toc106108234"/>
      <w:bookmarkStart w:id="19" w:name="_Toc106108347"/>
      <w:bookmarkStart w:id="20" w:name="_Toc106120828"/>
      <w:bookmarkStart w:id="21" w:name="_Toc106183435"/>
      <w:bookmarkStart w:id="22" w:name="_Toc106192385"/>
      <w:bookmarkStart w:id="23" w:name="_Toc106197981"/>
      <w:bookmarkStart w:id="24" w:name="_Toc106198627"/>
      <w:bookmarkStart w:id="25" w:name="_Toc106201821"/>
      <w:bookmarkStart w:id="26" w:name="_Toc106869530"/>
      <w:bookmarkStart w:id="27" w:name="_Toc107236395"/>
      <w:bookmarkStart w:id="28" w:name="_Toc107237303"/>
      <w:bookmarkStart w:id="29" w:name="_Toc107237628"/>
      <w:bookmarkStart w:id="30" w:name="_Toc10990600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07F4E">
        <w:t>Az ellenőrzések minősége</w:t>
      </w:r>
      <w:bookmarkEnd w:id="30"/>
    </w:p>
    <w:p w14:paraId="7D289EFD" w14:textId="3BC12AE4" w:rsidR="007C23C1" w:rsidRPr="00A07F4E" w:rsidRDefault="00525D78" w:rsidP="00F40725">
      <w:r w:rsidRPr="00A07F4E">
        <w:t>A</w:t>
      </w:r>
      <w:r w:rsidR="00CD1340">
        <w:t xml:space="preserve">z MNB </w:t>
      </w:r>
      <w:r w:rsidRPr="00A07F4E">
        <w:t>a hitelintézeti szektor</w:t>
      </w:r>
      <w:r w:rsidR="00FD3B7C" w:rsidRPr="00A07F4E">
        <w:t xml:space="preserve"> általi ellenőrzések </w:t>
      </w:r>
      <w:r w:rsidR="008008DF" w:rsidRPr="00A07F4E">
        <w:t xml:space="preserve">megfelelőségének és minőségének </w:t>
      </w:r>
      <w:r w:rsidRPr="00A07F4E">
        <w:t xml:space="preserve">értékelésénél </w:t>
      </w:r>
      <w:r w:rsidR="00A37D9D">
        <w:t>a szolgáltatók</w:t>
      </w:r>
      <w:r w:rsidRPr="00A07F4E">
        <w:t xml:space="preserve"> egészére kiterjedő, illetve az egyes üzleti kapcsolatokra alkalmazott kockázatértékeléseket, a </w:t>
      </w:r>
      <w:proofErr w:type="spellStart"/>
      <w:r w:rsidRPr="00A07F4E">
        <w:t>monitoringhoz</w:t>
      </w:r>
      <w:proofErr w:type="spellEnd"/>
      <w:r w:rsidRPr="00A07F4E">
        <w:t xml:space="preserve"> kapcsolódó eljárásokat, azok hatékonyságát </w:t>
      </w:r>
      <w:r w:rsidR="008008DF" w:rsidRPr="00A07F4E">
        <w:t xml:space="preserve">értékelte </w:t>
      </w:r>
      <w:r w:rsidRPr="00A07F4E">
        <w:t>gyengéne</w:t>
      </w:r>
      <w:r w:rsidR="001C5EC3" w:rsidRPr="00A07F4E">
        <w:t>k</w:t>
      </w:r>
      <w:r w:rsidR="008008DF" w:rsidRPr="00A07F4E">
        <w:t xml:space="preserve">, míg az ellenőrzések egyéb területeit </w:t>
      </w:r>
      <w:r w:rsidR="00300907">
        <w:t>az MNB</w:t>
      </w:r>
      <w:r w:rsidR="008008DF" w:rsidRPr="00A07F4E">
        <w:t xml:space="preserve"> jónak tekintette.</w:t>
      </w:r>
      <w:r w:rsidR="001C0863" w:rsidRPr="00A07F4E">
        <w:rPr>
          <w:rStyle w:val="Lbjegyzet-hivatkozs"/>
        </w:rPr>
        <w:footnoteReference w:id="3"/>
      </w:r>
    </w:p>
    <w:p w14:paraId="1A685549" w14:textId="42E74763" w:rsidR="00BD2232" w:rsidRPr="00A07F4E" w:rsidRDefault="00D7264C" w:rsidP="00BD2232">
      <w:r w:rsidRPr="00A07F4E">
        <w:t xml:space="preserve">A szektorban a legnagyobb kockázat </w:t>
      </w:r>
      <w:r w:rsidR="00A37D9D">
        <w:t>a szolgáltatók</w:t>
      </w:r>
      <w:r w:rsidR="00BD2232" w:rsidRPr="00A07F4E">
        <w:t xml:space="preserve"> tranzakció</w:t>
      </w:r>
      <w:r w:rsidR="00C668CB" w:rsidRPr="00A07F4E">
        <w:t xml:space="preserve">monitoring </w:t>
      </w:r>
      <w:r w:rsidR="00BD2232" w:rsidRPr="00A07F4E">
        <w:t xml:space="preserve">rendszereinek hatékonysága, az ügyfél-átvilágítási folyamatok hiányosságai, a </w:t>
      </w:r>
      <w:r w:rsidR="00CE67D0">
        <w:t>be</w:t>
      </w:r>
      <w:r w:rsidR="00BD2232" w:rsidRPr="00A07F4E">
        <w:t xml:space="preserve">jelentések hatékonysága, valamint az ügyfelek és az egész </w:t>
      </w:r>
      <w:r w:rsidR="00A37D9D">
        <w:t>szolgáltatóra</w:t>
      </w:r>
      <w:r w:rsidR="00A37D9D" w:rsidRPr="00A07F4E">
        <w:t xml:space="preserve"> </w:t>
      </w:r>
      <w:r w:rsidR="00BD2232" w:rsidRPr="00A07F4E">
        <w:t xml:space="preserve">kiterjedő kockázatértékelések minősége. </w:t>
      </w:r>
      <w:r w:rsidRPr="00A07F4E">
        <w:t>A szektorok között a</w:t>
      </w:r>
      <w:r w:rsidR="00CE67D0">
        <w:t xml:space="preserve"> hitelintézeti szektorban a</w:t>
      </w:r>
      <w:r w:rsidRPr="00A07F4E">
        <w:t xml:space="preserve"> legjobb viszont </w:t>
      </w:r>
      <w:r w:rsidR="00BD2232" w:rsidRPr="00A07F4E">
        <w:t>az ügyfél-azonosítási folyamatok és politikák megfelelősége, valamint az ML/FT kockázatokkal kapcsolatos tudatosság.</w:t>
      </w:r>
    </w:p>
    <w:p w14:paraId="2F9C9149" w14:textId="2BEBEA1F" w:rsidR="007D408D" w:rsidRPr="00A07F4E" w:rsidRDefault="007D408D" w:rsidP="00A07F4E">
      <w:pPr>
        <w:pStyle w:val="Cmsor3"/>
        <w:numPr>
          <w:ilvl w:val="0"/>
          <w:numId w:val="69"/>
        </w:numPr>
        <w:ind w:left="567" w:hanging="283"/>
      </w:pPr>
      <w:bookmarkStart w:id="31" w:name="_Toc109906010"/>
      <w:r w:rsidRPr="00A07F4E">
        <w:t>Felügyeleti tevékenység</w:t>
      </w:r>
      <w:bookmarkEnd w:id="31"/>
    </w:p>
    <w:p w14:paraId="247E671A" w14:textId="3DAA8658" w:rsidR="007D408D" w:rsidRPr="00A07F4E" w:rsidRDefault="007F7F39" w:rsidP="007D408D">
      <w:r w:rsidRPr="00A07F4E">
        <w:t>A k</w:t>
      </w:r>
      <w:r w:rsidR="007D408D" w:rsidRPr="00A07F4E">
        <w:t xml:space="preserve">ockázatcsökkentő tényezőknél megjelenik, hogy </w:t>
      </w:r>
      <w:r w:rsidR="00300907">
        <w:t>az MNB</w:t>
      </w:r>
      <w:r w:rsidR="007D408D" w:rsidRPr="00A07F4E">
        <w:t xml:space="preserve"> az utóbbi években hangsúlyt fektetett a hitelintézeti szektor szereplőinek kockázatalapú felügyeletére, amelynek következtében nagyszámú kockázatos ügyfél hagyta el a magyar pénzügyi piacot, a készpénzfizetések és a </w:t>
      </w:r>
      <w:r w:rsidR="00470DAB">
        <w:t>valuta</w:t>
      </w:r>
      <w:r w:rsidR="00470DAB" w:rsidRPr="00A07F4E">
        <w:t>forgalom</w:t>
      </w:r>
      <w:r w:rsidR="007D408D" w:rsidRPr="00A07F4E">
        <w:t xml:space="preserve"> is csökkent. </w:t>
      </w:r>
      <w:r w:rsidRPr="00A07F4E">
        <w:t>A f</w:t>
      </w:r>
      <w:r w:rsidR="007D408D" w:rsidRPr="00A07F4E">
        <w:t>elügyeleti stratég</w:t>
      </w:r>
      <w:r w:rsidRPr="00A07F4E">
        <w:t>ia</w:t>
      </w:r>
      <w:r w:rsidR="007D408D" w:rsidRPr="00A07F4E">
        <w:t xml:space="preserve"> kidolgozásánál – </w:t>
      </w:r>
      <w:r w:rsidR="007D408D" w:rsidRPr="00A07F4E">
        <w:lastRenderedPageBreak/>
        <w:t xml:space="preserve">figyelemmel a kockázatalapú felügyelésre – </w:t>
      </w:r>
      <w:r w:rsidR="00300907">
        <w:t>az MNB</w:t>
      </w:r>
      <w:r w:rsidR="007D408D" w:rsidRPr="00A07F4E">
        <w:t xml:space="preserve"> azon </w:t>
      </w:r>
      <w:r w:rsidR="00A37D9D">
        <w:t>szolgáltatók</w:t>
      </w:r>
      <w:r w:rsidR="00A37D9D" w:rsidRPr="00A07F4E">
        <w:t xml:space="preserve"> </w:t>
      </w:r>
      <w:r w:rsidR="007D408D" w:rsidRPr="00A07F4E">
        <w:t xml:space="preserve">vizsgálatára helyezte a hangsúlyt, amelyek magasabb kockázati profillal rendelkeznek. Az </w:t>
      </w:r>
      <w:proofErr w:type="spellStart"/>
      <w:r w:rsidR="007D408D" w:rsidRPr="00A07F4E">
        <w:t>on</w:t>
      </w:r>
      <w:proofErr w:type="spellEnd"/>
      <w:r w:rsidR="007D408D" w:rsidRPr="00A07F4E">
        <w:t>-site vizsgálatok mellett</w:t>
      </w:r>
      <w:r w:rsidR="00300907">
        <w:t xml:space="preserve"> </w:t>
      </w:r>
      <w:proofErr w:type="spellStart"/>
      <w:r w:rsidR="00300907">
        <w:t>off</w:t>
      </w:r>
      <w:proofErr w:type="spellEnd"/>
      <w:r w:rsidR="00300907">
        <w:t>-site vizsgálatok</w:t>
      </w:r>
      <w:r w:rsidR="00124505">
        <w:t>ra</w:t>
      </w:r>
      <w:r w:rsidR="00300907">
        <w:t xml:space="preserve"> is</w:t>
      </w:r>
      <w:r w:rsidR="00124505">
        <w:t xml:space="preserve"> sor került</w:t>
      </w:r>
      <w:r w:rsidR="002467BB">
        <w:t>.</w:t>
      </w:r>
      <w:r w:rsidR="00124505">
        <w:t xml:space="preserve"> </w:t>
      </w:r>
      <w:r w:rsidR="002467BB">
        <w:t>M</w:t>
      </w:r>
      <w:r w:rsidR="00124505">
        <w:t xml:space="preserve">egállapítható, hogy </w:t>
      </w:r>
      <w:r w:rsidR="00300907">
        <w:t>a</w:t>
      </w:r>
      <w:r w:rsidR="002467BB">
        <w:t>z elmúlt időszakban a</w:t>
      </w:r>
      <w:r w:rsidR="00300907">
        <w:t xml:space="preserve"> pandémi</w:t>
      </w:r>
      <w:r w:rsidR="00E43740">
        <w:t>a</w:t>
      </w:r>
      <w:r w:rsidR="00300907">
        <w:t xml:space="preserve"> következtében az</w:t>
      </w:r>
      <w:r w:rsidR="007D408D" w:rsidRPr="00A07F4E">
        <w:t xml:space="preserve"> </w:t>
      </w:r>
      <w:proofErr w:type="spellStart"/>
      <w:r w:rsidR="007D408D" w:rsidRPr="00A07F4E">
        <w:t>off</w:t>
      </w:r>
      <w:proofErr w:type="spellEnd"/>
      <w:r w:rsidR="007D408D" w:rsidRPr="00A07F4E">
        <w:t>-site vizsgálatok</w:t>
      </w:r>
      <w:r w:rsidR="00300907">
        <w:t xml:space="preserve"> túlsúlya volt jellemző. A</w:t>
      </w:r>
      <w:r w:rsidR="007D408D" w:rsidRPr="00A07F4E">
        <w:t xml:space="preserve"> hitelintézetek </w:t>
      </w:r>
      <w:r w:rsidR="00300907">
        <w:t xml:space="preserve">folyamatos </w:t>
      </w:r>
      <w:r w:rsidR="007D408D" w:rsidRPr="00A07F4E">
        <w:t xml:space="preserve">felügyeletét </w:t>
      </w:r>
      <w:r w:rsidR="00300907">
        <w:t xml:space="preserve">továbbá </w:t>
      </w:r>
      <w:r w:rsidR="007D408D" w:rsidRPr="00A07F4E">
        <w:t xml:space="preserve">az éves és negyedéves adatszolgáltatások segítik. </w:t>
      </w:r>
    </w:p>
    <w:p w14:paraId="20461229" w14:textId="77777777" w:rsidR="001C5EC3" w:rsidRPr="00A07F4E" w:rsidRDefault="001C5EC3" w:rsidP="00A07F4E">
      <w:pPr>
        <w:pStyle w:val="Cmsor3"/>
        <w:numPr>
          <w:ilvl w:val="0"/>
          <w:numId w:val="69"/>
        </w:numPr>
        <w:ind w:left="567" w:hanging="283"/>
      </w:pPr>
      <w:bookmarkStart w:id="32" w:name="_Toc109906011"/>
      <w:r w:rsidRPr="00A07F4E">
        <w:t>Azonosított jogsértések</w:t>
      </w:r>
      <w:bookmarkEnd w:id="32"/>
    </w:p>
    <w:p w14:paraId="3B336DD6" w14:textId="1C456166" w:rsidR="001C5EC3" w:rsidRDefault="001C5EC3" w:rsidP="001C5EC3">
      <w:r w:rsidRPr="00A07F4E">
        <w:t>A</w:t>
      </w:r>
      <w:r w:rsidR="00300907">
        <w:t>z MNB</w:t>
      </w:r>
      <w:r w:rsidRPr="00A07F4E">
        <w:t xml:space="preserve"> számos jogsértést azonosított a hitelintézeti szektorban, amely leginkább az ügyfelek kockázatértékelésével, a gyanús tranzakciók riportjaival, valamint a képzésekkel és a tudatossággal kapcsolatban kerültek feltárásra. </w:t>
      </w:r>
    </w:p>
    <w:p w14:paraId="4DB3E64C" w14:textId="113385B6" w:rsidR="000D312B" w:rsidRDefault="000D312B" w:rsidP="001C5EC3">
      <w:r w:rsidRPr="000D312B">
        <w:t xml:space="preserve">Az MNB vizsgálatai során folyamatosan visszaméri a hitelintézeteknél felmerülő kockázatokat. Az </w:t>
      </w:r>
      <w:r w:rsidRPr="00F16B9C">
        <w:t>MNB a 2018-2020.</w:t>
      </w:r>
      <w:r w:rsidRPr="000D312B">
        <w:t xml:space="preserve"> időszakban 26 hitelintézetnél folytatott le vizsgálatot (vizsgálatokat). Ezen vizsgálatok kapcsán az MNB 210 esetben tett megállapítást, 19 esetben került sor határozat kiadására, a határozatokban 270.150.000 forint bírság megfizetésére kötelezte a vizsgált intézményeket.</w:t>
      </w:r>
      <w:r w:rsidR="00BC6E4B">
        <w:t xml:space="preserve"> L</w:t>
      </w:r>
      <w:r w:rsidR="00BC6E4B" w:rsidRPr="00BC6E4B">
        <w:t>egjelentősebb számban az ügyfél-átvilágítás, a tranzakciómonitoring és a bejelentés témakörben tett megállapításokat az MNB.</w:t>
      </w:r>
    </w:p>
    <w:p w14:paraId="786532B1" w14:textId="2CB64CDD" w:rsidR="00835B2F" w:rsidRDefault="00835B2F" w:rsidP="00835B2F">
      <w:r>
        <w:t xml:space="preserve">A tranzakció monitoring hiányosságai a 2018-2020 időszakban folyamatosan jelen voltak a vizsgálatok során. A monitoring rendszerrel szemben támasztott elvárások fokozódtak, </w:t>
      </w:r>
      <w:r w:rsidR="00A55FF6">
        <w:t>végrehajtásuk vonatkozásában határidők kerültek bevezetésre</w:t>
      </w:r>
      <w:r w:rsidR="00163E28">
        <w:t>, enne</w:t>
      </w:r>
      <w:r w:rsidR="00F26F20">
        <w:t>k</w:t>
      </w:r>
      <w:r w:rsidR="00163E28">
        <w:t xml:space="preserve"> betartása azonban a szolgáltatóknál számos esetben </w:t>
      </w:r>
      <w:r>
        <w:t xml:space="preserve">nem biztosított. Ez a kockázat korrelál a vállaltirányítás során tapasztalt hiányosságok számának növekedésével, mely részben az </w:t>
      </w:r>
      <w:proofErr w:type="spellStart"/>
      <w:r>
        <w:t>AML</w:t>
      </w:r>
      <w:proofErr w:type="spellEnd"/>
      <w:r>
        <w:t>/</w:t>
      </w:r>
      <w:proofErr w:type="spellStart"/>
      <w:r>
        <w:t>CFT</w:t>
      </w:r>
      <w:proofErr w:type="spellEnd"/>
      <w:r>
        <w:t xml:space="preserve"> terület nem megfelelő erőforrás-ellátottságából adódik.</w:t>
      </w:r>
    </w:p>
    <w:p w14:paraId="280C5216" w14:textId="77777777" w:rsidR="00E0702B" w:rsidRDefault="00E0702B" w:rsidP="00751F37">
      <w:pPr>
        <w:spacing w:after="120" w:line="240" w:lineRule="auto"/>
      </w:pPr>
      <w:r>
        <w:t>Az MNB az elmúlt időszakban lefolytatott vizsgálatai során az alábbi</w:t>
      </w:r>
      <w:r w:rsidR="00410B39">
        <w:t xml:space="preserve"> területeken detektált</w:t>
      </w:r>
      <w:r>
        <w:t xml:space="preserve"> kontrollhiányosságokat:</w:t>
      </w:r>
    </w:p>
    <w:p w14:paraId="0673D043" w14:textId="79B7E9EC" w:rsidR="00E0702B" w:rsidRDefault="00E0702B" w:rsidP="00751F37">
      <w:pPr>
        <w:pStyle w:val="Listaszerbekezds"/>
        <w:numPr>
          <w:ilvl w:val="0"/>
          <w:numId w:val="233"/>
        </w:numPr>
        <w:spacing w:after="120" w:line="240" w:lineRule="auto"/>
      </w:pPr>
      <w:r>
        <w:t xml:space="preserve">új belépő dolgozók oktatása </w:t>
      </w:r>
    </w:p>
    <w:p w14:paraId="240940A1" w14:textId="23825E60" w:rsidR="00E0702B" w:rsidRDefault="00E0702B" w:rsidP="00751F37">
      <w:pPr>
        <w:pStyle w:val="Listaszerbekezds"/>
        <w:numPr>
          <w:ilvl w:val="0"/>
          <w:numId w:val="233"/>
        </w:numPr>
        <w:spacing w:after="120" w:line="240" w:lineRule="auto"/>
      </w:pPr>
      <w:r>
        <w:t>kockázatok azonosítás</w:t>
      </w:r>
      <w:r w:rsidR="00410B39">
        <w:t>a</w:t>
      </w:r>
      <w:r>
        <w:t xml:space="preserve">, belső kockázatértékelés </w:t>
      </w:r>
    </w:p>
    <w:p w14:paraId="1201335D" w14:textId="6978D468" w:rsidR="00E0702B" w:rsidRDefault="00E0702B" w:rsidP="00751F37">
      <w:pPr>
        <w:pStyle w:val="Listaszerbekezds"/>
        <w:numPr>
          <w:ilvl w:val="0"/>
          <w:numId w:val="233"/>
        </w:numPr>
        <w:spacing w:after="120" w:line="240" w:lineRule="auto"/>
      </w:pPr>
      <w:r>
        <w:t xml:space="preserve">a </w:t>
      </w:r>
      <w:proofErr w:type="spellStart"/>
      <w:r>
        <w:t>pénzmosás</w:t>
      </w:r>
      <w:proofErr w:type="spellEnd"/>
      <w:r>
        <w:t xml:space="preserve"> gyanús ügyletek kiszűrését biztosító monitoring rendszerek </w:t>
      </w:r>
    </w:p>
    <w:p w14:paraId="6D68FFA0" w14:textId="51F0BA0E" w:rsidR="00E0702B" w:rsidRDefault="00410B39" w:rsidP="00751F37">
      <w:pPr>
        <w:pStyle w:val="Listaszerbekezds"/>
        <w:numPr>
          <w:ilvl w:val="0"/>
          <w:numId w:val="233"/>
        </w:numPr>
        <w:spacing w:after="120" w:line="240" w:lineRule="auto"/>
      </w:pPr>
      <w:proofErr w:type="spellStart"/>
      <w:r>
        <w:t>NAV</w:t>
      </w:r>
      <w:proofErr w:type="spellEnd"/>
      <w:r>
        <w:t xml:space="preserve"> </w:t>
      </w:r>
      <w:proofErr w:type="spellStart"/>
      <w:r>
        <w:t>PEI</w:t>
      </w:r>
      <w:proofErr w:type="spellEnd"/>
      <w:r>
        <w:t xml:space="preserve"> részére teljesítendő </w:t>
      </w:r>
      <w:r w:rsidR="00E0702B">
        <w:t>bejelentése</w:t>
      </w:r>
      <w:r>
        <w:t xml:space="preserve">k </w:t>
      </w:r>
      <w:r w:rsidR="00E0702B">
        <w:t xml:space="preserve"> </w:t>
      </w:r>
    </w:p>
    <w:p w14:paraId="1D35A0DB" w14:textId="6F0B9D25" w:rsidR="00E0702B" w:rsidRDefault="00E0702B" w:rsidP="00751F37">
      <w:pPr>
        <w:pStyle w:val="Listaszerbekezds"/>
        <w:numPr>
          <w:ilvl w:val="0"/>
          <w:numId w:val="233"/>
        </w:numPr>
        <w:spacing w:after="120" w:line="240" w:lineRule="auto"/>
      </w:pPr>
      <w:r>
        <w:t xml:space="preserve">IT támogató rendszerek </w:t>
      </w:r>
    </w:p>
    <w:p w14:paraId="2D68C003" w14:textId="6F6C8C30" w:rsidR="00E0702B" w:rsidRDefault="00410B39" w:rsidP="00751F37">
      <w:pPr>
        <w:pStyle w:val="Listaszerbekezds"/>
        <w:numPr>
          <w:ilvl w:val="0"/>
          <w:numId w:val="233"/>
        </w:numPr>
        <w:spacing w:after="120" w:line="240" w:lineRule="auto"/>
      </w:pPr>
      <w:r>
        <w:t xml:space="preserve">a </w:t>
      </w:r>
      <w:r w:rsidR="00E0702B">
        <w:t xml:space="preserve">pénzmosási bejelentésen felüli, további kockázatcsökkentő intézkedések </w:t>
      </w:r>
    </w:p>
    <w:p w14:paraId="269AED63" w14:textId="1D3BE7BF" w:rsidR="00E0702B" w:rsidRDefault="00E0702B" w:rsidP="00751F37">
      <w:pPr>
        <w:pStyle w:val="Listaszerbekezds"/>
        <w:numPr>
          <w:ilvl w:val="0"/>
          <w:numId w:val="233"/>
        </w:numPr>
        <w:spacing w:after="120" w:line="240" w:lineRule="auto"/>
      </w:pPr>
      <w:r>
        <w:t xml:space="preserve">védelmi vonalak </w:t>
      </w:r>
    </w:p>
    <w:p w14:paraId="62F314E0" w14:textId="3203BB0F" w:rsidR="00E0702B" w:rsidRDefault="00E0702B" w:rsidP="00751F37">
      <w:pPr>
        <w:pStyle w:val="Listaszerbekezds"/>
        <w:numPr>
          <w:ilvl w:val="0"/>
          <w:numId w:val="233"/>
        </w:numPr>
        <w:spacing w:after="120" w:line="240" w:lineRule="auto"/>
      </w:pPr>
      <w:r>
        <w:t xml:space="preserve">ügyfél személyazonosságát igazoló </w:t>
      </w:r>
      <w:r w:rsidR="00D26C57">
        <w:t xml:space="preserve">okiratok </w:t>
      </w:r>
      <w:r w:rsidR="002C67FB">
        <w:t>másolása</w:t>
      </w:r>
    </w:p>
    <w:p w14:paraId="3F097466" w14:textId="1B1E8DFE" w:rsidR="009E1526" w:rsidRPr="00A07F4E" w:rsidRDefault="009E1526" w:rsidP="009E1526">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hatóságok által azonosított leggyakoribb jogsértések az ügyfél-átvilágítással, a</w:t>
      </w:r>
      <w:r w:rsidR="00653710" w:rsidRPr="00A07F4E">
        <w:t xml:space="preserve"> tranzakció monitoring </w:t>
      </w:r>
      <w:r w:rsidRPr="00A07F4E">
        <w:t xml:space="preserve">hatékonyságával és az ezt követő </w:t>
      </w:r>
      <w:r w:rsidR="00144800">
        <w:t>bejelentés</w:t>
      </w:r>
      <w:r w:rsidRPr="00A07F4E">
        <w:t>ek benyújtásával, valamint az ML/</w:t>
      </w:r>
      <w:proofErr w:type="spellStart"/>
      <w:r w:rsidRPr="00A07F4E">
        <w:t>TF</w:t>
      </w:r>
      <w:proofErr w:type="spellEnd"/>
      <w:r w:rsidRPr="00A07F4E">
        <w:t xml:space="preserve"> kockázatok kezelésével</w:t>
      </w:r>
      <w:r w:rsidR="00653710" w:rsidRPr="00A07F4E">
        <w:t xml:space="preserve"> – ideértve </w:t>
      </w:r>
      <w:r w:rsidRPr="00A07F4E">
        <w:t xml:space="preserve">az </w:t>
      </w:r>
      <w:proofErr w:type="spellStart"/>
      <w:r w:rsidRPr="00A07F4E">
        <w:t>AML</w:t>
      </w:r>
      <w:proofErr w:type="spellEnd"/>
      <w:r w:rsidRPr="00A07F4E">
        <w:t>/</w:t>
      </w:r>
      <w:proofErr w:type="spellStart"/>
      <w:r w:rsidRPr="00A07F4E">
        <w:t>CFT</w:t>
      </w:r>
      <w:proofErr w:type="spellEnd"/>
      <w:r w:rsidRPr="00A07F4E">
        <w:t xml:space="preserve"> politikákat és eljárásokat, a belső ellenőrzéseket és a nem megfelelő </w:t>
      </w:r>
      <w:proofErr w:type="spellStart"/>
      <w:r w:rsidRPr="00A07F4E">
        <w:t>AML</w:t>
      </w:r>
      <w:proofErr w:type="spellEnd"/>
      <w:r w:rsidRPr="00A07F4E">
        <w:t>/</w:t>
      </w:r>
      <w:proofErr w:type="spellStart"/>
      <w:r w:rsidRPr="00A07F4E">
        <w:t>CFT</w:t>
      </w:r>
      <w:proofErr w:type="spellEnd"/>
      <w:r w:rsidRPr="00A07F4E">
        <w:t xml:space="preserve"> erőforrásokat </w:t>
      </w:r>
      <w:r w:rsidR="00653710" w:rsidRPr="00A07F4E">
        <w:t>is –</w:t>
      </w:r>
      <w:r w:rsidRPr="00A07F4E">
        <w:t xml:space="preserve"> voltak kapcsolatosak</w:t>
      </w:r>
      <w:r w:rsidR="00653710" w:rsidRPr="00A07F4E">
        <w:t>. A szektorban</w:t>
      </w:r>
      <w:r w:rsidRPr="00A07F4E">
        <w:t xml:space="preserve"> feltárt jogsértések többségét az illetékes hatóságok közepes vagy kisebb súlyúnak minősített</w:t>
      </w:r>
      <w:r w:rsidR="00653710" w:rsidRPr="00A07F4E">
        <w:t>e</w:t>
      </w:r>
      <w:r w:rsidRPr="00A07F4E">
        <w:t>. A</w:t>
      </w:r>
      <w:r w:rsidR="00653710" w:rsidRPr="00A07F4E">
        <w:t xml:space="preserve">z </w:t>
      </w:r>
      <w:proofErr w:type="spellStart"/>
      <w:r w:rsidR="00653710" w:rsidRPr="00A07F4E">
        <w:t>EBA</w:t>
      </w:r>
      <w:proofErr w:type="spellEnd"/>
      <w:r w:rsidR="00653710" w:rsidRPr="00A07F4E">
        <w:t xml:space="preserve"> </w:t>
      </w:r>
      <w:proofErr w:type="spellStart"/>
      <w:r w:rsidR="00653710" w:rsidRPr="00A07F4E">
        <w:t>Opinion</w:t>
      </w:r>
      <w:proofErr w:type="spellEnd"/>
      <w:r w:rsidR="00653710" w:rsidRPr="00A07F4E">
        <w:t xml:space="preserve"> alapján, </w:t>
      </w:r>
      <w:r w:rsidRPr="00A07F4E">
        <w:t xml:space="preserve">a felügyeleti tevékenység </w:t>
      </w:r>
      <w:r w:rsidR="00653710" w:rsidRPr="00A07F4E">
        <w:t>növekedésével</w:t>
      </w:r>
      <w:r w:rsidRPr="00A07F4E">
        <w:t xml:space="preserve"> összhangban</w:t>
      </w:r>
      <w:r w:rsidR="00300907">
        <w:t>,</w:t>
      </w:r>
      <w:r w:rsidRPr="00A07F4E">
        <w:t xml:space="preserve"> összességében jelentősen megnőtt a megállapított jogsértések száma.</w:t>
      </w:r>
    </w:p>
    <w:p w14:paraId="68C335BC" w14:textId="333AD7A2" w:rsidR="001C5EC3" w:rsidRPr="00A07F4E" w:rsidRDefault="00300907" w:rsidP="001C5EC3">
      <w:r>
        <w:t>Az MNB</w:t>
      </w:r>
      <w:r w:rsidR="001C5EC3" w:rsidRPr="00A07F4E">
        <w:t xml:space="preserve"> több esetben felszólította </w:t>
      </w:r>
      <w:r w:rsidR="00A37D9D">
        <w:t>a</w:t>
      </w:r>
      <w:r>
        <w:t xml:space="preserve"> Szektorhoz tartozó</w:t>
      </w:r>
      <w:r w:rsidR="00A37D9D">
        <w:t xml:space="preserve"> szolgáltató</w:t>
      </w:r>
      <w:r>
        <w:t>ka</w:t>
      </w:r>
      <w:r w:rsidR="00A37D9D">
        <w:t>t</w:t>
      </w:r>
      <w:r w:rsidR="001C5EC3" w:rsidRPr="00A07F4E">
        <w:t xml:space="preserve"> a feltárt hiányosságok orvoslására, mind határozatban, mind vezetői levélben. Ezen felül szankcióként </w:t>
      </w:r>
      <w:r w:rsidR="006813E2" w:rsidRPr="00A07F4E">
        <w:t>a korábbi</w:t>
      </w:r>
      <w:r w:rsidR="007A617F">
        <w:t>ak</w:t>
      </w:r>
      <w:r w:rsidR="006813E2" w:rsidRPr="00A07F4E">
        <w:t xml:space="preserve">nál jelentősebb </w:t>
      </w:r>
      <w:r w:rsidR="001C5EC3" w:rsidRPr="00A07F4E">
        <w:t xml:space="preserve">bírságok kerültek kiszabásra. </w:t>
      </w:r>
    </w:p>
    <w:p w14:paraId="23F14E7B" w14:textId="77777777" w:rsidR="008C555C" w:rsidRPr="00A07F4E" w:rsidRDefault="00666159" w:rsidP="00A07F4E">
      <w:pPr>
        <w:pStyle w:val="Cmsor3"/>
        <w:numPr>
          <w:ilvl w:val="0"/>
          <w:numId w:val="69"/>
        </w:numPr>
        <w:ind w:left="567" w:hanging="283"/>
      </w:pPr>
      <w:bookmarkStart w:id="33" w:name="_Toc109906012"/>
      <w:r w:rsidRPr="00A07F4E">
        <w:t>Alszektorok</w:t>
      </w:r>
      <w:bookmarkEnd w:id="33"/>
    </w:p>
    <w:p w14:paraId="12B40B4D" w14:textId="6E8D7528" w:rsidR="00666159" w:rsidRPr="00A07F4E" w:rsidRDefault="00666159" w:rsidP="00A07F4E">
      <w:pPr>
        <w:pStyle w:val="Listaszerbekezds"/>
        <w:numPr>
          <w:ilvl w:val="0"/>
          <w:numId w:val="191"/>
        </w:numPr>
        <w:ind w:left="851" w:hanging="284"/>
      </w:pPr>
      <w:r w:rsidRPr="00A07F4E">
        <w:t>Szakosított hitelintézet</w:t>
      </w:r>
      <w:r w:rsidR="00E11FED">
        <w:t>i</w:t>
      </w:r>
      <w:r w:rsidR="00EA0DCE">
        <w:t xml:space="preserve"> –</w:t>
      </w:r>
      <w:r w:rsidR="005950FA">
        <w:t xml:space="preserve"> alszektor </w:t>
      </w:r>
    </w:p>
    <w:p w14:paraId="20225540" w14:textId="1608F0BB" w:rsidR="005950FA" w:rsidRDefault="005950FA" w:rsidP="008C555C">
      <w:r w:rsidRPr="005950FA">
        <w:t xml:space="preserve">Magyarországon a </w:t>
      </w:r>
      <w:r w:rsidR="00AB63A8">
        <w:t>Szakosított hitelintézeti</w:t>
      </w:r>
      <w:r w:rsidRPr="005950FA">
        <w:t xml:space="preserve"> alszektorban </w:t>
      </w:r>
      <w:r w:rsidR="008B7609" w:rsidRPr="00FC37B3">
        <w:t xml:space="preserve">1 </w:t>
      </w:r>
      <w:r w:rsidR="00944E94" w:rsidRPr="00FC37B3">
        <w:t>és 5 közötti</w:t>
      </w:r>
      <w:r w:rsidRPr="00FC37B3">
        <w:t xml:space="preserve"> </w:t>
      </w:r>
      <w:r w:rsidR="00944E94" w:rsidRPr="00FC37B3">
        <w:t>számú</w:t>
      </w:r>
      <w:r w:rsidR="00944E94">
        <w:t xml:space="preserve"> </w:t>
      </w:r>
      <w:r w:rsidR="00A37D9D">
        <w:t>szolgáltató</w:t>
      </w:r>
      <w:r w:rsidR="00A37D9D" w:rsidRPr="005950FA">
        <w:t xml:space="preserve"> </w:t>
      </w:r>
      <w:r w:rsidRPr="005950FA">
        <w:t>található.</w:t>
      </w:r>
    </w:p>
    <w:p w14:paraId="602D4EA4" w14:textId="76E36737" w:rsidR="008C555C" w:rsidRPr="00A07F4E" w:rsidRDefault="008C555C" w:rsidP="008C555C">
      <w:r w:rsidRPr="009F3A30">
        <w:t>A szektorban rejlő</w:t>
      </w:r>
      <w:r w:rsidR="0067124E" w:rsidRPr="009F3A30">
        <w:t>, inherens</w:t>
      </w:r>
      <w:r w:rsidRPr="009F3A30">
        <w:t xml:space="preserve"> kockázatok értékelése az alszektorok tekintetében is alkalmazandó, azonban eltérés a szektor és </w:t>
      </w:r>
      <w:r w:rsidR="0067124E" w:rsidRPr="009F3A30">
        <w:t xml:space="preserve">az </w:t>
      </w:r>
      <w:r w:rsidRPr="009F3A30">
        <w:t>alszektorok között az ügyfelek</w:t>
      </w:r>
      <w:r w:rsidR="0067124E" w:rsidRPr="009F3A30">
        <w:t>ben</w:t>
      </w:r>
      <w:r w:rsidRPr="009F3A30">
        <w:t>, valamint az ügyletek</w:t>
      </w:r>
      <w:r w:rsidR="0067124E" w:rsidRPr="009F3A30">
        <w:t>ben</w:t>
      </w:r>
      <w:r w:rsidRPr="009F3A30">
        <w:t xml:space="preserve"> mutatkozik meg. Az ügyfélszámok ezen alszektorokban jelentősen alacsonyabbak és kevesebb a nem rezidens ügyfelek száma, illetve jellemzőbbek a belföldi ügyletek</w:t>
      </w:r>
      <w:r w:rsidR="00124505">
        <w:t xml:space="preserve">, amelyre tekintettel az alszektorban rejlő inherens kockázat – a szektor értékétől eltérően – </w:t>
      </w:r>
      <w:r w:rsidR="007A617F">
        <w:t>J</w:t>
      </w:r>
      <w:r w:rsidR="00124505">
        <w:t>elentős</w:t>
      </w:r>
      <w:r w:rsidRPr="009F3A30">
        <w:t xml:space="preserve">. </w:t>
      </w:r>
      <w:r w:rsidR="00124505">
        <w:t>Az MNB</w:t>
      </w:r>
      <w:r w:rsidR="00FC4014">
        <w:t>-nek</w:t>
      </w:r>
      <w:r w:rsidR="00124505">
        <w:t xml:space="preserve"> a</w:t>
      </w:r>
      <w:r w:rsidR="008244E2">
        <w:t xml:space="preserve">z inherens kockázat eltérítését </w:t>
      </w:r>
      <w:r w:rsidR="00FC4014">
        <w:t>megalapozó</w:t>
      </w:r>
      <w:r w:rsidR="008244E2">
        <w:t xml:space="preserve"> információ</w:t>
      </w:r>
      <w:r w:rsidR="00FC4014">
        <w:t>ról tudomása nincsen</w:t>
      </w:r>
      <w:r w:rsidR="008244E2">
        <w:t xml:space="preserve">, így az </w:t>
      </w:r>
      <w:r w:rsidRPr="009F3A30">
        <w:t>inherens kockázata</w:t>
      </w:r>
      <w:r w:rsidR="008244E2">
        <w:t xml:space="preserve"> a</w:t>
      </w:r>
      <w:r w:rsidR="00E11FED">
        <w:t xml:space="preserve"> </w:t>
      </w:r>
      <w:r w:rsidR="00E11FED" w:rsidRPr="00E11FED">
        <w:t>Szakosított hitelintézeti</w:t>
      </w:r>
      <w:r w:rsidR="008244E2">
        <w:t xml:space="preserve"> alszektornak</w:t>
      </w:r>
      <w:r w:rsidRPr="009F3A30">
        <w:t xml:space="preserve"> </w:t>
      </w:r>
      <w:r w:rsidR="00066BBB" w:rsidRPr="009F3A30">
        <w:t>megegyezik</w:t>
      </w:r>
      <w:r w:rsidRPr="009F3A30">
        <w:t xml:space="preserve"> a maradványkockázat</w:t>
      </w:r>
      <w:r w:rsidR="00066BBB" w:rsidRPr="009F3A30">
        <w:t>tal, amely Jelentős</w:t>
      </w:r>
      <w:r w:rsidRPr="009F3A30">
        <w:t>.</w:t>
      </w:r>
    </w:p>
    <w:tbl>
      <w:tblPr>
        <w:tblW w:w="2740" w:type="dxa"/>
        <w:tblCellMar>
          <w:left w:w="70" w:type="dxa"/>
          <w:right w:w="70" w:type="dxa"/>
        </w:tblCellMar>
        <w:tblLook w:val="04A0" w:firstRow="1" w:lastRow="0" w:firstColumn="1" w:lastColumn="0" w:noHBand="0" w:noVBand="1"/>
      </w:tblPr>
      <w:tblGrid>
        <w:gridCol w:w="1780"/>
        <w:gridCol w:w="960"/>
      </w:tblGrid>
      <w:tr w:rsidR="008C555C" w:rsidRPr="00A07F4E" w14:paraId="447064B9" w14:textId="77777777" w:rsidTr="008C555C">
        <w:trPr>
          <w:trHeight w:val="300"/>
        </w:trPr>
        <w:tc>
          <w:tcPr>
            <w:tcW w:w="1780" w:type="dxa"/>
            <w:tcBorders>
              <w:top w:val="nil"/>
              <w:left w:val="nil"/>
              <w:bottom w:val="nil"/>
              <w:right w:val="nil"/>
            </w:tcBorders>
            <w:shd w:val="clear" w:color="auto" w:fill="auto"/>
            <w:noWrap/>
            <w:vAlign w:val="center"/>
            <w:hideMark/>
          </w:tcPr>
          <w:p w14:paraId="452ED3FA" w14:textId="77777777" w:rsidR="008C555C" w:rsidRPr="00A07F4E" w:rsidRDefault="008C555C" w:rsidP="008C555C">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lastRenderedPageBreak/>
              <w:t>Inherens kockázat:</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086F4F7" w14:textId="77777777" w:rsidR="008C555C" w:rsidRPr="00A07F4E" w:rsidRDefault="008C555C" w:rsidP="008C555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Jelentős</w:t>
            </w:r>
          </w:p>
        </w:tc>
      </w:tr>
      <w:tr w:rsidR="008C555C" w:rsidRPr="00A07F4E" w14:paraId="3F2B3563" w14:textId="77777777" w:rsidTr="008C555C">
        <w:trPr>
          <w:trHeight w:val="300"/>
        </w:trPr>
        <w:tc>
          <w:tcPr>
            <w:tcW w:w="1780" w:type="dxa"/>
            <w:tcBorders>
              <w:top w:val="nil"/>
              <w:left w:val="nil"/>
              <w:bottom w:val="nil"/>
              <w:right w:val="nil"/>
            </w:tcBorders>
            <w:shd w:val="clear" w:color="auto" w:fill="auto"/>
            <w:noWrap/>
            <w:vAlign w:val="center"/>
            <w:hideMark/>
          </w:tcPr>
          <w:p w14:paraId="26D4E181" w14:textId="77777777" w:rsidR="008C555C" w:rsidRPr="00A07F4E" w:rsidRDefault="008C555C" w:rsidP="008C555C">
            <w:pPr>
              <w:spacing w:after="0" w:line="240" w:lineRule="auto"/>
              <w:jc w:val="center"/>
              <w:rPr>
                <w:rFonts w:eastAsia="Times New Roman" w:cs="Calibri"/>
                <w:b/>
                <w:bCs/>
                <w:color w:val="000000"/>
                <w:sz w:val="16"/>
                <w:szCs w:val="16"/>
              </w:rPr>
            </w:pPr>
            <w:r w:rsidRPr="00A07F4E">
              <w:rPr>
                <w:rFonts w:cs="Calibri"/>
                <w:b/>
                <w:bCs/>
                <w:color w:val="000000"/>
                <w:sz w:val="16"/>
                <w:szCs w:val="16"/>
              </w:rPr>
              <w:t>Maradványkockázat:</w:t>
            </w:r>
          </w:p>
        </w:tc>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4FDBD29A" w14:textId="77777777" w:rsidR="008C555C" w:rsidRPr="00A07F4E" w:rsidRDefault="008C555C" w:rsidP="008C555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Jelentős</w:t>
            </w:r>
          </w:p>
        </w:tc>
      </w:tr>
    </w:tbl>
    <w:p w14:paraId="47343CF4" w14:textId="4FFD4254" w:rsidR="004C2028" w:rsidRDefault="004C2028" w:rsidP="00666159"/>
    <w:p w14:paraId="10A814DA" w14:textId="7007E4E9" w:rsidR="00DB03D4" w:rsidRPr="00DB03D4" w:rsidRDefault="00CE67D0" w:rsidP="00751F37">
      <w:pPr>
        <w:pStyle w:val="Listaszerbekezds"/>
        <w:numPr>
          <w:ilvl w:val="0"/>
          <w:numId w:val="191"/>
        </w:numPr>
        <w:ind w:left="851" w:hanging="284"/>
      </w:pPr>
      <w:proofErr w:type="spellStart"/>
      <w:r>
        <w:t>AML</w:t>
      </w:r>
      <w:proofErr w:type="spellEnd"/>
      <w:r>
        <w:t>/</w:t>
      </w:r>
      <w:proofErr w:type="spellStart"/>
      <w:r>
        <w:t>CFT</w:t>
      </w:r>
      <w:proofErr w:type="spellEnd"/>
      <w:r w:rsidR="00DB03D4" w:rsidRPr="00DB03D4">
        <w:t xml:space="preserve"> kollégium mellett működő külföldi érintettségű csoport</w:t>
      </w:r>
      <w:r w:rsidR="00DB03D4">
        <w:t>tag</w:t>
      </w:r>
      <w:r w:rsidR="00EA0DCE">
        <w:t xml:space="preserve"> – </w:t>
      </w:r>
      <w:r w:rsidR="00DB03D4">
        <w:t xml:space="preserve">alszektor </w:t>
      </w:r>
    </w:p>
    <w:p w14:paraId="7E6D16DA" w14:textId="79E5BA93" w:rsidR="00DB03D4" w:rsidRDefault="00DB03D4" w:rsidP="00DB03D4">
      <w:r>
        <w:t xml:space="preserve">Magyarországon </w:t>
      </w:r>
      <w:r w:rsidR="00C51A6A">
        <w:t>jelen alszektorban</w:t>
      </w:r>
      <w:r>
        <w:t xml:space="preserve"> </w:t>
      </w:r>
      <w:r w:rsidR="00467360" w:rsidRPr="00FC37B3">
        <w:t>20-30</w:t>
      </w:r>
      <w:r w:rsidRPr="00FC37B3">
        <w:t xml:space="preserve"> közötti</w:t>
      </w:r>
      <w:r>
        <w:t xml:space="preserve"> számú szolgáltató van jelen. </w:t>
      </w:r>
    </w:p>
    <w:p w14:paraId="79BCF701" w14:textId="3C5CC64D" w:rsidR="00DB03D4" w:rsidRPr="00A07F4E" w:rsidRDefault="00752EF6" w:rsidP="00DB03D4">
      <w:r>
        <w:rPr>
          <w:rFonts w:cs="Times New Roman"/>
        </w:rPr>
        <w:t xml:space="preserve">Jelen alszektorba tartoznak a külföldi székhelyű hitelintézetek magyar leányvállalatai, </w:t>
      </w:r>
      <w:proofErr w:type="spellStart"/>
      <w:r>
        <w:rPr>
          <w:rFonts w:cs="Times New Roman"/>
        </w:rPr>
        <w:t>fióktelepei</w:t>
      </w:r>
      <w:proofErr w:type="spellEnd"/>
      <w:r>
        <w:rPr>
          <w:rFonts w:cs="Times New Roman"/>
        </w:rPr>
        <w:t>. A közös jellemzőjük, hogy a külföldi tulajdonos anya</w:t>
      </w:r>
      <w:r w:rsidR="00E4050C">
        <w:rPr>
          <w:rFonts w:cs="Times New Roman"/>
        </w:rPr>
        <w:t>vállalat</w:t>
      </w:r>
      <w:r>
        <w:rPr>
          <w:rFonts w:cs="Times New Roman"/>
        </w:rPr>
        <w:t xml:space="preserve"> jellemzően több</w:t>
      </w:r>
      <w:r w:rsidR="004D51C1">
        <w:rPr>
          <w:rFonts w:cs="Times New Roman"/>
        </w:rPr>
        <w:t>,</w:t>
      </w:r>
      <w:r>
        <w:rPr>
          <w:rFonts w:cs="Times New Roman"/>
        </w:rPr>
        <w:t xml:space="preserve"> mint három tagországban rendelkez</w:t>
      </w:r>
      <w:r w:rsidR="00213916">
        <w:rPr>
          <w:rFonts w:cs="Times New Roman"/>
        </w:rPr>
        <w:t>ik</w:t>
      </w:r>
      <w:r>
        <w:rPr>
          <w:rFonts w:cs="Times New Roman"/>
        </w:rPr>
        <w:t xml:space="preserve"> leányvállalattal vagy fiókteleppel, így az </w:t>
      </w:r>
      <w:proofErr w:type="spellStart"/>
      <w:r w:rsidRPr="00FC116C">
        <w:rPr>
          <w:rFonts w:cs="Times New Roman"/>
        </w:rPr>
        <w:t>AML</w:t>
      </w:r>
      <w:proofErr w:type="spellEnd"/>
      <w:r w:rsidRPr="00FC116C">
        <w:rPr>
          <w:rFonts w:cs="Times New Roman"/>
        </w:rPr>
        <w:t>/</w:t>
      </w:r>
      <w:proofErr w:type="spellStart"/>
      <w:r w:rsidRPr="00FC116C">
        <w:rPr>
          <w:rFonts w:cs="Times New Roman"/>
        </w:rPr>
        <w:t>CFT</w:t>
      </w:r>
      <w:proofErr w:type="spellEnd"/>
      <w:r w:rsidRPr="00FC116C">
        <w:rPr>
          <w:rFonts w:cs="Times New Roman"/>
        </w:rPr>
        <w:t xml:space="preserve"> kollégiumokról szóló </w:t>
      </w:r>
      <w:proofErr w:type="spellStart"/>
      <w:r w:rsidRPr="00FC116C">
        <w:rPr>
          <w:rFonts w:cs="Times New Roman"/>
        </w:rPr>
        <w:t>E</w:t>
      </w:r>
      <w:r w:rsidR="00A96D16">
        <w:rPr>
          <w:rFonts w:cs="Times New Roman"/>
        </w:rPr>
        <w:t>S</w:t>
      </w:r>
      <w:r w:rsidRPr="00FC116C">
        <w:rPr>
          <w:rFonts w:cs="Times New Roman"/>
        </w:rPr>
        <w:t>A</w:t>
      </w:r>
      <w:proofErr w:type="spellEnd"/>
      <w:r w:rsidRPr="00FC116C">
        <w:rPr>
          <w:rFonts w:cs="Times New Roman"/>
        </w:rPr>
        <w:t xml:space="preserve"> iránymutatás</w:t>
      </w:r>
      <w:r>
        <w:rPr>
          <w:rFonts w:cs="Times New Roman"/>
        </w:rPr>
        <w:t xml:space="preserve"> alapján ezen esetekben </w:t>
      </w:r>
      <w:proofErr w:type="spellStart"/>
      <w:r>
        <w:rPr>
          <w:rFonts w:cs="Times New Roman"/>
        </w:rPr>
        <w:t>AML</w:t>
      </w:r>
      <w:proofErr w:type="spellEnd"/>
      <w:r>
        <w:rPr>
          <w:rFonts w:cs="Times New Roman"/>
        </w:rPr>
        <w:t>/</w:t>
      </w:r>
      <w:proofErr w:type="spellStart"/>
      <w:r>
        <w:rPr>
          <w:rFonts w:cs="Times New Roman"/>
        </w:rPr>
        <w:t>CFT</w:t>
      </w:r>
      <w:proofErr w:type="spellEnd"/>
      <w:r>
        <w:rPr>
          <w:rFonts w:cs="Times New Roman"/>
        </w:rPr>
        <w:t xml:space="preserve"> kollégium felállítása megtörtént. A kollégium keretében a tagországok illetékes hatóságai, illetve – az </w:t>
      </w:r>
      <w:proofErr w:type="spellStart"/>
      <w:r w:rsidRPr="00FC116C">
        <w:rPr>
          <w:rFonts w:cs="Times New Roman"/>
        </w:rPr>
        <w:t>AML</w:t>
      </w:r>
      <w:proofErr w:type="spellEnd"/>
      <w:r w:rsidRPr="00FC116C">
        <w:rPr>
          <w:rFonts w:cs="Times New Roman"/>
        </w:rPr>
        <w:t>/</w:t>
      </w:r>
      <w:proofErr w:type="spellStart"/>
      <w:r w:rsidRPr="00FC116C">
        <w:rPr>
          <w:rFonts w:cs="Times New Roman"/>
        </w:rPr>
        <w:t>CFT</w:t>
      </w:r>
      <w:proofErr w:type="spellEnd"/>
      <w:r w:rsidRPr="00FC116C">
        <w:rPr>
          <w:rFonts w:cs="Times New Roman"/>
        </w:rPr>
        <w:t xml:space="preserve"> kollégiumokról szóló </w:t>
      </w:r>
      <w:proofErr w:type="spellStart"/>
      <w:r w:rsidRPr="00FC116C">
        <w:rPr>
          <w:rFonts w:cs="Times New Roman"/>
        </w:rPr>
        <w:t>E</w:t>
      </w:r>
      <w:r w:rsidR="00A96D16">
        <w:rPr>
          <w:rFonts w:cs="Times New Roman"/>
        </w:rPr>
        <w:t>S</w:t>
      </w:r>
      <w:r w:rsidRPr="00FC116C">
        <w:rPr>
          <w:rFonts w:cs="Times New Roman"/>
        </w:rPr>
        <w:t>A</w:t>
      </w:r>
      <w:proofErr w:type="spellEnd"/>
      <w:r w:rsidRPr="00FC116C">
        <w:rPr>
          <w:rFonts w:cs="Times New Roman"/>
        </w:rPr>
        <w:t xml:space="preserve"> iránymutatás</w:t>
      </w:r>
      <w:r>
        <w:rPr>
          <w:rFonts w:cs="Times New Roman"/>
        </w:rPr>
        <w:t>ban meghatározott esetekben – harmadik országok felügyeletei közötti információcsere, tudásmegosztás történik</w:t>
      </w:r>
      <w:r w:rsidR="00D63395">
        <w:rPr>
          <w:rFonts w:cs="Times New Roman"/>
        </w:rPr>
        <w:t>. A</w:t>
      </w:r>
      <w:r w:rsidR="00470DAB">
        <w:rPr>
          <w:rFonts w:cs="Times New Roman"/>
        </w:rPr>
        <w:t xml:space="preserve">z </w:t>
      </w:r>
      <w:proofErr w:type="spellStart"/>
      <w:r w:rsidR="00470DAB">
        <w:rPr>
          <w:rFonts w:cs="Times New Roman"/>
        </w:rPr>
        <w:t>AML</w:t>
      </w:r>
      <w:proofErr w:type="spellEnd"/>
      <w:r w:rsidR="00470DAB">
        <w:rPr>
          <w:rFonts w:cs="Times New Roman"/>
        </w:rPr>
        <w:t>/</w:t>
      </w:r>
      <w:proofErr w:type="spellStart"/>
      <w:r w:rsidR="00470DAB">
        <w:rPr>
          <w:rFonts w:cs="Times New Roman"/>
        </w:rPr>
        <w:t>CFT</w:t>
      </w:r>
      <w:proofErr w:type="spellEnd"/>
      <w:r w:rsidR="00470DAB">
        <w:rPr>
          <w:rFonts w:cs="Times New Roman"/>
        </w:rPr>
        <w:t xml:space="preserve"> </w:t>
      </w:r>
      <w:r w:rsidR="00D63395" w:rsidRPr="00DB03D4">
        <w:t>kollégium mellett működő külföldi érintettségű csoport</w:t>
      </w:r>
      <w:r w:rsidR="00D63395">
        <w:t xml:space="preserve">tagok esetében a </w:t>
      </w:r>
      <w:r w:rsidR="00FF6A8B" w:rsidRPr="00FF6A8B">
        <w:rPr>
          <w:rFonts w:cs="Times New Roman"/>
        </w:rPr>
        <w:t xml:space="preserve">csoportirányítás meglétét és az ehhez társuló kollégiumi visszajelzések rendszerét </w:t>
      </w:r>
      <w:r w:rsidR="00D63395">
        <w:rPr>
          <w:rFonts w:cs="Times New Roman"/>
        </w:rPr>
        <w:t xml:space="preserve">az MNB </w:t>
      </w:r>
      <w:r w:rsidR="00FF6A8B" w:rsidRPr="00FF6A8B">
        <w:rPr>
          <w:rFonts w:cs="Times New Roman"/>
        </w:rPr>
        <w:t>kockázatcsökkentő tényezőként értékel</w:t>
      </w:r>
      <w:r w:rsidR="00FF6A8B">
        <w:rPr>
          <w:rFonts w:cs="Times New Roman"/>
        </w:rPr>
        <w:t>i</w:t>
      </w:r>
      <w:r>
        <w:rPr>
          <w:rFonts w:cs="Times New Roman"/>
        </w:rPr>
        <w:t xml:space="preserve">, így az alszektor inherens kockázata </w:t>
      </w:r>
      <w:r w:rsidR="00751F37">
        <w:rPr>
          <w:rFonts w:cs="Times New Roman"/>
        </w:rPr>
        <w:t>J</w:t>
      </w:r>
      <w:r>
        <w:rPr>
          <w:rFonts w:cs="Times New Roman"/>
        </w:rPr>
        <w:t xml:space="preserve">elentősnek </w:t>
      </w:r>
      <w:r w:rsidR="00FF6A8B">
        <w:rPr>
          <w:rFonts w:cs="Times New Roman"/>
        </w:rPr>
        <w:t>tekintendő</w:t>
      </w:r>
      <w:r>
        <w:rPr>
          <w:rFonts w:cs="Times New Roman"/>
        </w:rPr>
        <w:t xml:space="preserve">. </w:t>
      </w:r>
      <w:r w:rsidR="00DB03D4">
        <w:t xml:space="preserve">Az MNB-nek az inherens kockázat eltérítését megalapozó információról tudomása nincsen, így az </w:t>
      </w:r>
      <w:r w:rsidR="00DB03D4" w:rsidRPr="009F3A30">
        <w:t>inherens kockázata</w:t>
      </w:r>
      <w:r w:rsidR="00DB03D4">
        <w:t xml:space="preserve"> a Fióktelep alszektornak</w:t>
      </w:r>
      <w:r w:rsidR="00DB03D4" w:rsidRPr="009F3A30">
        <w:t xml:space="preserve"> megegyezik a maradványkockázattal, amely Jelentős.</w:t>
      </w:r>
    </w:p>
    <w:tbl>
      <w:tblPr>
        <w:tblW w:w="2740" w:type="dxa"/>
        <w:tblCellMar>
          <w:left w:w="70" w:type="dxa"/>
          <w:right w:w="70" w:type="dxa"/>
        </w:tblCellMar>
        <w:tblLook w:val="04A0" w:firstRow="1" w:lastRow="0" w:firstColumn="1" w:lastColumn="0" w:noHBand="0" w:noVBand="1"/>
      </w:tblPr>
      <w:tblGrid>
        <w:gridCol w:w="1780"/>
        <w:gridCol w:w="960"/>
      </w:tblGrid>
      <w:tr w:rsidR="00DB03D4" w:rsidRPr="00A07F4E" w14:paraId="4183EA02" w14:textId="77777777" w:rsidTr="00300DCA">
        <w:trPr>
          <w:trHeight w:val="300"/>
        </w:trPr>
        <w:tc>
          <w:tcPr>
            <w:tcW w:w="1780" w:type="dxa"/>
            <w:tcBorders>
              <w:top w:val="nil"/>
              <w:left w:val="nil"/>
              <w:bottom w:val="nil"/>
              <w:right w:val="nil"/>
            </w:tcBorders>
            <w:shd w:val="clear" w:color="auto" w:fill="auto"/>
            <w:noWrap/>
            <w:vAlign w:val="center"/>
            <w:hideMark/>
          </w:tcPr>
          <w:p w14:paraId="615CDC65" w14:textId="77777777" w:rsidR="00DB03D4" w:rsidRPr="00A07F4E" w:rsidRDefault="00DB03D4" w:rsidP="00300DCA">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Inherens kockázat:</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27FF26C" w14:textId="77777777" w:rsidR="00DB03D4" w:rsidRPr="00A07F4E" w:rsidRDefault="00DB03D4" w:rsidP="00300DCA">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Jelentős</w:t>
            </w:r>
          </w:p>
        </w:tc>
      </w:tr>
      <w:tr w:rsidR="00DB03D4" w:rsidRPr="00A07F4E" w14:paraId="613EEA6F" w14:textId="77777777" w:rsidTr="00300DCA">
        <w:trPr>
          <w:trHeight w:val="300"/>
        </w:trPr>
        <w:tc>
          <w:tcPr>
            <w:tcW w:w="1780" w:type="dxa"/>
            <w:tcBorders>
              <w:top w:val="nil"/>
              <w:left w:val="nil"/>
              <w:bottom w:val="nil"/>
              <w:right w:val="nil"/>
            </w:tcBorders>
            <w:shd w:val="clear" w:color="auto" w:fill="auto"/>
            <w:noWrap/>
            <w:vAlign w:val="center"/>
            <w:hideMark/>
          </w:tcPr>
          <w:p w14:paraId="7CB52138" w14:textId="77777777" w:rsidR="00DB03D4" w:rsidRPr="00A07F4E" w:rsidRDefault="00DB03D4" w:rsidP="00300DCA">
            <w:pPr>
              <w:spacing w:after="0" w:line="240" w:lineRule="auto"/>
              <w:jc w:val="center"/>
              <w:rPr>
                <w:rFonts w:eastAsia="Times New Roman" w:cs="Calibri"/>
                <w:b/>
                <w:bCs/>
                <w:color w:val="000000"/>
                <w:sz w:val="16"/>
                <w:szCs w:val="16"/>
              </w:rPr>
            </w:pPr>
            <w:r w:rsidRPr="00A07F4E">
              <w:rPr>
                <w:rFonts w:cs="Calibri"/>
                <w:b/>
                <w:bCs/>
                <w:color w:val="000000"/>
                <w:sz w:val="16"/>
                <w:szCs w:val="16"/>
              </w:rPr>
              <w:t>Maradványkockázat:</w:t>
            </w:r>
          </w:p>
        </w:tc>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4BC86105" w14:textId="77777777" w:rsidR="00DB03D4" w:rsidRPr="00A07F4E" w:rsidRDefault="00DB03D4" w:rsidP="00300DCA">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Jelentős</w:t>
            </w:r>
          </w:p>
        </w:tc>
      </w:tr>
    </w:tbl>
    <w:p w14:paraId="41E6767E" w14:textId="77777777" w:rsidR="00DB03D4" w:rsidRPr="00A07F4E" w:rsidRDefault="00DB03D4" w:rsidP="00666159"/>
    <w:p w14:paraId="3A1336A1" w14:textId="77777777" w:rsidR="00D65406" w:rsidRPr="00A07F4E" w:rsidRDefault="00D65406" w:rsidP="00A07F4E">
      <w:pPr>
        <w:pStyle w:val="Cmsor3"/>
        <w:numPr>
          <w:ilvl w:val="0"/>
          <w:numId w:val="69"/>
        </w:numPr>
        <w:ind w:left="567" w:hanging="283"/>
      </w:pPr>
      <w:bookmarkStart w:id="34" w:name="_Toc109906013"/>
      <w:r w:rsidRPr="00A07F4E">
        <w:t>Maradványkockázat</w:t>
      </w:r>
      <w:bookmarkEnd w:id="34"/>
    </w:p>
    <w:p w14:paraId="0E239E1A" w14:textId="547A9664" w:rsidR="00433DF0" w:rsidRPr="00A07F4E" w:rsidRDefault="00D65406" w:rsidP="008347D1">
      <w:r w:rsidRPr="00A07F4E">
        <w:t>A</w:t>
      </w:r>
      <w:r w:rsidR="00E757E7">
        <w:t xml:space="preserve">z MNB </w:t>
      </w:r>
      <w:r w:rsidRPr="00A07F4E">
        <w:t xml:space="preserve">megítélése szerint az egyes hitelintézeteknél alkalmazott ellenőrzések hatékonyan csökkentették az inherens kockázatokat, </w:t>
      </w:r>
      <w:r w:rsidR="0067124E" w:rsidRPr="009F3A30">
        <w:t>azonban</w:t>
      </w:r>
      <w:r w:rsidR="006813E2" w:rsidRPr="00A07F4E">
        <w:t xml:space="preserve"> </w:t>
      </w:r>
      <w:r w:rsidRPr="00A07F4E">
        <w:t>a maradványkockázat</w:t>
      </w:r>
      <w:r w:rsidR="00E757E7">
        <w:t>ot –</w:t>
      </w:r>
      <w:r w:rsidR="00E757E7" w:rsidRPr="00A07F4E">
        <w:t xml:space="preserve"> </w:t>
      </w:r>
      <w:r w:rsidR="006813E2" w:rsidRPr="00A07F4E">
        <w:t>számos vizsgálatnál rendszeresen felmerülő kockázat miatt</w:t>
      </w:r>
      <w:r w:rsidR="00E757E7">
        <w:t xml:space="preserve"> –</w:t>
      </w:r>
      <w:r w:rsidR="006813E2" w:rsidRPr="00A07F4E">
        <w:t xml:space="preserve"> </w:t>
      </w:r>
      <w:r w:rsidR="003150D9" w:rsidRPr="00A07F4E">
        <w:t>még nem volt indokolt csökkenteni</w:t>
      </w:r>
      <w:r w:rsidR="00E4050C">
        <w:t>, így a maradványkockázat értéke megegyezik a szektor inherens kockázatának értékével, az Nagyon jelentős</w:t>
      </w:r>
      <w:r w:rsidR="00433DF0" w:rsidRPr="00A07F4E">
        <w:t xml:space="preserve">: </w:t>
      </w:r>
    </w:p>
    <w:tbl>
      <w:tblPr>
        <w:tblpPr w:leftFromText="141" w:rightFromText="141" w:vertAnchor="text" w:horzAnchor="margin" w:tblpXSpec="center" w:tblpY="57"/>
        <w:tblW w:w="3089" w:type="dxa"/>
        <w:tblCellMar>
          <w:left w:w="70" w:type="dxa"/>
          <w:right w:w="70" w:type="dxa"/>
        </w:tblCellMar>
        <w:tblLook w:val="04A0" w:firstRow="1" w:lastRow="0" w:firstColumn="1" w:lastColumn="0" w:noHBand="0" w:noVBand="1"/>
      </w:tblPr>
      <w:tblGrid>
        <w:gridCol w:w="1649"/>
        <w:gridCol w:w="1440"/>
      </w:tblGrid>
      <w:tr w:rsidR="002C3F0B" w:rsidRPr="00A07F4E" w14:paraId="6710F4DA" w14:textId="77777777" w:rsidTr="002C3F0B">
        <w:trPr>
          <w:trHeight w:val="300"/>
        </w:trPr>
        <w:tc>
          <w:tcPr>
            <w:tcW w:w="1649" w:type="dxa"/>
            <w:tcBorders>
              <w:top w:val="nil"/>
              <w:left w:val="nil"/>
              <w:bottom w:val="nil"/>
              <w:right w:val="nil"/>
            </w:tcBorders>
            <w:shd w:val="clear" w:color="auto" w:fill="auto"/>
            <w:noWrap/>
            <w:vAlign w:val="center"/>
            <w:hideMark/>
          </w:tcPr>
          <w:p w14:paraId="0774F63C" w14:textId="77777777" w:rsidR="002C3F0B" w:rsidRPr="00A07F4E" w:rsidRDefault="002C3F0B" w:rsidP="002C3F0B">
            <w:pPr>
              <w:spacing w:after="0" w:line="240" w:lineRule="auto"/>
              <w:jc w:val="center"/>
              <w:rPr>
                <w:rFonts w:eastAsia="Times New Roman" w:cs="Times New Roman"/>
                <w:b/>
                <w:bCs/>
                <w:color w:val="000000"/>
                <w:sz w:val="18"/>
                <w:szCs w:val="18"/>
              </w:rPr>
            </w:pPr>
            <w:r w:rsidRPr="00A07F4E">
              <w:rPr>
                <w:rFonts w:eastAsia="Times New Roman" w:cs="Times New Roman"/>
                <w:b/>
                <w:bCs/>
                <w:color w:val="000000"/>
                <w:sz w:val="18"/>
                <w:szCs w:val="18"/>
              </w:rPr>
              <w:t>Maradványkockázat</w:t>
            </w:r>
          </w:p>
        </w:tc>
        <w:tc>
          <w:tcPr>
            <w:tcW w:w="1440" w:type="dxa"/>
            <w:tcBorders>
              <w:top w:val="single" w:sz="4" w:space="0" w:color="auto"/>
              <w:left w:val="single" w:sz="4" w:space="0" w:color="auto"/>
              <w:bottom w:val="single" w:sz="4" w:space="0" w:color="auto"/>
              <w:right w:val="single" w:sz="4" w:space="0" w:color="auto"/>
            </w:tcBorders>
            <w:shd w:val="clear" w:color="000000" w:fill="FF603B"/>
            <w:noWrap/>
            <w:vAlign w:val="center"/>
            <w:hideMark/>
          </w:tcPr>
          <w:p w14:paraId="2D170469" w14:textId="77777777" w:rsidR="002C3F0B" w:rsidRPr="00A07F4E" w:rsidRDefault="002C3F0B" w:rsidP="002C3F0B">
            <w:pPr>
              <w:spacing w:after="0" w:line="240" w:lineRule="auto"/>
              <w:jc w:val="center"/>
              <w:rPr>
                <w:rFonts w:eastAsia="Times New Roman" w:cs="Times New Roman"/>
                <w:sz w:val="18"/>
                <w:szCs w:val="18"/>
              </w:rPr>
            </w:pPr>
            <w:r w:rsidRPr="00A07F4E">
              <w:rPr>
                <w:rFonts w:eastAsia="Times New Roman" w:cs="Times New Roman"/>
                <w:sz w:val="18"/>
                <w:szCs w:val="18"/>
              </w:rPr>
              <w:t>Nagyon jelentős</w:t>
            </w:r>
          </w:p>
        </w:tc>
      </w:tr>
    </w:tbl>
    <w:p w14:paraId="108E3EB1" w14:textId="77777777" w:rsidR="00865ED2" w:rsidRPr="00A07F4E" w:rsidRDefault="00865ED2" w:rsidP="008347D1"/>
    <w:p w14:paraId="11F2F458" w14:textId="5FE9BB6A" w:rsidR="001873B4" w:rsidRPr="00A07F4E" w:rsidRDefault="001873B4" w:rsidP="008324F3">
      <w:pPr>
        <w:pStyle w:val="Cmsor2"/>
      </w:pPr>
      <w:bookmarkStart w:id="35" w:name="_Toc109906014"/>
      <w:r w:rsidRPr="00A07F4E">
        <w:t>Pénzforgalmi intézményi szektor</w:t>
      </w:r>
      <w:r w:rsidR="00C05E03">
        <w:rPr>
          <w:rStyle w:val="Lbjegyzet-hivatkozs"/>
        </w:rPr>
        <w:footnoteReference w:id="4"/>
      </w:r>
      <w:bookmarkEnd w:id="35"/>
    </w:p>
    <w:p w14:paraId="30949B60" w14:textId="77777777" w:rsidR="001873B4" w:rsidRPr="00A07F4E" w:rsidRDefault="001873B4" w:rsidP="00A07F4E">
      <w:pPr>
        <w:pStyle w:val="Cmsor3"/>
        <w:numPr>
          <w:ilvl w:val="0"/>
          <w:numId w:val="92"/>
        </w:numPr>
      </w:pPr>
      <w:bookmarkStart w:id="36" w:name="_Toc109906015"/>
      <w:r w:rsidRPr="00A07F4E">
        <w:t>A szektor méretére, tevékenységi körére és összetettségére vonatkozó információk összesített formában</w:t>
      </w:r>
      <w:bookmarkEnd w:id="36"/>
    </w:p>
    <w:p w14:paraId="50198FAF" w14:textId="0F140F67" w:rsidR="001873B4" w:rsidRDefault="001873B4" w:rsidP="001873B4">
      <w:r w:rsidRPr="00A07F4E">
        <w:t>Magyarországon tevékenységet folytató pénzforgalmi intézmények száma</w:t>
      </w:r>
      <w:r w:rsidR="00992153" w:rsidRPr="00A07F4E">
        <w:t xml:space="preserve"> </w:t>
      </w:r>
      <w:r w:rsidR="008704FD" w:rsidRPr="00FC37B3">
        <w:t>1</w:t>
      </w:r>
      <w:r w:rsidR="00467360">
        <w:t>5</w:t>
      </w:r>
      <w:r w:rsidR="00506BD2" w:rsidRPr="00FC37B3">
        <w:t xml:space="preserve">-20 közötti </w:t>
      </w:r>
      <w:r w:rsidR="001B7C24" w:rsidRPr="00FC37B3">
        <w:t>a szektorban</w:t>
      </w:r>
      <w:r w:rsidR="008A34DF" w:rsidRPr="00FC37B3">
        <w:t>,</w:t>
      </w:r>
      <w:r w:rsidR="008A34DF" w:rsidRPr="00467360">
        <w:t xml:space="preserve"> ebből</w:t>
      </w:r>
      <w:r w:rsidR="008A34DF" w:rsidRPr="00A07F4E">
        <w:t xml:space="preserve"> fióktelepi formában működő pénzforgalmi intézmények száma</w:t>
      </w:r>
      <w:r w:rsidR="001B7C24" w:rsidRPr="00A07F4E">
        <w:t xml:space="preserve"> </w:t>
      </w:r>
      <w:r w:rsidR="008704FD" w:rsidRPr="00FC37B3">
        <w:t>3</w:t>
      </w:r>
      <w:r w:rsidR="00506BD2" w:rsidRPr="00FC37B3">
        <w:t xml:space="preserve"> és 5 közötti</w:t>
      </w:r>
      <w:r w:rsidR="001B7C24" w:rsidRPr="00FC37B3">
        <w:t>.</w:t>
      </w:r>
      <w:r w:rsidRPr="00A07F4E">
        <w:t xml:space="preserve"> </w:t>
      </w:r>
      <w:r w:rsidR="008A34DF" w:rsidRPr="00A07F4E">
        <w:t xml:space="preserve">Tevékenységi </w:t>
      </w:r>
      <w:r w:rsidR="001B7C24" w:rsidRPr="00A07F4E">
        <w:t xml:space="preserve">köröket </w:t>
      </w:r>
      <w:r w:rsidR="008A34DF" w:rsidRPr="00A07F4E">
        <w:t>tekintve</w:t>
      </w:r>
      <w:r w:rsidR="000A1827" w:rsidRPr="00A07F4E">
        <w:t xml:space="preserve"> a</w:t>
      </w:r>
      <w:r w:rsidR="00A37D9D">
        <w:t xml:space="preserve"> szolgáltatók </w:t>
      </w:r>
      <w:r w:rsidR="008A34DF" w:rsidRPr="00A07F4E">
        <w:t>pénzforgalmi szolgáltatásokkal, fizetési számlá</w:t>
      </w:r>
      <w:r w:rsidR="00077C4E" w:rsidRPr="00A07F4E">
        <w:t>kk</w:t>
      </w:r>
      <w:r w:rsidR="008A34DF" w:rsidRPr="00A07F4E">
        <w:t xml:space="preserve">al kapcsolatos tevékenységet látnak el. </w:t>
      </w:r>
    </w:p>
    <w:p w14:paraId="3B77E161" w14:textId="0CF81AA2" w:rsidR="008704FD" w:rsidRDefault="008704FD" w:rsidP="008324F3">
      <w:pPr>
        <w:spacing w:before="120" w:after="120"/>
      </w:pPr>
      <w:r>
        <w:t>A hazánkban engedélyezett pénzforgalmi intézmények tevékenységi körét tekintve lényegében négy csoportra oszthatóak:</w:t>
      </w:r>
    </w:p>
    <w:p w14:paraId="010E13F2" w14:textId="2E911ED7" w:rsidR="008704FD" w:rsidRDefault="008704FD" w:rsidP="008324F3">
      <w:pPr>
        <w:pStyle w:val="Listaszerbekezds"/>
        <w:numPr>
          <w:ilvl w:val="0"/>
          <w:numId w:val="236"/>
        </w:numPr>
        <w:spacing w:before="60" w:after="60" w:line="240" w:lineRule="auto"/>
      </w:pPr>
      <w:r>
        <w:t>fizetési számlát vezető és a kapcsolódó szolgáltatásokat végző pénzforgalmi intézmény;</w:t>
      </w:r>
    </w:p>
    <w:p w14:paraId="141FDCE5" w14:textId="0F9F95D2" w:rsidR="008704FD" w:rsidRDefault="008704FD" w:rsidP="008324F3">
      <w:pPr>
        <w:pStyle w:val="Listaszerbekezds"/>
        <w:numPr>
          <w:ilvl w:val="0"/>
          <w:numId w:val="236"/>
        </w:numPr>
        <w:spacing w:before="60" w:after="60" w:line="240" w:lineRule="auto"/>
      </w:pPr>
      <w:r>
        <w:t>elfogadási tevékenységet végző szolgáltatók (bankkártyaelfogadás, POS-telepítés);</w:t>
      </w:r>
    </w:p>
    <w:p w14:paraId="2569F697" w14:textId="0F8DB4E2" w:rsidR="008704FD" w:rsidRDefault="008704FD" w:rsidP="008324F3">
      <w:pPr>
        <w:pStyle w:val="Listaszerbekezds"/>
        <w:numPr>
          <w:ilvl w:val="0"/>
          <w:numId w:val="236"/>
        </w:numPr>
        <w:spacing w:before="60" w:after="60" w:line="240" w:lineRule="auto"/>
      </w:pPr>
      <w:r>
        <w:t xml:space="preserve">az új típusú innovatív pénzforgalmi szolgáltatásokat nyújtó </w:t>
      </w:r>
      <w:r w:rsidR="002342A8" w:rsidRPr="002342A8">
        <w:t>számlainformáció</w:t>
      </w:r>
      <w:r w:rsidR="00EB39F2">
        <w:t xml:space="preserve">s </w:t>
      </w:r>
      <w:r w:rsidR="0057023C" w:rsidRPr="0057023C">
        <w:t>szolgáltat</w:t>
      </w:r>
      <w:r w:rsidR="0057023C">
        <w:t>ók (</w:t>
      </w:r>
      <w:proofErr w:type="spellStart"/>
      <w:r>
        <w:t>AISP</w:t>
      </w:r>
      <w:proofErr w:type="spellEnd"/>
      <w:r w:rsidR="0057023C">
        <w:t>-ok)</w:t>
      </w:r>
      <w:r>
        <w:t xml:space="preserve"> és </w:t>
      </w:r>
      <w:r w:rsidR="0057023C" w:rsidRPr="0057023C">
        <w:t>fizetés-kezdeményezési szolgáltat</w:t>
      </w:r>
      <w:r w:rsidR="0057023C">
        <w:t>ók (</w:t>
      </w:r>
      <w:proofErr w:type="spellStart"/>
      <w:r>
        <w:t>PISP</w:t>
      </w:r>
      <w:proofErr w:type="spellEnd"/>
      <w:r>
        <w:t>-ek</w:t>
      </w:r>
      <w:r w:rsidR="0057023C">
        <w:t>)</w:t>
      </w:r>
      <w:r>
        <w:t>;</w:t>
      </w:r>
    </w:p>
    <w:p w14:paraId="2DFA5869" w14:textId="45DD98B8" w:rsidR="008704FD" w:rsidRDefault="008704FD" w:rsidP="008324F3">
      <w:pPr>
        <w:pStyle w:val="Listaszerbekezds"/>
        <w:numPr>
          <w:ilvl w:val="0"/>
          <w:numId w:val="236"/>
        </w:numPr>
        <w:spacing w:before="60" w:after="60" w:line="240" w:lineRule="auto"/>
      </w:pPr>
      <w:r>
        <w:t>pénzforgalmi szolgáltatások végzése</w:t>
      </w:r>
      <w:r w:rsidR="004D51C1">
        <w:t>,</w:t>
      </w:r>
      <w:r>
        <w:t xml:space="preserve"> kizárólag SZÉP kártyára korlátozva.</w:t>
      </w:r>
    </w:p>
    <w:p w14:paraId="49DB2850" w14:textId="784363FD" w:rsidR="00741494" w:rsidRPr="00A07F4E" w:rsidRDefault="00741494" w:rsidP="008324F3">
      <w:pPr>
        <w:spacing w:before="120" w:after="120"/>
      </w:pPr>
      <w:r w:rsidRPr="00741494">
        <w:lastRenderedPageBreak/>
        <w:t xml:space="preserve">A </w:t>
      </w:r>
      <w:r>
        <w:t>fent megjelölt szolgáltatók közül azok</w:t>
      </w:r>
      <w:r w:rsidR="004D51C1">
        <w:t xml:space="preserve"> kapcsán</w:t>
      </w:r>
      <w:r w:rsidRPr="00741494">
        <w:t>, amelyek kizárólag munkavállalói béren kívüli juttatásokkal kapcsolatban (SZÉP kártya) nyújtanak pénzforgalmi szolgáltatásokat</w:t>
      </w:r>
      <w:r w:rsidR="004D51C1">
        <w:t>,</w:t>
      </w:r>
      <w:r w:rsidRPr="00741494">
        <w:t xml:space="preserve"> </w:t>
      </w:r>
      <w:r w:rsidR="00FE7E03">
        <w:t xml:space="preserve">jelenleg </w:t>
      </w:r>
      <w:r w:rsidRPr="00741494">
        <w:t>nem i</w:t>
      </w:r>
      <w:r w:rsidR="004D51C1">
        <w:t>smertek</w:t>
      </w:r>
      <w:r w:rsidRPr="00741494">
        <w:t xml:space="preserve"> ML/</w:t>
      </w:r>
      <w:proofErr w:type="spellStart"/>
      <w:r w:rsidRPr="00741494">
        <w:t>TF</w:t>
      </w:r>
      <w:proofErr w:type="spellEnd"/>
      <w:r w:rsidRPr="00741494">
        <w:t xml:space="preserve"> kockázatok</w:t>
      </w:r>
      <w:r>
        <w:t>, amelyre tekintettel e</w:t>
      </w:r>
      <w:r w:rsidRPr="00741494">
        <w:t xml:space="preserve">zen szolgáltatókat a jogalkotó kivette a </w:t>
      </w:r>
      <w:proofErr w:type="spellStart"/>
      <w:r w:rsidRPr="00741494">
        <w:t>Pmt</w:t>
      </w:r>
      <w:proofErr w:type="spellEnd"/>
      <w:r w:rsidRPr="00741494">
        <w:t>. hatálya alól.</w:t>
      </w:r>
      <w:r>
        <w:rPr>
          <w:rStyle w:val="Lbjegyzet-hivatkozs"/>
        </w:rPr>
        <w:footnoteReference w:id="5"/>
      </w:r>
    </w:p>
    <w:p w14:paraId="7FAA164B" w14:textId="15D8C0DF" w:rsidR="00504A60" w:rsidRPr="00A07F4E" w:rsidRDefault="00504A60" w:rsidP="00504A60">
      <w:pPr>
        <w:spacing w:before="120" w:after="120"/>
        <w:rPr>
          <w:rFonts w:cs="Times New Roman"/>
        </w:rPr>
      </w:pPr>
      <w:r w:rsidRPr="00A07F4E">
        <w:rPr>
          <w:rFonts w:cs="Times New Roman"/>
        </w:rPr>
        <w:t xml:space="preserve">A pénzforgalmi </w:t>
      </w:r>
      <w:r w:rsidR="00AE3A9D">
        <w:rPr>
          <w:rFonts w:cs="Times New Roman"/>
        </w:rPr>
        <w:t xml:space="preserve">intézményi </w:t>
      </w:r>
      <w:r w:rsidRPr="00A07F4E">
        <w:rPr>
          <w:rFonts w:cs="Times New Roman"/>
        </w:rPr>
        <w:t xml:space="preserve">szektoron belül </w:t>
      </w:r>
      <w:r w:rsidR="0029295E">
        <w:rPr>
          <w:rFonts w:cs="Times New Roman"/>
        </w:rPr>
        <w:t xml:space="preserve">jelennek meg </w:t>
      </w:r>
      <w:r w:rsidR="00DA131E">
        <w:rPr>
          <w:rFonts w:cs="Times New Roman"/>
        </w:rPr>
        <w:t xml:space="preserve">az </w:t>
      </w:r>
      <w:proofErr w:type="spellStart"/>
      <w:r w:rsidR="00DA131E">
        <w:rPr>
          <w:rFonts w:cs="Times New Roman"/>
        </w:rPr>
        <w:t>MVTS</w:t>
      </w:r>
      <w:proofErr w:type="spellEnd"/>
      <w:r w:rsidR="0029295E">
        <w:rPr>
          <w:rFonts w:cs="Times New Roman"/>
        </w:rPr>
        <w:t xml:space="preserve"> szolgáltatók</w:t>
      </w:r>
      <w:r w:rsidR="000C7CA3" w:rsidRPr="00DA131E">
        <w:rPr>
          <w:rFonts w:cs="Times New Roman"/>
        </w:rPr>
        <w:t>,</w:t>
      </w:r>
      <w:r w:rsidR="000C7CA3" w:rsidRPr="00A07F4E">
        <w:rPr>
          <w:rFonts w:cs="Times New Roman"/>
        </w:rPr>
        <w:t xml:space="preserve"> </w:t>
      </w:r>
      <w:r w:rsidR="000C7CA3" w:rsidRPr="009F3A30">
        <w:t>mint</w:t>
      </w:r>
      <w:r w:rsidR="000C7CA3" w:rsidRPr="00A07F4E">
        <w:rPr>
          <w:rFonts w:cs="Times New Roman"/>
        </w:rPr>
        <w:t xml:space="preserve"> </w:t>
      </w:r>
      <w:r w:rsidR="000C7CA3" w:rsidRPr="009F3A30">
        <w:t>Magyarországon jelen lévő pénzforgalmi közvetítők</w:t>
      </w:r>
      <w:r w:rsidR="0029295E">
        <w:t xml:space="preserve">, akik </w:t>
      </w:r>
      <w:r w:rsidR="00F92164">
        <w:t xml:space="preserve">általánosságban </w:t>
      </w:r>
      <w:r w:rsidR="0029295E">
        <w:t xml:space="preserve">külföldön bejegyzett </w:t>
      </w:r>
      <w:r w:rsidR="00AE3A9D">
        <w:t>szolgáltatók</w:t>
      </w:r>
      <w:r w:rsidR="0029295E">
        <w:t xml:space="preserve"> megbízásából végzik tevékenységüket</w:t>
      </w:r>
      <w:r w:rsidRPr="00A07F4E">
        <w:rPr>
          <w:rFonts w:cs="Times New Roman"/>
        </w:rPr>
        <w:t xml:space="preserve">. </w:t>
      </w:r>
      <w:r w:rsidR="00252B87">
        <w:rPr>
          <w:rFonts w:cs="Times New Roman"/>
        </w:rPr>
        <w:t xml:space="preserve">Ezen esetekben </w:t>
      </w:r>
      <w:r w:rsidRPr="00A07F4E">
        <w:rPr>
          <w:rFonts w:cs="Times New Roman"/>
        </w:rPr>
        <w:t xml:space="preserve">a küldő fél pénzt ad a szolgáltató </w:t>
      </w:r>
      <w:r w:rsidR="00AE3A9D">
        <w:rPr>
          <w:rFonts w:cs="Times New Roman"/>
        </w:rPr>
        <w:t>közvetítője</w:t>
      </w:r>
      <w:r w:rsidR="00AE3A9D" w:rsidRPr="00A07F4E">
        <w:rPr>
          <w:rFonts w:cs="Times New Roman"/>
        </w:rPr>
        <w:t xml:space="preserve"> </w:t>
      </w:r>
      <w:r w:rsidRPr="00A07F4E">
        <w:rPr>
          <w:rFonts w:cs="Times New Roman"/>
        </w:rPr>
        <w:t xml:space="preserve">számára, hogy azt egy másik </w:t>
      </w:r>
      <w:r w:rsidR="008F5FF1">
        <w:rPr>
          <w:rFonts w:cs="Times New Roman"/>
        </w:rPr>
        <w:t>közvetítője</w:t>
      </w:r>
      <w:r w:rsidR="008F5FF1" w:rsidRPr="00A07F4E">
        <w:rPr>
          <w:rFonts w:cs="Times New Roman"/>
        </w:rPr>
        <w:t xml:space="preserve"> </w:t>
      </w:r>
      <w:r w:rsidRPr="00A07F4E">
        <w:rPr>
          <w:rFonts w:cs="Times New Roman"/>
        </w:rPr>
        <w:t xml:space="preserve">útján </w:t>
      </w:r>
      <w:r w:rsidR="008F5FF1">
        <w:rPr>
          <w:rFonts w:cs="Times New Roman"/>
        </w:rPr>
        <w:t xml:space="preserve">elküldje </w:t>
      </w:r>
      <w:r w:rsidRPr="00A07F4E">
        <w:rPr>
          <w:rFonts w:cs="Times New Roman"/>
        </w:rPr>
        <w:t>a kedvezményezett részére.</w:t>
      </w:r>
    </w:p>
    <w:p w14:paraId="3B2646C3" w14:textId="3A572FDE" w:rsidR="006620B9" w:rsidRDefault="00F92164" w:rsidP="00504A60">
      <w:pPr>
        <w:spacing w:before="120" w:after="120"/>
      </w:pPr>
      <w:r>
        <w:t xml:space="preserve">A szektoron belül </w:t>
      </w:r>
      <w:r w:rsidR="006620B9" w:rsidRPr="009F3A30">
        <w:t>alszektort képez</w:t>
      </w:r>
      <w:r w:rsidR="00790D04">
        <w:t xml:space="preserve"> a </w:t>
      </w:r>
      <w:r w:rsidR="00790D04">
        <w:rPr>
          <w:rFonts w:cs="Times New Roman"/>
        </w:rPr>
        <w:t>f</w:t>
      </w:r>
      <w:r w:rsidR="00790D04" w:rsidRPr="00EB6441">
        <w:rPr>
          <w:rFonts w:cs="Times New Roman"/>
        </w:rPr>
        <w:t>izetési számla vezetés tevékenységet nem végző pénzforgalmi intézmény</w:t>
      </w:r>
      <w:r w:rsidR="00790D04">
        <w:rPr>
          <w:rFonts w:cs="Times New Roman"/>
        </w:rPr>
        <w:t xml:space="preserve">i alszektor, amelyen belül két </w:t>
      </w:r>
      <w:proofErr w:type="spellStart"/>
      <w:r w:rsidR="00790D04">
        <w:rPr>
          <w:rFonts w:cs="Times New Roman"/>
        </w:rPr>
        <w:t>al</w:t>
      </w:r>
      <w:proofErr w:type="spellEnd"/>
      <w:r w:rsidR="00790D04">
        <w:rPr>
          <w:rFonts w:cs="Times New Roman"/>
        </w:rPr>
        <w:t>-alszektor található:</w:t>
      </w:r>
      <w:r w:rsidR="006620B9" w:rsidRPr="009F3A30">
        <w:t xml:space="preserve"> a </w:t>
      </w:r>
      <w:r w:rsidR="00076544" w:rsidRPr="0057023C">
        <w:t>fizetés-kezdeményezési szolgáltat</w:t>
      </w:r>
      <w:r w:rsidR="00076544">
        <w:t xml:space="preserve">ásokkal </w:t>
      </w:r>
      <w:r w:rsidR="006620B9" w:rsidRPr="009F3A30">
        <w:t>(</w:t>
      </w:r>
      <w:proofErr w:type="spellStart"/>
      <w:r w:rsidR="006620B9" w:rsidRPr="009F3A30">
        <w:t>PISP</w:t>
      </w:r>
      <w:proofErr w:type="spellEnd"/>
      <w:r w:rsidR="006620B9" w:rsidRPr="009F3A30">
        <w:t xml:space="preserve">) foglalkozó </w:t>
      </w:r>
      <w:r w:rsidR="0099487C" w:rsidRPr="009F3A30">
        <w:t xml:space="preserve">pénzforgalmi </w:t>
      </w:r>
      <w:r w:rsidR="006620B9" w:rsidRPr="009F3A30">
        <w:t>intézmények</w:t>
      </w:r>
      <w:r w:rsidR="00B6679D" w:rsidRPr="009F3A30">
        <w:t>, valamint</w:t>
      </w:r>
      <w:r w:rsidR="006620B9" w:rsidRPr="009F3A30">
        <w:t xml:space="preserve"> a </w:t>
      </w:r>
      <w:r w:rsidR="00076544">
        <w:t>számlainformációs</w:t>
      </w:r>
      <w:r w:rsidR="006620B9" w:rsidRPr="009F3A30">
        <w:t xml:space="preserve"> szolgáltatásokkal</w:t>
      </w:r>
      <w:r w:rsidR="00601BB6" w:rsidRPr="009F3A30">
        <w:t xml:space="preserve"> (</w:t>
      </w:r>
      <w:proofErr w:type="spellStart"/>
      <w:r w:rsidR="00601BB6" w:rsidRPr="009F3A30">
        <w:t>AISP</w:t>
      </w:r>
      <w:proofErr w:type="spellEnd"/>
      <w:r w:rsidR="00601BB6" w:rsidRPr="009F3A30">
        <w:t>)</w:t>
      </w:r>
      <w:r w:rsidR="006620B9" w:rsidRPr="009F3A30">
        <w:t xml:space="preserve"> foglalkozó </w:t>
      </w:r>
      <w:r w:rsidR="0099487C" w:rsidRPr="009F3A30">
        <w:t>pénzforgalmi intézmények.</w:t>
      </w:r>
      <w:r w:rsidR="0099487C" w:rsidRPr="00A07F4E">
        <w:t xml:space="preserve"> </w:t>
      </w:r>
    </w:p>
    <w:p w14:paraId="5063AF5F" w14:textId="77777777" w:rsidR="00ED3868" w:rsidRPr="00A07F4E" w:rsidRDefault="00ED3868" w:rsidP="00A07F4E">
      <w:pPr>
        <w:pStyle w:val="Cmsor3"/>
        <w:numPr>
          <w:ilvl w:val="0"/>
          <w:numId w:val="92"/>
        </w:numPr>
      </w:pPr>
      <w:bookmarkStart w:id="37" w:name="_Toc106108242"/>
      <w:bookmarkStart w:id="38" w:name="_Toc106108355"/>
      <w:bookmarkStart w:id="39" w:name="_Toc106120836"/>
      <w:bookmarkStart w:id="40" w:name="_Toc106183443"/>
      <w:bookmarkStart w:id="41" w:name="_Toc106192393"/>
      <w:bookmarkStart w:id="42" w:name="_Toc106197989"/>
      <w:bookmarkStart w:id="43" w:name="_Toc106198635"/>
      <w:bookmarkStart w:id="44" w:name="_Toc106201829"/>
      <w:bookmarkStart w:id="45" w:name="_Toc106869538"/>
      <w:bookmarkStart w:id="46" w:name="_Toc107236403"/>
      <w:bookmarkStart w:id="47" w:name="_Toc107237311"/>
      <w:bookmarkStart w:id="48" w:name="_Toc107237636"/>
      <w:bookmarkStart w:id="49" w:name="_Toc109906016"/>
      <w:bookmarkEnd w:id="37"/>
      <w:bookmarkEnd w:id="38"/>
      <w:bookmarkEnd w:id="39"/>
      <w:bookmarkEnd w:id="40"/>
      <w:bookmarkEnd w:id="41"/>
      <w:bookmarkEnd w:id="42"/>
      <w:bookmarkEnd w:id="43"/>
      <w:bookmarkEnd w:id="44"/>
      <w:bookmarkEnd w:id="45"/>
      <w:bookmarkEnd w:id="46"/>
      <w:bookmarkEnd w:id="47"/>
      <w:bookmarkEnd w:id="48"/>
      <w:r w:rsidRPr="00A07F4E">
        <w:t>Inherens kockázatértékelés</w:t>
      </w:r>
      <w:bookmarkEnd w:id="49"/>
    </w:p>
    <w:p w14:paraId="0EB75F40" w14:textId="04693A7F" w:rsidR="002E3995" w:rsidRDefault="002E3995" w:rsidP="00A07F4E">
      <w:pPr>
        <w:pStyle w:val="Listaszerbekezds"/>
        <w:numPr>
          <w:ilvl w:val="1"/>
          <w:numId w:val="11"/>
        </w:numPr>
        <w:ind w:left="851" w:hanging="284"/>
      </w:pPr>
      <w:r w:rsidRPr="00A07F4E">
        <w:t xml:space="preserve">A </w:t>
      </w:r>
      <w:r w:rsidR="00AA2F22" w:rsidRPr="00A07F4E">
        <w:t xml:space="preserve">pénzforgalmi intézményi </w:t>
      </w:r>
      <w:r w:rsidRPr="00A07F4E">
        <w:t>szektorban rejlő ML/</w:t>
      </w:r>
      <w:proofErr w:type="spellStart"/>
      <w:r w:rsidRPr="00A07F4E">
        <w:t>TF</w:t>
      </w:r>
      <w:proofErr w:type="spellEnd"/>
      <w:r w:rsidRPr="00A07F4E">
        <w:t xml:space="preserve"> kockázati tényezők</w:t>
      </w:r>
    </w:p>
    <w:p w14:paraId="147BC573" w14:textId="1ABE0D21" w:rsidR="006C29FD" w:rsidRDefault="004B5834" w:rsidP="00767C29">
      <w:r w:rsidRPr="005679B6">
        <w:t xml:space="preserve">Az MNB a termékek/szolgáltatások </w:t>
      </w:r>
      <w:r>
        <w:t xml:space="preserve">és az értékesítési csatorna kockázatát Jelentősnek, </w:t>
      </w:r>
      <w:r w:rsidRPr="005679B6">
        <w:t xml:space="preserve">az ügyfelek kockázatát </w:t>
      </w:r>
      <w:r>
        <w:t xml:space="preserve">és a földrajzi kockázatokat </w:t>
      </w:r>
      <w:r w:rsidRPr="005679B6">
        <w:t>Mérsékelten jelentősnek értékelte.</w:t>
      </w:r>
      <w:r>
        <w:t xml:space="preserve"> </w:t>
      </w:r>
      <w:r w:rsidRPr="006C29FD">
        <w:t>Az ágazat értékelésénél figyelembevételre került a szolgáltatók csekély száma, illetve az is, hogy határon átnyúló tevékenység végzése a szektorra kevésbé jellemző.</w:t>
      </w:r>
      <w:r w:rsidRPr="00A07F4E">
        <w:t xml:space="preserve"> </w:t>
      </w:r>
    </w:p>
    <w:p w14:paraId="080A588C" w14:textId="77777777" w:rsidR="00FC37B3" w:rsidRPr="005679B6" w:rsidRDefault="00FC37B3" w:rsidP="00767C29"/>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252B87" w:rsidRPr="005679B6" w14:paraId="22F4D607" w14:textId="77777777" w:rsidTr="00300DCA">
        <w:tc>
          <w:tcPr>
            <w:tcW w:w="3061" w:type="dxa"/>
          </w:tcPr>
          <w:p w14:paraId="4BC50E80" w14:textId="77777777" w:rsidR="00252B87" w:rsidRPr="005679B6" w:rsidRDefault="00252B87" w:rsidP="00300DCA">
            <w:pPr>
              <w:jc w:val="center"/>
              <w:rPr>
                <w:b/>
                <w:bCs/>
              </w:rPr>
            </w:pPr>
            <w:r w:rsidRPr="005679B6">
              <w:rPr>
                <w:b/>
                <w:bCs/>
              </w:rPr>
              <w:t>Kockázat megnevezése</w:t>
            </w:r>
          </w:p>
        </w:tc>
        <w:tc>
          <w:tcPr>
            <w:tcW w:w="3035" w:type="dxa"/>
          </w:tcPr>
          <w:p w14:paraId="61CA24DB" w14:textId="77777777" w:rsidR="00252B87" w:rsidRPr="005679B6" w:rsidRDefault="00252B87" w:rsidP="00300DCA">
            <w:pPr>
              <w:jc w:val="center"/>
              <w:rPr>
                <w:b/>
                <w:bCs/>
              </w:rPr>
            </w:pPr>
            <w:r w:rsidRPr="005679B6">
              <w:rPr>
                <w:b/>
                <w:bCs/>
              </w:rPr>
              <w:t>Kockázati érték</w:t>
            </w:r>
          </w:p>
        </w:tc>
      </w:tr>
      <w:tr w:rsidR="00252B87" w:rsidRPr="005679B6" w14:paraId="279545D4" w14:textId="77777777" w:rsidTr="00FC37B3">
        <w:tc>
          <w:tcPr>
            <w:tcW w:w="3061" w:type="dxa"/>
          </w:tcPr>
          <w:p w14:paraId="25C396AC" w14:textId="08FF3707" w:rsidR="00252B87" w:rsidRPr="005679B6" w:rsidRDefault="00252B87" w:rsidP="008324F3">
            <w:pPr>
              <w:jc w:val="center"/>
            </w:pPr>
            <w:r w:rsidRPr="005679B6">
              <w:t>Termék</w:t>
            </w:r>
            <w:r w:rsidR="00F451F5" w:rsidRPr="005679B6">
              <w:t>ek</w:t>
            </w:r>
            <w:r w:rsidRPr="005679B6">
              <w:t>/szolgáltatás</w:t>
            </w:r>
            <w:r w:rsidR="00F451F5" w:rsidRPr="005679B6">
              <w:t>ok</w:t>
            </w:r>
          </w:p>
        </w:tc>
        <w:tc>
          <w:tcPr>
            <w:tcW w:w="3035" w:type="dxa"/>
            <w:shd w:val="clear" w:color="auto" w:fill="FFC000"/>
          </w:tcPr>
          <w:p w14:paraId="5B780CF0" w14:textId="45C5B104" w:rsidR="00252B87" w:rsidRPr="005679B6" w:rsidRDefault="004817EF" w:rsidP="008324F3">
            <w:pPr>
              <w:jc w:val="center"/>
            </w:pPr>
            <w:r>
              <w:t>Jelentős</w:t>
            </w:r>
          </w:p>
        </w:tc>
      </w:tr>
      <w:tr w:rsidR="00252B87" w:rsidRPr="005679B6" w14:paraId="5BB547DA" w14:textId="77777777" w:rsidTr="008324F3">
        <w:tc>
          <w:tcPr>
            <w:tcW w:w="3061" w:type="dxa"/>
          </w:tcPr>
          <w:p w14:paraId="24A4AC69" w14:textId="1AA8EB3F" w:rsidR="00252B87" w:rsidRPr="005679B6" w:rsidRDefault="00252B87" w:rsidP="008324F3">
            <w:pPr>
              <w:jc w:val="center"/>
            </w:pPr>
            <w:r w:rsidRPr="005679B6">
              <w:t>Ügyfelek</w:t>
            </w:r>
          </w:p>
        </w:tc>
        <w:tc>
          <w:tcPr>
            <w:tcW w:w="3035" w:type="dxa"/>
            <w:shd w:val="clear" w:color="auto" w:fill="FFFF00"/>
          </w:tcPr>
          <w:p w14:paraId="5C76FC2E" w14:textId="0BC659A9" w:rsidR="00252B87" w:rsidRPr="005679B6" w:rsidRDefault="0086019F" w:rsidP="008324F3">
            <w:pPr>
              <w:jc w:val="center"/>
            </w:pPr>
            <w:r w:rsidRPr="005679B6">
              <w:t>Mérsékelten jelentős</w:t>
            </w:r>
          </w:p>
        </w:tc>
      </w:tr>
      <w:tr w:rsidR="00252B87" w:rsidRPr="005679B6" w14:paraId="5A71910E" w14:textId="77777777" w:rsidTr="008324F3">
        <w:tc>
          <w:tcPr>
            <w:tcW w:w="3061" w:type="dxa"/>
          </w:tcPr>
          <w:p w14:paraId="5492598D" w14:textId="411A06E0" w:rsidR="00252B87" w:rsidRPr="005679B6" w:rsidRDefault="00252B87" w:rsidP="008324F3">
            <w:pPr>
              <w:jc w:val="center"/>
            </w:pPr>
            <w:r w:rsidRPr="005679B6">
              <w:t>Földrajzi</w:t>
            </w:r>
          </w:p>
        </w:tc>
        <w:tc>
          <w:tcPr>
            <w:tcW w:w="3035" w:type="dxa"/>
            <w:shd w:val="clear" w:color="auto" w:fill="92D050"/>
          </w:tcPr>
          <w:p w14:paraId="0D824A85" w14:textId="7820A831" w:rsidR="00252B87" w:rsidRPr="005679B6" w:rsidRDefault="006C29FD" w:rsidP="008324F3">
            <w:pPr>
              <w:jc w:val="center"/>
            </w:pPr>
            <w:r w:rsidRPr="005679B6">
              <w:t>Kevésbé jelentős</w:t>
            </w:r>
          </w:p>
        </w:tc>
      </w:tr>
      <w:tr w:rsidR="00252B87" w:rsidRPr="005679B6" w14:paraId="356FDA75" w14:textId="77777777" w:rsidTr="00FC37B3">
        <w:tc>
          <w:tcPr>
            <w:tcW w:w="3061" w:type="dxa"/>
          </w:tcPr>
          <w:p w14:paraId="51D69D87" w14:textId="3105224A" w:rsidR="00252B87" w:rsidRPr="005679B6" w:rsidRDefault="00252B87" w:rsidP="008324F3">
            <w:pPr>
              <w:jc w:val="center"/>
            </w:pPr>
            <w:r w:rsidRPr="005679B6">
              <w:t>Értékesítési csatorna</w:t>
            </w:r>
          </w:p>
        </w:tc>
        <w:tc>
          <w:tcPr>
            <w:tcW w:w="3035" w:type="dxa"/>
            <w:shd w:val="clear" w:color="auto" w:fill="FFC000"/>
          </w:tcPr>
          <w:p w14:paraId="31661CE9" w14:textId="4C24CBC1" w:rsidR="00252B87" w:rsidRPr="005679B6" w:rsidRDefault="004817EF" w:rsidP="008324F3">
            <w:pPr>
              <w:jc w:val="center"/>
            </w:pPr>
            <w:r>
              <w:t>Jelentős</w:t>
            </w:r>
          </w:p>
        </w:tc>
      </w:tr>
    </w:tbl>
    <w:p w14:paraId="7597F158" w14:textId="77777777" w:rsidR="00252B87" w:rsidRPr="00A07F4E" w:rsidRDefault="00252B87" w:rsidP="00767C29"/>
    <w:p w14:paraId="37F0CFE3" w14:textId="4783484F" w:rsidR="008F5FF1" w:rsidRDefault="008F5FF1" w:rsidP="00767C29">
      <w:r w:rsidRPr="008F5FF1">
        <w:t xml:space="preserve">A </w:t>
      </w:r>
      <w:r w:rsidR="00ED5436">
        <w:t>s</w:t>
      </w:r>
      <w:r w:rsidRPr="008F5FF1">
        <w:t>zektorban működő szolgáltatók a pénzforgalmi szolgáltatások palettájáról kínálnak olyan termékeket/szolgáltatásokat, amelyeket meghatározott ügyféltípusok számára terveztek. A szolgáltatók különböző értékesítési csatornákat használnak, amelyek különböző típusú és szintű ML/</w:t>
      </w:r>
      <w:proofErr w:type="spellStart"/>
      <w:r w:rsidRPr="008F5FF1">
        <w:t>TF</w:t>
      </w:r>
      <w:proofErr w:type="spellEnd"/>
      <w:r w:rsidRPr="008F5FF1">
        <w:t xml:space="preserve"> kockázatokat eredményezhetnek. A termékek és szolgáltatások vonatkozásában a kockázat ebben a szektorban akkor kiemelkedően magas, ha a pénzforgalmi szolgáltatásokhoz kapcsolódik készpénzművelet is (készpénz befizetés/kifizetés). A magas kockázatú nem rezidens ügyfelek vagy az off-shore társaságok szintén hozzájárulnak a megnövekedett eredendő kockázathoz ebben az ágazatban. A kapcsolódó értékesítési csatorna kockázat, hogy a pénzforgalmi intézmények pénzforgalmi közvetítők igénybevételével nyújthatják szolgáltatásaikat. A hamisított dokumentációval, illetve a strómanok igénybevételével kapcsolatos kockázatok szintén befolyásolják a kockázati kitettség szintjét. Ezen túlmenően a termékekben rejlő kockázatot növelheti az új technológiák igénybevétele és a nem személyes üzleti kapcsolatok jelenléte.</w:t>
      </w:r>
    </w:p>
    <w:p w14:paraId="10269815" w14:textId="08C8B020" w:rsidR="00073427" w:rsidRDefault="00073427" w:rsidP="00767C29">
      <w:r w:rsidRPr="008F5FF1">
        <w:t xml:space="preserve">Az </w:t>
      </w:r>
      <w:proofErr w:type="spellStart"/>
      <w:r w:rsidRPr="008F5FF1">
        <w:t>EBA</w:t>
      </w:r>
      <w:proofErr w:type="spellEnd"/>
      <w:r w:rsidRPr="008F5FF1">
        <w:t xml:space="preserve"> </w:t>
      </w:r>
      <w:proofErr w:type="spellStart"/>
      <w:r w:rsidRPr="008F5FF1">
        <w:t>Opinion</w:t>
      </w:r>
      <w:proofErr w:type="spellEnd"/>
      <w:r w:rsidRPr="008F5FF1">
        <w:t xml:space="preserve"> alapján, egyrészt a termékek és szolgáltatások, másrészt a </w:t>
      </w:r>
      <w:r w:rsidR="00015A43" w:rsidRPr="008F5FF1">
        <w:t>földrajz</w:t>
      </w:r>
      <w:r w:rsidR="00015A43">
        <w:t xml:space="preserve">i kitettség </w:t>
      </w:r>
      <w:r w:rsidRPr="008F5FF1">
        <w:t xml:space="preserve">esetében a </w:t>
      </w:r>
      <w:r w:rsidR="007F167C" w:rsidRPr="008F5FF1">
        <w:t>J</w:t>
      </w:r>
      <w:r w:rsidRPr="008F5FF1">
        <w:t xml:space="preserve">elentős kockázat, illetve a </w:t>
      </w:r>
      <w:r w:rsidR="007F167C" w:rsidRPr="008F5FF1">
        <w:t>N</w:t>
      </w:r>
      <w:r w:rsidRPr="008F5FF1">
        <w:t xml:space="preserve">agyon jelentős kockázat valamivel magasabb arányban szerepelt, amely </w:t>
      </w:r>
      <w:r w:rsidR="00E33BD4" w:rsidRPr="008F5FF1">
        <w:t xml:space="preserve">minősítés </w:t>
      </w:r>
      <w:r w:rsidRPr="008F5FF1">
        <w:t>tükrözi a</w:t>
      </w:r>
      <w:r w:rsidR="007771CF" w:rsidRPr="008F5FF1">
        <w:t xml:space="preserve"> külföldi</w:t>
      </w:r>
      <w:r w:rsidRPr="008F5FF1">
        <w:t xml:space="preserve"> illetékes hatóságok értékelését a szektor inherens kockázatát tekintve.</w:t>
      </w:r>
      <w:r w:rsidRPr="00A07F4E">
        <w:t xml:space="preserve"> </w:t>
      </w:r>
    </w:p>
    <w:p w14:paraId="1B4BC022" w14:textId="7249B50A" w:rsidR="008E049A" w:rsidRPr="00A07F4E" w:rsidRDefault="007771CF" w:rsidP="008E049A">
      <w:r>
        <w:t>További</w:t>
      </w:r>
      <w:r w:rsidR="00073427" w:rsidRPr="00A07F4E">
        <w:t xml:space="preserve"> kockázatok</w:t>
      </w:r>
      <w:r>
        <w:t xml:space="preserve"> is azonosításra kerültek</w:t>
      </w:r>
      <w:r w:rsidR="00073427" w:rsidRPr="00A07F4E">
        <w:t xml:space="preserve"> a szektor vonatkozásában. A</w:t>
      </w:r>
      <w:r w:rsidR="00A37D9D">
        <w:t xml:space="preserve"> </w:t>
      </w:r>
      <w:r>
        <w:t xml:space="preserve">szektorhoz tartozó </w:t>
      </w:r>
      <w:r w:rsidR="00A37D9D">
        <w:t xml:space="preserve">szolgáltatók </w:t>
      </w:r>
      <w:r w:rsidR="00073427" w:rsidRPr="00A07F4E">
        <w:t xml:space="preserve">szabályalapú utasításokat várnak az </w:t>
      </w:r>
      <w:proofErr w:type="spellStart"/>
      <w:r w:rsidR="00073427" w:rsidRPr="00A07F4E">
        <w:t>AML</w:t>
      </w:r>
      <w:proofErr w:type="spellEnd"/>
      <w:r w:rsidR="00073427" w:rsidRPr="00A07F4E">
        <w:t>/</w:t>
      </w:r>
      <w:proofErr w:type="spellStart"/>
      <w:r w:rsidR="00073427" w:rsidRPr="00A07F4E">
        <w:t>CFT</w:t>
      </w:r>
      <w:proofErr w:type="spellEnd"/>
      <w:r w:rsidR="00073427" w:rsidRPr="00A07F4E">
        <w:t xml:space="preserve"> politikák végrehajtásához, a kockázatalapú megközelítés</w:t>
      </w:r>
      <w:r>
        <w:t xml:space="preserve"> </w:t>
      </w:r>
      <w:r w:rsidR="008C45A4">
        <w:t>a szolgáltatóknál</w:t>
      </w:r>
      <w:r>
        <w:t xml:space="preserve"> nem hatékony</w:t>
      </w:r>
      <w:r w:rsidR="00073427" w:rsidRPr="00A07F4E">
        <w:t xml:space="preserve">. </w:t>
      </w:r>
      <w:r w:rsidR="0051375A">
        <w:t xml:space="preserve">Jellemző, hogy a rendelkezésre álló erőforrást nem megfelelően osztják el a </w:t>
      </w:r>
      <w:r w:rsidR="00ED5436">
        <w:t>s</w:t>
      </w:r>
      <w:r w:rsidR="008C45A4">
        <w:t xml:space="preserve">zektorhoz tartozó </w:t>
      </w:r>
      <w:r w:rsidR="0051375A">
        <w:t xml:space="preserve">szolgáltatók, cél általánosságban </w:t>
      </w:r>
      <w:r w:rsidR="00073427" w:rsidRPr="00A07F4E">
        <w:t xml:space="preserve">a költségek és kiadások </w:t>
      </w:r>
      <w:r w:rsidR="0051375A" w:rsidRPr="00A07F4E">
        <w:t>csökkentés</w:t>
      </w:r>
      <w:r w:rsidR="0051375A">
        <w:t xml:space="preserve">e, </w:t>
      </w:r>
      <w:r w:rsidR="00073427" w:rsidRPr="00A07F4E">
        <w:t xml:space="preserve">mintsem a kockázatalapú </w:t>
      </w:r>
      <w:r w:rsidR="0051375A">
        <w:t>eljárások, politikák alkalmazása</w:t>
      </w:r>
      <w:r w:rsidR="00073427" w:rsidRPr="00A07F4E">
        <w:t xml:space="preserve">, </w:t>
      </w:r>
      <w:r w:rsidR="00073427" w:rsidRPr="00A07F4E">
        <w:lastRenderedPageBreak/>
        <w:t>am</w:t>
      </w:r>
      <w:r w:rsidR="0051375A">
        <w:t>ely</w:t>
      </w:r>
      <w:r w:rsidR="00073427" w:rsidRPr="00A07F4E">
        <w:t xml:space="preserve"> kockázat</w:t>
      </w:r>
      <w:r w:rsidR="000522FB">
        <w:t xml:space="preserve">ot jelent a </w:t>
      </w:r>
      <w:r w:rsidR="00ED5436">
        <w:t>s</w:t>
      </w:r>
      <w:r w:rsidR="000522FB">
        <w:t>zektorban</w:t>
      </w:r>
      <w:r w:rsidR="00073427" w:rsidRPr="00A07F4E">
        <w:t xml:space="preserve">. </w:t>
      </w:r>
      <w:r w:rsidR="001F10D8" w:rsidRPr="00A07F4E">
        <w:t>Általánosságban elmondható</w:t>
      </w:r>
      <w:r w:rsidR="0051375A">
        <w:t xml:space="preserve"> továbbá</w:t>
      </w:r>
      <w:r w:rsidR="001F10D8" w:rsidRPr="00A07F4E">
        <w:t xml:space="preserve">, hogy a szektorhoz tartozó </w:t>
      </w:r>
      <w:r w:rsidR="00A37D9D">
        <w:t>szolgáltatók</w:t>
      </w:r>
      <w:r w:rsidR="0051375A">
        <w:t xml:space="preserve"> </w:t>
      </w:r>
      <w:proofErr w:type="spellStart"/>
      <w:r w:rsidR="0051375A">
        <w:t>AML</w:t>
      </w:r>
      <w:proofErr w:type="spellEnd"/>
      <w:r w:rsidR="0051375A">
        <w:t xml:space="preserve"> tranzakció </w:t>
      </w:r>
      <w:proofErr w:type="spellStart"/>
      <w:r w:rsidR="0051375A">
        <w:t>monitoringja</w:t>
      </w:r>
      <w:proofErr w:type="spellEnd"/>
      <w:r w:rsidR="0051375A">
        <w:t xml:space="preserve"> és a gyanús ügyletek bejelentésére vonatkozó eljárások szabályozása</w:t>
      </w:r>
      <w:r w:rsidR="008C45A4">
        <w:t xml:space="preserve"> is</w:t>
      </w:r>
      <w:r w:rsidR="00A37D9D" w:rsidRPr="00A07F4E">
        <w:t xml:space="preserve"> </w:t>
      </w:r>
      <w:r w:rsidR="00C16943" w:rsidRPr="00A07F4E">
        <w:t>fejlesztendő</w:t>
      </w:r>
      <w:r w:rsidR="001F10D8" w:rsidRPr="00A07F4E">
        <w:t xml:space="preserve">.  </w:t>
      </w:r>
      <w:r w:rsidR="00050D58">
        <w:t>Kockázati tényező tovább</w:t>
      </w:r>
      <w:r w:rsidR="008F20D7">
        <w:t>á</w:t>
      </w:r>
      <w:r w:rsidR="00050D58">
        <w:t>, hogy a</w:t>
      </w:r>
      <w:r w:rsidR="00C16943" w:rsidRPr="00A07F4E">
        <w:t xml:space="preserve"> </w:t>
      </w:r>
      <w:r w:rsidR="00ED5436">
        <w:t>s</w:t>
      </w:r>
      <w:r w:rsidR="0051375A">
        <w:t xml:space="preserve">zektorhoz tartozó szolgáltatók a </w:t>
      </w:r>
      <w:r w:rsidR="00C16943" w:rsidRPr="00A07F4E">
        <w:t xml:space="preserve">felügyleti </w:t>
      </w:r>
      <w:r w:rsidR="001F10D8" w:rsidRPr="00A07F4E">
        <w:t xml:space="preserve">adatszolgáltatások </w:t>
      </w:r>
      <w:r w:rsidR="008C719D" w:rsidRPr="00A07F4E">
        <w:t xml:space="preserve">teljesítése </w:t>
      </w:r>
      <w:r w:rsidR="001F10D8" w:rsidRPr="00A07F4E">
        <w:t xml:space="preserve">során </w:t>
      </w:r>
      <w:r w:rsidR="00C16943" w:rsidRPr="00A07F4E">
        <w:t xml:space="preserve">sok esetben </w:t>
      </w:r>
      <w:r w:rsidR="001F10D8" w:rsidRPr="00A07F4E">
        <w:t>nem megfelelő adatokat</w:t>
      </w:r>
      <w:r w:rsidR="008C719D" w:rsidRPr="00A07F4E">
        <w:t xml:space="preserve"> </w:t>
      </w:r>
      <w:r w:rsidR="00050D58">
        <w:t>szolgáltatnak, valamint</w:t>
      </w:r>
      <w:r w:rsidR="001F10D8" w:rsidRPr="00A07F4E">
        <w:t xml:space="preserve"> </w:t>
      </w:r>
      <w:r w:rsidR="00050D58">
        <w:t>kockázat</w:t>
      </w:r>
      <w:r w:rsidR="008F20D7">
        <w:t>ként került</w:t>
      </w:r>
      <w:r w:rsidR="008C45A4">
        <w:t xml:space="preserve"> </w:t>
      </w:r>
      <w:r w:rsidR="008F20D7">
        <w:t>detektálásra</w:t>
      </w:r>
      <w:r w:rsidR="00050D58">
        <w:t xml:space="preserve"> az alkalmazottak</w:t>
      </w:r>
      <w:r w:rsidR="008E049A" w:rsidRPr="00A07F4E">
        <w:t xml:space="preserve"> </w:t>
      </w:r>
      <w:proofErr w:type="spellStart"/>
      <w:r w:rsidR="00050D58">
        <w:t>AML</w:t>
      </w:r>
      <w:proofErr w:type="spellEnd"/>
      <w:r w:rsidR="00050D58">
        <w:t>/</w:t>
      </w:r>
      <w:proofErr w:type="spellStart"/>
      <w:r w:rsidR="00050D58">
        <w:t>CFT</w:t>
      </w:r>
      <w:proofErr w:type="spellEnd"/>
      <w:r w:rsidR="00050D58">
        <w:t xml:space="preserve"> </w:t>
      </w:r>
      <w:r w:rsidR="008E049A" w:rsidRPr="00A07F4E">
        <w:t xml:space="preserve">ismereteinek és tudatosságának </w:t>
      </w:r>
      <w:r w:rsidR="00050D58">
        <w:t>elmaradása</w:t>
      </w:r>
      <w:r w:rsidR="008E049A" w:rsidRPr="00A07F4E">
        <w:t xml:space="preserve">, amely befolyásolhatja a </w:t>
      </w:r>
      <w:r w:rsidR="008C45A4">
        <w:t xml:space="preserve">szolgáltatók </w:t>
      </w:r>
      <w:r w:rsidR="008E049A" w:rsidRPr="00A07F4E">
        <w:t>hatékonyság</w:t>
      </w:r>
      <w:r w:rsidR="008C45A4">
        <w:t>á</w:t>
      </w:r>
      <w:r w:rsidR="008E049A" w:rsidRPr="00A07F4E">
        <w:t>t</w:t>
      </w:r>
      <w:r w:rsidR="00050D58">
        <w:t>.</w:t>
      </w:r>
      <w:r w:rsidR="00050D58" w:rsidRPr="00A07F4E">
        <w:t xml:space="preserve"> </w:t>
      </w:r>
      <w:r w:rsidR="00050D58">
        <w:t>J</w:t>
      </w:r>
      <w:r w:rsidR="007F167C" w:rsidRPr="00A07F4E">
        <w:t xml:space="preserve">ellemző </w:t>
      </w:r>
      <w:r w:rsidR="00050D58">
        <w:t xml:space="preserve">továbbá </w:t>
      </w:r>
      <w:r w:rsidR="007F167C" w:rsidRPr="00A07F4E">
        <w:t xml:space="preserve">a szektorra a </w:t>
      </w:r>
      <w:r w:rsidR="000923AB" w:rsidRPr="00A07F4E">
        <w:t>késedelmes riportok és/vagy</w:t>
      </w:r>
      <w:r w:rsidR="008E049A" w:rsidRPr="00A07F4E">
        <w:t xml:space="preserve"> a tranzakciós dokumentumok</w:t>
      </w:r>
      <w:r w:rsidR="008C719D" w:rsidRPr="00A07F4E">
        <w:t xml:space="preserve"> </w:t>
      </w:r>
      <w:proofErr w:type="spellStart"/>
      <w:r w:rsidR="009A6B36">
        <w:t>NAV</w:t>
      </w:r>
      <w:proofErr w:type="spellEnd"/>
      <w:r w:rsidR="009A6B36">
        <w:t xml:space="preserve"> </w:t>
      </w:r>
      <w:proofErr w:type="spellStart"/>
      <w:r w:rsidR="009A6B36">
        <w:t>PEI</w:t>
      </w:r>
      <w:r w:rsidR="008C719D" w:rsidRPr="00A07F4E">
        <w:t>-n</w:t>
      </w:r>
      <w:r w:rsidR="009A6B36">
        <w:t>e</w:t>
      </w:r>
      <w:r w:rsidR="008C719D" w:rsidRPr="00A07F4E">
        <w:t>k</w:t>
      </w:r>
      <w:proofErr w:type="spellEnd"/>
      <w:r w:rsidR="008C719D" w:rsidRPr="00A07F4E">
        <w:t xml:space="preserve"> történő</w:t>
      </w:r>
      <w:r w:rsidR="008E049A" w:rsidRPr="00A07F4E">
        <w:t xml:space="preserve"> </w:t>
      </w:r>
      <w:r w:rsidR="008C719D" w:rsidRPr="00A07F4E">
        <w:t>benyújtás</w:t>
      </w:r>
      <w:r w:rsidR="000522FB">
        <w:t>ának hiánya</w:t>
      </w:r>
      <w:r w:rsidR="008C719D" w:rsidRPr="00A07F4E">
        <w:t xml:space="preserve">. </w:t>
      </w:r>
    </w:p>
    <w:p w14:paraId="61540A89" w14:textId="0AC7E622" w:rsidR="007F167C" w:rsidRDefault="00A25E71" w:rsidP="00275138">
      <w:r>
        <w:t>Az MNB</w:t>
      </w:r>
      <w:r w:rsidR="0082345F" w:rsidRPr="00A07F4E">
        <w:t xml:space="preserve"> </w:t>
      </w:r>
      <w:r w:rsidR="00275138" w:rsidRPr="00A07F4E">
        <w:t>figyelembe vette</w:t>
      </w:r>
      <w:r w:rsidR="0082345F" w:rsidRPr="00A07F4E">
        <w:t xml:space="preserve"> továbbá az </w:t>
      </w:r>
      <w:proofErr w:type="spellStart"/>
      <w:r w:rsidR="0082345F" w:rsidRPr="00A07F4E">
        <w:t>EBA</w:t>
      </w:r>
      <w:proofErr w:type="spellEnd"/>
      <w:r w:rsidR="0082345F" w:rsidRPr="00A07F4E">
        <w:t xml:space="preserve"> </w:t>
      </w:r>
      <w:proofErr w:type="spellStart"/>
      <w:r w:rsidR="0082345F" w:rsidRPr="00A07F4E">
        <w:t>Opinion</w:t>
      </w:r>
      <w:proofErr w:type="spellEnd"/>
      <w:r w:rsidR="000D3199" w:rsidRPr="00A07F4E">
        <w:t>-</w:t>
      </w:r>
      <w:r w:rsidR="0082345F" w:rsidRPr="00A07F4E">
        <w:t xml:space="preserve">ben </w:t>
      </w:r>
      <w:r w:rsidR="00F769CD" w:rsidRPr="00A07F4E">
        <w:t>megjelenő</w:t>
      </w:r>
      <w:r w:rsidR="00275138" w:rsidRPr="00A07F4E">
        <w:t xml:space="preserve">, az illetékes </w:t>
      </w:r>
      <w:r w:rsidR="00387E5D">
        <w:t xml:space="preserve">külföldi </w:t>
      </w:r>
      <w:r w:rsidR="00275138" w:rsidRPr="00A07F4E">
        <w:t>hatóságok által megjelölt leggyakoribb tényezőket</w:t>
      </w:r>
      <w:r w:rsidR="004A5E5B">
        <w:t xml:space="preserve"> is</w:t>
      </w:r>
      <w:r w:rsidR="00C16943" w:rsidRPr="00A07F4E">
        <w:t xml:space="preserve">. Ezek </w:t>
      </w:r>
      <w:r w:rsidR="00275138" w:rsidRPr="00A07F4E">
        <w:t xml:space="preserve">növelték a szektor kockázati besorolását; a kínált szolgáltatások készpénzigényes jellege, az alkalmi tranzakciók túlsúlya a tartós üzleti kapcsolatok helyett, a magas kockázatú </w:t>
      </w:r>
      <w:r w:rsidR="007F167C" w:rsidRPr="00A07F4E">
        <w:t>országok</w:t>
      </w:r>
      <w:r w:rsidR="00275138" w:rsidRPr="00A07F4E">
        <w:t xml:space="preserve">, amelyekben a pénzforgalmi intézmények működnek, a tranzakciók nagy volumene és gyorsasága, az új technológiák használata az ügyfelek távolról történő azonosításának megkönnyítésére, valamint az alkalmazott forgalmazási csatornák. Ez utóbbit illetően a hatóságok úgy értékelték, hogy az ügynökhálózatok használata az ágazatban különös kockázatot jelent, mivel ez az üzleti modell a megfelelő irányítás és a megbízó általi megfelelő felügyelet hiányát eredményezheti. </w:t>
      </w:r>
      <w:r w:rsidR="004E1577" w:rsidRPr="00A07F4E">
        <w:t>Mindezek a tényezők különös aggodalomra adnak okot a pénzátutalási ágazatban, amelyet több illetékes hatóság is különösen sebezhetőnek ítélt a terrorizmus finanszírozásához kapcsolódó határokon átnyúló tevékenységekkel szemben. Ez az aggodalom tükröződik az illetékes hatóságoknak a szektor határokon átnyúló tranzakciókkal kapcsolatos ML/</w:t>
      </w:r>
      <w:proofErr w:type="spellStart"/>
      <w:r w:rsidR="004E1577" w:rsidRPr="00A07F4E">
        <w:t>TF</w:t>
      </w:r>
      <w:proofErr w:type="spellEnd"/>
      <w:r w:rsidR="004E1577" w:rsidRPr="00A07F4E">
        <w:t xml:space="preserve"> kockázati kitettségének értékelésében</w:t>
      </w:r>
      <w:r w:rsidR="004E02B2" w:rsidRPr="00A07F4E">
        <w:t>.</w:t>
      </w:r>
    </w:p>
    <w:p w14:paraId="3389B108" w14:textId="70D990FF" w:rsidR="00BF16F2" w:rsidRPr="00A07F4E" w:rsidRDefault="00AD6A84" w:rsidP="00275138">
      <w:r w:rsidRPr="008324F3">
        <w:t xml:space="preserve">További </w:t>
      </w:r>
      <w:r w:rsidR="00BF16F2" w:rsidRPr="00717E93">
        <w:t xml:space="preserve">kockázat </w:t>
      </w:r>
      <w:r w:rsidRPr="008324F3">
        <w:t xml:space="preserve">a szektorban </w:t>
      </w:r>
      <w:r w:rsidR="00BF16F2" w:rsidRPr="00717E93">
        <w:t>a fizetési kérelmek</w:t>
      </w:r>
      <w:r w:rsidR="00595624" w:rsidRPr="008324F3">
        <w:rPr>
          <w:rStyle w:val="Lbjegyzet-hivatkozs"/>
        </w:rPr>
        <w:footnoteReference w:id="6"/>
      </w:r>
      <w:r w:rsidR="00BF16F2" w:rsidRPr="00717E93">
        <w:t xml:space="preserve"> bevezetéséhez és elterjedéséhez kapcsolódik. A szektorhoz tartozó szolgáltatókon keresztül </w:t>
      </w:r>
      <w:r w:rsidR="00E4613E" w:rsidRPr="008324F3">
        <w:t>az ügyfelek</w:t>
      </w:r>
      <w:r w:rsidR="00475D5A" w:rsidRPr="008324F3">
        <w:t>, jelen konstrukcióban a kedvezményezettek</w:t>
      </w:r>
      <w:r w:rsidR="00BF16F2" w:rsidRPr="00717E93">
        <w:t xml:space="preserve"> ún. fizetési kérelemmel élhetnek, amelyeket</w:t>
      </w:r>
      <w:r w:rsidR="00E4613E" w:rsidRPr="008324F3">
        <w:t xml:space="preserve"> –</w:t>
      </w:r>
      <w:r w:rsidR="00BF16F2" w:rsidRPr="00717E93">
        <w:t xml:space="preserve"> </w:t>
      </w:r>
      <w:r w:rsidR="00E4613E" w:rsidRPr="008324F3">
        <w:t>a címzett</w:t>
      </w:r>
      <w:r w:rsidR="00475D5A" w:rsidRPr="008324F3">
        <w:t>, a fizető fél</w:t>
      </w:r>
      <w:r w:rsidR="00E4613E" w:rsidRPr="008324F3">
        <w:t xml:space="preserve"> jóváhagyását követően – </w:t>
      </w:r>
      <w:r w:rsidR="00BF16F2" w:rsidRPr="00717E93">
        <w:t xml:space="preserve">a </w:t>
      </w:r>
      <w:r w:rsidR="00475D5A" w:rsidRPr="008324F3">
        <w:t>fizető fél</w:t>
      </w:r>
      <w:r w:rsidR="00BF16F2" w:rsidRPr="00717E93">
        <w:t xml:space="preserve"> pénzforgalmi szolgáltatója teljesít. Ezen fizetési kérelmek alkalmazásával </w:t>
      </w:r>
      <w:r w:rsidR="00354E9A" w:rsidRPr="008324F3">
        <w:t xml:space="preserve">a </w:t>
      </w:r>
      <w:r w:rsidR="00AF3CAD" w:rsidRPr="008324F3">
        <w:t>visszaélések kockázata</w:t>
      </w:r>
      <w:r w:rsidR="00E4613E" w:rsidRPr="008324F3">
        <w:t xml:space="preserve"> növekedhet</w:t>
      </w:r>
      <w:r w:rsidR="003B715E" w:rsidRPr="008324F3">
        <w:t>, külön</w:t>
      </w:r>
      <w:r w:rsidR="00AF2B5D" w:rsidRPr="008324F3">
        <w:t>ös</w:t>
      </w:r>
      <w:r w:rsidR="003B715E" w:rsidRPr="008324F3">
        <w:t xml:space="preserve"> tekintettel arra, hogy </w:t>
      </w:r>
      <w:r w:rsidR="0057699C" w:rsidRPr="00717E93">
        <w:t xml:space="preserve">kedvezményezett a fizetési kérelmet oly módon is benyújthatja a fizetési számláját vezető pénzforgalmi szolgáltatóhoz, hogy abban az azonnali átutalási megbízás megadásához szükséges adatok között </w:t>
      </w:r>
      <w:r w:rsidR="003B715E" w:rsidRPr="008324F3">
        <w:t xml:space="preserve">a </w:t>
      </w:r>
      <w:r w:rsidR="00400638" w:rsidRPr="00717E93">
        <w:t>fizető fél neve és pénzforgalmi jelzőszáma helyett a fizető fél fizetési számlájához hozzárendelt másodlagos számlaazonosító</w:t>
      </w:r>
      <w:r w:rsidR="00400638" w:rsidRPr="008324F3">
        <w:t xml:space="preserve"> megadására is lehetőség van </w:t>
      </w:r>
      <w:r w:rsidR="00432C8E" w:rsidRPr="00717E93">
        <w:t>(</w:t>
      </w:r>
      <w:r w:rsidR="00400638" w:rsidRPr="00717E93">
        <w:t>35/2017. (XII. 14.) MNB rendelet 36. § (4) bekezdés</w:t>
      </w:r>
      <w:r w:rsidR="003768DD" w:rsidRPr="00717E93">
        <w:t>)</w:t>
      </w:r>
      <w:r w:rsidR="00E4613E" w:rsidRPr="008324F3">
        <w:t xml:space="preserve">. </w:t>
      </w:r>
      <w:r w:rsidR="00F5418C" w:rsidRPr="008324F3">
        <w:t>Megállapítható</w:t>
      </w:r>
      <w:r w:rsidR="00B84319" w:rsidRPr="008324F3">
        <w:t xml:space="preserve"> továbbá</w:t>
      </w:r>
      <w:r w:rsidR="00F5418C" w:rsidRPr="008324F3">
        <w:t xml:space="preserve">, hogy a fizetési kérelem </w:t>
      </w:r>
      <w:r w:rsidR="00EF0858" w:rsidRPr="00717E93">
        <w:t xml:space="preserve">a „piszkos pénz” pénzügyi rendszerben történő </w:t>
      </w:r>
      <w:proofErr w:type="spellStart"/>
      <w:r w:rsidR="00EF0858" w:rsidRPr="00717E93">
        <w:t>rétegzésében</w:t>
      </w:r>
      <w:proofErr w:type="spellEnd"/>
      <w:r w:rsidR="00EF0858" w:rsidRPr="00717E93">
        <w:t xml:space="preserve"> játszhat szerepet, ezzel </w:t>
      </w:r>
      <w:r w:rsidR="00C811DF" w:rsidRPr="00717E93">
        <w:t>egyúttal</w:t>
      </w:r>
      <w:r w:rsidR="00F5418C" w:rsidRPr="00717E93">
        <w:t xml:space="preserve"> növel</w:t>
      </w:r>
      <w:r w:rsidR="00EF0858" w:rsidRPr="00717E93">
        <w:t>ve</w:t>
      </w:r>
      <w:r w:rsidR="00F5418C" w:rsidRPr="00717E93">
        <w:t xml:space="preserve"> a pénzmosási kockázatot.</w:t>
      </w:r>
      <w:r w:rsidR="00F5418C" w:rsidRPr="008324F3">
        <w:t xml:space="preserve"> </w:t>
      </w:r>
      <w:r w:rsidR="00AF2B5D" w:rsidRPr="008324F3">
        <w:t>A s</w:t>
      </w:r>
      <w:r w:rsidR="00E4613E" w:rsidRPr="00717E93">
        <w:t>zolgáltatóknak szükséges felismerniük</w:t>
      </w:r>
      <w:r w:rsidR="0046352D" w:rsidRPr="008324F3">
        <w:t xml:space="preserve"> a fizetési kérelmekhez kapcsolódóan</w:t>
      </w:r>
      <w:r w:rsidR="00E4613E" w:rsidRPr="00717E93">
        <w:t xml:space="preserve"> </w:t>
      </w:r>
      <w:r w:rsidR="00AF2B5D" w:rsidRPr="008324F3">
        <w:t xml:space="preserve">az esetleges </w:t>
      </w:r>
      <w:r w:rsidR="00354E9A" w:rsidRPr="008324F3">
        <w:t>visszaélések</w:t>
      </w:r>
      <w:r w:rsidR="00AF2B5D" w:rsidRPr="008324F3">
        <w:t>et</w:t>
      </w:r>
      <w:r w:rsidR="00354E9A" w:rsidRPr="008324F3">
        <w:t xml:space="preserve">, </w:t>
      </w:r>
      <w:r w:rsidR="00A302FF" w:rsidRPr="008324F3">
        <w:t>pénzmosási kockázatokat</w:t>
      </w:r>
      <w:r w:rsidR="00F5418C" w:rsidRPr="008324F3">
        <w:t xml:space="preserve">, illetve </w:t>
      </w:r>
      <w:r w:rsidR="00AF2B5D" w:rsidRPr="008324F3">
        <w:t>azok</w:t>
      </w:r>
      <w:r w:rsidR="00E4613E" w:rsidRPr="00717E93">
        <w:t xml:space="preserve"> mérséklése érdekében kockázatcsökkentő intézkedéseket </w:t>
      </w:r>
      <w:r w:rsidR="0046352D" w:rsidRPr="008324F3">
        <w:t xml:space="preserve">szükséges </w:t>
      </w:r>
      <w:r w:rsidR="00E4613E" w:rsidRPr="00717E93">
        <w:t xml:space="preserve">bevezetniük. </w:t>
      </w:r>
    </w:p>
    <w:p w14:paraId="70251510" w14:textId="77777777" w:rsidR="00A96E25" w:rsidRPr="00A07F4E" w:rsidRDefault="00A96E25" w:rsidP="00A07F4E">
      <w:pPr>
        <w:pStyle w:val="Listaszerbekezds"/>
        <w:numPr>
          <w:ilvl w:val="1"/>
          <w:numId w:val="11"/>
        </w:numPr>
        <w:ind w:left="851" w:hanging="284"/>
      </w:pPr>
      <w:r w:rsidRPr="00A07F4E">
        <w:t xml:space="preserve">A </w:t>
      </w:r>
      <w:r w:rsidR="006F01A3" w:rsidRPr="00A07F4E">
        <w:t>pénzforgalmi intézm</w:t>
      </w:r>
      <w:r w:rsidR="0022177A" w:rsidRPr="00A07F4E">
        <w:t>é</w:t>
      </w:r>
      <w:r w:rsidR="006F01A3" w:rsidRPr="00A07F4E">
        <w:t>nyi</w:t>
      </w:r>
      <w:r w:rsidRPr="00A07F4E">
        <w:t xml:space="preserve"> szektorban rejlő, határokon átnyúló ML/</w:t>
      </w:r>
      <w:proofErr w:type="spellStart"/>
      <w:r w:rsidRPr="00A07F4E">
        <w:t>TF</w:t>
      </w:r>
      <w:proofErr w:type="spellEnd"/>
      <w:r w:rsidRPr="00A07F4E">
        <w:t xml:space="preserve"> kockázatok</w:t>
      </w:r>
    </w:p>
    <w:p w14:paraId="59A60B36" w14:textId="77777777" w:rsidR="006F319D" w:rsidRPr="00A07F4E" w:rsidRDefault="00A96E25" w:rsidP="00275138">
      <w:r w:rsidRPr="00A07F4E">
        <w:t>A pénzforgalmi intézményi szektorra részben jellemző a külföldi érintettség, azonban Magyarországon tipikusan magyar ügyfelekkel rendelkeznek a pénzforgalmi intézmények.</w:t>
      </w:r>
      <w:r w:rsidR="009B6CD7" w:rsidRPr="00A07F4E">
        <w:t xml:space="preserve"> </w:t>
      </w:r>
      <w:r w:rsidR="004E02B2" w:rsidRPr="00A07F4E">
        <w:t>A felügyeleti tapasztalatok jelentős kockázatokat nem tükröznek, a szektor vonatkozásában nem jellemzőek a külső kockázati jelzések sem.</w:t>
      </w:r>
    </w:p>
    <w:p w14:paraId="5208EEF5" w14:textId="3AA99B22" w:rsidR="002E3995" w:rsidRPr="00A07F4E" w:rsidRDefault="00C77B3C" w:rsidP="00275138">
      <w:pPr>
        <w:rPr>
          <w:b/>
          <w:bCs/>
        </w:rPr>
      </w:pPr>
      <w:r>
        <w:rPr>
          <w:b/>
          <w:bCs/>
        </w:rPr>
        <w:t>Az előzetes</w:t>
      </w:r>
      <w:r w:rsidR="002E3995" w:rsidRPr="00A07F4E">
        <w:rPr>
          <w:b/>
          <w:bCs/>
        </w:rPr>
        <w:t xml:space="preserve"> felmérés alapján a pénzforgalmi intézményi szektor inherens kockázat</w:t>
      </w:r>
      <w:r w:rsidR="00055D40">
        <w:rPr>
          <w:b/>
          <w:bCs/>
        </w:rPr>
        <w:t>a</w:t>
      </w:r>
      <w:r w:rsidR="002E3995" w:rsidRPr="00A07F4E">
        <w:rPr>
          <w:b/>
          <w:bCs/>
        </w:rPr>
        <w:t xml:space="preserve"> </w:t>
      </w:r>
      <w:r w:rsidR="00CC4EE2">
        <w:rPr>
          <w:b/>
          <w:bCs/>
        </w:rPr>
        <w:t>J</w:t>
      </w:r>
      <w:r w:rsidR="002E3995" w:rsidRPr="004A5E5B">
        <w:rPr>
          <w:b/>
          <w:bCs/>
        </w:rPr>
        <w:t>elentős</w:t>
      </w:r>
      <w:r w:rsidR="00597253" w:rsidRPr="004A5E5B">
        <w:rPr>
          <w:b/>
          <w:bCs/>
        </w:rPr>
        <w:t>nek</w:t>
      </w:r>
      <w:r w:rsidR="00406551" w:rsidRPr="00A07F4E">
        <w:rPr>
          <w:b/>
          <w:bCs/>
        </w:rPr>
        <w:t xml:space="preserve"> </w:t>
      </w:r>
      <w:r>
        <w:rPr>
          <w:b/>
          <w:bCs/>
        </w:rPr>
        <w:t>tekintendő</w:t>
      </w:r>
      <w:r w:rsidR="002E3995" w:rsidRPr="00A07F4E">
        <w:rPr>
          <w:b/>
          <w:bCs/>
        </w:rPr>
        <w:t>.</w:t>
      </w:r>
    </w:p>
    <w:tbl>
      <w:tblPr>
        <w:tblW w:w="4040" w:type="dxa"/>
        <w:tblInd w:w="2746" w:type="dxa"/>
        <w:tblCellMar>
          <w:left w:w="70" w:type="dxa"/>
          <w:right w:w="70" w:type="dxa"/>
        </w:tblCellMar>
        <w:tblLook w:val="04A0" w:firstRow="1" w:lastRow="0" w:firstColumn="1" w:lastColumn="0" w:noHBand="0" w:noVBand="1"/>
      </w:tblPr>
      <w:tblGrid>
        <w:gridCol w:w="2140"/>
        <w:gridCol w:w="1900"/>
      </w:tblGrid>
      <w:tr w:rsidR="0039468D" w:rsidRPr="00A07F4E" w14:paraId="56AE11D4" w14:textId="77777777" w:rsidTr="00FC37B3">
        <w:trPr>
          <w:trHeight w:val="300"/>
        </w:trPr>
        <w:tc>
          <w:tcPr>
            <w:tcW w:w="2140" w:type="dxa"/>
            <w:tcBorders>
              <w:top w:val="nil"/>
              <w:left w:val="nil"/>
              <w:bottom w:val="nil"/>
              <w:right w:val="nil"/>
            </w:tcBorders>
            <w:shd w:val="clear" w:color="auto" w:fill="auto"/>
            <w:noWrap/>
            <w:vAlign w:val="center"/>
            <w:hideMark/>
          </w:tcPr>
          <w:p w14:paraId="3BC40CC3" w14:textId="77777777" w:rsidR="0039468D" w:rsidRPr="004A5E5B" w:rsidRDefault="0039468D" w:rsidP="0039468D">
            <w:pPr>
              <w:spacing w:after="0" w:line="240" w:lineRule="auto"/>
              <w:jc w:val="center"/>
              <w:rPr>
                <w:rFonts w:eastAsia="Times New Roman" w:cs="Calibri"/>
                <w:b/>
                <w:bCs/>
                <w:color w:val="000000"/>
              </w:rPr>
            </w:pPr>
            <w:r w:rsidRPr="004A5E5B">
              <w:rPr>
                <w:rFonts w:eastAsia="Times New Roman" w:cs="Calibri"/>
                <w:b/>
                <w:bCs/>
                <w:color w:val="000000"/>
              </w:rPr>
              <w:t>Inherens kockázat:</w:t>
            </w:r>
            <w:r w:rsidRPr="004A5E5B">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B2A73EC" w14:textId="17B13009" w:rsidR="0039468D" w:rsidRPr="004A5E5B" w:rsidRDefault="006C1574" w:rsidP="0039468D">
            <w:pPr>
              <w:spacing w:after="0" w:line="240" w:lineRule="auto"/>
              <w:jc w:val="center"/>
              <w:rPr>
                <w:rFonts w:eastAsia="Times New Roman" w:cs="Calibri"/>
                <w:color w:val="000000"/>
                <w:sz w:val="18"/>
                <w:szCs w:val="18"/>
              </w:rPr>
            </w:pPr>
            <w:r>
              <w:rPr>
                <w:rFonts w:eastAsia="Times New Roman" w:cs="Calibri"/>
                <w:color w:val="000000"/>
                <w:sz w:val="18"/>
                <w:szCs w:val="18"/>
              </w:rPr>
              <w:t>Jelentős</w:t>
            </w:r>
          </w:p>
        </w:tc>
      </w:tr>
    </w:tbl>
    <w:p w14:paraId="17820058" w14:textId="77777777" w:rsidR="00991E68" w:rsidRPr="00A60EE2" w:rsidRDefault="00991E68" w:rsidP="00A07F4E">
      <w:pPr>
        <w:pStyle w:val="Cmsor3"/>
        <w:numPr>
          <w:ilvl w:val="0"/>
          <w:numId w:val="92"/>
        </w:numPr>
      </w:pPr>
      <w:bookmarkStart w:id="50" w:name="_Toc106183445"/>
      <w:bookmarkStart w:id="51" w:name="_Toc106192395"/>
      <w:bookmarkStart w:id="52" w:name="_Toc106197991"/>
      <w:bookmarkStart w:id="53" w:name="_Toc106198637"/>
      <w:bookmarkStart w:id="54" w:name="_Toc106201831"/>
      <w:bookmarkStart w:id="55" w:name="_Toc106869540"/>
      <w:bookmarkStart w:id="56" w:name="_Toc107236405"/>
      <w:bookmarkStart w:id="57" w:name="_Toc107237313"/>
      <w:bookmarkStart w:id="58" w:name="_Toc107237638"/>
      <w:bookmarkStart w:id="59" w:name="_Toc106183446"/>
      <w:bookmarkStart w:id="60" w:name="_Toc106192396"/>
      <w:bookmarkStart w:id="61" w:name="_Toc106197992"/>
      <w:bookmarkStart w:id="62" w:name="_Toc106198638"/>
      <w:bookmarkStart w:id="63" w:name="_Toc106201832"/>
      <w:bookmarkStart w:id="64" w:name="_Toc106869541"/>
      <w:bookmarkStart w:id="65" w:name="_Toc107236406"/>
      <w:bookmarkStart w:id="66" w:name="_Toc107237314"/>
      <w:bookmarkStart w:id="67" w:name="_Toc107237639"/>
      <w:bookmarkStart w:id="68" w:name="_Toc10990601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A60EE2">
        <w:t>Az ellenőrzések minősége</w:t>
      </w:r>
      <w:bookmarkEnd w:id="68"/>
    </w:p>
    <w:p w14:paraId="498495FB" w14:textId="0D5E7680" w:rsidR="00991E68" w:rsidRPr="00A07F4E" w:rsidRDefault="00134F1E" w:rsidP="00991E68">
      <w:r>
        <w:t>Az MNB</w:t>
      </w:r>
      <w:r w:rsidR="00991E68" w:rsidRPr="00A07F4E">
        <w:t xml:space="preserve"> a </w:t>
      </w:r>
      <w:r w:rsidR="007F2F18" w:rsidRPr="00A07F4E">
        <w:t>pénzforgalmi intézményi</w:t>
      </w:r>
      <w:r w:rsidR="00991E68" w:rsidRPr="00A07F4E">
        <w:t xml:space="preserve"> szektor</w:t>
      </w:r>
      <w:r>
        <w:t>hoz tartozó szolgáltatók</w:t>
      </w:r>
      <w:r w:rsidR="000F5ED9" w:rsidRPr="00A07F4E">
        <w:t xml:space="preserve"> általi</w:t>
      </w:r>
      <w:r w:rsidR="00991E68" w:rsidRPr="00A07F4E">
        <w:t xml:space="preserve"> </w:t>
      </w:r>
      <w:r w:rsidR="00F45B1E" w:rsidRPr="00A07F4E">
        <w:t xml:space="preserve">ellenőrzések megfelelőségét és minőségét értékelte, amely alapján </w:t>
      </w:r>
      <w:r w:rsidR="00991E68" w:rsidRPr="00A07F4E">
        <w:t xml:space="preserve">az </w:t>
      </w:r>
      <w:r w:rsidR="00A37D9D">
        <w:t>szolgáltatók</w:t>
      </w:r>
      <w:r w:rsidR="00A37D9D" w:rsidRPr="00A07F4E">
        <w:t xml:space="preserve"> </w:t>
      </w:r>
      <w:r w:rsidR="00991E68" w:rsidRPr="00A07F4E">
        <w:t xml:space="preserve">egészére kiterjedő, illetve az egyes üzleti kapcsolatokra alkalmazott kockázatértékeléseket, a </w:t>
      </w:r>
      <w:proofErr w:type="spellStart"/>
      <w:r w:rsidR="00991E68" w:rsidRPr="00A07F4E">
        <w:t>monitoringhoz</w:t>
      </w:r>
      <w:proofErr w:type="spellEnd"/>
      <w:r w:rsidR="00991E68" w:rsidRPr="00A07F4E">
        <w:t xml:space="preserve"> kapcsolódó eljárásokat, azok hatékonyságát</w:t>
      </w:r>
      <w:r w:rsidR="00E43448" w:rsidRPr="00A07F4E">
        <w:t xml:space="preserve">, az azonosítási és ellenőrzési politikák megfelelőségét, hatékonyságát, valamint a folyamatos </w:t>
      </w:r>
      <w:proofErr w:type="spellStart"/>
      <w:r w:rsidR="00E43448" w:rsidRPr="00A07F4E">
        <w:t>monitoringhoz</w:t>
      </w:r>
      <w:proofErr w:type="spellEnd"/>
      <w:r w:rsidR="00E43448" w:rsidRPr="00A07F4E">
        <w:t xml:space="preserve"> kapcsolódó eljárások megfelelőségét </w:t>
      </w:r>
      <w:r w:rsidR="00E43448" w:rsidRPr="00A07F4E">
        <w:lastRenderedPageBreak/>
        <w:t>és hatékonyságát értékelte</w:t>
      </w:r>
      <w:r w:rsidR="00991E68" w:rsidRPr="00A07F4E">
        <w:t xml:space="preserve"> gyengének,</w:t>
      </w:r>
      <w:r w:rsidR="00B96013" w:rsidRPr="00A07F4E">
        <w:t xml:space="preserve"> míg</w:t>
      </w:r>
      <w:r w:rsidR="00991E68" w:rsidRPr="00A07F4E">
        <w:t xml:space="preserve"> </w:t>
      </w:r>
      <w:r w:rsidR="000E41DA" w:rsidRPr="00A07F4E">
        <w:t xml:space="preserve">a nyilvántartások megfelelőségét és hatékonyságát nagyon </w:t>
      </w:r>
      <w:r w:rsidR="00991E68" w:rsidRPr="00A07F4E">
        <w:t>jónak tekintette.</w:t>
      </w:r>
      <w:r w:rsidR="000E41DA" w:rsidRPr="00A07F4E">
        <w:t xml:space="preserve"> A többi ellenőrzési szempontot </w:t>
      </w:r>
      <w:r>
        <w:t>az MNB</w:t>
      </w:r>
      <w:r w:rsidR="000E41DA" w:rsidRPr="00A07F4E">
        <w:t xml:space="preserve"> jónak </w:t>
      </w:r>
      <w:r w:rsidR="002F45A8">
        <w:t>minősítette</w:t>
      </w:r>
      <w:r w:rsidR="000E41DA" w:rsidRPr="00A07F4E">
        <w:t xml:space="preserve">. </w:t>
      </w:r>
      <w:r w:rsidR="00013B7D" w:rsidRPr="00A07F4E">
        <w:rPr>
          <w:rStyle w:val="Lbjegyzet-hivatkozs"/>
        </w:rPr>
        <w:footnoteReference w:id="7"/>
      </w:r>
    </w:p>
    <w:p w14:paraId="7E7A9C84" w14:textId="77777777" w:rsidR="007D408D" w:rsidRPr="00A07F4E" w:rsidRDefault="007D408D" w:rsidP="00A07F4E">
      <w:pPr>
        <w:pStyle w:val="Cmsor3"/>
        <w:numPr>
          <w:ilvl w:val="0"/>
          <w:numId w:val="92"/>
        </w:numPr>
      </w:pPr>
      <w:bookmarkStart w:id="69" w:name="_Toc109906018"/>
      <w:r w:rsidRPr="00A07F4E">
        <w:t>Felügyeleti tevékenység</w:t>
      </w:r>
      <w:bookmarkEnd w:id="69"/>
    </w:p>
    <w:p w14:paraId="40D36818" w14:textId="40B43063" w:rsidR="007D408D" w:rsidRPr="00A07F4E" w:rsidRDefault="00134F1E" w:rsidP="007D408D">
      <w:r w:rsidRPr="008324F3">
        <w:t>Az MNB</w:t>
      </w:r>
      <w:r w:rsidR="007D408D" w:rsidRPr="008324F3">
        <w:t xml:space="preserve"> a</w:t>
      </w:r>
      <w:r w:rsidR="007D408D" w:rsidRPr="00DB2208">
        <w:t xml:space="preserve"> </w:t>
      </w:r>
      <w:r w:rsidR="007D408D" w:rsidRPr="00A07F4E">
        <w:t>kockázatalapú felügyelésre tekintettel k</w:t>
      </w:r>
      <w:r w:rsidR="0028404C" w:rsidRPr="00A07F4E">
        <w:t>isebb</w:t>
      </w:r>
      <w:r w:rsidR="007D408D" w:rsidRPr="00A07F4E">
        <w:t xml:space="preserve"> hangsúlyt fektetett a pénzforgalmi intézményi szektor </w:t>
      </w:r>
      <w:proofErr w:type="spellStart"/>
      <w:r w:rsidR="004E02B2" w:rsidRPr="00A07F4E">
        <w:t>on</w:t>
      </w:r>
      <w:proofErr w:type="spellEnd"/>
      <w:r w:rsidR="004E02B2" w:rsidRPr="00A07F4E">
        <w:t xml:space="preserve">-site </w:t>
      </w:r>
      <w:r w:rsidR="007D408D" w:rsidRPr="00A07F4E">
        <w:t>vizsgálatára. Felügyeleti tevékenységét</w:t>
      </w:r>
      <w:r w:rsidR="004E02B2" w:rsidRPr="00A07F4E">
        <w:t xml:space="preserve"> </w:t>
      </w:r>
      <w:proofErr w:type="spellStart"/>
      <w:r w:rsidR="004E02B2" w:rsidRPr="00A07F4E">
        <w:t>off</w:t>
      </w:r>
      <w:proofErr w:type="spellEnd"/>
      <w:r w:rsidR="004E02B2" w:rsidRPr="00A07F4E">
        <w:t>-site eszközökkel</w:t>
      </w:r>
      <w:r w:rsidR="007D408D" w:rsidRPr="00A07F4E">
        <w:t xml:space="preserve"> a negyedéves és éves kötelező adatszolgáltatások elemzésével és kiértékelésével látta el. </w:t>
      </w:r>
    </w:p>
    <w:p w14:paraId="094D292E" w14:textId="77777777" w:rsidR="00DB4403" w:rsidRPr="00A07F4E" w:rsidRDefault="00DB4403" w:rsidP="00A07F4E">
      <w:pPr>
        <w:pStyle w:val="Cmsor3"/>
        <w:numPr>
          <w:ilvl w:val="0"/>
          <w:numId w:val="92"/>
        </w:numPr>
      </w:pPr>
      <w:bookmarkStart w:id="70" w:name="_Toc109906019"/>
      <w:r w:rsidRPr="00A07F4E">
        <w:t>Azonosított jogsértések</w:t>
      </w:r>
      <w:bookmarkEnd w:id="70"/>
    </w:p>
    <w:p w14:paraId="70316F9F" w14:textId="02E5AD4B" w:rsidR="00415AFC" w:rsidRDefault="00415AFC" w:rsidP="00DB4403">
      <w:r w:rsidRPr="00A07F4E">
        <w:t xml:space="preserve">Az adatszolgáltatási kötelezettségek teljesítése során </w:t>
      </w:r>
      <w:r w:rsidR="00134F1E">
        <w:t>az MNB</w:t>
      </w:r>
      <w:r w:rsidR="004E02B2" w:rsidRPr="00A07F4E">
        <w:t xml:space="preserve"> jelentős</w:t>
      </w:r>
      <w:r w:rsidRPr="00A07F4E">
        <w:t xml:space="preserve"> jogsértést a szektorhoz tartozó szolgáltatók esetében nem észlelt</w:t>
      </w:r>
      <w:r w:rsidR="006A5BEB">
        <w:t xml:space="preserve">. </w:t>
      </w:r>
      <w:proofErr w:type="spellStart"/>
      <w:r w:rsidR="006A5BEB">
        <w:t>E</w:t>
      </w:r>
      <w:r w:rsidR="00EC21C3">
        <w:t>zidáig</w:t>
      </w:r>
      <w:proofErr w:type="spellEnd"/>
      <w:r w:rsidR="00EC21C3">
        <w:t xml:space="preserve"> e</w:t>
      </w:r>
      <w:r w:rsidR="002B069A" w:rsidRPr="002B069A">
        <w:t xml:space="preserve">gy szolgáltató esetében az MNB átfogó vizsgálata keretében azonosított belső kontroll hiányosságokat. A szóban forgó szolgáltató esetében a </w:t>
      </w:r>
      <w:proofErr w:type="spellStart"/>
      <w:r w:rsidR="002B069A" w:rsidRPr="002B069A">
        <w:t>prudens</w:t>
      </w:r>
      <w:proofErr w:type="spellEnd"/>
      <w:r w:rsidR="002B069A" w:rsidRPr="002B069A">
        <w:t xml:space="preserve"> működést biztosító vállalatirányítási keretrendszer nem volt maradéktalanul biztosított, a megfelelő a belső szabályozói folyamat és a gyenge kontroll következtében a szolgáltató működése jelentős instabilitást mutatott. Egy másik szolgáltatónál rendszerszintű hiányosságok mutatkoztak, azonban ott az MNB felügyeleti intézkedést alkalmazott.</w:t>
      </w:r>
    </w:p>
    <w:p w14:paraId="396EE7EA" w14:textId="77777777" w:rsidR="00CF0CA0" w:rsidRPr="00A07F4E" w:rsidRDefault="00CF0CA0" w:rsidP="00A07F4E">
      <w:pPr>
        <w:pStyle w:val="Cmsor3"/>
        <w:numPr>
          <w:ilvl w:val="0"/>
          <w:numId w:val="92"/>
        </w:numPr>
      </w:pPr>
      <w:bookmarkStart w:id="71" w:name="_Toc106023552"/>
      <w:bookmarkStart w:id="72" w:name="_Toc106023660"/>
      <w:bookmarkStart w:id="73" w:name="_Toc106108247"/>
      <w:bookmarkStart w:id="74" w:name="_Toc106108360"/>
      <w:bookmarkStart w:id="75" w:name="_Toc106120841"/>
      <w:bookmarkStart w:id="76" w:name="_Toc106183450"/>
      <w:bookmarkStart w:id="77" w:name="_Toc106192400"/>
      <w:bookmarkStart w:id="78" w:name="_Toc106197996"/>
      <w:bookmarkStart w:id="79" w:name="_Toc106198642"/>
      <w:bookmarkStart w:id="80" w:name="_Toc106201836"/>
      <w:bookmarkStart w:id="81" w:name="_Toc106869545"/>
      <w:bookmarkStart w:id="82" w:name="_Toc107236410"/>
      <w:bookmarkStart w:id="83" w:name="_Toc107237318"/>
      <w:bookmarkStart w:id="84" w:name="_Toc107237643"/>
      <w:bookmarkStart w:id="85" w:name="_Toc10990602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07F4E">
        <w:t>Alszektor</w:t>
      </w:r>
      <w:r w:rsidR="009A3188" w:rsidRPr="00A07F4E">
        <w:t>ok</w:t>
      </w:r>
      <w:bookmarkEnd w:id="85"/>
    </w:p>
    <w:p w14:paraId="67D59F25" w14:textId="77777777" w:rsidR="00005441" w:rsidRDefault="00005441" w:rsidP="00FC37B3">
      <w:pPr>
        <w:pStyle w:val="Listaszerbekezds"/>
        <w:numPr>
          <w:ilvl w:val="0"/>
          <w:numId w:val="0"/>
        </w:numPr>
        <w:spacing w:after="0" w:line="240" w:lineRule="auto"/>
        <w:ind w:left="851"/>
        <w:rPr>
          <w:rFonts w:cs="Times New Roman"/>
        </w:rPr>
      </w:pPr>
    </w:p>
    <w:p w14:paraId="3CE44550" w14:textId="3E0BDACC" w:rsidR="002C55AC" w:rsidRPr="00EB6441" w:rsidRDefault="002C55AC" w:rsidP="00FC37B3">
      <w:pPr>
        <w:pStyle w:val="Listaszerbekezds"/>
        <w:numPr>
          <w:ilvl w:val="0"/>
          <w:numId w:val="247"/>
        </w:numPr>
        <w:spacing w:after="0" w:line="240" w:lineRule="auto"/>
        <w:rPr>
          <w:rFonts w:cs="Times New Roman"/>
        </w:rPr>
      </w:pPr>
      <w:r w:rsidRPr="00EB6441">
        <w:rPr>
          <w:rFonts w:cs="Times New Roman"/>
        </w:rPr>
        <w:t>Fizetési számla vezetés tevékenységet nem végző pénzforgalmi intézmény</w:t>
      </w:r>
      <w:r w:rsidR="005E3DF3" w:rsidRPr="00EB6441">
        <w:rPr>
          <w:rFonts w:cs="Times New Roman"/>
        </w:rPr>
        <w:t xml:space="preserve"> - alszektor</w:t>
      </w:r>
    </w:p>
    <w:p w14:paraId="016479F4" w14:textId="21B1F0D7" w:rsidR="002C55AC" w:rsidRDefault="002C55AC" w:rsidP="002C55AC">
      <w:pPr>
        <w:spacing w:after="0" w:line="240" w:lineRule="auto"/>
        <w:rPr>
          <w:rFonts w:cs="Times New Roman"/>
        </w:rPr>
      </w:pPr>
    </w:p>
    <w:p w14:paraId="427134D5" w14:textId="5994C202" w:rsidR="002C55AC" w:rsidRDefault="00467360" w:rsidP="002C55AC">
      <w:pPr>
        <w:spacing w:after="0" w:line="240" w:lineRule="auto"/>
        <w:rPr>
          <w:rFonts w:cs="Times New Roman"/>
        </w:rPr>
      </w:pPr>
      <w:r>
        <w:rPr>
          <w:rFonts w:cs="Times New Roman"/>
        </w:rPr>
        <w:t xml:space="preserve">Az alszektorhoz tartozó szolgáltatók száma 15 és </w:t>
      </w:r>
      <w:r w:rsidR="008A6007">
        <w:rPr>
          <w:rFonts w:cs="Times New Roman"/>
        </w:rPr>
        <w:t>20 között található.</w:t>
      </w:r>
      <w:r>
        <w:rPr>
          <w:rFonts w:cs="Times New Roman"/>
        </w:rPr>
        <w:t xml:space="preserve"> </w:t>
      </w:r>
      <w:r w:rsidR="00E94E20">
        <w:rPr>
          <w:rFonts w:cs="Times New Roman"/>
        </w:rPr>
        <w:t xml:space="preserve">A szektoron belül alszektort képeznek azon pénzforgalmi intézmények, amelyek fizetési számla </w:t>
      </w:r>
      <w:r w:rsidR="00CC0EE6">
        <w:rPr>
          <w:rFonts w:cs="Times New Roman"/>
        </w:rPr>
        <w:t xml:space="preserve">vezetési </w:t>
      </w:r>
      <w:r w:rsidR="00E94E20">
        <w:rPr>
          <w:rFonts w:cs="Times New Roman"/>
        </w:rPr>
        <w:t xml:space="preserve">tevékenységet nem végeznek, azaz a pénzmosási tevékenységek közül a </w:t>
      </w:r>
      <w:proofErr w:type="spellStart"/>
      <w:r w:rsidR="00E94E20">
        <w:rPr>
          <w:rFonts w:cs="Times New Roman"/>
        </w:rPr>
        <w:t>rétegzés</w:t>
      </w:r>
      <w:proofErr w:type="spellEnd"/>
      <w:r w:rsidR="00E94E20">
        <w:rPr>
          <w:rFonts w:cs="Times New Roman"/>
        </w:rPr>
        <w:t xml:space="preserve"> tevékenységé</w:t>
      </w:r>
      <w:r w:rsidR="008762E5">
        <w:rPr>
          <w:rFonts w:cs="Times New Roman"/>
        </w:rPr>
        <w:t>ben</w:t>
      </w:r>
      <w:r w:rsidR="00E94E20">
        <w:rPr>
          <w:rFonts w:cs="Times New Roman"/>
        </w:rPr>
        <w:t xml:space="preserve"> tipikusan nem játszhatnak szerepet,</w:t>
      </w:r>
      <w:r w:rsidR="008762E5">
        <w:rPr>
          <w:rFonts w:cs="Times New Roman"/>
        </w:rPr>
        <w:t xml:space="preserve"> </w:t>
      </w:r>
      <w:r w:rsidR="005C0763">
        <w:rPr>
          <w:rFonts w:cs="Times New Roman"/>
        </w:rPr>
        <w:t>amely</w:t>
      </w:r>
      <w:r w:rsidR="00E94E20">
        <w:rPr>
          <w:rFonts w:cs="Times New Roman"/>
        </w:rPr>
        <w:t xml:space="preserve"> kockázatcsökkentő tényezőnek </w:t>
      </w:r>
      <w:r w:rsidR="005E3DF3">
        <w:rPr>
          <w:rFonts w:cs="Times New Roman"/>
        </w:rPr>
        <w:t>értékelendő</w:t>
      </w:r>
      <w:r w:rsidR="008762E5">
        <w:rPr>
          <w:rFonts w:cs="Times New Roman"/>
        </w:rPr>
        <w:t xml:space="preserve">. </w:t>
      </w:r>
      <w:proofErr w:type="spellStart"/>
      <w:r w:rsidR="008762E5">
        <w:rPr>
          <w:rFonts w:cs="Times New Roman"/>
        </w:rPr>
        <w:t>Minderre</w:t>
      </w:r>
      <w:proofErr w:type="spellEnd"/>
      <w:r w:rsidR="005C0763">
        <w:rPr>
          <w:rFonts w:cs="Times New Roman"/>
        </w:rPr>
        <w:t xml:space="preserve"> tekintettel</w:t>
      </w:r>
      <w:r w:rsidR="005E3CA8">
        <w:rPr>
          <w:rFonts w:cs="Times New Roman"/>
        </w:rPr>
        <w:t>,</w:t>
      </w:r>
      <w:r w:rsidR="005C0763">
        <w:rPr>
          <w:rFonts w:cs="Times New Roman"/>
        </w:rPr>
        <w:t xml:space="preserve"> a szektorhoz képest az alszektor inherens kockázatát Mérsékelten jelentősnek értékelte az MNB.</w:t>
      </w:r>
    </w:p>
    <w:p w14:paraId="0D340B9E" w14:textId="7F9C2AD7" w:rsidR="005C0763" w:rsidRDefault="005C0763" w:rsidP="002C55AC">
      <w:pPr>
        <w:spacing w:after="0" w:line="240" w:lineRule="auto"/>
        <w:rPr>
          <w:rFonts w:cs="Times New Roman"/>
        </w:rPr>
      </w:pPr>
    </w:p>
    <w:tbl>
      <w:tblPr>
        <w:tblW w:w="3180" w:type="dxa"/>
        <w:tblCellMar>
          <w:left w:w="70" w:type="dxa"/>
          <w:right w:w="70" w:type="dxa"/>
        </w:tblCellMar>
        <w:tblLook w:val="04A0" w:firstRow="1" w:lastRow="0" w:firstColumn="1" w:lastColumn="0" w:noHBand="0" w:noVBand="1"/>
      </w:tblPr>
      <w:tblGrid>
        <w:gridCol w:w="1660"/>
        <w:gridCol w:w="1520"/>
      </w:tblGrid>
      <w:tr w:rsidR="005C0763" w:rsidRPr="00A07F4E" w14:paraId="6433F51C" w14:textId="77777777" w:rsidTr="009D018B">
        <w:trPr>
          <w:trHeight w:val="300"/>
        </w:trPr>
        <w:tc>
          <w:tcPr>
            <w:tcW w:w="1660" w:type="dxa"/>
            <w:tcBorders>
              <w:top w:val="nil"/>
              <w:left w:val="nil"/>
              <w:bottom w:val="nil"/>
              <w:right w:val="nil"/>
            </w:tcBorders>
            <w:shd w:val="clear" w:color="auto" w:fill="auto"/>
            <w:noWrap/>
            <w:vAlign w:val="center"/>
            <w:hideMark/>
          </w:tcPr>
          <w:p w14:paraId="078DE8D5" w14:textId="77777777" w:rsidR="005C0763" w:rsidRPr="00A07F4E" w:rsidRDefault="005C0763" w:rsidP="009D018B">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Inherens kockázat:</w:t>
            </w:r>
            <w:r w:rsidRPr="00A07F4E">
              <w:rPr>
                <w:rFonts w:eastAsia="Times New Roman" w:cs="Times New Roman"/>
                <w:color w:val="000000"/>
                <w:sz w:val="16"/>
                <w:szCs w:val="16"/>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A29E49B" w14:textId="77777777" w:rsidR="005C0763" w:rsidRPr="00A07F4E" w:rsidRDefault="005C0763" w:rsidP="009D018B">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Mérsékelten jelentős</w:t>
            </w:r>
          </w:p>
        </w:tc>
      </w:tr>
    </w:tbl>
    <w:p w14:paraId="252485B3" w14:textId="77777777" w:rsidR="005C0763" w:rsidRDefault="005C0763" w:rsidP="002C55AC">
      <w:pPr>
        <w:spacing w:after="0" w:line="240" w:lineRule="auto"/>
        <w:rPr>
          <w:rFonts w:cs="Times New Roman"/>
        </w:rPr>
      </w:pPr>
    </w:p>
    <w:p w14:paraId="24DD4426" w14:textId="77777777" w:rsidR="005C0763" w:rsidRDefault="005C0763" w:rsidP="002C55AC">
      <w:pPr>
        <w:spacing w:after="0" w:line="240" w:lineRule="auto"/>
        <w:rPr>
          <w:rFonts w:cs="Times New Roman"/>
        </w:rPr>
      </w:pPr>
    </w:p>
    <w:p w14:paraId="63D3191B" w14:textId="50EC98A6" w:rsidR="008762E5" w:rsidRPr="00A07F4E" w:rsidRDefault="008762E5" w:rsidP="008762E5">
      <w:r w:rsidRPr="009F3A30">
        <w:t>A</w:t>
      </w:r>
      <w:r>
        <w:t xml:space="preserve"> maradványkockázati szint az</w:t>
      </w:r>
      <w:r w:rsidRPr="009F3A30">
        <w:t xml:space="preserve"> inherens kockázat szintjéhez képest nem került </w:t>
      </w:r>
      <w:r>
        <w:t>eltérítésre</w:t>
      </w:r>
      <w:r w:rsidRPr="009F3A30">
        <w:t xml:space="preserve">, mivel egyelőre nem áll rendelkezésre kellő mélységű felügyleleti </w:t>
      </w:r>
      <w:r>
        <w:t>tapasztalat</w:t>
      </w:r>
      <w:r w:rsidRPr="009F3A30">
        <w:t xml:space="preserve"> az alszektort illetően.  </w:t>
      </w:r>
      <w:r>
        <w:t>Az MNB</w:t>
      </w:r>
      <w:r w:rsidRPr="009F3A30">
        <w:t xml:space="preserve"> folyamatos felügyelés keretében, az alszektor </w:t>
      </w:r>
      <w:r>
        <w:t>szolgáltatóinak</w:t>
      </w:r>
      <w:r w:rsidRPr="009F3A30">
        <w:t xml:space="preserve"> ügyfeleitől, illetve társhatóságoktól érkező panaszok és sajtófigyelés során szerzett információk alapján felügyeli</w:t>
      </w:r>
      <w:r>
        <w:t xml:space="preserve"> az alszektorhoz tartozó szolgáltatókat. </w:t>
      </w:r>
    </w:p>
    <w:tbl>
      <w:tblPr>
        <w:tblW w:w="3180" w:type="dxa"/>
        <w:tblCellMar>
          <w:left w:w="70" w:type="dxa"/>
          <w:right w:w="70" w:type="dxa"/>
        </w:tblCellMar>
        <w:tblLook w:val="04A0" w:firstRow="1" w:lastRow="0" w:firstColumn="1" w:lastColumn="0" w:noHBand="0" w:noVBand="1"/>
      </w:tblPr>
      <w:tblGrid>
        <w:gridCol w:w="1660"/>
        <w:gridCol w:w="1520"/>
      </w:tblGrid>
      <w:tr w:rsidR="008762E5" w:rsidRPr="00A07F4E" w14:paraId="5297FAE5" w14:textId="77777777" w:rsidTr="009D018B">
        <w:trPr>
          <w:trHeight w:val="300"/>
        </w:trPr>
        <w:tc>
          <w:tcPr>
            <w:tcW w:w="1660" w:type="dxa"/>
            <w:tcBorders>
              <w:top w:val="nil"/>
              <w:left w:val="nil"/>
              <w:bottom w:val="nil"/>
              <w:right w:val="nil"/>
            </w:tcBorders>
            <w:shd w:val="clear" w:color="auto" w:fill="auto"/>
            <w:noWrap/>
            <w:vAlign w:val="center"/>
            <w:hideMark/>
          </w:tcPr>
          <w:p w14:paraId="347717A5" w14:textId="77777777" w:rsidR="008762E5" w:rsidRPr="00A07F4E" w:rsidRDefault="008762E5" w:rsidP="009D018B">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7D2F1ED" w14:textId="77777777" w:rsidR="008762E5" w:rsidRPr="00A07F4E" w:rsidRDefault="008762E5" w:rsidP="009D018B">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Mérsékleten jelentős</w:t>
            </w:r>
          </w:p>
        </w:tc>
      </w:tr>
    </w:tbl>
    <w:p w14:paraId="5950A42A" w14:textId="77777777" w:rsidR="002C55AC" w:rsidRPr="002C55AC" w:rsidRDefault="002C55AC" w:rsidP="00FC37B3">
      <w:pPr>
        <w:spacing w:after="0" w:line="240" w:lineRule="auto"/>
        <w:rPr>
          <w:rFonts w:cs="Times New Roman"/>
        </w:rPr>
      </w:pPr>
    </w:p>
    <w:p w14:paraId="101F82FB" w14:textId="4766108F" w:rsidR="009A3188" w:rsidRPr="00A07F4E" w:rsidRDefault="00E7312D" w:rsidP="00FC37B3">
      <w:pPr>
        <w:pStyle w:val="Listaszerbekezds"/>
        <w:numPr>
          <w:ilvl w:val="1"/>
          <w:numId w:val="19"/>
        </w:numPr>
        <w:spacing w:after="0" w:line="240" w:lineRule="auto"/>
        <w:ind w:left="1418" w:hanging="284"/>
      </w:pPr>
      <w:r>
        <w:t>F</w:t>
      </w:r>
      <w:r w:rsidR="00E5481A" w:rsidRPr="0057023C">
        <w:t>izetés-</w:t>
      </w:r>
      <w:r w:rsidR="00E5481A" w:rsidRPr="00EB6441">
        <w:rPr>
          <w:rFonts w:cs="Times New Roman"/>
        </w:rPr>
        <w:t>kezdeményezési</w:t>
      </w:r>
      <w:r w:rsidR="00E5481A" w:rsidRPr="0057023C">
        <w:t xml:space="preserve"> szolgáltat</w:t>
      </w:r>
      <w:r w:rsidR="00E5481A">
        <w:t xml:space="preserve">ók </w:t>
      </w:r>
      <w:r w:rsidR="009A3188" w:rsidRPr="009F3A30">
        <w:t>(</w:t>
      </w:r>
      <w:proofErr w:type="spellStart"/>
      <w:r w:rsidR="009A3188" w:rsidRPr="009F3A30">
        <w:t>PISP</w:t>
      </w:r>
      <w:proofErr w:type="spellEnd"/>
      <w:r w:rsidR="009A3188" w:rsidRPr="009F3A30">
        <w:t>)</w:t>
      </w:r>
      <w:r w:rsidR="00B42236">
        <w:rPr>
          <w:rStyle w:val="Lbjegyzet-hivatkozs"/>
        </w:rPr>
        <w:footnoteReference w:id="8"/>
      </w:r>
      <w:r w:rsidR="00E5481A">
        <w:t xml:space="preserve"> </w:t>
      </w:r>
      <w:r w:rsidR="00601D05" w:rsidRPr="009F3A30">
        <w:t>–</w:t>
      </w:r>
      <w:r w:rsidR="009A3188" w:rsidRPr="009F3A30">
        <w:t xml:space="preserve"> </w:t>
      </w:r>
      <w:proofErr w:type="spellStart"/>
      <w:r w:rsidR="000F4B1D">
        <w:t>al</w:t>
      </w:r>
      <w:proofErr w:type="spellEnd"/>
      <w:r w:rsidR="000F4B1D">
        <w:t>-</w:t>
      </w:r>
      <w:r w:rsidR="009A3188" w:rsidRPr="009F3A30">
        <w:t>alszektor</w:t>
      </w:r>
    </w:p>
    <w:p w14:paraId="23F08976" w14:textId="77777777" w:rsidR="00601D05" w:rsidRPr="00A07F4E" w:rsidRDefault="00601D05" w:rsidP="00601D05">
      <w:pPr>
        <w:pStyle w:val="Listaszerbekezds"/>
        <w:numPr>
          <w:ilvl w:val="0"/>
          <w:numId w:val="0"/>
        </w:numPr>
        <w:spacing w:after="0" w:line="240" w:lineRule="auto"/>
        <w:ind w:left="1364"/>
      </w:pPr>
    </w:p>
    <w:p w14:paraId="5DD64922" w14:textId="667D564B" w:rsidR="0079674A" w:rsidRPr="009F3A30" w:rsidRDefault="002F62B1" w:rsidP="0079674A">
      <w:pPr>
        <w:spacing w:after="0" w:line="240" w:lineRule="auto"/>
      </w:pPr>
      <w:r>
        <w:t xml:space="preserve">Jelen </w:t>
      </w:r>
      <w:proofErr w:type="spellStart"/>
      <w:r w:rsidR="00221C95">
        <w:t>al</w:t>
      </w:r>
      <w:proofErr w:type="spellEnd"/>
      <w:r w:rsidR="00221C95">
        <w:t>-</w:t>
      </w:r>
      <w:r>
        <w:t xml:space="preserve">alszektorhoz tartozó szolgáltatók </w:t>
      </w:r>
      <w:r w:rsidR="0079674A" w:rsidRPr="002F62B1">
        <w:t xml:space="preserve">száma </w:t>
      </w:r>
      <w:r w:rsidR="006817CB" w:rsidRPr="00FC37B3">
        <w:rPr>
          <w:rFonts w:cs="Times New Roman"/>
        </w:rPr>
        <w:t>3 és 5</w:t>
      </w:r>
      <w:r w:rsidR="006817CB" w:rsidRPr="00FC37B3">
        <w:t xml:space="preserve"> között</w:t>
      </w:r>
      <w:r w:rsidR="00DD0078" w:rsidRPr="00FC37B3">
        <w:t>i</w:t>
      </w:r>
      <w:r w:rsidR="006817CB" w:rsidRPr="00FC37B3">
        <w:t>re</w:t>
      </w:r>
      <w:r w:rsidR="006817CB" w:rsidRPr="002F62B1">
        <w:t xml:space="preserve"> tehető.</w:t>
      </w:r>
      <w:r w:rsidR="0079674A" w:rsidRPr="009F3A30">
        <w:t xml:space="preserve"> </w:t>
      </w:r>
    </w:p>
    <w:p w14:paraId="00C09252" w14:textId="77777777" w:rsidR="0079674A" w:rsidRPr="009F3A30" w:rsidRDefault="0079674A" w:rsidP="00A07F4E">
      <w:pPr>
        <w:pStyle w:val="Listaszerbekezds"/>
        <w:numPr>
          <w:ilvl w:val="0"/>
          <w:numId w:val="0"/>
        </w:numPr>
        <w:spacing w:after="0" w:line="240" w:lineRule="auto"/>
        <w:ind w:left="1364"/>
      </w:pPr>
    </w:p>
    <w:p w14:paraId="74CBC0E0" w14:textId="7112CBE5" w:rsidR="00D1574C" w:rsidRPr="009F3A30" w:rsidRDefault="00601D05" w:rsidP="00FC37B3">
      <w:r w:rsidRPr="008324F3">
        <w:t xml:space="preserve">Az </w:t>
      </w:r>
      <w:proofErr w:type="spellStart"/>
      <w:r w:rsidRPr="008324F3">
        <w:t>EBA</w:t>
      </w:r>
      <w:proofErr w:type="spellEnd"/>
      <w:r w:rsidRPr="008324F3">
        <w:t xml:space="preserve"> iránymutatásaiban </w:t>
      </w:r>
      <w:r w:rsidR="004F18AA" w:rsidRPr="008324F3">
        <w:t>jelezte</w:t>
      </w:r>
      <w:r w:rsidRPr="008324F3">
        <w:t xml:space="preserve">, hogy az </w:t>
      </w:r>
      <w:proofErr w:type="spellStart"/>
      <w:r w:rsidR="004F18AA" w:rsidRPr="008324F3">
        <w:t>AISP-khez</w:t>
      </w:r>
      <w:proofErr w:type="spellEnd"/>
      <w:r w:rsidR="004F18AA" w:rsidRPr="008324F3">
        <w:t xml:space="preserve"> és </w:t>
      </w:r>
      <w:proofErr w:type="spellStart"/>
      <w:r w:rsidR="004F18AA" w:rsidRPr="008324F3">
        <w:t>PISP-khez</w:t>
      </w:r>
      <w:proofErr w:type="spellEnd"/>
      <w:r w:rsidR="004F18AA" w:rsidRPr="008324F3">
        <w:t xml:space="preserve"> kapcsolódó </w:t>
      </w:r>
      <w:r w:rsidRPr="008324F3">
        <w:t>eredendő ML/</w:t>
      </w:r>
      <w:proofErr w:type="spellStart"/>
      <w:r w:rsidRPr="008324F3">
        <w:t>TF</w:t>
      </w:r>
      <w:proofErr w:type="spellEnd"/>
      <w:r w:rsidRPr="008324F3">
        <w:t xml:space="preserve"> kockázat</w:t>
      </w:r>
      <w:r w:rsidR="004F18AA" w:rsidRPr="008324F3">
        <w:t xml:space="preserve"> </w:t>
      </w:r>
      <w:r w:rsidRPr="008324F3">
        <w:t>korlátozott, és ezért az egyszerűsített átvilágítás</w:t>
      </w:r>
      <w:r w:rsidR="0057023C" w:rsidRPr="008324F3">
        <w:t>i</w:t>
      </w:r>
      <w:r w:rsidRPr="008324F3">
        <w:t xml:space="preserve"> (</w:t>
      </w:r>
      <w:proofErr w:type="spellStart"/>
      <w:r w:rsidRPr="008324F3">
        <w:t>SDD</w:t>
      </w:r>
      <w:proofErr w:type="spellEnd"/>
      <w:r w:rsidRPr="008324F3">
        <w:t>) intézkedések a legtöbb esetben megfelelőek.</w:t>
      </w:r>
      <w:r w:rsidR="00B72099" w:rsidRPr="008324F3">
        <w:t xml:space="preserve"> </w:t>
      </w:r>
      <w:r w:rsidR="00D1574C" w:rsidRPr="008324F3">
        <w:t xml:space="preserve">Kockázatot csökkentő tényező, hogy a </w:t>
      </w:r>
      <w:proofErr w:type="spellStart"/>
      <w:r w:rsidR="00D1574C" w:rsidRPr="008324F3">
        <w:t>PISP</w:t>
      </w:r>
      <w:proofErr w:type="spellEnd"/>
      <w:r w:rsidR="00D1574C" w:rsidRPr="008324F3">
        <w:t>-k, bár részt vesznek a fizetési láncban, nem maguk hajtják végre a fizetési műveleteket, és nem rendelkeznek a pénzforgalmi szolgáltatást igénybe vevők pénzeszközeivel</w:t>
      </w:r>
      <w:r w:rsidR="002C05D0" w:rsidRPr="008324F3">
        <w:t xml:space="preserve">. </w:t>
      </w:r>
      <w:r w:rsidR="003E1AEF" w:rsidRPr="008324F3">
        <w:t xml:space="preserve"> Azonban a </w:t>
      </w:r>
      <w:proofErr w:type="spellStart"/>
      <w:r w:rsidR="003E1AEF" w:rsidRPr="008324F3">
        <w:t>PISP</w:t>
      </w:r>
      <w:proofErr w:type="spellEnd"/>
      <w:r w:rsidR="00717E93" w:rsidRPr="008324F3">
        <w:t xml:space="preserve"> szolgáltatóknál </w:t>
      </w:r>
      <w:r w:rsidR="003E1AEF" w:rsidRPr="008324F3">
        <w:t xml:space="preserve">lehetőség van jelen fejezet 2. pontjában </w:t>
      </w:r>
      <w:r w:rsidR="00287904" w:rsidRPr="008324F3">
        <w:t xml:space="preserve">részletezett </w:t>
      </w:r>
      <w:r w:rsidR="003E1AEF" w:rsidRPr="008324F3">
        <w:t xml:space="preserve">fizetési kérelem benyújtására, amely </w:t>
      </w:r>
      <w:r w:rsidR="009631CA">
        <w:t>kockázatot növelő tényező</w:t>
      </w:r>
      <w:r w:rsidR="000F4B1D">
        <w:t xml:space="preserve">, de ez a </w:t>
      </w:r>
      <w:r w:rsidR="000F4B1D">
        <w:lastRenderedPageBreak/>
        <w:t>tény önmagában még nem indokolja az alszektor inherens kockázatához képest történő eltérítést, így</w:t>
      </w:r>
      <w:r w:rsidR="009631CA">
        <w:t xml:space="preserve"> </w:t>
      </w:r>
      <w:r w:rsidR="000F4B1D">
        <w:t>ö</w:t>
      </w:r>
      <w:r w:rsidR="009631CA">
        <w:t xml:space="preserve">sszeségében az MNB az </w:t>
      </w:r>
      <w:proofErr w:type="spellStart"/>
      <w:r w:rsidR="000F4B1D">
        <w:t>al</w:t>
      </w:r>
      <w:proofErr w:type="spellEnd"/>
      <w:r w:rsidR="000F4B1D">
        <w:t>-al</w:t>
      </w:r>
      <w:r w:rsidR="009631CA">
        <w:t xml:space="preserve">szektor inherens kockázatát Mérsékelten jelentősnek </w:t>
      </w:r>
      <w:r w:rsidR="005550CA">
        <w:t>értékeli</w:t>
      </w:r>
      <w:r w:rsidR="00287904" w:rsidRPr="008324F3">
        <w:t>.</w:t>
      </w:r>
      <w:r w:rsidR="00287904">
        <w:t xml:space="preserve"> </w:t>
      </w:r>
      <w:r w:rsidR="003E1AEF">
        <w:t xml:space="preserve">  </w:t>
      </w:r>
    </w:p>
    <w:tbl>
      <w:tblPr>
        <w:tblW w:w="3180" w:type="dxa"/>
        <w:tblCellMar>
          <w:left w:w="70" w:type="dxa"/>
          <w:right w:w="70" w:type="dxa"/>
        </w:tblCellMar>
        <w:tblLook w:val="04A0" w:firstRow="1" w:lastRow="0" w:firstColumn="1" w:lastColumn="0" w:noHBand="0" w:noVBand="1"/>
      </w:tblPr>
      <w:tblGrid>
        <w:gridCol w:w="1660"/>
        <w:gridCol w:w="1520"/>
      </w:tblGrid>
      <w:tr w:rsidR="00293CD7" w:rsidRPr="00A07F4E" w14:paraId="7BD157C0" w14:textId="77777777" w:rsidTr="008324F3">
        <w:trPr>
          <w:trHeight w:val="300"/>
        </w:trPr>
        <w:tc>
          <w:tcPr>
            <w:tcW w:w="1660" w:type="dxa"/>
            <w:tcBorders>
              <w:top w:val="nil"/>
              <w:left w:val="nil"/>
              <w:bottom w:val="nil"/>
              <w:right w:val="nil"/>
            </w:tcBorders>
            <w:shd w:val="clear" w:color="auto" w:fill="auto"/>
            <w:noWrap/>
            <w:vAlign w:val="center"/>
            <w:hideMark/>
          </w:tcPr>
          <w:p w14:paraId="678EFFC8" w14:textId="77777777" w:rsidR="00293CD7" w:rsidRPr="00A07F4E" w:rsidRDefault="00293CD7" w:rsidP="00293CD7">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Inherens kockázat:</w:t>
            </w:r>
            <w:r w:rsidRPr="00A07F4E">
              <w:rPr>
                <w:rFonts w:eastAsia="Times New Roman" w:cs="Times New Roman"/>
                <w:color w:val="000000"/>
                <w:sz w:val="16"/>
                <w:szCs w:val="16"/>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3F7930D" w14:textId="49AF312E" w:rsidR="00293CD7" w:rsidRPr="00A07F4E" w:rsidRDefault="00287904" w:rsidP="00293CD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Mérsékelten jelentős</w:t>
            </w:r>
          </w:p>
        </w:tc>
      </w:tr>
    </w:tbl>
    <w:p w14:paraId="29204EAC" w14:textId="77777777" w:rsidR="00293CD7" w:rsidRPr="00A07F4E" w:rsidRDefault="00293CD7" w:rsidP="00601D05">
      <w:pPr>
        <w:spacing w:after="0" w:line="240" w:lineRule="auto"/>
      </w:pPr>
    </w:p>
    <w:p w14:paraId="5776E1F1" w14:textId="2285DBA0" w:rsidR="00636BB8" w:rsidRPr="00A07F4E" w:rsidRDefault="00293CD7" w:rsidP="00636BB8">
      <w:r w:rsidRPr="009F3A30">
        <w:t>Az inherens kockázat szintjéhez képest a maradványkockázati szint nem került módosításra</w:t>
      </w:r>
      <w:r w:rsidR="00FE586B" w:rsidRPr="009F3A30">
        <w:t>,</w:t>
      </w:r>
      <w:r w:rsidRPr="009F3A30">
        <w:t xml:space="preserve"> mivel </w:t>
      </w:r>
      <w:r w:rsidR="00FE586B" w:rsidRPr="009F3A30">
        <w:t>egyelőre nem</w:t>
      </w:r>
      <w:r w:rsidRPr="009F3A30">
        <w:t xml:space="preserve"> áll rendelkezésre kellő mélységű felügyleleti ismeret</w:t>
      </w:r>
      <w:r w:rsidR="00FE586B" w:rsidRPr="009F3A30">
        <w:t xml:space="preserve"> az alszektort illetően</w:t>
      </w:r>
      <w:r w:rsidRPr="009F3A30">
        <w:t>.</w:t>
      </w:r>
      <w:r w:rsidR="00FE586B" w:rsidRPr="009F3A30">
        <w:t xml:space="preserve"> </w:t>
      </w:r>
      <w:r w:rsidRPr="009F3A30">
        <w:t xml:space="preserve"> </w:t>
      </w:r>
      <w:r w:rsidR="0057023C">
        <w:t>Az MNB</w:t>
      </w:r>
      <w:r w:rsidR="00636BB8" w:rsidRPr="009F3A30">
        <w:t xml:space="preserve"> folyamatos felügyelés keretében, az </w:t>
      </w:r>
      <w:proofErr w:type="spellStart"/>
      <w:r w:rsidR="000F4B1D">
        <w:t>al</w:t>
      </w:r>
      <w:proofErr w:type="spellEnd"/>
      <w:r w:rsidR="000F4B1D">
        <w:t>-</w:t>
      </w:r>
      <w:r w:rsidR="00636BB8" w:rsidRPr="009F3A30">
        <w:t xml:space="preserve">alszektor </w:t>
      </w:r>
      <w:r w:rsidR="008C1A55">
        <w:t>szolgáltatóinak</w:t>
      </w:r>
      <w:r w:rsidR="008C1A55" w:rsidRPr="009F3A30">
        <w:t xml:space="preserve"> </w:t>
      </w:r>
      <w:r w:rsidR="00636BB8" w:rsidRPr="009F3A30">
        <w:t xml:space="preserve">ügyfeleitől, illetve társhatóságoktól érkező panaszok és sajtófigyelés során szerzett információk alapján felügyeli, felmerülő kockázati jelzés alapján ellenőrzi a </w:t>
      </w:r>
      <w:proofErr w:type="spellStart"/>
      <w:r w:rsidR="00636BB8" w:rsidRPr="009F3A30">
        <w:t>PISP</w:t>
      </w:r>
      <w:proofErr w:type="spellEnd"/>
      <w:r w:rsidR="00636BB8" w:rsidRPr="009F3A30">
        <w:t>-ket.</w:t>
      </w:r>
      <w:r w:rsidR="00636BB8" w:rsidRPr="00A07F4E">
        <w:t xml:space="preserve"> </w:t>
      </w:r>
    </w:p>
    <w:tbl>
      <w:tblPr>
        <w:tblW w:w="3180" w:type="dxa"/>
        <w:tblCellMar>
          <w:left w:w="70" w:type="dxa"/>
          <w:right w:w="70" w:type="dxa"/>
        </w:tblCellMar>
        <w:tblLook w:val="04A0" w:firstRow="1" w:lastRow="0" w:firstColumn="1" w:lastColumn="0" w:noHBand="0" w:noVBand="1"/>
      </w:tblPr>
      <w:tblGrid>
        <w:gridCol w:w="1660"/>
        <w:gridCol w:w="1520"/>
      </w:tblGrid>
      <w:tr w:rsidR="00900A33" w:rsidRPr="00A07F4E" w14:paraId="6544AC11" w14:textId="77777777" w:rsidTr="008324F3">
        <w:trPr>
          <w:trHeight w:val="300"/>
        </w:trPr>
        <w:tc>
          <w:tcPr>
            <w:tcW w:w="1660" w:type="dxa"/>
            <w:tcBorders>
              <w:top w:val="nil"/>
              <w:left w:val="nil"/>
              <w:bottom w:val="nil"/>
              <w:right w:val="nil"/>
            </w:tcBorders>
            <w:shd w:val="clear" w:color="auto" w:fill="auto"/>
            <w:noWrap/>
            <w:vAlign w:val="center"/>
            <w:hideMark/>
          </w:tcPr>
          <w:p w14:paraId="06C6C301" w14:textId="77777777" w:rsidR="00900A33" w:rsidRPr="00A07F4E" w:rsidRDefault="00900A33" w:rsidP="00900A33">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233B8C9" w14:textId="1E25C9F4" w:rsidR="00900A33" w:rsidRPr="00A07F4E" w:rsidRDefault="002D4422" w:rsidP="00900A3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Mérsékleten jelentős</w:t>
            </w:r>
          </w:p>
        </w:tc>
      </w:tr>
    </w:tbl>
    <w:p w14:paraId="5CD28A08" w14:textId="0367449D" w:rsidR="00144800" w:rsidRDefault="00144800" w:rsidP="00636BB8"/>
    <w:p w14:paraId="4625DD4B" w14:textId="3046E9DC" w:rsidR="009A3188" w:rsidRPr="00A07F4E" w:rsidRDefault="00E5481A" w:rsidP="00FC37B3">
      <w:pPr>
        <w:pStyle w:val="Listaszerbekezds"/>
        <w:numPr>
          <w:ilvl w:val="1"/>
          <w:numId w:val="19"/>
        </w:numPr>
        <w:spacing w:after="0" w:line="240" w:lineRule="auto"/>
        <w:ind w:left="1418" w:hanging="284"/>
      </w:pPr>
      <w:r>
        <w:t>S</w:t>
      </w:r>
      <w:r w:rsidRPr="002342A8">
        <w:t>zámlainformáció</w:t>
      </w:r>
      <w:r>
        <w:t xml:space="preserve">s </w:t>
      </w:r>
      <w:r w:rsidRPr="0057023C">
        <w:t>szolgáltat</w:t>
      </w:r>
      <w:r>
        <w:t xml:space="preserve">ók </w:t>
      </w:r>
      <w:r w:rsidR="009A3188" w:rsidRPr="009F3A30">
        <w:t>(</w:t>
      </w:r>
      <w:proofErr w:type="spellStart"/>
      <w:r w:rsidR="009A3188" w:rsidRPr="009F3A30">
        <w:t>AISP</w:t>
      </w:r>
      <w:proofErr w:type="spellEnd"/>
      <w:r w:rsidR="009A3188" w:rsidRPr="009F3A30">
        <w:t>)</w:t>
      </w:r>
      <w:r w:rsidR="00B42236" w:rsidRPr="00B42236">
        <w:rPr>
          <w:rStyle w:val="Lbjegyzet-hivatkozs"/>
        </w:rPr>
        <w:t xml:space="preserve"> </w:t>
      </w:r>
      <w:r w:rsidR="00B42236">
        <w:rPr>
          <w:rStyle w:val="Lbjegyzet-hivatkozs"/>
        </w:rPr>
        <w:footnoteReference w:id="9"/>
      </w:r>
      <w:r w:rsidR="00B42236" w:rsidRPr="009F3A30">
        <w:t xml:space="preserve"> </w:t>
      </w:r>
      <w:r w:rsidR="009A3188" w:rsidRPr="009F3A30">
        <w:t xml:space="preserve"> </w:t>
      </w:r>
      <w:r w:rsidR="00223171" w:rsidRPr="009F3A30">
        <w:t xml:space="preserve">– </w:t>
      </w:r>
      <w:proofErr w:type="spellStart"/>
      <w:r w:rsidR="000F4B1D">
        <w:t>al</w:t>
      </w:r>
      <w:proofErr w:type="spellEnd"/>
      <w:r w:rsidR="000F4B1D">
        <w:t>-</w:t>
      </w:r>
      <w:r w:rsidR="00ED7351" w:rsidRPr="009F3A30">
        <w:t>alszektor</w:t>
      </w:r>
    </w:p>
    <w:p w14:paraId="35A75C57" w14:textId="77777777" w:rsidR="0079674A" w:rsidRPr="00A07F4E" w:rsidRDefault="0079674A" w:rsidP="00370CCC">
      <w:pPr>
        <w:spacing w:after="0" w:line="240" w:lineRule="auto"/>
      </w:pPr>
    </w:p>
    <w:p w14:paraId="708E4421" w14:textId="23277153" w:rsidR="0079674A" w:rsidRPr="009F3A30" w:rsidRDefault="006F2711" w:rsidP="0079674A">
      <w:pPr>
        <w:spacing w:after="0" w:line="240" w:lineRule="auto"/>
      </w:pPr>
      <w:r>
        <w:t xml:space="preserve">Jelen </w:t>
      </w:r>
      <w:proofErr w:type="spellStart"/>
      <w:r>
        <w:t>al</w:t>
      </w:r>
      <w:proofErr w:type="spellEnd"/>
      <w:r>
        <w:t xml:space="preserve">-alszektorhoz tartozó </w:t>
      </w:r>
      <w:r w:rsidR="00A37D9D">
        <w:t>szolgáltatók</w:t>
      </w:r>
      <w:r w:rsidR="00A37D9D" w:rsidRPr="009F3A30">
        <w:t xml:space="preserve"> </w:t>
      </w:r>
      <w:r w:rsidR="0079674A" w:rsidRPr="006F2711">
        <w:t xml:space="preserve">száma </w:t>
      </w:r>
      <w:r w:rsidR="0079674A" w:rsidRPr="00FC37B3">
        <w:t>5 és 10</w:t>
      </w:r>
      <w:r w:rsidR="0079674A" w:rsidRPr="009F3A30">
        <w:t xml:space="preserve"> közé tehető. </w:t>
      </w:r>
    </w:p>
    <w:p w14:paraId="1CD88D9E" w14:textId="77777777" w:rsidR="0079674A" w:rsidRPr="009F3A30" w:rsidRDefault="0079674A" w:rsidP="00370CCC">
      <w:pPr>
        <w:spacing w:after="0" w:line="240" w:lineRule="auto"/>
      </w:pPr>
    </w:p>
    <w:p w14:paraId="2780057A" w14:textId="2D054BAE" w:rsidR="006563E7" w:rsidRPr="009F3A30" w:rsidRDefault="006563E7" w:rsidP="00370CCC">
      <w:pPr>
        <w:spacing w:after="0" w:line="240" w:lineRule="auto"/>
      </w:pPr>
      <w:r w:rsidRPr="009F3A30">
        <w:t>A számlainformáció</w:t>
      </w:r>
      <w:r w:rsidR="006F6CBA">
        <w:t xml:space="preserve">s </w:t>
      </w:r>
      <w:r w:rsidRPr="009F3A30">
        <w:t xml:space="preserve">szolgáltatás esetén </w:t>
      </w:r>
      <w:r w:rsidR="008C1A55">
        <w:t>a szolgáltató</w:t>
      </w:r>
      <w:r w:rsidRPr="009F3A30">
        <w:t xml:space="preserve"> egyedül banktitoknak minősülő információkhoz fér hozzá, </w:t>
      </w:r>
      <w:r w:rsidR="00A73F0A" w:rsidRPr="009F3A30">
        <w:t xml:space="preserve">a fizetési láncban nem szerepel, </w:t>
      </w:r>
      <w:r w:rsidRPr="009F3A30">
        <w:t>fizetési műveletet kezdeményezni nem áll módjában, a pénzmozgásra semminemű ráhatás</w:t>
      </w:r>
      <w:r w:rsidR="008A0BCB" w:rsidRPr="009F3A30">
        <w:t>a</w:t>
      </w:r>
      <w:r w:rsidRPr="009F3A30">
        <w:t xml:space="preserve"> nincsen</w:t>
      </w:r>
      <w:r w:rsidR="00E668B7" w:rsidRPr="009F3A30">
        <w:t>, azaz</w:t>
      </w:r>
      <w:r w:rsidR="000A04D7" w:rsidRPr="009F3A30">
        <w:t xml:space="preserve"> – </w:t>
      </w:r>
      <w:r w:rsidR="00E668B7" w:rsidRPr="009F3A30">
        <w:t xml:space="preserve">a </w:t>
      </w:r>
      <w:proofErr w:type="spellStart"/>
      <w:r w:rsidR="00E668B7" w:rsidRPr="009F3A30">
        <w:t>PISP-hez</w:t>
      </w:r>
      <w:proofErr w:type="spellEnd"/>
      <w:r w:rsidR="00E668B7" w:rsidRPr="009F3A30">
        <w:t xml:space="preserve"> hasonlóan</w:t>
      </w:r>
      <w:r w:rsidR="000A04D7" w:rsidRPr="009F3A30">
        <w:t xml:space="preserve"> –</w:t>
      </w:r>
      <w:r w:rsidR="00E668B7" w:rsidRPr="009F3A30">
        <w:t xml:space="preserve"> nem rendelkez</w:t>
      </w:r>
      <w:r w:rsidR="008A0BCB" w:rsidRPr="009F3A30">
        <w:t>ik</w:t>
      </w:r>
      <w:r w:rsidR="00E668B7" w:rsidRPr="009F3A30">
        <w:t xml:space="preserve"> a pénzforgalmi szolgáltatást igénybe vevő pénzeszközeivel</w:t>
      </w:r>
      <w:r w:rsidRPr="009F3A30">
        <w:t xml:space="preserve">. </w:t>
      </w:r>
    </w:p>
    <w:p w14:paraId="53EA12DF" w14:textId="77777777" w:rsidR="00293CD7" w:rsidRPr="009F3A30" w:rsidRDefault="00293CD7" w:rsidP="00370CCC">
      <w:pPr>
        <w:spacing w:after="0" w:line="240" w:lineRule="auto"/>
      </w:pPr>
    </w:p>
    <w:p w14:paraId="55E2EA6C" w14:textId="1A225110" w:rsidR="00293CD7" w:rsidRPr="009F3A30" w:rsidRDefault="00293CD7" w:rsidP="00293CD7">
      <w:pPr>
        <w:spacing w:after="0" w:line="240" w:lineRule="auto"/>
      </w:pPr>
      <w:r w:rsidRPr="009F3A30">
        <w:t xml:space="preserve">Az </w:t>
      </w:r>
      <w:proofErr w:type="spellStart"/>
      <w:r w:rsidRPr="009F3A30">
        <w:t>EBA</w:t>
      </w:r>
      <w:proofErr w:type="spellEnd"/>
      <w:r w:rsidRPr="009F3A30">
        <w:t xml:space="preserve"> iránymutatásaiban jelezte, hogy az </w:t>
      </w:r>
      <w:proofErr w:type="spellStart"/>
      <w:r w:rsidRPr="009F3A30">
        <w:t>AISP-khez</w:t>
      </w:r>
      <w:proofErr w:type="spellEnd"/>
      <w:r w:rsidRPr="009F3A30">
        <w:t xml:space="preserve"> és </w:t>
      </w:r>
      <w:proofErr w:type="spellStart"/>
      <w:r w:rsidRPr="009F3A30">
        <w:t>PISP-khez</w:t>
      </w:r>
      <w:proofErr w:type="spellEnd"/>
      <w:r w:rsidRPr="009F3A30">
        <w:t xml:space="preserve"> kapcsolódó eredendő ML/</w:t>
      </w:r>
      <w:proofErr w:type="spellStart"/>
      <w:r w:rsidRPr="009F3A30">
        <w:t>TF</w:t>
      </w:r>
      <w:proofErr w:type="spellEnd"/>
      <w:r w:rsidRPr="009F3A30">
        <w:t xml:space="preserve"> kockázat korlátozott, és ezért az egyszerűsített átvilágítás (</w:t>
      </w:r>
      <w:proofErr w:type="spellStart"/>
      <w:r w:rsidRPr="009F3A30">
        <w:t>SDD</w:t>
      </w:r>
      <w:proofErr w:type="spellEnd"/>
      <w:r w:rsidRPr="009F3A30">
        <w:t>) intézkedések a legtöbb esetben megfelelőek.</w:t>
      </w:r>
      <w:r w:rsidR="000F4B1D">
        <w:t xml:space="preserve">  Tekintettel arra, hogy jelen </w:t>
      </w:r>
      <w:proofErr w:type="spellStart"/>
      <w:r w:rsidR="000F4B1D">
        <w:t>al</w:t>
      </w:r>
      <w:proofErr w:type="spellEnd"/>
      <w:r w:rsidR="000F4B1D">
        <w:t xml:space="preserve">-alszektorba tartozó szolgáltatók a fizetési műveletekre semminemű ráhatással nem rendelkeznek, úgy az alszektor inherens kockázatához képest jelen </w:t>
      </w:r>
      <w:proofErr w:type="spellStart"/>
      <w:r w:rsidR="000F4B1D">
        <w:t>al</w:t>
      </w:r>
      <w:proofErr w:type="spellEnd"/>
      <w:r w:rsidR="000F4B1D">
        <w:t>-alszektor</w:t>
      </w:r>
      <w:r w:rsidR="00A43BDC">
        <w:t>ban működő szolgáltatók</w:t>
      </w:r>
      <w:r w:rsidR="000F4B1D">
        <w:t xml:space="preserve"> </w:t>
      </w:r>
      <w:r w:rsidR="00A43BDC">
        <w:t>kevésbé kitettek ML/</w:t>
      </w:r>
      <w:proofErr w:type="spellStart"/>
      <w:r w:rsidR="00A43BDC">
        <w:t>TF</w:t>
      </w:r>
      <w:proofErr w:type="spellEnd"/>
      <w:r w:rsidR="00A43BDC">
        <w:t xml:space="preserve"> kockázatoknak, így </w:t>
      </w:r>
      <w:r w:rsidR="00970F63">
        <w:t xml:space="preserve">– </w:t>
      </w:r>
      <w:r w:rsidR="00A43BDC">
        <w:t>az alszektor inherens kockázatától eltérően</w:t>
      </w:r>
      <w:r w:rsidR="00970F63">
        <w:t xml:space="preserve"> –</w:t>
      </w:r>
      <w:r w:rsidR="00A43BDC">
        <w:t xml:space="preserve"> a jelen </w:t>
      </w:r>
      <w:proofErr w:type="spellStart"/>
      <w:r w:rsidR="00A43BDC">
        <w:t>al</w:t>
      </w:r>
      <w:proofErr w:type="spellEnd"/>
      <w:r w:rsidR="00A43BDC">
        <w:t xml:space="preserve">-alszektor inherens kockázatát az MNB Kevésbé jelentősnek értékeli. </w:t>
      </w:r>
    </w:p>
    <w:p w14:paraId="7D482346" w14:textId="77777777" w:rsidR="008A0BCB" w:rsidRPr="009F3A30" w:rsidRDefault="008A0BCB" w:rsidP="00293CD7">
      <w:pPr>
        <w:spacing w:after="0" w:line="240" w:lineRule="auto"/>
      </w:pPr>
    </w:p>
    <w:tbl>
      <w:tblPr>
        <w:tblW w:w="3180" w:type="dxa"/>
        <w:tblCellMar>
          <w:left w:w="70" w:type="dxa"/>
          <w:right w:w="70" w:type="dxa"/>
        </w:tblCellMar>
        <w:tblLook w:val="04A0" w:firstRow="1" w:lastRow="0" w:firstColumn="1" w:lastColumn="0" w:noHBand="0" w:noVBand="1"/>
      </w:tblPr>
      <w:tblGrid>
        <w:gridCol w:w="1660"/>
        <w:gridCol w:w="1520"/>
      </w:tblGrid>
      <w:tr w:rsidR="008A0BCB" w:rsidRPr="00A07F4E" w14:paraId="776CE493" w14:textId="77777777" w:rsidTr="00ED16AA">
        <w:trPr>
          <w:trHeight w:val="300"/>
        </w:trPr>
        <w:tc>
          <w:tcPr>
            <w:tcW w:w="1660" w:type="dxa"/>
            <w:tcBorders>
              <w:top w:val="nil"/>
              <w:left w:val="nil"/>
              <w:bottom w:val="nil"/>
              <w:right w:val="nil"/>
            </w:tcBorders>
            <w:shd w:val="clear" w:color="auto" w:fill="auto"/>
            <w:noWrap/>
            <w:vAlign w:val="center"/>
            <w:hideMark/>
          </w:tcPr>
          <w:p w14:paraId="3F315C56" w14:textId="77777777" w:rsidR="008A0BCB" w:rsidRPr="00A07F4E" w:rsidRDefault="008A0BCB" w:rsidP="00ED16AA">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Inherens kockázat:</w:t>
            </w:r>
            <w:r w:rsidRPr="00A07F4E">
              <w:rPr>
                <w:rFonts w:eastAsia="Times New Roman" w:cs="Times New Roman"/>
                <w:color w:val="000000"/>
                <w:sz w:val="16"/>
                <w:szCs w:val="16"/>
              </w:rPr>
              <w:t xml:space="preserve"> </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B02449" w14:textId="77777777" w:rsidR="008A0BCB" w:rsidRPr="00A07F4E" w:rsidRDefault="008A0BCB" w:rsidP="00ED16AA">
            <w:pPr>
              <w:spacing w:after="0" w:line="240" w:lineRule="auto"/>
              <w:jc w:val="center"/>
              <w:rPr>
                <w:rFonts w:eastAsia="Times New Roman" w:cs="Times New Roman"/>
                <w:color w:val="000000"/>
                <w:sz w:val="16"/>
                <w:szCs w:val="16"/>
              </w:rPr>
            </w:pPr>
            <w:r w:rsidRPr="00A07F4E">
              <w:rPr>
                <w:rFonts w:eastAsia="Times New Roman" w:cs="Times New Roman"/>
                <w:color w:val="000000"/>
                <w:sz w:val="16"/>
                <w:szCs w:val="16"/>
              </w:rPr>
              <w:t>Kevésbé jelentős</w:t>
            </w:r>
          </w:p>
        </w:tc>
      </w:tr>
    </w:tbl>
    <w:p w14:paraId="2789D65D" w14:textId="77777777" w:rsidR="008A0BCB" w:rsidRPr="00A07F4E" w:rsidRDefault="008A0BCB" w:rsidP="00293CD7">
      <w:pPr>
        <w:spacing w:after="0" w:line="240" w:lineRule="auto"/>
        <w:rPr>
          <w:rFonts w:cs="Times New Roman"/>
        </w:rPr>
      </w:pPr>
    </w:p>
    <w:p w14:paraId="6DF1641B" w14:textId="544AE610" w:rsidR="008A0BCB" w:rsidRPr="00A07F4E" w:rsidRDefault="008A0BCB" w:rsidP="008A0BCB">
      <w:r w:rsidRPr="009F3A30">
        <w:t xml:space="preserve">Az inherens kockázat szintjéhez képest a maradványkockázati szint nem került módosításra, mivel egyelőre nem áll rendelkezésre kellő mélységű felügyleleti ismeret az </w:t>
      </w:r>
      <w:proofErr w:type="spellStart"/>
      <w:r w:rsidR="00A43BDC">
        <w:t>al</w:t>
      </w:r>
      <w:proofErr w:type="spellEnd"/>
      <w:r w:rsidR="00A43BDC">
        <w:t>-</w:t>
      </w:r>
      <w:r w:rsidRPr="009F3A30">
        <w:t>alszektort illetően.  A</w:t>
      </w:r>
      <w:r w:rsidR="00B42236">
        <w:t>z MNB</w:t>
      </w:r>
      <w:r w:rsidRPr="009F3A30">
        <w:t xml:space="preserve"> folyamatos felügyelés keretében, az </w:t>
      </w:r>
      <w:proofErr w:type="spellStart"/>
      <w:r w:rsidR="00A43BDC">
        <w:t>al</w:t>
      </w:r>
      <w:proofErr w:type="spellEnd"/>
      <w:r w:rsidR="00A43BDC">
        <w:t>-</w:t>
      </w:r>
      <w:r w:rsidRPr="009F3A30">
        <w:t xml:space="preserve">alszektor </w:t>
      </w:r>
      <w:r w:rsidR="008C1A55">
        <w:t>szolgáltatóinak</w:t>
      </w:r>
      <w:r w:rsidR="008C1A55" w:rsidRPr="009F3A30">
        <w:t xml:space="preserve"> </w:t>
      </w:r>
      <w:r w:rsidRPr="009F3A30">
        <w:t xml:space="preserve">ügyfeleitől, illetve társhatóságoktól érkező panaszok és sajtófigyelés során szerzett információk alapján felügyeli, felmerülő kockázati jelzés alapján ellenőrzi a </w:t>
      </w:r>
      <w:proofErr w:type="spellStart"/>
      <w:r w:rsidR="0041629D" w:rsidRPr="009F3A30">
        <w:t>A</w:t>
      </w:r>
      <w:r w:rsidRPr="009F3A30">
        <w:t>ISP</w:t>
      </w:r>
      <w:proofErr w:type="spellEnd"/>
      <w:r w:rsidRPr="009F3A30">
        <w:t>-ket.</w:t>
      </w:r>
      <w:r w:rsidRPr="00A07F4E">
        <w:t xml:space="preserve"> </w:t>
      </w:r>
    </w:p>
    <w:tbl>
      <w:tblPr>
        <w:tblW w:w="3180" w:type="dxa"/>
        <w:tblCellMar>
          <w:left w:w="70" w:type="dxa"/>
          <w:right w:w="70" w:type="dxa"/>
        </w:tblCellMar>
        <w:tblLook w:val="04A0" w:firstRow="1" w:lastRow="0" w:firstColumn="1" w:lastColumn="0" w:noHBand="0" w:noVBand="1"/>
      </w:tblPr>
      <w:tblGrid>
        <w:gridCol w:w="1660"/>
        <w:gridCol w:w="1520"/>
      </w:tblGrid>
      <w:tr w:rsidR="008A0BCB" w:rsidRPr="00A07F4E" w14:paraId="5B6D619D" w14:textId="77777777" w:rsidTr="00ED16AA">
        <w:trPr>
          <w:trHeight w:val="300"/>
        </w:trPr>
        <w:tc>
          <w:tcPr>
            <w:tcW w:w="1660" w:type="dxa"/>
            <w:tcBorders>
              <w:top w:val="nil"/>
              <w:left w:val="nil"/>
              <w:bottom w:val="nil"/>
              <w:right w:val="nil"/>
            </w:tcBorders>
            <w:shd w:val="clear" w:color="auto" w:fill="auto"/>
            <w:noWrap/>
            <w:vAlign w:val="center"/>
            <w:hideMark/>
          </w:tcPr>
          <w:p w14:paraId="609A5418" w14:textId="77777777" w:rsidR="008A0BCB" w:rsidRPr="00A07F4E" w:rsidRDefault="008A0BCB" w:rsidP="00ED16AA">
            <w:pPr>
              <w:spacing w:after="0" w:line="240" w:lineRule="auto"/>
              <w:jc w:val="center"/>
              <w:rPr>
                <w:rFonts w:eastAsia="Times New Roman" w:cs="Times New Roman"/>
                <w:b/>
                <w:bCs/>
                <w:color w:val="000000"/>
                <w:sz w:val="16"/>
                <w:szCs w:val="16"/>
              </w:rPr>
            </w:pPr>
            <w:r w:rsidRPr="00A07F4E">
              <w:rPr>
                <w:rFonts w:eastAsia="Times New Roman" w:cs="Times New Roman"/>
                <w:b/>
                <w:bCs/>
                <w:color w:val="000000"/>
                <w:sz w:val="16"/>
                <w:szCs w:val="16"/>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B991954" w14:textId="77777777" w:rsidR="008A0BCB" w:rsidRPr="00A07F4E" w:rsidRDefault="008A0BCB" w:rsidP="00ED16AA">
            <w:pPr>
              <w:spacing w:after="0" w:line="240" w:lineRule="auto"/>
              <w:jc w:val="center"/>
              <w:rPr>
                <w:rFonts w:eastAsia="Times New Roman" w:cs="Times New Roman"/>
                <w:color w:val="000000"/>
                <w:sz w:val="16"/>
                <w:szCs w:val="16"/>
              </w:rPr>
            </w:pPr>
            <w:r w:rsidRPr="00A07F4E">
              <w:rPr>
                <w:rFonts w:eastAsia="Times New Roman" w:cs="Times New Roman"/>
                <w:color w:val="000000"/>
                <w:sz w:val="16"/>
                <w:szCs w:val="16"/>
              </w:rPr>
              <w:t>Kevésbé jelentős</w:t>
            </w:r>
          </w:p>
        </w:tc>
      </w:tr>
    </w:tbl>
    <w:p w14:paraId="384F7DA9" w14:textId="77777777" w:rsidR="00EB5585" w:rsidRPr="00A07F4E" w:rsidRDefault="00EB5585" w:rsidP="00A07F4E">
      <w:pPr>
        <w:pStyle w:val="Cmsor3"/>
        <w:numPr>
          <w:ilvl w:val="0"/>
          <w:numId w:val="92"/>
        </w:numPr>
      </w:pPr>
      <w:bookmarkStart w:id="86" w:name="_Toc107237645"/>
      <w:bookmarkStart w:id="87" w:name="_Toc109906021"/>
      <w:bookmarkEnd w:id="86"/>
      <w:r w:rsidRPr="00A07F4E">
        <w:t>Maradványkockázat</w:t>
      </w:r>
      <w:bookmarkEnd w:id="87"/>
    </w:p>
    <w:p w14:paraId="5C947FFA" w14:textId="0511EE43" w:rsidR="00EB5585" w:rsidRPr="00A07F4E" w:rsidRDefault="00994F77" w:rsidP="00EB5585">
      <w:r>
        <w:t>A</w:t>
      </w:r>
      <w:r w:rsidR="00EB5585" w:rsidRPr="00A07F4E">
        <w:t xml:space="preserve"> maradványkockázat</w:t>
      </w:r>
      <w:r w:rsidR="00AD53A0" w:rsidRPr="00A07F4E">
        <w:t xml:space="preserve"> összességében</w:t>
      </w:r>
      <w:r w:rsidR="00EB5585" w:rsidRPr="00A07F4E">
        <w:t xml:space="preserve"> </w:t>
      </w:r>
      <w:r w:rsidR="009631CA">
        <w:t>J</w:t>
      </w:r>
      <w:r w:rsidR="00EB5585" w:rsidRPr="00A07F4E">
        <w:t xml:space="preserve">elentős. Az inherens kockázati besorolás megegyezik az </w:t>
      </w:r>
      <w:r w:rsidR="008F1A00">
        <w:t>m</w:t>
      </w:r>
      <w:r w:rsidR="008F1A00" w:rsidRPr="008F1A00">
        <w:t>aradványkockázat</w:t>
      </w:r>
      <w:r w:rsidR="00EB5585" w:rsidRPr="00A07F4E">
        <w:t xml:space="preserve"> besorolá</w:t>
      </w:r>
      <w:r w:rsidR="008F1A00">
        <w:t>sáv</w:t>
      </w:r>
      <w:r w:rsidR="00EB5585" w:rsidRPr="00A07F4E">
        <w:t>al, am</w:t>
      </w:r>
      <w:r w:rsidR="001E2D3D" w:rsidRPr="00A07F4E">
        <w:t>ely részben arra</w:t>
      </w:r>
      <w:r w:rsidR="00EB5585" w:rsidRPr="00A07F4E">
        <w:t xml:space="preserve"> </w:t>
      </w:r>
      <w:r w:rsidR="00AD53A0" w:rsidRPr="00A07F4E">
        <w:t>enged következtetni</w:t>
      </w:r>
      <w:r w:rsidR="00EB5585" w:rsidRPr="00A07F4E">
        <w:t xml:space="preserve">, hogy a meglévő ellenőrzések </w:t>
      </w:r>
      <w:r w:rsidR="00F4513C" w:rsidRPr="009F3A30">
        <w:t>egyelőre</w:t>
      </w:r>
      <w:r w:rsidR="00F4513C" w:rsidRPr="00A07F4E">
        <w:t xml:space="preserve"> </w:t>
      </w:r>
      <w:r w:rsidR="00EB5585" w:rsidRPr="00A07F4E">
        <w:t>potenciálisan nem voltak elegendőek a szektorban fennálló általános kockázat mérséklésére.</w:t>
      </w:r>
    </w:p>
    <w:tbl>
      <w:tblPr>
        <w:tblW w:w="4040" w:type="dxa"/>
        <w:jc w:val="center"/>
        <w:tblCellMar>
          <w:left w:w="70" w:type="dxa"/>
          <w:right w:w="70" w:type="dxa"/>
        </w:tblCellMar>
        <w:tblLook w:val="04A0" w:firstRow="1" w:lastRow="0" w:firstColumn="1" w:lastColumn="0" w:noHBand="0" w:noVBand="1"/>
      </w:tblPr>
      <w:tblGrid>
        <w:gridCol w:w="2140"/>
        <w:gridCol w:w="1900"/>
      </w:tblGrid>
      <w:tr w:rsidR="0024663A" w:rsidRPr="00A07F4E" w14:paraId="0A5DFE8E" w14:textId="77777777" w:rsidTr="00FC37B3">
        <w:trPr>
          <w:trHeight w:val="300"/>
          <w:jc w:val="center"/>
        </w:trPr>
        <w:tc>
          <w:tcPr>
            <w:tcW w:w="2140" w:type="dxa"/>
            <w:tcBorders>
              <w:top w:val="nil"/>
              <w:left w:val="nil"/>
              <w:bottom w:val="nil"/>
              <w:right w:val="nil"/>
            </w:tcBorders>
            <w:shd w:val="clear" w:color="auto" w:fill="auto"/>
            <w:noWrap/>
            <w:vAlign w:val="center"/>
            <w:hideMark/>
          </w:tcPr>
          <w:p w14:paraId="47FE93E1" w14:textId="77777777" w:rsidR="0024663A" w:rsidRPr="00A07F4E" w:rsidRDefault="0024663A" w:rsidP="0024663A">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C7BF476" w14:textId="1BEE2EB9" w:rsidR="0024663A" w:rsidRPr="00A07F4E" w:rsidRDefault="009631CA" w:rsidP="0024663A">
            <w:pPr>
              <w:spacing w:after="0" w:line="240" w:lineRule="auto"/>
              <w:jc w:val="center"/>
              <w:rPr>
                <w:rFonts w:eastAsia="Times New Roman" w:cs="Calibri"/>
                <w:color w:val="000000"/>
                <w:sz w:val="18"/>
                <w:szCs w:val="18"/>
              </w:rPr>
            </w:pPr>
            <w:r>
              <w:rPr>
                <w:rFonts w:eastAsia="Times New Roman" w:cs="Calibri"/>
                <w:color w:val="000000"/>
                <w:sz w:val="18"/>
                <w:szCs w:val="18"/>
              </w:rPr>
              <w:t>J</w:t>
            </w:r>
            <w:r w:rsidR="0024663A" w:rsidRPr="00A07F4E">
              <w:rPr>
                <w:rFonts w:eastAsia="Times New Roman" w:cs="Calibri"/>
                <w:color w:val="000000"/>
                <w:sz w:val="18"/>
                <w:szCs w:val="18"/>
              </w:rPr>
              <w:t>elentős</w:t>
            </w:r>
          </w:p>
        </w:tc>
      </w:tr>
    </w:tbl>
    <w:p w14:paraId="01A3A1FB" w14:textId="6F449D97" w:rsidR="002C73BD" w:rsidRDefault="002C73BD" w:rsidP="00FC37B3">
      <w:pPr>
        <w:rPr>
          <w:b/>
        </w:rPr>
      </w:pPr>
    </w:p>
    <w:p w14:paraId="365E942E" w14:textId="77777777" w:rsidR="00E57F87" w:rsidRPr="00FC37B3" w:rsidRDefault="00E57F87" w:rsidP="00FC37B3">
      <w:pPr>
        <w:rPr>
          <w:b/>
        </w:rPr>
      </w:pPr>
    </w:p>
    <w:p w14:paraId="52FB3D17" w14:textId="0D89FC60" w:rsidR="00991E68" w:rsidRPr="00A07F4E" w:rsidRDefault="00846BD1" w:rsidP="00C315D4">
      <w:pPr>
        <w:pStyle w:val="Cmsor2"/>
      </w:pPr>
      <w:bookmarkStart w:id="88" w:name="_Toc109906022"/>
      <w:r w:rsidRPr="00A07F4E">
        <w:lastRenderedPageBreak/>
        <w:t xml:space="preserve">Elektronikuspénz-kibocsátó </w:t>
      </w:r>
      <w:r w:rsidR="00A37D9D">
        <w:t>szolgáltatói</w:t>
      </w:r>
      <w:r w:rsidR="00A37D9D" w:rsidRPr="00A07F4E">
        <w:t xml:space="preserve"> </w:t>
      </w:r>
      <w:r w:rsidRPr="00A07F4E">
        <w:t>szektor</w:t>
      </w:r>
      <w:r w:rsidR="00551FEE">
        <w:rPr>
          <w:rStyle w:val="Lbjegyzet-hivatkozs"/>
        </w:rPr>
        <w:footnoteReference w:id="10"/>
      </w:r>
      <w:bookmarkEnd w:id="88"/>
    </w:p>
    <w:p w14:paraId="0B637B58" w14:textId="77777777" w:rsidR="000A1827" w:rsidRPr="00A07F4E" w:rsidRDefault="000A1827" w:rsidP="00A07F4E">
      <w:pPr>
        <w:pStyle w:val="Cmsor3"/>
        <w:numPr>
          <w:ilvl w:val="0"/>
          <w:numId w:val="100"/>
        </w:numPr>
      </w:pPr>
      <w:bookmarkStart w:id="89" w:name="_Toc109906023"/>
      <w:r w:rsidRPr="00A07F4E">
        <w:t>A szektor méretére, tevékenységi körére és összetettségére vonatkozó információk összesített formában</w:t>
      </w:r>
      <w:bookmarkEnd w:id="89"/>
    </w:p>
    <w:p w14:paraId="714D662A" w14:textId="53574BB3" w:rsidR="00F02997" w:rsidRDefault="000A1827" w:rsidP="00E31152">
      <w:pPr>
        <w:rPr>
          <w:rFonts w:cs="Times New Roman"/>
        </w:rPr>
      </w:pPr>
      <w:r w:rsidRPr="00A07F4E">
        <w:t xml:space="preserve">Tevékenységi körét tekintve </w:t>
      </w:r>
      <w:r w:rsidR="00A37D9D">
        <w:t xml:space="preserve">a </w:t>
      </w:r>
      <w:r w:rsidR="00456429">
        <w:t xml:space="preserve">szektorhoz tartozó </w:t>
      </w:r>
      <w:r w:rsidR="00A37D9D">
        <w:t>szolgáltató</w:t>
      </w:r>
      <w:r w:rsidR="00456429">
        <w:t>k</w:t>
      </w:r>
      <w:r w:rsidR="00E22A19" w:rsidRPr="00A07F4E">
        <w:t xml:space="preserve"> elektr</w:t>
      </w:r>
      <w:r w:rsidR="00076FD0" w:rsidRPr="00A07F4E">
        <w:t>o</w:t>
      </w:r>
      <w:r w:rsidR="00E22A19" w:rsidRPr="00A07F4E">
        <w:t>nikuspénz-kibocsátói</w:t>
      </w:r>
      <w:r w:rsidRPr="00A07F4E">
        <w:t xml:space="preserve"> tevékenységet lát</w:t>
      </w:r>
      <w:r w:rsidR="00456429">
        <w:t>nak</w:t>
      </w:r>
      <w:r w:rsidRPr="00A07F4E">
        <w:t xml:space="preserve"> el.</w:t>
      </w:r>
      <w:r w:rsidR="00A655A3">
        <w:t xml:space="preserve"> </w:t>
      </w:r>
      <w:r w:rsidR="00A655A3" w:rsidRPr="00A655A3">
        <w:t xml:space="preserve">Az MNB </w:t>
      </w:r>
      <w:r w:rsidR="00A655A3" w:rsidRPr="006F2711">
        <w:t xml:space="preserve">jelenleg </w:t>
      </w:r>
      <w:r w:rsidR="00A655A3" w:rsidRPr="00FC37B3">
        <w:t>1 db</w:t>
      </w:r>
      <w:r w:rsidR="00A655A3" w:rsidRPr="006F2711">
        <w:t xml:space="preserve"> intézményt engedélyezett elektronikuspénz-kibocsátó intézményként, valamint </w:t>
      </w:r>
      <w:r w:rsidR="00A655A3" w:rsidRPr="00FC37B3">
        <w:t>1 intézmény van jelen</w:t>
      </w:r>
      <w:r w:rsidR="00A655A3" w:rsidRPr="006F2711">
        <w:t xml:space="preserve"> </w:t>
      </w:r>
      <w:proofErr w:type="spellStart"/>
      <w:r w:rsidR="00A655A3" w:rsidRPr="006F2711">
        <w:t>EGT</w:t>
      </w:r>
      <w:proofErr w:type="spellEnd"/>
      <w:r w:rsidR="00A655A3" w:rsidRPr="006F2711">
        <w:t xml:space="preserve"> tagállamban engedélyezett</w:t>
      </w:r>
      <w:r w:rsidR="00A655A3" w:rsidRPr="00A655A3">
        <w:t xml:space="preserve"> </w:t>
      </w:r>
      <w:r w:rsidR="00A655A3">
        <w:t>elektronikuspénz-kibocsátó intézmény</w:t>
      </w:r>
      <w:r w:rsidR="00A655A3" w:rsidRPr="00A655A3">
        <w:t xml:space="preserve"> </w:t>
      </w:r>
      <w:proofErr w:type="spellStart"/>
      <w:r w:rsidR="00A655A3" w:rsidRPr="00A655A3">
        <w:t>fióktelepeként</w:t>
      </w:r>
      <w:proofErr w:type="spellEnd"/>
      <w:r w:rsidR="00A655A3" w:rsidRPr="00A655A3">
        <w:t>. Emellett számos intézmény határon átnyúló szolgáltatás keretében végzi Magyarországon a tevékenységet</w:t>
      </w:r>
      <w:r w:rsidR="00E31152">
        <w:t>, illetve a</w:t>
      </w:r>
      <w:r w:rsidR="00AA5BB9" w:rsidRPr="00F924E3">
        <w:t xml:space="preserve"> külföldi elektronikuspénz-kibocsátó </w:t>
      </w:r>
      <w:r w:rsidR="00A37D9D" w:rsidRPr="00F924E3">
        <w:t>szolgáltató</w:t>
      </w:r>
      <w:r w:rsidR="00456429" w:rsidRPr="00F924E3">
        <w:rPr>
          <w:rFonts w:cs="Times New Roman"/>
        </w:rPr>
        <w:t xml:space="preserve">, közvetítőkön keresztül </w:t>
      </w:r>
      <w:r w:rsidR="00F02997" w:rsidRPr="00F924E3">
        <w:rPr>
          <w:rFonts w:cs="Times New Roman"/>
        </w:rPr>
        <w:t>pénzforgalmi szolgáltatásokat végezhet egy másik tagállamban (az e-pénz kibocsátása kivételével) anélkül, hogy fióktelepet létesítene az adott tagállamban</w:t>
      </w:r>
      <w:r w:rsidR="00AA5BB9" w:rsidRPr="00F924E3">
        <w:rPr>
          <w:rFonts w:cs="Times New Roman"/>
        </w:rPr>
        <w:t>.</w:t>
      </w:r>
    </w:p>
    <w:p w14:paraId="41554635" w14:textId="77777777" w:rsidR="00EA5CBD" w:rsidRPr="00A07F4E" w:rsidRDefault="00EA5CBD" w:rsidP="00A07F4E">
      <w:pPr>
        <w:pStyle w:val="Cmsor3"/>
        <w:numPr>
          <w:ilvl w:val="0"/>
          <w:numId w:val="100"/>
        </w:numPr>
      </w:pPr>
      <w:bookmarkStart w:id="90" w:name="_Toc109906024"/>
      <w:r w:rsidRPr="00A07F4E">
        <w:t>Inherens kockázatértékelés</w:t>
      </w:r>
      <w:bookmarkEnd w:id="90"/>
    </w:p>
    <w:p w14:paraId="7F732DDA" w14:textId="77777777" w:rsidR="00A65440" w:rsidRPr="00A07F4E" w:rsidRDefault="00A65440" w:rsidP="00A07F4E">
      <w:pPr>
        <w:pStyle w:val="Listaszerbekezds"/>
        <w:numPr>
          <w:ilvl w:val="1"/>
          <w:numId w:val="12"/>
        </w:numPr>
        <w:ind w:left="851" w:hanging="284"/>
      </w:pPr>
      <w:r w:rsidRPr="00A07F4E">
        <w:t xml:space="preserve">Az </w:t>
      </w:r>
      <w:r w:rsidR="00AB664D" w:rsidRPr="00A07F4E">
        <w:t xml:space="preserve">elektronikuspénz </w:t>
      </w:r>
      <w:r w:rsidRPr="00A07F4E">
        <w:t xml:space="preserve">-kibocsátó </w:t>
      </w:r>
      <w:r w:rsidR="00A37D9D">
        <w:t>szolgáltatói</w:t>
      </w:r>
      <w:r w:rsidR="00A37D9D" w:rsidRPr="00A07F4E">
        <w:t xml:space="preserve"> </w:t>
      </w:r>
      <w:r w:rsidRPr="00A07F4E">
        <w:t>szektorban rejlő ML/</w:t>
      </w:r>
      <w:proofErr w:type="spellStart"/>
      <w:r w:rsidRPr="00A07F4E">
        <w:t>TF</w:t>
      </w:r>
      <w:proofErr w:type="spellEnd"/>
      <w:r w:rsidRPr="00A07F4E">
        <w:t xml:space="preserve"> kockázati tényezők</w:t>
      </w:r>
    </w:p>
    <w:p w14:paraId="13C4E5F3" w14:textId="610FC678" w:rsidR="00FC37B3" w:rsidRDefault="0034617A" w:rsidP="00EA5CBD">
      <w:r w:rsidRPr="00FA310E">
        <w:t>A</w:t>
      </w:r>
      <w:r w:rsidR="00456429" w:rsidRPr="000D571E">
        <w:t>z MNB</w:t>
      </w:r>
      <w:r w:rsidR="008F2077" w:rsidRPr="008B2356">
        <w:t xml:space="preserve"> </w:t>
      </w:r>
      <w:r w:rsidRPr="00FA310E">
        <w:t>a termékek</w:t>
      </w:r>
      <w:r w:rsidRPr="000C5D7B">
        <w:t>/szolgáltatások, ügyfelek és az értékesítési csatorna kockázatát Mérsékelten jelentősnek</w:t>
      </w:r>
      <w:r w:rsidR="009A2D67" w:rsidRPr="000C5D7B">
        <w:t xml:space="preserve"> </w:t>
      </w:r>
      <w:r w:rsidR="00091A66" w:rsidRPr="000C5D7B">
        <w:t>minősítette</w:t>
      </w:r>
      <w:r w:rsidRPr="000C5D7B">
        <w:t xml:space="preserve">, míg a földrajzi kockázat Jelentős kockázati besorolást kapott. Az </w:t>
      </w:r>
      <w:proofErr w:type="spellStart"/>
      <w:r w:rsidRPr="000C5D7B">
        <w:t>EBA</w:t>
      </w:r>
      <w:proofErr w:type="spellEnd"/>
      <w:r w:rsidRPr="000C5D7B">
        <w:t xml:space="preserve"> </w:t>
      </w:r>
      <w:proofErr w:type="spellStart"/>
      <w:r w:rsidRPr="000C5D7B">
        <w:t>Opinion</w:t>
      </w:r>
      <w:proofErr w:type="spellEnd"/>
      <w:r w:rsidRPr="000C5D7B">
        <w:t xml:space="preserve"> alapján, a fő tényező, amelyhez ML/</w:t>
      </w:r>
      <w:proofErr w:type="spellStart"/>
      <w:r w:rsidRPr="000C5D7B">
        <w:t>TF</w:t>
      </w:r>
      <w:proofErr w:type="spellEnd"/>
      <w:r w:rsidRPr="000C5D7B">
        <w:t xml:space="preserve"> kockázatok kapcsolódnak az értékesítési csatornákhoz köthető</w:t>
      </w:r>
      <w:r w:rsidR="003A3500" w:rsidRPr="000C5D7B">
        <w:t>e</w:t>
      </w:r>
      <w:r w:rsidR="0036135D" w:rsidRPr="000C5D7B">
        <w:t>k</w:t>
      </w:r>
      <w:r w:rsidRPr="000C5D7B">
        <w:t xml:space="preserve">. </w:t>
      </w:r>
      <w:r w:rsidRPr="002B0B30">
        <w:t xml:space="preserve">Magyarországon a jelenlévő </w:t>
      </w:r>
      <w:r w:rsidR="00A37D9D" w:rsidRPr="002B0B30">
        <w:t xml:space="preserve">szolgáltatói </w:t>
      </w:r>
      <w:r w:rsidRPr="002B0B30">
        <w:t xml:space="preserve">számra tekintettel </w:t>
      </w:r>
      <w:r w:rsidR="006B7AF1" w:rsidRPr="002B0B30">
        <w:t>az értékesítési csatorna</w:t>
      </w:r>
      <w:r w:rsidRPr="002B0B30">
        <w:t xml:space="preserve"> </w:t>
      </w:r>
      <w:r w:rsidR="007A3EC3" w:rsidRPr="008B2356">
        <w:t>az MNB</w:t>
      </w:r>
      <w:r w:rsidR="004B110A" w:rsidRPr="002B0B30">
        <w:t xml:space="preserve"> megítélése szerint </w:t>
      </w:r>
      <w:r w:rsidR="006B7AF1" w:rsidRPr="002B0B30">
        <w:t>Mérsékelten jelentős kockázatot hordoz magában</w:t>
      </w:r>
      <w:r w:rsidR="004B110A" w:rsidRPr="002B0B30">
        <w:t xml:space="preserve">. </w:t>
      </w:r>
      <w:r w:rsidRPr="002B0B30">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ED3E3D" w:rsidRPr="003168BA" w14:paraId="075B6095" w14:textId="77777777" w:rsidTr="00300DCA">
        <w:tc>
          <w:tcPr>
            <w:tcW w:w="3061" w:type="dxa"/>
          </w:tcPr>
          <w:p w14:paraId="4ECC3AA8" w14:textId="77777777" w:rsidR="001653AA" w:rsidRDefault="001653AA" w:rsidP="00300DCA">
            <w:pPr>
              <w:spacing w:after="0" w:line="240" w:lineRule="auto"/>
              <w:contextualSpacing w:val="0"/>
              <w:jc w:val="center"/>
              <w:rPr>
                <w:rFonts w:eastAsia="Times New Roman" w:cs="Times New Roman"/>
                <w:b/>
                <w:color w:val="000000"/>
                <w:sz w:val="18"/>
                <w:szCs w:val="18"/>
              </w:rPr>
            </w:pPr>
          </w:p>
          <w:p w14:paraId="5172EB19" w14:textId="31BA2FE5" w:rsidR="00ED3E3D" w:rsidRPr="00554E41" w:rsidRDefault="00ED3E3D"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40B1FD9E" w14:textId="77777777" w:rsidR="00ED3E3D" w:rsidRPr="00554E41" w:rsidRDefault="00ED3E3D"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ED3E3D" w:rsidRPr="003168BA" w14:paraId="179F9A6B" w14:textId="77777777" w:rsidTr="00300DCA">
        <w:tc>
          <w:tcPr>
            <w:tcW w:w="3061" w:type="dxa"/>
            <w:shd w:val="clear" w:color="auto" w:fill="auto"/>
          </w:tcPr>
          <w:p w14:paraId="5794E0DC"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FFFF00"/>
          </w:tcPr>
          <w:p w14:paraId="058342A0"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r w:rsidR="00ED3E3D" w14:paraId="1EB2ADEC" w14:textId="77777777" w:rsidTr="00300DCA">
        <w:tc>
          <w:tcPr>
            <w:tcW w:w="3061" w:type="dxa"/>
            <w:shd w:val="clear" w:color="auto" w:fill="auto"/>
          </w:tcPr>
          <w:p w14:paraId="60F3A760"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FFFF00"/>
          </w:tcPr>
          <w:p w14:paraId="7E690A07"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r w:rsidR="00ED3E3D" w14:paraId="5F556B19" w14:textId="77777777" w:rsidTr="00300DCA">
        <w:trPr>
          <w:trHeight w:val="50"/>
        </w:trPr>
        <w:tc>
          <w:tcPr>
            <w:tcW w:w="3061" w:type="dxa"/>
            <w:shd w:val="clear" w:color="auto" w:fill="auto"/>
          </w:tcPr>
          <w:p w14:paraId="47C7087B"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FFC000"/>
          </w:tcPr>
          <w:p w14:paraId="399D370B"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Jelentős</w:t>
            </w:r>
          </w:p>
        </w:tc>
      </w:tr>
      <w:tr w:rsidR="00ED3E3D" w14:paraId="0C980747" w14:textId="77777777" w:rsidTr="00300DCA">
        <w:tc>
          <w:tcPr>
            <w:tcW w:w="3061" w:type="dxa"/>
            <w:shd w:val="clear" w:color="auto" w:fill="auto"/>
          </w:tcPr>
          <w:p w14:paraId="6AFA9092"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csatolna</w:t>
            </w:r>
          </w:p>
        </w:tc>
        <w:tc>
          <w:tcPr>
            <w:tcW w:w="3035" w:type="dxa"/>
            <w:shd w:val="clear" w:color="auto" w:fill="FFFF00"/>
          </w:tcPr>
          <w:p w14:paraId="29891FDC" w14:textId="77777777" w:rsidR="00ED3E3D" w:rsidRPr="00554E41" w:rsidRDefault="00ED3E3D"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6C190D1E" w14:textId="6700022F" w:rsidR="00253FBA" w:rsidRDefault="00253FBA" w:rsidP="00C63813">
      <w:pPr>
        <w:spacing w:before="120"/>
      </w:pPr>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hatóságok szerint a fő tényezők, amelyek a szektort ML/</w:t>
      </w:r>
      <w:proofErr w:type="spellStart"/>
      <w:r w:rsidRPr="00A07F4E">
        <w:t>TF</w:t>
      </w:r>
      <w:proofErr w:type="spellEnd"/>
      <w:r w:rsidRPr="00A07F4E">
        <w:t xml:space="preserve"> kockázatoknak teszik ki, a forgalmazási csatornákhoz kapcsolódnak. Ennek oka, hogy az ágazatban gyakori </w:t>
      </w:r>
      <w:r w:rsidR="006324B7">
        <w:t>más személyek</w:t>
      </w:r>
      <w:r w:rsidRPr="00A07F4E">
        <w:t xml:space="preserve"> alkalmazása a forgalmazási láncban, ami megnehezítheti a megfelelő </w:t>
      </w:r>
      <w:proofErr w:type="spellStart"/>
      <w:r w:rsidRPr="00A07F4E">
        <w:t>AML</w:t>
      </w:r>
      <w:proofErr w:type="spellEnd"/>
      <w:r w:rsidRPr="00A07F4E">
        <w:t>/</w:t>
      </w:r>
      <w:proofErr w:type="spellStart"/>
      <w:r w:rsidRPr="00A07F4E">
        <w:t>CFT</w:t>
      </w:r>
      <w:proofErr w:type="spellEnd"/>
      <w:r w:rsidRPr="00A07F4E">
        <w:t xml:space="preserve"> ellenőrzést és felügyeletet.</w:t>
      </w:r>
    </w:p>
    <w:p w14:paraId="2BCD06CC" w14:textId="34FC7D11" w:rsidR="00BD35E9" w:rsidRPr="00A07F4E" w:rsidRDefault="00BD35E9" w:rsidP="00EA5CBD">
      <w:r w:rsidRPr="00BD35E9">
        <w:t xml:space="preserve">A nemzetközi gyakorlatban kockázatként került </w:t>
      </w:r>
      <w:r>
        <w:t xml:space="preserve">továbbá </w:t>
      </w:r>
      <w:r w:rsidRPr="00BD35E9">
        <w:t>detektálásra az előre fizetett ún. prepaid kártyákkal kapcsolatban, amikor az ügyfél által birtokolt kártyák száma nem kerül korlátozásra, amely növeli az ML/</w:t>
      </w:r>
      <w:proofErr w:type="spellStart"/>
      <w:r w:rsidRPr="00BD35E9">
        <w:t>TF</w:t>
      </w:r>
      <w:proofErr w:type="spellEnd"/>
      <w:r w:rsidRPr="00BD35E9">
        <w:t xml:space="preserve"> kockázatot. Bár az előre fizetett kártyák gyakran kis értékűek, azonban a kockázatot növelheti, ha a szolgáltató által kínált termékek nagy értékű vagy korlátlan értékű fizetést, feltöltést vagy visszaváltást tesznek lehetővé, beleértve a készpénzfelvételt is.</w:t>
      </w:r>
    </w:p>
    <w:p w14:paraId="18191AA8" w14:textId="4929AA37" w:rsidR="00C324C8" w:rsidRDefault="00BE4282" w:rsidP="00EA5CBD">
      <w:r w:rsidRPr="00A07F4E">
        <w:t>A</w:t>
      </w:r>
      <w:r w:rsidR="00456429">
        <w:t>z MNB</w:t>
      </w:r>
      <w:r w:rsidRPr="00A07F4E">
        <w:t xml:space="preserve"> kockázatosnak találja, hogy a tagállamok eltérően szabályozzák az </w:t>
      </w:r>
      <w:r w:rsidR="0093635D" w:rsidRPr="00A07F4E">
        <w:t xml:space="preserve">online </w:t>
      </w:r>
      <w:r w:rsidRPr="00A07F4E">
        <w:t xml:space="preserve">ügyfélkapcsolatok létesítését, </w:t>
      </w:r>
      <w:r w:rsidR="0093635D" w:rsidRPr="00A07F4E">
        <w:t xml:space="preserve">így </w:t>
      </w:r>
      <w:r w:rsidRPr="00A07F4E">
        <w:t xml:space="preserve">Magyarországon határon átnyúló szolgáltatás </w:t>
      </w:r>
      <w:r w:rsidR="0093635D" w:rsidRPr="00A07F4E">
        <w:t>útján tevékenykedő</w:t>
      </w:r>
      <w:r w:rsidRPr="00A07F4E">
        <w:t xml:space="preserve"> egyes szolgáltatók</w:t>
      </w:r>
      <w:r w:rsidR="00E161E8" w:rsidRPr="00A07F4E">
        <w:t xml:space="preserve"> más tagállam joghatálya alá tartoznak</w:t>
      </w:r>
      <w:r w:rsidR="0093635D" w:rsidRPr="00A07F4E">
        <w:t>, amely miatt eltérés és verseny alakul ki a külföldi és a magyar szolgáltatók között</w:t>
      </w:r>
      <w:r w:rsidR="009A2D67" w:rsidRPr="00A07F4E">
        <w:t xml:space="preserve"> és ebből az eltérésből eredő kockázat befolyásolja a szektor inherens kockázatát</w:t>
      </w:r>
      <w:r w:rsidR="0093635D" w:rsidRPr="00A07F4E">
        <w:t xml:space="preserve">.  </w:t>
      </w:r>
    </w:p>
    <w:p w14:paraId="3E223795" w14:textId="13AC48FB" w:rsidR="0036135D" w:rsidRPr="00A07F4E" w:rsidRDefault="00BE4282" w:rsidP="00BE4282">
      <w:r w:rsidRPr="00A07F4E">
        <w:t>A</w:t>
      </w:r>
      <w:r w:rsidR="0036135D" w:rsidRPr="00A07F4E">
        <w:t xml:space="preserve">z </w:t>
      </w:r>
      <w:proofErr w:type="spellStart"/>
      <w:r w:rsidR="0036135D" w:rsidRPr="00A07F4E">
        <w:t>EBA</w:t>
      </w:r>
      <w:proofErr w:type="spellEnd"/>
      <w:r w:rsidR="0036135D" w:rsidRPr="00A07F4E">
        <w:t xml:space="preserve"> </w:t>
      </w:r>
      <w:proofErr w:type="spellStart"/>
      <w:r w:rsidR="0036135D" w:rsidRPr="00A07F4E">
        <w:t>Opinion</w:t>
      </w:r>
      <w:proofErr w:type="spellEnd"/>
      <w:r w:rsidR="0036135D" w:rsidRPr="00A07F4E">
        <w:t xml:space="preserve"> alapján, az illetékes hatóságok </w:t>
      </w:r>
      <w:r w:rsidRPr="00A07F4E">
        <w:t xml:space="preserve">rámutattak arra, hogy </w:t>
      </w:r>
      <w:r w:rsidR="0036135D" w:rsidRPr="00A07F4E">
        <w:t>a szektor</w:t>
      </w:r>
      <w:r w:rsidRPr="00A07F4E">
        <w:t xml:space="preserve"> nagymértékben támaszkodik a nem személyes azonosítási folyamatokra. A </w:t>
      </w:r>
      <w:proofErr w:type="spellStart"/>
      <w:r w:rsidR="00821C4F" w:rsidRPr="00A07F4E">
        <w:t>R</w:t>
      </w:r>
      <w:r w:rsidRPr="00A07F4E">
        <w:t>eg</w:t>
      </w:r>
      <w:r w:rsidR="00821C4F" w:rsidRPr="00A07F4E">
        <w:t>T</w:t>
      </w:r>
      <w:r w:rsidRPr="00A07F4E">
        <w:t>ech</w:t>
      </w:r>
      <w:proofErr w:type="spellEnd"/>
      <w:r w:rsidRPr="00A07F4E">
        <w:t xml:space="preserve"> megoldásokat számos </w:t>
      </w:r>
      <w:r w:rsidR="0036135D" w:rsidRPr="00A07F4E">
        <w:t>hatóság</w:t>
      </w:r>
      <w:r w:rsidRPr="00A07F4E">
        <w:t xml:space="preserve"> kulcsfontosságú jelenlegi kockázatként jelölte meg, </w:t>
      </w:r>
      <w:r w:rsidR="000F5ED9" w:rsidRPr="00A07F4E">
        <w:t>az IT</w:t>
      </w:r>
      <w:r w:rsidRPr="00A07F4E">
        <w:t xml:space="preserve"> csalás és a hamis dokumentumok használatának megnövekedett kockázatával. Ez más kockázati tényezőkkel együtt, mint például az ügyfél viszonylagos anonimitása az </w:t>
      </w:r>
      <w:r w:rsidR="00F33903">
        <w:t>Irányelv</w:t>
      </w:r>
      <w:r w:rsidR="00F33903">
        <w:rPr>
          <w:rStyle w:val="Lbjegyzet-hivatkozs"/>
        </w:rPr>
        <w:footnoteReference w:id="11"/>
      </w:r>
      <w:r w:rsidR="00F33903" w:rsidRPr="00A07F4E">
        <w:t xml:space="preserve"> </w:t>
      </w:r>
      <w:r w:rsidRPr="00A07F4E">
        <w:t>szerinti mentességeket élvező egyes termékek esetében, az elektronikuspénz-tranzakciók egyszerűsége és gyorsasága, valamint az ML/</w:t>
      </w:r>
      <w:proofErr w:type="spellStart"/>
      <w:r w:rsidRPr="00A07F4E">
        <w:t>TF</w:t>
      </w:r>
      <w:proofErr w:type="spellEnd"/>
      <w:r w:rsidRPr="00A07F4E">
        <w:t xml:space="preserve"> kockázatokkal </w:t>
      </w:r>
      <w:r w:rsidRPr="00A07F4E">
        <w:lastRenderedPageBreak/>
        <w:t xml:space="preserve">kapcsolatos gyenge általános tudatosság, hozzájárult a megnövekedett kockázati profilhoz. </w:t>
      </w:r>
      <w:r w:rsidR="0036135D" w:rsidRPr="00A07F4E">
        <w:t>Ezen kockázatok</w:t>
      </w:r>
      <w:r w:rsidR="006D4373">
        <w:t xml:space="preserve"> </w:t>
      </w:r>
      <w:r w:rsidR="0036135D" w:rsidRPr="00A07F4E">
        <w:t xml:space="preserve">is </w:t>
      </w:r>
      <w:r w:rsidR="00B733EA" w:rsidRPr="00A07F4E">
        <w:t>figyelembevételre</w:t>
      </w:r>
      <w:r w:rsidR="006D4373">
        <w:t xml:space="preserve"> kerültek</w:t>
      </w:r>
      <w:r w:rsidR="00B733EA">
        <w:t xml:space="preserve"> </w:t>
      </w:r>
      <w:r w:rsidR="0036135D" w:rsidRPr="00A07F4E">
        <w:t xml:space="preserve">jelen szektor értékelésénél. </w:t>
      </w:r>
    </w:p>
    <w:p w14:paraId="41BB3136" w14:textId="26DC5464" w:rsidR="00BE4282" w:rsidRDefault="00BE4282" w:rsidP="00BE4282">
      <w:r w:rsidRPr="00A07F4E">
        <w:t>A</w:t>
      </w:r>
      <w:r w:rsidR="0036135D" w:rsidRPr="00A07F4E">
        <w:t xml:space="preserve">z illetékes hatóságok </w:t>
      </w:r>
      <w:r w:rsidRPr="00A07F4E">
        <w:t>külön aggodalmukat fejezték ki az előre fizetett kártyákkal kapcsolatban, amikor az ügyfél által birtokolt kártyák száma ne</w:t>
      </w:r>
      <w:r w:rsidR="0036135D" w:rsidRPr="00A07F4E">
        <w:t>m kerül korlátozásra</w:t>
      </w:r>
      <w:r w:rsidRPr="00A07F4E">
        <w:t xml:space="preserve">, </w:t>
      </w:r>
      <w:r w:rsidR="0036135D" w:rsidRPr="00A07F4E">
        <w:t xml:space="preserve">amely </w:t>
      </w:r>
      <w:r w:rsidRPr="00A07F4E">
        <w:t>növel</w:t>
      </w:r>
      <w:r w:rsidR="0036135D" w:rsidRPr="00A07F4E">
        <w:t>i</w:t>
      </w:r>
      <w:r w:rsidRPr="00A07F4E">
        <w:t xml:space="preserve"> az ML</w:t>
      </w:r>
      <w:r w:rsidR="0036135D" w:rsidRPr="00A07F4E">
        <w:t>/</w:t>
      </w:r>
      <w:proofErr w:type="spellStart"/>
      <w:r w:rsidRPr="00A07F4E">
        <w:t>TF</w:t>
      </w:r>
      <w:proofErr w:type="spellEnd"/>
      <w:r w:rsidR="00821C4F" w:rsidRPr="00A07F4E">
        <w:t xml:space="preserve"> </w:t>
      </w:r>
      <w:r w:rsidRPr="00A07F4E">
        <w:t xml:space="preserve">kockázatot. Bár az előre fizetett kártyák gyakran kis értékűek, </w:t>
      </w:r>
      <w:r w:rsidR="00821C4F" w:rsidRPr="00A07F4E">
        <w:t xml:space="preserve">azonban </w:t>
      </w:r>
      <w:r w:rsidRPr="00A07F4E">
        <w:t xml:space="preserve">a kockázatot növelheti, ha </w:t>
      </w:r>
      <w:r w:rsidR="008C1A55">
        <w:t>a szolgáltatók</w:t>
      </w:r>
      <w:r w:rsidRPr="00A07F4E">
        <w:t xml:space="preserve"> által kínált termékek nagy értékű vagy korlátlan értékű fizetést, feltöltést vagy visszaváltást tesznek lehetővé, beleértve a készpénzfelvételt is. Ehhez kapcsolódó kockázatot jelentenek egyes </w:t>
      </w:r>
      <w:r w:rsidR="0036135D" w:rsidRPr="00A07F4E">
        <w:t xml:space="preserve">szektorhoz tartozó </w:t>
      </w:r>
      <w:r w:rsidR="00A37D9D">
        <w:t>szolgáltatók</w:t>
      </w:r>
      <w:r w:rsidR="00A37D9D" w:rsidRPr="00A07F4E">
        <w:t xml:space="preserve"> </w:t>
      </w:r>
      <w:r w:rsidRPr="00A07F4E">
        <w:t>szoros kapcsolatai az online szerencsejáték</w:t>
      </w:r>
      <w:r w:rsidR="0036135D" w:rsidRPr="00A07F4E">
        <w:t>okkal, illetve</w:t>
      </w:r>
      <w:r w:rsidRPr="00A07F4E">
        <w:t xml:space="preserve"> más, magas kockázatú tevékenységekkel.</w:t>
      </w:r>
    </w:p>
    <w:p w14:paraId="455BB58A" w14:textId="77777777" w:rsidR="00423E3B" w:rsidRPr="00A07F4E" w:rsidRDefault="00423E3B" w:rsidP="00A07F4E">
      <w:pPr>
        <w:pStyle w:val="Listaszerbekezds"/>
        <w:numPr>
          <w:ilvl w:val="1"/>
          <w:numId w:val="12"/>
        </w:numPr>
        <w:ind w:left="851" w:hanging="284"/>
      </w:pPr>
      <w:r w:rsidRPr="00A07F4E">
        <w:t>Az elektronikuspénz-kibocsátó</w:t>
      </w:r>
      <w:r w:rsidR="008C1A55">
        <w:t xml:space="preserve"> szolgáltatói</w:t>
      </w:r>
      <w:r w:rsidRPr="00A07F4E">
        <w:t xml:space="preserve"> szektorban rejlő, határokon átnyúló ML/</w:t>
      </w:r>
      <w:proofErr w:type="spellStart"/>
      <w:r w:rsidRPr="00A07F4E">
        <w:t>TF</w:t>
      </w:r>
      <w:proofErr w:type="spellEnd"/>
      <w:r w:rsidRPr="00A07F4E">
        <w:t xml:space="preserve"> kockázatok</w:t>
      </w:r>
    </w:p>
    <w:p w14:paraId="6A504F90" w14:textId="77777777" w:rsidR="00282A31" w:rsidRPr="00A07F4E" w:rsidRDefault="00282A31" w:rsidP="00282A31">
      <w:r w:rsidRPr="00A07F4E">
        <w:t xml:space="preserve">Az elektronikus-pénz kibocsátó </w:t>
      </w:r>
      <w:r w:rsidR="008C1A55">
        <w:t>szolgáltatói</w:t>
      </w:r>
      <w:r w:rsidR="008C1A55" w:rsidRPr="00A07F4E">
        <w:t xml:space="preserve"> </w:t>
      </w:r>
      <w:r w:rsidRPr="00A07F4E">
        <w:t xml:space="preserve">szektorra </w:t>
      </w:r>
      <w:r w:rsidR="00D861CC" w:rsidRPr="00A07F4E">
        <w:t>részben</w:t>
      </w:r>
      <w:r w:rsidRPr="00A07F4E">
        <w:t xml:space="preserve"> jellemző a külföldi érintettség, </w:t>
      </w:r>
      <w:r w:rsidR="00D861CC" w:rsidRPr="00A07F4E">
        <w:t xml:space="preserve">azonban </w:t>
      </w:r>
      <w:r w:rsidRPr="00A07F4E">
        <w:t xml:space="preserve">tipikusan magyar ügyfelekkel rendelkezik a szektor Magyarországon. </w:t>
      </w:r>
    </w:p>
    <w:p w14:paraId="26093EC0" w14:textId="1AD593D4" w:rsidR="003A3500" w:rsidRPr="00A07F4E" w:rsidRDefault="003A3500" w:rsidP="00BE4282">
      <w:pPr>
        <w:rPr>
          <w:b/>
          <w:bCs/>
        </w:rPr>
      </w:pPr>
      <w:r w:rsidRPr="00A07F4E">
        <w:rPr>
          <w:b/>
          <w:bCs/>
        </w:rPr>
        <w:t>A</w:t>
      </w:r>
      <w:r w:rsidR="00E05E2E">
        <w:rPr>
          <w:b/>
          <w:bCs/>
        </w:rPr>
        <w:t xml:space="preserve">z </w:t>
      </w:r>
      <w:r w:rsidRPr="00A07F4E">
        <w:rPr>
          <w:b/>
          <w:bCs/>
        </w:rPr>
        <w:t xml:space="preserve">előzetes felmérése alapján az elektronikuspénz-kibocsátó </w:t>
      </w:r>
      <w:r w:rsidR="00A37D9D">
        <w:rPr>
          <w:b/>
          <w:bCs/>
        </w:rPr>
        <w:t xml:space="preserve">szolgáltatói </w:t>
      </w:r>
      <w:r w:rsidRPr="00A07F4E">
        <w:rPr>
          <w:b/>
          <w:bCs/>
        </w:rPr>
        <w:t xml:space="preserve">szektor </w:t>
      </w:r>
      <w:r w:rsidR="00821C4F" w:rsidRPr="00A07F4E">
        <w:rPr>
          <w:b/>
          <w:bCs/>
        </w:rPr>
        <w:t xml:space="preserve">Magyarországon </w:t>
      </w:r>
      <w:r w:rsidRPr="00A07F4E">
        <w:rPr>
          <w:b/>
          <w:bCs/>
        </w:rPr>
        <w:t xml:space="preserve">Mérsékelten jelentős kockázatot rejt magában. </w:t>
      </w:r>
    </w:p>
    <w:tbl>
      <w:tblPr>
        <w:tblW w:w="4040" w:type="dxa"/>
        <w:tblInd w:w="2746" w:type="dxa"/>
        <w:tblCellMar>
          <w:left w:w="70" w:type="dxa"/>
          <w:right w:w="70" w:type="dxa"/>
        </w:tblCellMar>
        <w:tblLook w:val="04A0" w:firstRow="1" w:lastRow="0" w:firstColumn="1" w:lastColumn="0" w:noHBand="0" w:noVBand="1"/>
      </w:tblPr>
      <w:tblGrid>
        <w:gridCol w:w="2140"/>
        <w:gridCol w:w="1900"/>
      </w:tblGrid>
      <w:tr w:rsidR="00282A31" w:rsidRPr="00A07F4E" w14:paraId="74261974" w14:textId="77777777" w:rsidTr="00FC10F8">
        <w:trPr>
          <w:trHeight w:val="300"/>
        </w:trPr>
        <w:tc>
          <w:tcPr>
            <w:tcW w:w="2140" w:type="dxa"/>
            <w:tcBorders>
              <w:top w:val="nil"/>
              <w:left w:val="nil"/>
              <w:bottom w:val="nil"/>
              <w:right w:val="nil"/>
            </w:tcBorders>
            <w:shd w:val="clear" w:color="auto" w:fill="auto"/>
            <w:noWrap/>
            <w:vAlign w:val="center"/>
            <w:hideMark/>
          </w:tcPr>
          <w:p w14:paraId="4BB913C1" w14:textId="77777777" w:rsidR="00282A31" w:rsidRPr="00A07F4E" w:rsidRDefault="00282A31" w:rsidP="00FC10F8">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637C24F" w14:textId="77777777" w:rsidR="00282A31" w:rsidRPr="00A07F4E" w:rsidRDefault="00282A31" w:rsidP="00FC10F8">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74AB5F4A" w14:textId="77777777" w:rsidR="00282A31" w:rsidRPr="00A07F4E" w:rsidRDefault="00282A31" w:rsidP="00BE4282"/>
    <w:p w14:paraId="6D73864D" w14:textId="77777777" w:rsidR="00972EC3" w:rsidRPr="00A07F4E" w:rsidRDefault="00972EC3" w:rsidP="00A07F4E">
      <w:pPr>
        <w:pStyle w:val="Cmsor3"/>
        <w:numPr>
          <w:ilvl w:val="0"/>
          <w:numId w:val="100"/>
        </w:numPr>
      </w:pPr>
      <w:bookmarkStart w:id="91" w:name="_Toc109906025"/>
      <w:r w:rsidRPr="00A07F4E">
        <w:t>Az ellenőrzések minősége</w:t>
      </w:r>
      <w:bookmarkEnd w:id="91"/>
    </w:p>
    <w:p w14:paraId="4A2A72F5" w14:textId="13F3A279" w:rsidR="007A2410" w:rsidRPr="00A07F4E" w:rsidRDefault="003353E0" w:rsidP="00972EC3">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társhatóságok leginkább a folyamatos </w:t>
      </w:r>
      <w:proofErr w:type="spellStart"/>
      <w:r w:rsidRPr="00A07F4E">
        <w:t>monitoringhoz</w:t>
      </w:r>
      <w:proofErr w:type="spellEnd"/>
      <w:r w:rsidRPr="00A07F4E">
        <w:t xml:space="preserve"> kapcsolódó politikáknak és eljárásoknak a hatékonyságában és az </w:t>
      </w:r>
      <w:r w:rsidR="002C73BD">
        <w:t>bej</w:t>
      </w:r>
      <w:r w:rsidRPr="00A07F4E">
        <w:t>elentések hatékonyságában találtak kifogásolni</w:t>
      </w:r>
      <w:r w:rsidR="00D861CC" w:rsidRPr="00A07F4E">
        <w:t xml:space="preserve"> </w:t>
      </w:r>
      <w:r w:rsidRPr="00A07F4E">
        <w:t xml:space="preserve">valót. További aggályokat fogalmaztak </w:t>
      </w:r>
      <w:r w:rsidR="007A2410" w:rsidRPr="00A07F4E">
        <w:t xml:space="preserve">meg </w:t>
      </w:r>
      <w:r w:rsidR="00197277" w:rsidRPr="00A07F4E">
        <w:t>– a</w:t>
      </w:r>
      <w:r w:rsidR="00D36407">
        <w:t>z MNB</w:t>
      </w:r>
      <w:r w:rsidR="00197277" w:rsidRPr="00A07F4E">
        <w:t xml:space="preserve"> értékeléséhez hasonlóan – </w:t>
      </w:r>
      <w:r w:rsidRPr="00A07F4E">
        <w:t xml:space="preserve">továbbá az egész </w:t>
      </w:r>
      <w:r w:rsidR="008C1A55">
        <w:t>szolgáltatóra</w:t>
      </w:r>
      <w:r w:rsidR="008C1A55" w:rsidRPr="00A07F4E">
        <w:t xml:space="preserve"> </w:t>
      </w:r>
      <w:r w:rsidRPr="00A07F4E">
        <w:t>kiterjedő ML/</w:t>
      </w:r>
      <w:proofErr w:type="spellStart"/>
      <w:r w:rsidRPr="00A07F4E">
        <w:t>TF</w:t>
      </w:r>
      <w:proofErr w:type="spellEnd"/>
      <w:r w:rsidRPr="00A07F4E">
        <w:t xml:space="preserve"> kockázatértékelés minősége és az egyes üzleti kapcsolatokra alkalmazott ML/</w:t>
      </w:r>
      <w:proofErr w:type="spellStart"/>
      <w:r w:rsidRPr="00A07F4E">
        <w:t>TF</w:t>
      </w:r>
      <w:proofErr w:type="spellEnd"/>
      <w:r w:rsidRPr="00A07F4E">
        <w:t xml:space="preserve"> kockázatok értékelésének minőségével kapcsolatban.</w:t>
      </w:r>
      <w:r w:rsidR="007A2410" w:rsidRPr="00A07F4E">
        <w:t xml:space="preserve"> Az </w:t>
      </w:r>
      <w:proofErr w:type="spellStart"/>
      <w:r w:rsidR="007A2410" w:rsidRPr="00A07F4E">
        <w:t>EBA</w:t>
      </w:r>
      <w:proofErr w:type="spellEnd"/>
      <w:r w:rsidR="007A2410" w:rsidRPr="00A07F4E">
        <w:t xml:space="preserve"> </w:t>
      </w:r>
      <w:proofErr w:type="spellStart"/>
      <w:r w:rsidR="007A2410" w:rsidRPr="00A07F4E">
        <w:t>Opinion</w:t>
      </w:r>
      <w:proofErr w:type="spellEnd"/>
      <w:r w:rsidR="007A2410" w:rsidRPr="00A07F4E">
        <w:t xml:space="preserve"> kiemeli, hogy az </w:t>
      </w:r>
      <w:r w:rsidR="002C73BD">
        <w:t>be</w:t>
      </w:r>
      <w:r w:rsidR="007A2410" w:rsidRPr="00A07F4E">
        <w:t>jelentések hatékonysága továbbra is a legkevésbé értékelt kontrollok egyike, illetve a nyilvántartási politikák és eljárások megfelelőség</w:t>
      </w:r>
      <w:r w:rsidR="00346467" w:rsidRPr="00A07F4E">
        <w:t>ét</w:t>
      </w:r>
      <w:r w:rsidR="007A2410" w:rsidRPr="00A07F4E">
        <w:t>, valamint az ügyfél-azonosítási politikák és eljárások megfelelőség</w:t>
      </w:r>
      <w:r w:rsidR="00346467" w:rsidRPr="00A07F4E">
        <w:t>ét</w:t>
      </w:r>
      <w:r w:rsidR="007A2410" w:rsidRPr="00A07F4E">
        <w:t xml:space="preserve"> a legjobban értékelt kontrolloknak tekintették a hatóságok.</w:t>
      </w:r>
    </w:p>
    <w:p w14:paraId="59890242" w14:textId="77777777" w:rsidR="00C345CA" w:rsidRPr="00A07F4E" w:rsidRDefault="00C345CA" w:rsidP="00A07F4E">
      <w:pPr>
        <w:pStyle w:val="Cmsor3"/>
        <w:numPr>
          <w:ilvl w:val="0"/>
          <w:numId w:val="100"/>
        </w:numPr>
      </w:pPr>
      <w:bookmarkStart w:id="92" w:name="_Toc109906026"/>
      <w:r w:rsidRPr="00A07F4E">
        <w:t>Felügyeleti tevékenység</w:t>
      </w:r>
      <w:bookmarkEnd w:id="92"/>
    </w:p>
    <w:p w14:paraId="78289556" w14:textId="4554296A" w:rsidR="00C345CA" w:rsidRPr="00A07F4E" w:rsidRDefault="00C63567" w:rsidP="00C345CA">
      <w:r>
        <w:t>Az MNB</w:t>
      </w:r>
      <w:r w:rsidR="00C345CA" w:rsidRPr="00A07F4E">
        <w:t xml:space="preserve"> a Mérsékelten jelentős inherens kockázati besorolásra, illetve a kockázatalapú felügyelésre tekintettel </w:t>
      </w:r>
      <w:r w:rsidR="008B2356" w:rsidRPr="00A07F4E">
        <w:t>k</w:t>
      </w:r>
      <w:r w:rsidR="008B2356">
        <w:t>isebb</w:t>
      </w:r>
      <w:r w:rsidR="008B2356" w:rsidRPr="00A07F4E">
        <w:t xml:space="preserve"> </w:t>
      </w:r>
      <w:r w:rsidR="00C345CA" w:rsidRPr="00A07F4E">
        <w:t xml:space="preserve">hangsúlyt fektetett az elektronikus-pénz kibocsátó </w:t>
      </w:r>
      <w:r w:rsidR="00A37D9D">
        <w:t>szolgáltatói</w:t>
      </w:r>
      <w:r w:rsidR="00A37D9D" w:rsidRPr="00A07F4E">
        <w:t xml:space="preserve"> </w:t>
      </w:r>
      <w:r w:rsidR="00C345CA" w:rsidRPr="00A07F4E">
        <w:t xml:space="preserve">szektor </w:t>
      </w:r>
      <w:proofErr w:type="spellStart"/>
      <w:r w:rsidR="00F8020A" w:rsidRPr="00A07F4E">
        <w:t>on</w:t>
      </w:r>
      <w:proofErr w:type="spellEnd"/>
      <w:r w:rsidR="00F8020A" w:rsidRPr="00A07F4E">
        <w:t xml:space="preserve">-site </w:t>
      </w:r>
      <w:r w:rsidR="00C345CA" w:rsidRPr="00A07F4E">
        <w:t xml:space="preserve">vizsgálatára. Felügyeleti tevékenységét </w:t>
      </w:r>
      <w:proofErr w:type="spellStart"/>
      <w:r w:rsidR="00F8020A" w:rsidRPr="00A07F4E">
        <w:t>off</w:t>
      </w:r>
      <w:proofErr w:type="spellEnd"/>
      <w:r w:rsidR="00F8020A" w:rsidRPr="00A07F4E">
        <w:t xml:space="preserve">-site eszközökkel </w:t>
      </w:r>
      <w:r w:rsidR="00C345CA" w:rsidRPr="00A07F4E">
        <w:t xml:space="preserve">a negyedéves és éves kötelező adatszolgáltatások elemzésével és kiértékelésével látta el. </w:t>
      </w:r>
    </w:p>
    <w:p w14:paraId="47F5EBA5" w14:textId="24E2DB25" w:rsidR="0048366A" w:rsidRPr="00A07F4E" w:rsidRDefault="0048366A" w:rsidP="0048366A">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kiemelte, hogy a szektor felügyelete során az illetékes hatóságok a</w:t>
      </w:r>
      <w:r w:rsidR="00C63567">
        <w:t>z MNB</w:t>
      </w:r>
      <w:r w:rsidRPr="00A07F4E">
        <w:t xml:space="preserve">-hez hasonlóan leginkább az </w:t>
      </w:r>
      <w:proofErr w:type="spellStart"/>
      <w:r w:rsidRPr="00A07F4E">
        <w:t>off</w:t>
      </w:r>
      <w:proofErr w:type="spellEnd"/>
      <w:r w:rsidRPr="00A07F4E">
        <w:t xml:space="preserve">-site felügyeleti tevékenységekre támaszkodnak, főként az </w:t>
      </w:r>
      <w:proofErr w:type="spellStart"/>
      <w:r w:rsidRPr="00A07F4E">
        <w:t>AML</w:t>
      </w:r>
      <w:proofErr w:type="spellEnd"/>
      <w:r w:rsidRPr="00A07F4E">
        <w:t>/</w:t>
      </w:r>
      <w:proofErr w:type="spellStart"/>
      <w:r w:rsidRPr="00A07F4E">
        <w:t>CFT</w:t>
      </w:r>
      <w:proofErr w:type="spellEnd"/>
      <w:r w:rsidRPr="00A07F4E">
        <w:t xml:space="preserve"> jelentéseken keresztül. </w:t>
      </w:r>
    </w:p>
    <w:p w14:paraId="405DE5E5" w14:textId="77777777" w:rsidR="00C345CA" w:rsidRPr="00A07F4E" w:rsidRDefault="00C345CA" w:rsidP="00A07F4E">
      <w:pPr>
        <w:pStyle w:val="Cmsor3"/>
        <w:numPr>
          <w:ilvl w:val="0"/>
          <w:numId w:val="100"/>
        </w:numPr>
      </w:pPr>
      <w:bookmarkStart w:id="93" w:name="_Toc109906027"/>
      <w:r w:rsidRPr="00A07F4E">
        <w:t>Azonosított jogsértések</w:t>
      </w:r>
      <w:bookmarkEnd w:id="93"/>
    </w:p>
    <w:p w14:paraId="6D494A92" w14:textId="7E7AEEE6" w:rsidR="00C345CA" w:rsidRPr="00A07F4E" w:rsidRDefault="00C345CA" w:rsidP="00C345CA">
      <w:r w:rsidRPr="00A07F4E">
        <w:t xml:space="preserve">Az adatszolgáltatási kötelezettségek teljesítése során </w:t>
      </w:r>
      <w:r w:rsidR="005551A2">
        <w:t>az MNB</w:t>
      </w:r>
      <w:r w:rsidRPr="00A07F4E">
        <w:t xml:space="preserve"> jogsértést a szektorhoz tartozó szolgáltatók esetében nem észlelt. </w:t>
      </w:r>
    </w:p>
    <w:p w14:paraId="2FBEAEB6" w14:textId="77777777" w:rsidR="003B7FC2" w:rsidRPr="00A07F4E" w:rsidRDefault="005B7C9B" w:rsidP="00C345CA">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w:t>
      </w:r>
      <w:r w:rsidR="00C8437D" w:rsidRPr="00A07F4E">
        <w:t xml:space="preserve">lletékes társhatóságok is kevés jogsértést azonosítottak, a szektorban a leggyakoribb jogsértések az ügyfél és a tényleges tulajdonos azonosításával és személyazonosságának ellenőrzésével, a belső ellenőrzésekkel és az általános </w:t>
      </w:r>
      <w:proofErr w:type="spellStart"/>
      <w:r w:rsidR="00C8437D" w:rsidRPr="00A07F4E">
        <w:t>AML</w:t>
      </w:r>
      <w:proofErr w:type="spellEnd"/>
      <w:r w:rsidR="00C8437D" w:rsidRPr="00A07F4E">
        <w:t>/</w:t>
      </w:r>
      <w:proofErr w:type="spellStart"/>
      <w:r w:rsidR="00C8437D" w:rsidRPr="00A07F4E">
        <w:t>CFT</w:t>
      </w:r>
      <w:proofErr w:type="spellEnd"/>
      <w:r w:rsidR="00C8437D" w:rsidRPr="00A07F4E">
        <w:t xml:space="preserve"> szabályokkal és eljárásokkal, a folyamatos </w:t>
      </w:r>
      <w:proofErr w:type="spellStart"/>
      <w:r w:rsidR="00C8437D" w:rsidRPr="00A07F4E">
        <w:t>monitoringgal</w:t>
      </w:r>
      <w:proofErr w:type="spellEnd"/>
      <w:r w:rsidR="00C8437D" w:rsidRPr="00A07F4E">
        <w:t xml:space="preserve">, ideértve a tranzakciók </w:t>
      </w:r>
      <w:r w:rsidRPr="00A07F4E">
        <w:t>monitoringját is</w:t>
      </w:r>
      <w:r w:rsidR="00C8437D" w:rsidRPr="00A07F4E">
        <w:t>, valamint az ügyf</w:t>
      </w:r>
      <w:r w:rsidRPr="00A07F4E">
        <w:t xml:space="preserve">elek </w:t>
      </w:r>
      <w:r w:rsidR="00C8437D" w:rsidRPr="00A07F4E">
        <w:t>kockázatértékelé</w:t>
      </w:r>
      <w:r w:rsidRPr="00A07F4E">
        <w:t>sével</w:t>
      </w:r>
      <w:r w:rsidR="00C8437D" w:rsidRPr="00A07F4E">
        <w:t xml:space="preserve"> voltak kapcsolatosak.</w:t>
      </w:r>
    </w:p>
    <w:p w14:paraId="120D396B" w14:textId="77777777" w:rsidR="00433374" w:rsidRPr="00A07F4E" w:rsidRDefault="00433374" w:rsidP="0041629D">
      <w:pPr>
        <w:pStyle w:val="Cmsor3"/>
        <w:numPr>
          <w:ilvl w:val="0"/>
          <w:numId w:val="100"/>
        </w:numPr>
      </w:pPr>
      <w:bookmarkStart w:id="94" w:name="_Toc109906028"/>
      <w:r w:rsidRPr="00A07F4E">
        <w:t>Maradványkockázat</w:t>
      </w:r>
      <w:bookmarkEnd w:id="94"/>
    </w:p>
    <w:p w14:paraId="20607732" w14:textId="2D4AAB3A" w:rsidR="00433374" w:rsidRPr="00A07F4E" w:rsidRDefault="008D6ABE" w:rsidP="00433374">
      <w:r>
        <w:t>Az MNB</w:t>
      </w:r>
      <w:r w:rsidR="00433374" w:rsidRPr="00A07F4E">
        <w:t xml:space="preserve"> </w:t>
      </w:r>
      <w:r w:rsidR="009669EC" w:rsidRPr="00A07F4E">
        <w:t xml:space="preserve">mérlegelve a szektor </w:t>
      </w:r>
      <w:r w:rsidR="0044724B" w:rsidRPr="00A07F4E">
        <w:t>vonatkozásában kifejtetteket a</w:t>
      </w:r>
      <w:r w:rsidR="00433374" w:rsidRPr="00A07F4E">
        <w:t xml:space="preserve"> maradványkockázatot</w:t>
      </w:r>
      <w:r>
        <w:t xml:space="preserve"> a szektor vonatkozásában</w:t>
      </w:r>
      <w:r w:rsidR="00433374" w:rsidRPr="00A07F4E">
        <w:t xml:space="preserve"> Mérsékelten jelentősnek értékeli. Az inherens kockázati besorolás megegyezik az </w:t>
      </w:r>
      <w:r w:rsidR="00AC11A2" w:rsidRPr="00A07F4E">
        <w:t xml:space="preserve">a maradvány </w:t>
      </w:r>
      <w:r w:rsidR="00433374" w:rsidRPr="00A07F4E">
        <w:t>kockázati besorolással, am</w:t>
      </w:r>
      <w:r w:rsidR="001E2D3D" w:rsidRPr="00A07F4E">
        <w:t>ely részben</w:t>
      </w:r>
      <w:r w:rsidR="00433374" w:rsidRPr="00A07F4E">
        <w:t xml:space="preserve"> arra a következtetésre vezet, hogy </w:t>
      </w:r>
      <w:r w:rsidR="00767C29" w:rsidRPr="00A07F4E">
        <w:t xml:space="preserve">a szektorban </w:t>
      </w:r>
      <w:r w:rsidR="00AC337B" w:rsidRPr="00A07F4E">
        <w:t>hatékonyabb ellenőrzésre van szükség</w:t>
      </w:r>
      <w:r w:rsidR="00433374" w:rsidRPr="00A07F4E">
        <w:t>.</w:t>
      </w:r>
    </w:p>
    <w:tbl>
      <w:tblPr>
        <w:tblW w:w="4040" w:type="dxa"/>
        <w:tblInd w:w="2746" w:type="dxa"/>
        <w:tblCellMar>
          <w:left w:w="70" w:type="dxa"/>
          <w:right w:w="70" w:type="dxa"/>
        </w:tblCellMar>
        <w:tblLook w:val="04A0" w:firstRow="1" w:lastRow="0" w:firstColumn="1" w:lastColumn="0" w:noHBand="0" w:noVBand="1"/>
      </w:tblPr>
      <w:tblGrid>
        <w:gridCol w:w="2140"/>
        <w:gridCol w:w="1900"/>
      </w:tblGrid>
      <w:tr w:rsidR="00AC11A2" w:rsidRPr="00A07F4E" w14:paraId="6A386A27" w14:textId="77777777" w:rsidTr="00AC11A2">
        <w:trPr>
          <w:trHeight w:val="300"/>
        </w:trPr>
        <w:tc>
          <w:tcPr>
            <w:tcW w:w="2140" w:type="dxa"/>
            <w:tcBorders>
              <w:top w:val="nil"/>
              <w:left w:val="nil"/>
              <w:bottom w:val="nil"/>
              <w:right w:val="nil"/>
            </w:tcBorders>
            <w:shd w:val="clear" w:color="auto" w:fill="auto"/>
            <w:noWrap/>
            <w:vAlign w:val="center"/>
            <w:hideMark/>
          </w:tcPr>
          <w:p w14:paraId="2FC96AEB" w14:textId="77777777" w:rsidR="00AC11A2" w:rsidRPr="00A07F4E" w:rsidRDefault="00AC11A2" w:rsidP="00AC11A2">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D178439" w14:textId="77777777" w:rsidR="00AC11A2" w:rsidRPr="00A07F4E" w:rsidRDefault="00AC11A2" w:rsidP="00AC11A2">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5C88A31A" w14:textId="70E9AE46" w:rsidR="00C345CA" w:rsidRPr="00A07F4E" w:rsidRDefault="0066422E" w:rsidP="00AF43E2">
      <w:pPr>
        <w:pStyle w:val="Cmsor2"/>
      </w:pPr>
      <w:bookmarkStart w:id="95" w:name="_Toc109906029"/>
      <w:r w:rsidRPr="00A07F4E">
        <w:lastRenderedPageBreak/>
        <w:t>Pénzváltó</w:t>
      </w:r>
      <w:r w:rsidR="005849AD">
        <w:t xml:space="preserve"> irodák</w:t>
      </w:r>
      <w:r w:rsidR="00284D88">
        <w:rPr>
          <w:rStyle w:val="Lbjegyzet-hivatkozs"/>
        </w:rPr>
        <w:footnoteReference w:id="12"/>
      </w:r>
      <w:bookmarkEnd w:id="95"/>
      <w:r w:rsidRPr="00A07F4E">
        <w:t xml:space="preserve"> </w:t>
      </w:r>
    </w:p>
    <w:p w14:paraId="00E5F5FD" w14:textId="77777777" w:rsidR="005A337F" w:rsidRPr="00A07F4E" w:rsidRDefault="005A337F" w:rsidP="00A07F4E">
      <w:pPr>
        <w:pStyle w:val="Cmsor3"/>
        <w:numPr>
          <w:ilvl w:val="0"/>
          <w:numId w:val="110"/>
        </w:numPr>
      </w:pPr>
      <w:bookmarkStart w:id="96" w:name="_Toc109906030"/>
      <w:r w:rsidRPr="00A07F4E">
        <w:rPr>
          <w:bCs w:val="0"/>
        </w:rPr>
        <w:t>A szektor méretére, tevékenységi körére és összetettségére vonatkozó információk összesített formában</w:t>
      </w:r>
      <w:bookmarkEnd w:id="96"/>
    </w:p>
    <w:p w14:paraId="2590D71C" w14:textId="03B64BE9" w:rsidR="00C77065" w:rsidRDefault="00307BA5" w:rsidP="005A337F">
      <w:r>
        <w:t xml:space="preserve">A </w:t>
      </w:r>
      <w:r w:rsidR="005A337F" w:rsidRPr="00A07F4E">
        <w:t>Magyarországon tevékenységet folytató pénzváltó</w:t>
      </w:r>
      <w:r w:rsidR="005849AD">
        <w:t xml:space="preserve"> irodák</w:t>
      </w:r>
      <w:r w:rsidR="005A337F" w:rsidRPr="00A07F4E">
        <w:t xml:space="preserve"> száma</w:t>
      </w:r>
      <w:r w:rsidR="00FE089A" w:rsidRPr="00A07F4E">
        <w:t xml:space="preserve"> </w:t>
      </w:r>
      <w:r w:rsidR="002130DC" w:rsidRPr="00FC37B3" w:rsidDel="00307BA5">
        <w:t>1</w:t>
      </w:r>
      <w:r w:rsidR="002130DC" w:rsidRPr="00FC37B3">
        <w:t>30</w:t>
      </w:r>
      <w:r w:rsidR="002130DC" w:rsidRPr="00FC37B3" w:rsidDel="00307BA5">
        <w:t xml:space="preserve"> </w:t>
      </w:r>
      <w:r w:rsidR="00FE089A" w:rsidRPr="00FC37B3" w:rsidDel="00307BA5">
        <w:t xml:space="preserve">és </w:t>
      </w:r>
      <w:r w:rsidR="00A07F4E" w:rsidRPr="00FC37B3" w:rsidDel="00307BA5">
        <w:t>1</w:t>
      </w:r>
      <w:r w:rsidR="00FE089A" w:rsidRPr="00FC37B3" w:rsidDel="00307BA5">
        <w:t>50 közöttire tehető</w:t>
      </w:r>
      <w:r w:rsidRPr="00FC37B3">
        <w:t>.</w:t>
      </w:r>
      <w:r w:rsidR="005A337F" w:rsidRPr="00A07F4E">
        <w:t xml:space="preserve"> </w:t>
      </w:r>
      <w:r w:rsidR="00A37D9D">
        <w:t xml:space="preserve">A </w:t>
      </w:r>
      <w:r w:rsidR="00A37D9D" w:rsidDel="005849AD">
        <w:t>szolgáltatók</w:t>
      </w:r>
      <w:r w:rsidR="005A337F" w:rsidRPr="00A07F4E" w:rsidDel="005849AD">
        <w:t xml:space="preserve"> </w:t>
      </w:r>
      <w:r w:rsidR="005849AD">
        <w:t>pénzváltó</w:t>
      </w:r>
      <w:r w:rsidR="005849AD" w:rsidRPr="00A07F4E">
        <w:t xml:space="preserve"> </w:t>
      </w:r>
      <w:r w:rsidR="005849AD">
        <w:t xml:space="preserve">irodák </w:t>
      </w:r>
      <w:r w:rsidR="005849AD" w:rsidRPr="00A07F4E">
        <w:t>hitelintézet</w:t>
      </w:r>
      <w:r w:rsidR="005849AD">
        <w:t>ek megbízásából</w:t>
      </w:r>
      <w:r w:rsidR="005849AD" w:rsidRPr="00C123B0">
        <w:t xml:space="preserve"> </w:t>
      </w:r>
      <w:r w:rsidR="005849AD" w:rsidRPr="00A07F4E">
        <w:t>kiemelt közvetítő</w:t>
      </w:r>
      <w:r w:rsidR="005849AD">
        <w:t>i tevékenység</w:t>
      </w:r>
      <w:r w:rsidR="005849AD">
        <w:rPr>
          <w:rStyle w:val="Lbjegyzet-hivatkozs"/>
        </w:rPr>
        <w:footnoteReference w:id="13"/>
      </w:r>
      <w:r w:rsidR="005849AD">
        <w:t xml:space="preserve"> keretében végzik a </w:t>
      </w:r>
      <w:r w:rsidR="005A337F" w:rsidRPr="00A07F4E">
        <w:t>pénzváltási tevékenységet</w:t>
      </w:r>
      <w:r>
        <w:rPr>
          <w:rStyle w:val="Lbjegyzet-hivatkozs"/>
        </w:rPr>
        <w:footnoteReference w:id="14"/>
      </w:r>
      <w:r w:rsidR="005A337F" w:rsidRPr="00A07F4E" w:rsidDel="00BC05C3">
        <w:t xml:space="preserve">. </w:t>
      </w:r>
      <w:r w:rsidR="005A337F" w:rsidRPr="00A07F4E" w:rsidDel="005849AD">
        <w:t>A pénzváltó</w:t>
      </w:r>
      <w:r w:rsidR="008E7327">
        <w:t xml:space="preserve"> irodák</w:t>
      </w:r>
      <w:r w:rsidR="005A337F" w:rsidRPr="00A07F4E" w:rsidDel="005849AD">
        <w:t xml:space="preserve"> </w:t>
      </w:r>
      <w:r w:rsidR="005A337F" w:rsidRPr="00A07F4E" w:rsidDel="00C123B0">
        <w:t xml:space="preserve">a </w:t>
      </w:r>
      <w:r w:rsidR="005A337F" w:rsidRPr="00A07F4E" w:rsidDel="005849AD">
        <w:t>hitelintézet</w:t>
      </w:r>
      <w:r w:rsidR="005A337F" w:rsidRPr="00A07F4E" w:rsidDel="00BC05C3">
        <w:t xml:space="preserve">i szektor </w:t>
      </w:r>
      <w:r w:rsidR="00A37D9D" w:rsidDel="00BC05C3">
        <w:t>szolgáltatóinak</w:t>
      </w:r>
      <w:r w:rsidR="00A37D9D" w:rsidRPr="00A07F4E" w:rsidDel="00BC05C3">
        <w:t xml:space="preserve"> </w:t>
      </w:r>
      <w:r w:rsidR="005A337F" w:rsidRPr="00A07F4E" w:rsidDel="00BC05C3">
        <w:t xml:space="preserve">a </w:t>
      </w:r>
      <w:r w:rsidR="005A337F" w:rsidRPr="00A07F4E" w:rsidDel="00C123B0">
        <w:t>kiemelt közvetítő</w:t>
      </w:r>
      <w:r w:rsidR="005A337F" w:rsidRPr="00A07F4E" w:rsidDel="00BC05C3">
        <w:t>jeként kerülnek Magyarországon engedélyezésre</w:t>
      </w:r>
      <w:r w:rsidR="005A337F" w:rsidRPr="00A07F4E">
        <w:t xml:space="preserve">. </w:t>
      </w:r>
      <w:r w:rsidR="00C77065">
        <w:t xml:space="preserve">A hazai piacon </w:t>
      </w:r>
      <w:r w:rsidR="008E7327">
        <w:t>működő pénzváltói szektor</w:t>
      </w:r>
      <w:r w:rsidR="00C77065">
        <w:t xml:space="preserve"> </w:t>
      </w:r>
      <w:r w:rsidR="00EC4429">
        <w:t>jelenleg</w:t>
      </w:r>
      <w:r w:rsidR="005849AD">
        <w:t xml:space="preserve"> három</w:t>
      </w:r>
      <w:r w:rsidR="00C77065" w:rsidRPr="00C77065">
        <w:t xml:space="preserve"> hitelintézet</w:t>
      </w:r>
      <w:r w:rsidR="00EC4429">
        <w:t xml:space="preserve">hez </w:t>
      </w:r>
      <w:r w:rsidR="008E7327">
        <w:t>köthető.</w:t>
      </w:r>
    </w:p>
    <w:p w14:paraId="459429A1" w14:textId="77777777" w:rsidR="009365E1" w:rsidRPr="00A07F4E" w:rsidRDefault="009365E1" w:rsidP="00A07F4E">
      <w:pPr>
        <w:pStyle w:val="Cmsor3"/>
        <w:numPr>
          <w:ilvl w:val="0"/>
          <w:numId w:val="110"/>
        </w:numPr>
      </w:pPr>
      <w:bookmarkStart w:id="97" w:name="_Toc109906031"/>
      <w:r w:rsidRPr="00A07F4E">
        <w:t>Inherens kockázatértékelés</w:t>
      </w:r>
      <w:bookmarkEnd w:id="97"/>
    </w:p>
    <w:p w14:paraId="600DDDB7" w14:textId="77777777" w:rsidR="000273F6" w:rsidRPr="00A07F4E" w:rsidRDefault="000273F6" w:rsidP="00A07F4E">
      <w:pPr>
        <w:pStyle w:val="Listaszerbekezds"/>
        <w:numPr>
          <w:ilvl w:val="1"/>
          <w:numId w:val="14"/>
        </w:numPr>
        <w:ind w:left="851" w:hanging="284"/>
      </w:pPr>
      <w:r w:rsidRPr="00A07F4E">
        <w:t>A pénzváltói szektorban rejlő ML/</w:t>
      </w:r>
      <w:proofErr w:type="spellStart"/>
      <w:r w:rsidRPr="00A07F4E">
        <w:t>TF</w:t>
      </w:r>
      <w:proofErr w:type="spellEnd"/>
      <w:r w:rsidRPr="00A07F4E">
        <w:t xml:space="preserve"> kockázati tényezők</w:t>
      </w:r>
    </w:p>
    <w:p w14:paraId="38D9B804" w14:textId="745F6CA4" w:rsidR="00B22A10" w:rsidRDefault="009365E1" w:rsidP="009365E1">
      <w:r w:rsidRPr="002B2910">
        <w:t>A</w:t>
      </w:r>
      <w:r w:rsidR="00F63313" w:rsidRPr="00AF43E2">
        <w:t>z MNB</w:t>
      </w:r>
      <w:r w:rsidR="00A04CFD" w:rsidRPr="002B2910">
        <w:t xml:space="preserve"> által</w:t>
      </w:r>
      <w:r w:rsidRPr="002B2910">
        <w:t xml:space="preserve"> a termékek/szolgáltatások</w:t>
      </w:r>
      <w:r w:rsidR="00AD6F6D" w:rsidRPr="002B2910">
        <w:t xml:space="preserve"> kockázatai Nagyon jelentős, az</w:t>
      </w:r>
      <w:r w:rsidRPr="002B2910">
        <w:t xml:space="preserve"> ügyfelek és az </w:t>
      </w:r>
      <w:r w:rsidR="00AD6F6D" w:rsidRPr="002B2910">
        <w:t>földrajzi</w:t>
      </w:r>
      <w:r w:rsidRPr="002B2910">
        <w:t xml:space="preserve"> kockáza</w:t>
      </w:r>
      <w:r w:rsidR="00AD6F6D" w:rsidRPr="002B2910">
        <w:t>tok</w:t>
      </w:r>
      <w:r w:rsidR="00A04CFD" w:rsidRPr="002B2910">
        <w:t xml:space="preserve"> </w:t>
      </w:r>
      <w:r w:rsidR="00AA2F22" w:rsidRPr="002B2910">
        <w:t>J</w:t>
      </w:r>
      <w:r w:rsidRPr="002B2910">
        <w:t xml:space="preserve">elentős, míg </w:t>
      </w:r>
      <w:r w:rsidR="00AD6F6D" w:rsidRPr="002B2910">
        <w:t>az értékesítési csatorna Mérsékelten j</w:t>
      </w:r>
      <w:r w:rsidRPr="002B2910">
        <w:t>elentős kockázati besorolást kapott.</w:t>
      </w:r>
      <w:r w:rsidRPr="00A07F4E">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DB23A3" w:rsidRPr="003168BA" w14:paraId="0D32DB1C" w14:textId="77777777" w:rsidTr="00300DCA">
        <w:tc>
          <w:tcPr>
            <w:tcW w:w="3061" w:type="dxa"/>
          </w:tcPr>
          <w:p w14:paraId="5C03587E" w14:textId="77777777" w:rsidR="00DB23A3" w:rsidRPr="00095247" w:rsidRDefault="00DB23A3" w:rsidP="00300DCA">
            <w:pPr>
              <w:spacing w:after="0" w:line="240" w:lineRule="auto"/>
              <w:contextualSpacing w:val="0"/>
              <w:jc w:val="center"/>
              <w:rPr>
                <w:rFonts w:eastAsia="Times New Roman" w:cs="Times New Roman"/>
                <w:b/>
                <w:bCs/>
                <w:color w:val="000000"/>
                <w:sz w:val="18"/>
                <w:szCs w:val="18"/>
              </w:rPr>
            </w:pPr>
            <w:r w:rsidRPr="00095247">
              <w:rPr>
                <w:rFonts w:eastAsia="Times New Roman" w:cs="Times New Roman"/>
                <w:b/>
                <w:bCs/>
                <w:color w:val="000000"/>
                <w:sz w:val="18"/>
                <w:szCs w:val="18"/>
              </w:rPr>
              <w:t>Kockázat megnevezése</w:t>
            </w:r>
          </w:p>
        </w:tc>
        <w:tc>
          <w:tcPr>
            <w:tcW w:w="3035" w:type="dxa"/>
          </w:tcPr>
          <w:p w14:paraId="0766C8D2" w14:textId="77777777" w:rsidR="00DB23A3" w:rsidRPr="00095247" w:rsidRDefault="00DB23A3" w:rsidP="00300DCA">
            <w:pPr>
              <w:spacing w:after="0" w:line="240" w:lineRule="auto"/>
              <w:contextualSpacing w:val="0"/>
              <w:jc w:val="center"/>
              <w:rPr>
                <w:rFonts w:eastAsia="Times New Roman" w:cs="Times New Roman"/>
                <w:b/>
                <w:bCs/>
                <w:color w:val="000000"/>
                <w:sz w:val="18"/>
                <w:szCs w:val="18"/>
              </w:rPr>
            </w:pPr>
            <w:r w:rsidRPr="00095247">
              <w:rPr>
                <w:rFonts w:eastAsia="Times New Roman" w:cs="Times New Roman"/>
                <w:b/>
                <w:bCs/>
                <w:color w:val="000000"/>
                <w:sz w:val="18"/>
                <w:szCs w:val="18"/>
              </w:rPr>
              <w:t>Kockázati érték</w:t>
            </w:r>
          </w:p>
        </w:tc>
      </w:tr>
      <w:tr w:rsidR="00DB23A3" w:rsidRPr="003168BA" w14:paraId="4B5F3260" w14:textId="77777777" w:rsidTr="00AF43E2">
        <w:tc>
          <w:tcPr>
            <w:tcW w:w="3061" w:type="dxa"/>
            <w:shd w:val="clear" w:color="auto" w:fill="FFFFFF" w:themeFill="background1"/>
          </w:tcPr>
          <w:p w14:paraId="730C8B33" w14:textId="77777777" w:rsidR="00DB23A3" w:rsidRPr="00095247" w:rsidRDefault="00DB23A3"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Termék/szolgáltatás</w:t>
            </w:r>
          </w:p>
        </w:tc>
        <w:tc>
          <w:tcPr>
            <w:tcW w:w="3035" w:type="dxa"/>
            <w:shd w:val="clear" w:color="auto" w:fill="FF0000"/>
          </w:tcPr>
          <w:p w14:paraId="43450F0D" w14:textId="4B027AE2" w:rsidR="00DB23A3" w:rsidRPr="00095247" w:rsidRDefault="007B087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Nagyon j</w:t>
            </w:r>
            <w:r w:rsidR="00DB23A3" w:rsidRPr="00095247">
              <w:rPr>
                <w:rFonts w:eastAsia="Times New Roman" w:cs="Times New Roman"/>
                <w:color w:val="000000"/>
                <w:sz w:val="18"/>
                <w:szCs w:val="18"/>
              </w:rPr>
              <w:t xml:space="preserve">elentős </w:t>
            </w:r>
          </w:p>
        </w:tc>
      </w:tr>
      <w:tr w:rsidR="00DB23A3" w14:paraId="17EAD5BB" w14:textId="77777777" w:rsidTr="00AF43E2">
        <w:tc>
          <w:tcPr>
            <w:tcW w:w="3061" w:type="dxa"/>
            <w:shd w:val="clear" w:color="auto" w:fill="FFFFFF" w:themeFill="background1"/>
          </w:tcPr>
          <w:p w14:paraId="1E1C5FC0" w14:textId="77777777" w:rsidR="00DB23A3" w:rsidRPr="00095247" w:rsidRDefault="00DB23A3"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Ügyfél</w:t>
            </w:r>
          </w:p>
        </w:tc>
        <w:tc>
          <w:tcPr>
            <w:tcW w:w="3035" w:type="dxa"/>
            <w:shd w:val="clear" w:color="auto" w:fill="FFC000"/>
          </w:tcPr>
          <w:p w14:paraId="4191F82E" w14:textId="39310B97" w:rsidR="00DB23A3" w:rsidRPr="00095247" w:rsidRDefault="007B087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J</w:t>
            </w:r>
            <w:r w:rsidR="00E12BFC">
              <w:rPr>
                <w:rFonts w:eastAsia="Times New Roman" w:cs="Times New Roman"/>
                <w:color w:val="000000"/>
                <w:sz w:val="18"/>
                <w:szCs w:val="18"/>
              </w:rPr>
              <w:t>elentős</w:t>
            </w:r>
          </w:p>
        </w:tc>
      </w:tr>
      <w:tr w:rsidR="00DB23A3" w14:paraId="13512220" w14:textId="77777777" w:rsidTr="00AF43E2">
        <w:trPr>
          <w:trHeight w:val="50"/>
        </w:trPr>
        <w:tc>
          <w:tcPr>
            <w:tcW w:w="3061" w:type="dxa"/>
            <w:shd w:val="clear" w:color="auto" w:fill="FFFFFF" w:themeFill="background1"/>
          </w:tcPr>
          <w:p w14:paraId="27161252" w14:textId="77777777" w:rsidR="00DB23A3" w:rsidRPr="00095247" w:rsidRDefault="00DB23A3"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Földrajzi</w:t>
            </w:r>
          </w:p>
        </w:tc>
        <w:tc>
          <w:tcPr>
            <w:tcW w:w="3035" w:type="dxa"/>
            <w:shd w:val="clear" w:color="auto" w:fill="FFC000"/>
          </w:tcPr>
          <w:p w14:paraId="14C98DC9" w14:textId="29967161" w:rsidR="00DB23A3" w:rsidRPr="00095247" w:rsidRDefault="007B087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J</w:t>
            </w:r>
            <w:r w:rsidR="00DB23A3" w:rsidRPr="00095247">
              <w:rPr>
                <w:rFonts w:eastAsia="Times New Roman" w:cs="Times New Roman"/>
                <w:color w:val="000000"/>
                <w:sz w:val="18"/>
                <w:szCs w:val="18"/>
              </w:rPr>
              <w:t>elentős</w:t>
            </w:r>
          </w:p>
        </w:tc>
      </w:tr>
      <w:tr w:rsidR="00DB23A3" w14:paraId="59714A51" w14:textId="77777777" w:rsidTr="00AF43E2">
        <w:tc>
          <w:tcPr>
            <w:tcW w:w="3061" w:type="dxa"/>
            <w:shd w:val="clear" w:color="auto" w:fill="FFFFFF" w:themeFill="background1"/>
          </w:tcPr>
          <w:p w14:paraId="2A96F1C1" w14:textId="17EE32C7" w:rsidR="00DB23A3" w:rsidRPr="00095247" w:rsidRDefault="00DB23A3"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Értékesítési csato</w:t>
            </w:r>
            <w:r w:rsidR="00D00776">
              <w:rPr>
                <w:rFonts w:eastAsia="Times New Roman" w:cs="Times New Roman"/>
                <w:color w:val="000000"/>
                <w:sz w:val="18"/>
                <w:szCs w:val="18"/>
              </w:rPr>
              <w:t>r</w:t>
            </w:r>
            <w:r w:rsidRPr="00095247">
              <w:rPr>
                <w:rFonts w:eastAsia="Times New Roman" w:cs="Times New Roman"/>
                <w:color w:val="000000"/>
                <w:sz w:val="18"/>
                <w:szCs w:val="18"/>
              </w:rPr>
              <w:t>na</w:t>
            </w:r>
          </w:p>
        </w:tc>
        <w:tc>
          <w:tcPr>
            <w:tcW w:w="3035" w:type="dxa"/>
            <w:shd w:val="clear" w:color="auto" w:fill="FFFF00"/>
          </w:tcPr>
          <w:p w14:paraId="7BC54191" w14:textId="0B8861B2" w:rsidR="00DB23A3" w:rsidRPr="00095247" w:rsidRDefault="007B087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w:t>
            </w:r>
            <w:r w:rsidR="00DB23A3" w:rsidRPr="00095247">
              <w:rPr>
                <w:rFonts w:eastAsia="Times New Roman" w:cs="Times New Roman"/>
                <w:color w:val="000000"/>
                <w:sz w:val="18"/>
                <w:szCs w:val="18"/>
              </w:rPr>
              <w:t xml:space="preserve"> jelentős</w:t>
            </w:r>
          </w:p>
        </w:tc>
      </w:tr>
    </w:tbl>
    <w:p w14:paraId="15E0147E" w14:textId="1B85CF71" w:rsidR="004D179A" w:rsidRDefault="00A04CFD" w:rsidP="00FC37B3">
      <w:pPr>
        <w:spacing w:before="120"/>
      </w:pPr>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w:t>
      </w:r>
      <w:r w:rsidR="00F8020A" w:rsidRPr="00A07F4E">
        <w:t>és a hazai tapasztalatok alapján</w:t>
      </w:r>
      <w:r w:rsidR="00D87DC6" w:rsidRPr="00A07F4E">
        <w:t xml:space="preserve"> </w:t>
      </w:r>
      <w:r w:rsidRPr="00A07F4E">
        <w:t xml:space="preserve">megállapítható, hogy a szektorban rejlő legfontosabb kockázatok többnyire </w:t>
      </w:r>
      <w:r w:rsidR="00A37D9D">
        <w:t>a szolgáltató</w:t>
      </w:r>
      <w:r w:rsidRPr="00A07F4E">
        <w:t xml:space="preserve"> készpénzigényes jellegéhez és az ügyfelek </w:t>
      </w:r>
      <w:r w:rsidR="00406551" w:rsidRPr="00A07F4E">
        <w:t>típusához</w:t>
      </w:r>
      <w:r w:rsidRPr="00A07F4E">
        <w:t xml:space="preserve"> kapcsolódnak, akik között gyakran vannak például bevándorlók, menedékkérők, határon túli munkavállalók, turisták. </w:t>
      </w:r>
    </w:p>
    <w:p w14:paraId="3D6E4279" w14:textId="77777777" w:rsidR="004D179A" w:rsidRDefault="004D179A" w:rsidP="00A04CFD">
      <w:r w:rsidRPr="004D179A">
        <w:t>Fontos kiemelni, hogy a pénzváltások során nagy pénzmosási kockázatot hordoz az ügyfelek, illetve ügyletek alkalmi jellege. Kifejezetten hozzájárul továbbá a kockázat növekedéséhez, hogy a megbízó hitelintézetek által végrehajtott pénzváltások jóval kisebb volumenben történnek, mint a pénzváltó ügynökök esetében. Ez utóbbiak jellemzően alacsonyabb erőforrással rendelkeznek, a dolgozói tudatosság szintje is mérsékeltebb, és a folyamatok technikai rendszerek általi támogatottságának mértéke, esetleges automatizmusok jelenléte is csekélyebb</w:t>
      </w:r>
      <w:r>
        <w:t>.</w:t>
      </w:r>
    </w:p>
    <w:p w14:paraId="2FD7DF16" w14:textId="6BCD9D7D" w:rsidR="009669AC" w:rsidRPr="00A07F4E" w:rsidRDefault="00850BAC" w:rsidP="009669AC">
      <w:r w:rsidRPr="00A07F4E">
        <w:t>Az</w:t>
      </w:r>
      <w:r w:rsidR="00A04CFD" w:rsidRPr="00A07F4E">
        <w:t xml:space="preserve"> ügyfelek sokféleségéből adódóan az illetékes </w:t>
      </w:r>
      <w:r w:rsidR="00EC4429">
        <w:t>külföldi</w:t>
      </w:r>
      <w:r w:rsidR="00A04CFD" w:rsidRPr="00A07F4E">
        <w:t xml:space="preserve"> hatóságok kiemelték a földrajzi kockázatot, amely a határ menti régiók közelében zajló tevékenységek és a kapcsolódó készpénzigényes műveletek szintjéhez kapcsolódik</w:t>
      </w:r>
      <w:r w:rsidRPr="00A07F4E">
        <w:t>, amelyek</w:t>
      </w:r>
      <w:r w:rsidR="00A04CFD" w:rsidRPr="00A07F4E">
        <w:t xml:space="preserve"> </w:t>
      </w:r>
      <w:r w:rsidRPr="00A07F4E">
        <w:t>a szektor</w:t>
      </w:r>
      <w:r w:rsidR="00A04CFD" w:rsidRPr="00A07F4E">
        <w:t xml:space="preserve"> számára kulcsfontosságú kockázatnövelő tényező. </w:t>
      </w:r>
      <w:r w:rsidRPr="00A07F4E">
        <w:t>Egyes</w:t>
      </w:r>
      <w:r w:rsidR="00EC4429">
        <w:t xml:space="preserve"> külföldi</w:t>
      </w:r>
      <w:r w:rsidR="00A04CFD" w:rsidRPr="00A07F4E">
        <w:t xml:space="preserve"> hatóságok </w:t>
      </w:r>
      <w:r w:rsidRPr="00A07F4E">
        <w:t>a szektort</w:t>
      </w:r>
      <w:r w:rsidR="00A04CFD" w:rsidRPr="00A07F4E">
        <w:t xml:space="preserve"> érintő, az alapbűncselekményekhez, például a csempészethez</w:t>
      </w:r>
      <w:r w:rsidR="00204494" w:rsidRPr="000610B9">
        <w:rPr>
          <w:rStyle w:val="Lbjegyzet-hivatkozs"/>
        </w:rPr>
        <w:footnoteReference w:id="15"/>
      </w:r>
      <w:r w:rsidR="00A04CFD" w:rsidRPr="00A07F4E">
        <w:t xml:space="preserve"> </w:t>
      </w:r>
      <w:r w:rsidR="00204494">
        <w:t>(költségvetési csaláshoz)</w:t>
      </w:r>
      <w:r w:rsidR="00A04CFD" w:rsidRPr="00A07F4E">
        <w:t xml:space="preserve"> kapcsolódó konkrét kockázatokat </w:t>
      </w:r>
      <w:r w:rsidRPr="00A07F4E">
        <w:t xml:space="preserve">is </w:t>
      </w:r>
      <w:r w:rsidR="00A04CFD" w:rsidRPr="00A07F4E">
        <w:t>azonosítottak.</w:t>
      </w:r>
      <w:r w:rsidRPr="00A07F4E">
        <w:t xml:space="preserve"> Ezen kockázatok is figyelembevételre kerültek jelen kockázatértékelés elvégzésekor. </w:t>
      </w:r>
      <w:r w:rsidR="009669AC" w:rsidRPr="00A07F4E">
        <w:t>A</w:t>
      </w:r>
      <w:r w:rsidR="00204494">
        <w:t xml:space="preserve">z MNB </w:t>
      </w:r>
      <w:r w:rsidR="009669AC" w:rsidRPr="00A07F4E">
        <w:t xml:space="preserve">a szektor értékelésénél megállapította, hogy a szektorhoz tartozó </w:t>
      </w:r>
      <w:r w:rsidR="00A37D9D">
        <w:t>szolgáltatók</w:t>
      </w:r>
      <w:r w:rsidR="00A37D9D" w:rsidRPr="00A07F4E">
        <w:t xml:space="preserve"> </w:t>
      </w:r>
      <w:r w:rsidR="00405895" w:rsidRPr="009F3A30">
        <w:t>fejlesztendő</w:t>
      </w:r>
      <w:r w:rsidR="00405895" w:rsidRPr="00A07F4E">
        <w:t xml:space="preserve"> </w:t>
      </w:r>
      <w:proofErr w:type="spellStart"/>
      <w:r w:rsidR="009669AC" w:rsidRPr="00CF3DE4">
        <w:t>AML</w:t>
      </w:r>
      <w:proofErr w:type="spellEnd"/>
      <w:r w:rsidR="009669AC" w:rsidRPr="00A07F4E">
        <w:t xml:space="preserve"> tranzakció </w:t>
      </w:r>
      <w:proofErr w:type="spellStart"/>
      <w:r w:rsidR="009669AC" w:rsidRPr="00A07F4E">
        <w:t>monitoringgal</w:t>
      </w:r>
      <w:proofErr w:type="spellEnd"/>
      <w:r w:rsidR="009669AC" w:rsidRPr="00A07F4E">
        <w:t xml:space="preserve"> és </w:t>
      </w:r>
      <w:r w:rsidR="00405895" w:rsidRPr="009F3A30">
        <w:t>az elvártaktól elmaradó, nem megfelelő</w:t>
      </w:r>
      <w:r w:rsidR="009669AC" w:rsidRPr="00A07F4E">
        <w:t xml:space="preserve"> gyanús ügyletek bejelentésére vonatkozó politikákkal és eljárásokkal rendelkeznek.  </w:t>
      </w:r>
      <w:r w:rsidR="00A37D9D">
        <w:t>A szolgáltatók</w:t>
      </w:r>
      <w:r w:rsidR="009669AC" w:rsidRPr="00A07F4E">
        <w:t xml:space="preserve"> </w:t>
      </w:r>
      <w:r w:rsidR="00777557" w:rsidRPr="009F3A30">
        <w:t>felügyelet felé történő adatszolgáltatási gyakorlata fejlesztendő</w:t>
      </w:r>
      <w:r w:rsidR="009669AC" w:rsidRPr="00A07F4E">
        <w:t>, az ügyfél-</w:t>
      </w:r>
      <w:r w:rsidR="00777557" w:rsidRPr="009F3A30">
        <w:t>átvilágítás során a pénzeszköz forrásának beszerzési gyakorlata elmarad az elvárásoktól</w:t>
      </w:r>
      <w:r w:rsidR="009669AC" w:rsidRPr="00A07F4E">
        <w:t xml:space="preserve">, </w:t>
      </w:r>
      <w:r w:rsidR="00992153" w:rsidRPr="009F3A30">
        <w:t>illetve</w:t>
      </w:r>
      <w:r w:rsidR="00992153" w:rsidRPr="00A07F4E">
        <w:t xml:space="preserve"> </w:t>
      </w:r>
      <w:r w:rsidR="009669AC" w:rsidRPr="00A07F4E">
        <w:t xml:space="preserve">az összes releváns </w:t>
      </w:r>
      <w:proofErr w:type="spellStart"/>
      <w:r w:rsidR="009669AC" w:rsidRPr="00AF43E2">
        <w:t>AML</w:t>
      </w:r>
      <w:proofErr w:type="spellEnd"/>
      <w:r w:rsidR="009669AC" w:rsidRPr="00CF3DE4">
        <w:t xml:space="preserve"> tip</w:t>
      </w:r>
      <w:r w:rsidR="009669AC" w:rsidRPr="00A07F4E">
        <w:t>ológia, „</w:t>
      </w:r>
      <w:proofErr w:type="spellStart"/>
      <w:r w:rsidR="009669AC" w:rsidRPr="00A07F4E">
        <w:t>redflag</w:t>
      </w:r>
      <w:proofErr w:type="spellEnd"/>
      <w:r w:rsidR="00406551" w:rsidRPr="00A07F4E">
        <w:t>-ek</w:t>
      </w:r>
      <w:r w:rsidR="009669AC" w:rsidRPr="00A07F4E">
        <w:t xml:space="preserve">” </w:t>
      </w:r>
      <w:proofErr w:type="spellStart"/>
      <w:r w:rsidR="009669AC" w:rsidRPr="00A07F4E">
        <w:t>teljeskörűen</w:t>
      </w:r>
      <w:proofErr w:type="spellEnd"/>
      <w:r w:rsidR="009669AC" w:rsidRPr="00A07F4E">
        <w:t xml:space="preserve"> nem találhatóak meg a </w:t>
      </w:r>
      <w:r w:rsidR="00406551" w:rsidRPr="00A07F4E">
        <w:t>szűrő</w:t>
      </w:r>
      <w:r w:rsidR="009669AC" w:rsidRPr="00A07F4E">
        <w:t xml:space="preserve">rendszerekben. </w:t>
      </w:r>
    </w:p>
    <w:p w14:paraId="44DA2FBE" w14:textId="541FF6DF" w:rsidR="00B17E4D" w:rsidRPr="00A07F4E" w:rsidRDefault="00545CE9" w:rsidP="00B17E4D">
      <w:r w:rsidRPr="00A07F4E">
        <w:t>A</w:t>
      </w:r>
      <w:r w:rsidR="00204494">
        <w:t xml:space="preserve">z MNB </w:t>
      </w:r>
      <w:r w:rsidRPr="00A07F4E">
        <w:t>kockázatként azonosította a szektorban, hogy a pénzeszköz forrására vonatkozó információk nem minden esteben állnak rendelkezésre</w:t>
      </w:r>
      <w:r w:rsidR="000923AB" w:rsidRPr="00A07F4E">
        <w:t>, valamint további kockázatként került azonosításra</w:t>
      </w:r>
      <w:r w:rsidR="00B17E4D" w:rsidRPr="00A07F4E">
        <w:t xml:space="preserve"> a személyzet megfelelő ismereteinek és tudatosságának hiánya, amely befolyásolhatja a hatékonyságot,</w:t>
      </w:r>
      <w:r w:rsidR="00AA2F22" w:rsidRPr="00A07F4E">
        <w:t xml:space="preserve"> valamint</w:t>
      </w:r>
      <w:r w:rsidR="00B17E4D" w:rsidRPr="00A07F4E">
        <w:t xml:space="preserve"> késedelmes riportok és/vagy a tranzakciós </w:t>
      </w:r>
      <w:r w:rsidR="00B17E4D" w:rsidRPr="00CF3DE4">
        <w:t xml:space="preserve">dokumentumok </w:t>
      </w:r>
      <w:proofErr w:type="spellStart"/>
      <w:r w:rsidR="000610B9" w:rsidRPr="00CF3DE4">
        <w:t>N</w:t>
      </w:r>
      <w:r w:rsidR="000610B9">
        <w:t>AV</w:t>
      </w:r>
      <w:proofErr w:type="spellEnd"/>
      <w:r w:rsidR="000610B9">
        <w:t xml:space="preserve"> </w:t>
      </w:r>
      <w:proofErr w:type="spellStart"/>
      <w:r w:rsidR="000610B9">
        <w:t>PEI-nek</w:t>
      </w:r>
      <w:proofErr w:type="spellEnd"/>
      <w:r w:rsidR="00B17E4D" w:rsidRPr="00A07F4E">
        <w:t xml:space="preserve"> történő benyújtásának hiánya. </w:t>
      </w:r>
    </w:p>
    <w:p w14:paraId="01665B9A" w14:textId="196B6610" w:rsidR="00D87DC6" w:rsidRPr="009F3A30" w:rsidRDefault="00D87DC6" w:rsidP="00D87DC6">
      <w:r w:rsidRPr="009F3A30">
        <w:lastRenderedPageBreak/>
        <w:t>További kockázatként került azonosításra, hogy a pénzváltók általában olyan személyeket jelentenek be a hitelintézetek és ezáltal az MNB felé, akiket már korábbi engedélyezési eljárásokban az MNB vizsgált, majd a későbbiek során lecserélik az adott személyt – előéletének fentiek szerinti ismerete és</w:t>
      </w:r>
      <w:r w:rsidR="00A37D9D">
        <w:t xml:space="preserve"> –</w:t>
      </w:r>
      <w:r w:rsidRPr="009F3A30">
        <w:t xml:space="preserve"> felügyeleti kontroll nélkül. </w:t>
      </w:r>
    </w:p>
    <w:p w14:paraId="4ED4D2AD" w14:textId="658E5CF4" w:rsidR="007C241E" w:rsidRPr="009F3A30" w:rsidRDefault="007C241E" w:rsidP="007C241E">
      <w:r w:rsidRPr="009F3A30">
        <w:t>A</w:t>
      </w:r>
      <w:r w:rsidR="008E7327">
        <w:t>z MNB</w:t>
      </w:r>
      <w:r w:rsidR="00E12BFC">
        <w:t xml:space="preserve"> </w:t>
      </w:r>
      <w:r w:rsidR="00A37D9D">
        <w:t>által folytatott</w:t>
      </w:r>
      <w:r w:rsidRPr="009F3A30">
        <w:t xml:space="preserve"> vizsgálat alapján </w:t>
      </w:r>
      <w:r w:rsidR="00522ACA">
        <w:t>kockázatként került azonosításra</w:t>
      </w:r>
      <w:r w:rsidRPr="009F3A30">
        <w:t>, hogy a pénzváltó</w:t>
      </w:r>
      <w:r w:rsidR="008E7327">
        <w:t xml:space="preserve"> irodák</w:t>
      </w:r>
      <w:r w:rsidRPr="009F3A30">
        <w:t xml:space="preserve"> és megbízóik nem helyeztek kellő körültekintést azokra az esetekre, ahol a pénzváltó</w:t>
      </w:r>
      <w:r w:rsidR="008E7327">
        <w:t xml:space="preserve"> irodák</w:t>
      </w:r>
      <w:r w:rsidRPr="009F3A30">
        <w:t xml:space="preserve"> ügyfelei rendszeres kisebb váltásokkal (darabolással) kerülték el a jelentősebb ügyfél-átvilágítási kötelezettségek végrehajtását.</w:t>
      </w:r>
      <w:r w:rsidR="00222FFD" w:rsidRPr="009F3A30">
        <w:t xml:space="preserve"> </w:t>
      </w:r>
    </w:p>
    <w:p w14:paraId="16D1FCA2" w14:textId="64F1F230" w:rsidR="00522ACA" w:rsidRDefault="00522ACA" w:rsidP="007C241E">
      <w:r>
        <w:t>Továbbá a</w:t>
      </w:r>
      <w:r w:rsidR="00222FFD" w:rsidRPr="009F3A30">
        <w:t xml:space="preserve"> pénzváltó</w:t>
      </w:r>
      <w:r w:rsidR="008E7327">
        <w:t xml:space="preserve"> irodák</w:t>
      </w:r>
      <w:r w:rsidR="00222FFD" w:rsidRPr="009F3A30">
        <w:t xml:space="preserve"> jelentős többségénél </w:t>
      </w:r>
      <w:r>
        <w:t>megállapítható</w:t>
      </w:r>
      <w:r w:rsidRPr="009F3A30">
        <w:t xml:space="preserve"> </w:t>
      </w:r>
      <w:r>
        <w:t>volt</w:t>
      </w:r>
      <w:r w:rsidR="00222FFD" w:rsidRPr="009F3A30">
        <w:t xml:space="preserve"> </w:t>
      </w:r>
      <w:r w:rsidR="006E0BDC">
        <w:t>a</w:t>
      </w:r>
      <w:r w:rsidR="006E0BDC" w:rsidRPr="009F3A30">
        <w:t xml:space="preserve"> </w:t>
      </w:r>
      <w:proofErr w:type="spellStart"/>
      <w:r w:rsidR="00222FFD" w:rsidRPr="009F3A30">
        <w:t>compliance</w:t>
      </w:r>
      <w:proofErr w:type="spellEnd"/>
      <w:r w:rsidR="00222FFD" w:rsidRPr="009F3A30">
        <w:t xml:space="preserve"> kultúra</w:t>
      </w:r>
      <w:r w:rsidR="00D25489" w:rsidRPr="009F3A30">
        <w:t xml:space="preserve"> hiánya</w:t>
      </w:r>
      <w:r>
        <w:t>, valamint</w:t>
      </w:r>
      <w:r w:rsidR="00222FFD" w:rsidRPr="009F3A30">
        <w:t>, hogy kockázatcsökkentő intézkedéseik jelentős részét nem saját elhatározásból, hanem a megbízók elvárás</w:t>
      </w:r>
      <w:r w:rsidR="00BB3ACF" w:rsidRPr="009F3A30">
        <w:t>ai</w:t>
      </w:r>
      <w:r w:rsidR="00222FFD" w:rsidRPr="009F3A30">
        <w:t xml:space="preserve"> alapján teljesítik.</w:t>
      </w:r>
      <w:r w:rsidR="00276809" w:rsidRPr="009F3A30">
        <w:t xml:space="preserve"> </w:t>
      </w:r>
    </w:p>
    <w:p w14:paraId="55A3055F" w14:textId="51C75F78" w:rsidR="00222FFD" w:rsidRPr="00A07F4E" w:rsidRDefault="00EA25F2" w:rsidP="007C241E">
      <w:pPr>
        <w:rPr>
          <w:rFonts w:eastAsia="Times New Roman"/>
        </w:rPr>
      </w:pPr>
      <w:r w:rsidRPr="009F3A30">
        <w:t>További k</w:t>
      </w:r>
      <w:r w:rsidR="00276809" w:rsidRPr="009F3A30">
        <w:t>ockázatot növelő tényező</w:t>
      </w:r>
      <w:r w:rsidR="00522ACA">
        <w:t>, hogy az MNB</w:t>
      </w:r>
      <w:r w:rsidR="00E12BFC">
        <w:t xml:space="preserve"> </w:t>
      </w:r>
      <w:r w:rsidR="00276809" w:rsidRPr="009F3A30">
        <w:t>a külső ellenőrzések hatékonyság</w:t>
      </w:r>
      <w:r w:rsidRPr="009F3A30">
        <w:t>át</w:t>
      </w:r>
      <w:r w:rsidR="00276809" w:rsidRPr="009F3A30">
        <w:t xml:space="preserve"> is fejlesztendő területnek </w:t>
      </w:r>
      <w:r w:rsidRPr="009F3A30">
        <w:t>értékelte</w:t>
      </w:r>
      <w:r w:rsidR="00522ACA">
        <w:t>.</w:t>
      </w:r>
    </w:p>
    <w:p w14:paraId="6A120099" w14:textId="620991F5" w:rsidR="00AB3B9A" w:rsidRPr="00A07F4E" w:rsidRDefault="007336CE" w:rsidP="00B17E4D">
      <w:r w:rsidRPr="00A07F4E">
        <w:t>A</w:t>
      </w:r>
      <w:r w:rsidR="007C241E" w:rsidRPr="00A07F4E">
        <w:t xml:space="preserve"> </w:t>
      </w:r>
      <w:r w:rsidR="007C241E" w:rsidRPr="009F3A30">
        <w:t>fentiekre tekintettel, a</w:t>
      </w:r>
      <w:r w:rsidR="00522ACA">
        <w:t>z MNB</w:t>
      </w:r>
      <w:r w:rsidRPr="00A07F4E">
        <w:t xml:space="preserve"> értékelése alapján</w:t>
      </w:r>
      <w:r w:rsidR="007C241E" w:rsidRPr="00A07F4E">
        <w:t>,</w:t>
      </w:r>
      <w:r w:rsidRPr="00A07F4E">
        <w:t xml:space="preserve"> az pénzváltói szektor Jelentős inherens kockázati értékkel rendelkezik. Az </w:t>
      </w:r>
      <w:proofErr w:type="spellStart"/>
      <w:r w:rsidRPr="00A07F4E">
        <w:t>EBA</w:t>
      </w:r>
      <w:proofErr w:type="spellEnd"/>
      <w:r w:rsidRPr="00A07F4E">
        <w:t xml:space="preserve"> </w:t>
      </w:r>
      <w:proofErr w:type="spellStart"/>
      <w:r w:rsidRPr="00A07F4E">
        <w:t>Opinion</w:t>
      </w:r>
      <w:proofErr w:type="spellEnd"/>
      <w:r w:rsidRPr="00A07F4E">
        <w:t xml:space="preserve"> összegzés szerint több illetékes hatóság Jelentős, illetve Nagyon jelentős kockázati kategóriába sorolta a szektorban rejlő kockázatot.</w:t>
      </w:r>
    </w:p>
    <w:p w14:paraId="4FADEDC9" w14:textId="77777777" w:rsidR="00E15A89" w:rsidRPr="00A07F4E" w:rsidRDefault="00E15A89" w:rsidP="00A07F4E">
      <w:pPr>
        <w:pStyle w:val="Listaszerbekezds"/>
        <w:numPr>
          <w:ilvl w:val="1"/>
          <w:numId w:val="14"/>
        </w:numPr>
        <w:ind w:left="851" w:hanging="284"/>
      </w:pPr>
      <w:r w:rsidRPr="00A07F4E">
        <w:t>A pénzváltói szektorban rejlő, határokon átnyúló ML/</w:t>
      </w:r>
      <w:proofErr w:type="spellStart"/>
      <w:r w:rsidRPr="00A07F4E">
        <w:t>TF</w:t>
      </w:r>
      <w:proofErr w:type="spellEnd"/>
      <w:r w:rsidRPr="00A07F4E">
        <w:t xml:space="preserve"> kockázatok</w:t>
      </w:r>
    </w:p>
    <w:p w14:paraId="5E8809B1" w14:textId="5D7BCBA3" w:rsidR="00AB3B9A" w:rsidRPr="00A07F4E" w:rsidRDefault="00AB3B9A" w:rsidP="00AB3B9A">
      <w:r w:rsidRPr="00A07F4E">
        <w:t xml:space="preserve">Az </w:t>
      </w:r>
      <w:r w:rsidR="00D35558" w:rsidRPr="00A07F4E">
        <w:t>pén</w:t>
      </w:r>
      <w:r w:rsidR="004D3A1B" w:rsidRPr="00A07F4E">
        <w:t>z</w:t>
      </w:r>
      <w:r w:rsidR="00D35558" w:rsidRPr="00A07F4E">
        <w:t>váltói</w:t>
      </w:r>
      <w:r w:rsidRPr="00A07F4E">
        <w:t xml:space="preserve"> </w:t>
      </w:r>
      <w:r w:rsidR="00D35558" w:rsidRPr="00A07F4E">
        <w:t>szektorra jellemző a külföldi érintettség, amely elsősorban a turista ügyfelek személyében realizálódik</w:t>
      </w:r>
      <w:r w:rsidR="00522ACA">
        <w:t xml:space="preserve">. </w:t>
      </w:r>
      <w:r w:rsidR="00597B0B">
        <w:t>Megjegyezzük</w:t>
      </w:r>
      <w:r w:rsidR="00522ACA">
        <w:t>, hogy</w:t>
      </w:r>
      <w:r w:rsidR="00D35558" w:rsidRPr="00A07F4E">
        <w:t xml:space="preserve"> a </w:t>
      </w:r>
      <w:r w:rsidR="00522ACA">
        <w:t>közelmúltban</w:t>
      </w:r>
      <w:r w:rsidR="00D35558" w:rsidRPr="00A07F4E">
        <w:t xml:space="preserve"> a pandémiás helyzetre tekintettel </w:t>
      </w:r>
      <w:r w:rsidR="00597B0B">
        <w:t>az ügyfelek száma</w:t>
      </w:r>
      <w:r w:rsidR="00D35558" w:rsidRPr="00A07F4E">
        <w:t xml:space="preserve"> jelentősen csökkent. Külföldi érintettség jelentkezhet </w:t>
      </w:r>
      <w:r w:rsidR="008F635E">
        <w:t>– a fenti a) pontban foglaltak szerint</w:t>
      </w:r>
      <w:r w:rsidR="00CA1D85">
        <w:t xml:space="preserve"> –</w:t>
      </w:r>
      <w:r w:rsidR="008F635E">
        <w:t xml:space="preserve"> </w:t>
      </w:r>
      <w:r w:rsidR="00D35558" w:rsidRPr="00A07F4E">
        <w:t xml:space="preserve">a bevándorlók, valamint a menekültek személyében, akik fokozott kockázatot jelenthetnek </w:t>
      </w:r>
      <w:proofErr w:type="spellStart"/>
      <w:r w:rsidR="00D35558" w:rsidRPr="00A07F4E">
        <w:t>AML</w:t>
      </w:r>
      <w:proofErr w:type="spellEnd"/>
      <w:r w:rsidR="00D35558" w:rsidRPr="00A07F4E">
        <w:t>/</w:t>
      </w:r>
      <w:proofErr w:type="spellStart"/>
      <w:r w:rsidR="00D35558" w:rsidRPr="00A07F4E">
        <w:t>CFT</w:t>
      </w:r>
      <w:proofErr w:type="spellEnd"/>
      <w:r w:rsidR="00D35558" w:rsidRPr="00A07F4E">
        <w:t xml:space="preserve"> szempontból. </w:t>
      </w:r>
    </w:p>
    <w:tbl>
      <w:tblPr>
        <w:tblW w:w="2740" w:type="dxa"/>
        <w:jc w:val="center"/>
        <w:tblCellMar>
          <w:left w:w="70" w:type="dxa"/>
          <w:right w:w="70" w:type="dxa"/>
        </w:tblCellMar>
        <w:tblLook w:val="04A0" w:firstRow="1" w:lastRow="0" w:firstColumn="1" w:lastColumn="0" w:noHBand="0" w:noVBand="1"/>
      </w:tblPr>
      <w:tblGrid>
        <w:gridCol w:w="1780"/>
        <w:gridCol w:w="960"/>
      </w:tblGrid>
      <w:tr w:rsidR="00160BE2" w:rsidRPr="00A07F4E" w14:paraId="1D9F4ECC" w14:textId="77777777" w:rsidTr="00160BE2">
        <w:trPr>
          <w:trHeight w:val="300"/>
          <w:jc w:val="center"/>
        </w:trPr>
        <w:tc>
          <w:tcPr>
            <w:tcW w:w="1780" w:type="dxa"/>
            <w:tcBorders>
              <w:top w:val="nil"/>
              <w:left w:val="nil"/>
              <w:bottom w:val="nil"/>
              <w:right w:val="nil"/>
            </w:tcBorders>
            <w:shd w:val="clear" w:color="auto" w:fill="auto"/>
            <w:noWrap/>
            <w:vAlign w:val="center"/>
            <w:hideMark/>
          </w:tcPr>
          <w:p w14:paraId="23E8A4B1" w14:textId="77777777" w:rsidR="00160BE2" w:rsidRPr="00A07F4E" w:rsidRDefault="00160BE2" w:rsidP="00160BE2">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F02E887" w14:textId="77777777" w:rsidR="00160BE2" w:rsidRPr="00A07F4E" w:rsidRDefault="00160BE2" w:rsidP="00160BE2">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r>
    </w:tbl>
    <w:p w14:paraId="2248377D" w14:textId="537879EF" w:rsidR="00B90348" w:rsidRDefault="00B90348" w:rsidP="00AB3B9A"/>
    <w:p w14:paraId="4CEFE7D5" w14:textId="77777777" w:rsidR="00323054" w:rsidRPr="00A07F4E" w:rsidRDefault="00323054" w:rsidP="00A07F4E">
      <w:pPr>
        <w:pStyle w:val="Cmsor3"/>
        <w:numPr>
          <w:ilvl w:val="0"/>
          <w:numId w:val="110"/>
        </w:numPr>
      </w:pPr>
      <w:bookmarkStart w:id="98" w:name="_Toc109906032"/>
      <w:r w:rsidRPr="00A07F4E">
        <w:t>Az ellenőrzések minősége</w:t>
      </w:r>
      <w:bookmarkEnd w:id="98"/>
    </w:p>
    <w:p w14:paraId="2A9DC7D2" w14:textId="4F48F539" w:rsidR="00323054" w:rsidRPr="00A07F4E" w:rsidRDefault="00323054" w:rsidP="00323054">
      <w:r w:rsidRPr="00A07F4E">
        <w:t>A</w:t>
      </w:r>
      <w:r w:rsidR="00597B0B">
        <w:t>z MNB</w:t>
      </w:r>
      <w:r w:rsidRPr="00A07F4E">
        <w:t xml:space="preserve"> a pénzváltó</w:t>
      </w:r>
      <w:r w:rsidR="00597B0B">
        <w:t xml:space="preserve"> irodák</w:t>
      </w:r>
      <w:r w:rsidRPr="00A07F4E">
        <w:t xml:space="preserve"> </w:t>
      </w:r>
      <w:r w:rsidR="00EF76E7" w:rsidRPr="00A07F4E">
        <w:t xml:space="preserve">általi </w:t>
      </w:r>
      <w:r w:rsidRPr="00A07F4E">
        <w:t xml:space="preserve">ellenőrzések megfelelőségének és minőségének értékelésénél </w:t>
      </w:r>
      <w:r w:rsidR="008C1A55">
        <w:t>a szolgáltatók</w:t>
      </w:r>
      <w:r w:rsidRPr="00A07F4E">
        <w:t xml:space="preserve"> egészére kiterjedő, illetve az egyes üzleti kapcsolatokra alkalmazott kockázatértékelést, valamint a folyamatos </w:t>
      </w:r>
      <w:proofErr w:type="spellStart"/>
      <w:r w:rsidRPr="00A07F4E">
        <w:t>monitoringhoz</w:t>
      </w:r>
      <w:proofErr w:type="spellEnd"/>
      <w:r w:rsidRPr="00A07F4E">
        <w:t xml:space="preserve"> kapcsolódó politikáknak és eljárásoknak, ideértve a tranzakciók nyomon követésének megfelelőségét és hatékonyságát minősítette gyengének, míg a többi értékelési szempontot jónak</w:t>
      </w:r>
      <w:r w:rsidR="00160BE2" w:rsidRPr="00A07F4E">
        <w:t xml:space="preserve"> </w:t>
      </w:r>
      <w:r w:rsidRPr="00A07F4E">
        <w:t>értékelte.</w:t>
      </w:r>
      <w:r w:rsidR="00D25489" w:rsidRPr="00A07F4E">
        <w:rPr>
          <w:rStyle w:val="Lbjegyzet-hivatkozs"/>
        </w:rPr>
        <w:footnoteReference w:id="16"/>
      </w:r>
      <w:r w:rsidRPr="00A07F4E">
        <w:t xml:space="preserve"> </w:t>
      </w:r>
    </w:p>
    <w:p w14:paraId="335840AF" w14:textId="5AEF52A1" w:rsidR="009F0461" w:rsidRDefault="00323054" w:rsidP="0041629D">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w:t>
      </w:r>
      <w:r w:rsidR="00597B0B">
        <w:t xml:space="preserve">külföldi </w:t>
      </w:r>
      <w:r w:rsidRPr="00A07F4E">
        <w:t>társhatóságok</w:t>
      </w:r>
      <w:r w:rsidR="00CB528A" w:rsidRPr="00A07F4E">
        <w:t xml:space="preserve"> többsége a</w:t>
      </w:r>
      <w:r w:rsidR="009F0461">
        <w:t xml:space="preserve"> szolgáltatók által végzett</w:t>
      </w:r>
      <w:r w:rsidR="00D6613D">
        <w:t xml:space="preserve"> </w:t>
      </w:r>
      <w:r w:rsidR="00CB528A" w:rsidRPr="00A07F4E">
        <w:t>ellenőrzéseket gyengének minősítette</w:t>
      </w:r>
      <w:r w:rsidR="009F59C2" w:rsidRPr="00A07F4E">
        <w:t xml:space="preserve">, </w:t>
      </w:r>
      <w:r w:rsidR="009F0461">
        <w:t xml:space="preserve">a </w:t>
      </w:r>
      <w:r w:rsidR="00A37D9D">
        <w:t>szolgáltatók</w:t>
      </w:r>
      <w:r w:rsidR="00597B0B">
        <w:t xml:space="preserve"> </w:t>
      </w:r>
      <w:r w:rsidR="009F59C2" w:rsidRPr="00A07F4E">
        <w:t xml:space="preserve">által elvégzett </w:t>
      </w:r>
      <w:r w:rsidR="008C1A55">
        <w:t>a szolgáltatók</w:t>
      </w:r>
      <w:r w:rsidR="009F59C2" w:rsidRPr="00A07F4E">
        <w:t xml:space="preserve"> egészére kiterjedő, illetve az egyes üzleti kapcsolatokra alkalmazott kockázatértékelést, a gyanús tranzakciók </w:t>
      </w:r>
      <w:proofErr w:type="spellStart"/>
      <w:r w:rsidR="00D6613D">
        <w:t>FIU-nak</w:t>
      </w:r>
      <w:proofErr w:type="spellEnd"/>
      <w:r w:rsidR="009F59C2" w:rsidRPr="00A07F4E">
        <w:t xml:space="preserve"> történő bejelentésére vonatkozó eljárást, illetve az ügyfél-átvilágítási intézkedések hatékonyságát kifogásolták. </w:t>
      </w:r>
      <w:r w:rsidR="00F8020A" w:rsidRPr="00A07F4E">
        <w:t>A</w:t>
      </w:r>
      <w:r w:rsidR="00E42B5D" w:rsidRPr="00A07F4E">
        <w:t xml:space="preserve">ggodalmukat fejezték ki az irányítási struktúrákkal és az </w:t>
      </w:r>
      <w:proofErr w:type="spellStart"/>
      <w:r w:rsidR="00E42B5D" w:rsidRPr="00A07F4E">
        <w:t>AML</w:t>
      </w:r>
      <w:proofErr w:type="spellEnd"/>
      <w:r w:rsidR="00E42B5D" w:rsidRPr="00A07F4E">
        <w:t>/</w:t>
      </w:r>
      <w:proofErr w:type="spellStart"/>
      <w:r w:rsidR="00E42B5D" w:rsidRPr="00A07F4E">
        <w:t>CFT</w:t>
      </w:r>
      <w:proofErr w:type="spellEnd"/>
      <w:r w:rsidR="00E42B5D" w:rsidRPr="00A07F4E">
        <w:t xml:space="preserve"> funkcióhoz rendelt erőforrásokkal kapcsolatban.</w:t>
      </w:r>
    </w:p>
    <w:p w14:paraId="37BC3B58" w14:textId="77777777" w:rsidR="006F3E48" w:rsidRPr="00A07F4E" w:rsidRDefault="006F3E48" w:rsidP="00A07F4E">
      <w:pPr>
        <w:pStyle w:val="Cmsor3"/>
        <w:numPr>
          <w:ilvl w:val="0"/>
          <w:numId w:val="110"/>
        </w:numPr>
      </w:pPr>
      <w:bookmarkStart w:id="99" w:name="_Toc106108262"/>
      <w:bookmarkStart w:id="100" w:name="_Toc106108375"/>
      <w:bookmarkStart w:id="101" w:name="_Toc106120856"/>
      <w:bookmarkStart w:id="102" w:name="_Toc106183465"/>
      <w:bookmarkStart w:id="103" w:name="_Toc106192415"/>
      <w:bookmarkStart w:id="104" w:name="_Toc106198011"/>
      <w:bookmarkStart w:id="105" w:name="_Toc106198657"/>
      <w:bookmarkStart w:id="106" w:name="_Toc106201851"/>
      <w:bookmarkStart w:id="107" w:name="_Toc106869560"/>
      <w:bookmarkStart w:id="108" w:name="_Toc107236425"/>
      <w:bookmarkStart w:id="109" w:name="_Toc107237333"/>
      <w:bookmarkStart w:id="110" w:name="_Toc107237659"/>
      <w:bookmarkStart w:id="111" w:name="_Toc109906033"/>
      <w:bookmarkEnd w:id="99"/>
      <w:bookmarkEnd w:id="100"/>
      <w:bookmarkEnd w:id="101"/>
      <w:bookmarkEnd w:id="102"/>
      <w:bookmarkEnd w:id="103"/>
      <w:bookmarkEnd w:id="104"/>
      <w:bookmarkEnd w:id="105"/>
      <w:bookmarkEnd w:id="106"/>
      <w:bookmarkEnd w:id="107"/>
      <w:bookmarkEnd w:id="108"/>
      <w:bookmarkEnd w:id="109"/>
      <w:bookmarkEnd w:id="110"/>
      <w:r w:rsidRPr="00A07F4E">
        <w:t>Felügyeleti tevékenység</w:t>
      </w:r>
      <w:bookmarkEnd w:id="111"/>
    </w:p>
    <w:p w14:paraId="7059B472" w14:textId="1FDAF58A" w:rsidR="006F3E48" w:rsidRPr="00A07F4E" w:rsidRDefault="006F3E48" w:rsidP="006F3E48">
      <w:r w:rsidRPr="00A07F4E">
        <w:t>A</w:t>
      </w:r>
      <w:r w:rsidR="009F0461">
        <w:t>z MNB</w:t>
      </w:r>
      <w:r w:rsidRPr="00A07F4E">
        <w:t xml:space="preserve"> a Jelentős inherens kockázati besorolásra, illetve a kockázatalapú felügyelésre </w:t>
      </w:r>
      <w:r w:rsidR="001B74E9" w:rsidRPr="00A07F4E">
        <w:t xml:space="preserve">is </w:t>
      </w:r>
      <w:r w:rsidRPr="00A07F4E">
        <w:t>tekintettel nagyobb hangsúlyt fektetett a pénzváltó</w:t>
      </w:r>
      <w:r w:rsidR="009F0461">
        <w:t xml:space="preserve"> irodák</w:t>
      </w:r>
      <w:r w:rsidR="00E12BFC">
        <w:t xml:space="preserve"> </w:t>
      </w:r>
      <w:r w:rsidRPr="00A07F4E">
        <w:t>vizsgálatára. A</w:t>
      </w:r>
      <w:r w:rsidR="009F0461">
        <w:t xml:space="preserve"> Jelentős kockázati besorolásra tekintettel az MNB a pénzváltói szektorban ismétlődő jelleggel időszakosan indítja a témavizsgálatokat. </w:t>
      </w:r>
      <w:r w:rsidR="00332CB3">
        <w:t>A nagyösszegű pénzváltások száma vonatkozásában a felügyeleti ellenőrzéseket követően az MNB jelentős visszaesést tapasztalt. Ezen visszaesés növeli a bizonylati rend nélküli ún. „fekete</w:t>
      </w:r>
      <w:r w:rsidR="00F351A5">
        <w:t>”</w:t>
      </w:r>
      <w:r w:rsidR="00332CB3">
        <w:t xml:space="preserve"> pénzváltás kockázatát. A hatóságok együttműködése keretében kidolgozandó a fekete pénzváltások ellenőrzésének hatékony stratégiája. </w:t>
      </w:r>
    </w:p>
    <w:p w14:paraId="361804AD" w14:textId="77777777" w:rsidR="00DB27C2" w:rsidRPr="00A07F4E" w:rsidRDefault="00DB27C2" w:rsidP="00F51C68">
      <w:pPr>
        <w:pStyle w:val="Cmsor3"/>
        <w:numPr>
          <w:ilvl w:val="0"/>
          <w:numId w:val="110"/>
        </w:numPr>
      </w:pPr>
      <w:bookmarkStart w:id="112" w:name="_Toc107236427"/>
      <w:bookmarkStart w:id="113" w:name="_Toc107237335"/>
      <w:bookmarkStart w:id="114" w:name="_Toc107237661"/>
      <w:bookmarkStart w:id="115" w:name="_Toc109906034"/>
      <w:bookmarkEnd w:id="112"/>
      <w:bookmarkEnd w:id="113"/>
      <w:bookmarkEnd w:id="114"/>
      <w:r w:rsidRPr="00A07F4E">
        <w:lastRenderedPageBreak/>
        <w:t>Azonosított jogsértések</w:t>
      </w:r>
      <w:bookmarkEnd w:id="115"/>
    </w:p>
    <w:p w14:paraId="52782ACD" w14:textId="43993597" w:rsidR="001720BD" w:rsidRPr="00A07F4E" w:rsidRDefault="00DB27C2" w:rsidP="00DB27C2">
      <w:r w:rsidRPr="00A07F4E">
        <w:t>A</w:t>
      </w:r>
      <w:r w:rsidR="009F0461">
        <w:t>z MNB</w:t>
      </w:r>
      <w:r w:rsidR="00F51C68">
        <w:t xml:space="preserve"> </w:t>
      </w:r>
      <w:r w:rsidRPr="00A07F4E">
        <w:t>a felügyeleti vizsgálatok során az alábbi területeke</w:t>
      </w:r>
      <w:r w:rsidR="008B4464" w:rsidRPr="00A07F4E">
        <w:t>n</w:t>
      </w:r>
      <w:r w:rsidRPr="00A07F4E">
        <w:t xml:space="preserve"> azonosított jogsértéseket: </w:t>
      </w:r>
    </w:p>
    <w:p w14:paraId="4130A334" w14:textId="3417E9B2" w:rsidR="00A36D79" w:rsidRPr="00A07F4E" w:rsidRDefault="00A36D79" w:rsidP="00DB27C2">
      <w:r w:rsidRPr="00A36D79">
        <w:t>A</w:t>
      </w:r>
      <w:r>
        <w:t xml:space="preserve"> felügyeleti</w:t>
      </w:r>
      <w:r w:rsidRPr="00A36D79">
        <w:t xml:space="preserve"> vizsgálatok során sok esetben ügyfél-átvilágítási hiányosságok kerültek detektálásra, </w:t>
      </w:r>
      <w:r>
        <w:t xml:space="preserve">így különösen, hogy </w:t>
      </w:r>
      <w:r w:rsidRPr="00A36D79">
        <w:t xml:space="preserve">a </w:t>
      </w:r>
      <w:r>
        <w:t xml:space="preserve">közvetítők a </w:t>
      </w:r>
      <w:r w:rsidRPr="00A36D79">
        <w:t>pénzváltások során nem fordítanak kellő figyelmet a pénzeszközök forrásának igazolására, és a feladatok megosztása a</w:t>
      </w:r>
      <w:r>
        <w:t xml:space="preserve"> közvetítő </w:t>
      </w:r>
      <w:r w:rsidRPr="00A36D79">
        <w:t xml:space="preserve">és a megbízó hitelintézet között </w:t>
      </w:r>
      <w:r>
        <w:t>nem tisztázott</w:t>
      </w:r>
      <w:r w:rsidRPr="00A36D79">
        <w:t xml:space="preserve"> </w:t>
      </w:r>
      <w:r>
        <w:t>a megbízási szerződésben</w:t>
      </w:r>
      <w:r w:rsidRPr="00A36D79">
        <w:t xml:space="preserve">. A vizsgálati tapasztalatok </w:t>
      </w:r>
      <w:r>
        <w:t>alapján</w:t>
      </w:r>
      <w:r w:rsidRPr="00A36D79">
        <w:t xml:space="preserve"> további kockázatot jelent, hogy a</w:t>
      </w:r>
      <w:r>
        <w:t xml:space="preserve"> közvetítők</w:t>
      </w:r>
      <w:r w:rsidRPr="00A36D79">
        <w:t xml:space="preserve"> tranzakciós</w:t>
      </w:r>
      <w:r>
        <w:t xml:space="preserve"> s</w:t>
      </w:r>
      <w:r w:rsidRPr="00A36D79">
        <w:t>zűrése nem kellő hatékonyságú, illetve sok esetben nem kerülnek megfelelően dokumentálásra az elvégzett vizsgálatok. Az előbbi hiányosságok eredményeként – visszatérő jelleggel – megfigyelhető a pénzmosási bejelentések teljes vagy ismételt elmaradása, illetve sok esetben nagymértékű késedelme</w:t>
      </w:r>
      <w:r>
        <w:t xml:space="preserve">. Továbbá </w:t>
      </w:r>
      <w:r w:rsidRPr="00A36D79">
        <w:t>kockázatként került azonosításra a megbízói kontroll nem megfelelő működése.</w:t>
      </w:r>
      <w:r w:rsidR="004D179A" w:rsidRPr="004D179A">
        <w:t xml:space="preserve"> A szolgáltatók nagy része ismeri a kockázatokat, bár a felügyeleti tapasztalatok alapján a belső rendszerek nem mindig vannak összhangban a kockázatokkal, illetve sokszor hiányzik a kontroll a hitelintézet részéről, amelynek eredményeképpen a közvetítő sokszor ellenőrizetlen marad.</w:t>
      </w:r>
    </w:p>
    <w:p w14:paraId="07A041D2" w14:textId="259F746C" w:rsidR="00C21207" w:rsidRPr="00A07F4E" w:rsidRDefault="009F0461" w:rsidP="00C21207">
      <w:r w:rsidRPr="009F3A30">
        <w:t xml:space="preserve"> </w:t>
      </w:r>
      <w:r w:rsidR="00464463">
        <w:t>Összegezve</w:t>
      </w:r>
      <w:r w:rsidR="00EF76E7" w:rsidRPr="00A07F4E">
        <w:t>,</w:t>
      </w:r>
      <w:r w:rsidR="00464463">
        <w:t xml:space="preserve"> a</w:t>
      </w:r>
      <w:r w:rsidR="00C21207" w:rsidRPr="00A07F4E">
        <w:t xml:space="preserve"> </w:t>
      </w:r>
      <w:r w:rsidR="00D07AC3" w:rsidRPr="00A07F4E">
        <w:t xml:space="preserve">jogsértések </w:t>
      </w:r>
      <w:r w:rsidR="00464463">
        <w:t xml:space="preserve">jelentős hányada </w:t>
      </w:r>
      <w:r w:rsidR="00C21207" w:rsidRPr="00A07F4E">
        <w:t>az ügyfelek kockázatértékelésé</w:t>
      </w:r>
      <w:r w:rsidR="0002450C">
        <w:t>hez</w:t>
      </w:r>
      <w:r w:rsidR="00C21207" w:rsidRPr="00A07F4E">
        <w:t xml:space="preserve">, a </w:t>
      </w:r>
      <w:r w:rsidR="00464463">
        <w:t>szokatlan</w:t>
      </w:r>
      <w:r w:rsidR="00464463" w:rsidRPr="00A07F4E">
        <w:t xml:space="preserve"> </w:t>
      </w:r>
      <w:r w:rsidR="00C21207" w:rsidRPr="00A07F4E">
        <w:t xml:space="preserve">tranzakciók </w:t>
      </w:r>
      <w:r w:rsidR="0002450C">
        <w:t xml:space="preserve">feldolgozásához és </w:t>
      </w:r>
      <w:r w:rsidR="00464463">
        <w:t>bejelentésé</w:t>
      </w:r>
      <w:r w:rsidR="0002450C">
        <w:t>hez</w:t>
      </w:r>
      <w:r w:rsidR="00C21207" w:rsidRPr="00A07F4E">
        <w:t xml:space="preserve">, </w:t>
      </w:r>
      <w:r w:rsidR="00A4379F" w:rsidRPr="00A07F4E">
        <w:t>a pénzeszköz forrás</w:t>
      </w:r>
      <w:r w:rsidR="00464463">
        <w:t>ának</w:t>
      </w:r>
      <w:r w:rsidR="00A4379F" w:rsidRPr="00A07F4E">
        <w:t xml:space="preserve"> </w:t>
      </w:r>
      <w:r w:rsidR="0002450C">
        <w:t>beszerzéséhez fűződő gyakorlathoz,</w:t>
      </w:r>
      <w:r w:rsidR="00B07D4B" w:rsidRPr="00A07F4E">
        <w:t xml:space="preserve"> </w:t>
      </w:r>
      <w:r w:rsidR="00C21207" w:rsidRPr="00A07F4E">
        <w:t xml:space="preserve">valamint a </w:t>
      </w:r>
      <w:r w:rsidR="00464463">
        <w:t xml:space="preserve">megfelelő </w:t>
      </w:r>
      <w:r w:rsidR="00C21207" w:rsidRPr="00A07F4E">
        <w:t>a képzések</w:t>
      </w:r>
      <w:r w:rsidR="0002450C">
        <w:t>hez</w:t>
      </w:r>
      <w:r w:rsidR="00C21207" w:rsidRPr="00A07F4E">
        <w:t xml:space="preserve"> a</w:t>
      </w:r>
      <w:r w:rsidR="00464463">
        <w:t xml:space="preserve">z </w:t>
      </w:r>
      <w:proofErr w:type="spellStart"/>
      <w:r w:rsidR="00464463">
        <w:t>AML</w:t>
      </w:r>
      <w:proofErr w:type="spellEnd"/>
      <w:r w:rsidR="00464463">
        <w:t>/</w:t>
      </w:r>
      <w:proofErr w:type="spellStart"/>
      <w:r w:rsidR="00464463">
        <w:t>CFT</w:t>
      </w:r>
      <w:proofErr w:type="spellEnd"/>
      <w:r w:rsidR="00464463">
        <w:t xml:space="preserve"> folyamatokhoz kapcsolódó</w:t>
      </w:r>
      <w:r w:rsidR="00C21207" w:rsidRPr="00A07F4E">
        <w:t>tudatossá</w:t>
      </w:r>
      <w:r w:rsidR="0002450C">
        <w:t xml:space="preserve">ghoz kapcsolódott. </w:t>
      </w:r>
    </w:p>
    <w:p w14:paraId="443D760D" w14:textId="77777777" w:rsidR="00D074CD" w:rsidRPr="00A07F4E" w:rsidRDefault="00D074CD" w:rsidP="00A07F4E">
      <w:pPr>
        <w:pStyle w:val="Cmsor3"/>
        <w:numPr>
          <w:ilvl w:val="0"/>
          <w:numId w:val="110"/>
        </w:numPr>
      </w:pPr>
      <w:bookmarkStart w:id="116" w:name="_Toc109906035"/>
      <w:r w:rsidRPr="00A07F4E">
        <w:t>Maradványkockázat</w:t>
      </w:r>
      <w:bookmarkEnd w:id="116"/>
    </w:p>
    <w:p w14:paraId="04E6AE2A" w14:textId="10CAA575" w:rsidR="0020331F" w:rsidRPr="00A07F4E" w:rsidRDefault="00D074CD" w:rsidP="00D074CD">
      <w:r w:rsidRPr="00A07F4E">
        <w:t>A</w:t>
      </w:r>
      <w:r w:rsidR="0002450C">
        <w:t>z MNB</w:t>
      </w:r>
      <w:r w:rsidRPr="00A07F4E">
        <w:t xml:space="preserve"> a maradványkockázatot </w:t>
      </w:r>
      <w:r w:rsidR="00B22A10">
        <w:t>M</w:t>
      </w:r>
      <w:r w:rsidR="00A4379F" w:rsidRPr="00B22A10">
        <w:t>érsékelten jelentősre</w:t>
      </w:r>
      <w:r w:rsidR="00B22A10">
        <w:t xml:space="preserve"> értékeli. </w:t>
      </w:r>
    </w:p>
    <w:tbl>
      <w:tblPr>
        <w:tblW w:w="4040" w:type="dxa"/>
        <w:jc w:val="center"/>
        <w:tblCellMar>
          <w:left w:w="70" w:type="dxa"/>
          <w:right w:w="70" w:type="dxa"/>
        </w:tblCellMar>
        <w:tblLook w:val="04A0" w:firstRow="1" w:lastRow="0" w:firstColumn="1" w:lastColumn="0" w:noHBand="0" w:noVBand="1"/>
      </w:tblPr>
      <w:tblGrid>
        <w:gridCol w:w="2140"/>
        <w:gridCol w:w="1900"/>
      </w:tblGrid>
      <w:tr w:rsidR="0020331F" w:rsidRPr="00A07F4E" w14:paraId="16EE1A26" w14:textId="77777777" w:rsidTr="0020331F">
        <w:trPr>
          <w:trHeight w:val="300"/>
          <w:jc w:val="center"/>
        </w:trPr>
        <w:tc>
          <w:tcPr>
            <w:tcW w:w="2140" w:type="dxa"/>
            <w:tcBorders>
              <w:top w:val="nil"/>
              <w:left w:val="nil"/>
              <w:bottom w:val="nil"/>
              <w:right w:val="nil"/>
            </w:tcBorders>
            <w:shd w:val="clear" w:color="auto" w:fill="auto"/>
            <w:noWrap/>
            <w:vAlign w:val="center"/>
            <w:hideMark/>
          </w:tcPr>
          <w:p w14:paraId="20B421C7" w14:textId="77777777" w:rsidR="0020331F" w:rsidRPr="00A07F4E" w:rsidRDefault="0020331F" w:rsidP="0020331F">
            <w:pPr>
              <w:spacing w:after="0" w:line="240" w:lineRule="auto"/>
              <w:jc w:val="center"/>
              <w:rPr>
                <w:rFonts w:eastAsia="Times New Roman" w:cs="Times New Roman"/>
                <w:b/>
                <w:bCs/>
                <w:color w:val="000000"/>
                <w:sz w:val="18"/>
                <w:szCs w:val="18"/>
              </w:rPr>
            </w:pPr>
            <w:r w:rsidRPr="00A07F4E">
              <w:rPr>
                <w:rFonts w:eastAsia="Times New Roman" w:cs="Times New Roman"/>
                <w:b/>
                <w:bCs/>
                <w:color w:val="000000"/>
                <w:sz w:val="18"/>
                <w:szCs w:val="18"/>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80A2B0" w14:textId="77777777" w:rsidR="0020331F" w:rsidRPr="00A07F4E" w:rsidRDefault="0020331F" w:rsidP="0020331F">
            <w:pPr>
              <w:spacing w:after="0" w:line="240" w:lineRule="auto"/>
              <w:jc w:val="center"/>
              <w:rPr>
                <w:rFonts w:eastAsia="Times New Roman" w:cs="Times New Roman"/>
                <w:color w:val="000000"/>
                <w:sz w:val="18"/>
                <w:szCs w:val="18"/>
              </w:rPr>
            </w:pPr>
            <w:r w:rsidRPr="00A07F4E">
              <w:rPr>
                <w:rFonts w:eastAsia="Times New Roman" w:cs="Times New Roman"/>
                <w:color w:val="000000"/>
                <w:sz w:val="18"/>
                <w:szCs w:val="18"/>
              </w:rPr>
              <w:t>Mérsékelten jelentős</w:t>
            </w:r>
          </w:p>
        </w:tc>
      </w:tr>
    </w:tbl>
    <w:p w14:paraId="01A2B7BA" w14:textId="77777777" w:rsidR="00C345CA" w:rsidRPr="00A07F4E" w:rsidRDefault="00F838B1" w:rsidP="000E0021">
      <w:pPr>
        <w:pStyle w:val="Cmsor2"/>
      </w:pPr>
      <w:bookmarkStart w:id="117" w:name="_Toc109906036"/>
      <w:r w:rsidRPr="00A07F4E">
        <w:t>Befektetési vállalkozások</w:t>
      </w:r>
      <w:bookmarkEnd w:id="117"/>
    </w:p>
    <w:p w14:paraId="5A6F0787" w14:textId="5BBCA044" w:rsidR="009D239B" w:rsidRDefault="009D239B" w:rsidP="00A07F4E">
      <w:pPr>
        <w:pStyle w:val="Cmsor3"/>
        <w:numPr>
          <w:ilvl w:val="0"/>
          <w:numId w:val="114"/>
        </w:numPr>
      </w:pPr>
      <w:bookmarkStart w:id="118" w:name="_Toc109906037"/>
      <w:r w:rsidRPr="00A07F4E">
        <w:t>A szektor méretére, tevékenységi körére és összetettségére vonatkozó információk összesített formában</w:t>
      </w:r>
      <w:bookmarkEnd w:id="118"/>
    </w:p>
    <w:p w14:paraId="268400A7" w14:textId="53B486AA" w:rsidR="009D239B" w:rsidRPr="00122914" w:rsidDel="00D751A7" w:rsidRDefault="00D332B8" w:rsidP="00122914">
      <w:bookmarkStart w:id="119" w:name="_Toc106198663"/>
      <w:bookmarkStart w:id="120" w:name="_Toc106201857"/>
      <w:bookmarkStart w:id="121" w:name="_Toc106869566"/>
      <w:r w:rsidRPr="00595624">
        <w:rPr>
          <w:bCs/>
          <w:szCs w:val="34"/>
        </w:rPr>
        <w:t>A be</w:t>
      </w:r>
      <w:r w:rsidRPr="00122914">
        <w:t xml:space="preserve">fektetési vállalkozás befektetési szolgáltatást nyújt vagy befektetési tevékenységet végez. Befektetési szolgáltatási tevékenységet – fő szabály szerint – befektetési </w:t>
      </w:r>
      <w:r w:rsidRPr="002130DC">
        <w:t>vállalkozás és hitelintézet folytathat.  A jelen</w:t>
      </w:r>
      <w:r w:rsidR="003C675A" w:rsidRPr="002130DC">
        <w:rPr>
          <w:bCs/>
          <w:szCs w:val="34"/>
        </w:rPr>
        <w:t xml:space="preserve"> </w:t>
      </w:r>
      <w:r w:rsidRPr="002130DC">
        <w:t>fejezet tárgya kizárólag a befektetési vállalkozás.</w:t>
      </w:r>
      <w:bookmarkEnd w:id="119"/>
      <w:bookmarkEnd w:id="120"/>
      <w:bookmarkEnd w:id="121"/>
      <w:r w:rsidR="003C675A" w:rsidRPr="002130DC">
        <w:t xml:space="preserve"> </w:t>
      </w:r>
      <w:bookmarkStart w:id="122" w:name="_Toc106201858"/>
      <w:bookmarkStart w:id="123" w:name="_Toc106869567"/>
      <w:r w:rsidR="00CF3DE4" w:rsidRPr="002130DC">
        <w:t>Az</w:t>
      </w:r>
      <w:r w:rsidR="003C675A" w:rsidRPr="002130DC">
        <w:t xml:space="preserve"> MNB </w:t>
      </w:r>
      <w:proofErr w:type="spellStart"/>
      <w:r w:rsidR="003C675A" w:rsidRPr="002130DC">
        <w:t>AML</w:t>
      </w:r>
      <w:proofErr w:type="spellEnd"/>
      <w:r w:rsidR="003C675A" w:rsidRPr="002130DC">
        <w:t>/</w:t>
      </w:r>
      <w:proofErr w:type="spellStart"/>
      <w:r w:rsidR="003C675A" w:rsidRPr="002130DC">
        <w:t>CFT</w:t>
      </w:r>
      <w:proofErr w:type="spellEnd"/>
      <w:r w:rsidR="003C675A" w:rsidRPr="002130DC">
        <w:t xml:space="preserve"> felügyeletet </w:t>
      </w:r>
      <w:r w:rsidR="002130DC" w:rsidRPr="00FC37B3">
        <w:t>13-20</w:t>
      </w:r>
      <w:r w:rsidR="003C675A" w:rsidRPr="00FC37B3">
        <w:t xml:space="preserve"> befektetési vállalkozás és </w:t>
      </w:r>
      <w:r w:rsidR="00CF3DE4" w:rsidRPr="00FC37B3">
        <w:t>3-5</w:t>
      </w:r>
      <w:r w:rsidR="003C675A" w:rsidRPr="00FC37B3">
        <w:t xml:space="preserve"> befektetési vállalkozás</w:t>
      </w:r>
      <w:r w:rsidR="003C675A" w:rsidRPr="002130DC">
        <w:t xml:space="preserve"> </w:t>
      </w:r>
      <w:proofErr w:type="spellStart"/>
      <w:r w:rsidR="003C675A" w:rsidRPr="002130DC">
        <w:t>fióktelepe</w:t>
      </w:r>
      <w:proofErr w:type="spellEnd"/>
      <w:r w:rsidR="003C675A" w:rsidRPr="002130DC">
        <w:t xml:space="preserve"> felett gyakorol.</w:t>
      </w:r>
      <w:bookmarkEnd w:id="122"/>
      <w:bookmarkEnd w:id="123"/>
      <w:r w:rsidR="003C675A">
        <w:t xml:space="preserve"> </w:t>
      </w:r>
    </w:p>
    <w:p w14:paraId="116B7F46" w14:textId="77777777" w:rsidR="00610AD9" w:rsidRPr="00A07F4E" w:rsidRDefault="00610AD9" w:rsidP="00D332B8">
      <w:pPr>
        <w:pStyle w:val="Cmsor3"/>
        <w:numPr>
          <w:ilvl w:val="0"/>
          <w:numId w:val="114"/>
        </w:numPr>
      </w:pPr>
      <w:bookmarkStart w:id="124" w:name="_Toc107236432"/>
      <w:bookmarkStart w:id="125" w:name="_Toc107237340"/>
      <w:bookmarkStart w:id="126" w:name="_Toc107237666"/>
      <w:bookmarkStart w:id="127" w:name="_Toc109906038"/>
      <w:bookmarkEnd w:id="124"/>
      <w:bookmarkEnd w:id="125"/>
      <w:bookmarkEnd w:id="126"/>
      <w:r w:rsidRPr="00A07F4E">
        <w:t>Inherens kockázatértékelés</w:t>
      </w:r>
      <w:bookmarkEnd w:id="127"/>
    </w:p>
    <w:p w14:paraId="63FE6C7B" w14:textId="51FE4B16" w:rsidR="00DA3C66" w:rsidRPr="00A07F4E" w:rsidRDefault="00DA3C66" w:rsidP="00A07F4E">
      <w:pPr>
        <w:pStyle w:val="Listaszerbekezds"/>
        <w:numPr>
          <w:ilvl w:val="1"/>
          <w:numId w:val="15"/>
        </w:numPr>
        <w:ind w:left="851" w:hanging="284"/>
      </w:pPr>
      <w:r w:rsidRPr="00A07F4E">
        <w:t>A befektetési vállalkoz</w:t>
      </w:r>
      <w:r w:rsidR="00DF7502">
        <w:t>ási</w:t>
      </w:r>
      <w:r w:rsidRPr="00A07F4E">
        <w:t xml:space="preserve"> szektorban rejlő ML/</w:t>
      </w:r>
      <w:proofErr w:type="spellStart"/>
      <w:r w:rsidRPr="00A07F4E">
        <w:t>TF</w:t>
      </w:r>
      <w:proofErr w:type="spellEnd"/>
      <w:r w:rsidRPr="00A07F4E">
        <w:t xml:space="preserve"> kockázati tényezők</w:t>
      </w:r>
    </w:p>
    <w:p w14:paraId="09B77E5F" w14:textId="3750FB8D" w:rsidR="003B3261" w:rsidRPr="000E0021" w:rsidRDefault="00610AD9" w:rsidP="00610AD9">
      <w:r w:rsidRPr="003B3261">
        <w:t>A</w:t>
      </w:r>
      <w:r w:rsidR="003B3261">
        <w:t xml:space="preserve"> </w:t>
      </w:r>
      <w:r w:rsidRPr="003B3261">
        <w:t>termé</w:t>
      </w:r>
      <w:r w:rsidR="003B3261" w:rsidRPr="000E0021">
        <w:t xml:space="preserve">k/szolgáltatás, ügyfél, </w:t>
      </w:r>
      <w:r w:rsidR="003B3261" w:rsidRPr="003B3261">
        <w:t>földrajzi,</w:t>
      </w:r>
      <w:r w:rsidR="003B3261" w:rsidRPr="000E0021">
        <w:t xml:space="preserve"> valamint értékesítési csatorn</w:t>
      </w:r>
      <w:r w:rsidR="003B3261">
        <w:t>ához társítható</w:t>
      </w:r>
      <w:r w:rsidR="003B3261" w:rsidRPr="000E0021">
        <w:t xml:space="preserve"> </w:t>
      </w:r>
      <w:r w:rsidR="003B3261">
        <w:t xml:space="preserve">kockázatok </w:t>
      </w:r>
      <w:r w:rsidR="006B7A8F">
        <w:t xml:space="preserve">az alábbiak szerint </w:t>
      </w:r>
      <w:r w:rsidR="00DE1E4F">
        <w:t>értékelte az MNB</w:t>
      </w:r>
      <w:r w:rsidR="006B7A8F">
        <w:t xml:space="preserve"> a szektorban: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B146CB" w:rsidRPr="003168BA" w14:paraId="55302732" w14:textId="77777777" w:rsidTr="000E0021">
        <w:tc>
          <w:tcPr>
            <w:tcW w:w="3061" w:type="dxa"/>
          </w:tcPr>
          <w:p w14:paraId="09551C2B" w14:textId="139E8F52" w:rsidR="00B146CB" w:rsidRPr="000E0021" w:rsidRDefault="00B146CB" w:rsidP="000E0021">
            <w:pPr>
              <w:spacing w:after="0" w:line="240" w:lineRule="auto"/>
              <w:contextualSpacing w:val="0"/>
              <w:jc w:val="center"/>
              <w:rPr>
                <w:rFonts w:eastAsia="Times New Roman" w:cs="Times New Roman"/>
                <w:b/>
                <w:color w:val="000000"/>
                <w:sz w:val="18"/>
                <w:szCs w:val="18"/>
              </w:rPr>
            </w:pPr>
            <w:r w:rsidRPr="000E0021">
              <w:rPr>
                <w:rFonts w:eastAsia="Times New Roman" w:cs="Times New Roman"/>
                <w:b/>
                <w:color w:val="000000"/>
                <w:sz w:val="18"/>
                <w:szCs w:val="18"/>
              </w:rPr>
              <w:t>Kockázat megnevezése</w:t>
            </w:r>
          </w:p>
        </w:tc>
        <w:tc>
          <w:tcPr>
            <w:tcW w:w="3035" w:type="dxa"/>
          </w:tcPr>
          <w:p w14:paraId="21264BA1" w14:textId="5271247E" w:rsidR="00B146CB" w:rsidRPr="000E0021" w:rsidRDefault="00B146CB" w:rsidP="000E0021">
            <w:pPr>
              <w:spacing w:after="0" w:line="240" w:lineRule="auto"/>
              <w:contextualSpacing w:val="0"/>
              <w:jc w:val="center"/>
              <w:rPr>
                <w:rFonts w:eastAsia="Times New Roman" w:cs="Times New Roman"/>
                <w:b/>
                <w:color w:val="000000"/>
                <w:sz w:val="18"/>
                <w:szCs w:val="18"/>
              </w:rPr>
            </w:pPr>
            <w:r w:rsidRPr="000E0021">
              <w:rPr>
                <w:rFonts w:eastAsia="Times New Roman" w:cs="Times New Roman"/>
                <w:b/>
                <w:color w:val="000000"/>
                <w:sz w:val="18"/>
                <w:szCs w:val="18"/>
              </w:rPr>
              <w:t>Kockázati érték</w:t>
            </w:r>
          </w:p>
        </w:tc>
      </w:tr>
      <w:tr w:rsidR="00B146CB" w:rsidRPr="003168BA" w14:paraId="3F00292C" w14:textId="77777777" w:rsidTr="000E0021">
        <w:tc>
          <w:tcPr>
            <w:tcW w:w="3061" w:type="dxa"/>
            <w:shd w:val="clear" w:color="auto" w:fill="auto"/>
          </w:tcPr>
          <w:p w14:paraId="335C7C7C" w14:textId="57901D7A" w:rsidR="00B146CB" w:rsidRPr="000E0021" w:rsidRDefault="00B146CB" w:rsidP="000E0021">
            <w:pPr>
              <w:spacing w:after="0" w:line="240" w:lineRule="auto"/>
              <w:contextualSpacing w:val="0"/>
              <w:jc w:val="center"/>
              <w:rPr>
                <w:rFonts w:eastAsia="Times New Roman" w:cs="Times New Roman"/>
                <w:color w:val="000000"/>
                <w:sz w:val="18"/>
                <w:szCs w:val="18"/>
              </w:rPr>
            </w:pPr>
            <w:r w:rsidRPr="000E0021">
              <w:rPr>
                <w:rFonts w:eastAsia="Times New Roman" w:cs="Times New Roman"/>
                <w:color w:val="000000"/>
                <w:sz w:val="18"/>
                <w:szCs w:val="18"/>
              </w:rPr>
              <w:t>Termék</w:t>
            </w:r>
            <w:r w:rsidR="004A1163" w:rsidRPr="000E0021">
              <w:rPr>
                <w:rFonts w:eastAsia="Times New Roman" w:cs="Times New Roman"/>
                <w:color w:val="000000"/>
                <w:sz w:val="18"/>
                <w:szCs w:val="18"/>
              </w:rPr>
              <w:t>/szolgáltatás</w:t>
            </w:r>
          </w:p>
        </w:tc>
        <w:tc>
          <w:tcPr>
            <w:tcW w:w="3035" w:type="dxa"/>
            <w:shd w:val="clear" w:color="auto" w:fill="FFFF00"/>
          </w:tcPr>
          <w:p w14:paraId="7E207A48" w14:textId="41358892" w:rsidR="00B146CB" w:rsidRPr="000E0021" w:rsidRDefault="00AF43E2" w:rsidP="000E0021">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r w:rsidR="00B146CB" w14:paraId="67B00FD9" w14:textId="77777777" w:rsidTr="000E0021">
        <w:tc>
          <w:tcPr>
            <w:tcW w:w="3061" w:type="dxa"/>
            <w:shd w:val="clear" w:color="auto" w:fill="auto"/>
          </w:tcPr>
          <w:p w14:paraId="04385122" w14:textId="3DC52607" w:rsidR="00B146CB" w:rsidRPr="000E0021" w:rsidRDefault="009D296A" w:rsidP="000E0021">
            <w:pPr>
              <w:spacing w:after="0" w:line="240" w:lineRule="auto"/>
              <w:contextualSpacing w:val="0"/>
              <w:jc w:val="center"/>
              <w:rPr>
                <w:rFonts w:eastAsia="Times New Roman" w:cs="Times New Roman"/>
                <w:color w:val="000000"/>
                <w:sz w:val="18"/>
                <w:szCs w:val="18"/>
              </w:rPr>
            </w:pPr>
            <w:r w:rsidRPr="000E0021">
              <w:rPr>
                <w:rFonts w:eastAsia="Times New Roman" w:cs="Times New Roman"/>
                <w:color w:val="000000"/>
                <w:sz w:val="18"/>
                <w:szCs w:val="18"/>
              </w:rPr>
              <w:t>Ügyfél</w:t>
            </w:r>
          </w:p>
        </w:tc>
        <w:tc>
          <w:tcPr>
            <w:tcW w:w="3035" w:type="dxa"/>
            <w:shd w:val="clear" w:color="auto" w:fill="FFC000"/>
          </w:tcPr>
          <w:p w14:paraId="7F8D3826" w14:textId="62C96BF1" w:rsidR="00B146CB" w:rsidRPr="000E0021" w:rsidRDefault="004D39CF" w:rsidP="000E0021">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Jelentős</w:t>
            </w:r>
          </w:p>
        </w:tc>
      </w:tr>
      <w:tr w:rsidR="00B146CB" w14:paraId="2B9BD759" w14:textId="77777777" w:rsidTr="000E0021">
        <w:trPr>
          <w:trHeight w:val="50"/>
        </w:trPr>
        <w:tc>
          <w:tcPr>
            <w:tcW w:w="3061" w:type="dxa"/>
            <w:shd w:val="clear" w:color="auto" w:fill="auto"/>
          </w:tcPr>
          <w:p w14:paraId="685CF662" w14:textId="2C4335D2" w:rsidR="00B146CB" w:rsidRPr="000E0021" w:rsidRDefault="009D296A" w:rsidP="000E0021">
            <w:pPr>
              <w:spacing w:after="0" w:line="240" w:lineRule="auto"/>
              <w:contextualSpacing w:val="0"/>
              <w:jc w:val="center"/>
              <w:rPr>
                <w:rFonts w:eastAsia="Times New Roman" w:cs="Times New Roman"/>
                <w:color w:val="000000"/>
                <w:sz w:val="18"/>
                <w:szCs w:val="18"/>
              </w:rPr>
            </w:pPr>
            <w:r w:rsidRPr="000E0021">
              <w:rPr>
                <w:rFonts w:eastAsia="Times New Roman" w:cs="Times New Roman"/>
                <w:color w:val="000000"/>
                <w:sz w:val="18"/>
                <w:szCs w:val="18"/>
              </w:rPr>
              <w:t>Földrajzi</w:t>
            </w:r>
          </w:p>
        </w:tc>
        <w:tc>
          <w:tcPr>
            <w:tcW w:w="3035" w:type="dxa"/>
            <w:shd w:val="clear" w:color="auto" w:fill="92D050"/>
          </w:tcPr>
          <w:p w14:paraId="516505C9" w14:textId="5A51A4E3" w:rsidR="00B146CB" w:rsidRPr="000E0021" w:rsidRDefault="00AD1E1C" w:rsidP="000E0021">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B146CB" w14:paraId="67E87165" w14:textId="77777777" w:rsidTr="000E0021">
        <w:tc>
          <w:tcPr>
            <w:tcW w:w="3061" w:type="dxa"/>
            <w:shd w:val="clear" w:color="auto" w:fill="auto"/>
          </w:tcPr>
          <w:p w14:paraId="14A13751" w14:textId="1A6D62F7" w:rsidR="00B146CB" w:rsidRPr="000E0021" w:rsidRDefault="009D296A" w:rsidP="000E0021">
            <w:pPr>
              <w:spacing w:after="0" w:line="240" w:lineRule="auto"/>
              <w:contextualSpacing w:val="0"/>
              <w:jc w:val="center"/>
              <w:rPr>
                <w:rFonts w:eastAsia="Times New Roman" w:cs="Times New Roman"/>
                <w:color w:val="000000"/>
                <w:sz w:val="18"/>
                <w:szCs w:val="18"/>
              </w:rPr>
            </w:pPr>
            <w:r w:rsidRPr="000E0021">
              <w:rPr>
                <w:rFonts w:eastAsia="Times New Roman" w:cs="Times New Roman"/>
                <w:color w:val="000000"/>
                <w:sz w:val="18"/>
                <w:szCs w:val="18"/>
              </w:rPr>
              <w:t>Értékesítési csato</w:t>
            </w:r>
            <w:r w:rsidR="00D00776" w:rsidRPr="00CF11CD">
              <w:rPr>
                <w:rFonts w:eastAsia="Times New Roman" w:cs="Times New Roman"/>
                <w:color w:val="000000"/>
                <w:sz w:val="18"/>
                <w:szCs w:val="18"/>
              </w:rPr>
              <w:t>r</w:t>
            </w:r>
            <w:r w:rsidRPr="000E0021">
              <w:rPr>
                <w:rFonts w:eastAsia="Times New Roman" w:cs="Times New Roman"/>
                <w:color w:val="000000"/>
                <w:sz w:val="18"/>
                <w:szCs w:val="18"/>
              </w:rPr>
              <w:t>na</w:t>
            </w:r>
          </w:p>
        </w:tc>
        <w:tc>
          <w:tcPr>
            <w:tcW w:w="3035" w:type="dxa"/>
            <w:shd w:val="clear" w:color="auto" w:fill="92D050"/>
          </w:tcPr>
          <w:p w14:paraId="07D3EAEE" w14:textId="7CB6C6B4" w:rsidR="00B146CB" w:rsidRPr="000E0021" w:rsidRDefault="00AD1E1C" w:rsidP="000E0021">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bl>
    <w:p w14:paraId="4D6F4A22" w14:textId="3374F70D" w:rsidR="00A248A1" w:rsidRDefault="00A248A1" w:rsidP="00FC37B3">
      <w:pPr>
        <w:spacing w:before="120"/>
      </w:pPr>
      <w:r w:rsidRPr="00A248A1">
        <w:t>A befektetéskezeléshez kapcsolódó ML/</w:t>
      </w:r>
      <w:proofErr w:type="spellStart"/>
      <w:r w:rsidRPr="00A248A1">
        <w:t>TF</w:t>
      </w:r>
      <w:proofErr w:type="spellEnd"/>
      <w:r w:rsidRPr="00A248A1">
        <w:t xml:space="preserve"> kockázatot elsősorban a befektetési vállalkozások által kiszolgált ügyfelek típusához kapcsolódó kockázat befolyásolja. </w:t>
      </w:r>
      <w:r>
        <w:t xml:space="preserve">Kockázatnövelő tényező, hogy a </w:t>
      </w:r>
      <w:r w:rsidR="00AA6C83">
        <w:t xml:space="preserve">szektor </w:t>
      </w:r>
      <w:r w:rsidR="00AA6C83" w:rsidRPr="00AA6C83">
        <w:t xml:space="preserve">többnyire a magas kockázatú ügyfeleknek van kitéve, ideértve a </w:t>
      </w:r>
      <w:r w:rsidR="00AA6C83" w:rsidRPr="00622282">
        <w:t xml:space="preserve">kiemelt közszereplőket </w:t>
      </w:r>
      <w:r w:rsidR="00AA6C83" w:rsidRPr="00AA6C83">
        <w:t xml:space="preserve">is. </w:t>
      </w:r>
    </w:p>
    <w:p w14:paraId="10A97536" w14:textId="77777777" w:rsidR="00E46FB2" w:rsidRDefault="00E46FB2" w:rsidP="00E46FB2">
      <w:r w:rsidRPr="00A248A1">
        <w:t>Kockázati tényező továbbá a képzések hiánya, a személyzet megfelelő ismereteinek és tudatosságának hiánya, amely jelentősen befolyásolhatja a hatékonyságot.</w:t>
      </w:r>
    </w:p>
    <w:p w14:paraId="7C579143" w14:textId="001A9590" w:rsidR="00183E6F" w:rsidRDefault="00183E6F" w:rsidP="00183E6F">
      <w:r>
        <w:t xml:space="preserve">A hazai és a nemzetközi rendszer egyik fő sérülékeny pontja a tényleges tulajdonos kilétének ellenőrzése és az átláthatóságának hiánya, annak okán, hogy nem álltak rendelkezésre megfelelő nyilvántartások. A belső kontroll hiányosságok, vagy a belső védelmi vonalak nem megfelelő működtetése szintén komoly sérülékenységi tényező a szektorban. A magasabb kockázati étvággyal rendelkező intézményeknek a kockázatok nagyságához mérten kell </w:t>
      </w:r>
      <w:r>
        <w:lastRenderedPageBreak/>
        <w:t xml:space="preserve">kialakítani a technológiai, belső védelmi vonalait. A tevékenységből fakadó kockázatokhoz kell igazítani a belső ellenőrző rendszerek, elsősorban a tranzakciómonitoring szűrőrendszer szcenárióit, a hatékonyságot továbbá növeli az </w:t>
      </w:r>
      <w:r w:rsidRPr="001237C8">
        <w:t xml:space="preserve">MNB </w:t>
      </w:r>
      <w:r w:rsidR="00A97162" w:rsidRPr="001237C8">
        <w:t>rendeletben</w:t>
      </w:r>
      <w:r>
        <w:t>, valamint a belső kockázatértékelés alapján meghatározott határidők betartása.</w:t>
      </w:r>
    </w:p>
    <w:p w14:paraId="466CAACE" w14:textId="0AB591D9" w:rsidR="00183E6F" w:rsidRPr="00A07F4E" w:rsidRDefault="00183E6F" w:rsidP="00183E6F">
      <w:r>
        <w:t xml:space="preserve">Kockázatot </w:t>
      </w:r>
      <w:r w:rsidR="00153A1E">
        <w:t>növelő tényező</w:t>
      </w:r>
      <w:r>
        <w:t xml:space="preserve"> továbbá a szolgáltatók túlzott „profitorientált” viselkedése; a brókerek alacsonyabb szintű kontrollokat alkalmaznak annak érdekében, hogy minél több ügyfelet vonzzanak. A befektetési területen a szolgáltató alkalmazottai és a bróker jelentősen érdekeltek az üzleti kapcsolat folytatásában (jutalom fizetés), és ez az ügyfél-átvilágítási kötelezettségek teljes körű elvégzésének háttérbe helyezését, illetve az esetleges bejelentések elmaradását eredményezheti.</w:t>
      </w:r>
    </w:p>
    <w:p w14:paraId="0323630D" w14:textId="5B3A2A5C" w:rsidR="00153A1E" w:rsidRDefault="00183E6F" w:rsidP="00E46FB2">
      <w:r w:rsidRPr="00A248A1">
        <w:t xml:space="preserve">Jelen szektorra is általánosságban elmondható, hogy a szektorhoz tartozó szolgáltatók fejlesztendő </w:t>
      </w:r>
      <w:proofErr w:type="spellStart"/>
      <w:r w:rsidRPr="00A248A1">
        <w:t>AML</w:t>
      </w:r>
      <w:proofErr w:type="spellEnd"/>
      <w:r w:rsidRPr="00A248A1">
        <w:t xml:space="preserve"> tranzakció </w:t>
      </w:r>
      <w:proofErr w:type="spellStart"/>
      <w:r w:rsidRPr="00A248A1">
        <w:t>monitoringgal</w:t>
      </w:r>
      <w:proofErr w:type="spellEnd"/>
      <w:r w:rsidRPr="00A248A1">
        <w:t xml:space="preserve"> és nem megfelelő gyanús ügyletek bejelentésére vonatkozó politikákkal és eljárásokkal rendelkeznek. A szolgáltatók a felügyeleti adatszolgáltatások teljesítése során sok esetben nem megfelelő adatokat bocsátanak rendelkezésre.</w:t>
      </w:r>
    </w:p>
    <w:p w14:paraId="3C0C115B" w14:textId="5350990F" w:rsidR="00153A1E" w:rsidRDefault="00153A1E" w:rsidP="00E46FB2">
      <w:r w:rsidRPr="00D751A7">
        <w:t xml:space="preserve">Kockázatcsökkentő tényező, hogy az ügyfelek pénzeszközeit jellemzően letétkezelő, nem pedig a </w:t>
      </w:r>
      <w:r>
        <w:t>b</w:t>
      </w:r>
      <w:r w:rsidRPr="00D751A7">
        <w:t>efektetési vállalkozás kezeli.</w:t>
      </w:r>
      <w:r w:rsidRPr="00E1488D">
        <w:t xml:space="preserve"> </w:t>
      </w:r>
      <w:r>
        <w:t xml:space="preserve">Emellett a befektetési vállalkozások az általuk végzett tevékenységek jellege miatt piaci visszaéléshez </w:t>
      </w:r>
      <w:r w:rsidRPr="00A248A1">
        <w:t>hasonló alapbűncselekményeknek lehetnek kitéve, ami ML/</w:t>
      </w:r>
      <w:proofErr w:type="spellStart"/>
      <w:r w:rsidRPr="00A248A1">
        <w:t>TF</w:t>
      </w:r>
      <w:proofErr w:type="spellEnd"/>
      <w:r w:rsidRPr="00A248A1">
        <w:t xml:space="preserve"> kockázatot eredményezhet.</w:t>
      </w:r>
    </w:p>
    <w:p w14:paraId="07DF1DFB" w14:textId="52BE1D56" w:rsidR="006D79C5" w:rsidRDefault="00E46FB2" w:rsidP="00610AD9">
      <w:r>
        <w:t xml:space="preserve">A nemzetközi gyakorlat kockázatként detektálta, hogy a szolgáltatók ügyfelei milyen mértékben teszik ki a szolgáltatót kockázatoknak, mind az ügyfelek dokumentumainak azonosítása és ellenőrzése, mind pedig az összetett vállalati struktúrák tényleges tulajdonosainak azonosítása során felmerülő nehézségek tekintetében. A nemzetközi gyakorlat szerint az ügyfélkockázati kitettség tovább nő a nagy vagyonnal rendelkező magánszemélyek számossága miatt, valamint a vagyon- és a pénzeszköz forrásának megértése során tapasztalt nehézségek miatt, ideértve azon ügyfeleket is, akik a tartózkodási jog és az állampolgárság megszerzése miatt igényelnek szolgáltatásokat. A földrajzi kockázat is nőtt a korábbiakhoz képest, amely a magas kockázatú országok területén folytatott tevékenységekből származó ügyfélforrásoknak és/vagy a magas kockázatú országok területén lévő pénzügyi intézményekből átutalt pénzeszközöknek tulajdonítható. A termékben rejlő kockázat azonban csökkenő tendenciát mutat.  Ez annak az eredménye lehet, hogy a befektetési vállalkozások korlátozták a magasabb kockázatú szolgáltatások, így a </w:t>
      </w:r>
      <w:proofErr w:type="spellStart"/>
      <w:r>
        <w:t>nominee</w:t>
      </w:r>
      <w:proofErr w:type="spellEnd"/>
      <w:r>
        <w:t>-szolgáltatások nyújtását.</w:t>
      </w:r>
      <w:r w:rsidR="0069701E">
        <w:t xml:space="preserve"> </w:t>
      </w:r>
      <w:r w:rsidR="00D92268" w:rsidRPr="00A07F4E">
        <w:t>A</w:t>
      </w:r>
      <w:r w:rsidR="005124DA">
        <w:t xml:space="preserve">z </w:t>
      </w:r>
      <w:r w:rsidR="005124DA" w:rsidRPr="008B6B9B">
        <w:t>MNB</w:t>
      </w:r>
      <w:r w:rsidR="00D92268" w:rsidRPr="008B6B9B">
        <w:t xml:space="preserve"> az inherens</w:t>
      </w:r>
      <w:r w:rsidR="00D92268" w:rsidRPr="00A07F4E">
        <w:t xml:space="preserve"> kockázat értékelésénél az </w:t>
      </w:r>
      <w:r w:rsidR="00D92268" w:rsidRPr="00606A23">
        <w:t xml:space="preserve">illetékes </w:t>
      </w:r>
      <w:r w:rsidR="00606A23" w:rsidRPr="000E0021">
        <w:t xml:space="preserve">külföldi felügyeleti </w:t>
      </w:r>
      <w:r w:rsidR="00D92268" w:rsidRPr="00606A23">
        <w:t>hatóságok</w:t>
      </w:r>
      <w:r w:rsidR="00D92268" w:rsidRPr="00A07F4E">
        <w:t xml:space="preserve"> tapasztalatait is figyelembe vette. </w:t>
      </w:r>
    </w:p>
    <w:p w14:paraId="51C73637" w14:textId="739EFDE5" w:rsidR="00AF1E40" w:rsidRPr="00A07F4E" w:rsidRDefault="00AF1E40" w:rsidP="00A07F4E">
      <w:pPr>
        <w:pStyle w:val="Listaszerbekezds"/>
        <w:numPr>
          <w:ilvl w:val="1"/>
          <w:numId w:val="15"/>
        </w:numPr>
        <w:ind w:left="851" w:hanging="284"/>
      </w:pPr>
      <w:r w:rsidRPr="00A07F4E">
        <w:t xml:space="preserve">A </w:t>
      </w:r>
      <w:r w:rsidR="005124DA">
        <w:t>B</w:t>
      </w:r>
      <w:r w:rsidRPr="00A07F4E">
        <w:t>efektet</w:t>
      </w:r>
      <w:r w:rsidR="005124DA">
        <w:t>ési</w:t>
      </w:r>
      <w:r w:rsidRPr="00A07F4E">
        <w:t xml:space="preserve"> </w:t>
      </w:r>
      <w:r w:rsidR="008D07A5">
        <w:t>v</w:t>
      </w:r>
      <w:r w:rsidRPr="00A07F4E">
        <w:t>állalkoz</w:t>
      </w:r>
      <w:r w:rsidR="005124DA">
        <w:t>ási</w:t>
      </w:r>
      <w:r w:rsidRPr="00A07F4E">
        <w:t xml:space="preserve"> szektorban rejlő, határokon átnyúló ML/</w:t>
      </w:r>
      <w:proofErr w:type="spellStart"/>
      <w:r w:rsidRPr="00A07F4E">
        <w:t>TF</w:t>
      </w:r>
      <w:proofErr w:type="spellEnd"/>
      <w:r w:rsidRPr="00A07F4E">
        <w:t xml:space="preserve"> kockázatok</w:t>
      </w:r>
    </w:p>
    <w:p w14:paraId="7534E759" w14:textId="1512CF3E" w:rsidR="00AA6C83" w:rsidRDefault="00AA6C83" w:rsidP="005124DA">
      <w:r>
        <w:t xml:space="preserve">Kockázatot hordoz, hogy a befektetésekkel </w:t>
      </w:r>
      <w:r w:rsidRPr="00AA6C83">
        <w:t>érintett ügyletek volumene jelentős, a határon átnyúló tranzakciók szintje magas.</w:t>
      </w:r>
      <w:r w:rsidR="00183E6F">
        <w:t xml:space="preserve"> Bár a fizetések nem </w:t>
      </w:r>
      <w:r w:rsidR="00144800">
        <w:t>névtelenek</w:t>
      </w:r>
      <w:r w:rsidR="00183E6F">
        <w:t xml:space="preserve"> (mivel azonosított számlához kapcsolódnak), </w:t>
      </w:r>
      <w:r w:rsidR="00144800">
        <w:t xml:space="preserve">azonban </w:t>
      </w:r>
      <w:r w:rsidR="00183E6F">
        <w:t>magasabb kockázatú ügyfelekkel vagy országokkal való kapcsolattartással járhatnak, különösen, ha határokon átnyúló tranzakciókról van szó.</w:t>
      </w:r>
    </w:p>
    <w:p w14:paraId="5B79FA5F" w14:textId="5D686B25" w:rsidR="005124DA" w:rsidRPr="00A07F4E" w:rsidRDefault="005124DA" w:rsidP="000A1827">
      <w:r>
        <w:t xml:space="preserve">A hazai </w:t>
      </w:r>
      <w:r w:rsidR="002513AF">
        <w:t>b</w:t>
      </w:r>
      <w:r>
        <w:t>efektetési vállalkozási szektorra</w:t>
      </w:r>
      <w:r w:rsidR="00AA6C83">
        <w:t xml:space="preserve"> azonban elmondható, hogy</w:t>
      </w:r>
      <w:r>
        <w:t xml:space="preserve"> többségében nem jellemző a külföldi érintettség,</w:t>
      </w:r>
      <w:r w:rsidR="00AA6C83">
        <w:t xml:space="preserve"> a szolgáltatók</w:t>
      </w:r>
      <w:r>
        <w:t xml:space="preserve"> tipikusan magyar ügyfelekkel rendelkeznek. A hazai </w:t>
      </w:r>
      <w:r w:rsidR="002513AF">
        <w:t>be</w:t>
      </w:r>
      <w:r>
        <w:t xml:space="preserve">fektetési vállalkozások </w:t>
      </w:r>
      <w:r w:rsidR="002513AF">
        <w:t xml:space="preserve">többsége </w:t>
      </w:r>
      <w:r>
        <w:t>jellemzően magyar magánszemélyekből álló tulajdonosi körrel rendelkez</w:t>
      </w:r>
      <w:r w:rsidR="002513AF">
        <w:t>ik</w:t>
      </w:r>
      <w:r>
        <w:t>, közvetlenül és/vagy részben vagy egészében közvetetten magántőkealapon, külföldi bizalmi vagyonkezelőn, vagy hazai gazdasági társaságon keresztül</w:t>
      </w:r>
      <w:r w:rsidR="002513AF">
        <w:t xml:space="preserve">. </w:t>
      </w:r>
    </w:p>
    <w:p w14:paraId="25B508E5" w14:textId="75E9F559" w:rsidR="00076FD0" w:rsidRPr="00A07F4E" w:rsidRDefault="008D12FF" w:rsidP="000A1827">
      <w:r w:rsidRPr="002513AF">
        <w:t xml:space="preserve">Az </w:t>
      </w:r>
      <w:proofErr w:type="spellStart"/>
      <w:r w:rsidRPr="002513AF">
        <w:t>EBA</w:t>
      </w:r>
      <w:proofErr w:type="spellEnd"/>
      <w:r w:rsidRPr="002513AF">
        <w:t xml:space="preserve"> </w:t>
      </w:r>
      <w:proofErr w:type="spellStart"/>
      <w:r w:rsidRPr="002513AF">
        <w:t>Opinion</w:t>
      </w:r>
      <w:proofErr w:type="spellEnd"/>
      <w:r w:rsidRPr="002513AF">
        <w:t xml:space="preserve"> alapján, illetékes hatóságok többsége úgy értékelte, hogy a szektor mérsékelten jelentős mértékben van </w:t>
      </w:r>
      <w:r w:rsidR="00EA6C27" w:rsidRPr="002513AF">
        <w:t>ki</w:t>
      </w:r>
      <w:r w:rsidRPr="002513AF">
        <w:t>téve a határokon átnyúló tevékenységekből eredő ML/FT kockázatoknak.</w:t>
      </w:r>
      <w:r w:rsidRPr="00A07F4E">
        <w:t xml:space="preserve"> </w:t>
      </w:r>
    </w:p>
    <w:p w14:paraId="2D22F702" w14:textId="148A7B64" w:rsidR="00301FDE" w:rsidRPr="00A07F4E" w:rsidRDefault="00301FDE" w:rsidP="000A1827">
      <w:pPr>
        <w:rPr>
          <w:b/>
          <w:bCs/>
        </w:rPr>
      </w:pPr>
      <w:r w:rsidRPr="00A07F4E">
        <w:rPr>
          <w:b/>
          <w:bCs/>
        </w:rPr>
        <w:t>A</w:t>
      </w:r>
      <w:r w:rsidR="000E7A77">
        <w:rPr>
          <w:b/>
          <w:bCs/>
        </w:rPr>
        <w:t>z MNB</w:t>
      </w:r>
      <w:r w:rsidRPr="00A07F4E">
        <w:rPr>
          <w:b/>
          <w:bCs/>
        </w:rPr>
        <w:t xml:space="preserve"> értékelése alapján a </w:t>
      </w:r>
      <w:r w:rsidR="00606A23">
        <w:rPr>
          <w:b/>
          <w:bCs/>
        </w:rPr>
        <w:t>b</w:t>
      </w:r>
      <w:r w:rsidRPr="00A07F4E">
        <w:rPr>
          <w:b/>
          <w:bCs/>
        </w:rPr>
        <w:t>efektetési vállalkoz</w:t>
      </w:r>
      <w:r w:rsidR="005124DA">
        <w:rPr>
          <w:b/>
          <w:bCs/>
        </w:rPr>
        <w:t>ási</w:t>
      </w:r>
      <w:r w:rsidRPr="00A07F4E">
        <w:rPr>
          <w:b/>
          <w:bCs/>
        </w:rPr>
        <w:t xml:space="preserve"> szektor Mérsékelten jelentős inherens kockázati értékkel rendelkezik, amely megegyezik az </w:t>
      </w:r>
      <w:proofErr w:type="spellStart"/>
      <w:r w:rsidRPr="00A07F4E">
        <w:rPr>
          <w:b/>
          <w:bCs/>
        </w:rPr>
        <w:t>EBA</w:t>
      </w:r>
      <w:proofErr w:type="spellEnd"/>
      <w:r w:rsidRPr="00A07F4E">
        <w:rPr>
          <w:b/>
          <w:bCs/>
        </w:rPr>
        <w:t xml:space="preserve"> </w:t>
      </w:r>
      <w:proofErr w:type="spellStart"/>
      <w:r w:rsidRPr="00A07F4E">
        <w:rPr>
          <w:b/>
          <w:bCs/>
        </w:rPr>
        <w:t>Opinion</w:t>
      </w:r>
      <w:proofErr w:type="spellEnd"/>
      <w:r w:rsidRPr="00A07F4E">
        <w:rPr>
          <w:b/>
          <w:bCs/>
        </w:rPr>
        <w:t xml:space="preserve"> összegzése szerinti, </w:t>
      </w:r>
      <w:r w:rsidR="000E0021">
        <w:rPr>
          <w:b/>
          <w:bCs/>
        </w:rPr>
        <w:t xml:space="preserve">a </w:t>
      </w:r>
      <w:r w:rsidR="004250ED">
        <w:rPr>
          <w:b/>
          <w:bCs/>
        </w:rPr>
        <w:t>leg</w:t>
      </w:r>
      <w:r w:rsidRPr="00A07F4E">
        <w:rPr>
          <w:b/>
          <w:bCs/>
        </w:rPr>
        <w:t>több illetékes hatóság értékelésével.</w:t>
      </w:r>
    </w:p>
    <w:tbl>
      <w:tblPr>
        <w:tblW w:w="4040" w:type="dxa"/>
        <w:jc w:val="center"/>
        <w:tblCellMar>
          <w:left w:w="70" w:type="dxa"/>
          <w:right w:w="70" w:type="dxa"/>
        </w:tblCellMar>
        <w:tblLook w:val="04A0" w:firstRow="1" w:lastRow="0" w:firstColumn="1" w:lastColumn="0" w:noHBand="0" w:noVBand="1"/>
      </w:tblPr>
      <w:tblGrid>
        <w:gridCol w:w="2140"/>
        <w:gridCol w:w="1900"/>
      </w:tblGrid>
      <w:tr w:rsidR="008D12FF" w:rsidRPr="00A07F4E" w14:paraId="5CD5AEEC" w14:textId="77777777" w:rsidTr="008D12FF">
        <w:trPr>
          <w:trHeight w:val="300"/>
          <w:jc w:val="center"/>
        </w:trPr>
        <w:tc>
          <w:tcPr>
            <w:tcW w:w="2140" w:type="dxa"/>
            <w:tcBorders>
              <w:top w:val="nil"/>
              <w:left w:val="nil"/>
              <w:bottom w:val="nil"/>
              <w:right w:val="nil"/>
            </w:tcBorders>
            <w:shd w:val="clear" w:color="auto" w:fill="auto"/>
            <w:noWrap/>
            <w:vAlign w:val="center"/>
            <w:hideMark/>
          </w:tcPr>
          <w:p w14:paraId="316ADBF2" w14:textId="77777777" w:rsidR="008D12FF" w:rsidRPr="00A07F4E" w:rsidRDefault="008D12FF" w:rsidP="008D12FF">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B84B30B" w14:textId="77777777" w:rsidR="008D12FF" w:rsidRPr="00A07F4E" w:rsidRDefault="008D12FF" w:rsidP="008D12FF">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05602F30" w14:textId="77777777" w:rsidR="00C63813" w:rsidRDefault="00C63813" w:rsidP="00C63813"/>
    <w:p w14:paraId="0CA46C61" w14:textId="681193CE" w:rsidR="00D86EEF" w:rsidRPr="00A07F4E" w:rsidRDefault="00D86EEF" w:rsidP="00A07F4E">
      <w:pPr>
        <w:pStyle w:val="Cmsor3"/>
        <w:numPr>
          <w:ilvl w:val="0"/>
          <w:numId w:val="114"/>
        </w:numPr>
      </w:pPr>
      <w:bookmarkStart w:id="128" w:name="_Toc109906039"/>
      <w:r w:rsidRPr="00A07F4E">
        <w:lastRenderedPageBreak/>
        <w:t>Az ellenőrzések minősége</w:t>
      </w:r>
      <w:bookmarkEnd w:id="128"/>
    </w:p>
    <w:p w14:paraId="60C6A166" w14:textId="7C86FF7F" w:rsidR="00D86EEF" w:rsidRDefault="00D86EEF" w:rsidP="00D86EEF">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w:t>
      </w:r>
      <w:r w:rsidR="00A03E21">
        <w:t xml:space="preserve">külföldi </w:t>
      </w:r>
      <w:r w:rsidR="00AC2464">
        <w:t xml:space="preserve">felügyeleti </w:t>
      </w:r>
      <w:r w:rsidRPr="00A07F4E">
        <w:t xml:space="preserve">hatóságok </w:t>
      </w:r>
      <w:r w:rsidR="005818C7" w:rsidRPr="00A07F4E">
        <w:t>összességében</w:t>
      </w:r>
      <w:r w:rsidRPr="00A07F4E">
        <w:t xml:space="preserve"> </w:t>
      </w:r>
      <w:r w:rsidRPr="00AC2464">
        <w:t>a</w:t>
      </w:r>
      <w:r w:rsidR="00A03E21" w:rsidRPr="00AC2464">
        <w:t xml:space="preserve"> szektorhoz tartozó szolgáltatók</w:t>
      </w:r>
      <w:r w:rsidRPr="00AC2464">
        <w:t xml:space="preserve"> </w:t>
      </w:r>
      <w:r w:rsidR="00A03E21" w:rsidRPr="00AC2464">
        <w:t xml:space="preserve">által végzett </w:t>
      </w:r>
      <w:r w:rsidRPr="00AC2464">
        <w:t>ellenőrzés</w:t>
      </w:r>
      <w:r w:rsidR="00A03E21" w:rsidRPr="00AC2464">
        <w:t>ének</w:t>
      </w:r>
      <w:r w:rsidR="00A03E21">
        <w:t xml:space="preserve"> </w:t>
      </w:r>
      <w:r w:rsidR="00C336A8" w:rsidRPr="00A07F4E">
        <w:t>minőségével elégedett volt</w:t>
      </w:r>
      <w:r w:rsidRPr="00A07F4E">
        <w:t xml:space="preserve">, </w:t>
      </w:r>
      <w:r w:rsidR="005818C7" w:rsidRPr="00A07F4E">
        <w:t xml:space="preserve">azt jónak értékelte. Az illetékes </w:t>
      </w:r>
      <w:r w:rsidR="00AC2464">
        <w:t>külföldi felügyeleti</w:t>
      </w:r>
      <w:r w:rsidR="005818C7" w:rsidRPr="00A07F4E">
        <w:t xml:space="preserve"> hatóságok különösen a nyi</w:t>
      </w:r>
      <w:r w:rsidR="008B6B9B">
        <w:t>l</w:t>
      </w:r>
      <w:r w:rsidR="005818C7" w:rsidRPr="00A07F4E">
        <w:t xml:space="preserve">vántartási politikák és eljárások megfelelőségével és hatékonyságával, valamint az ügyfél-azonosítási politikák és eljárások megfelelőségével kapcsolatos ellenőrzésekkel </w:t>
      </w:r>
      <w:r w:rsidR="00666950" w:rsidRPr="00A07F4E">
        <w:t xml:space="preserve">kapcsolatban </w:t>
      </w:r>
      <w:r w:rsidR="005818C7" w:rsidRPr="00A07F4E">
        <w:t>tűntek elégedettnek.</w:t>
      </w:r>
      <w:r w:rsidR="00E320B7" w:rsidRPr="00A07F4E">
        <w:t xml:space="preserve"> A</w:t>
      </w:r>
      <w:r w:rsidR="005818C7" w:rsidRPr="00A07F4E">
        <w:t xml:space="preserve">z illetékes </w:t>
      </w:r>
      <w:r w:rsidR="00AC2464">
        <w:t>külföldi felügyeleti</w:t>
      </w:r>
      <w:r w:rsidR="005818C7" w:rsidRPr="00A07F4E">
        <w:t xml:space="preserve"> hatóságok jelentős része</w:t>
      </w:r>
      <w:r w:rsidRPr="00A07F4E">
        <w:t xml:space="preserve"> gyanús tranzakciók </w:t>
      </w:r>
      <w:proofErr w:type="spellStart"/>
      <w:r w:rsidR="000E0021">
        <w:t>FIU-nak</w:t>
      </w:r>
      <w:proofErr w:type="spellEnd"/>
      <w:r w:rsidRPr="00A07F4E">
        <w:t xml:space="preserve"> történő bejelentésére vonatkozó eljárás</w:t>
      </w:r>
      <w:r w:rsidR="00C336A8" w:rsidRPr="00A07F4E">
        <w:t>oka</w:t>
      </w:r>
      <w:r w:rsidRPr="00A07F4E">
        <w:t xml:space="preserve">t, illetve </w:t>
      </w:r>
      <w:r w:rsidR="00C336A8" w:rsidRPr="00A07F4E">
        <w:t>a folyamatos monitoring</w:t>
      </w:r>
      <w:r w:rsidRPr="00A07F4E">
        <w:t xml:space="preserve"> hatékonyságát kifogásolt</w:t>
      </w:r>
      <w:r w:rsidR="00BC75CF" w:rsidRPr="00A07F4E">
        <w:t>a</w:t>
      </w:r>
      <w:r w:rsidR="00C336A8" w:rsidRPr="00A07F4E">
        <w:t>, azokat gyengének, illetve nagyon gyengének értékelt</w:t>
      </w:r>
      <w:r w:rsidR="00E320B7" w:rsidRPr="00A07F4E">
        <w:t>e</w:t>
      </w:r>
      <w:r w:rsidR="00C336A8" w:rsidRPr="00A07F4E">
        <w:t xml:space="preserve">. </w:t>
      </w:r>
      <w:r w:rsidRPr="00A07F4E">
        <w:t xml:space="preserve"> </w:t>
      </w:r>
    </w:p>
    <w:p w14:paraId="0A62343B" w14:textId="77777777" w:rsidR="000470E1" w:rsidRPr="00A07F4E" w:rsidRDefault="000470E1" w:rsidP="00A07F4E">
      <w:pPr>
        <w:pStyle w:val="Cmsor3"/>
        <w:numPr>
          <w:ilvl w:val="0"/>
          <w:numId w:val="114"/>
        </w:numPr>
      </w:pPr>
      <w:bookmarkStart w:id="129" w:name="_Toc109906040"/>
      <w:r w:rsidRPr="00A07F4E">
        <w:t>Felügyeleti tevékenység</w:t>
      </w:r>
      <w:bookmarkEnd w:id="129"/>
    </w:p>
    <w:p w14:paraId="747A72CD" w14:textId="6DC61A6C" w:rsidR="00BD34D6" w:rsidRPr="00A07F4E" w:rsidRDefault="000470E1" w:rsidP="000470E1">
      <w:r w:rsidRPr="00153A1E">
        <w:t>A</w:t>
      </w:r>
      <w:r w:rsidR="00981A39" w:rsidRPr="00153A1E">
        <w:t>z MNB</w:t>
      </w:r>
      <w:r w:rsidR="00AC2464">
        <w:t xml:space="preserve"> </w:t>
      </w:r>
      <w:r w:rsidRPr="00981A39">
        <w:t>a</w:t>
      </w:r>
      <w:r w:rsidRPr="00A07F4E">
        <w:t xml:space="preserve"> szektor Mérsékelten jelentős inherens kockázati besorolására tekintettel kisebb hangsúlyt fektetett jelen szektor </w:t>
      </w:r>
      <w:proofErr w:type="spellStart"/>
      <w:r w:rsidR="00C6429F">
        <w:t>on</w:t>
      </w:r>
      <w:proofErr w:type="spellEnd"/>
      <w:r w:rsidR="00C6429F">
        <w:t xml:space="preserve">-site </w:t>
      </w:r>
      <w:r w:rsidRPr="00A07F4E">
        <w:t>ellenőrzésére</w:t>
      </w:r>
      <w:r w:rsidR="000C6686" w:rsidRPr="00A07F4E">
        <w:t xml:space="preserve">, az elmúlt időszakban </w:t>
      </w:r>
      <w:r w:rsidR="005A109F" w:rsidRPr="00A07F4E">
        <w:t xml:space="preserve">néhány </w:t>
      </w:r>
      <w:r w:rsidR="000C6686" w:rsidRPr="00A07F4E">
        <w:t xml:space="preserve">teljes körű, </w:t>
      </w:r>
      <w:proofErr w:type="spellStart"/>
      <w:r w:rsidR="000C6686" w:rsidRPr="00A07F4E">
        <w:t>on</w:t>
      </w:r>
      <w:proofErr w:type="spellEnd"/>
      <w:r w:rsidR="000C6686" w:rsidRPr="00A07F4E">
        <w:t>-site vizsgálat került lefolytatásra</w:t>
      </w:r>
      <w:r w:rsidRPr="00A07F4E">
        <w:t xml:space="preserve">. A szektor </w:t>
      </w:r>
      <w:proofErr w:type="spellStart"/>
      <w:r w:rsidR="005A109F" w:rsidRPr="00A07F4E">
        <w:t>off</w:t>
      </w:r>
      <w:proofErr w:type="spellEnd"/>
      <w:r w:rsidR="005A109F" w:rsidRPr="00A07F4E">
        <w:t xml:space="preserve">-site </w:t>
      </w:r>
      <w:r w:rsidRPr="00A07F4E">
        <w:t xml:space="preserve">felügyelete az éves és negyedéves adatszolgáltatások </w:t>
      </w:r>
      <w:r w:rsidR="005A109F" w:rsidRPr="00A07F4E">
        <w:t>felhasználásával elsődlegesen folyamatos felügyelés keretében</w:t>
      </w:r>
      <w:r w:rsidRPr="00A07F4E">
        <w:t xml:space="preserve"> történik.</w:t>
      </w:r>
    </w:p>
    <w:p w14:paraId="18932B98" w14:textId="7514B845" w:rsidR="001A2918" w:rsidRDefault="00BD34D6" w:rsidP="000470E1">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 legtöbb illetékes hatóság az </w:t>
      </w:r>
      <w:proofErr w:type="spellStart"/>
      <w:r w:rsidRPr="00A07F4E">
        <w:t>off</w:t>
      </w:r>
      <w:proofErr w:type="spellEnd"/>
      <w:r w:rsidRPr="00A07F4E">
        <w:t xml:space="preserve">-site vizsgálatokat alkalmazta a szektor ellenőrzésére, illetve teljes körű </w:t>
      </w:r>
      <w:proofErr w:type="spellStart"/>
      <w:r w:rsidRPr="00A07F4E">
        <w:t>on</w:t>
      </w:r>
      <w:proofErr w:type="spellEnd"/>
      <w:r w:rsidRPr="00A07F4E">
        <w:t xml:space="preserve">-site vizsgálatokat ütemezett. </w:t>
      </w:r>
      <w:r w:rsidR="000470E1" w:rsidRPr="00A07F4E">
        <w:t xml:space="preserve"> </w:t>
      </w:r>
      <w:r w:rsidRPr="00A07F4E">
        <w:t xml:space="preserve">Az illetékes hatóságoknál az </w:t>
      </w:r>
      <w:proofErr w:type="spellStart"/>
      <w:r w:rsidRPr="00A07F4E">
        <w:t>AML</w:t>
      </w:r>
      <w:proofErr w:type="spellEnd"/>
      <w:r w:rsidRPr="00A07F4E">
        <w:t>/</w:t>
      </w:r>
      <w:proofErr w:type="spellStart"/>
      <w:r w:rsidRPr="00A07F4E">
        <w:t>CFT</w:t>
      </w:r>
      <w:proofErr w:type="spellEnd"/>
      <w:r w:rsidRPr="00A07F4E">
        <w:t xml:space="preserve"> jelentések száma nőtt, illetve kis hányada jelezte a hatóságoknak</w:t>
      </w:r>
      <w:r w:rsidR="000F1F12" w:rsidRPr="00A07F4E">
        <w:t>,</w:t>
      </w:r>
      <w:r w:rsidRPr="00A07F4E">
        <w:t xml:space="preserve"> hogy nem végzett egyáltalán vizsgálatokat a szektorban. </w:t>
      </w:r>
    </w:p>
    <w:p w14:paraId="60FC2947" w14:textId="77777777" w:rsidR="000F1F12" w:rsidRPr="00A07F4E" w:rsidRDefault="000F1F12" w:rsidP="00A07F4E">
      <w:pPr>
        <w:pStyle w:val="Cmsor3"/>
        <w:numPr>
          <w:ilvl w:val="0"/>
          <w:numId w:val="114"/>
        </w:numPr>
      </w:pPr>
      <w:bookmarkStart w:id="130" w:name="_Toc109906041"/>
      <w:r w:rsidRPr="00A07F4E">
        <w:t>Azonosított jogsértések</w:t>
      </w:r>
      <w:bookmarkEnd w:id="130"/>
    </w:p>
    <w:p w14:paraId="662FFB9A" w14:textId="760A8549" w:rsidR="000F1F12" w:rsidRDefault="00071793" w:rsidP="006D3FF2">
      <w:r w:rsidRPr="00071793">
        <w:t xml:space="preserve">Az MNB a felügyeleti vizsgálatok során az ügyfelek kockázatértékelésével, a gyanús tranzakciók kapcsán a bejelentési kötelezettség elmulasztásával, illetve az oktatásokkal kapcsolatban azonosított jogsértéseket. </w:t>
      </w:r>
      <w:r w:rsidR="000F1F12" w:rsidRPr="00A07F4E">
        <w:t>Az illetékes hatóságok</w:t>
      </w:r>
      <w:r w:rsidR="006D3FF2" w:rsidRPr="00A07F4E">
        <w:t>nál</w:t>
      </w:r>
      <w:r w:rsidR="000F1F12" w:rsidRPr="00A07F4E">
        <w:t xml:space="preserve"> – az </w:t>
      </w:r>
      <w:proofErr w:type="spellStart"/>
      <w:r w:rsidR="000F1F12" w:rsidRPr="00A07F4E">
        <w:t>EBA</w:t>
      </w:r>
      <w:proofErr w:type="spellEnd"/>
      <w:r w:rsidR="000F1F12" w:rsidRPr="00A07F4E">
        <w:t xml:space="preserve"> </w:t>
      </w:r>
      <w:proofErr w:type="spellStart"/>
      <w:r w:rsidR="000F1F12" w:rsidRPr="00A07F4E">
        <w:t>Opinion</w:t>
      </w:r>
      <w:proofErr w:type="spellEnd"/>
      <w:r w:rsidR="000F1F12" w:rsidRPr="00A07F4E">
        <w:t xml:space="preserve"> alapján –</w:t>
      </w:r>
      <w:r w:rsidR="006D3FF2" w:rsidRPr="00A07F4E">
        <w:t xml:space="preserve"> a leggyakoribb jogsértések az ügyfelek azonosításával és ellenőrzésével, a folyamatos </w:t>
      </w:r>
      <w:proofErr w:type="spellStart"/>
      <w:r w:rsidR="006D3FF2" w:rsidRPr="00A07F4E">
        <w:t>monitoringgal</w:t>
      </w:r>
      <w:proofErr w:type="spellEnd"/>
      <w:r w:rsidR="006D3FF2" w:rsidRPr="00A07F4E">
        <w:t xml:space="preserve">, a belső ellenőrzések hiányosságaival (beleértve az átfogó </w:t>
      </w:r>
      <w:proofErr w:type="spellStart"/>
      <w:r w:rsidR="006D3FF2" w:rsidRPr="00A07F4E">
        <w:t>AML</w:t>
      </w:r>
      <w:proofErr w:type="spellEnd"/>
      <w:r w:rsidR="006D3FF2" w:rsidRPr="00A07F4E">
        <w:t>/</w:t>
      </w:r>
      <w:proofErr w:type="spellStart"/>
      <w:r w:rsidR="006D3FF2" w:rsidRPr="00A07F4E">
        <w:t>CFT</w:t>
      </w:r>
      <w:proofErr w:type="spellEnd"/>
      <w:r w:rsidR="006D3FF2" w:rsidRPr="00A07F4E">
        <w:t>-szabályokat és eljárásokat), a gyanús tranzakciók bejelentésével, az ügyfélkockázat értékelésével, valamint az irányítási és megfelelési funkció hiányosságaival voltak kapcsolatosak. A szektorban az illetékes hatóságok által megállapított jogsértések azonban nagyrészt kisebb jelentőségűek voltak.</w:t>
      </w:r>
      <w:r>
        <w:t xml:space="preserve"> </w:t>
      </w:r>
      <w:r w:rsidR="006D3FF2" w:rsidRPr="00C6429F">
        <w:t>Az illetékes hatóság</w:t>
      </w:r>
      <w:r>
        <w:t>ok</w:t>
      </w:r>
      <w:r w:rsidR="006D3FF2" w:rsidRPr="00C6429F">
        <w:t xml:space="preserve"> a megállapított jogsértéseket leggyakrabban</w:t>
      </w:r>
      <w:r w:rsidR="00380214" w:rsidRPr="00C6429F">
        <w:t xml:space="preserve"> – a</w:t>
      </w:r>
      <w:r w:rsidR="00C6429F">
        <w:t>z MNB</w:t>
      </w:r>
      <w:r w:rsidR="00380214" w:rsidRPr="0035661D">
        <w:t>-hez</w:t>
      </w:r>
      <w:r w:rsidR="00380214" w:rsidRPr="00C6429F">
        <w:t xml:space="preserve"> haso</w:t>
      </w:r>
      <w:r w:rsidR="00380214" w:rsidRPr="00A07F4E">
        <w:t xml:space="preserve">nlóan – </w:t>
      </w:r>
      <w:r w:rsidR="006D3FF2" w:rsidRPr="00A07F4E">
        <w:t xml:space="preserve">megfelelési utasításokkal, konkrét intézkedések végrehajtására vonatkozó utasításokkal vagy helyreállítási terv bevezetésére vonatkozó utasításokkal követték nyomon. </w:t>
      </w:r>
    </w:p>
    <w:p w14:paraId="5E6AE3C5" w14:textId="77777777" w:rsidR="007437A4" w:rsidRPr="00A07F4E" w:rsidRDefault="007437A4" w:rsidP="00A07F4E">
      <w:pPr>
        <w:pStyle w:val="Cmsor3"/>
        <w:numPr>
          <w:ilvl w:val="0"/>
          <w:numId w:val="114"/>
        </w:numPr>
      </w:pPr>
      <w:bookmarkStart w:id="131" w:name="_Toc109906042"/>
      <w:r w:rsidRPr="00A07F4E">
        <w:t>Maradványkockázat:</w:t>
      </w:r>
      <w:bookmarkEnd w:id="131"/>
    </w:p>
    <w:p w14:paraId="45B0D355" w14:textId="72DD531F" w:rsidR="007437A4" w:rsidRPr="00A07F4E" w:rsidRDefault="007437A4" w:rsidP="007437A4">
      <w:r w:rsidRPr="00153A1E">
        <w:t>A</w:t>
      </w:r>
      <w:r w:rsidR="005124DA" w:rsidRPr="00153A1E">
        <w:t>z MNB</w:t>
      </w:r>
      <w:r w:rsidRPr="005124DA">
        <w:t xml:space="preserve"> </w:t>
      </w:r>
      <w:r w:rsidR="005A109F" w:rsidRPr="005124DA">
        <w:t>vizsgálatai</w:t>
      </w:r>
      <w:r w:rsidR="005A109F" w:rsidRPr="00A07F4E">
        <w:t xml:space="preserve">, felügyeleti tapasztalatai nem indokolták az inherens kockázat vonatkozásában történő módosítást. </w:t>
      </w:r>
    </w:p>
    <w:tbl>
      <w:tblPr>
        <w:tblW w:w="4040" w:type="dxa"/>
        <w:jc w:val="center"/>
        <w:tblCellMar>
          <w:left w:w="70" w:type="dxa"/>
          <w:right w:w="70" w:type="dxa"/>
        </w:tblCellMar>
        <w:tblLook w:val="04A0" w:firstRow="1" w:lastRow="0" w:firstColumn="1" w:lastColumn="0" w:noHBand="0" w:noVBand="1"/>
      </w:tblPr>
      <w:tblGrid>
        <w:gridCol w:w="2140"/>
        <w:gridCol w:w="1900"/>
      </w:tblGrid>
      <w:tr w:rsidR="009C3844" w:rsidRPr="00A07F4E" w14:paraId="6AA1D351" w14:textId="77777777" w:rsidTr="009C3844">
        <w:trPr>
          <w:trHeight w:val="300"/>
          <w:jc w:val="center"/>
        </w:trPr>
        <w:tc>
          <w:tcPr>
            <w:tcW w:w="2140" w:type="dxa"/>
            <w:tcBorders>
              <w:top w:val="nil"/>
              <w:left w:val="nil"/>
              <w:bottom w:val="nil"/>
              <w:right w:val="nil"/>
            </w:tcBorders>
            <w:shd w:val="clear" w:color="auto" w:fill="auto"/>
            <w:noWrap/>
            <w:vAlign w:val="center"/>
            <w:hideMark/>
          </w:tcPr>
          <w:p w14:paraId="2BA84AC2" w14:textId="77777777" w:rsidR="009C3844" w:rsidRPr="00A07F4E" w:rsidRDefault="009C3844" w:rsidP="009C3844">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48B703" w14:textId="77777777" w:rsidR="009C3844" w:rsidRPr="00A07F4E" w:rsidRDefault="009C3844" w:rsidP="009C3844">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4F0644EC" w14:textId="77777777" w:rsidR="00B146CB" w:rsidRPr="00B146CB" w:rsidRDefault="00B146CB" w:rsidP="000222BD"/>
    <w:p w14:paraId="5D34B38C" w14:textId="6B0B2149" w:rsidR="00E94F24" w:rsidRPr="008C1A55" w:rsidRDefault="00E94F24" w:rsidP="00A120C2">
      <w:pPr>
        <w:pStyle w:val="Cmsor2"/>
      </w:pPr>
      <w:bookmarkStart w:id="132" w:name="_Toc109906043"/>
      <w:r w:rsidRPr="008C1A55">
        <w:t>Kollektív befektetési vállalkozások/alapkezelők</w:t>
      </w:r>
      <w:r w:rsidR="004A0FFC">
        <w:rPr>
          <w:rStyle w:val="Lbjegyzet-hivatkozs"/>
        </w:rPr>
        <w:footnoteReference w:id="17"/>
      </w:r>
      <w:bookmarkEnd w:id="132"/>
    </w:p>
    <w:p w14:paraId="49D8FBFE" w14:textId="77777777" w:rsidR="00E94F24" w:rsidRPr="00A07F4E" w:rsidRDefault="00E94F24" w:rsidP="00A07F4E">
      <w:pPr>
        <w:pStyle w:val="Cmsor3"/>
        <w:numPr>
          <w:ilvl w:val="0"/>
          <w:numId w:val="121"/>
        </w:numPr>
      </w:pPr>
      <w:bookmarkStart w:id="133" w:name="_Toc109906044"/>
      <w:r w:rsidRPr="00A07F4E">
        <w:t>A szektor méretére, tevékenységi körére és összetettségére vonatkozó információk összesített formában</w:t>
      </w:r>
      <w:bookmarkEnd w:id="133"/>
    </w:p>
    <w:p w14:paraId="6912A74C" w14:textId="3429AD3C" w:rsidR="00A12CEA" w:rsidRDefault="008B63D6" w:rsidP="008B63D6">
      <w:r>
        <w:t>A</w:t>
      </w:r>
      <w:r w:rsidR="00E94F24" w:rsidRPr="00A07F4E" w:rsidDel="008B63D6">
        <w:t xml:space="preserve"> </w:t>
      </w:r>
      <w:r w:rsidRPr="008B63D6">
        <w:t xml:space="preserve">befektetési </w:t>
      </w:r>
      <w:r w:rsidR="00253379">
        <w:t>alapkezelők</w:t>
      </w:r>
      <w:r w:rsidRPr="008B63D6">
        <w:t xml:space="preserve"> a kollektív befektetési forma számára befektetéskezelési tevékenységet, valamint a kollektív befektetési forma létrehozatalához, működtetéséhez kapcsolódó feladato</w:t>
      </w:r>
      <w:r w:rsidR="00253379">
        <w:t>kat látják</w:t>
      </w:r>
      <w:r>
        <w:t xml:space="preserve"> el</w:t>
      </w:r>
      <w:r w:rsidRPr="008B63D6">
        <w:t xml:space="preserve">. </w:t>
      </w:r>
      <w:r w:rsidR="004A0FFC">
        <w:t xml:space="preserve">Két befektetési alapkezelői formát különböztetünk meg: (i) </w:t>
      </w:r>
      <w:proofErr w:type="spellStart"/>
      <w:r w:rsidR="004A0FFC">
        <w:t>ÁÉKBV</w:t>
      </w:r>
      <w:proofErr w:type="spellEnd"/>
      <w:r w:rsidR="004A0FFC">
        <w:t>-alapkezelőket</w:t>
      </w:r>
      <w:r w:rsidR="004A0FFC">
        <w:rPr>
          <w:rStyle w:val="Lbjegyzet-hivatkozs"/>
        </w:rPr>
        <w:footnoteReference w:id="18"/>
      </w:r>
      <w:r w:rsidR="004A0FFC">
        <w:t xml:space="preserve">  és (ii) alternatív befektetési alapkezelőket</w:t>
      </w:r>
      <w:r w:rsidR="004A0FFC">
        <w:rPr>
          <w:rStyle w:val="Lbjegyzet-hivatkozs"/>
        </w:rPr>
        <w:footnoteReference w:id="19"/>
      </w:r>
      <w:r w:rsidR="004A0FFC">
        <w:t xml:space="preserve"> (</w:t>
      </w:r>
      <w:proofErr w:type="spellStart"/>
      <w:r w:rsidR="004A0FFC">
        <w:t>ABAK</w:t>
      </w:r>
      <w:proofErr w:type="spellEnd"/>
      <w:r w:rsidR="004A0FFC">
        <w:t>-alapkezelők). A befektetési alap kollektív befektetési forma, azaz minden olyan kollektív befektetés, amely több befektetőtől gyűjt tőkét abból a célból, hogy meghatározott befektetési politikának megfelelően befektesse a befektetők javára (</w:t>
      </w:r>
      <w:proofErr w:type="spellStart"/>
      <w:r w:rsidR="004A0FFC">
        <w:t>ÁÉKBV</w:t>
      </w:r>
      <w:proofErr w:type="spellEnd"/>
      <w:r w:rsidR="004A0FFC">
        <w:t>, ABA).</w:t>
      </w:r>
      <w:r w:rsidR="004A0FFC">
        <w:rPr>
          <w:rStyle w:val="Lbjegyzet-hivatkozs"/>
        </w:rPr>
        <w:footnoteReference w:id="20"/>
      </w:r>
      <w:r w:rsidR="004A0FFC">
        <w:t xml:space="preserve"> </w:t>
      </w:r>
      <w:r w:rsidR="004A0FFC" w:rsidRPr="00253379">
        <w:t xml:space="preserve">A jelen fejezet tárgya kizárólag a </w:t>
      </w:r>
      <w:proofErr w:type="spellStart"/>
      <w:r w:rsidR="004A0FFC" w:rsidRPr="00253379">
        <w:t>Pmt</w:t>
      </w:r>
      <w:proofErr w:type="spellEnd"/>
      <w:r w:rsidR="004A0FFC" w:rsidRPr="00253379">
        <w:t>. hatálya alá tartozó –</w:t>
      </w:r>
      <w:r w:rsidR="00D764CE">
        <w:t xml:space="preserve"> </w:t>
      </w:r>
      <w:r w:rsidR="004A0FFC" w:rsidRPr="00253379">
        <w:t xml:space="preserve">forgalmazási </w:t>
      </w:r>
      <w:r w:rsidR="004A0FFC" w:rsidRPr="00253379">
        <w:lastRenderedPageBreak/>
        <w:t xml:space="preserve">tevékenységet, vagy </w:t>
      </w:r>
      <w:r w:rsidR="00D764CE" w:rsidRPr="00D764CE">
        <w:t>a befektetési vállalkozásokról és az árutőzsdei szolgáltatókról, valamint az általuk végezhető tevékenységek szabályairól</w:t>
      </w:r>
      <w:r w:rsidR="00D764CE">
        <w:t xml:space="preserve"> szóló </w:t>
      </w:r>
      <w:r w:rsidR="00D764CE" w:rsidRPr="00D764CE">
        <w:t>2007. évi CXXXVIII. törvényben (</w:t>
      </w:r>
      <w:proofErr w:type="spellStart"/>
      <w:r w:rsidR="004A0FFC" w:rsidRPr="00A120C2">
        <w:rPr>
          <w:b/>
          <w:bCs/>
        </w:rPr>
        <w:t>Bszt</w:t>
      </w:r>
      <w:proofErr w:type="spellEnd"/>
      <w:r w:rsidR="004A0FFC" w:rsidRPr="00A120C2">
        <w:rPr>
          <w:b/>
          <w:bCs/>
        </w:rPr>
        <w:t>.</w:t>
      </w:r>
      <w:r w:rsidR="00D764CE" w:rsidRPr="00D764CE">
        <w:t>)</w:t>
      </w:r>
      <w:r w:rsidR="004A0FFC" w:rsidRPr="00253379">
        <w:t xml:space="preserve"> meghatározott tevékenységet végző – befektetési alapkezelő</w:t>
      </w:r>
      <w:r w:rsidR="00033193">
        <w:t xml:space="preserve">. </w:t>
      </w:r>
      <w:r>
        <w:t xml:space="preserve"> </w:t>
      </w:r>
      <w:r w:rsidR="00482082">
        <w:t>B</w:t>
      </w:r>
      <w:r>
        <w:t xml:space="preserve">efektetési alapkezelők </w:t>
      </w:r>
      <w:r w:rsidRPr="00FC37B3">
        <w:t xml:space="preserve">száma </w:t>
      </w:r>
      <w:r w:rsidR="00B94BC9" w:rsidRPr="00FC37B3">
        <w:t>100 és 110</w:t>
      </w:r>
      <w:r w:rsidR="00033193" w:rsidRPr="00FC37B3">
        <w:t xml:space="preserve"> közé tehető</w:t>
      </w:r>
      <w:r w:rsidR="0097536D" w:rsidRPr="00FC37B3">
        <w:t>,</w:t>
      </w:r>
      <w:r w:rsidRPr="00757F1D">
        <w:t xml:space="preserve"> valamint</w:t>
      </w:r>
      <w:r>
        <w:t xml:space="preserve"> számos intézmény van jelen határon átnyúló szolgáltatás keretében</w:t>
      </w:r>
      <w:r w:rsidR="00A12CEA">
        <w:t xml:space="preserve">.  </w:t>
      </w:r>
    </w:p>
    <w:p w14:paraId="7D657A4A" w14:textId="4472E76A" w:rsidR="00E94F24" w:rsidRPr="00A07F4E" w:rsidRDefault="00E94F24" w:rsidP="00A07F4E">
      <w:pPr>
        <w:pStyle w:val="Cmsor3"/>
        <w:numPr>
          <w:ilvl w:val="0"/>
          <w:numId w:val="121"/>
        </w:numPr>
      </w:pPr>
      <w:bookmarkStart w:id="134" w:name="_Toc109906045"/>
      <w:r w:rsidRPr="00A07F4E">
        <w:t>Inherens kockázatértékelés</w:t>
      </w:r>
      <w:bookmarkEnd w:id="134"/>
    </w:p>
    <w:p w14:paraId="3911657D" w14:textId="77777777" w:rsidR="000268B7" w:rsidRPr="00A07F4E" w:rsidRDefault="000268B7" w:rsidP="00A07F4E">
      <w:pPr>
        <w:pStyle w:val="Listaszerbekezds"/>
        <w:numPr>
          <w:ilvl w:val="0"/>
          <w:numId w:val="195"/>
        </w:numPr>
        <w:ind w:left="851" w:hanging="284"/>
      </w:pPr>
      <w:r w:rsidRPr="00A07F4E">
        <w:t>A kollektív befektetési vállalkozások/alapkezelők szektorában rejlő ML/</w:t>
      </w:r>
      <w:proofErr w:type="spellStart"/>
      <w:r w:rsidRPr="00A07F4E">
        <w:t>TF</w:t>
      </w:r>
      <w:proofErr w:type="spellEnd"/>
      <w:r w:rsidRPr="00A07F4E">
        <w:t xml:space="preserve"> kockázati tényezők</w:t>
      </w:r>
    </w:p>
    <w:p w14:paraId="4C66E709" w14:textId="334466DF" w:rsidR="00F51C68" w:rsidRDefault="00F51C68" w:rsidP="00F51C68">
      <w:r w:rsidRPr="003B3261">
        <w:t>A</w:t>
      </w:r>
      <w:r>
        <w:t xml:space="preserve"> </w:t>
      </w:r>
      <w:r w:rsidRPr="003B3261">
        <w:t>termé</w:t>
      </w:r>
      <w:r w:rsidRPr="00095247">
        <w:t xml:space="preserve">k/szolgáltatás, ügyfél, </w:t>
      </w:r>
      <w:r w:rsidRPr="003B3261">
        <w:t>földrajzi,</w:t>
      </w:r>
      <w:r w:rsidRPr="00095247">
        <w:t xml:space="preserve"> valamint értékesítési csatorn</w:t>
      </w:r>
      <w:r>
        <w:t>ához társítható</w:t>
      </w:r>
      <w:r w:rsidRPr="00095247">
        <w:t xml:space="preserve"> </w:t>
      </w:r>
      <w:r>
        <w:t>kockázatok MNB általi értékelését az alábbi táblázat szemlélteti</w:t>
      </w:r>
      <w:r w:rsidRPr="00095247">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F51C68" w:rsidRPr="003168BA" w14:paraId="0078E128" w14:textId="77777777" w:rsidTr="00300DCA">
        <w:tc>
          <w:tcPr>
            <w:tcW w:w="3061" w:type="dxa"/>
          </w:tcPr>
          <w:p w14:paraId="59F6A046" w14:textId="77777777" w:rsidR="00F51C68" w:rsidRPr="00095247" w:rsidRDefault="00F51C68" w:rsidP="00300DCA">
            <w:pPr>
              <w:spacing w:after="0" w:line="240" w:lineRule="auto"/>
              <w:contextualSpacing w:val="0"/>
              <w:jc w:val="center"/>
              <w:rPr>
                <w:rFonts w:eastAsia="Times New Roman" w:cs="Times New Roman"/>
                <w:b/>
                <w:bCs/>
                <w:color w:val="000000"/>
                <w:sz w:val="18"/>
                <w:szCs w:val="18"/>
              </w:rPr>
            </w:pPr>
            <w:r w:rsidRPr="00095247">
              <w:rPr>
                <w:rFonts w:eastAsia="Times New Roman" w:cs="Times New Roman"/>
                <w:b/>
                <w:bCs/>
                <w:color w:val="000000"/>
                <w:sz w:val="18"/>
                <w:szCs w:val="18"/>
              </w:rPr>
              <w:t>Kockázat megnevezése</w:t>
            </w:r>
          </w:p>
        </w:tc>
        <w:tc>
          <w:tcPr>
            <w:tcW w:w="3035" w:type="dxa"/>
          </w:tcPr>
          <w:p w14:paraId="656F78C4" w14:textId="77777777" w:rsidR="00F51C68" w:rsidRPr="00095247" w:rsidRDefault="00F51C68" w:rsidP="00300DCA">
            <w:pPr>
              <w:spacing w:after="0" w:line="240" w:lineRule="auto"/>
              <w:contextualSpacing w:val="0"/>
              <w:jc w:val="center"/>
              <w:rPr>
                <w:rFonts w:eastAsia="Times New Roman" w:cs="Times New Roman"/>
                <w:b/>
                <w:bCs/>
                <w:color w:val="000000"/>
                <w:sz w:val="18"/>
                <w:szCs w:val="18"/>
              </w:rPr>
            </w:pPr>
            <w:r w:rsidRPr="00095247">
              <w:rPr>
                <w:rFonts w:eastAsia="Times New Roman" w:cs="Times New Roman"/>
                <w:b/>
                <w:bCs/>
                <w:color w:val="000000"/>
                <w:sz w:val="18"/>
                <w:szCs w:val="18"/>
              </w:rPr>
              <w:t>Kockázati érték</w:t>
            </w:r>
          </w:p>
        </w:tc>
      </w:tr>
      <w:tr w:rsidR="00F51C68" w:rsidRPr="003168BA" w14:paraId="51024FE0" w14:textId="77777777" w:rsidTr="00A120C2">
        <w:tc>
          <w:tcPr>
            <w:tcW w:w="3061" w:type="dxa"/>
            <w:shd w:val="clear" w:color="auto" w:fill="auto"/>
          </w:tcPr>
          <w:p w14:paraId="386268DD"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Termék/szolgáltatás</w:t>
            </w:r>
          </w:p>
        </w:tc>
        <w:tc>
          <w:tcPr>
            <w:tcW w:w="3035" w:type="dxa"/>
            <w:shd w:val="clear" w:color="auto" w:fill="FFC000"/>
          </w:tcPr>
          <w:p w14:paraId="325DBC01"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 xml:space="preserve">Jelentős </w:t>
            </w:r>
          </w:p>
        </w:tc>
      </w:tr>
      <w:tr w:rsidR="00F51C68" w14:paraId="1738B28E" w14:textId="77777777" w:rsidTr="00A120C2">
        <w:tc>
          <w:tcPr>
            <w:tcW w:w="3061" w:type="dxa"/>
            <w:shd w:val="clear" w:color="auto" w:fill="auto"/>
          </w:tcPr>
          <w:p w14:paraId="60BF1239"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Ügyfél</w:t>
            </w:r>
          </w:p>
        </w:tc>
        <w:tc>
          <w:tcPr>
            <w:tcW w:w="3035" w:type="dxa"/>
            <w:shd w:val="clear" w:color="auto" w:fill="FFFF00"/>
          </w:tcPr>
          <w:p w14:paraId="1D2B0A59" w14:textId="7425A35E" w:rsidR="00F51C68" w:rsidRPr="00095247" w:rsidRDefault="00F51C6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r w:rsidR="00F51C68" w14:paraId="08F380F8" w14:textId="77777777" w:rsidTr="00A120C2">
        <w:trPr>
          <w:trHeight w:val="50"/>
        </w:trPr>
        <w:tc>
          <w:tcPr>
            <w:tcW w:w="3061" w:type="dxa"/>
            <w:shd w:val="clear" w:color="auto" w:fill="auto"/>
          </w:tcPr>
          <w:p w14:paraId="7526AA3B"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Földrajzi</w:t>
            </w:r>
          </w:p>
        </w:tc>
        <w:tc>
          <w:tcPr>
            <w:tcW w:w="3035" w:type="dxa"/>
            <w:shd w:val="clear" w:color="auto" w:fill="92D050"/>
          </w:tcPr>
          <w:p w14:paraId="675D7F8F"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Kevésbé jelentős</w:t>
            </w:r>
          </w:p>
        </w:tc>
      </w:tr>
      <w:tr w:rsidR="00F51C68" w14:paraId="7B16DD90" w14:textId="77777777" w:rsidTr="00A120C2">
        <w:tc>
          <w:tcPr>
            <w:tcW w:w="3061" w:type="dxa"/>
            <w:shd w:val="clear" w:color="auto" w:fill="auto"/>
          </w:tcPr>
          <w:p w14:paraId="00A772C7" w14:textId="799BAE88"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Értékesítési csato</w:t>
            </w:r>
            <w:r w:rsidR="00D00776">
              <w:rPr>
                <w:rFonts w:eastAsia="Times New Roman" w:cs="Times New Roman"/>
                <w:color w:val="000000"/>
                <w:sz w:val="18"/>
                <w:szCs w:val="18"/>
              </w:rPr>
              <w:t>r</w:t>
            </w:r>
            <w:r w:rsidRPr="00095247">
              <w:rPr>
                <w:rFonts w:eastAsia="Times New Roman" w:cs="Times New Roman"/>
                <w:color w:val="000000"/>
                <w:sz w:val="18"/>
                <w:szCs w:val="18"/>
              </w:rPr>
              <w:t>na</w:t>
            </w:r>
          </w:p>
        </w:tc>
        <w:tc>
          <w:tcPr>
            <w:tcW w:w="3035" w:type="dxa"/>
            <w:shd w:val="clear" w:color="auto" w:fill="92D050"/>
          </w:tcPr>
          <w:p w14:paraId="32EAF71D" w14:textId="77777777" w:rsidR="00F51C68" w:rsidRPr="00095247" w:rsidRDefault="00F51C68" w:rsidP="00300DCA">
            <w:pPr>
              <w:spacing w:after="0" w:line="240" w:lineRule="auto"/>
              <w:contextualSpacing w:val="0"/>
              <w:jc w:val="center"/>
              <w:rPr>
                <w:rFonts w:eastAsia="Times New Roman" w:cs="Times New Roman"/>
                <w:color w:val="000000"/>
                <w:sz w:val="18"/>
                <w:szCs w:val="18"/>
              </w:rPr>
            </w:pPr>
            <w:r w:rsidRPr="00095247">
              <w:rPr>
                <w:rFonts w:eastAsia="Times New Roman" w:cs="Times New Roman"/>
                <w:color w:val="000000"/>
                <w:sz w:val="18"/>
                <w:szCs w:val="18"/>
              </w:rPr>
              <w:t>Kevésbé jelentős</w:t>
            </w:r>
          </w:p>
        </w:tc>
      </w:tr>
    </w:tbl>
    <w:p w14:paraId="1FD4E5FD" w14:textId="77777777" w:rsidR="00702B7D" w:rsidRDefault="00702B7D" w:rsidP="00FC37B3">
      <w:pPr>
        <w:spacing w:before="120"/>
      </w:pPr>
      <w:r w:rsidRPr="00702B7D">
        <w:t>A befektetési alapkezelőkhöz kapcsolódó ML/</w:t>
      </w:r>
      <w:proofErr w:type="spellStart"/>
      <w:r w:rsidRPr="00702B7D">
        <w:t>TF</w:t>
      </w:r>
      <w:proofErr w:type="spellEnd"/>
      <w:r w:rsidRPr="00702B7D">
        <w:t xml:space="preserve"> kockázat függ az alap befektetési jegyeinek forgalmazási folyamatában részt vevő felek típusától és számától, az alap működési formájától és fajtájától, és befolyásolhatja az is, hogy a befektetési jegyet forgalmazó alapkezelő </w:t>
      </w:r>
      <w:r>
        <w:t>mennyi ismerettel rendelkezik</w:t>
      </w:r>
      <w:r w:rsidRPr="00702B7D">
        <w:t xml:space="preserve"> az ügyfeléről és a befektetőiről</w:t>
      </w:r>
      <w:r>
        <w:t xml:space="preserve">. </w:t>
      </w:r>
    </w:p>
    <w:p w14:paraId="6B126820" w14:textId="13B27C45" w:rsidR="00342914" w:rsidRPr="00A07F4E" w:rsidRDefault="00702B7D" w:rsidP="00342914">
      <w:r w:rsidRPr="00702B7D">
        <w:t>A hazai szektor működési modellje alapján a befektetési alapkezelők többségében nem kerülnek az ügyfelekkel közvetlen ügyfélkapcsolatba (azáltal, hogy nem végeznek forgalmazási tevékenységet). Jelentős kockázatcsökkentő tényező</w:t>
      </w:r>
      <w:r>
        <w:t xml:space="preserve"> tehát</w:t>
      </w:r>
      <w:r w:rsidRPr="00702B7D">
        <w:t>, hogy a szektorban jelenlévő szolgáltatók csak más pénzügyi szolgáltatók közreműködésével tudnak jelentős összegű ügyleteket lebonyolítani.</w:t>
      </w:r>
      <w:r w:rsidR="00175C1F">
        <w:t xml:space="preserve"> </w:t>
      </w:r>
      <w:r w:rsidR="00175C1F" w:rsidRPr="00175C1F">
        <w:t xml:space="preserve">A készpénz ügyletek a szektorban nem jellemzőek. </w:t>
      </w:r>
      <w:r w:rsidR="00342914" w:rsidRPr="00342914">
        <w:t xml:space="preserve"> </w:t>
      </w:r>
      <w:r w:rsidR="00342914" w:rsidRPr="00702B7D">
        <w:t xml:space="preserve">Jelen szektorra is általánosságban elmondható, hogy a szektorhoz tartozó szolgáltatók fejlesztendő ügyfél-átvilágítási, </w:t>
      </w:r>
      <w:proofErr w:type="spellStart"/>
      <w:r w:rsidR="00342914" w:rsidRPr="00702B7D">
        <w:t>pénzmosás</w:t>
      </w:r>
      <w:proofErr w:type="spellEnd"/>
      <w:r w:rsidR="00342914" w:rsidRPr="00702B7D">
        <w:t xml:space="preserve"> elleni tranzakció </w:t>
      </w:r>
      <w:proofErr w:type="spellStart"/>
      <w:r w:rsidR="00342914" w:rsidRPr="00702B7D">
        <w:t>monitoringgal</w:t>
      </w:r>
      <w:proofErr w:type="spellEnd"/>
      <w:r w:rsidR="00342914" w:rsidRPr="00702B7D">
        <w:t xml:space="preserve"> és gyanús ügyletek bejelentésére vonatkozó politikákkal és eljárásokkal rendelkeznek.</w:t>
      </w:r>
      <w:r w:rsidR="00342914" w:rsidRPr="008E5771">
        <w:t xml:space="preserve"> </w:t>
      </w:r>
      <w:r w:rsidR="00342914">
        <w:t>A szolgáltatókra jellemző az</w:t>
      </w:r>
      <w:r w:rsidR="00342914" w:rsidRPr="00A07F4E">
        <w:t xml:space="preserve"> erőforrásalapú megközelítés, illetve a kockázatalapú megközelítés</w:t>
      </w:r>
      <w:r w:rsidR="00342914">
        <w:t xml:space="preserve"> </w:t>
      </w:r>
      <w:r w:rsidR="00342914" w:rsidRPr="00A07F4E">
        <w:t xml:space="preserve">hiánya. </w:t>
      </w:r>
    </w:p>
    <w:p w14:paraId="4E9B8604" w14:textId="0FB0AB55" w:rsidR="004B65D4" w:rsidRPr="00A07F4E" w:rsidRDefault="004B65D4" w:rsidP="004B65D4">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ügyfél- és földrajzi kockázatokat a legtöbb hatóság a szektor kulcsfontosságú kockázatainak tekintette, </w:t>
      </w:r>
      <w:r w:rsidR="00C333D9" w:rsidRPr="00A07F4E">
        <w:t>különösen</w:t>
      </w:r>
      <w:r w:rsidRPr="00A07F4E">
        <w:t xml:space="preserve"> a nagy vagyonú magánszemélyek, az összetett struktúrájú ügyfelek és a magasabb kockázatú országokban található ügyfelek szektorban jellemző számossága miatt. Számos illetékes </w:t>
      </w:r>
      <w:r w:rsidR="007F5120">
        <w:t>külföldi</w:t>
      </w:r>
      <w:r w:rsidRPr="00A07F4E">
        <w:t xml:space="preserve"> hatóság rámutatott, hogy továbbra is nehézséget okoz az ügyfelek tényleges tulajdonosának megállapítása, valamint </w:t>
      </w:r>
      <w:r w:rsidR="00C333D9" w:rsidRPr="00A07F4E">
        <w:t>kiemelték</w:t>
      </w:r>
      <w:r w:rsidRPr="00A07F4E">
        <w:t xml:space="preserve"> </w:t>
      </w:r>
      <w:r w:rsidR="00C333D9" w:rsidRPr="00A07F4E">
        <w:t>az értékesítési</w:t>
      </w:r>
      <w:r w:rsidRPr="00A07F4E">
        <w:t xml:space="preserve"> csatornákhoz kapcsolódó kockázatok</w:t>
      </w:r>
      <w:r w:rsidR="00C333D9" w:rsidRPr="00A07F4E">
        <w:t>at</w:t>
      </w:r>
      <w:r w:rsidRPr="00A07F4E">
        <w:t xml:space="preserve">, mivel a befektetési alapok forgalmazását/marketingjét gyakran </w:t>
      </w:r>
      <w:r w:rsidR="009F6E2C" w:rsidRPr="00A07F4E">
        <w:t>kiszervezik</w:t>
      </w:r>
      <w:r w:rsidRPr="00A07F4E">
        <w:t>, és az alap forgalmazásában több közvetítő is részt vehet, ami bonyolultabbá</w:t>
      </w:r>
      <w:r w:rsidR="00FC1B73" w:rsidRPr="00A07F4E">
        <w:t xml:space="preserve">, </w:t>
      </w:r>
      <w:r w:rsidRPr="00A07F4E">
        <w:t>nagyobb kihívássá teszi az ML/</w:t>
      </w:r>
      <w:proofErr w:type="spellStart"/>
      <w:r w:rsidRPr="00A07F4E">
        <w:t>TF</w:t>
      </w:r>
      <w:proofErr w:type="spellEnd"/>
      <w:r w:rsidRPr="00A07F4E">
        <w:t xml:space="preserve"> kockázatok azonosítását és kezelését.</w:t>
      </w:r>
    </w:p>
    <w:p w14:paraId="3F711E4C" w14:textId="77777777" w:rsidR="000268B7" w:rsidRPr="00A07F4E" w:rsidRDefault="000268B7" w:rsidP="00A07F4E">
      <w:pPr>
        <w:pStyle w:val="Listaszerbekezds"/>
        <w:numPr>
          <w:ilvl w:val="0"/>
          <w:numId w:val="195"/>
        </w:numPr>
        <w:ind w:left="851" w:hanging="284"/>
      </w:pPr>
      <w:r w:rsidRPr="00A07F4E">
        <w:t>A kollektív befektetési vállalkozások/alapkezelők szektorában rejlő, határokon átnyúló ML/</w:t>
      </w:r>
      <w:proofErr w:type="spellStart"/>
      <w:r w:rsidRPr="00A07F4E">
        <w:t>TF</w:t>
      </w:r>
      <w:proofErr w:type="spellEnd"/>
      <w:r w:rsidRPr="00A07F4E">
        <w:t xml:space="preserve"> kockázatok </w:t>
      </w:r>
    </w:p>
    <w:p w14:paraId="5EE5145E" w14:textId="4B88F9C5" w:rsidR="00183E6F" w:rsidRPr="00A07F4E" w:rsidRDefault="00702B7D" w:rsidP="00D03B9B">
      <w:r w:rsidRPr="00702B7D">
        <w:t>A szektorra nem jellemző a külföldi érintettség, többségében magyar ügyfelekkel rendelkeznek a kollektív befektetési vállalkozások/alapkezelők. A tulajdonosi kört tekintve elmondható, hogy a piacvezető magyar tulajdonban van, azonban a nagy európai alapkezelők és pénzügyi csoportok több jelentős alapkezelő tulajdonosi hátterét biztosítják.</w:t>
      </w:r>
    </w:p>
    <w:p w14:paraId="3E308422" w14:textId="7B51508D" w:rsidR="00D15773" w:rsidRPr="00A07F4E" w:rsidRDefault="00D15773" w:rsidP="00D03B9B">
      <w:pPr>
        <w:rPr>
          <w:b/>
          <w:bCs/>
        </w:rPr>
      </w:pPr>
      <w:r w:rsidRPr="00A07F4E">
        <w:rPr>
          <w:b/>
          <w:bCs/>
        </w:rPr>
        <w:t>A</w:t>
      </w:r>
      <w:r w:rsidR="00702B7D">
        <w:rPr>
          <w:b/>
          <w:bCs/>
        </w:rPr>
        <w:t>z MNB</w:t>
      </w:r>
      <w:r w:rsidR="00622282">
        <w:rPr>
          <w:b/>
          <w:bCs/>
        </w:rPr>
        <w:t xml:space="preserve"> </w:t>
      </w:r>
      <w:r w:rsidRPr="00A07F4E">
        <w:rPr>
          <w:b/>
          <w:bCs/>
        </w:rPr>
        <w:t xml:space="preserve">értékelése alapján a </w:t>
      </w:r>
      <w:r w:rsidR="000268B7" w:rsidRPr="00A07F4E">
        <w:rPr>
          <w:b/>
          <w:bCs/>
        </w:rPr>
        <w:t xml:space="preserve">kollektív befektetési vállalkozások/alapkezelők szektora </w:t>
      </w:r>
      <w:r w:rsidRPr="00A07F4E">
        <w:rPr>
          <w:b/>
          <w:bCs/>
        </w:rPr>
        <w:t xml:space="preserve">Mérsékelten jelentős inherens kockázati értékkel rendelkezik, amely megegyezik az </w:t>
      </w:r>
      <w:proofErr w:type="spellStart"/>
      <w:r w:rsidRPr="00A07F4E">
        <w:rPr>
          <w:b/>
          <w:bCs/>
        </w:rPr>
        <w:t>EBA</w:t>
      </w:r>
      <w:proofErr w:type="spellEnd"/>
      <w:r w:rsidRPr="00A07F4E">
        <w:rPr>
          <w:b/>
          <w:bCs/>
        </w:rPr>
        <w:t xml:space="preserve"> </w:t>
      </w:r>
      <w:proofErr w:type="spellStart"/>
      <w:r w:rsidRPr="00A07F4E">
        <w:rPr>
          <w:b/>
          <w:bCs/>
        </w:rPr>
        <w:t>Opinion</w:t>
      </w:r>
      <w:proofErr w:type="spellEnd"/>
      <w:r w:rsidRPr="00A07F4E">
        <w:rPr>
          <w:b/>
          <w:bCs/>
        </w:rPr>
        <w:t xml:space="preserve"> összegzése szerinti, </w:t>
      </w:r>
      <w:r w:rsidR="00E60563">
        <w:rPr>
          <w:b/>
          <w:bCs/>
        </w:rPr>
        <w:t>legtöbb</w:t>
      </w:r>
      <w:r w:rsidR="00E60563" w:rsidRPr="00A07F4E">
        <w:rPr>
          <w:b/>
          <w:bCs/>
        </w:rPr>
        <w:t xml:space="preserve"> </w:t>
      </w:r>
      <w:r w:rsidRPr="00A07F4E">
        <w:rPr>
          <w:b/>
          <w:bCs/>
        </w:rPr>
        <w:t>illetékes hatóság értékelésével.</w:t>
      </w:r>
    </w:p>
    <w:tbl>
      <w:tblPr>
        <w:tblW w:w="4040" w:type="dxa"/>
        <w:jc w:val="center"/>
        <w:tblCellMar>
          <w:left w:w="70" w:type="dxa"/>
          <w:right w:w="70" w:type="dxa"/>
        </w:tblCellMar>
        <w:tblLook w:val="04A0" w:firstRow="1" w:lastRow="0" w:firstColumn="1" w:lastColumn="0" w:noHBand="0" w:noVBand="1"/>
      </w:tblPr>
      <w:tblGrid>
        <w:gridCol w:w="2140"/>
        <w:gridCol w:w="1900"/>
      </w:tblGrid>
      <w:tr w:rsidR="000268B7" w:rsidRPr="00A07F4E" w14:paraId="77D0D111" w14:textId="77777777" w:rsidTr="000268B7">
        <w:trPr>
          <w:trHeight w:val="300"/>
          <w:jc w:val="center"/>
        </w:trPr>
        <w:tc>
          <w:tcPr>
            <w:tcW w:w="2140" w:type="dxa"/>
            <w:tcBorders>
              <w:top w:val="nil"/>
              <w:left w:val="nil"/>
              <w:bottom w:val="nil"/>
              <w:right w:val="nil"/>
            </w:tcBorders>
            <w:shd w:val="clear" w:color="auto" w:fill="auto"/>
            <w:noWrap/>
            <w:vAlign w:val="center"/>
            <w:hideMark/>
          </w:tcPr>
          <w:p w14:paraId="6649F207" w14:textId="77777777" w:rsidR="000268B7" w:rsidRPr="00A07F4E" w:rsidRDefault="000268B7" w:rsidP="000268B7">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D6E30A" w14:textId="77777777" w:rsidR="000268B7" w:rsidRPr="00A07F4E" w:rsidRDefault="000268B7" w:rsidP="000268B7">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20F18299" w14:textId="28A936C5" w:rsidR="000268B7" w:rsidRDefault="000268B7" w:rsidP="00D03B9B"/>
    <w:p w14:paraId="7EA6F4B6" w14:textId="0392D6DB" w:rsidR="00C63813" w:rsidRDefault="00C63813" w:rsidP="00D03B9B"/>
    <w:p w14:paraId="33494595" w14:textId="2F8839AC" w:rsidR="00C63813" w:rsidRDefault="00C63813" w:rsidP="00D03B9B"/>
    <w:p w14:paraId="18194298" w14:textId="77777777" w:rsidR="00C63813" w:rsidRPr="00A07F4E" w:rsidRDefault="00C63813" w:rsidP="00D03B9B"/>
    <w:p w14:paraId="6C2BE027" w14:textId="77777777" w:rsidR="00D03B9B" w:rsidRPr="00A07F4E" w:rsidRDefault="00D03B9B" w:rsidP="00A07F4E">
      <w:pPr>
        <w:pStyle w:val="Cmsor3"/>
        <w:numPr>
          <w:ilvl w:val="0"/>
          <w:numId w:val="121"/>
        </w:numPr>
      </w:pPr>
      <w:bookmarkStart w:id="135" w:name="_Toc109906046"/>
      <w:r w:rsidRPr="00A07F4E">
        <w:lastRenderedPageBreak/>
        <w:t>Az ellenőrzések minősége</w:t>
      </w:r>
      <w:bookmarkEnd w:id="135"/>
    </w:p>
    <w:p w14:paraId="40650B0D" w14:textId="53B27112" w:rsidR="00A120C2" w:rsidRPr="00A07F4E" w:rsidRDefault="00D03B9B" w:rsidP="00D03B9B">
      <w:r w:rsidRPr="00A07F4E">
        <w:t>A</w:t>
      </w:r>
      <w:r w:rsidR="003A4147">
        <w:t>z MNB</w:t>
      </w:r>
      <w:r w:rsidRPr="00A07F4E">
        <w:t xml:space="preserve"> a </w:t>
      </w:r>
      <w:r w:rsidR="00D34EB7" w:rsidRPr="00A07F4E">
        <w:t xml:space="preserve">kollektív befektetési vállalkozások/alapkezelők </w:t>
      </w:r>
      <w:r w:rsidR="00A40A26" w:rsidRPr="00A07F4E">
        <w:t xml:space="preserve">ellenőrzéseinek </w:t>
      </w:r>
      <w:r w:rsidRPr="00A07F4E">
        <w:t>megfelelőségé</w:t>
      </w:r>
      <w:r w:rsidR="00A40A26" w:rsidRPr="00A07F4E">
        <w:t>t</w:t>
      </w:r>
      <w:r w:rsidRPr="00A07F4E">
        <w:t xml:space="preserve"> és minőségé</w:t>
      </w:r>
      <w:r w:rsidR="00A40A26" w:rsidRPr="00A07F4E">
        <w:t>t</w:t>
      </w:r>
      <w:r w:rsidRPr="00A07F4E">
        <w:t xml:space="preserve"> </w:t>
      </w:r>
      <w:r w:rsidR="00A40A26" w:rsidRPr="00A07F4E">
        <w:t xml:space="preserve">értékelte, amely alapján </w:t>
      </w:r>
      <w:r w:rsidR="008C1A55">
        <w:t>a szolgáltatók</w:t>
      </w:r>
      <w:r w:rsidRPr="00A07F4E">
        <w:t xml:space="preserve"> egészére kiterjedő, illetve az egyes üzleti kapcsolatokra alkalmazott kockázatértékelést minősítette gyengének, </w:t>
      </w:r>
      <w:r w:rsidR="00D34EB7" w:rsidRPr="00A07F4E">
        <w:t xml:space="preserve">míg </w:t>
      </w:r>
      <w:r w:rsidRPr="00A07F4E">
        <w:t>az ML/</w:t>
      </w:r>
      <w:proofErr w:type="spellStart"/>
      <w:r w:rsidRPr="00A07F4E">
        <w:t>TF</w:t>
      </w:r>
      <w:proofErr w:type="spellEnd"/>
      <w:r w:rsidRPr="00A07F4E">
        <w:t xml:space="preserve"> kockázatok ismeretét, beleértve a személyzet </w:t>
      </w:r>
      <w:proofErr w:type="spellStart"/>
      <w:r w:rsidRPr="00A07F4E">
        <w:t>AML</w:t>
      </w:r>
      <w:proofErr w:type="spellEnd"/>
      <w:r w:rsidRPr="00A07F4E">
        <w:t>/</w:t>
      </w:r>
      <w:proofErr w:type="spellStart"/>
      <w:r w:rsidRPr="00A07F4E">
        <w:t>CFT</w:t>
      </w:r>
      <w:proofErr w:type="spellEnd"/>
      <w:r w:rsidRPr="00A07F4E">
        <w:t xml:space="preserve"> képzésének elérhetőségét és hatékonyságát, az azonosítási és ellenőrzési politikák és eljárások hatékonyságát, valamint a folyamatos monitoring politikák és eljárások megfelelőségét, beleértve a tranzakciók monitoringját </w:t>
      </w:r>
      <w:r w:rsidR="00D34EB7" w:rsidRPr="00A07F4E">
        <w:t xml:space="preserve">pedig </w:t>
      </w:r>
      <w:r w:rsidRPr="00A07F4E">
        <w:t>nagyon jóna</w:t>
      </w:r>
      <w:r w:rsidR="00D34EB7" w:rsidRPr="00A07F4E">
        <w:t>k</w:t>
      </w:r>
      <w:r w:rsidRPr="00A07F4E">
        <w:t xml:space="preserve"> minősítette. A többi értékelési szempontot </w:t>
      </w:r>
      <w:r w:rsidR="00294DE2">
        <w:t xml:space="preserve">az MNB </w:t>
      </w:r>
      <w:r w:rsidRPr="00A07F4E">
        <w:t>jónak értékelte.</w:t>
      </w:r>
      <w:r w:rsidR="00D9509F" w:rsidRPr="00A07F4E">
        <w:rPr>
          <w:rStyle w:val="Lbjegyzet-hivatkozs"/>
        </w:rPr>
        <w:footnoteReference w:id="21"/>
      </w:r>
    </w:p>
    <w:p w14:paraId="5490E2BB" w14:textId="63D6F395" w:rsidR="00176C3D" w:rsidRPr="00A07F4E" w:rsidRDefault="00176C3D" w:rsidP="00D03B9B">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w:t>
      </w:r>
      <w:r w:rsidR="00294DE2">
        <w:t xml:space="preserve">külföldi </w:t>
      </w:r>
      <w:r w:rsidRPr="00A07F4E">
        <w:t xml:space="preserve">hatóságok többsége általában jónak minősítette az </w:t>
      </w:r>
      <w:r w:rsidR="003F59BB">
        <w:t>szektorban működő szolgáltatók által végzett</w:t>
      </w:r>
      <w:r w:rsidR="00A120C2">
        <w:t xml:space="preserve"> </w:t>
      </w:r>
      <w:r w:rsidRPr="00A07F4E">
        <w:t>ellenőrzések minőségét.</w:t>
      </w:r>
      <w:r w:rsidR="004E5DF9" w:rsidRPr="00A07F4E">
        <w:t xml:space="preserve"> Az illetékes </w:t>
      </w:r>
      <w:r w:rsidR="00294DE2">
        <w:t>külföldi</w:t>
      </w:r>
      <w:r w:rsidR="004E5DF9" w:rsidRPr="00A07F4E">
        <w:t xml:space="preserve"> hatóságok különösen a szektorban az </w:t>
      </w:r>
      <w:proofErr w:type="spellStart"/>
      <w:r w:rsidR="004E5DF9" w:rsidRPr="00A07F4E">
        <w:t>AML</w:t>
      </w:r>
      <w:proofErr w:type="spellEnd"/>
      <w:r w:rsidR="004E5DF9" w:rsidRPr="00A07F4E">
        <w:t>/</w:t>
      </w:r>
      <w:proofErr w:type="spellStart"/>
      <w:r w:rsidR="004E5DF9" w:rsidRPr="00A07F4E">
        <w:t>CFT</w:t>
      </w:r>
      <w:proofErr w:type="spellEnd"/>
      <w:r w:rsidR="00866E5E" w:rsidRPr="00A07F4E">
        <w:t xml:space="preserve"> </w:t>
      </w:r>
      <w:r w:rsidR="004E5DF9" w:rsidRPr="00A07F4E">
        <w:t xml:space="preserve">kötelezettségek teljesítése érdekében bevezetett politikák és eljárások megfelelőségét és hatékonyságát ítélték jónak. A </w:t>
      </w:r>
      <w:r w:rsidR="003F59BB">
        <w:t xml:space="preserve">külföldi </w:t>
      </w:r>
      <w:r w:rsidR="004E5DF9" w:rsidRPr="00A07F4E">
        <w:t>hats</w:t>
      </w:r>
      <w:r w:rsidR="003F59BB">
        <w:t>ósá</w:t>
      </w:r>
      <w:r w:rsidR="004E5DF9" w:rsidRPr="00A07F4E">
        <w:t>gok jelentős része továbbra is gyengének vagy nagyon gyengének</w:t>
      </w:r>
      <w:r w:rsidR="00BD5B76" w:rsidRPr="00A07F4E">
        <w:t xml:space="preserve"> </w:t>
      </w:r>
      <w:r w:rsidR="004E5DF9" w:rsidRPr="00A07F4E">
        <w:t xml:space="preserve">értékelte a következő kontrollokat: az egész </w:t>
      </w:r>
      <w:r w:rsidR="008C1A55">
        <w:t>szolgáltatóra</w:t>
      </w:r>
      <w:r w:rsidR="004E5DF9" w:rsidRPr="00A07F4E">
        <w:t xml:space="preserve"> kiterjedő kockázatértékelés minőség</w:t>
      </w:r>
      <w:r w:rsidR="00D34EB7" w:rsidRPr="00A07F4E">
        <w:t>ét</w:t>
      </w:r>
      <w:r w:rsidR="004E5DF9" w:rsidRPr="00A07F4E">
        <w:t xml:space="preserve">; a folyamatos </w:t>
      </w:r>
      <w:r w:rsidR="00BD5B76" w:rsidRPr="00A07F4E">
        <w:t>monitoring</w:t>
      </w:r>
      <w:r w:rsidR="004E5DF9" w:rsidRPr="00A07F4E">
        <w:t xml:space="preserve"> megfelelőség</w:t>
      </w:r>
      <w:r w:rsidR="00D34EB7" w:rsidRPr="00A07F4E">
        <w:t>ét</w:t>
      </w:r>
      <w:r w:rsidR="004E5DF9" w:rsidRPr="00A07F4E">
        <w:t xml:space="preserve"> és hatékonyság</w:t>
      </w:r>
      <w:r w:rsidR="00D34EB7" w:rsidRPr="00A07F4E">
        <w:t>át</w:t>
      </w:r>
      <w:r w:rsidR="004E5DF9" w:rsidRPr="00A07F4E">
        <w:t>; a</w:t>
      </w:r>
      <w:r w:rsidR="002C73BD">
        <w:t xml:space="preserve"> bejelentésekre</w:t>
      </w:r>
      <w:r w:rsidR="00BD5B76" w:rsidRPr="008A09BA">
        <w:t xml:space="preserve"> vonatkozó </w:t>
      </w:r>
      <w:r w:rsidR="004E5DF9" w:rsidRPr="008A09BA">
        <w:t>szabályok és eljárások megfelelőség</w:t>
      </w:r>
      <w:r w:rsidR="00D34EB7" w:rsidRPr="008A09BA">
        <w:t>ét</w:t>
      </w:r>
      <w:r w:rsidR="004E5DF9" w:rsidRPr="008A09BA">
        <w:t xml:space="preserve"> és a</w:t>
      </w:r>
      <w:r w:rsidR="00D9509F" w:rsidRPr="008A09BA">
        <w:t>z</w:t>
      </w:r>
      <w:r w:rsidR="004E5DF9" w:rsidRPr="008A09BA">
        <w:t xml:space="preserve"> </w:t>
      </w:r>
      <w:r w:rsidR="002C73BD">
        <w:t>be</w:t>
      </w:r>
      <w:r w:rsidR="004E5DF9" w:rsidRPr="008A09BA">
        <w:t>jelentések hatékonyság</w:t>
      </w:r>
      <w:r w:rsidR="00D34EB7" w:rsidRPr="008A09BA">
        <w:t>át</w:t>
      </w:r>
      <w:r w:rsidR="004E5DF9" w:rsidRPr="008A09BA">
        <w:t>; valamint a személyzet ML/</w:t>
      </w:r>
      <w:proofErr w:type="spellStart"/>
      <w:r w:rsidR="004E5DF9" w:rsidRPr="00A07F4E">
        <w:t>TF</w:t>
      </w:r>
      <w:proofErr w:type="spellEnd"/>
      <w:r w:rsidR="004E5DF9" w:rsidRPr="00A07F4E">
        <w:t xml:space="preserve"> kockázatokkal kapcsolatos tudatosság</w:t>
      </w:r>
      <w:r w:rsidR="00D34EB7" w:rsidRPr="00A07F4E">
        <w:t>át</w:t>
      </w:r>
      <w:r w:rsidR="004E5DF9" w:rsidRPr="00A07F4E">
        <w:t xml:space="preserve">, beleértve a személyzet </w:t>
      </w:r>
      <w:proofErr w:type="spellStart"/>
      <w:r w:rsidR="004E5DF9" w:rsidRPr="00A07F4E">
        <w:t>AML</w:t>
      </w:r>
      <w:proofErr w:type="spellEnd"/>
      <w:r w:rsidR="004E5DF9" w:rsidRPr="00A07F4E">
        <w:t>/</w:t>
      </w:r>
      <w:proofErr w:type="spellStart"/>
      <w:r w:rsidR="004E5DF9" w:rsidRPr="00A07F4E">
        <w:t>CFT</w:t>
      </w:r>
      <w:proofErr w:type="spellEnd"/>
      <w:r w:rsidR="00BD5B76" w:rsidRPr="00A07F4E">
        <w:t xml:space="preserve"> </w:t>
      </w:r>
      <w:r w:rsidR="004E5DF9" w:rsidRPr="00A07F4E">
        <w:t>képzésének elérhetőségét és hatékonyságát.</w:t>
      </w:r>
    </w:p>
    <w:p w14:paraId="57D4486C" w14:textId="21588CE8" w:rsidR="00C012F3" w:rsidRPr="00A07F4E" w:rsidRDefault="00C012F3" w:rsidP="00D03B9B">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kiemelte, hogy számos hatóság </w:t>
      </w:r>
      <w:r w:rsidR="00D34EB7" w:rsidRPr="00A07F4E">
        <w:t xml:space="preserve">– </w:t>
      </w:r>
      <w:r w:rsidR="00D34EB7" w:rsidRPr="00A120C2">
        <w:t>a</w:t>
      </w:r>
      <w:r w:rsidR="003F59BB" w:rsidRPr="00A120C2">
        <w:t>z MNB</w:t>
      </w:r>
      <w:r w:rsidR="00D34EB7" w:rsidRPr="00A120C2">
        <w:t>-hez</w:t>
      </w:r>
      <w:r w:rsidR="00D34EB7" w:rsidRPr="00A07F4E">
        <w:t xml:space="preserve"> hasonlón – </w:t>
      </w:r>
      <w:r w:rsidRPr="00A07F4E">
        <w:t>jelezte azt is, hogy véleményük szerint a szektorban a</w:t>
      </w:r>
      <w:r w:rsidR="003F59BB">
        <w:t xml:space="preserve">z ügyfél-átvilágítási intézkedések </w:t>
      </w:r>
      <w:r w:rsidRPr="00A07F4E">
        <w:t xml:space="preserve">tekintetében </w:t>
      </w:r>
      <w:r w:rsidR="008C1A55">
        <w:t>a szolgáltatók</w:t>
      </w:r>
      <w:r w:rsidRPr="00A07F4E">
        <w:t xml:space="preserve"> szabályalapú, nem pedig kockázatalapú megközelítést alkalmaznak, amely azt eredményezheti, hogy a szektorban működő </w:t>
      </w:r>
      <w:r w:rsidR="008C1A55">
        <w:t>szolgáltatók</w:t>
      </w:r>
      <w:r w:rsidR="008C1A55" w:rsidRPr="00A07F4E">
        <w:t xml:space="preserve"> </w:t>
      </w:r>
      <w:r w:rsidRPr="00A07F4E">
        <w:t xml:space="preserve">helytelenül osztják el az </w:t>
      </w:r>
      <w:proofErr w:type="spellStart"/>
      <w:r w:rsidRPr="00A07F4E">
        <w:t>AML</w:t>
      </w:r>
      <w:proofErr w:type="spellEnd"/>
      <w:r w:rsidRPr="00A07F4E">
        <w:t>/</w:t>
      </w:r>
      <w:proofErr w:type="spellStart"/>
      <w:r w:rsidRPr="00A07F4E">
        <w:t>CFT</w:t>
      </w:r>
      <w:proofErr w:type="spellEnd"/>
      <w:r w:rsidRPr="00A07F4E">
        <w:t xml:space="preserve"> erőforrásokat.</w:t>
      </w:r>
    </w:p>
    <w:p w14:paraId="05EB37D2" w14:textId="77777777" w:rsidR="00253270" w:rsidRPr="00A07F4E" w:rsidRDefault="00253270" w:rsidP="00A07F4E">
      <w:pPr>
        <w:pStyle w:val="Cmsor3"/>
        <w:numPr>
          <w:ilvl w:val="0"/>
          <w:numId w:val="121"/>
        </w:numPr>
      </w:pPr>
      <w:bookmarkStart w:id="136" w:name="_Toc109906047"/>
      <w:r w:rsidRPr="00A07F4E">
        <w:t>Felügyeleti tevékenység</w:t>
      </w:r>
      <w:bookmarkEnd w:id="136"/>
    </w:p>
    <w:p w14:paraId="463DB32C" w14:textId="059DA654" w:rsidR="00744D37" w:rsidRPr="00A07F4E" w:rsidRDefault="00253270" w:rsidP="00744D37">
      <w:r w:rsidRPr="00A07F4E">
        <w:t>A</w:t>
      </w:r>
      <w:r w:rsidR="003F59BB">
        <w:t>z MNB</w:t>
      </w:r>
      <w:r w:rsidR="004813F4">
        <w:t xml:space="preserve"> </w:t>
      </w:r>
      <w:r w:rsidRPr="00A07F4E">
        <w:t xml:space="preserve">a szektor Mérsékelten jelentős inherens kockázati besorolására tekintettel kisebb hangsúlyt fektetett jelen szektor </w:t>
      </w:r>
      <w:proofErr w:type="spellStart"/>
      <w:r w:rsidR="00E13078" w:rsidRPr="00A07F4E">
        <w:t>on</w:t>
      </w:r>
      <w:proofErr w:type="spellEnd"/>
      <w:r w:rsidR="00E13078" w:rsidRPr="00A07F4E">
        <w:t xml:space="preserve">-site jellegű </w:t>
      </w:r>
      <w:r w:rsidRPr="00A07F4E">
        <w:t xml:space="preserve">ellenőrzésére. </w:t>
      </w:r>
      <w:r w:rsidR="00744D37" w:rsidRPr="00A07F4E">
        <w:t xml:space="preserve">A szektor </w:t>
      </w:r>
      <w:proofErr w:type="spellStart"/>
      <w:r w:rsidR="00744D37" w:rsidRPr="00A07F4E">
        <w:t>off</w:t>
      </w:r>
      <w:proofErr w:type="spellEnd"/>
      <w:r w:rsidR="00744D37" w:rsidRPr="00A07F4E">
        <w:t>-site felügyelete az éves és negyedéves adatszolgáltatások felhasználásával elsődlegesen folyamatos felügyelés keretében történik.</w:t>
      </w:r>
    </w:p>
    <w:p w14:paraId="5FA755F3" w14:textId="268BC13A" w:rsidR="004B65D4" w:rsidRPr="00A07F4E" w:rsidRDefault="00253270" w:rsidP="00B0371B">
      <w:r w:rsidRPr="00A07F4E">
        <w:t xml:space="preserve"> Az </w:t>
      </w:r>
      <w:proofErr w:type="spellStart"/>
      <w:r w:rsidRPr="00A07F4E">
        <w:t>EBA</w:t>
      </w:r>
      <w:proofErr w:type="spellEnd"/>
      <w:r w:rsidRPr="00A07F4E">
        <w:t xml:space="preserve"> </w:t>
      </w:r>
      <w:proofErr w:type="spellStart"/>
      <w:r w:rsidRPr="00A07F4E">
        <w:t>Opinion</w:t>
      </w:r>
      <w:proofErr w:type="spellEnd"/>
      <w:r w:rsidRPr="00A07F4E">
        <w:t xml:space="preserve"> alapján</w:t>
      </w:r>
      <w:r w:rsidR="00AF4D1C" w:rsidRPr="00A07F4E">
        <w:t xml:space="preserve">, az illetékes </w:t>
      </w:r>
      <w:r w:rsidR="00744D37">
        <w:t xml:space="preserve">külföldi </w:t>
      </w:r>
      <w:r w:rsidR="00AF4D1C" w:rsidRPr="00A07F4E">
        <w:t>hatóságok által</w:t>
      </w:r>
      <w:r w:rsidRPr="00A07F4E">
        <w:t xml:space="preserve"> </w:t>
      </w:r>
      <w:r w:rsidR="00AF4D1C" w:rsidRPr="00A07F4E">
        <w:t>a többi szektorhoz képest viszonylag kevés felügyeleti tevékenység folyt</w:t>
      </w:r>
      <w:r w:rsidR="00866E5E" w:rsidRPr="00A07F4E">
        <w:t xml:space="preserve"> </w:t>
      </w:r>
      <w:r w:rsidR="00AF4D1C" w:rsidRPr="00A07F4E">
        <w:t xml:space="preserve">a szektorban. Az ellenőrzések többsége ütemezett </w:t>
      </w:r>
      <w:proofErr w:type="spellStart"/>
      <w:r w:rsidR="00AF4D1C" w:rsidRPr="00A07F4E">
        <w:t>on</w:t>
      </w:r>
      <w:proofErr w:type="spellEnd"/>
      <w:r w:rsidR="00AF4D1C" w:rsidRPr="00A07F4E">
        <w:t xml:space="preserve">-site ellenőrzés volt. </w:t>
      </w:r>
      <w:r w:rsidR="001C5BDD" w:rsidRPr="00A07F4E">
        <w:t>A</w:t>
      </w:r>
      <w:r w:rsidR="00744D37">
        <w:t xml:space="preserve">z </w:t>
      </w:r>
      <w:proofErr w:type="spellStart"/>
      <w:r w:rsidR="00744D37">
        <w:t>EBA</w:t>
      </w:r>
      <w:proofErr w:type="spellEnd"/>
      <w:r w:rsidR="00744D37">
        <w:t xml:space="preserve"> </w:t>
      </w:r>
      <w:proofErr w:type="spellStart"/>
      <w:r w:rsidR="00744D37">
        <w:t>Opinion</w:t>
      </w:r>
      <w:proofErr w:type="spellEnd"/>
      <w:r w:rsidR="00744D37">
        <w:t xml:space="preserve"> alapján a külföldi hatóságok által folytatott felügyeleti</w:t>
      </w:r>
      <w:r w:rsidR="001C5BDD" w:rsidRPr="00A07F4E">
        <w:t xml:space="preserve"> tevékenység leggyakoribb </w:t>
      </w:r>
      <w:proofErr w:type="spellStart"/>
      <w:r w:rsidR="00F93CA0" w:rsidRPr="00A07F4E">
        <w:t>off</w:t>
      </w:r>
      <w:proofErr w:type="spellEnd"/>
      <w:r w:rsidR="00F93CA0" w:rsidRPr="00A07F4E">
        <w:t>-site típusú vizsgálata a</w:t>
      </w:r>
      <w:r w:rsidR="001C5BDD" w:rsidRPr="00A07F4E">
        <w:t xml:space="preserve">z </w:t>
      </w:r>
      <w:proofErr w:type="spellStart"/>
      <w:r w:rsidR="001C5BDD" w:rsidRPr="00A07F4E">
        <w:t>AML</w:t>
      </w:r>
      <w:proofErr w:type="spellEnd"/>
      <w:r w:rsidR="001C5BDD" w:rsidRPr="00A07F4E">
        <w:t>/</w:t>
      </w:r>
      <w:proofErr w:type="spellStart"/>
      <w:r w:rsidR="001C5BDD" w:rsidRPr="00A07F4E">
        <w:t>CFT</w:t>
      </w:r>
      <w:proofErr w:type="spellEnd"/>
      <w:r w:rsidR="001C5BDD" w:rsidRPr="00A07F4E">
        <w:t xml:space="preserve"> jelentések útján valósult meg. </w:t>
      </w:r>
    </w:p>
    <w:p w14:paraId="31993B39" w14:textId="77777777" w:rsidR="00692C6A" w:rsidRPr="00A07F4E" w:rsidRDefault="00692C6A" w:rsidP="00A07F4E">
      <w:pPr>
        <w:pStyle w:val="Cmsor3"/>
        <w:numPr>
          <w:ilvl w:val="0"/>
          <w:numId w:val="121"/>
        </w:numPr>
      </w:pPr>
      <w:bookmarkStart w:id="137" w:name="_Toc109906048"/>
      <w:r w:rsidRPr="00A07F4E">
        <w:t>Azonosított jogsértések</w:t>
      </w:r>
      <w:bookmarkEnd w:id="137"/>
    </w:p>
    <w:p w14:paraId="5E81BB6B" w14:textId="0FA601A5" w:rsidR="00692C6A" w:rsidRPr="00A07F4E" w:rsidRDefault="00692C6A" w:rsidP="00692C6A">
      <w:r w:rsidRPr="00A120C2">
        <w:t>A</w:t>
      </w:r>
      <w:r w:rsidR="00744D37" w:rsidRPr="00A120C2">
        <w:t>z MNB</w:t>
      </w:r>
      <w:r w:rsidRPr="00A07F4E">
        <w:t xml:space="preserve"> </w:t>
      </w:r>
      <w:r w:rsidR="008C1A55">
        <w:t>a szolgáltatók</w:t>
      </w:r>
      <w:r w:rsidR="00EA4616" w:rsidRPr="00A07F4E">
        <w:t xml:space="preserve"> felügyelete során</w:t>
      </w:r>
      <w:r w:rsidRPr="00A07F4E">
        <w:t xml:space="preserve"> </w:t>
      </w:r>
      <w:r w:rsidR="008C1A55">
        <w:t>a szolgáltatóra</w:t>
      </w:r>
      <w:r w:rsidR="00EA4616" w:rsidRPr="00A07F4E">
        <w:t xml:space="preserve"> kiterjedő kockázatértékeléssel, a folyamatos </w:t>
      </w:r>
      <w:proofErr w:type="spellStart"/>
      <w:r w:rsidR="00EA4616" w:rsidRPr="00A07F4E">
        <w:t>monitoringgal</w:t>
      </w:r>
      <w:proofErr w:type="spellEnd"/>
      <w:r w:rsidR="00EA4616" w:rsidRPr="00A07F4E">
        <w:t xml:space="preserve"> és</w:t>
      </w:r>
      <w:r w:rsidRPr="00A07F4E">
        <w:t xml:space="preserve"> az oktatással</w:t>
      </w:r>
      <w:r w:rsidR="00EA4616" w:rsidRPr="00A07F4E">
        <w:t xml:space="preserve">, </w:t>
      </w:r>
      <w:r w:rsidRPr="00A07F4E">
        <w:t xml:space="preserve">tudatossággal kapcsolatban azonosított jogsértéseket. </w:t>
      </w:r>
      <w:r w:rsidRPr="00A120C2">
        <w:t>A</w:t>
      </w:r>
      <w:r w:rsidR="00744D37" w:rsidRPr="00A120C2">
        <w:t>z MNB</w:t>
      </w:r>
      <w:r w:rsidRPr="00A07F4E">
        <w:t xml:space="preserve"> által alkalmazott intézkedések a szektorhoz tartozó </w:t>
      </w:r>
      <w:r w:rsidR="008C1A55">
        <w:t>szolgáltatók</w:t>
      </w:r>
      <w:r w:rsidR="008C1A55" w:rsidRPr="00A07F4E">
        <w:t xml:space="preserve"> </w:t>
      </w:r>
      <w:r w:rsidRPr="00A07F4E">
        <w:t xml:space="preserve">esetében jellemzően a megfelelési, meghatározott intézkedések végrehajtására vonatkozó utasítások, valamint helyreállítási terv bevezetésére vonatkozó kötelezés voltak. </w:t>
      </w:r>
    </w:p>
    <w:p w14:paraId="31FFDD2D" w14:textId="77777777" w:rsidR="00692C6A" w:rsidRPr="00A07F4E" w:rsidRDefault="00692C6A" w:rsidP="00692C6A">
      <w:r w:rsidRPr="00A07F4E">
        <w:t xml:space="preserve">Az illetékes hatóságok – az </w:t>
      </w:r>
      <w:proofErr w:type="spellStart"/>
      <w:r w:rsidRPr="00A07F4E">
        <w:t>EBA</w:t>
      </w:r>
      <w:proofErr w:type="spellEnd"/>
      <w:r w:rsidRPr="00A07F4E">
        <w:t xml:space="preserve"> </w:t>
      </w:r>
      <w:proofErr w:type="spellStart"/>
      <w:r w:rsidRPr="00A07F4E">
        <w:t>Opinion</w:t>
      </w:r>
      <w:proofErr w:type="spellEnd"/>
      <w:r w:rsidRPr="00A07F4E">
        <w:t xml:space="preserve"> alapján – </w:t>
      </w:r>
      <w:r w:rsidR="00EA4616" w:rsidRPr="00A07F4E">
        <w:t>az azon</w:t>
      </w:r>
      <w:r w:rsidR="0047238B" w:rsidRPr="00A07F4E">
        <w:t>o</w:t>
      </w:r>
      <w:r w:rsidR="00EA4616" w:rsidRPr="00A07F4E">
        <w:t>sított</w:t>
      </w:r>
      <w:r w:rsidRPr="00A07F4E">
        <w:t xml:space="preserve"> leggyakoribb jogsértések</w:t>
      </w:r>
      <w:r w:rsidR="00EA4616" w:rsidRPr="00A07F4E">
        <w:t xml:space="preserve"> a belső ellenőrzésekkel és az általános </w:t>
      </w:r>
      <w:proofErr w:type="spellStart"/>
      <w:r w:rsidR="00EA4616" w:rsidRPr="00A07F4E">
        <w:t>AML</w:t>
      </w:r>
      <w:proofErr w:type="spellEnd"/>
      <w:r w:rsidR="00EA4616" w:rsidRPr="00A07F4E">
        <w:t>/</w:t>
      </w:r>
      <w:proofErr w:type="spellStart"/>
      <w:r w:rsidR="00EA4616" w:rsidRPr="00A07F4E">
        <w:t>CFT</w:t>
      </w:r>
      <w:proofErr w:type="spellEnd"/>
      <w:r w:rsidR="00EA4616" w:rsidRPr="00A07F4E">
        <w:t xml:space="preserve"> szabályokkal és eljárásokkal, a folyamatos </w:t>
      </w:r>
      <w:proofErr w:type="spellStart"/>
      <w:r w:rsidR="00EA4616" w:rsidRPr="00A07F4E">
        <w:t>monitoringgal</w:t>
      </w:r>
      <w:proofErr w:type="spellEnd"/>
      <w:r w:rsidR="00EA4616" w:rsidRPr="00A07F4E">
        <w:t xml:space="preserve">, valamint </w:t>
      </w:r>
      <w:r w:rsidRPr="00A07F4E">
        <w:t xml:space="preserve">az ügyfelek azonosításával és </w:t>
      </w:r>
      <w:r w:rsidR="0047238B" w:rsidRPr="00A07F4E">
        <w:t>személyazonosság</w:t>
      </w:r>
      <w:r w:rsidR="00375B98" w:rsidRPr="00A07F4E">
        <w:t>u</w:t>
      </w:r>
      <w:r w:rsidR="0047238B" w:rsidRPr="00A07F4E">
        <w:t xml:space="preserve">k ellenőrzésével </w:t>
      </w:r>
      <w:r w:rsidRPr="00A07F4E">
        <w:t>voltak</w:t>
      </w:r>
      <w:r w:rsidR="00EA4616" w:rsidRPr="00A07F4E">
        <w:t xml:space="preserve"> kapcsolatosak</w:t>
      </w:r>
      <w:r w:rsidRPr="00A07F4E">
        <w:t>.</w:t>
      </w:r>
    </w:p>
    <w:p w14:paraId="3FD4D101" w14:textId="18376B88" w:rsidR="00692C6A" w:rsidRDefault="00692C6A" w:rsidP="00692C6A">
      <w:r w:rsidRPr="00A07F4E">
        <w:t xml:space="preserve">Az illetékes hatóság a megállapított jogsértéseket leggyakrabban – </w:t>
      </w:r>
      <w:r w:rsidR="00744D37">
        <w:t>az MNB-hez</w:t>
      </w:r>
      <w:r w:rsidRPr="00A120C2">
        <w:t xml:space="preserve"> </w:t>
      </w:r>
      <w:r w:rsidRPr="00A07F4E">
        <w:t xml:space="preserve">hasonlóan – megfelelési utasításokkal, konkrét intézkedések végrehajtására vonatkozó utasításokkal vagy helyreállítási terv bevezetésére vonatkozó utasításokkal követték nyomon. </w:t>
      </w:r>
    </w:p>
    <w:p w14:paraId="21250A36" w14:textId="77777777" w:rsidR="00C63813" w:rsidRPr="00A07F4E" w:rsidRDefault="00C63813" w:rsidP="00692C6A"/>
    <w:p w14:paraId="6262DC0B" w14:textId="77777777" w:rsidR="00641FEA" w:rsidRPr="00A07F4E" w:rsidRDefault="00641FEA" w:rsidP="00A07F4E">
      <w:pPr>
        <w:pStyle w:val="Cmsor3"/>
        <w:numPr>
          <w:ilvl w:val="0"/>
          <w:numId w:val="121"/>
        </w:numPr>
      </w:pPr>
      <w:bookmarkStart w:id="138" w:name="_Toc109906049"/>
      <w:r w:rsidRPr="00A07F4E">
        <w:lastRenderedPageBreak/>
        <w:t>Maradványkockázat</w:t>
      </w:r>
      <w:bookmarkEnd w:id="138"/>
    </w:p>
    <w:p w14:paraId="05A0732F" w14:textId="5EFF84C7" w:rsidR="00641FEA" w:rsidRPr="00A07F4E" w:rsidRDefault="00641FEA" w:rsidP="00641FEA">
      <w:r w:rsidRPr="00A07F4E">
        <w:t xml:space="preserve">A </w:t>
      </w:r>
      <w:r w:rsidR="00744D37">
        <w:t>MNB</w:t>
      </w:r>
      <w:r w:rsidR="00744D37" w:rsidRPr="00A07F4E">
        <w:t xml:space="preserve"> </w:t>
      </w:r>
      <w:r w:rsidRPr="00A07F4E">
        <w:t xml:space="preserve">a maradványkockázatot Mérsékelten jelentősnek értékeli. Az inherens kockázati besorolás megegyezik a maradványkockázattal, amely arra a következtetésre vezet, hogy a meglévő ellenőrzések potenciálisan nem </w:t>
      </w:r>
      <w:r w:rsidR="00E13078" w:rsidRPr="00A07F4E">
        <w:t xml:space="preserve">indokoltak </w:t>
      </w:r>
      <w:r w:rsidR="00071467" w:rsidRPr="00A07F4E">
        <w:t>a szektorban fennálló</w:t>
      </w:r>
      <w:r w:rsidRPr="00A07F4E">
        <w:t xml:space="preserve"> kockázat</w:t>
      </w:r>
      <w:r w:rsidR="00071467" w:rsidRPr="00A07F4E">
        <w:t>ok</w:t>
      </w:r>
      <w:r w:rsidRPr="00A07F4E">
        <w:t xml:space="preserve"> mérséklés</w:t>
      </w:r>
      <w:r w:rsidR="00E13078" w:rsidRPr="00A07F4E">
        <w:t>ét</w:t>
      </w:r>
      <w:r w:rsidR="00A120C2">
        <w:t>.</w:t>
      </w:r>
    </w:p>
    <w:tbl>
      <w:tblPr>
        <w:tblW w:w="4040" w:type="dxa"/>
        <w:jc w:val="center"/>
        <w:tblCellMar>
          <w:left w:w="70" w:type="dxa"/>
          <w:right w:w="70" w:type="dxa"/>
        </w:tblCellMar>
        <w:tblLook w:val="04A0" w:firstRow="1" w:lastRow="0" w:firstColumn="1" w:lastColumn="0" w:noHBand="0" w:noVBand="1"/>
      </w:tblPr>
      <w:tblGrid>
        <w:gridCol w:w="2140"/>
        <w:gridCol w:w="1900"/>
      </w:tblGrid>
      <w:tr w:rsidR="00F6598F" w:rsidRPr="00A07F4E" w14:paraId="73273AB9" w14:textId="77777777" w:rsidTr="00F6598F">
        <w:trPr>
          <w:trHeight w:val="300"/>
          <w:jc w:val="center"/>
        </w:trPr>
        <w:tc>
          <w:tcPr>
            <w:tcW w:w="2140" w:type="dxa"/>
            <w:tcBorders>
              <w:top w:val="nil"/>
              <w:left w:val="nil"/>
              <w:bottom w:val="nil"/>
              <w:right w:val="nil"/>
            </w:tcBorders>
            <w:shd w:val="clear" w:color="auto" w:fill="auto"/>
            <w:noWrap/>
            <w:vAlign w:val="center"/>
            <w:hideMark/>
          </w:tcPr>
          <w:p w14:paraId="776F75BD" w14:textId="77777777" w:rsidR="00F6598F" w:rsidRPr="00A07F4E" w:rsidRDefault="00F6598F" w:rsidP="00F6598F">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A04BF30" w14:textId="77777777" w:rsidR="00F6598F" w:rsidRPr="00A07F4E" w:rsidRDefault="00F6598F" w:rsidP="00F6598F">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28F0F8FF" w14:textId="3A2D1E9D" w:rsidR="00692C6A" w:rsidRPr="00A07F4E" w:rsidRDefault="00A6597D" w:rsidP="0021357A">
      <w:pPr>
        <w:pStyle w:val="Cmsor2"/>
      </w:pPr>
      <w:bookmarkStart w:id="139" w:name="_Toc109906050"/>
      <w:r>
        <w:t>Egyéb p</w:t>
      </w:r>
      <w:r w:rsidR="00D503F2" w:rsidRPr="00A07F4E">
        <w:t>énzügyi szolgáltatók</w:t>
      </w:r>
      <w:r w:rsidR="005A0DC6">
        <w:rPr>
          <w:rStyle w:val="Lbjegyzet-hivatkozs"/>
        </w:rPr>
        <w:footnoteReference w:id="22"/>
      </w:r>
      <w:bookmarkEnd w:id="139"/>
      <w:r w:rsidR="00D503F2" w:rsidRPr="00A07F4E">
        <w:t xml:space="preserve"> </w:t>
      </w:r>
    </w:p>
    <w:p w14:paraId="3F8D0F3A" w14:textId="77777777" w:rsidR="004C1D7E" w:rsidRPr="00A07F4E" w:rsidRDefault="004C1D7E" w:rsidP="00A07F4E">
      <w:pPr>
        <w:pStyle w:val="Cmsor3"/>
        <w:numPr>
          <w:ilvl w:val="0"/>
          <w:numId w:val="128"/>
        </w:numPr>
      </w:pPr>
      <w:bookmarkStart w:id="140" w:name="_Toc109906051"/>
      <w:r w:rsidRPr="00A07F4E">
        <w:t>A szektor méretére, tevékenységi körére és összetettségére vonatkozó információk összesített formában</w:t>
      </w:r>
      <w:bookmarkEnd w:id="140"/>
    </w:p>
    <w:p w14:paraId="218DED94" w14:textId="41B27386" w:rsidR="004C1D7E" w:rsidRDefault="004C1D7E" w:rsidP="00481FA9">
      <w:r w:rsidRPr="00A07F4E">
        <w:t xml:space="preserve">Magyarországon azon pénzügyi </w:t>
      </w:r>
      <w:r w:rsidR="00144800">
        <w:t>vállalkozások</w:t>
      </w:r>
      <w:r w:rsidRPr="00A07F4E">
        <w:t xml:space="preserve"> száma, akik nem hitelintézeti szektorba tartoznak</w:t>
      </w:r>
      <w:r w:rsidR="005761C6">
        <w:t xml:space="preserve"> </w:t>
      </w:r>
      <w:r w:rsidR="005761C6" w:rsidRPr="00FC37B3">
        <w:t>2</w:t>
      </w:r>
      <w:r w:rsidR="00BC516C">
        <w:t>4</w:t>
      </w:r>
      <w:r w:rsidR="005761C6" w:rsidRPr="00FC37B3">
        <w:t>0 és 2</w:t>
      </w:r>
      <w:r w:rsidR="00BC516C">
        <w:t>6</w:t>
      </w:r>
      <w:r w:rsidR="005761C6" w:rsidRPr="00FC37B3">
        <w:t>0 közöttire tehető</w:t>
      </w:r>
      <w:r w:rsidRPr="0040029B">
        <w:t>.</w:t>
      </w:r>
      <w:r w:rsidRPr="00A07F4E">
        <w:t xml:space="preserve"> A</w:t>
      </w:r>
      <w:r w:rsidR="008C1A55">
        <w:t xml:space="preserve"> szolgáltatók</w:t>
      </w:r>
      <w:r w:rsidRPr="00A07F4E">
        <w:t xml:space="preserve"> </w:t>
      </w:r>
      <w:r w:rsidR="0059668D" w:rsidRPr="00A07F4E">
        <w:t xml:space="preserve">jellemzően kölcsön- és hitelügyletekkel kapcsolatos </w:t>
      </w:r>
      <w:r w:rsidRPr="00A07F4E">
        <w:t xml:space="preserve">tevékenységet látnak el. </w:t>
      </w:r>
      <w:r w:rsidR="00B144C8" w:rsidRPr="00B144C8">
        <w:t xml:space="preserve">A </w:t>
      </w:r>
      <w:r w:rsidR="00587923">
        <w:t>s</w:t>
      </w:r>
      <w:r w:rsidR="00B144C8" w:rsidRPr="00B144C8">
        <w:t>zektor döntően vállalati ügyfeleket (egyéni vállalkozók, nem pénzügyi vállalatok és egyéb) finanszíroz, a 2021. június 30. napi adatok alapján a bruttó követelésállomány a 77%-át teszik ki a vállalati követelések.</w:t>
      </w:r>
    </w:p>
    <w:p w14:paraId="5CE00182" w14:textId="77777777" w:rsidR="004C1D7E" w:rsidRPr="00A07F4E" w:rsidRDefault="004C1D7E" w:rsidP="00A07F4E">
      <w:pPr>
        <w:pStyle w:val="Cmsor3"/>
        <w:numPr>
          <w:ilvl w:val="0"/>
          <w:numId w:val="128"/>
        </w:numPr>
      </w:pPr>
      <w:bookmarkStart w:id="141" w:name="_Toc109906052"/>
      <w:r w:rsidRPr="00A07F4E">
        <w:t>Inherens kockázatértékelés</w:t>
      </w:r>
      <w:bookmarkEnd w:id="141"/>
    </w:p>
    <w:p w14:paraId="18A6C1A7" w14:textId="77777777" w:rsidR="00481FA9" w:rsidRPr="00A07F4E" w:rsidRDefault="00481FA9" w:rsidP="00A07F4E">
      <w:pPr>
        <w:pStyle w:val="Listaszerbekezds"/>
        <w:numPr>
          <w:ilvl w:val="1"/>
          <w:numId w:val="17"/>
        </w:numPr>
        <w:ind w:left="851" w:hanging="284"/>
      </w:pPr>
      <w:r w:rsidRPr="00A07F4E">
        <w:t>A pénzügyi szolgáltatók szektorában rejlő ML/</w:t>
      </w:r>
      <w:proofErr w:type="spellStart"/>
      <w:r w:rsidRPr="00A07F4E">
        <w:t>TF</w:t>
      </w:r>
      <w:proofErr w:type="spellEnd"/>
      <w:r w:rsidRPr="00A07F4E">
        <w:t xml:space="preserve"> kockázati tényezők</w:t>
      </w:r>
    </w:p>
    <w:p w14:paraId="505FECF2" w14:textId="5345A93B" w:rsidR="004C1D7E" w:rsidRDefault="00604F08" w:rsidP="004C1D7E">
      <w:r w:rsidRPr="0021357A">
        <w:t xml:space="preserve">Az MNB </w:t>
      </w:r>
      <w:r w:rsidR="004C1D7E" w:rsidRPr="00A120C2">
        <w:t>a termékekben/szolgáltatásokban</w:t>
      </w:r>
      <w:r w:rsidR="00E97DF7" w:rsidRPr="00A120C2">
        <w:t xml:space="preserve">, </w:t>
      </w:r>
      <w:r w:rsidR="004C1D7E" w:rsidRPr="00A120C2">
        <w:t>az ügyfelek</w:t>
      </w:r>
      <w:r w:rsidR="00E97DF7" w:rsidRPr="00A120C2">
        <w:t>be</w:t>
      </w:r>
      <w:r w:rsidR="005B3865" w:rsidRPr="00A120C2">
        <w:t>n</w:t>
      </w:r>
      <w:r w:rsidR="00E97DF7" w:rsidRPr="00A120C2">
        <w:t xml:space="preserve">, </w:t>
      </w:r>
      <w:r w:rsidR="004C1D7E" w:rsidRPr="00A120C2">
        <w:t xml:space="preserve">a földrajzi </w:t>
      </w:r>
      <w:r w:rsidR="00F63AB6" w:rsidRPr="00A120C2">
        <w:t>kitettségben</w:t>
      </w:r>
      <w:r w:rsidR="00E97DF7" w:rsidRPr="00A120C2">
        <w:t xml:space="preserve"> </w:t>
      </w:r>
      <w:r w:rsidR="004C1D7E" w:rsidRPr="00A120C2">
        <w:t>és az értékesítési csatornák</w:t>
      </w:r>
      <w:r w:rsidR="00E97DF7" w:rsidRPr="00A120C2">
        <w:t xml:space="preserve">ban rejlő kockázatokat </w:t>
      </w:r>
      <w:r w:rsidR="009F6E2C" w:rsidRPr="00A120C2">
        <w:t xml:space="preserve">egyaránt </w:t>
      </w:r>
      <w:r w:rsidR="00E97DF7" w:rsidRPr="00A120C2">
        <w:t>Mérsékelten</w:t>
      </w:r>
      <w:r w:rsidR="004C1D7E" w:rsidRPr="00A120C2">
        <w:t xml:space="preserve"> jelentősnek értékelte.</w:t>
      </w:r>
      <w:r w:rsidR="004C1D7E" w:rsidRPr="00A07F4E">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D41517" w:rsidRPr="003168BA" w14:paraId="1F2722E2" w14:textId="77777777" w:rsidTr="0021357A">
        <w:trPr>
          <w:trHeight w:val="314"/>
        </w:trPr>
        <w:tc>
          <w:tcPr>
            <w:tcW w:w="3061" w:type="dxa"/>
          </w:tcPr>
          <w:p w14:paraId="4E6B72AA" w14:textId="77777777" w:rsidR="00D41517" w:rsidRPr="00554E41" w:rsidRDefault="00D4151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0B1AD341" w14:textId="77777777" w:rsidR="00D41517" w:rsidRPr="00554E41" w:rsidRDefault="00D4151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D41517" w:rsidRPr="003168BA" w14:paraId="46A4C93F" w14:textId="77777777" w:rsidTr="0021357A">
        <w:tc>
          <w:tcPr>
            <w:tcW w:w="3061" w:type="dxa"/>
            <w:shd w:val="clear" w:color="auto" w:fill="auto"/>
          </w:tcPr>
          <w:p w14:paraId="3B71E968" w14:textId="77777777" w:rsidR="00D41517" w:rsidRPr="00554E41" w:rsidRDefault="00D4151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FFFF00"/>
          </w:tcPr>
          <w:p w14:paraId="1C140231" w14:textId="7D3DD609" w:rsidR="00D41517" w:rsidRPr="00554E41" w:rsidRDefault="00064A50"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w:t>
            </w:r>
            <w:r w:rsidR="008E6CE9">
              <w:rPr>
                <w:rFonts w:eastAsia="Times New Roman" w:cs="Times New Roman"/>
                <w:color w:val="000000"/>
                <w:sz w:val="18"/>
                <w:szCs w:val="18"/>
              </w:rPr>
              <w:t xml:space="preserve"> jelentős</w:t>
            </w:r>
          </w:p>
        </w:tc>
      </w:tr>
      <w:tr w:rsidR="00D41517" w14:paraId="0DD628BD" w14:textId="77777777" w:rsidTr="0021357A">
        <w:tc>
          <w:tcPr>
            <w:tcW w:w="3061" w:type="dxa"/>
            <w:shd w:val="clear" w:color="auto" w:fill="auto"/>
          </w:tcPr>
          <w:p w14:paraId="3AC95F9C" w14:textId="77777777" w:rsidR="00D41517" w:rsidRPr="00554E41" w:rsidRDefault="00D4151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FFFF00"/>
          </w:tcPr>
          <w:p w14:paraId="5A65C8D3" w14:textId="47B3A3DA" w:rsidR="00D41517" w:rsidRPr="00554E41" w:rsidRDefault="00064A50"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 xml:space="preserve">Mérsékelten </w:t>
            </w:r>
            <w:r w:rsidR="008E6CE9">
              <w:rPr>
                <w:rFonts w:eastAsia="Times New Roman" w:cs="Times New Roman"/>
                <w:color w:val="000000"/>
                <w:sz w:val="18"/>
                <w:szCs w:val="18"/>
              </w:rPr>
              <w:t>jelentős</w:t>
            </w:r>
          </w:p>
        </w:tc>
      </w:tr>
      <w:tr w:rsidR="00D41517" w14:paraId="7F62C470" w14:textId="77777777" w:rsidTr="0021357A">
        <w:trPr>
          <w:trHeight w:val="50"/>
        </w:trPr>
        <w:tc>
          <w:tcPr>
            <w:tcW w:w="3061" w:type="dxa"/>
            <w:shd w:val="clear" w:color="auto" w:fill="auto"/>
          </w:tcPr>
          <w:p w14:paraId="6BE58538" w14:textId="77777777" w:rsidR="00D41517" w:rsidRPr="00554E41" w:rsidRDefault="00D4151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FFFF00"/>
          </w:tcPr>
          <w:p w14:paraId="5F3495C6" w14:textId="468A3973" w:rsidR="00D41517" w:rsidRPr="00554E41" w:rsidRDefault="00064A50"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w:t>
            </w:r>
            <w:r w:rsidR="008E6CE9">
              <w:rPr>
                <w:rFonts w:eastAsia="Times New Roman" w:cs="Times New Roman"/>
                <w:color w:val="000000"/>
                <w:sz w:val="18"/>
                <w:szCs w:val="18"/>
              </w:rPr>
              <w:t xml:space="preserve"> jelentős</w:t>
            </w:r>
          </w:p>
        </w:tc>
      </w:tr>
      <w:tr w:rsidR="00D41517" w14:paraId="2FD5357C" w14:textId="77777777" w:rsidTr="0021357A">
        <w:tc>
          <w:tcPr>
            <w:tcW w:w="3061" w:type="dxa"/>
            <w:shd w:val="clear" w:color="auto" w:fill="auto"/>
          </w:tcPr>
          <w:p w14:paraId="0B16F207" w14:textId="5C4385FE" w:rsidR="00D41517" w:rsidRPr="00554E41" w:rsidRDefault="00D4151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sidR="00D00776">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0A4FBB68" w14:textId="43D80053" w:rsidR="00D41517" w:rsidRPr="00554E41" w:rsidRDefault="00064A50"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w:t>
            </w:r>
            <w:r w:rsidR="008E6CE9">
              <w:rPr>
                <w:rFonts w:eastAsia="Times New Roman" w:cs="Times New Roman"/>
                <w:color w:val="000000"/>
                <w:sz w:val="18"/>
                <w:szCs w:val="18"/>
              </w:rPr>
              <w:t xml:space="preserve"> jelentős</w:t>
            </w:r>
          </w:p>
        </w:tc>
      </w:tr>
    </w:tbl>
    <w:p w14:paraId="24633D89" w14:textId="72802EC6" w:rsidR="00EB6F20" w:rsidRDefault="00EB6F20" w:rsidP="00FC37B3">
      <w:pPr>
        <w:spacing w:before="120"/>
      </w:pPr>
      <w:r w:rsidRPr="002230EB">
        <w:t>A Szektorban működő szolgáltatók a termékek és szolgáltatások széles skáláját kínálják, amelyeket meghatározott ügyféltípusok számára terveztek, és különböző értékesítési csatornákat használnak, amelyek különböző típusú és szintű ML/</w:t>
      </w:r>
      <w:proofErr w:type="spellStart"/>
      <w:r w:rsidRPr="002230EB">
        <w:t>TF</w:t>
      </w:r>
      <w:proofErr w:type="spellEnd"/>
      <w:r w:rsidRPr="002230EB">
        <w:t xml:space="preserve"> kockázatokat eredményezhetnek. A kockázat ebben a </w:t>
      </w:r>
      <w:r w:rsidR="00587923">
        <w:t>s</w:t>
      </w:r>
      <w:r w:rsidRPr="002230EB">
        <w:t xml:space="preserve">zektorban akkor is növekszik, ha a pénzügyi szolgáltatók a termékeik és szolgáltatásaik forgalmazásához hitelközvetítőket vesznek igénybe, amely által kevés közvetlen kapcsolatot tartanak fenn ügyfeleikkel, ezért nehézségekbe ütközhet a folyamatos monitoring, valamint a felügyelet hiánya jellemző ügyfél-átvilágítási intézkedések alkalmazása során. Másrészt a </w:t>
      </w:r>
      <w:proofErr w:type="spellStart"/>
      <w:r w:rsidRPr="002230EB">
        <w:t>faktoringgal</w:t>
      </w:r>
      <w:proofErr w:type="spellEnd"/>
      <w:r w:rsidRPr="002230EB">
        <w:t xml:space="preserve">, a lízinggel és a kereskedelmi hitelezéssel foglalkozó pénzügyi szolgáltatók eltérő üzleti modellekkel rendelkeznek, és más típusú ügyfeleket szolgálnak ki (kereskedelmi vállalatok, import/export), ezért jobban ki vannak téve a kereskedelem alapú pénzmosásnak. Azonban, a </w:t>
      </w:r>
      <w:r w:rsidR="00587923">
        <w:t>s</w:t>
      </w:r>
      <w:r w:rsidRPr="002230EB">
        <w:t xml:space="preserve">zektorra nem jellemző a külföldi érintettség, tipikusan magyar ügyfelekkel rendelkeznek a </w:t>
      </w:r>
      <w:r w:rsidR="00587923">
        <w:t>s</w:t>
      </w:r>
      <w:r w:rsidRPr="002230EB">
        <w:t>zektorhoz tartozó szolgáltatók.</w:t>
      </w:r>
      <w:r>
        <w:t xml:space="preserve"> </w:t>
      </w:r>
    </w:p>
    <w:p w14:paraId="6DCB0711" w14:textId="58AC3D3E" w:rsidR="001D5B72" w:rsidRDefault="001D5B72" w:rsidP="001D5B72">
      <w:r w:rsidRPr="001D5B72">
        <w:t xml:space="preserve">A </w:t>
      </w:r>
      <w:r w:rsidR="00587923">
        <w:t>s</w:t>
      </w:r>
      <w:r w:rsidRPr="001D5B72">
        <w:t>zektorhoz tartozó termékek kevesebb pénzmosási lehetőséget kínálnak, mint más pénzügyi termékek, de a bűnszervezetek ezeket használják nagy értékű áruk vásárlásának finanszírozására, majd készpénzben visszafizetik a kölcsönöket. Összegzésképpen, a fogyasztási hitelek és az alacsony összegű hitelek nem olyan vonzóak a bűnszervezetek számára, mint más pénzügyi termékek, de közvetve felhasználhatók a bűncselekményekből származó bevételek tisztára mosására. Ezek a tranzakciók általában alacsony összegűek, de egyes bűnözői csoportok képesek voltak nagy összegeket több tranzakcióra elosztani. Ezért az alacsony összegű hitelekhez kapcsolódó pénzmosási kockázat mérsékelten jelentősnek tekinthető.</w:t>
      </w:r>
      <w:r w:rsidR="00E62390" w:rsidRPr="00E62390">
        <w:rPr>
          <w:rFonts w:ascii="Garamond" w:hAnsi="Garamond" w:cs="Times New Roman"/>
          <w:sz w:val="24"/>
          <w:szCs w:val="24"/>
        </w:rPr>
        <w:t xml:space="preserve"> </w:t>
      </w:r>
      <w:r w:rsidR="00E62390" w:rsidRPr="00F661EB">
        <w:rPr>
          <w:rStyle w:val="Lbjegyzet-hivatkozs"/>
          <w:rFonts w:ascii="Garamond" w:hAnsi="Garamond" w:cs="Times New Roman"/>
          <w:bCs/>
          <w:sz w:val="24"/>
          <w:szCs w:val="24"/>
        </w:rPr>
        <w:footnoteReference w:id="23"/>
      </w:r>
    </w:p>
    <w:p w14:paraId="2039FB08" w14:textId="4D947C23" w:rsidR="001D5B72" w:rsidRPr="00A07F4E" w:rsidRDefault="001D5B72" w:rsidP="001D5B72">
      <w:r w:rsidRPr="001D5B72">
        <w:t xml:space="preserve">A </w:t>
      </w:r>
      <w:r w:rsidR="00587923">
        <w:t>s</w:t>
      </w:r>
      <w:r w:rsidRPr="001D5B72">
        <w:t xml:space="preserve">zektorhoz tartozó szolgáltatók jellemzően tisztában vannak az üzleti kölcsönökkel kapcsolatban felmerülő csalás kockázatával. Különös figyelmet fordítanak a hamis dokumentumok vagy a hamis személyazonosság kockázatára, </w:t>
      </w:r>
      <w:r w:rsidRPr="001D5B72">
        <w:lastRenderedPageBreak/>
        <w:t xml:space="preserve">tekintettel arra, hogy a szolgáltatóknak is érdekük fűződik ahhoz, hogy az ügyfelek részére nyújtott kölcsönök visszafizetésre kerüljenek. A sérülékenység a </w:t>
      </w:r>
      <w:r w:rsidR="00587923">
        <w:t>s</w:t>
      </w:r>
      <w:r w:rsidRPr="001D5B72">
        <w:t>zektorban alacsonyabb lenne, ha a készpénzes visszafizetés lehetőségét a szolgáltatók kizárnák.</w:t>
      </w:r>
      <w:r w:rsidR="002230EB">
        <w:t xml:space="preserve"> Megjegyzendő azonban, hogy </w:t>
      </w:r>
      <w:r w:rsidR="002230EB" w:rsidRPr="002230EB">
        <w:t xml:space="preserve">a meglévő informatikai rendszerek nem feltétlenül alkalmasak hamis dokumentumok észlelésére a </w:t>
      </w:r>
      <w:r w:rsidR="00587923">
        <w:t>s</w:t>
      </w:r>
      <w:r w:rsidR="002230EB" w:rsidRPr="002230EB">
        <w:t>zektorban.</w:t>
      </w:r>
    </w:p>
    <w:p w14:paraId="0B11F27C" w14:textId="2F356180" w:rsidR="00784455" w:rsidRPr="00A07F4E" w:rsidRDefault="00784455" w:rsidP="00784455">
      <w:r w:rsidRPr="00A07F4E">
        <w:t>Kockázatként került azonosításra</w:t>
      </w:r>
      <w:r w:rsidR="000711EB" w:rsidRPr="00A07F4E">
        <w:t xml:space="preserve"> </w:t>
      </w:r>
      <w:r w:rsidRPr="00A07F4E">
        <w:t>az erőforrásalapú megközelítés</w:t>
      </w:r>
      <w:r w:rsidR="00E62390">
        <w:t xml:space="preserve"> jelenléte</w:t>
      </w:r>
      <w:r w:rsidRPr="00A07F4E">
        <w:t xml:space="preserve">, </w:t>
      </w:r>
      <w:r w:rsidR="00E62390">
        <w:t xml:space="preserve">valamint </w:t>
      </w:r>
      <w:r w:rsidRPr="00A07F4E">
        <w:t>a</w:t>
      </w:r>
      <w:r w:rsidR="00E62390">
        <w:t xml:space="preserve"> Szektorhoz tartozó szolgáltatók</w:t>
      </w:r>
      <w:r w:rsidRPr="00A07F4E">
        <w:t xml:space="preserve"> </w:t>
      </w:r>
      <w:r w:rsidR="00E62390">
        <w:t xml:space="preserve">gyakorlatában a </w:t>
      </w:r>
      <w:r w:rsidRPr="00A07F4E">
        <w:t>kockázatalapú megközelítés</w:t>
      </w:r>
      <w:r w:rsidR="00E62390">
        <w:t xml:space="preserve"> alkalmazásának elmaradása</w:t>
      </w:r>
      <w:r w:rsidRPr="00A07F4E">
        <w:t xml:space="preserve">. </w:t>
      </w:r>
      <w:r w:rsidR="008C1A55">
        <w:t>A szolgáltatók</w:t>
      </w:r>
      <w:r w:rsidRPr="00A07F4E">
        <w:t xml:space="preserve"> szabályalapú megoldásokat</w:t>
      </w:r>
      <w:r w:rsidR="00E62390">
        <w:t xml:space="preserve">, előírásokat </w:t>
      </w:r>
      <w:r w:rsidRPr="00A07F4E">
        <w:t xml:space="preserve">várnak, a kockázatalapú megközelítést nem hajtják végre </w:t>
      </w:r>
      <w:proofErr w:type="spellStart"/>
      <w:r w:rsidR="00587923">
        <w:t>teljeskörűen</w:t>
      </w:r>
      <w:proofErr w:type="spellEnd"/>
      <w:r w:rsidRPr="00A07F4E">
        <w:t>. A</w:t>
      </w:r>
      <w:r w:rsidR="000711EB" w:rsidRPr="00A07F4E">
        <w:t>z erőforrás</w:t>
      </w:r>
      <w:r w:rsidRPr="00A07F4E">
        <w:t xml:space="preserve"> elosztása </w:t>
      </w:r>
      <w:r w:rsidR="00EB6F20">
        <w:t>sem megfelelő sok esetben</w:t>
      </w:r>
      <w:r w:rsidRPr="00A07F4E">
        <w:t xml:space="preserve">, </w:t>
      </w:r>
      <w:r w:rsidR="008C1A55">
        <w:t>a szolgáltató</w:t>
      </w:r>
      <w:r w:rsidR="00EB6F20">
        <w:t>k célja</w:t>
      </w:r>
      <w:r w:rsidRPr="00A07F4E">
        <w:t xml:space="preserve"> a költségek </w:t>
      </w:r>
      <w:r w:rsidR="00EB6F20">
        <w:t>csökkentése</w:t>
      </w:r>
      <w:r w:rsidRPr="00A07F4E">
        <w:t>, mintsem a kockázatalapú eljárások</w:t>
      </w:r>
      <w:r w:rsidR="00EB6F20">
        <w:t xml:space="preserve"> alkalmazása</w:t>
      </w:r>
      <w:r w:rsidRPr="00A07F4E">
        <w:t>, am</w:t>
      </w:r>
      <w:r w:rsidR="00587923">
        <w:t>ely szintén</w:t>
      </w:r>
      <w:r w:rsidRPr="00A07F4E">
        <w:t xml:space="preserve"> kockázati tényező. </w:t>
      </w:r>
    </w:p>
    <w:p w14:paraId="4A90281B" w14:textId="77777777" w:rsidR="00E15546" w:rsidRPr="00A07F4E" w:rsidRDefault="00E15546" w:rsidP="00E15546">
      <w:r w:rsidRPr="00A07F4E">
        <w:t xml:space="preserve">Jelen szektorra is általánosságban elmondható, hogy a szektorhoz tartozó </w:t>
      </w:r>
      <w:r w:rsidR="008C1A55">
        <w:t>szolgáltatók</w:t>
      </w:r>
      <w:r w:rsidR="008C1A55" w:rsidRPr="00A07F4E">
        <w:t xml:space="preserve"> </w:t>
      </w:r>
      <w:r w:rsidR="00E13078" w:rsidRPr="00A07F4E">
        <w:t>fejlesztendő</w:t>
      </w:r>
      <w:r w:rsidRPr="00A07F4E">
        <w:t xml:space="preserve"> </w:t>
      </w:r>
      <w:proofErr w:type="spellStart"/>
      <w:r w:rsidRPr="00A07F4E">
        <w:t>AML</w:t>
      </w:r>
      <w:proofErr w:type="spellEnd"/>
      <w:r w:rsidRPr="00A07F4E">
        <w:t xml:space="preserve"> tranzakció </w:t>
      </w:r>
      <w:proofErr w:type="spellStart"/>
      <w:r w:rsidRPr="00A07F4E">
        <w:t>monitoringgal</w:t>
      </w:r>
      <w:proofErr w:type="spellEnd"/>
      <w:r w:rsidRPr="00A07F4E">
        <w:t xml:space="preserve"> és gyanús ügyletek bejelentésére vonatkozó politikákkal és eljárásokkal rendelkeznek.  </w:t>
      </w:r>
      <w:r w:rsidR="008C1A55">
        <w:t>A szolgáltatók</w:t>
      </w:r>
      <w:r w:rsidR="00E13078" w:rsidRPr="00A07F4E">
        <w:t xml:space="preserve"> felügyeleti </w:t>
      </w:r>
      <w:r w:rsidRPr="00A07F4E">
        <w:t xml:space="preserve">adatszolgáltatások teljesítése során </w:t>
      </w:r>
      <w:r w:rsidR="00E13078" w:rsidRPr="00A07F4E">
        <w:t xml:space="preserve">hiányos vagy pontatlan </w:t>
      </w:r>
      <w:r w:rsidRPr="00A07F4E">
        <w:t xml:space="preserve">adatokat bocsátanak rendelkezésre. </w:t>
      </w:r>
    </w:p>
    <w:p w14:paraId="175F8255" w14:textId="770066A6" w:rsidR="00E15546" w:rsidRPr="00A07F4E" w:rsidRDefault="00E15546" w:rsidP="00784455">
      <w:r w:rsidRPr="00A07F4E">
        <w:t xml:space="preserve">Kockázatként került továbbá azonosításra, hogy </w:t>
      </w:r>
      <w:r w:rsidR="008C1A55">
        <w:t>a szolgáltatók</w:t>
      </w:r>
      <w:r w:rsidRPr="00A07F4E">
        <w:t xml:space="preserve"> nem alkalmaznak megfelelő átvilágítási eljárásokat vagy rendszereket az EU és az ENSZ BT célzott pénzügyi szankciós </w:t>
      </w:r>
      <w:r w:rsidR="00490C67" w:rsidRPr="009F3A30">
        <w:t>listái szerinti</w:t>
      </w:r>
      <w:r w:rsidR="00490C67" w:rsidRPr="00A07F4E">
        <w:t xml:space="preserve"> </w:t>
      </w:r>
      <w:r w:rsidRPr="00A07F4E">
        <w:t>átvilágításra.</w:t>
      </w:r>
    </w:p>
    <w:p w14:paraId="51C17200" w14:textId="77777777" w:rsidR="00481FA9" w:rsidRPr="0021357A" w:rsidRDefault="00481FA9" w:rsidP="00ED7B91">
      <w:pPr>
        <w:rPr>
          <w:b/>
          <w:bCs/>
          <w:highlight w:val="yellow"/>
        </w:rPr>
      </w:pPr>
      <w:r w:rsidRPr="00A07F4E">
        <w:rPr>
          <w:b/>
          <w:bCs/>
        </w:rPr>
        <w:t xml:space="preserve">A </w:t>
      </w:r>
      <w:r w:rsidRPr="009F298C">
        <w:rPr>
          <w:b/>
          <w:bCs/>
        </w:rPr>
        <w:t xml:space="preserve">pénzügyi szolgáltatói szektor Mérsékelten jelentős inherens kockázati értékkel rendelkezik, amely megegyezik az </w:t>
      </w:r>
      <w:proofErr w:type="spellStart"/>
      <w:r w:rsidRPr="009F298C">
        <w:rPr>
          <w:b/>
          <w:bCs/>
        </w:rPr>
        <w:t>EBA</w:t>
      </w:r>
      <w:proofErr w:type="spellEnd"/>
      <w:r w:rsidRPr="009F298C">
        <w:rPr>
          <w:b/>
          <w:bCs/>
        </w:rPr>
        <w:t xml:space="preserve"> </w:t>
      </w:r>
      <w:proofErr w:type="spellStart"/>
      <w:r w:rsidRPr="009F298C">
        <w:rPr>
          <w:b/>
          <w:bCs/>
        </w:rPr>
        <w:t>Opinion</w:t>
      </w:r>
      <w:proofErr w:type="spellEnd"/>
      <w:r w:rsidRPr="009F298C">
        <w:rPr>
          <w:b/>
          <w:bCs/>
        </w:rPr>
        <w:t xml:space="preserve"> összegzése szerint,</w:t>
      </w:r>
      <w:r w:rsidR="00943B8C" w:rsidRPr="009F298C">
        <w:rPr>
          <w:b/>
          <w:bCs/>
        </w:rPr>
        <w:t xml:space="preserve"> </w:t>
      </w:r>
      <w:r w:rsidR="00DA0E6E" w:rsidRPr="009F298C">
        <w:rPr>
          <w:b/>
          <w:bCs/>
        </w:rPr>
        <w:t>az</w:t>
      </w:r>
      <w:r w:rsidRPr="009F298C">
        <w:rPr>
          <w:b/>
          <w:bCs/>
        </w:rPr>
        <w:t xml:space="preserve"> illetékes hatóság</w:t>
      </w:r>
      <w:r w:rsidR="00A125B9" w:rsidRPr="009F298C">
        <w:rPr>
          <w:b/>
          <w:bCs/>
        </w:rPr>
        <w:t>ok</w:t>
      </w:r>
      <w:r w:rsidRPr="009F298C">
        <w:rPr>
          <w:b/>
          <w:bCs/>
        </w:rPr>
        <w:t xml:space="preserve"> </w:t>
      </w:r>
      <w:r w:rsidR="00DA0E6E" w:rsidRPr="009F298C">
        <w:rPr>
          <w:b/>
          <w:bCs/>
        </w:rPr>
        <w:t xml:space="preserve">többségének az </w:t>
      </w:r>
      <w:r w:rsidRPr="009F298C">
        <w:rPr>
          <w:b/>
          <w:bCs/>
        </w:rPr>
        <w:t>értékelésével.</w:t>
      </w:r>
    </w:p>
    <w:tbl>
      <w:tblPr>
        <w:tblW w:w="4040" w:type="dxa"/>
        <w:jc w:val="center"/>
        <w:tblCellMar>
          <w:left w:w="70" w:type="dxa"/>
          <w:right w:w="70" w:type="dxa"/>
        </w:tblCellMar>
        <w:tblLook w:val="04A0" w:firstRow="1" w:lastRow="0" w:firstColumn="1" w:lastColumn="0" w:noHBand="0" w:noVBand="1"/>
      </w:tblPr>
      <w:tblGrid>
        <w:gridCol w:w="2140"/>
        <w:gridCol w:w="1900"/>
      </w:tblGrid>
      <w:tr w:rsidR="006B56CB" w:rsidRPr="00A07F4E" w14:paraId="6ED8C816" w14:textId="77777777" w:rsidTr="00A07F4E">
        <w:trPr>
          <w:trHeight w:val="300"/>
          <w:jc w:val="center"/>
        </w:trPr>
        <w:tc>
          <w:tcPr>
            <w:tcW w:w="2140" w:type="dxa"/>
            <w:tcBorders>
              <w:top w:val="nil"/>
              <w:left w:val="nil"/>
              <w:bottom w:val="nil"/>
              <w:right w:val="nil"/>
            </w:tcBorders>
            <w:shd w:val="clear" w:color="auto" w:fill="auto"/>
            <w:noWrap/>
            <w:vAlign w:val="center"/>
            <w:hideMark/>
          </w:tcPr>
          <w:p w14:paraId="5782CF10" w14:textId="77777777" w:rsidR="006B56CB" w:rsidRPr="00935BD1" w:rsidRDefault="006B56CB" w:rsidP="006B56CB">
            <w:pPr>
              <w:spacing w:after="0" w:line="240" w:lineRule="auto"/>
              <w:jc w:val="center"/>
              <w:rPr>
                <w:rFonts w:eastAsia="Times New Roman" w:cs="Calibri"/>
                <w:b/>
                <w:bCs/>
                <w:color w:val="000000"/>
                <w:highlight w:val="yellow"/>
              </w:rPr>
            </w:pPr>
            <w:r w:rsidRPr="00C82D24">
              <w:rPr>
                <w:rFonts w:eastAsia="Times New Roman" w:cs="Calibri"/>
                <w:b/>
                <w:bCs/>
                <w:color w:val="000000"/>
              </w:rPr>
              <w:t>Inherens kockázat:</w:t>
            </w:r>
            <w:r w:rsidRPr="00C82D24">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4E81DC" w14:textId="77777777" w:rsidR="006B56CB" w:rsidRPr="00A07F4E" w:rsidRDefault="006B56CB" w:rsidP="006B56CB">
            <w:pPr>
              <w:spacing w:after="0" w:line="240" w:lineRule="auto"/>
              <w:jc w:val="center"/>
              <w:rPr>
                <w:rFonts w:eastAsia="Times New Roman" w:cs="Calibri"/>
                <w:color w:val="000000"/>
                <w:sz w:val="18"/>
                <w:szCs w:val="18"/>
              </w:rPr>
            </w:pPr>
            <w:r w:rsidRPr="00935BD1">
              <w:rPr>
                <w:rFonts w:eastAsia="Times New Roman" w:cs="Calibri"/>
                <w:color w:val="000000"/>
                <w:sz w:val="18"/>
                <w:szCs w:val="18"/>
                <w:highlight w:val="yellow"/>
              </w:rPr>
              <w:t>Mérsékelten jelentős</w:t>
            </w:r>
          </w:p>
        </w:tc>
      </w:tr>
    </w:tbl>
    <w:p w14:paraId="64735619" w14:textId="6BF93208" w:rsidR="00A24D72" w:rsidRDefault="00A24D72" w:rsidP="00A24D72">
      <w:bookmarkStart w:id="142" w:name="_Toc106192437"/>
      <w:bookmarkStart w:id="143" w:name="_Toc106198033"/>
      <w:bookmarkStart w:id="144" w:name="_Toc106198679"/>
      <w:bookmarkStart w:id="145" w:name="_Toc106201874"/>
      <w:bookmarkStart w:id="146" w:name="_Toc106869583"/>
      <w:bookmarkStart w:id="147" w:name="_Toc107236448"/>
      <w:bookmarkStart w:id="148" w:name="_Toc107237356"/>
      <w:bookmarkStart w:id="149" w:name="_Toc107237682"/>
      <w:bookmarkStart w:id="150" w:name="_Toc106192438"/>
      <w:bookmarkStart w:id="151" w:name="_Toc106198034"/>
      <w:bookmarkStart w:id="152" w:name="_Toc106198680"/>
      <w:bookmarkStart w:id="153" w:name="_Toc106201875"/>
      <w:bookmarkStart w:id="154" w:name="_Toc106869584"/>
      <w:bookmarkStart w:id="155" w:name="_Toc107236449"/>
      <w:bookmarkStart w:id="156" w:name="_Toc107237357"/>
      <w:bookmarkStart w:id="157" w:name="_Toc107237683"/>
      <w:bookmarkStart w:id="158" w:name="_Toc106192439"/>
      <w:bookmarkStart w:id="159" w:name="_Toc106198035"/>
      <w:bookmarkStart w:id="160" w:name="_Toc106198681"/>
      <w:bookmarkStart w:id="161" w:name="_Toc106201876"/>
      <w:bookmarkStart w:id="162" w:name="_Toc106869585"/>
      <w:bookmarkStart w:id="163" w:name="_Toc107236450"/>
      <w:bookmarkStart w:id="164" w:name="_Toc107237358"/>
      <w:bookmarkStart w:id="165" w:name="_Toc10723768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C058CDA" w14:textId="3A0BBCFD" w:rsidR="00D158BF" w:rsidRPr="00A07F4E" w:rsidRDefault="00D158BF" w:rsidP="00A07F4E">
      <w:pPr>
        <w:pStyle w:val="Cmsor3"/>
        <w:numPr>
          <w:ilvl w:val="0"/>
          <w:numId w:val="128"/>
        </w:numPr>
      </w:pPr>
      <w:bookmarkStart w:id="166" w:name="_Toc109906053"/>
      <w:r w:rsidRPr="00A07F4E">
        <w:t>Az ellenőrzések minősége</w:t>
      </w:r>
      <w:bookmarkEnd w:id="166"/>
    </w:p>
    <w:p w14:paraId="3DAF3D7F" w14:textId="4AFD7DF4" w:rsidR="00D158BF" w:rsidRPr="00A07F4E" w:rsidRDefault="00D158BF" w:rsidP="00D158BF">
      <w:r w:rsidRPr="00935BD1">
        <w:t>A</w:t>
      </w:r>
      <w:r w:rsidR="009F0675" w:rsidRPr="009F0675">
        <w:t>z MNB</w:t>
      </w:r>
      <w:r w:rsidRPr="009F0675">
        <w:t xml:space="preserve"> a </w:t>
      </w:r>
      <w:r w:rsidR="00D220E3" w:rsidRPr="009F0675">
        <w:t>pénzügyi</w:t>
      </w:r>
      <w:r w:rsidR="00D220E3" w:rsidRPr="00A07F4E">
        <w:t xml:space="preserve"> szolgáltatók </w:t>
      </w:r>
      <w:r w:rsidR="0041629D" w:rsidRPr="00A07F4E">
        <w:t xml:space="preserve">általi </w:t>
      </w:r>
      <w:r w:rsidR="00F84D1B" w:rsidRPr="00A07F4E">
        <w:t xml:space="preserve">ellenőrzések megfelelőségét és minőségét értékelte, amely alapján </w:t>
      </w:r>
      <w:r w:rsidR="008C1A55">
        <w:t>a szolgáltatók</w:t>
      </w:r>
      <w:r w:rsidRPr="00A07F4E">
        <w:t xml:space="preserve"> egészére kiterjedő, az egyes üzleti kapcsolatokra alkalmazott kockázatértékelést</w:t>
      </w:r>
      <w:r w:rsidR="000418C9" w:rsidRPr="00A07F4E">
        <w:t>, illetve a folyamatos monitoring, ideértve a tranzakció monitoring hatékonyságát</w:t>
      </w:r>
      <w:r w:rsidRPr="00A07F4E">
        <w:t xml:space="preserve"> minősítette gyengének, </w:t>
      </w:r>
      <w:r w:rsidR="000418C9" w:rsidRPr="00A07F4E">
        <w:t>a</w:t>
      </w:r>
      <w:r w:rsidRPr="00A07F4E">
        <w:t xml:space="preserve"> többi értékelési szempontot jó</w:t>
      </w:r>
      <w:r w:rsidR="000418C9" w:rsidRPr="00A07F4E">
        <w:t xml:space="preserve"> minősítést kapott</w:t>
      </w:r>
      <w:r w:rsidRPr="00A07F4E">
        <w:t>.</w:t>
      </w:r>
      <w:r w:rsidR="00F17407" w:rsidRPr="00A07F4E">
        <w:rPr>
          <w:rStyle w:val="Lbjegyzet-hivatkozs"/>
        </w:rPr>
        <w:footnoteReference w:id="24"/>
      </w:r>
    </w:p>
    <w:p w14:paraId="06D7007D" w14:textId="7606AF12" w:rsidR="00D158BF" w:rsidRPr="00A07F4E" w:rsidRDefault="006C2B06" w:rsidP="00700EC3">
      <w:r w:rsidRPr="00A07F4E">
        <w:t xml:space="preserve">Az </w:t>
      </w:r>
      <w:proofErr w:type="spellStart"/>
      <w:r w:rsidRPr="00A07F4E">
        <w:t>EBA</w:t>
      </w:r>
      <w:proofErr w:type="spellEnd"/>
      <w:r w:rsidRPr="00A07F4E">
        <w:t xml:space="preserve"> </w:t>
      </w:r>
      <w:proofErr w:type="spellStart"/>
      <w:r w:rsidRPr="00A07F4E">
        <w:t>Opinionban</w:t>
      </w:r>
      <w:proofErr w:type="spellEnd"/>
      <w:r w:rsidRPr="00A07F4E">
        <w:t xml:space="preserve"> részletezésre került, hogy a</w:t>
      </w:r>
      <w:r w:rsidR="00D158BF" w:rsidRPr="00A07F4E">
        <w:t>z illetékes hatóságok jelentős része jelezte, hogy nem végeztek értékelést a</w:t>
      </w:r>
      <w:r w:rsidR="00317EC5" w:rsidRPr="00A07F4E">
        <w:t>z</w:t>
      </w:r>
      <w:r w:rsidRPr="00A07F4E">
        <w:t xml:space="preserve"> ágazati </w:t>
      </w:r>
      <w:r w:rsidR="00D158BF" w:rsidRPr="00A07F4E">
        <w:t>ellenőrzések minőségéről. Azok az illetékes hatóságok, amelyek elvégezték az értékelést, többségük jónak vagy nagyon jónak értékelte a szektor ellenőrzése</w:t>
      </w:r>
      <w:r w:rsidR="00F17407" w:rsidRPr="009F3A30">
        <w:t>ine</w:t>
      </w:r>
      <w:r w:rsidR="00D158BF" w:rsidRPr="00A07F4E">
        <w:t>k minőségét. Az ügyfelek ML/</w:t>
      </w:r>
      <w:proofErr w:type="spellStart"/>
      <w:r w:rsidR="00D158BF" w:rsidRPr="00A07F4E">
        <w:t>TF</w:t>
      </w:r>
      <w:proofErr w:type="spellEnd"/>
      <w:r w:rsidR="00D158BF" w:rsidRPr="00A07F4E">
        <w:t xml:space="preserve"> kockázatértékelésének minőségét</w:t>
      </w:r>
      <w:r w:rsidRPr="00A07F4E">
        <w:t xml:space="preserve"> – a</w:t>
      </w:r>
      <w:r w:rsidR="009F0675">
        <w:t>z MNB</w:t>
      </w:r>
      <w:r w:rsidRPr="00935BD1">
        <w:t>-hez hasonlóan</w:t>
      </w:r>
      <w:r w:rsidRPr="009F0675">
        <w:t xml:space="preserve"> –</w:t>
      </w:r>
      <w:r w:rsidR="00D158BF" w:rsidRPr="00A07F4E">
        <w:t xml:space="preserve"> azonban az illetékes hatóságok jelentős része </w:t>
      </w:r>
      <w:r w:rsidRPr="00A07F4E">
        <w:t>gyengének</w:t>
      </w:r>
      <w:r w:rsidR="00D158BF" w:rsidRPr="00A07F4E">
        <w:t xml:space="preserve"> ítélte, csakúgy, mint a </w:t>
      </w:r>
      <w:r w:rsidR="002C73BD">
        <w:t>be</w:t>
      </w:r>
      <w:r w:rsidR="00D158BF" w:rsidRPr="00A07F4E">
        <w:t>jelentés</w:t>
      </w:r>
      <w:r w:rsidRPr="00A07F4E">
        <w:t>ek</w:t>
      </w:r>
      <w:r w:rsidR="00D158BF" w:rsidRPr="00A07F4E">
        <w:t xml:space="preserve"> hatékonyságát. A </w:t>
      </w:r>
      <w:r w:rsidRPr="00A07F4E">
        <w:t>hatóságok</w:t>
      </w:r>
      <w:r w:rsidR="00D158BF" w:rsidRPr="00A07F4E">
        <w:t xml:space="preserve"> továbbá rámutattak az ügyfelek azonosításának és </w:t>
      </w:r>
      <w:r w:rsidRPr="00A07F4E">
        <w:t>személyazonosság</w:t>
      </w:r>
      <w:r w:rsidR="00D158BF" w:rsidRPr="00A07F4E">
        <w:t xml:space="preserve"> gyakran gyenge szintű ellenőrzésére.</w:t>
      </w:r>
      <w:r w:rsidRPr="00A07F4E">
        <w:t xml:space="preserve"> Ezen ellenőrzések gyenge minősége különösen aggasztó ebben a szektorban, tekintettel az ágazatot eredendően fenyegető kockázatokra.</w:t>
      </w:r>
    </w:p>
    <w:p w14:paraId="013A7C9A" w14:textId="77777777" w:rsidR="00C42182" w:rsidRPr="00A07F4E" w:rsidRDefault="00C42182" w:rsidP="00A07F4E">
      <w:pPr>
        <w:pStyle w:val="Cmsor3"/>
        <w:numPr>
          <w:ilvl w:val="0"/>
          <w:numId w:val="128"/>
        </w:numPr>
      </w:pPr>
      <w:bookmarkStart w:id="167" w:name="_Toc109906054"/>
      <w:r w:rsidRPr="00A07F4E">
        <w:t>Felügyeleti tevékenység</w:t>
      </w:r>
      <w:bookmarkEnd w:id="167"/>
    </w:p>
    <w:p w14:paraId="3BCAD478" w14:textId="4C89EB70" w:rsidR="00F8567E" w:rsidRDefault="003B448F" w:rsidP="00C42182">
      <w:r w:rsidRPr="00935BD1">
        <w:t>A</w:t>
      </w:r>
      <w:r w:rsidR="009F0675" w:rsidRPr="009F0675">
        <w:t xml:space="preserve">z MNB </w:t>
      </w:r>
      <w:r w:rsidRPr="009F0675">
        <w:t>a szektor</w:t>
      </w:r>
      <w:r w:rsidRPr="00A07F4E">
        <w:t xml:space="preserve"> Mérsékelten jelentős inherens kockázati besorolására tekintettel kisebb hangsúlyt fektetett jelen szektor </w:t>
      </w:r>
      <w:proofErr w:type="spellStart"/>
      <w:r w:rsidR="00E13078" w:rsidRPr="00A07F4E">
        <w:t>on</w:t>
      </w:r>
      <w:proofErr w:type="spellEnd"/>
      <w:r w:rsidR="00E13078" w:rsidRPr="00A07F4E">
        <w:t xml:space="preserve">-site </w:t>
      </w:r>
      <w:r w:rsidRPr="00A07F4E">
        <w:t>ellenőrzésére</w:t>
      </w:r>
      <w:r w:rsidR="006414F2" w:rsidRPr="00A07F4E">
        <w:t xml:space="preserve">, a felügyeletet </w:t>
      </w:r>
      <w:proofErr w:type="spellStart"/>
      <w:r w:rsidR="00E13078" w:rsidRPr="00A07F4E">
        <w:t>off</w:t>
      </w:r>
      <w:proofErr w:type="spellEnd"/>
      <w:r w:rsidR="00E13078" w:rsidRPr="00A07F4E">
        <w:t xml:space="preserve">-site módon </w:t>
      </w:r>
      <w:r w:rsidR="006414F2" w:rsidRPr="00A07F4E">
        <w:t>az éves és a negyedéves adatszolgáltatások</w:t>
      </w:r>
      <w:r w:rsidR="00453558">
        <w:t xml:space="preserve"> </w:t>
      </w:r>
      <w:r w:rsidR="00E13078" w:rsidRPr="00A07F4E">
        <w:t xml:space="preserve">felhasználásával </w:t>
      </w:r>
      <w:r w:rsidR="006414F2" w:rsidRPr="00A07F4E">
        <w:t>látja el</w:t>
      </w:r>
      <w:r w:rsidR="00E13078" w:rsidRPr="00A07F4E">
        <w:t xml:space="preserve"> folyamatos felügyelés keretében.</w:t>
      </w:r>
      <w:r w:rsidR="00460944" w:rsidRPr="00A07F4E">
        <w:t xml:space="preserve"> </w:t>
      </w:r>
      <w:r w:rsidR="009F0675">
        <w:t>Az MNB</w:t>
      </w:r>
      <w:r w:rsidR="00F17407" w:rsidRPr="009F3A30">
        <w:t xml:space="preserve"> a pénzügyi szolgáltatói szektort az ügyfelektől, illetve társhatóságoktól érkező panaszok és sajtófigyelés során szerzett információk alapján</w:t>
      </w:r>
      <w:r w:rsidR="0041629D" w:rsidRPr="009F3A30">
        <w:t xml:space="preserve"> </w:t>
      </w:r>
      <w:r w:rsidR="00F17407" w:rsidRPr="009F3A30">
        <w:t>felügyeli, felmerülő kockázati jelzés alapján ellenőrzi.</w:t>
      </w:r>
    </w:p>
    <w:p w14:paraId="621A0C2A" w14:textId="7C7A3807" w:rsidR="00C63813" w:rsidRDefault="00C63813" w:rsidP="00C42182"/>
    <w:p w14:paraId="77C4554F" w14:textId="77777777" w:rsidR="00C63813" w:rsidRPr="00A07F4E" w:rsidRDefault="00C63813" w:rsidP="00C42182"/>
    <w:p w14:paraId="6F45E618" w14:textId="77777777" w:rsidR="00317EC5" w:rsidRPr="00A07F4E" w:rsidRDefault="00317EC5" w:rsidP="00A07F4E">
      <w:pPr>
        <w:pStyle w:val="Cmsor3"/>
        <w:numPr>
          <w:ilvl w:val="0"/>
          <w:numId w:val="128"/>
        </w:numPr>
      </w:pPr>
      <w:bookmarkStart w:id="168" w:name="_Toc109906055"/>
      <w:r w:rsidRPr="00A07F4E">
        <w:lastRenderedPageBreak/>
        <w:t>Azonosított jogsértések</w:t>
      </w:r>
      <w:bookmarkEnd w:id="168"/>
    </w:p>
    <w:p w14:paraId="67991E9A" w14:textId="77D4FB9B" w:rsidR="00317EC5" w:rsidRPr="00A07F4E" w:rsidRDefault="0033760A" w:rsidP="00317EC5">
      <w:r w:rsidRPr="0033760A">
        <w:t xml:space="preserve">Az MNB folyamatos felügyelés keretében </w:t>
      </w:r>
      <w:r w:rsidR="00B93663">
        <w:t>azonosított jogsértést</w:t>
      </w:r>
      <w:r w:rsidRPr="0033760A">
        <w:t xml:space="preserve">, a </w:t>
      </w:r>
      <w:r w:rsidR="00C87105">
        <w:t>s</w:t>
      </w:r>
      <w:r w:rsidRPr="0033760A">
        <w:t xml:space="preserve">zektorban a többi szektortorhoz képest jelentősebb számú szolgáltató nem tett eleget jogszabályi kötelezettségének, az MNB a </w:t>
      </w:r>
      <w:r w:rsidR="00C87105">
        <w:t>s</w:t>
      </w:r>
      <w:r w:rsidRPr="0033760A">
        <w:t>zektorhoz tartozó szolgáltatók 35,9%-</w:t>
      </w:r>
      <w:proofErr w:type="spellStart"/>
      <w:r w:rsidRPr="0033760A">
        <w:t>ánál</w:t>
      </w:r>
      <w:proofErr w:type="spellEnd"/>
      <w:r w:rsidRPr="0033760A">
        <w:t xml:space="preserve"> detektált hiányosságot a kijelölt személyek kijelölésével, bejelentésével kapcsolatban. </w:t>
      </w:r>
      <w:r>
        <w:t xml:space="preserve"> </w:t>
      </w:r>
      <w:r w:rsidR="00317EC5" w:rsidRPr="00A07F4E">
        <w:t xml:space="preserve"> </w:t>
      </w:r>
    </w:p>
    <w:p w14:paraId="7837EBC2" w14:textId="352EF9E6" w:rsidR="00795DD2" w:rsidRDefault="00D73A24" w:rsidP="00D73A24">
      <w:r w:rsidRPr="00A07F4E">
        <w:t xml:space="preserve">Az </w:t>
      </w:r>
      <w:proofErr w:type="spellStart"/>
      <w:r w:rsidR="00294A71" w:rsidRPr="00A07F4E">
        <w:t>EBA</w:t>
      </w:r>
      <w:proofErr w:type="spellEnd"/>
      <w:r w:rsidR="00294A71" w:rsidRPr="00A07F4E">
        <w:t xml:space="preserve"> </w:t>
      </w:r>
      <w:proofErr w:type="spellStart"/>
      <w:r w:rsidR="00294A71" w:rsidRPr="00A07F4E">
        <w:t>Opinion</w:t>
      </w:r>
      <w:proofErr w:type="spellEnd"/>
      <w:r w:rsidR="00294A71" w:rsidRPr="00A07F4E">
        <w:t xml:space="preserve"> alapján, az </w:t>
      </w:r>
      <w:r w:rsidRPr="00A07F4E">
        <w:t xml:space="preserve">ágazatban leggyakrabban azonosított jogsértések az ügyfelek azonosításával és </w:t>
      </w:r>
      <w:r w:rsidR="00294A71" w:rsidRPr="00A07F4E">
        <w:t xml:space="preserve">személyazonosságuk </w:t>
      </w:r>
      <w:r w:rsidRPr="00A07F4E">
        <w:t xml:space="preserve">ellenőrzésével, az ügyfélkockázat értékelésével, az átfogó </w:t>
      </w:r>
      <w:proofErr w:type="spellStart"/>
      <w:r w:rsidR="00294A71" w:rsidRPr="00A07F4E">
        <w:t>AML</w:t>
      </w:r>
      <w:proofErr w:type="spellEnd"/>
      <w:r w:rsidR="00294A71" w:rsidRPr="00A07F4E">
        <w:t>/</w:t>
      </w:r>
      <w:proofErr w:type="spellStart"/>
      <w:r w:rsidR="00294A71" w:rsidRPr="00A07F4E">
        <w:t>CFT</w:t>
      </w:r>
      <w:proofErr w:type="spellEnd"/>
      <w:r w:rsidR="00294A71" w:rsidRPr="00A07F4E">
        <w:t xml:space="preserve"> </w:t>
      </w:r>
      <w:r w:rsidRPr="00A07F4E">
        <w:t>politikák</w:t>
      </w:r>
      <w:r w:rsidR="002E39C9" w:rsidRPr="00A07F4E">
        <w:t>kal</w:t>
      </w:r>
      <w:r w:rsidRPr="00A07F4E">
        <w:t xml:space="preserve"> és eljárások</w:t>
      </w:r>
      <w:r w:rsidR="002E39C9" w:rsidRPr="00A07F4E">
        <w:t>kal</w:t>
      </w:r>
      <w:r w:rsidRPr="00A07F4E">
        <w:t xml:space="preserve">, valamint a folyamatos </w:t>
      </w:r>
      <w:proofErr w:type="spellStart"/>
      <w:r w:rsidR="00294A71" w:rsidRPr="00A07F4E">
        <w:t>monitoring</w:t>
      </w:r>
      <w:r w:rsidR="002E39C9" w:rsidRPr="00A07F4E">
        <w:t>gal</w:t>
      </w:r>
      <w:proofErr w:type="spellEnd"/>
      <w:r w:rsidR="002E39C9" w:rsidRPr="00A07F4E">
        <w:t xml:space="preserve"> kapcsolatban voltak</w:t>
      </w:r>
      <w:r w:rsidRPr="00A07F4E">
        <w:t xml:space="preserve">. </w:t>
      </w:r>
    </w:p>
    <w:p w14:paraId="145C6E4F" w14:textId="77777777" w:rsidR="00FA182A" w:rsidRPr="00A07F4E" w:rsidRDefault="00FA182A" w:rsidP="00A07F4E">
      <w:pPr>
        <w:pStyle w:val="Cmsor3"/>
        <w:numPr>
          <w:ilvl w:val="0"/>
          <w:numId w:val="128"/>
        </w:numPr>
      </w:pPr>
      <w:bookmarkStart w:id="169" w:name="_Toc109906056"/>
      <w:r w:rsidRPr="00A07F4E">
        <w:t>Maradványkockázat:</w:t>
      </w:r>
      <w:bookmarkEnd w:id="169"/>
    </w:p>
    <w:p w14:paraId="390097DA" w14:textId="40C55308" w:rsidR="00FA182A" w:rsidRPr="00A07F4E" w:rsidRDefault="00FA182A" w:rsidP="00FA182A">
      <w:r w:rsidRPr="00A07F4E">
        <w:t>A</w:t>
      </w:r>
      <w:r w:rsidR="0033760A">
        <w:t xml:space="preserve">z MNB </w:t>
      </w:r>
      <w:r w:rsidRPr="00A07F4E">
        <w:t>a maradványkockázatot Mérsékelten jelentős</w:t>
      </w:r>
      <w:r w:rsidR="006E52E5" w:rsidRPr="00A07F4E">
        <w:t>nek</w:t>
      </w:r>
      <w:r w:rsidRPr="00A07F4E">
        <w:t xml:space="preserve"> értékeli</w:t>
      </w:r>
      <w:r w:rsidR="006E52E5" w:rsidRPr="00A07F4E">
        <w:t>. Megállapítható, hogy az</w:t>
      </w:r>
      <w:r w:rsidRPr="00A07F4E">
        <w:t xml:space="preserve"> inherens kockázati besorolás megegyezik a maradványkockázattal.</w:t>
      </w:r>
    </w:p>
    <w:tbl>
      <w:tblPr>
        <w:tblW w:w="4040" w:type="dxa"/>
        <w:jc w:val="center"/>
        <w:tblCellMar>
          <w:left w:w="70" w:type="dxa"/>
          <w:right w:w="70" w:type="dxa"/>
        </w:tblCellMar>
        <w:tblLook w:val="04A0" w:firstRow="1" w:lastRow="0" w:firstColumn="1" w:lastColumn="0" w:noHBand="0" w:noVBand="1"/>
      </w:tblPr>
      <w:tblGrid>
        <w:gridCol w:w="2140"/>
        <w:gridCol w:w="1900"/>
      </w:tblGrid>
      <w:tr w:rsidR="00FC544A" w:rsidRPr="00A07F4E" w14:paraId="2A9CE48E" w14:textId="77777777" w:rsidTr="00FC544A">
        <w:trPr>
          <w:trHeight w:val="300"/>
          <w:jc w:val="center"/>
        </w:trPr>
        <w:tc>
          <w:tcPr>
            <w:tcW w:w="2140" w:type="dxa"/>
            <w:tcBorders>
              <w:top w:val="nil"/>
              <w:left w:val="nil"/>
              <w:bottom w:val="nil"/>
              <w:right w:val="nil"/>
            </w:tcBorders>
            <w:shd w:val="clear" w:color="auto" w:fill="auto"/>
            <w:noWrap/>
            <w:vAlign w:val="center"/>
            <w:hideMark/>
          </w:tcPr>
          <w:p w14:paraId="66CE6727" w14:textId="77777777" w:rsidR="00FC544A" w:rsidRPr="00A07F4E" w:rsidRDefault="00FC544A" w:rsidP="00FC544A">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581EA9" w14:textId="77777777" w:rsidR="00FC544A" w:rsidRPr="00A07F4E" w:rsidRDefault="00FC544A" w:rsidP="00FC544A">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5FF8E709" w14:textId="483B71E2" w:rsidR="006E52E5" w:rsidRDefault="006E52E5" w:rsidP="00FA182A"/>
    <w:p w14:paraId="6AC44119" w14:textId="77777777" w:rsidR="006B6E04" w:rsidRPr="00A07F4E" w:rsidRDefault="00E870E3" w:rsidP="00EB55A1">
      <w:pPr>
        <w:pStyle w:val="Cmsor2"/>
      </w:pPr>
      <w:bookmarkStart w:id="170" w:name="_Toc109906057"/>
      <w:r w:rsidRPr="00A07F4E">
        <w:t>Életbiztosít</w:t>
      </w:r>
      <w:r w:rsidR="00B07B08" w:rsidRPr="00A07F4E">
        <w:t>ó</w:t>
      </w:r>
      <w:r w:rsidR="00795DD2" w:rsidRPr="00A07F4E">
        <w:t>k</w:t>
      </w:r>
      <w:bookmarkEnd w:id="170"/>
    </w:p>
    <w:p w14:paraId="06024D74" w14:textId="77777777" w:rsidR="006B6E04" w:rsidRPr="00A07F4E" w:rsidRDefault="006B6E04" w:rsidP="00A07F4E">
      <w:pPr>
        <w:pStyle w:val="Cmsor3"/>
        <w:numPr>
          <w:ilvl w:val="0"/>
          <w:numId w:val="138"/>
        </w:numPr>
      </w:pPr>
      <w:bookmarkStart w:id="171" w:name="_Toc109906058"/>
      <w:r w:rsidRPr="00A07F4E">
        <w:t>A szektor méretére, tevékenységi körére és összetettségére vonatkozó információk összesített formában</w:t>
      </w:r>
      <w:bookmarkEnd w:id="171"/>
    </w:p>
    <w:p w14:paraId="216207E0" w14:textId="09A9F282" w:rsidR="006B6E04" w:rsidRPr="00A07F4E" w:rsidRDefault="006B6E04" w:rsidP="006B6E04">
      <w:r w:rsidRPr="00EB55A1">
        <w:t>A</w:t>
      </w:r>
      <w:r w:rsidR="00D33969" w:rsidRPr="00EB55A1">
        <w:t>z MNB</w:t>
      </w:r>
      <w:r w:rsidR="00F15F64" w:rsidRPr="00EB55A1">
        <w:t xml:space="preserve"> </w:t>
      </w:r>
      <w:r w:rsidRPr="00A07F4E">
        <w:t xml:space="preserve">Magyarországon </w:t>
      </w:r>
      <w:proofErr w:type="spellStart"/>
      <w:r w:rsidRPr="00A07F4E">
        <w:t>AML</w:t>
      </w:r>
      <w:proofErr w:type="spellEnd"/>
      <w:r w:rsidRPr="00A07F4E">
        <w:t>/</w:t>
      </w:r>
      <w:proofErr w:type="spellStart"/>
      <w:r w:rsidRPr="00A07F4E">
        <w:t>CFT</w:t>
      </w:r>
      <w:proofErr w:type="spellEnd"/>
      <w:r w:rsidRPr="00A07F4E">
        <w:t xml:space="preserve"> felügyeletet </w:t>
      </w:r>
      <w:r w:rsidR="004D60F7" w:rsidRPr="00FC37B3">
        <w:t>10-15 közötti számú</w:t>
      </w:r>
      <w:r w:rsidR="00935BD1" w:rsidRPr="00FC37B3">
        <w:t xml:space="preserve"> </w:t>
      </w:r>
      <w:r w:rsidRPr="00A07F4E">
        <w:t xml:space="preserve">biztosító felett gyakorol. </w:t>
      </w:r>
      <w:r w:rsidR="008C1A55">
        <w:t>A szolgáltatók</w:t>
      </w:r>
      <w:r w:rsidRPr="00A07F4E">
        <w:t xml:space="preserve"> biztosítási tevékenységet látnak el. </w:t>
      </w:r>
      <w:r w:rsidR="00F15F64" w:rsidRPr="00F15F64">
        <w:t xml:space="preserve">Az MNB </w:t>
      </w:r>
      <w:proofErr w:type="spellStart"/>
      <w:r w:rsidR="00F15F64" w:rsidRPr="00F15F64">
        <w:t>AML</w:t>
      </w:r>
      <w:proofErr w:type="spellEnd"/>
      <w:r w:rsidR="00F15F64" w:rsidRPr="00F15F64">
        <w:t>/</w:t>
      </w:r>
      <w:proofErr w:type="spellStart"/>
      <w:r w:rsidR="00F15F64" w:rsidRPr="00F15F64">
        <w:t>CFT</w:t>
      </w:r>
      <w:proofErr w:type="spellEnd"/>
      <w:r w:rsidR="00F15F64" w:rsidRPr="00F15F64">
        <w:t xml:space="preserve"> felügyeletet kizárólag az életbiztosítási ágba tartozó tevékenységet végző biztosító felett gyakorol, tekintettel arra, hogy nem tartozik a </w:t>
      </w:r>
      <w:proofErr w:type="spellStart"/>
      <w:r w:rsidR="00F15F64" w:rsidRPr="00F15F64">
        <w:t>Pmt</w:t>
      </w:r>
      <w:proofErr w:type="spellEnd"/>
      <w:r w:rsidR="00F15F64" w:rsidRPr="00F15F64">
        <w:t>. hatálya alá a függő és független biztosításközvetítő, a nem-életbiztosítási ágba tartozó szerződésekkel kapcsolatos tevékenysége során, valamint a biztosító, amennyiben kizárólag nem-életbiztosítási ágba tartozó tevékenység végzésére rendelkezik engedéllyel, továbbá a nem-életbiztosítási ágba tartozó és az életbiztosítási ágba tartozó tevékenység egyidejű végzésére engedéllyel rendelkező szolgáltató (kompozit biztosító) pedig a nem-életbiztosítási tevékenysége tekintetében.</w:t>
      </w:r>
    </w:p>
    <w:p w14:paraId="7378187A" w14:textId="77777777" w:rsidR="006B6E04" w:rsidRPr="00A07F4E" w:rsidRDefault="006B6E04" w:rsidP="00A07F4E">
      <w:pPr>
        <w:pStyle w:val="Cmsor3"/>
        <w:numPr>
          <w:ilvl w:val="0"/>
          <w:numId w:val="138"/>
        </w:numPr>
      </w:pPr>
      <w:bookmarkStart w:id="172" w:name="_Toc106869592"/>
      <w:bookmarkStart w:id="173" w:name="_Toc107236457"/>
      <w:bookmarkStart w:id="174" w:name="_Toc107237365"/>
      <w:bookmarkStart w:id="175" w:name="_Toc107237691"/>
      <w:bookmarkStart w:id="176" w:name="_Toc106869593"/>
      <w:bookmarkStart w:id="177" w:name="_Toc107236458"/>
      <w:bookmarkStart w:id="178" w:name="_Toc107237366"/>
      <w:bookmarkStart w:id="179" w:name="_Toc107237692"/>
      <w:bookmarkStart w:id="180" w:name="_Toc106869594"/>
      <w:bookmarkStart w:id="181" w:name="_Toc107236459"/>
      <w:bookmarkStart w:id="182" w:name="_Toc107237367"/>
      <w:bookmarkStart w:id="183" w:name="_Toc107237693"/>
      <w:bookmarkStart w:id="184" w:name="_Toc109906059"/>
      <w:bookmarkEnd w:id="172"/>
      <w:bookmarkEnd w:id="173"/>
      <w:bookmarkEnd w:id="174"/>
      <w:bookmarkEnd w:id="175"/>
      <w:bookmarkEnd w:id="176"/>
      <w:bookmarkEnd w:id="177"/>
      <w:bookmarkEnd w:id="178"/>
      <w:bookmarkEnd w:id="179"/>
      <w:bookmarkEnd w:id="180"/>
      <w:bookmarkEnd w:id="181"/>
      <w:bookmarkEnd w:id="182"/>
      <w:bookmarkEnd w:id="183"/>
      <w:r w:rsidRPr="00A07F4E">
        <w:t>Inherens kockázatértékelés</w:t>
      </w:r>
      <w:bookmarkEnd w:id="184"/>
    </w:p>
    <w:p w14:paraId="614FFFB2" w14:textId="77777777" w:rsidR="00571B78" w:rsidRPr="00A07F4E" w:rsidRDefault="00571B78" w:rsidP="00A07F4E">
      <w:pPr>
        <w:pStyle w:val="Listaszerbekezds"/>
        <w:numPr>
          <w:ilvl w:val="1"/>
          <w:numId w:val="18"/>
        </w:numPr>
        <w:ind w:left="851" w:hanging="284"/>
      </w:pPr>
      <w:r w:rsidRPr="00A07F4E">
        <w:t>Az életbiztosít</w:t>
      </w:r>
      <w:r w:rsidR="00291050" w:rsidRPr="00A07F4E">
        <w:t xml:space="preserve">ási </w:t>
      </w:r>
      <w:r w:rsidRPr="00A07F4E">
        <w:t>szektorban rejlő ML/</w:t>
      </w:r>
      <w:proofErr w:type="spellStart"/>
      <w:r w:rsidRPr="00A07F4E">
        <w:t>TF</w:t>
      </w:r>
      <w:proofErr w:type="spellEnd"/>
      <w:r w:rsidRPr="00A07F4E">
        <w:t xml:space="preserve"> kockázati tényezők</w:t>
      </w:r>
    </w:p>
    <w:p w14:paraId="551147C6" w14:textId="466688F5" w:rsidR="006B6E04" w:rsidRPr="00A07F4E" w:rsidRDefault="00D00776" w:rsidP="00FC4014">
      <w:r>
        <w:t>A termék/szolgáltatás, ügyfél, földrajzi, valamint értékesítési csatornához társítható kockázatok</w:t>
      </w:r>
      <w:r w:rsidR="0088309D">
        <w:t xml:space="preserve"> </w:t>
      </w:r>
      <w:r>
        <w:t xml:space="preserve">MNB általi értékelését az alábbi táblázat szemlélteti: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F55F34" w:rsidRPr="003168BA" w14:paraId="59BBED47" w14:textId="77777777" w:rsidTr="00300DCA">
        <w:trPr>
          <w:trHeight w:val="314"/>
        </w:trPr>
        <w:tc>
          <w:tcPr>
            <w:tcW w:w="3061" w:type="dxa"/>
          </w:tcPr>
          <w:p w14:paraId="78BF6718" w14:textId="77777777" w:rsidR="00F55F34" w:rsidRPr="00554E41" w:rsidRDefault="00F55F34"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61E2ED71" w14:textId="77777777" w:rsidR="00F55F34" w:rsidRPr="00554E41" w:rsidRDefault="00F55F34"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F55F34" w:rsidRPr="003168BA" w14:paraId="338E63E0" w14:textId="77777777" w:rsidTr="00EB55A1">
        <w:tc>
          <w:tcPr>
            <w:tcW w:w="3061" w:type="dxa"/>
            <w:shd w:val="clear" w:color="auto" w:fill="auto"/>
          </w:tcPr>
          <w:p w14:paraId="198AA5D8" w14:textId="77777777" w:rsidR="00F55F34" w:rsidRPr="00554E41" w:rsidRDefault="00F55F3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77091C44" w14:textId="1A1DBA4C" w:rsidR="00F55F34" w:rsidRPr="00554E41" w:rsidRDefault="00F55F3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F55F34" w14:paraId="367B6F24" w14:textId="77777777" w:rsidTr="00EB55A1">
        <w:tc>
          <w:tcPr>
            <w:tcW w:w="3061" w:type="dxa"/>
            <w:shd w:val="clear" w:color="auto" w:fill="auto"/>
          </w:tcPr>
          <w:p w14:paraId="789A55EC" w14:textId="77777777" w:rsidR="00F55F34" w:rsidRPr="00554E41" w:rsidRDefault="00F55F3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FFFF00"/>
          </w:tcPr>
          <w:p w14:paraId="53DF3EDC" w14:textId="77777777" w:rsidR="00F55F34" w:rsidRPr="00554E41" w:rsidRDefault="00F55F3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r w:rsidR="00F55F34" w14:paraId="41E109AC" w14:textId="77777777" w:rsidTr="00EB55A1">
        <w:trPr>
          <w:trHeight w:val="50"/>
        </w:trPr>
        <w:tc>
          <w:tcPr>
            <w:tcW w:w="3061" w:type="dxa"/>
            <w:shd w:val="clear" w:color="auto" w:fill="auto"/>
          </w:tcPr>
          <w:p w14:paraId="38637D2A" w14:textId="77777777" w:rsidR="00F55F34" w:rsidRPr="00554E41" w:rsidRDefault="00F55F3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5BC579DD" w14:textId="44FC2F5E" w:rsidR="00F55F34" w:rsidRPr="00554E41" w:rsidRDefault="00F55F3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F55F34" w14:paraId="32C63AA1" w14:textId="77777777" w:rsidTr="00EB55A1">
        <w:tc>
          <w:tcPr>
            <w:tcW w:w="3061" w:type="dxa"/>
            <w:shd w:val="clear" w:color="auto" w:fill="auto"/>
          </w:tcPr>
          <w:p w14:paraId="713CE505" w14:textId="5657A4D2" w:rsidR="00F55F34" w:rsidRPr="00554E41" w:rsidRDefault="00F55F3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sidR="00D00776">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C000"/>
          </w:tcPr>
          <w:p w14:paraId="482AF357" w14:textId="394224D7" w:rsidR="00F55F34" w:rsidRPr="00554E41" w:rsidRDefault="00F55F3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Jelentős</w:t>
            </w:r>
          </w:p>
        </w:tc>
      </w:tr>
    </w:tbl>
    <w:p w14:paraId="0BFA9FA6" w14:textId="3661DE7C" w:rsidR="00DB5B80" w:rsidRPr="00A07F4E" w:rsidRDefault="00D00776" w:rsidP="00C63813">
      <w:pPr>
        <w:spacing w:before="120"/>
      </w:pPr>
      <w:r w:rsidRPr="00095247">
        <w:t xml:space="preserve"> </w:t>
      </w:r>
      <w:r>
        <w:t>Az életbiztosítói szektorba tartozó szolgáltatók vonatkozásában kockázatként került azonosításra</w:t>
      </w:r>
      <w:r w:rsidR="00ED25AA">
        <w:t>, hogy a szolgáltatók nem allokálnak megfelelő</w:t>
      </w:r>
      <w:r>
        <w:t xml:space="preserve"> </w:t>
      </w:r>
      <w:r w:rsidR="00ED25AA">
        <w:t xml:space="preserve">humán erőforrást az </w:t>
      </w:r>
      <w:proofErr w:type="spellStart"/>
      <w:r w:rsidR="00ED25AA">
        <w:t>AML</w:t>
      </w:r>
      <w:proofErr w:type="spellEnd"/>
      <w:r w:rsidR="00ED25AA">
        <w:t>/</w:t>
      </w:r>
      <w:proofErr w:type="spellStart"/>
      <w:r w:rsidR="00ED25AA">
        <w:t>CFT</w:t>
      </w:r>
      <w:proofErr w:type="spellEnd"/>
      <w:r w:rsidR="00ED25AA">
        <w:t xml:space="preserve"> feladatok ellátására. Továbbá k</w:t>
      </w:r>
      <w:r w:rsidR="00DB5B80" w:rsidRPr="00A07F4E">
        <w:t>ockázatként került azonosításra</w:t>
      </w:r>
      <w:r w:rsidR="00144800">
        <w:t>,</w:t>
      </w:r>
      <w:r w:rsidR="00DB5B80" w:rsidRPr="00A07F4E">
        <w:t xml:space="preserve"> </w:t>
      </w:r>
      <w:r w:rsidR="006D1957">
        <w:t>hogy</w:t>
      </w:r>
      <w:r w:rsidR="00ED25AA">
        <w:t xml:space="preserve"> </w:t>
      </w:r>
      <w:r w:rsidR="00DB5B80" w:rsidRPr="00A07F4E">
        <w:t xml:space="preserve">a </w:t>
      </w:r>
      <w:r w:rsidR="006D1957" w:rsidRPr="00A07F4E">
        <w:t>kockázat</w:t>
      </w:r>
      <w:r w:rsidR="006D1957">
        <w:t>érzékenységi</w:t>
      </w:r>
      <w:r w:rsidR="006D1957" w:rsidRPr="00A07F4E">
        <w:t xml:space="preserve"> </w:t>
      </w:r>
      <w:r w:rsidR="00DB5B80" w:rsidRPr="00A07F4E">
        <w:t xml:space="preserve">megközelítést </w:t>
      </w:r>
      <w:r w:rsidR="00ED25AA">
        <w:t>a szolgáltatók nem alkalmazzák a gyakorlatukban</w:t>
      </w:r>
      <w:r w:rsidR="00DB5B80" w:rsidRPr="00A07F4E">
        <w:t xml:space="preserve">. </w:t>
      </w:r>
      <w:r w:rsidR="00ED25AA">
        <w:t>Az MNB további k</w:t>
      </w:r>
      <w:r w:rsidR="00DB5B80" w:rsidRPr="00A07F4E">
        <w:t xml:space="preserve">ockázatként </w:t>
      </w:r>
      <w:r w:rsidR="00ED25AA">
        <w:t>azonosította</w:t>
      </w:r>
      <w:r w:rsidR="00DB5B80" w:rsidRPr="00A07F4E">
        <w:t xml:space="preserve">, hogy </w:t>
      </w:r>
      <w:r w:rsidR="008C1A55">
        <w:t>a szolgáltatók</w:t>
      </w:r>
      <w:r w:rsidR="00DB5B80" w:rsidRPr="00A07F4E">
        <w:t xml:space="preserve"> nem alkalmaznak megfelelő </w:t>
      </w:r>
      <w:r w:rsidR="00ED25AA">
        <w:t>ügyfél-</w:t>
      </w:r>
      <w:r w:rsidR="00DB5B80" w:rsidRPr="00A07F4E">
        <w:t xml:space="preserve">átvilágítási eljárásokat vagy rendszereket az EU és az ENSZ BT célzott pénzügyi szankciós </w:t>
      </w:r>
      <w:r w:rsidR="00F17407" w:rsidRPr="009F3A30">
        <w:t>listái szerinti</w:t>
      </w:r>
      <w:r w:rsidR="00F17407" w:rsidRPr="00A07F4E">
        <w:t xml:space="preserve"> </w:t>
      </w:r>
      <w:r w:rsidR="00DB5B80" w:rsidRPr="00A07F4E">
        <w:t>átvilágításra.</w:t>
      </w:r>
    </w:p>
    <w:p w14:paraId="28CB49AB" w14:textId="6857D993" w:rsidR="006B6E04" w:rsidRPr="00A07F4E" w:rsidRDefault="00893E51" w:rsidP="006B6E04">
      <w:r w:rsidRPr="00A07F4E">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 szektor nem az első számú célpont, amelyet ML/</w:t>
      </w:r>
      <w:proofErr w:type="spellStart"/>
      <w:r w:rsidRPr="00A07F4E">
        <w:t>TF</w:t>
      </w:r>
      <w:proofErr w:type="spellEnd"/>
      <w:r w:rsidRPr="00A07F4E">
        <w:t xml:space="preserve"> célokra felhasználnak, habár a szektor nagyon eltérő</w:t>
      </w:r>
      <w:r w:rsidR="00ED25AA">
        <w:t>en értékelt</w:t>
      </w:r>
      <w:r w:rsidRPr="00A07F4E">
        <w:t xml:space="preserve"> EU szerte, </w:t>
      </w:r>
      <w:r w:rsidR="008037B7">
        <w:t>tekintettel arra, hogy</w:t>
      </w:r>
      <w:r w:rsidRPr="00A07F4E">
        <w:t xml:space="preserve"> néhány </w:t>
      </w:r>
      <w:r w:rsidR="00ED25AA">
        <w:t xml:space="preserve">külföldi </w:t>
      </w:r>
      <w:r w:rsidRPr="00A07F4E">
        <w:t xml:space="preserve">hatóság, </w:t>
      </w:r>
      <w:r w:rsidR="00ED25AA">
        <w:t>különösen</w:t>
      </w:r>
      <w:r w:rsidR="00B702F0">
        <w:t>,</w:t>
      </w:r>
      <w:r w:rsidRPr="00A07F4E">
        <w:t xml:space="preserve"> ahol a biztosítások</w:t>
      </w:r>
      <w:r w:rsidR="00ED25AA">
        <w:t>kal összefüggő ML/</w:t>
      </w:r>
      <w:proofErr w:type="spellStart"/>
      <w:r w:rsidR="00ED25AA">
        <w:t>TF</w:t>
      </w:r>
      <w:proofErr w:type="spellEnd"/>
      <w:r w:rsidR="00ED25AA">
        <w:t xml:space="preserve"> kockázatok</w:t>
      </w:r>
      <w:r w:rsidRPr="00A07F4E">
        <w:t xml:space="preserve"> </w:t>
      </w:r>
      <w:r w:rsidR="008037B7">
        <w:t>potenciálisan</w:t>
      </w:r>
      <w:r w:rsidRPr="00A07F4E">
        <w:t xml:space="preserve"> </w:t>
      </w:r>
      <w:r w:rsidR="003C0EC9" w:rsidRPr="00A07F4E">
        <w:t xml:space="preserve">hangsúlyosabbak </w:t>
      </w:r>
      <w:r w:rsidRPr="00A07F4E">
        <w:t xml:space="preserve">több </w:t>
      </w:r>
      <w:r w:rsidR="008C1A55">
        <w:t>szolgáltató</w:t>
      </w:r>
      <w:r w:rsidR="008037B7">
        <w:t>hoz</w:t>
      </w:r>
      <w:r w:rsidRPr="00A07F4E">
        <w:t xml:space="preserve"> Jelentős kockázati </w:t>
      </w:r>
      <w:r w:rsidR="008037B7">
        <w:t>értéket társított</w:t>
      </w:r>
      <w:r w:rsidRPr="00A07F4E">
        <w:t xml:space="preserve">. </w:t>
      </w:r>
    </w:p>
    <w:p w14:paraId="70C9B3A1" w14:textId="246C1E45" w:rsidR="007F0390" w:rsidRPr="00A07F4E" w:rsidRDefault="007F0390" w:rsidP="006B6E04">
      <w:r w:rsidRPr="00A07F4E">
        <w:t>A</w:t>
      </w:r>
      <w:r w:rsidR="002849F6">
        <w:t xml:space="preserve">z </w:t>
      </w:r>
      <w:proofErr w:type="spellStart"/>
      <w:r w:rsidR="002849F6">
        <w:t>EBA</w:t>
      </w:r>
      <w:proofErr w:type="spellEnd"/>
      <w:r w:rsidR="002849F6">
        <w:t xml:space="preserve"> </w:t>
      </w:r>
      <w:proofErr w:type="spellStart"/>
      <w:r w:rsidR="002849F6">
        <w:t>Opin</w:t>
      </w:r>
      <w:r w:rsidR="00B154D8">
        <w:t>i</w:t>
      </w:r>
      <w:r w:rsidR="002849F6">
        <w:t>on</w:t>
      </w:r>
      <w:proofErr w:type="spellEnd"/>
      <w:r w:rsidR="002849F6">
        <w:t xml:space="preserve"> szerint az</w:t>
      </w:r>
      <w:r w:rsidRPr="00A07F4E">
        <w:t xml:space="preserve"> értékesítés</w:t>
      </w:r>
      <w:r w:rsidR="006C157B" w:rsidRPr="00A07F4E">
        <w:t>i</w:t>
      </w:r>
      <w:r w:rsidRPr="00A07F4E">
        <w:t xml:space="preserve"> csatorna nagyobb kockázatot </w:t>
      </w:r>
      <w:r w:rsidR="002849F6">
        <w:t>hordoz</w:t>
      </w:r>
      <w:r w:rsidRPr="00A07F4E">
        <w:t xml:space="preserve">, tekintettel arra, hogy számos </w:t>
      </w:r>
      <w:r w:rsidR="002849F6">
        <w:t xml:space="preserve">esetben </w:t>
      </w:r>
      <w:r w:rsidRPr="00A07F4E">
        <w:t xml:space="preserve">közvetítőt vesznek igénybe </w:t>
      </w:r>
      <w:r w:rsidR="008C1A55">
        <w:t>a szolgáltatók</w:t>
      </w:r>
      <w:r w:rsidRPr="00A07F4E">
        <w:t xml:space="preserve">, </w:t>
      </w:r>
      <w:r w:rsidR="002849F6" w:rsidRPr="00A07F4E">
        <w:t>amelyek,</w:t>
      </w:r>
      <w:r w:rsidRPr="00A07F4E">
        <w:t xml:space="preserve"> mint harmadik felek végzik el az ügyfél-átvilágítási tevékenységeket </w:t>
      </w:r>
      <w:r w:rsidR="008C1A55">
        <w:t>a szolgáltatók</w:t>
      </w:r>
      <w:r w:rsidRPr="00A07F4E">
        <w:t xml:space="preserve"> helyett, ezzel nagyobb kockázatot futva az értékesítési csatornát tekintve. </w:t>
      </w:r>
      <w:r w:rsidR="00242F6F" w:rsidRPr="00A07F4E">
        <w:t>A közvetítők elterjedése ebben a szektorban a legyakoribb. Bár a közvetítők alkalmazása a sze</w:t>
      </w:r>
      <w:r w:rsidR="006C157B" w:rsidRPr="00A07F4E">
        <w:t>k</w:t>
      </w:r>
      <w:r w:rsidR="00242F6F" w:rsidRPr="00A07F4E">
        <w:t>to</w:t>
      </w:r>
      <w:r w:rsidR="006C157B" w:rsidRPr="00A07F4E">
        <w:t>r</w:t>
      </w:r>
      <w:r w:rsidR="00242F6F" w:rsidRPr="00A07F4E">
        <w:t xml:space="preserve">ban nem befolyásolja jelentősen </w:t>
      </w:r>
      <w:r w:rsidR="00242F6F" w:rsidRPr="00A07F4E">
        <w:lastRenderedPageBreak/>
        <w:t xml:space="preserve">az ágazat általános kockázatait, mégis lehetséges </w:t>
      </w:r>
      <w:r w:rsidR="002849F6">
        <w:t xml:space="preserve">sérülékenységet </w:t>
      </w:r>
      <w:r w:rsidR="00242F6F" w:rsidRPr="00A07F4E">
        <w:t>teremt, mivel a biztosítók jobban eltávolodnak az ügyf</w:t>
      </w:r>
      <w:r w:rsidR="00B471CD" w:rsidRPr="00A07F4E">
        <w:t>elek</w:t>
      </w:r>
      <w:r w:rsidR="00242F6F" w:rsidRPr="00A07F4E">
        <w:t>től, mintha ők maguk közvetlenül nyújtanák a szolgáltatást.</w:t>
      </w:r>
      <w:r w:rsidR="00B471CD" w:rsidRPr="00A07F4E">
        <w:t xml:space="preserve"> Ezen túlmenően az életbiztosítási üzletág nagy része befektetési lehetőségekkel összekapcsolt életbiztosítást tartalmaz. A hatóságok által említett fő ügyfélkockázatok a </w:t>
      </w:r>
      <w:r w:rsidR="00E20572">
        <w:t>kiemelt közszereplőkk</w:t>
      </w:r>
      <w:r w:rsidR="00B471CD" w:rsidRPr="00A07F4E">
        <w:t>e</w:t>
      </w:r>
      <w:r w:rsidR="00E20572">
        <w:t>l</w:t>
      </w:r>
      <w:r w:rsidR="00B471CD" w:rsidRPr="00A07F4E">
        <w:t xml:space="preserve"> az ügyfél külföldi számláira történő kifizetésekkel, a csalással, a készpénzhasználattal, a természetes személytől eltérő ügyf</w:t>
      </w:r>
      <w:r w:rsidR="00571B78" w:rsidRPr="00A07F4E">
        <w:t>elekkel</w:t>
      </w:r>
      <w:r w:rsidR="00B471CD" w:rsidRPr="00A07F4E">
        <w:t xml:space="preserve"> való </w:t>
      </w:r>
      <w:r w:rsidR="00571B78" w:rsidRPr="00A07F4E">
        <w:t xml:space="preserve">üzleti kapcsolattal, illetve </w:t>
      </w:r>
      <w:r w:rsidR="00B471CD" w:rsidRPr="00A07F4E">
        <w:t>az ügyféltől eltérő kedvezményezettekkel voltak kapcsolatosak. Ugyanakkor ezen ügyfelek kockázatait</w:t>
      </w:r>
      <w:r w:rsidR="002849F6">
        <w:t xml:space="preserve"> a külföldi hatsóágok</w:t>
      </w:r>
      <w:r w:rsidR="00B471CD" w:rsidRPr="00A07F4E">
        <w:t xml:space="preserve"> még mindig </w:t>
      </w:r>
      <w:r w:rsidR="00460944" w:rsidRPr="00A07F4E">
        <w:t>M</w:t>
      </w:r>
      <w:r w:rsidR="00B471CD" w:rsidRPr="00A07F4E">
        <w:t xml:space="preserve">érsékelt vagy </w:t>
      </w:r>
      <w:r w:rsidR="00460944" w:rsidRPr="00A07F4E">
        <w:t>K</w:t>
      </w:r>
      <w:r w:rsidR="00B471CD" w:rsidRPr="00A07F4E">
        <w:t>evésbé jelentős kockázatokat jelentőnek ítélték.</w:t>
      </w:r>
    </w:p>
    <w:p w14:paraId="04FD2466" w14:textId="77777777" w:rsidR="008345F6" w:rsidRPr="00A07F4E" w:rsidRDefault="008345F6" w:rsidP="008345F6">
      <w:pPr>
        <w:pStyle w:val="Listaszerbekezds"/>
        <w:numPr>
          <w:ilvl w:val="1"/>
          <w:numId w:val="18"/>
        </w:numPr>
      </w:pPr>
      <w:r w:rsidRPr="00A07F4E">
        <w:t>Az életbiztosítási szektorban rejlő, határokon átnyúló ML/</w:t>
      </w:r>
      <w:proofErr w:type="spellStart"/>
      <w:r w:rsidRPr="00A07F4E">
        <w:t>TF</w:t>
      </w:r>
      <w:proofErr w:type="spellEnd"/>
      <w:r w:rsidRPr="00A07F4E">
        <w:t xml:space="preserve"> kockázatok </w:t>
      </w:r>
    </w:p>
    <w:p w14:paraId="4DA4F445" w14:textId="77777777" w:rsidR="002849F6" w:rsidRDefault="002849F6" w:rsidP="002849F6">
      <w:r w:rsidRPr="002849F6">
        <w:t>A</w:t>
      </w:r>
      <w:r>
        <w:t xml:space="preserve"> hazai életbiztosítók</w:t>
      </w:r>
      <w:r w:rsidRPr="002849F6">
        <w:t xml:space="preserve"> tulajdonosi köre jellemzően </w:t>
      </w:r>
      <w:r>
        <w:t>külföldi</w:t>
      </w:r>
      <w:r w:rsidRPr="002849F6">
        <w:t>, az élet ágon tevékenykedő biztosítók túlnyomó többsége EU-n belüli, külföldi anyavállalatokkal rendelkezik.</w:t>
      </w:r>
      <w:r>
        <w:t xml:space="preserve"> </w:t>
      </w:r>
    </w:p>
    <w:p w14:paraId="7E6A08BC" w14:textId="62D1F3D6" w:rsidR="00CE1C15" w:rsidRPr="00A07F4E" w:rsidRDefault="002849F6" w:rsidP="00FC4014">
      <w:r>
        <w:t xml:space="preserve">Elmondható azonban az is, hogy </w:t>
      </w:r>
      <w:r w:rsidR="00CE1C15" w:rsidRPr="00A07F4E">
        <w:t xml:space="preserve">tipikusan magyar ügyfelekkel rendelkeznek a szektorhoz tartozó </w:t>
      </w:r>
      <w:r w:rsidR="008C1A55">
        <w:t>szolgáltatók</w:t>
      </w:r>
      <w:r w:rsidR="00CE1C15" w:rsidRPr="00A07F4E">
        <w:t xml:space="preserve">. </w:t>
      </w:r>
    </w:p>
    <w:p w14:paraId="44DE1087" w14:textId="1FE24F3D" w:rsidR="003C0EC9" w:rsidRPr="00A07F4E" w:rsidRDefault="003C0EC9" w:rsidP="00CE1C15">
      <w:r w:rsidRPr="00A07F4E">
        <w:rPr>
          <w:b/>
          <w:bCs/>
        </w:rPr>
        <w:t>A</w:t>
      </w:r>
      <w:r w:rsidR="002849F6">
        <w:rPr>
          <w:b/>
          <w:bCs/>
        </w:rPr>
        <w:t xml:space="preserve">z </w:t>
      </w:r>
      <w:r w:rsidR="002849F6" w:rsidRPr="002849F6">
        <w:rPr>
          <w:b/>
          <w:bCs/>
        </w:rPr>
        <w:t xml:space="preserve">MNB </w:t>
      </w:r>
      <w:r w:rsidRPr="00EB55A1">
        <w:rPr>
          <w:b/>
        </w:rPr>
        <w:t>é</w:t>
      </w:r>
      <w:r w:rsidRPr="00A07F4E">
        <w:rPr>
          <w:b/>
          <w:bCs/>
        </w:rPr>
        <w:t xml:space="preserve">rtékelése alapján a pénzügyi szolgáltatói szektor Mérsékelten jelentős inherens kockázati értékkel rendelkezik, amely megegyezik az </w:t>
      </w:r>
      <w:proofErr w:type="spellStart"/>
      <w:r w:rsidRPr="00A07F4E">
        <w:rPr>
          <w:b/>
          <w:bCs/>
        </w:rPr>
        <w:t>EBA</w:t>
      </w:r>
      <w:proofErr w:type="spellEnd"/>
      <w:r w:rsidRPr="00A07F4E">
        <w:rPr>
          <w:b/>
          <w:bCs/>
        </w:rPr>
        <w:t xml:space="preserve"> </w:t>
      </w:r>
      <w:proofErr w:type="spellStart"/>
      <w:r w:rsidRPr="00A07F4E">
        <w:rPr>
          <w:b/>
          <w:bCs/>
        </w:rPr>
        <w:t>Opinion</w:t>
      </w:r>
      <w:proofErr w:type="spellEnd"/>
      <w:r w:rsidRPr="00A07F4E">
        <w:rPr>
          <w:b/>
          <w:bCs/>
        </w:rPr>
        <w:t xml:space="preserve"> összegzése szerinti, több illetékes hatóság értékelésével.</w:t>
      </w:r>
      <w:r w:rsidRPr="00A07F4E">
        <w:t xml:space="preserve"> </w:t>
      </w:r>
    </w:p>
    <w:tbl>
      <w:tblPr>
        <w:tblW w:w="4040" w:type="dxa"/>
        <w:jc w:val="center"/>
        <w:tblCellMar>
          <w:left w:w="70" w:type="dxa"/>
          <w:right w:w="70" w:type="dxa"/>
        </w:tblCellMar>
        <w:tblLook w:val="04A0" w:firstRow="1" w:lastRow="0" w:firstColumn="1" w:lastColumn="0" w:noHBand="0" w:noVBand="1"/>
      </w:tblPr>
      <w:tblGrid>
        <w:gridCol w:w="2140"/>
        <w:gridCol w:w="1900"/>
      </w:tblGrid>
      <w:tr w:rsidR="00A13F02" w:rsidRPr="00A07F4E" w14:paraId="41C7DB23" w14:textId="77777777" w:rsidTr="00A13F02">
        <w:trPr>
          <w:trHeight w:val="300"/>
          <w:jc w:val="center"/>
        </w:trPr>
        <w:tc>
          <w:tcPr>
            <w:tcW w:w="2140" w:type="dxa"/>
            <w:tcBorders>
              <w:top w:val="nil"/>
              <w:left w:val="nil"/>
              <w:bottom w:val="nil"/>
              <w:right w:val="nil"/>
            </w:tcBorders>
            <w:shd w:val="clear" w:color="auto" w:fill="auto"/>
            <w:noWrap/>
            <w:vAlign w:val="center"/>
            <w:hideMark/>
          </w:tcPr>
          <w:p w14:paraId="162CEB2E" w14:textId="77777777" w:rsidR="00A13F02" w:rsidRPr="00A07F4E" w:rsidRDefault="00A13F02" w:rsidP="00A13F02">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46F8E9" w14:textId="77777777" w:rsidR="00A13F02" w:rsidRPr="00A07F4E" w:rsidRDefault="00A13F02" w:rsidP="00A13F02">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2B2E950C" w14:textId="77777777" w:rsidR="00282E68" w:rsidRPr="00A07F4E" w:rsidRDefault="00282E68" w:rsidP="00A07F4E">
      <w:pPr>
        <w:pStyle w:val="Cmsor3"/>
        <w:numPr>
          <w:ilvl w:val="0"/>
          <w:numId w:val="138"/>
        </w:numPr>
      </w:pPr>
      <w:bookmarkStart w:id="185" w:name="_Toc109906060"/>
      <w:r w:rsidRPr="00A07F4E">
        <w:t>Az ellenőrzések minősége</w:t>
      </w:r>
      <w:bookmarkEnd w:id="185"/>
    </w:p>
    <w:p w14:paraId="3518C434" w14:textId="4806A16A" w:rsidR="001F7518" w:rsidRPr="00A07F4E" w:rsidRDefault="001F7518" w:rsidP="00931AA9">
      <w:r w:rsidRPr="008037B7">
        <w:t>A</w:t>
      </w:r>
      <w:r w:rsidR="008037B7" w:rsidRPr="008037B7">
        <w:t>z MNB</w:t>
      </w:r>
      <w:r w:rsidRPr="00A07F4E">
        <w:t xml:space="preserve"> </w:t>
      </w:r>
      <w:r w:rsidRPr="00EB55A1">
        <w:t>a</w:t>
      </w:r>
      <w:r w:rsidR="006C4558" w:rsidRPr="00A07F4E">
        <w:t xml:space="preserve">z életbiztosítók </w:t>
      </w:r>
      <w:r w:rsidR="0041629D" w:rsidRPr="00A07F4E">
        <w:t xml:space="preserve">általi </w:t>
      </w:r>
      <w:r w:rsidR="001874A5" w:rsidRPr="00A07F4E">
        <w:t xml:space="preserve">ellenőrzések megfelelőségét és minőségét értékelte, amely alapján </w:t>
      </w:r>
      <w:r w:rsidR="008C1A55">
        <w:t>a szolgáltatók</w:t>
      </w:r>
      <w:r w:rsidRPr="00A07F4E">
        <w:t xml:space="preserve"> egészére kiterjedő, az egyes üzleti kapcsolatokra alkalmazott kockázatértékelést minősítette gyengének, az ML/</w:t>
      </w:r>
      <w:proofErr w:type="spellStart"/>
      <w:r w:rsidRPr="00A07F4E">
        <w:t>TF</w:t>
      </w:r>
      <w:proofErr w:type="spellEnd"/>
      <w:r w:rsidRPr="00A07F4E">
        <w:t xml:space="preserve"> kockázatok ismeretét, beleértve a személyzet </w:t>
      </w:r>
      <w:proofErr w:type="spellStart"/>
      <w:r w:rsidRPr="00A07F4E">
        <w:t>AML</w:t>
      </w:r>
      <w:proofErr w:type="spellEnd"/>
      <w:r w:rsidRPr="00A07F4E">
        <w:t>/</w:t>
      </w:r>
      <w:proofErr w:type="spellStart"/>
      <w:r w:rsidRPr="00A07F4E">
        <w:t>CFT</w:t>
      </w:r>
      <w:proofErr w:type="spellEnd"/>
      <w:r w:rsidRPr="00A07F4E">
        <w:t xml:space="preserve"> képzésének elérhetőségét és hatékonyságát, valamint a nyilvántartási politikák és eljárások megfelelőségét értékelte nagyon jónak, míg a többi értékelési szempontot jó minősítést kapott. </w:t>
      </w:r>
      <w:r w:rsidR="00460944" w:rsidRPr="00A07F4E">
        <w:rPr>
          <w:rStyle w:val="Lbjegyzet-hivatkozs"/>
        </w:rPr>
        <w:footnoteReference w:id="25"/>
      </w:r>
    </w:p>
    <w:p w14:paraId="122BC660" w14:textId="70AFB0B3" w:rsidR="00931AA9" w:rsidRPr="00A07F4E" w:rsidRDefault="00282E68" w:rsidP="00931AA9">
      <w:r w:rsidRPr="00A07F4E">
        <w:t xml:space="preserve">Az </w:t>
      </w:r>
      <w:proofErr w:type="spellStart"/>
      <w:r w:rsidRPr="00A07F4E">
        <w:t>EBA</w:t>
      </w:r>
      <w:proofErr w:type="spellEnd"/>
      <w:r w:rsidRPr="00A07F4E">
        <w:t xml:space="preserve"> </w:t>
      </w:r>
      <w:proofErr w:type="spellStart"/>
      <w:r w:rsidRPr="00A07F4E">
        <w:t>Opinion</w:t>
      </w:r>
      <w:proofErr w:type="spellEnd"/>
      <w:r w:rsidR="008037B7">
        <w:t xml:space="preserve"> alapján</w:t>
      </w:r>
      <w:r w:rsidRPr="00A07F4E">
        <w:t xml:space="preserve"> </w:t>
      </w:r>
      <w:r w:rsidR="00931AA9" w:rsidRPr="00A07F4E">
        <w:t xml:space="preserve">az ágazatban működő </w:t>
      </w:r>
      <w:r w:rsidR="008C1A55">
        <w:t>szolgáltatók</w:t>
      </w:r>
      <w:r w:rsidR="00931AA9" w:rsidRPr="00A07F4E">
        <w:t xml:space="preserve"> által bevezetett ellenőrzéseket </w:t>
      </w:r>
      <w:r w:rsidR="00CA01CE" w:rsidRPr="00A07F4E">
        <w:t xml:space="preserve">a </w:t>
      </w:r>
      <w:r w:rsidR="008037B7">
        <w:t>külföldi</w:t>
      </w:r>
      <w:r w:rsidR="00CA01CE" w:rsidRPr="00A07F4E">
        <w:t xml:space="preserve"> </w:t>
      </w:r>
      <w:r w:rsidR="00931AA9" w:rsidRPr="00A07F4E">
        <w:t xml:space="preserve">hatóságok többsége jónak minősítette. A </w:t>
      </w:r>
      <w:r w:rsidR="008037B7">
        <w:t>külföldi</w:t>
      </w:r>
      <w:r w:rsidR="00931AA9" w:rsidRPr="00A07F4E">
        <w:t xml:space="preserve"> hatóságok viszonylag elégedettnek tűntek a politikákkal és eljárásokkal kapcsolatos ellenőrzések megfelelőségével, különösen az ügyfelek azonosításával és ellenőrzésével, valamint a nyilvántartások vezetésével. Aggodalmukat fejezték ki azonban néhány ellenőrzés hatékonyságával kapcsolatban, különösen a tranzakciók folyamatos </w:t>
      </w:r>
      <w:proofErr w:type="spellStart"/>
      <w:r w:rsidR="00931AA9" w:rsidRPr="00A07F4E">
        <w:t>monitoringjával</w:t>
      </w:r>
      <w:proofErr w:type="spellEnd"/>
      <w:r w:rsidR="00931AA9" w:rsidRPr="00A07F4E">
        <w:t xml:space="preserve"> és </w:t>
      </w:r>
      <w:r w:rsidR="00931AA9" w:rsidRPr="008A09BA">
        <w:t>a</w:t>
      </w:r>
      <w:r w:rsidR="00460944" w:rsidRPr="008A09BA">
        <w:t>z</w:t>
      </w:r>
      <w:r w:rsidR="00931AA9" w:rsidRPr="008A09BA">
        <w:t xml:space="preserve"> </w:t>
      </w:r>
      <w:r w:rsidR="002C73BD">
        <w:t>be</w:t>
      </w:r>
      <w:r w:rsidR="00931AA9" w:rsidRPr="008A09BA">
        <w:t>jelentéssel</w:t>
      </w:r>
      <w:r w:rsidR="00931AA9" w:rsidRPr="00A07F4E">
        <w:t xml:space="preserve"> kapcsolatos ellenőrzésekkel, valamint </w:t>
      </w:r>
      <w:r w:rsidR="001874A5" w:rsidRPr="00A07F4E">
        <w:t>– a</w:t>
      </w:r>
      <w:r w:rsidR="008037B7">
        <w:t>z MNB</w:t>
      </w:r>
      <w:r w:rsidR="008037B7" w:rsidRPr="008037B7">
        <w:t>-hez</w:t>
      </w:r>
      <w:r w:rsidR="001874A5" w:rsidRPr="00A07F4E">
        <w:t xml:space="preserve"> </w:t>
      </w:r>
      <w:r w:rsidR="001874A5" w:rsidRPr="00EB55A1">
        <w:t>hasonlóan</w:t>
      </w:r>
      <w:r w:rsidR="001874A5" w:rsidRPr="00A07F4E">
        <w:t xml:space="preserve"> – </w:t>
      </w:r>
      <w:r w:rsidR="00931AA9" w:rsidRPr="00A07F4E">
        <w:t xml:space="preserve">az egész </w:t>
      </w:r>
      <w:r w:rsidR="004023C2">
        <w:t>szolgáltatóra</w:t>
      </w:r>
      <w:r w:rsidR="004023C2" w:rsidRPr="00A07F4E">
        <w:t xml:space="preserve"> </w:t>
      </w:r>
      <w:r w:rsidR="00931AA9" w:rsidRPr="00A07F4E">
        <w:t>kiterjedő és az ügyfélkockázat kockázatértékelések minőségével kapcsolatban. Ez azzal magyarázható, hogy a biztosítók jellemzően kevesebb információt kapnak az ügyfelektől az üzleti kapcsolat kezdete után, mivel a tranzakciók gyakorisága és/vagy változékonysága ezt követően alacsonyabb, mint például a bankszektorban. Ezt azonban enyhítheti az a tény, hogy a tranzakciókat többnyire bankszámlákon keresztül bonyolítják le, amelyek általában hatékony ellenőrzésekkel vannak ellátva.</w:t>
      </w:r>
    </w:p>
    <w:p w14:paraId="34660F4B" w14:textId="77777777" w:rsidR="0029772D" w:rsidRPr="00A07F4E" w:rsidRDefault="0029772D" w:rsidP="00A07F4E">
      <w:pPr>
        <w:pStyle w:val="Cmsor3"/>
        <w:numPr>
          <w:ilvl w:val="0"/>
          <w:numId w:val="138"/>
        </w:numPr>
      </w:pPr>
      <w:bookmarkStart w:id="186" w:name="_Toc109906061"/>
      <w:r w:rsidRPr="00A07F4E">
        <w:t>Felügyeleti tevékenység</w:t>
      </w:r>
      <w:bookmarkEnd w:id="186"/>
    </w:p>
    <w:p w14:paraId="4A656F7C" w14:textId="02F8E2C4" w:rsidR="0029772D" w:rsidRPr="00A07F4E" w:rsidRDefault="0029772D" w:rsidP="0029772D">
      <w:r w:rsidRPr="00A07F4E">
        <w:t>A</w:t>
      </w:r>
      <w:r w:rsidR="00C5272B">
        <w:t>z MNB</w:t>
      </w:r>
      <w:r w:rsidR="00622282">
        <w:t xml:space="preserve"> </w:t>
      </w:r>
      <w:r w:rsidRPr="00A07F4E">
        <w:t xml:space="preserve">a szektor Mérsékelten jelentős inherens kockázati besorolására tekintettel kisebb hangsúlyt fektetett jelen szektor </w:t>
      </w:r>
      <w:proofErr w:type="spellStart"/>
      <w:r w:rsidR="00CA01CE" w:rsidRPr="00A07F4E">
        <w:t>on</w:t>
      </w:r>
      <w:proofErr w:type="spellEnd"/>
      <w:r w:rsidR="00CA01CE" w:rsidRPr="00A07F4E">
        <w:t xml:space="preserve">-site </w:t>
      </w:r>
      <w:r w:rsidRPr="00A07F4E">
        <w:t xml:space="preserve">ellenőrzésére. </w:t>
      </w:r>
      <w:r w:rsidR="008C1A55">
        <w:t>A szolgáltatók</w:t>
      </w:r>
      <w:r w:rsidRPr="00A07F4E">
        <w:t xml:space="preserve"> </w:t>
      </w:r>
      <w:r w:rsidR="00C5272B">
        <w:t>MNB</w:t>
      </w:r>
      <w:r w:rsidR="00C5272B" w:rsidRPr="00A07F4E">
        <w:t xml:space="preserve"> </w:t>
      </w:r>
      <w:r w:rsidR="0028435F" w:rsidRPr="00A07F4E">
        <w:t xml:space="preserve">általi </w:t>
      </w:r>
      <w:r w:rsidRPr="00A07F4E">
        <w:t>ellenőrzésére</w:t>
      </w:r>
      <w:r w:rsidR="00CA01CE" w:rsidRPr="00A07F4E">
        <w:t xml:space="preserve"> </w:t>
      </w:r>
      <w:proofErr w:type="spellStart"/>
      <w:r w:rsidR="00CA01CE" w:rsidRPr="00A07F4E">
        <w:t>off</w:t>
      </w:r>
      <w:proofErr w:type="spellEnd"/>
      <w:r w:rsidR="00CA01CE" w:rsidRPr="00A07F4E">
        <w:t xml:space="preserve">-site vizsgálatokban az </w:t>
      </w:r>
      <w:r w:rsidRPr="00A07F4E">
        <w:t xml:space="preserve">éves és negyedéves adatszolgáltatás </w:t>
      </w:r>
      <w:r w:rsidR="00CA01CE" w:rsidRPr="00A07F4E">
        <w:t xml:space="preserve">felhasználásával </w:t>
      </w:r>
      <w:r w:rsidRPr="00A07F4E">
        <w:t>kerül sor</w:t>
      </w:r>
      <w:r w:rsidR="00CA01CE" w:rsidRPr="00A07F4E">
        <w:t xml:space="preserve"> folyamatos felügyelés keretében</w:t>
      </w:r>
      <w:r w:rsidRPr="00A07F4E">
        <w:t xml:space="preserve">. </w:t>
      </w:r>
      <w:r w:rsidR="00460944" w:rsidRPr="009F3A30">
        <w:t>A</w:t>
      </w:r>
      <w:r w:rsidR="00C5272B">
        <w:t>z MNB</w:t>
      </w:r>
      <w:r w:rsidR="00622282">
        <w:t xml:space="preserve"> </w:t>
      </w:r>
      <w:r w:rsidR="00460944" w:rsidRPr="009F3A30">
        <w:t>az életbiztosítói szektort az ügyfelektől, illetve társhatóságoktól érkező panaszok és sajtófigyelés során szerzett információk alapján felügyeli, felmerülő kockázati jelzés alapján ellenőrzi.</w:t>
      </w:r>
    </w:p>
    <w:p w14:paraId="3072CD93" w14:textId="77777777" w:rsidR="008C54C5" w:rsidRPr="00A07F4E" w:rsidRDefault="008C54C5" w:rsidP="00A07F4E">
      <w:pPr>
        <w:pStyle w:val="Cmsor3"/>
        <w:numPr>
          <w:ilvl w:val="0"/>
          <w:numId w:val="138"/>
        </w:numPr>
      </w:pPr>
      <w:bookmarkStart w:id="187" w:name="_Toc109906062"/>
      <w:r w:rsidRPr="00A07F4E">
        <w:t>Azonosított jogsértések</w:t>
      </w:r>
      <w:bookmarkEnd w:id="187"/>
    </w:p>
    <w:p w14:paraId="239F5A06" w14:textId="345CECA7" w:rsidR="00931AA9" w:rsidRDefault="008C54C5" w:rsidP="00282E68">
      <w:r w:rsidRPr="00A07F4E">
        <w:t>A</w:t>
      </w:r>
      <w:r w:rsidR="00453558">
        <w:t>z MNB</w:t>
      </w:r>
      <w:r w:rsidRPr="00A07F4E">
        <w:t xml:space="preserve"> </w:t>
      </w:r>
      <w:r w:rsidR="008C1A55">
        <w:t>a szolgáltatók</w:t>
      </w:r>
      <w:r w:rsidRPr="00A07F4E">
        <w:t xml:space="preserve"> felügyelete során az ügyfelek kockázatértékelésével, a gyanús tranzakciók jelentésével, valamint az oktatással és a tudatossággal kapcsolatban azonosított. </w:t>
      </w:r>
      <w:r w:rsidRPr="00EB55A1">
        <w:t>A</w:t>
      </w:r>
      <w:r w:rsidR="00993B96" w:rsidRPr="00EB55A1">
        <w:t>z MNB</w:t>
      </w:r>
      <w:r w:rsidRPr="00A07F4E">
        <w:t xml:space="preserve"> által alkalmazott intézkedések a szektorhoz tartozó </w:t>
      </w:r>
      <w:r w:rsidR="008C1A55">
        <w:lastRenderedPageBreak/>
        <w:t>szolgáltatók</w:t>
      </w:r>
      <w:r w:rsidRPr="00A07F4E">
        <w:t xml:space="preserve"> esetében jellemzően a megfelelési, meghatározott intézkedések végrehajtására vonatkozó utasítások, valamint helyreállítási terv bevezetésére vonatkozó kötelezés</w:t>
      </w:r>
      <w:r w:rsidR="00D63F2A" w:rsidRPr="00A07F4E">
        <w:t>ek</w:t>
      </w:r>
      <w:r w:rsidRPr="00A07F4E">
        <w:t xml:space="preserve"> voltak. A hatóságok felügyeleti tevékenységeik eredményeként azonosított jogsértések típusa főként a belső kontrollokhoz és az általános </w:t>
      </w:r>
      <w:proofErr w:type="spellStart"/>
      <w:r w:rsidRPr="00A07F4E">
        <w:t>AML</w:t>
      </w:r>
      <w:proofErr w:type="spellEnd"/>
      <w:r w:rsidRPr="00A07F4E">
        <w:t>/</w:t>
      </w:r>
      <w:proofErr w:type="spellStart"/>
      <w:r w:rsidRPr="00A07F4E">
        <w:t>CFT</w:t>
      </w:r>
      <w:proofErr w:type="spellEnd"/>
      <w:r w:rsidRPr="00A07F4E">
        <w:t xml:space="preserve"> politikákhoz és eljárásokhoz, az ügyfelek és az egész </w:t>
      </w:r>
      <w:r w:rsidR="004023C2">
        <w:t>szolgáltatóra</w:t>
      </w:r>
      <w:r w:rsidR="004023C2" w:rsidRPr="00A07F4E">
        <w:t xml:space="preserve"> </w:t>
      </w:r>
      <w:r w:rsidRPr="00A07F4E">
        <w:t>kiterjedő kockázatértékelésekhez, valamint az ügyfelek azonosításához és ellenőrzéséhez kapcsolódott.</w:t>
      </w:r>
    </w:p>
    <w:p w14:paraId="7979F43C" w14:textId="77777777" w:rsidR="00697F28" w:rsidRPr="00A07F4E" w:rsidRDefault="00697F28" w:rsidP="00A07F4E">
      <w:pPr>
        <w:pStyle w:val="Cmsor3"/>
        <w:numPr>
          <w:ilvl w:val="0"/>
          <w:numId w:val="138"/>
        </w:numPr>
      </w:pPr>
      <w:bookmarkStart w:id="188" w:name="_Toc106869599"/>
      <w:bookmarkStart w:id="189" w:name="_Toc107236464"/>
      <w:bookmarkStart w:id="190" w:name="_Toc107237372"/>
      <w:bookmarkStart w:id="191" w:name="_Toc107237698"/>
      <w:bookmarkStart w:id="192" w:name="_Toc106869600"/>
      <w:bookmarkStart w:id="193" w:name="_Toc107236465"/>
      <w:bookmarkStart w:id="194" w:name="_Toc107237373"/>
      <w:bookmarkStart w:id="195" w:name="_Toc107237699"/>
      <w:bookmarkStart w:id="196" w:name="_Toc106869601"/>
      <w:bookmarkStart w:id="197" w:name="_Toc107236466"/>
      <w:bookmarkStart w:id="198" w:name="_Toc107237374"/>
      <w:bookmarkStart w:id="199" w:name="_Toc107237700"/>
      <w:bookmarkStart w:id="200" w:name="_Toc106869602"/>
      <w:bookmarkStart w:id="201" w:name="_Toc107236467"/>
      <w:bookmarkStart w:id="202" w:name="_Toc107237375"/>
      <w:bookmarkStart w:id="203" w:name="_Toc107237701"/>
      <w:bookmarkStart w:id="204" w:name="_Toc106869603"/>
      <w:bookmarkStart w:id="205" w:name="_Toc107236468"/>
      <w:bookmarkStart w:id="206" w:name="_Toc107237376"/>
      <w:bookmarkStart w:id="207" w:name="_Toc107237702"/>
      <w:bookmarkStart w:id="208" w:name="_Toc106869604"/>
      <w:bookmarkStart w:id="209" w:name="_Toc107236469"/>
      <w:bookmarkStart w:id="210" w:name="_Toc107237377"/>
      <w:bookmarkStart w:id="211" w:name="_Toc107237703"/>
      <w:bookmarkStart w:id="212" w:name="_Toc106869605"/>
      <w:bookmarkStart w:id="213" w:name="_Toc107236470"/>
      <w:bookmarkStart w:id="214" w:name="_Toc107237378"/>
      <w:bookmarkStart w:id="215" w:name="_Toc107237704"/>
      <w:bookmarkStart w:id="216" w:name="_Toc106869609"/>
      <w:bookmarkStart w:id="217" w:name="_Toc107236474"/>
      <w:bookmarkStart w:id="218" w:name="_Toc107237382"/>
      <w:bookmarkStart w:id="219" w:name="_Toc107237708"/>
      <w:bookmarkStart w:id="220" w:name="_Toc106869610"/>
      <w:bookmarkStart w:id="221" w:name="_Toc107236475"/>
      <w:bookmarkStart w:id="222" w:name="_Toc107237383"/>
      <w:bookmarkStart w:id="223" w:name="_Toc107237709"/>
      <w:bookmarkStart w:id="224" w:name="_Toc106869611"/>
      <w:bookmarkStart w:id="225" w:name="_Toc107236476"/>
      <w:bookmarkStart w:id="226" w:name="_Toc107237384"/>
      <w:bookmarkStart w:id="227" w:name="_Toc107237710"/>
      <w:bookmarkStart w:id="228" w:name="_Toc106869615"/>
      <w:bookmarkStart w:id="229" w:name="_Toc107236480"/>
      <w:bookmarkStart w:id="230" w:name="_Toc107237388"/>
      <w:bookmarkStart w:id="231" w:name="_Toc107237714"/>
      <w:bookmarkStart w:id="232" w:name="_Toc106869616"/>
      <w:bookmarkStart w:id="233" w:name="_Toc107236481"/>
      <w:bookmarkStart w:id="234" w:name="_Toc107237389"/>
      <w:bookmarkStart w:id="235" w:name="_Toc107237715"/>
      <w:bookmarkStart w:id="236" w:name="_Toc106869617"/>
      <w:bookmarkStart w:id="237" w:name="_Toc107236482"/>
      <w:bookmarkStart w:id="238" w:name="_Toc107237390"/>
      <w:bookmarkStart w:id="239" w:name="_Toc107237716"/>
      <w:bookmarkStart w:id="240" w:name="_Toc106869618"/>
      <w:bookmarkStart w:id="241" w:name="_Toc107236483"/>
      <w:bookmarkStart w:id="242" w:name="_Toc107237391"/>
      <w:bookmarkStart w:id="243" w:name="_Toc107237717"/>
      <w:bookmarkStart w:id="244" w:name="_Toc106869619"/>
      <w:bookmarkStart w:id="245" w:name="_Toc107236484"/>
      <w:bookmarkStart w:id="246" w:name="_Toc107237392"/>
      <w:bookmarkStart w:id="247" w:name="_Toc107237718"/>
      <w:bookmarkStart w:id="248" w:name="_Toc106869620"/>
      <w:bookmarkStart w:id="249" w:name="_Toc107236485"/>
      <w:bookmarkStart w:id="250" w:name="_Toc107237393"/>
      <w:bookmarkStart w:id="251" w:name="_Toc107237719"/>
      <w:bookmarkStart w:id="252" w:name="_Toc106869624"/>
      <w:bookmarkStart w:id="253" w:name="_Toc107236489"/>
      <w:bookmarkStart w:id="254" w:name="_Toc107237397"/>
      <w:bookmarkStart w:id="255" w:name="_Toc107237723"/>
      <w:bookmarkStart w:id="256" w:name="_Toc106869625"/>
      <w:bookmarkStart w:id="257" w:name="_Toc107236490"/>
      <w:bookmarkStart w:id="258" w:name="_Toc107237398"/>
      <w:bookmarkStart w:id="259" w:name="_Toc107237724"/>
      <w:bookmarkStart w:id="260" w:name="_Toc106869626"/>
      <w:bookmarkStart w:id="261" w:name="_Toc107236491"/>
      <w:bookmarkStart w:id="262" w:name="_Toc107237399"/>
      <w:bookmarkStart w:id="263" w:name="_Toc107237725"/>
      <w:bookmarkStart w:id="264" w:name="_Toc106869630"/>
      <w:bookmarkStart w:id="265" w:name="_Toc107236495"/>
      <w:bookmarkStart w:id="266" w:name="_Toc107237403"/>
      <w:bookmarkStart w:id="267" w:name="_Toc107237729"/>
      <w:bookmarkStart w:id="268" w:name="_Toc10990606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A07F4E">
        <w:t>Maradványkockázat</w:t>
      </w:r>
      <w:bookmarkEnd w:id="268"/>
    </w:p>
    <w:p w14:paraId="569BA572" w14:textId="156A7D38" w:rsidR="00697F28" w:rsidRPr="00A07F4E" w:rsidRDefault="00697F28" w:rsidP="00697F28">
      <w:r w:rsidRPr="00EB55A1">
        <w:t>A</w:t>
      </w:r>
      <w:r w:rsidR="002849F6" w:rsidRPr="00EB55A1">
        <w:t>z MNB</w:t>
      </w:r>
      <w:r w:rsidRPr="00A07F4E">
        <w:t xml:space="preserve"> mérlegelve a szektornál részletezetteket a maradványkockázatot Mérsékelten jelentős</w:t>
      </w:r>
      <w:r w:rsidR="006E4EE8">
        <w:t>nek</w:t>
      </w:r>
      <w:r w:rsidRPr="00A07F4E">
        <w:t xml:space="preserve"> értékeli. Megállapítható, hogy a biztosítási szektorban rejlő inherens kockázati besorolás megegyezik a maradványkockázattal.</w:t>
      </w:r>
    </w:p>
    <w:tbl>
      <w:tblPr>
        <w:tblW w:w="4040" w:type="dxa"/>
        <w:jc w:val="center"/>
        <w:tblCellMar>
          <w:left w:w="70" w:type="dxa"/>
          <w:right w:w="70" w:type="dxa"/>
        </w:tblCellMar>
        <w:tblLook w:val="04A0" w:firstRow="1" w:lastRow="0" w:firstColumn="1" w:lastColumn="0" w:noHBand="0" w:noVBand="1"/>
      </w:tblPr>
      <w:tblGrid>
        <w:gridCol w:w="2140"/>
        <w:gridCol w:w="1900"/>
      </w:tblGrid>
      <w:tr w:rsidR="00697F28" w:rsidRPr="00A07F4E" w14:paraId="29C438D2" w14:textId="77777777" w:rsidTr="009F6E2C">
        <w:trPr>
          <w:trHeight w:val="300"/>
          <w:jc w:val="center"/>
        </w:trPr>
        <w:tc>
          <w:tcPr>
            <w:tcW w:w="2140" w:type="dxa"/>
            <w:tcBorders>
              <w:top w:val="nil"/>
              <w:left w:val="nil"/>
              <w:bottom w:val="nil"/>
              <w:right w:val="nil"/>
            </w:tcBorders>
            <w:shd w:val="clear" w:color="auto" w:fill="auto"/>
            <w:noWrap/>
            <w:vAlign w:val="center"/>
            <w:hideMark/>
          </w:tcPr>
          <w:p w14:paraId="2C26E5CD" w14:textId="77777777" w:rsidR="00697F28" w:rsidRPr="00A07F4E" w:rsidRDefault="00697F28" w:rsidP="009F6E2C">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B4AA5B6" w14:textId="77777777" w:rsidR="00697F28" w:rsidRPr="00A07F4E" w:rsidRDefault="00697F28" w:rsidP="009F6E2C">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bl>
    <w:p w14:paraId="7B6CABF0" w14:textId="1FD21568" w:rsidR="00931AA9" w:rsidRPr="00A07F4E" w:rsidRDefault="00842BE4" w:rsidP="00EB55A1">
      <w:pPr>
        <w:pStyle w:val="Cmsor2"/>
      </w:pPr>
      <w:bookmarkStart w:id="269" w:name="_Toc107237731"/>
      <w:bookmarkStart w:id="270" w:name="_Toc109906064"/>
      <w:bookmarkStart w:id="271" w:name="_Hlk71119125"/>
      <w:bookmarkEnd w:id="269"/>
      <w:r w:rsidRPr="00A07F4E">
        <w:t>Életbiztosítás közvetítő</w:t>
      </w:r>
      <w:bookmarkEnd w:id="270"/>
    </w:p>
    <w:p w14:paraId="130D0E27" w14:textId="77777777" w:rsidR="00C66A72" w:rsidRPr="00A07F4E" w:rsidRDefault="00C66A72" w:rsidP="00A07F4E">
      <w:pPr>
        <w:pStyle w:val="Cmsor3"/>
        <w:numPr>
          <w:ilvl w:val="0"/>
          <w:numId w:val="146"/>
        </w:numPr>
      </w:pPr>
      <w:bookmarkStart w:id="272" w:name="_Toc109906065"/>
      <w:r w:rsidRPr="00A07F4E">
        <w:t>A szektor méretére, tevékenységi körére és összetettségére vonatkozó információk összesített formában</w:t>
      </w:r>
      <w:bookmarkEnd w:id="272"/>
    </w:p>
    <w:p w14:paraId="76E49A4C" w14:textId="5FF1897D" w:rsidR="00C66A72" w:rsidRPr="00A07F4E" w:rsidRDefault="00C66A72" w:rsidP="00C66A72">
      <w:r w:rsidRPr="00A07F4E">
        <w:t>A</w:t>
      </w:r>
      <w:r w:rsidR="0087472B">
        <w:t>z MNB</w:t>
      </w:r>
      <w:r w:rsidRPr="00A07F4E">
        <w:t xml:space="preserve"> Magyarországon </w:t>
      </w:r>
      <w:proofErr w:type="spellStart"/>
      <w:r w:rsidRPr="00A07F4E">
        <w:t>AML</w:t>
      </w:r>
      <w:proofErr w:type="spellEnd"/>
      <w:r w:rsidRPr="00A07F4E">
        <w:t>/</w:t>
      </w:r>
      <w:proofErr w:type="spellStart"/>
      <w:r w:rsidRPr="00A07F4E">
        <w:t>CFT</w:t>
      </w:r>
      <w:proofErr w:type="spellEnd"/>
      <w:r w:rsidRPr="00A07F4E">
        <w:t xml:space="preserve"> felügyeletet összesen </w:t>
      </w:r>
      <w:r w:rsidR="0025361E" w:rsidRPr="00FC37B3">
        <w:t>3</w:t>
      </w:r>
      <w:r w:rsidR="008246A9">
        <w:t>8</w:t>
      </w:r>
      <w:r w:rsidR="0025361E" w:rsidRPr="00FC37B3">
        <w:t xml:space="preserve">0 </w:t>
      </w:r>
      <w:r w:rsidR="004D60F7" w:rsidRPr="00FC37B3">
        <w:t>és 4</w:t>
      </w:r>
      <w:r w:rsidR="0025361E" w:rsidRPr="00FC37B3">
        <w:t>2</w:t>
      </w:r>
      <w:r w:rsidR="004D60F7" w:rsidRPr="00FC37B3">
        <w:t>0 közötti számú</w:t>
      </w:r>
      <w:r w:rsidRPr="00FC37B3">
        <w:t xml:space="preserve"> </w:t>
      </w:r>
      <w:r w:rsidR="008E70EA" w:rsidRPr="008A09BA">
        <w:t>élet</w:t>
      </w:r>
      <w:r w:rsidRPr="008A09BA">
        <w:t>biztosít</w:t>
      </w:r>
      <w:r w:rsidR="008E70EA" w:rsidRPr="008A09BA">
        <w:t>ás</w:t>
      </w:r>
      <w:r w:rsidR="00AC56D3" w:rsidRPr="008A09BA">
        <w:t xml:space="preserve"> </w:t>
      </w:r>
      <w:r w:rsidR="00AC56D3" w:rsidRPr="00A07F4E">
        <w:t>közvetítő</w:t>
      </w:r>
      <w:r w:rsidRPr="00A07F4E">
        <w:t xml:space="preserve"> felett gyakorol. A</w:t>
      </w:r>
      <w:r w:rsidR="00AC56D3" w:rsidRPr="00A07F4E">
        <w:t xml:space="preserve"> közvetítők </w:t>
      </w:r>
      <w:r w:rsidRPr="00A07F4E">
        <w:t>biztosítás</w:t>
      </w:r>
      <w:r w:rsidR="00AC56D3" w:rsidRPr="00A07F4E">
        <w:t xml:space="preserve"> közvetítési tevékenységet </w:t>
      </w:r>
      <w:r w:rsidRPr="00A07F4E">
        <w:t xml:space="preserve">látnak el. </w:t>
      </w:r>
    </w:p>
    <w:p w14:paraId="3B00554A" w14:textId="339774CA" w:rsidR="00C66A72" w:rsidRDefault="00535CCE" w:rsidP="00C66A72">
      <w:pPr>
        <w:spacing w:before="120" w:after="120"/>
        <w:rPr>
          <w:rFonts w:cs="Times New Roman"/>
        </w:rPr>
      </w:pPr>
      <w:r w:rsidRPr="00A07F4E">
        <w:rPr>
          <w:rFonts w:cs="Times New Roman"/>
        </w:rPr>
        <w:t>A szektoron belül tevékenységi alapon, működés szerint</w:t>
      </w:r>
      <w:r w:rsidR="001727FE" w:rsidRPr="00A07F4E">
        <w:rPr>
          <w:rFonts w:cs="Times New Roman"/>
        </w:rPr>
        <w:t>, illetve földrajzi kitettséget is vizsgálva</w:t>
      </w:r>
      <w:r w:rsidRPr="00A07F4E">
        <w:rPr>
          <w:rFonts w:cs="Times New Roman"/>
        </w:rPr>
        <w:t xml:space="preserve"> három alszektor került </w:t>
      </w:r>
      <w:r w:rsidR="00726826" w:rsidRPr="00A07F4E">
        <w:rPr>
          <w:rFonts w:cs="Times New Roman"/>
        </w:rPr>
        <w:t>azonosításra az alábbiak szerint:</w:t>
      </w:r>
    </w:p>
    <w:p w14:paraId="16D4BF24" w14:textId="06510387" w:rsidR="00535CCE" w:rsidRPr="00A07F4E" w:rsidRDefault="00535CCE" w:rsidP="007A1308">
      <w:pPr>
        <w:pStyle w:val="Listaszerbekezds"/>
        <w:numPr>
          <w:ilvl w:val="0"/>
          <w:numId w:val="20"/>
        </w:numPr>
        <w:spacing w:after="0" w:line="240" w:lineRule="auto"/>
        <w:rPr>
          <w:rFonts w:cs="Times New Roman"/>
        </w:rPr>
      </w:pPr>
      <w:r w:rsidRPr="00A07F4E">
        <w:rPr>
          <w:rFonts w:cs="Times New Roman"/>
        </w:rPr>
        <w:t>Biztosítási alkusz</w:t>
      </w:r>
      <w:r w:rsidR="00751C63">
        <w:rPr>
          <w:rStyle w:val="Lbjegyzet-hivatkozs"/>
          <w:rFonts w:cs="Times New Roman"/>
        </w:rPr>
        <w:footnoteReference w:id="26"/>
      </w:r>
    </w:p>
    <w:p w14:paraId="7AB597F3" w14:textId="0A9A22C6" w:rsidR="00535CCE" w:rsidRPr="00A07F4E" w:rsidRDefault="00535CCE" w:rsidP="007A1308">
      <w:pPr>
        <w:pStyle w:val="Listaszerbekezds"/>
        <w:numPr>
          <w:ilvl w:val="0"/>
          <w:numId w:val="20"/>
        </w:numPr>
        <w:spacing w:after="0" w:line="240" w:lineRule="auto"/>
        <w:rPr>
          <w:rFonts w:cs="Times New Roman"/>
        </w:rPr>
      </w:pPr>
      <w:r w:rsidRPr="00A07F4E">
        <w:rPr>
          <w:rFonts w:cs="Times New Roman"/>
        </w:rPr>
        <w:t>Biztosítási többes ügynök</w:t>
      </w:r>
      <w:r w:rsidR="00751C63">
        <w:rPr>
          <w:rStyle w:val="Lbjegyzet-hivatkozs"/>
          <w:rFonts w:cs="Times New Roman"/>
        </w:rPr>
        <w:footnoteReference w:id="27"/>
      </w:r>
    </w:p>
    <w:p w14:paraId="2393373F" w14:textId="77777777" w:rsidR="00535CCE" w:rsidRPr="00A07F4E" w:rsidRDefault="00535CCE" w:rsidP="007A1308">
      <w:pPr>
        <w:pStyle w:val="Listaszerbekezds"/>
        <w:numPr>
          <w:ilvl w:val="0"/>
          <w:numId w:val="20"/>
        </w:numPr>
        <w:spacing w:after="0" w:line="240" w:lineRule="auto"/>
        <w:rPr>
          <w:rFonts w:cs="Times New Roman"/>
        </w:rPr>
      </w:pPr>
      <w:r w:rsidRPr="00A07F4E">
        <w:rPr>
          <w:rFonts w:cs="Times New Roman"/>
        </w:rPr>
        <w:t>Biztosításközvetítő fióktelep</w:t>
      </w:r>
    </w:p>
    <w:p w14:paraId="7950FD35" w14:textId="77777777" w:rsidR="00C66A72" w:rsidRPr="00A07F4E" w:rsidRDefault="00C66A72" w:rsidP="00A07F4E">
      <w:pPr>
        <w:pStyle w:val="Cmsor3"/>
        <w:numPr>
          <w:ilvl w:val="0"/>
          <w:numId w:val="146"/>
        </w:numPr>
      </w:pPr>
      <w:bookmarkStart w:id="273" w:name="_Toc107237734"/>
      <w:bookmarkStart w:id="274" w:name="_Toc107237735"/>
      <w:bookmarkStart w:id="275" w:name="_Toc107237736"/>
      <w:bookmarkStart w:id="276" w:name="_Toc109906066"/>
      <w:bookmarkEnd w:id="273"/>
      <w:bookmarkEnd w:id="274"/>
      <w:bookmarkEnd w:id="275"/>
      <w:r w:rsidRPr="00A07F4E">
        <w:t>Inherens kockázatértékelés</w:t>
      </w:r>
      <w:bookmarkEnd w:id="276"/>
    </w:p>
    <w:p w14:paraId="330ECB06" w14:textId="77777777" w:rsidR="00FF395F" w:rsidRPr="00A07F4E" w:rsidRDefault="00FF395F" w:rsidP="00A07F4E">
      <w:pPr>
        <w:pStyle w:val="Listaszerbekezds"/>
        <w:numPr>
          <w:ilvl w:val="1"/>
          <w:numId w:val="25"/>
        </w:numPr>
        <w:ind w:left="851" w:hanging="284"/>
      </w:pPr>
      <w:r w:rsidRPr="00A07F4E">
        <w:t>Az életbiztosítás közvetítői szektorban rejlő ML/</w:t>
      </w:r>
      <w:proofErr w:type="spellStart"/>
      <w:r w:rsidRPr="00A07F4E">
        <w:t>TF</w:t>
      </w:r>
      <w:proofErr w:type="spellEnd"/>
      <w:r w:rsidRPr="00A07F4E">
        <w:t xml:space="preserve"> kockázati tényezők</w:t>
      </w:r>
    </w:p>
    <w:p w14:paraId="5E1502A8" w14:textId="2798A047" w:rsidR="00751C63" w:rsidRDefault="00751C63" w:rsidP="00751C63">
      <w:r>
        <w:t xml:space="preserve">A termék/szolgáltatás, ügyfél, földrajzi, valamint értékesítési csatornához társítható kockázatok MNB általi értékelését az alábbi táblázat szemlélteti: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751C63" w:rsidRPr="003168BA" w14:paraId="6D6C4FC8" w14:textId="77777777" w:rsidTr="00EB55A1">
        <w:trPr>
          <w:trHeight w:val="213"/>
        </w:trPr>
        <w:tc>
          <w:tcPr>
            <w:tcW w:w="3061" w:type="dxa"/>
          </w:tcPr>
          <w:p w14:paraId="6713D0C1" w14:textId="77777777" w:rsidR="00751C63" w:rsidRPr="00554E41" w:rsidRDefault="00751C63"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7E3C6143" w14:textId="77777777" w:rsidR="00751C63" w:rsidRPr="00554E41" w:rsidRDefault="00751C63"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751C63" w:rsidRPr="003168BA" w14:paraId="65D3F974" w14:textId="77777777" w:rsidTr="00EB55A1">
        <w:tc>
          <w:tcPr>
            <w:tcW w:w="3061" w:type="dxa"/>
            <w:shd w:val="clear" w:color="auto" w:fill="auto"/>
          </w:tcPr>
          <w:p w14:paraId="6F3DA304"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2AA3B7EE"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751C63" w14:paraId="79FBF049" w14:textId="77777777" w:rsidTr="00EB55A1">
        <w:tc>
          <w:tcPr>
            <w:tcW w:w="3061" w:type="dxa"/>
            <w:shd w:val="clear" w:color="auto" w:fill="auto"/>
          </w:tcPr>
          <w:p w14:paraId="1015C8BC"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2EC295DC" w14:textId="133E09B3" w:rsidR="00751C63" w:rsidRPr="00554E41" w:rsidRDefault="00751C63"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751C63" w14:paraId="5BA6DA96" w14:textId="77777777" w:rsidTr="00EB55A1">
        <w:trPr>
          <w:trHeight w:val="50"/>
        </w:trPr>
        <w:tc>
          <w:tcPr>
            <w:tcW w:w="3061" w:type="dxa"/>
            <w:shd w:val="clear" w:color="auto" w:fill="auto"/>
          </w:tcPr>
          <w:p w14:paraId="513E18C7"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564978A9"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751C63" w14:paraId="76EF3F8F" w14:textId="77777777" w:rsidTr="00EB55A1">
        <w:tc>
          <w:tcPr>
            <w:tcW w:w="3061" w:type="dxa"/>
            <w:shd w:val="clear" w:color="auto" w:fill="auto"/>
          </w:tcPr>
          <w:p w14:paraId="2B1C9B9D" w14:textId="77777777" w:rsidR="00751C63" w:rsidRPr="00554E41" w:rsidRDefault="00751C63"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038A97D4" w14:textId="5593DB66" w:rsidR="00751C63" w:rsidRPr="00554E41" w:rsidRDefault="00751C63"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11A9086A" w14:textId="77777777" w:rsidR="00751C63" w:rsidRPr="00A07F4E" w:rsidRDefault="00751C63" w:rsidP="00282E68"/>
    <w:p w14:paraId="6D6B1E21" w14:textId="0B5B7B54" w:rsidR="00582E30" w:rsidRPr="00A07F4E" w:rsidRDefault="00582E30" w:rsidP="00582E30">
      <w:r w:rsidRPr="00A07F4E">
        <w:t xml:space="preserve">Kockázatként került azonosításra az erőforrásalapú megközelítés jelenléte, illetve a </w:t>
      </w:r>
      <w:r w:rsidR="00751C63">
        <w:t xml:space="preserve">kockázatérzékenységi megközelítés gyakorlatának hiánya. </w:t>
      </w:r>
    </w:p>
    <w:p w14:paraId="416FC802" w14:textId="1C530FBA" w:rsidR="00582E30" w:rsidRPr="00A07F4E" w:rsidRDefault="00582E30" w:rsidP="00582E30">
      <w:r w:rsidRPr="00A07F4E">
        <w:t xml:space="preserve">Jelen szektorra is általánosságban elmondható, hogy a szektorhoz tartozó </w:t>
      </w:r>
      <w:r w:rsidR="008C1A55">
        <w:t>szolgáltatók</w:t>
      </w:r>
      <w:r w:rsidRPr="00A07F4E">
        <w:t xml:space="preserve"> </w:t>
      </w:r>
      <w:r w:rsidR="00B56AA3" w:rsidRPr="00A07F4E">
        <w:t xml:space="preserve">fejlesztendő </w:t>
      </w:r>
      <w:proofErr w:type="spellStart"/>
      <w:r w:rsidRPr="00A07F4E">
        <w:t>AML</w:t>
      </w:r>
      <w:proofErr w:type="spellEnd"/>
      <w:r w:rsidRPr="00A07F4E">
        <w:t xml:space="preserve"> tranzakció </w:t>
      </w:r>
      <w:proofErr w:type="spellStart"/>
      <w:r w:rsidRPr="00A07F4E">
        <w:t>monitoringgal</w:t>
      </w:r>
      <w:proofErr w:type="spellEnd"/>
      <w:r w:rsidRPr="00A07F4E">
        <w:t xml:space="preserve"> és gyanús ügyletek bejelentésére vonatkozó politikákkal és eljárásokkal rendelkeznek</w:t>
      </w:r>
      <w:r w:rsidR="00751C63">
        <w:t>, valamint felügyeleti</w:t>
      </w:r>
      <w:r w:rsidR="00B56AA3" w:rsidRPr="00A07F4E">
        <w:t xml:space="preserve"> </w:t>
      </w:r>
      <w:r w:rsidRPr="00A07F4E">
        <w:t xml:space="preserve">adatszolgáltatások teljesítése során </w:t>
      </w:r>
      <w:r w:rsidR="00B56AA3" w:rsidRPr="00A07F4E">
        <w:t xml:space="preserve">több esetben </w:t>
      </w:r>
      <w:r w:rsidRPr="00A07F4E">
        <w:t xml:space="preserve">nem megfelelő adatokat bocsátanak rendelkezésre. </w:t>
      </w:r>
    </w:p>
    <w:p w14:paraId="7858BD7B" w14:textId="77777777" w:rsidR="00582E30" w:rsidRPr="00A07F4E" w:rsidRDefault="00924E8D" w:rsidP="00282E68">
      <w:r w:rsidRPr="00A07F4E">
        <w:t>Jellemző a</w:t>
      </w:r>
      <w:r w:rsidR="00582E30" w:rsidRPr="00A07F4E">
        <w:t xml:space="preserve"> közvetítő és az üzleti kapcsolat többi szereplője közötti elégtelen együttműködés, kommunikáció, amely befolyásolja a hatékonyságot</w:t>
      </w:r>
      <w:r w:rsidRPr="00A07F4E">
        <w:t xml:space="preserve">, amely kockázatot növelő tényezőnek minősül. </w:t>
      </w:r>
    </w:p>
    <w:p w14:paraId="7F69FFD5" w14:textId="5128E70E" w:rsidR="008F513B" w:rsidRPr="00A07F4E" w:rsidRDefault="004B576C" w:rsidP="008F513B">
      <w:r>
        <w:t>Kockázatcsökkentő tényező, hogy a k</w:t>
      </w:r>
      <w:r w:rsidR="008F513B" w:rsidRPr="00A07F4E">
        <w:t>észpénz</w:t>
      </w:r>
      <w:r w:rsidR="0041629D" w:rsidRPr="00A07F4E">
        <w:t>es</w:t>
      </w:r>
      <w:r w:rsidR="008F513B" w:rsidRPr="00A07F4E">
        <w:t xml:space="preserve"> ügyletek nem jellemzőek és </w:t>
      </w:r>
      <w:r w:rsidR="00B154D8">
        <w:t>ez az ágazat</w:t>
      </w:r>
      <w:r w:rsidR="008F513B" w:rsidRPr="00A07F4E">
        <w:t xml:space="preserve"> csak más szektorok közreműködésével tud jelentős összegű ügyleteket lebonyolítani. </w:t>
      </w:r>
    </w:p>
    <w:p w14:paraId="20887ACD" w14:textId="2934F77A" w:rsidR="00582E30" w:rsidRPr="00A07F4E" w:rsidRDefault="00582E30" w:rsidP="00282E68">
      <w:r w:rsidRPr="00A07F4E">
        <w:lastRenderedPageBreak/>
        <w:t>Az életbiztos</w:t>
      </w:r>
      <w:r w:rsidR="00B07B08" w:rsidRPr="00A07F4E">
        <w:t xml:space="preserve">ítókkal </w:t>
      </w:r>
      <w:r w:rsidRPr="00A07F4E">
        <w:t xml:space="preserve">összehasonlítva </w:t>
      </w:r>
      <w:r w:rsidR="00B07B08" w:rsidRPr="00A07F4E">
        <w:t>a szektor</w:t>
      </w:r>
      <w:r w:rsidRPr="00A07F4E">
        <w:t xml:space="preserve"> közvetítőihez kapcsolódó ML/</w:t>
      </w:r>
      <w:proofErr w:type="spellStart"/>
      <w:r w:rsidRPr="00A07F4E">
        <w:t>TF</w:t>
      </w:r>
      <w:proofErr w:type="spellEnd"/>
      <w:r w:rsidRPr="00A07F4E">
        <w:t xml:space="preserve"> kockázat szintje alacsonyabb, mivel az </w:t>
      </w:r>
      <w:r w:rsidR="00B07B08" w:rsidRPr="00A07F4E">
        <w:t>közvetítők</w:t>
      </w:r>
      <w:r w:rsidRPr="00A07F4E">
        <w:t xml:space="preserve"> feladatai közé </w:t>
      </w:r>
      <w:r w:rsidR="004B576C">
        <w:t xml:space="preserve">jellemzően </w:t>
      </w:r>
      <w:r w:rsidRPr="00A07F4E">
        <w:t xml:space="preserve">nem tartozik az ügyfelektől származó kifizetések kezelése. Ennek ellenére </w:t>
      </w:r>
      <w:r w:rsidR="004B576C">
        <w:t xml:space="preserve">az </w:t>
      </w:r>
      <w:proofErr w:type="spellStart"/>
      <w:r w:rsidR="004B576C">
        <w:t>EBA</w:t>
      </w:r>
      <w:proofErr w:type="spellEnd"/>
      <w:r w:rsidR="004B576C">
        <w:t xml:space="preserve"> </w:t>
      </w:r>
      <w:proofErr w:type="spellStart"/>
      <w:r w:rsidR="004B576C">
        <w:t>Opinion</w:t>
      </w:r>
      <w:proofErr w:type="spellEnd"/>
      <w:r w:rsidR="004B576C">
        <w:t xml:space="preserve"> alapján</w:t>
      </w:r>
      <w:r w:rsidRPr="00A07F4E">
        <w:t xml:space="preserve"> több </w:t>
      </w:r>
      <w:r w:rsidR="004B576C">
        <w:t>külföldi</w:t>
      </w:r>
      <w:r w:rsidRPr="00A07F4E">
        <w:t xml:space="preserve"> </w:t>
      </w:r>
      <w:r w:rsidR="00B07B08" w:rsidRPr="00A07F4E">
        <w:t>hatóság jelezte</w:t>
      </w:r>
      <w:r w:rsidRPr="00A07F4E">
        <w:t xml:space="preserve">, hogy </w:t>
      </w:r>
      <w:r w:rsidR="00B07B08" w:rsidRPr="00A07F4E">
        <w:t>ez a szektor</w:t>
      </w:r>
      <w:r w:rsidRPr="00A07F4E">
        <w:t xml:space="preserve"> különösen "profitorientált" lehet a főként jutalékokon alapuló javadalmazási rendszere miatt. A</w:t>
      </w:r>
      <w:r w:rsidR="00B07B08" w:rsidRPr="00A07F4E">
        <w:t xml:space="preserve">z illetékes </w:t>
      </w:r>
      <w:r w:rsidR="004B576C">
        <w:t>külföldi</w:t>
      </w:r>
      <w:r w:rsidR="00B07B08" w:rsidRPr="00A07F4E">
        <w:t xml:space="preserve"> hatóságok </w:t>
      </w:r>
      <w:r w:rsidRPr="00A07F4E">
        <w:t xml:space="preserve">ezzel kapcsolatban megjegyezték, hogy fennáll a kockázata annak, hogy ennek következtében sérülhet a </w:t>
      </w:r>
      <w:proofErr w:type="spellStart"/>
      <w:r w:rsidRPr="00A07F4E">
        <w:t>pénzmosás</w:t>
      </w:r>
      <w:proofErr w:type="spellEnd"/>
      <w:r w:rsidRPr="00A07F4E">
        <w:t xml:space="preserve"> elleni küzdelemnek való megfelelés.</w:t>
      </w:r>
    </w:p>
    <w:p w14:paraId="2EDBDE05" w14:textId="76EFDD44" w:rsidR="00B07B08" w:rsidRDefault="00B07B08" w:rsidP="00282E68">
      <w:r w:rsidRPr="00A07F4E">
        <w:t xml:space="preserve">Az illetékes </w:t>
      </w:r>
      <w:r w:rsidR="004B576C">
        <w:t>külföldi</w:t>
      </w:r>
      <w:r w:rsidRPr="00A07F4E">
        <w:t xml:space="preserve"> hatóságok nagy része </w:t>
      </w:r>
      <w:r w:rsidR="00EF715A" w:rsidRPr="00A07F4E">
        <w:t>K</w:t>
      </w:r>
      <w:r w:rsidRPr="00A07F4E">
        <w:t>evésbé jelentősnek értékelte a földrajzi elhelyezkedéshez, az ügyfelekhez és a termékekhez/szolgáltatásokhoz kapcsolódó eredendő kockázati tényezőket a szektorban. A</w:t>
      </w:r>
      <w:r w:rsidR="009A0A38" w:rsidRPr="00A07F4E">
        <w:t>z értékesítési</w:t>
      </w:r>
      <w:r w:rsidRPr="00A07F4E">
        <w:t xml:space="preserve"> csatornákat több </w:t>
      </w:r>
      <w:r w:rsidR="009A0A38" w:rsidRPr="00A07F4E">
        <w:t xml:space="preserve">hatóság </w:t>
      </w:r>
      <w:r w:rsidR="009A0A38" w:rsidRPr="00EB55A1">
        <w:t xml:space="preserve">– </w:t>
      </w:r>
      <w:r w:rsidR="004B576C" w:rsidRPr="00EB55A1">
        <w:t>MNB</w:t>
      </w:r>
      <w:r w:rsidR="009A0A38" w:rsidRPr="00EB55A1">
        <w:t>-hez hasonlóan</w:t>
      </w:r>
      <w:r w:rsidR="009A0A38" w:rsidRPr="00A07F4E">
        <w:t xml:space="preserve"> –</w:t>
      </w:r>
      <w:r w:rsidRPr="00A07F4E">
        <w:t xml:space="preserve"> minősítette </w:t>
      </w:r>
      <w:r w:rsidR="00EF715A" w:rsidRPr="00A07F4E">
        <w:t>M</w:t>
      </w:r>
      <w:r w:rsidRPr="00A07F4E">
        <w:t>érsékelten jelentősnek. Ez annak tulajdonítható, hogy ebben az ágazatban megnőtt a nem személyes tevékenységek száma.</w:t>
      </w:r>
    </w:p>
    <w:p w14:paraId="43E12D99" w14:textId="77777777" w:rsidR="00FF395F" w:rsidRPr="00A07F4E" w:rsidRDefault="00FF395F" w:rsidP="00A07F4E">
      <w:pPr>
        <w:pStyle w:val="Listaszerbekezds"/>
        <w:numPr>
          <w:ilvl w:val="1"/>
          <w:numId w:val="25"/>
        </w:numPr>
        <w:ind w:left="851" w:hanging="284"/>
      </w:pPr>
      <w:r w:rsidRPr="00A07F4E">
        <w:t>Az életbiztosítás közvetítői szektorban rejlő, határokon átnyúló ML/</w:t>
      </w:r>
      <w:proofErr w:type="spellStart"/>
      <w:r w:rsidRPr="00A07F4E">
        <w:t>TF</w:t>
      </w:r>
      <w:proofErr w:type="spellEnd"/>
      <w:r w:rsidRPr="00A07F4E">
        <w:t xml:space="preserve"> kockázatok </w:t>
      </w:r>
    </w:p>
    <w:p w14:paraId="309F20DF" w14:textId="77777777" w:rsidR="00574F9E" w:rsidRPr="00A07F4E" w:rsidRDefault="00574F9E" w:rsidP="00574F9E">
      <w:r w:rsidRPr="00A07F4E">
        <w:t xml:space="preserve">A szektorra nem jellemző a külföldi érintettség, tipikusan magyar ügyfelekkel rendelkeznek a szektorhoz tartozó </w:t>
      </w:r>
      <w:r w:rsidR="008C1A55">
        <w:t>szolgáltatók</w:t>
      </w:r>
      <w:r w:rsidRPr="00A07F4E">
        <w:t xml:space="preserve">. </w:t>
      </w:r>
    </w:p>
    <w:p w14:paraId="63BCE021" w14:textId="4A2C78C1" w:rsidR="00FF395F" w:rsidRPr="00A07F4E" w:rsidRDefault="00FF395F" w:rsidP="00574F9E">
      <w:pPr>
        <w:rPr>
          <w:b/>
          <w:bCs/>
        </w:rPr>
      </w:pPr>
      <w:r w:rsidRPr="00A07F4E">
        <w:rPr>
          <w:b/>
          <w:bCs/>
        </w:rPr>
        <w:t>A</w:t>
      </w:r>
      <w:r w:rsidR="004B576C">
        <w:rPr>
          <w:b/>
          <w:bCs/>
        </w:rPr>
        <w:t xml:space="preserve">z </w:t>
      </w:r>
      <w:r w:rsidR="004B576C" w:rsidRPr="004B576C">
        <w:rPr>
          <w:b/>
          <w:bCs/>
        </w:rPr>
        <w:t>MNB</w:t>
      </w:r>
      <w:r w:rsidRPr="00EB55A1">
        <w:rPr>
          <w:b/>
        </w:rPr>
        <w:t xml:space="preserve"> értékelése</w:t>
      </w:r>
      <w:r w:rsidRPr="00A07F4E">
        <w:rPr>
          <w:b/>
          <w:bCs/>
        </w:rPr>
        <w:t xml:space="preserve"> alapján az életbiztosítás szektor Kevésbé jelentős inherens kockázati értékkel rendelkezik, amely megegyezik az </w:t>
      </w:r>
      <w:proofErr w:type="spellStart"/>
      <w:r w:rsidRPr="00A07F4E">
        <w:rPr>
          <w:b/>
          <w:bCs/>
        </w:rPr>
        <w:t>EBA</w:t>
      </w:r>
      <w:proofErr w:type="spellEnd"/>
      <w:r w:rsidRPr="00A07F4E">
        <w:rPr>
          <w:b/>
          <w:bCs/>
        </w:rPr>
        <w:t xml:space="preserve"> </w:t>
      </w:r>
      <w:proofErr w:type="spellStart"/>
      <w:r w:rsidRPr="00A07F4E">
        <w:rPr>
          <w:b/>
          <w:bCs/>
        </w:rPr>
        <w:t>Opinion</w:t>
      </w:r>
      <w:proofErr w:type="spellEnd"/>
      <w:r w:rsidRPr="00A07F4E">
        <w:rPr>
          <w:b/>
          <w:bCs/>
        </w:rPr>
        <w:t xml:space="preserve"> összegzése szerinti, </w:t>
      </w:r>
      <w:r w:rsidR="00BC222E">
        <w:rPr>
          <w:b/>
          <w:bCs/>
        </w:rPr>
        <w:t>legtöbb</w:t>
      </w:r>
      <w:r w:rsidR="00BC222E" w:rsidRPr="00A07F4E">
        <w:rPr>
          <w:b/>
          <w:bCs/>
        </w:rPr>
        <w:t xml:space="preserve"> </w:t>
      </w:r>
      <w:r w:rsidRPr="00A07F4E">
        <w:rPr>
          <w:b/>
          <w:bCs/>
        </w:rPr>
        <w:t>illetékes hatóság értékelésével.</w:t>
      </w:r>
    </w:p>
    <w:tbl>
      <w:tblPr>
        <w:tblW w:w="3680" w:type="dxa"/>
        <w:jc w:val="center"/>
        <w:tblCellMar>
          <w:left w:w="70" w:type="dxa"/>
          <w:right w:w="70" w:type="dxa"/>
        </w:tblCellMar>
        <w:tblLook w:val="04A0" w:firstRow="1" w:lastRow="0" w:firstColumn="1" w:lastColumn="0" w:noHBand="0" w:noVBand="1"/>
      </w:tblPr>
      <w:tblGrid>
        <w:gridCol w:w="1780"/>
        <w:gridCol w:w="1900"/>
      </w:tblGrid>
      <w:tr w:rsidR="00A57330" w:rsidRPr="00A07F4E" w14:paraId="638E4715" w14:textId="77777777" w:rsidTr="00A57330">
        <w:trPr>
          <w:trHeight w:val="300"/>
          <w:jc w:val="center"/>
        </w:trPr>
        <w:tc>
          <w:tcPr>
            <w:tcW w:w="1780" w:type="dxa"/>
            <w:tcBorders>
              <w:top w:val="nil"/>
              <w:left w:val="nil"/>
              <w:bottom w:val="nil"/>
              <w:right w:val="nil"/>
            </w:tcBorders>
            <w:shd w:val="clear" w:color="auto" w:fill="auto"/>
            <w:noWrap/>
            <w:vAlign w:val="center"/>
            <w:hideMark/>
          </w:tcPr>
          <w:p w14:paraId="5FEF3903" w14:textId="77777777" w:rsidR="00A57330" w:rsidRPr="00A07F4E" w:rsidRDefault="00A57330" w:rsidP="00A57330">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6B1EEC" w14:textId="77777777" w:rsidR="00A57330" w:rsidRPr="00A07F4E" w:rsidRDefault="00A57330" w:rsidP="00A57330">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r>
    </w:tbl>
    <w:p w14:paraId="6449DA80" w14:textId="77777777" w:rsidR="00A56F55" w:rsidRPr="00A07F4E" w:rsidRDefault="00A56F55" w:rsidP="00574F9E"/>
    <w:p w14:paraId="00505398" w14:textId="77777777" w:rsidR="00574F9E" w:rsidRPr="00A07F4E" w:rsidRDefault="00574F9E" w:rsidP="00A07F4E">
      <w:pPr>
        <w:pStyle w:val="Cmsor3"/>
        <w:numPr>
          <w:ilvl w:val="0"/>
          <w:numId w:val="146"/>
        </w:numPr>
      </w:pPr>
      <w:bookmarkStart w:id="277" w:name="_Toc109906067"/>
      <w:r w:rsidRPr="00A07F4E">
        <w:t>Az ellenőrzések minősége</w:t>
      </w:r>
      <w:bookmarkEnd w:id="277"/>
    </w:p>
    <w:p w14:paraId="24A3A1B2" w14:textId="2721684B" w:rsidR="00574F9E" w:rsidRPr="00A07F4E" w:rsidRDefault="00574F9E" w:rsidP="00574F9E">
      <w:r w:rsidRPr="00EB55A1">
        <w:t>A</w:t>
      </w:r>
      <w:r w:rsidR="004B576C" w:rsidRPr="00EB55A1">
        <w:t>z MNB</w:t>
      </w:r>
      <w:r w:rsidRPr="00A07F4E">
        <w:t xml:space="preserve"> a</w:t>
      </w:r>
      <w:r w:rsidR="00535CCE" w:rsidRPr="00A07F4E">
        <w:t>z</w:t>
      </w:r>
      <w:r w:rsidRPr="00A07F4E">
        <w:t xml:space="preserve"> </w:t>
      </w:r>
      <w:r w:rsidR="009C622E" w:rsidRPr="00A07F4E">
        <w:t>életbiztosítást közvetítők</w:t>
      </w:r>
      <w:r w:rsidRPr="00A07F4E">
        <w:t xml:space="preserve"> </w:t>
      </w:r>
      <w:r w:rsidR="0041629D" w:rsidRPr="00A07F4E">
        <w:t xml:space="preserve">általi </w:t>
      </w:r>
      <w:r w:rsidR="009C622E" w:rsidRPr="00A07F4E">
        <w:t xml:space="preserve">ellenőrzések megfelelőségét és minőségét értékelte, amely alapján </w:t>
      </w:r>
      <w:r w:rsidR="008C1A55">
        <w:t>a szolgáltatók</w:t>
      </w:r>
      <w:r w:rsidRPr="00A07F4E">
        <w:t xml:space="preserve"> egészére kiterjedő, az egyes üzleti kapcsolatokra alkalmazott kockázatértékelést minősítette gyengének, </w:t>
      </w:r>
      <w:r w:rsidR="00403556" w:rsidRPr="00A07F4E">
        <w:t>az ML/</w:t>
      </w:r>
      <w:proofErr w:type="spellStart"/>
      <w:r w:rsidR="00403556" w:rsidRPr="00A07F4E">
        <w:t>TF</w:t>
      </w:r>
      <w:proofErr w:type="spellEnd"/>
      <w:r w:rsidR="00403556" w:rsidRPr="00A07F4E">
        <w:t xml:space="preserve"> kockázatok ismeretét, beleértve a személyzet </w:t>
      </w:r>
      <w:proofErr w:type="spellStart"/>
      <w:r w:rsidR="00403556" w:rsidRPr="00A07F4E">
        <w:t>AML</w:t>
      </w:r>
      <w:proofErr w:type="spellEnd"/>
      <w:r w:rsidR="00403556" w:rsidRPr="00A07F4E">
        <w:t>/</w:t>
      </w:r>
      <w:proofErr w:type="spellStart"/>
      <w:r w:rsidR="00403556" w:rsidRPr="00A07F4E">
        <w:t>CFT</w:t>
      </w:r>
      <w:proofErr w:type="spellEnd"/>
      <w:r w:rsidR="00403556" w:rsidRPr="00A07F4E">
        <w:t xml:space="preserve"> képzésének elérhetőségét és hatékonyságát</w:t>
      </w:r>
      <w:r w:rsidR="00AE7403" w:rsidRPr="00A07F4E">
        <w:t>, valamint</w:t>
      </w:r>
      <w:r w:rsidRPr="00A07F4E">
        <w:t xml:space="preserve"> a nyilvántartási politikák és eljárások megfelelőségét értékelte nagyon jónak, míg a többi értékelési szempont jó minősítést kapott.</w:t>
      </w:r>
      <w:r w:rsidR="008F513B" w:rsidRPr="00A07F4E">
        <w:rPr>
          <w:rStyle w:val="Lbjegyzet-hivatkozs"/>
        </w:rPr>
        <w:footnoteReference w:id="28"/>
      </w:r>
      <w:r w:rsidRPr="00A07F4E">
        <w:t xml:space="preserve"> </w:t>
      </w:r>
    </w:p>
    <w:p w14:paraId="7482E9EF" w14:textId="50347CF1" w:rsidR="00795DD2" w:rsidRPr="00A07F4E" w:rsidRDefault="00574F9E" w:rsidP="005F2CAC">
      <w:r w:rsidRPr="00A07F4E">
        <w:t xml:space="preserve">Az </w:t>
      </w:r>
      <w:proofErr w:type="spellStart"/>
      <w:r w:rsidRPr="00A07F4E">
        <w:t>EBA</w:t>
      </w:r>
      <w:proofErr w:type="spellEnd"/>
      <w:r w:rsidRPr="00A07F4E">
        <w:t xml:space="preserve"> </w:t>
      </w:r>
      <w:proofErr w:type="spellStart"/>
      <w:r w:rsidRPr="00A07F4E">
        <w:t>Opinion</w:t>
      </w:r>
      <w:proofErr w:type="spellEnd"/>
      <w:r w:rsidR="008F513B" w:rsidRPr="00A07F4E">
        <w:t xml:space="preserve"> alapján</w:t>
      </w:r>
      <w:r w:rsidRPr="00A07F4E">
        <w:t xml:space="preserve">, </w:t>
      </w:r>
      <w:r w:rsidR="005F2CAC" w:rsidRPr="00A07F4E">
        <w:t xml:space="preserve">az illetékes </w:t>
      </w:r>
      <w:r w:rsidR="004B576C">
        <w:t xml:space="preserve">külföldi </w:t>
      </w:r>
      <w:r w:rsidR="005F2CAC" w:rsidRPr="00A07F4E">
        <w:t>hatóságok</w:t>
      </w:r>
      <w:r w:rsidR="00EF715A" w:rsidRPr="00A07F4E">
        <w:t>, akik</w:t>
      </w:r>
      <w:r w:rsidR="005F2CAC" w:rsidRPr="00A07F4E">
        <w:t xml:space="preserve"> elvégezték az ellenőrzések értékelését, és úgy ítélték meg, hogy a közvetítők által bevezetett ellenőrzések összességében jók vagy nagyon jók voltak. </w:t>
      </w:r>
      <w:r w:rsidR="00B56AA3" w:rsidRPr="00A07F4E">
        <w:t>A</w:t>
      </w:r>
      <w:r w:rsidR="005F2CAC" w:rsidRPr="00A07F4E">
        <w:t xml:space="preserve"> </w:t>
      </w:r>
      <w:r w:rsidR="004B576C">
        <w:t>külföldi</w:t>
      </w:r>
      <w:r w:rsidR="005F2CAC" w:rsidRPr="00A07F4E">
        <w:t xml:space="preserve"> hatóságok elégedettek az ügyfél-azonosítási és ellenőrzési politikák és eljárások, valamint a nyilvántartási politikák és eljárások megfelelőségével és hatékonyságával kapcsolatos ellenőrzésekkel. </w:t>
      </w:r>
      <w:r w:rsidR="008E70EA" w:rsidRPr="00A07F4E">
        <w:t xml:space="preserve">Az </w:t>
      </w:r>
      <w:proofErr w:type="spellStart"/>
      <w:r w:rsidR="008E70EA" w:rsidRPr="00A07F4E">
        <w:t>EBA</w:t>
      </w:r>
      <w:proofErr w:type="spellEnd"/>
      <w:r w:rsidR="008E70EA" w:rsidRPr="00A07F4E">
        <w:t xml:space="preserve"> </w:t>
      </w:r>
      <w:proofErr w:type="spellStart"/>
      <w:r w:rsidR="008E70EA" w:rsidRPr="00A07F4E">
        <w:t>Opinion</w:t>
      </w:r>
      <w:r w:rsidR="00B702F0">
        <w:t>-</w:t>
      </w:r>
      <w:r w:rsidR="008E70EA" w:rsidRPr="00A07F4E">
        <w:t>ből</w:t>
      </w:r>
      <w:proofErr w:type="spellEnd"/>
      <w:r w:rsidR="008E70EA" w:rsidRPr="00A07F4E">
        <w:t xml:space="preserve"> kitűnik</w:t>
      </w:r>
      <w:r w:rsidR="005F2CAC" w:rsidRPr="00A07F4E">
        <w:t xml:space="preserve">, hogy az illetékes </w:t>
      </w:r>
      <w:r w:rsidR="004B576C">
        <w:t xml:space="preserve">külföldi </w:t>
      </w:r>
      <w:r w:rsidR="005F2CAC" w:rsidRPr="00A07F4E">
        <w:t>hatóságok</w:t>
      </w:r>
      <w:r w:rsidR="00F5040D">
        <w:t xml:space="preserve">at jobban aggasztja </w:t>
      </w:r>
      <w:r w:rsidR="005F2CAC" w:rsidRPr="006E4EE8">
        <w:t>a</w:t>
      </w:r>
      <w:r w:rsidR="008F513B" w:rsidRPr="006E4EE8">
        <w:t>z</w:t>
      </w:r>
      <w:r w:rsidR="005F2CAC" w:rsidRPr="006E4EE8">
        <w:t xml:space="preserve"> </w:t>
      </w:r>
      <w:r w:rsidR="002C73BD">
        <w:t>bejelentésekkel kapcsolatos</w:t>
      </w:r>
      <w:r w:rsidR="005F2CAC" w:rsidRPr="006E4EE8">
        <w:t xml:space="preserve"> politikák</w:t>
      </w:r>
      <w:r w:rsidR="005F2CAC" w:rsidRPr="00A07F4E">
        <w:t xml:space="preserve"> és eljárások megfelelőség</w:t>
      </w:r>
      <w:r w:rsidR="00F5040D">
        <w:t>e</w:t>
      </w:r>
      <w:r w:rsidR="005F2CAC" w:rsidRPr="00A07F4E">
        <w:t xml:space="preserve"> és hatékonyság</w:t>
      </w:r>
      <w:r w:rsidR="00F5040D">
        <w:t>a</w:t>
      </w:r>
      <w:r w:rsidR="005F2CAC" w:rsidRPr="00A07F4E">
        <w:t xml:space="preserve">, az egész </w:t>
      </w:r>
      <w:r w:rsidR="00792A99">
        <w:t>szolgáltatóra</w:t>
      </w:r>
      <w:r w:rsidR="00792A99" w:rsidRPr="00A07F4E">
        <w:t xml:space="preserve"> </w:t>
      </w:r>
      <w:r w:rsidR="005F2CAC" w:rsidRPr="00A07F4E">
        <w:t>kiterjedő és az egyéni kockázatértékelések minőség</w:t>
      </w:r>
      <w:r w:rsidR="00F5040D">
        <w:t>e</w:t>
      </w:r>
      <w:r w:rsidR="005F2CAC" w:rsidRPr="00A07F4E">
        <w:t>, valamint az ML/</w:t>
      </w:r>
      <w:proofErr w:type="spellStart"/>
      <w:r w:rsidR="005F2CAC" w:rsidRPr="00A07F4E">
        <w:t>TF</w:t>
      </w:r>
      <w:proofErr w:type="spellEnd"/>
      <w:r w:rsidR="005F2CAC" w:rsidRPr="00A07F4E">
        <w:t xml:space="preserve"> kockázatokkal összefüggő tudatossággal kapcsolatos ellenőrzések</w:t>
      </w:r>
      <w:r w:rsidR="00F5040D">
        <w:t>.</w:t>
      </w:r>
      <w:r w:rsidR="005F2CAC" w:rsidRPr="00A07F4E">
        <w:t xml:space="preserve"> </w:t>
      </w:r>
    </w:p>
    <w:p w14:paraId="03905B40" w14:textId="77777777" w:rsidR="00574F9E" w:rsidRPr="00A07F4E" w:rsidRDefault="00574F9E" w:rsidP="00A07F4E">
      <w:pPr>
        <w:pStyle w:val="Cmsor3"/>
        <w:numPr>
          <w:ilvl w:val="0"/>
          <w:numId w:val="146"/>
        </w:numPr>
      </w:pPr>
      <w:bookmarkStart w:id="278" w:name="_Toc109906068"/>
      <w:r w:rsidRPr="00A07F4E">
        <w:t>Felügyeleti tevékenység</w:t>
      </w:r>
      <w:bookmarkEnd w:id="278"/>
    </w:p>
    <w:p w14:paraId="54095A06" w14:textId="1FC72D2D" w:rsidR="00795DD2" w:rsidRPr="00A07F4E" w:rsidRDefault="00574F9E" w:rsidP="0041629D">
      <w:r w:rsidRPr="00EB55A1">
        <w:t>A</w:t>
      </w:r>
      <w:r w:rsidR="004B576C" w:rsidRPr="00EB55A1">
        <w:t>z MNB</w:t>
      </w:r>
      <w:r w:rsidRPr="00A07F4E">
        <w:t xml:space="preserve"> a szektor </w:t>
      </w:r>
      <w:r w:rsidR="00D579C8" w:rsidRPr="00A07F4E">
        <w:t>Kevésbé</w:t>
      </w:r>
      <w:r w:rsidRPr="00A07F4E">
        <w:t xml:space="preserve"> jelentős inherens kockázati besorolására tekintettel kisebb hangsúlyt fektetett jelen szektor </w:t>
      </w:r>
      <w:proofErr w:type="spellStart"/>
      <w:r w:rsidR="00B56AA3" w:rsidRPr="00A07F4E">
        <w:t>on</w:t>
      </w:r>
      <w:proofErr w:type="spellEnd"/>
      <w:r w:rsidR="00B56AA3" w:rsidRPr="00A07F4E">
        <w:t xml:space="preserve">-site </w:t>
      </w:r>
      <w:r w:rsidRPr="00A07F4E">
        <w:t xml:space="preserve">ellenőrzésére. </w:t>
      </w:r>
      <w:r w:rsidR="008F513B" w:rsidRPr="00EB55A1">
        <w:t>A</w:t>
      </w:r>
      <w:r w:rsidR="001C0BEE" w:rsidRPr="00EB55A1">
        <w:t>z MNB</w:t>
      </w:r>
      <w:r w:rsidR="008F513B" w:rsidRPr="009F3A30">
        <w:t xml:space="preserve"> az életbiztosítás közvetítői szektort az ügyfelektől, illetve társhatóságoktól érkező panaszok és sajtófigyelés során szerzett információk alapján felügyeli, felmerülő kockázati jelzés alapján ellenőrzi.</w:t>
      </w:r>
      <w:r w:rsidR="008F513B" w:rsidRPr="00A07F4E">
        <w:t xml:space="preserve"> </w:t>
      </w:r>
    </w:p>
    <w:p w14:paraId="05CF85BB" w14:textId="77777777" w:rsidR="00574F9E" w:rsidRPr="00A07F4E" w:rsidRDefault="00574F9E" w:rsidP="00A07F4E">
      <w:pPr>
        <w:pStyle w:val="Cmsor3"/>
        <w:numPr>
          <w:ilvl w:val="0"/>
          <w:numId w:val="146"/>
        </w:numPr>
      </w:pPr>
      <w:bookmarkStart w:id="279" w:name="_Toc109906069"/>
      <w:r w:rsidRPr="00A07F4E">
        <w:t>Azonosított jogsértések</w:t>
      </w:r>
      <w:bookmarkEnd w:id="279"/>
    </w:p>
    <w:p w14:paraId="0549F97B" w14:textId="21AC0A27" w:rsidR="00574F9E" w:rsidRPr="00A07F4E" w:rsidRDefault="00574F9E" w:rsidP="00574F9E">
      <w:r w:rsidRPr="00EB55A1">
        <w:t>A</w:t>
      </w:r>
      <w:r w:rsidR="00B154D8">
        <w:t>z MNB</w:t>
      </w:r>
      <w:r w:rsidRPr="00A07F4E">
        <w:t xml:space="preserve"> </w:t>
      </w:r>
      <w:r w:rsidR="008C1A55">
        <w:t>a szolgáltatók</w:t>
      </w:r>
      <w:r w:rsidRPr="00A07F4E">
        <w:t xml:space="preserve"> felügyelete során az ügyfelek kockázatértékelésével, a gyanús tranzakciók jelentésével, valamint az oktatással és a tudatossággal kapcsolatban azonosított. </w:t>
      </w:r>
      <w:r w:rsidRPr="00EB55A1">
        <w:t>A</w:t>
      </w:r>
      <w:r w:rsidR="00A87B9F">
        <w:t>z MNB</w:t>
      </w:r>
      <w:r w:rsidRPr="00A07F4E">
        <w:t xml:space="preserve"> által alkalmazott intézkedések a szektorhoz tartozó </w:t>
      </w:r>
      <w:r w:rsidR="008C1A55">
        <w:t>szolgáltatók</w:t>
      </w:r>
      <w:r w:rsidRPr="00A07F4E">
        <w:t xml:space="preserve"> esetében jellemzően a megfelelési, meghatározott intézkedések végrehajtására vonatkozó utasítások, valamint helyreállítási terv bevezetésére vonatkozó kötelezés</w:t>
      </w:r>
      <w:r w:rsidR="00605383" w:rsidRPr="00A07F4E">
        <w:t>ek</w:t>
      </w:r>
      <w:r w:rsidRPr="00A07F4E">
        <w:t xml:space="preserve"> voltak. </w:t>
      </w:r>
    </w:p>
    <w:p w14:paraId="01F48D0C" w14:textId="1057E77E" w:rsidR="00C42182" w:rsidRPr="00A07F4E" w:rsidRDefault="00DF47A4" w:rsidP="00700EC3">
      <w:r w:rsidRPr="00A07F4E">
        <w:lastRenderedPageBreak/>
        <w:t xml:space="preserve">Az </w:t>
      </w:r>
      <w:proofErr w:type="spellStart"/>
      <w:r w:rsidRPr="00A07F4E">
        <w:t>EBA</w:t>
      </w:r>
      <w:proofErr w:type="spellEnd"/>
      <w:r w:rsidRPr="00A07F4E">
        <w:t xml:space="preserve"> </w:t>
      </w:r>
      <w:proofErr w:type="spellStart"/>
      <w:r w:rsidRPr="00A07F4E">
        <w:t>Opinion</w:t>
      </w:r>
      <w:proofErr w:type="spellEnd"/>
      <w:r w:rsidRPr="00A07F4E">
        <w:t xml:space="preserve"> alapján, az illetékes </w:t>
      </w:r>
      <w:r w:rsidR="00A87B9F">
        <w:t xml:space="preserve">külföldi </w:t>
      </w:r>
      <w:r w:rsidRPr="00A07F4E">
        <w:t>hatóságok a szektorban kisszámú jogsértést állapítottak meg, amelyeket főként kisebb vagy közepes mértékűnek minősítettek. A beérkezett válaszokból megállapítható, hogy a fő jogsértések az ügyfelek azonosításával és személyazonosság</w:t>
      </w:r>
      <w:r w:rsidR="00605383" w:rsidRPr="00A07F4E">
        <w:t>uk</w:t>
      </w:r>
      <w:r w:rsidRPr="00A07F4E">
        <w:t xml:space="preserve"> ellenőrzésével, a belső ellenőrzésekkel és az általános </w:t>
      </w:r>
      <w:proofErr w:type="spellStart"/>
      <w:r w:rsidRPr="00A07F4E">
        <w:t>AML</w:t>
      </w:r>
      <w:proofErr w:type="spellEnd"/>
      <w:r w:rsidRPr="00A07F4E">
        <w:t>/</w:t>
      </w:r>
      <w:proofErr w:type="spellStart"/>
      <w:r w:rsidRPr="00A07F4E">
        <w:t>CFT</w:t>
      </w:r>
      <w:proofErr w:type="spellEnd"/>
      <w:r w:rsidRPr="00A07F4E">
        <w:t xml:space="preserve"> szabályokkal és eljárásokkal, valamint mind az egész </w:t>
      </w:r>
      <w:r w:rsidR="00792A99">
        <w:t>szolgáltatóra</w:t>
      </w:r>
      <w:r w:rsidRPr="00A07F4E">
        <w:t xml:space="preserve"> kiterjedő, mind az ügyfelek kockázatértékelésének minőségével </w:t>
      </w:r>
      <w:r w:rsidR="008F513B" w:rsidRPr="009F3A30">
        <w:t>voltak</w:t>
      </w:r>
      <w:r w:rsidR="008F513B" w:rsidRPr="00A07F4E">
        <w:t xml:space="preserve"> </w:t>
      </w:r>
      <w:r w:rsidRPr="00A07F4E">
        <w:t>kapcsolatosak.</w:t>
      </w:r>
    </w:p>
    <w:p w14:paraId="1DD3C307" w14:textId="77777777" w:rsidR="00535CCE" w:rsidRPr="00A07F4E" w:rsidRDefault="00535CCE" w:rsidP="00A07F4E">
      <w:pPr>
        <w:pStyle w:val="Cmsor3"/>
        <w:numPr>
          <w:ilvl w:val="0"/>
          <w:numId w:val="146"/>
        </w:numPr>
      </w:pPr>
      <w:bookmarkStart w:id="280" w:name="_Toc109906070"/>
      <w:r w:rsidRPr="00A07F4E">
        <w:t>Alszektorok</w:t>
      </w:r>
      <w:bookmarkEnd w:id="280"/>
    </w:p>
    <w:p w14:paraId="5FEDA9D4" w14:textId="77777777" w:rsidR="00DC7B3F" w:rsidRPr="00A07F4E" w:rsidRDefault="00FC10F8" w:rsidP="00A07F4E">
      <w:pPr>
        <w:pStyle w:val="Listaszerbekezds"/>
        <w:numPr>
          <w:ilvl w:val="0"/>
          <w:numId w:val="197"/>
        </w:numPr>
        <w:spacing w:after="0" w:line="240" w:lineRule="auto"/>
        <w:ind w:left="851" w:hanging="284"/>
        <w:rPr>
          <w:rFonts w:cs="Times New Roman"/>
        </w:rPr>
      </w:pPr>
      <w:r w:rsidRPr="00A07F4E">
        <w:rPr>
          <w:rFonts w:cs="Times New Roman"/>
        </w:rPr>
        <w:t>Biztosítási alkusz</w:t>
      </w:r>
      <w:r w:rsidR="00830BDF" w:rsidRPr="00A07F4E">
        <w:rPr>
          <w:rFonts w:cs="Times New Roman"/>
        </w:rPr>
        <w:t xml:space="preserve"> – </w:t>
      </w:r>
      <w:r w:rsidR="00D75BFB" w:rsidRPr="00A07F4E">
        <w:rPr>
          <w:rFonts w:cs="Times New Roman"/>
        </w:rPr>
        <w:t>alszektor</w:t>
      </w:r>
    </w:p>
    <w:p w14:paraId="3B990308" w14:textId="77777777" w:rsidR="00D75BFB" w:rsidRPr="00A07F4E" w:rsidRDefault="00D75BFB" w:rsidP="00D75BFB">
      <w:pPr>
        <w:pStyle w:val="Listaszerbekezds"/>
        <w:numPr>
          <w:ilvl w:val="0"/>
          <w:numId w:val="0"/>
        </w:numPr>
        <w:spacing w:after="0" w:line="240" w:lineRule="auto"/>
        <w:ind w:left="1364"/>
        <w:rPr>
          <w:rFonts w:cs="Times New Roman"/>
        </w:rPr>
      </w:pPr>
    </w:p>
    <w:p w14:paraId="78161BA6" w14:textId="104740DF" w:rsidR="00830BDF" w:rsidRPr="00A07F4E" w:rsidRDefault="00830BDF" w:rsidP="00FC10F8">
      <w:pPr>
        <w:spacing w:after="0" w:line="240" w:lineRule="auto"/>
        <w:rPr>
          <w:rFonts w:cs="Times New Roman"/>
        </w:rPr>
      </w:pPr>
      <w:r w:rsidRPr="00A07F4E">
        <w:rPr>
          <w:rFonts w:cs="Times New Roman"/>
        </w:rPr>
        <w:t xml:space="preserve">Magyarországon a biztosítási alkusz alszektorban </w:t>
      </w:r>
      <w:r w:rsidR="00E972E9" w:rsidRPr="00FC37B3">
        <w:t>330</w:t>
      </w:r>
      <w:r w:rsidR="0025361E" w:rsidRPr="00FC37B3">
        <w:t xml:space="preserve"> </w:t>
      </w:r>
      <w:r w:rsidR="00443312" w:rsidRPr="00FC37B3">
        <w:t xml:space="preserve">és </w:t>
      </w:r>
      <w:r w:rsidR="00747FB9" w:rsidRPr="00FC37B3">
        <w:t>360</w:t>
      </w:r>
      <w:r w:rsidR="00443312" w:rsidRPr="00FC37B3">
        <w:t xml:space="preserve"> közötti számú</w:t>
      </w:r>
      <w:r w:rsidRPr="00FC37B3">
        <w:rPr>
          <w:rFonts w:cs="Times New Roman"/>
        </w:rPr>
        <w:t xml:space="preserve"> szolgáltató tevékenykedik</w:t>
      </w:r>
      <w:r w:rsidRPr="00747FB9">
        <w:rPr>
          <w:rFonts w:cs="Times New Roman"/>
        </w:rPr>
        <w:t>.</w:t>
      </w:r>
      <w:r w:rsidRPr="00A07F4E">
        <w:rPr>
          <w:rFonts w:cs="Times New Roman"/>
        </w:rPr>
        <w:t xml:space="preserve"> </w:t>
      </w:r>
    </w:p>
    <w:p w14:paraId="032FB608" w14:textId="77777777" w:rsidR="00830BDF" w:rsidRPr="00A07F4E" w:rsidRDefault="00830BDF" w:rsidP="00FC10F8">
      <w:pPr>
        <w:spacing w:after="0" w:line="240" w:lineRule="auto"/>
        <w:rPr>
          <w:rFonts w:cs="Times New Roman"/>
        </w:rPr>
      </w:pPr>
    </w:p>
    <w:p w14:paraId="5866F4CC" w14:textId="1F5CFF2E" w:rsidR="00FC10F8" w:rsidRPr="00A07F4E" w:rsidRDefault="00FC10F8" w:rsidP="00FC37B3">
      <w:pPr>
        <w:rPr>
          <w:rFonts w:cs="Times New Roman"/>
        </w:rPr>
      </w:pPr>
      <w:r w:rsidRPr="00A07F4E">
        <w:rPr>
          <w:rFonts w:cs="Times New Roman"/>
        </w:rPr>
        <w:t>A független biztosításközvetítők, azaz az alkusz az ügyféllel kötött szerződés alapján, az ügyfél megbízásából járnak el, előkészíti</w:t>
      </w:r>
      <w:r w:rsidR="00544419" w:rsidRPr="00A07F4E">
        <w:rPr>
          <w:rFonts w:cs="Times New Roman"/>
        </w:rPr>
        <w:t>k</w:t>
      </w:r>
      <w:r w:rsidRPr="00A07F4E">
        <w:rPr>
          <w:rFonts w:cs="Times New Roman"/>
        </w:rPr>
        <w:t xml:space="preserve"> a biztosítási szerződés megkötését, tevékenység</w:t>
      </w:r>
      <w:r w:rsidR="00544419" w:rsidRPr="00A07F4E">
        <w:rPr>
          <w:rFonts w:cs="Times New Roman"/>
        </w:rPr>
        <w:t>ükre</w:t>
      </w:r>
      <w:r w:rsidRPr="00A07F4E">
        <w:rPr>
          <w:rFonts w:cs="Times New Roman"/>
        </w:rPr>
        <w:t xml:space="preserve"> pedig kiterjedhet – az ügyfél képviseletében – a szerződés megkötésére, a megbízó igényeinek érvényesítésében történő közreműködésre.</w:t>
      </w:r>
      <w:r w:rsidR="00554380" w:rsidRPr="00A07F4E">
        <w:rPr>
          <w:rFonts w:cs="Times New Roman"/>
        </w:rPr>
        <w:t xml:space="preserve"> K</w:t>
      </w:r>
      <w:r w:rsidR="00D75BFB" w:rsidRPr="00A07F4E">
        <w:rPr>
          <w:rFonts w:cs="Times New Roman"/>
        </w:rPr>
        <w:t>ockázatot növelő tényező lehet, hogy a biztosítási alkuszok közvetlenül az ügyféllel állnak megbízási jogviszonyban, így a profitori</w:t>
      </w:r>
      <w:r w:rsidR="00554380" w:rsidRPr="00A07F4E">
        <w:rPr>
          <w:rFonts w:cs="Times New Roman"/>
        </w:rPr>
        <w:t xml:space="preserve">entált vállalkozások hajlamosabbak lehetnek az </w:t>
      </w:r>
      <w:proofErr w:type="spellStart"/>
      <w:r w:rsidR="00554380" w:rsidRPr="00A07F4E">
        <w:rPr>
          <w:rFonts w:cs="Times New Roman"/>
        </w:rPr>
        <w:t>AML</w:t>
      </w:r>
      <w:proofErr w:type="spellEnd"/>
      <w:r w:rsidR="00554380" w:rsidRPr="00A07F4E">
        <w:rPr>
          <w:rFonts w:cs="Times New Roman"/>
        </w:rPr>
        <w:t>/</w:t>
      </w:r>
      <w:proofErr w:type="spellStart"/>
      <w:r w:rsidR="00554380" w:rsidRPr="00A07F4E">
        <w:rPr>
          <w:rFonts w:cs="Times New Roman"/>
        </w:rPr>
        <w:t>CFT</w:t>
      </w:r>
      <w:proofErr w:type="spellEnd"/>
      <w:r w:rsidR="00554380" w:rsidRPr="00A07F4E">
        <w:rPr>
          <w:rFonts w:cs="Times New Roman"/>
        </w:rPr>
        <w:t xml:space="preserve"> kötelezettségeknek kevésbe megfelelni. Azonban figyelemmel a szektor inherens kockázatára, illetve arra</w:t>
      </w:r>
      <w:r w:rsidR="00605383" w:rsidRPr="00A07F4E">
        <w:rPr>
          <w:rFonts w:cs="Times New Roman"/>
        </w:rPr>
        <w:t xml:space="preserve"> a tényre</w:t>
      </w:r>
      <w:r w:rsidR="001727FE" w:rsidRPr="00A07F4E">
        <w:rPr>
          <w:rFonts w:cs="Times New Roman"/>
        </w:rPr>
        <w:t>,</w:t>
      </w:r>
      <w:r w:rsidR="00554380" w:rsidRPr="00A07F4E">
        <w:rPr>
          <w:rFonts w:cs="Times New Roman"/>
        </w:rPr>
        <w:t xml:space="preserve"> hogy az alszektor </w:t>
      </w:r>
      <w:r w:rsidR="00605383" w:rsidRPr="00A07F4E">
        <w:rPr>
          <w:rFonts w:cs="Times New Roman"/>
        </w:rPr>
        <w:t xml:space="preserve">kevésbé </w:t>
      </w:r>
      <w:r w:rsidR="00554380" w:rsidRPr="00A07F4E">
        <w:rPr>
          <w:rFonts w:cs="Times New Roman"/>
        </w:rPr>
        <w:t>van kitéve ML/</w:t>
      </w:r>
      <w:proofErr w:type="spellStart"/>
      <w:r w:rsidR="00554380" w:rsidRPr="00A07F4E">
        <w:rPr>
          <w:rFonts w:cs="Times New Roman"/>
        </w:rPr>
        <w:t>TF</w:t>
      </w:r>
      <w:proofErr w:type="spellEnd"/>
      <w:r w:rsidR="00554380" w:rsidRPr="00A07F4E">
        <w:rPr>
          <w:rFonts w:cs="Times New Roman"/>
        </w:rPr>
        <w:t xml:space="preserve"> céloknak, a</w:t>
      </w:r>
      <w:r w:rsidR="00DC7B3F" w:rsidRPr="00A07F4E">
        <w:rPr>
          <w:rFonts w:cs="Times New Roman"/>
        </w:rPr>
        <w:t xml:space="preserve"> biztosítási alkuszok inherens kockázata </w:t>
      </w:r>
      <w:r w:rsidR="00283FFD" w:rsidRPr="00F6504D">
        <w:rPr>
          <w:rFonts w:cs="Times New Roman"/>
        </w:rPr>
        <w:t>az MNB</w:t>
      </w:r>
      <w:r w:rsidR="00283FFD">
        <w:rPr>
          <w:rFonts w:cs="Times New Roman"/>
        </w:rPr>
        <w:t xml:space="preserve"> </w:t>
      </w:r>
      <w:r w:rsidR="00554380" w:rsidRPr="00F6504D">
        <w:rPr>
          <w:rFonts w:cs="Times New Roman"/>
        </w:rPr>
        <w:t>értékelése</w:t>
      </w:r>
      <w:r w:rsidR="00554380" w:rsidRPr="00A07F4E">
        <w:rPr>
          <w:rFonts w:cs="Times New Roman"/>
        </w:rPr>
        <w:t xml:space="preserve"> alapján </w:t>
      </w:r>
      <w:r w:rsidR="009F2325" w:rsidRPr="00A07F4E">
        <w:rPr>
          <w:rFonts w:cs="Times New Roman"/>
        </w:rPr>
        <w:t xml:space="preserve">Kevésbé jelentős. </w:t>
      </w:r>
    </w:p>
    <w:p w14:paraId="00CA102E" w14:textId="77777777" w:rsidR="00554380" w:rsidRPr="00A07F4E" w:rsidRDefault="00554380" w:rsidP="00FC10F8">
      <w:pPr>
        <w:spacing w:after="0" w:line="240" w:lineRule="auto"/>
        <w:rPr>
          <w:rFonts w:cs="Times New Roman"/>
        </w:rPr>
      </w:pPr>
    </w:p>
    <w:tbl>
      <w:tblPr>
        <w:tblW w:w="2760" w:type="dxa"/>
        <w:tblCellMar>
          <w:left w:w="70" w:type="dxa"/>
          <w:right w:w="70" w:type="dxa"/>
        </w:tblCellMar>
        <w:tblLook w:val="04A0" w:firstRow="1" w:lastRow="0" w:firstColumn="1" w:lastColumn="0" w:noHBand="0" w:noVBand="1"/>
      </w:tblPr>
      <w:tblGrid>
        <w:gridCol w:w="1440"/>
        <w:gridCol w:w="1320"/>
      </w:tblGrid>
      <w:tr w:rsidR="00554380" w:rsidRPr="00A07F4E" w14:paraId="08345BDB" w14:textId="77777777" w:rsidTr="00554380">
        <w:trPr>
          <w:trHeight w:val="300"/>
        </w:trPr>
        <w:tc>
          <w:tcPr>
            <w:tcW w:w="1440" w:type="dxa"/>
            <w:tcBorders>
              <w:top w:val="nil"/>
              <w:left w:val="nil"/>
              <w:bottom w:val="nil"/>
              <w:right w:val="nil"/>
            </w:tcBorders>
            <w:shd w:val="clear" w:color="auto" w:fill="auto"/>
            <w:noWrap/>
            <w:vAlign w:val="center"/>
            <w:hideMark/>
          </w:tcPr>
          <w:p w14:paraId="62DB6590" w14:textId="77777777" w:rsidR="00554380" w:rsidRPr="00A07F4E" w:rsidRDefault="00554380" w:rsidP="00554380">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Inherens kockázat:</w:t>
            </w:r>
            <w:r w:rsidRPr="00A07F4E">
              <w:rPr>
                <w:rFonts w:eastAsia="Times New Roman" w:cs="Calibri"/>
                <w:color w:val="000000"/>
                <w:sz w:val="16"/>
                <w:szCs w:val="16"/>
              </w:rPr>
              <w:t xml:space="preserve"> </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D42FA4" w14:textId="77777777" w:rsidR="00554380" w:rsidRPr="00A07F4E" w:rsidRDefault="00554380" w:rsidP="00554380">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5BB499A7" w14:textId="77777777" w:rsidR="00554380" w:rsidRPr="00A07F4E" w:rsidRDefault="00554380" w:rsidP="00FC10F8">
      <w:pPr>
        <w:spacing w:after="0" w:line="240" w:lineRule="auto"/>
        <w:rPr>
          <w:rFonts w:cs="Times New Roman"/>
        </w:rPr>
      </w:pPr>
    </w:p>
    <w:p w14:paraId="3A77853E" w14:textId="3E8B1D04" w:rsidR="00375E91" w:rsidRPr="00A07F4E" w:rsidRDefault="00375E91" w:rsidP="00FC37B3">
      <w:pPr>
        <w:rPr>
          <w:rFonts w:cs="Times New Roman"/>
        </w:rPr>
      </w:pPr>
      <w:r w:rsidRPr="00A07F4E">
        <w:rPr>
          <w:rFonts w:cs="Times New Roman"/>
        </w:rPr>
        <w:t xml:space="preserve">A szektor értékelésénél részletezett kockázatcsökkentő </w:t>
      </w:r>
      <w:r w:rsidR="00D75BFB" w:rsidRPr="00A07F4E">
        <w:rPr>
          <w:rFonts w:cs="Times New Roman"/>
        </w:rPr>
        <w:t>intézkedésekre, illetve arra a tényre, hogy folyamatos felügyelés során kockázatot növelő tényező nem jutott a</w:t>
      </w:r>
      <w:r w:rsidR="009B2298">
        <w:rPr>
          <w:rFonts w:cs="Times New Roman"/>
        </w:rPr>
        <w:t>z MNB</w:t>
      </w:r>
      <w:r w:rsidR="00D75BFB" w:rsidRPr="00A07F4E">
        <w:rPr>
          <w:rFonts w:cs="Times New Roman"/>
        </w:rPr>
        <w:t xml:space="preserve"> </w:t>
      </w:r>
      <w:r w:rsidR="00D75BFB" w:rsidRPr="00F6504D">
        <w:rPr>
          <w:rFonts w:cs="Times New Roman"/>
        </w:rPr>
        <w:t>tudomására</w:t>
      </w:r>
      <w:r w:rsidR="00D75BFB" w:rsidRPr="00A07F4E">
        <w:rPr>
          <w:rFonts w:cs="Times New Roman"/>
        </w:rPr>
        <w:t xml:space="preserve">, a biztosítási alkusz alszektor maradványkockázatát </w:t>
      </w:r>
      <w:r w:rsidR="00D75BFB" w:rsidRPr="00F6504D">
        <w:rPr>
          <w:rFonts w:cs="Times New Roman"/>
        </w:rPr>
        <w:t>a</w:t>
      </w:r>
      <w:r w:rsidR="009B2298" w:rsidRPr="00F6504D">
        <w:rPr>
          <w:rFonts w:cs="Times New Roman"/>
        </w:rPr>
        <w:t>z MNB</w:t>
      </w:r>
      <w:r w:rsidR="00D75BFB" w:rsidRPr="00A07F4E">
        <w:rPr>
          <w:rFonts w:cs="Times New Roman"/>
        </w:rPr>
        <w:t xml:space="preserve"> Kevésbé jelentősnek értékeli. </w:t>
      </w:r>
    </w:p>
    <w:p w14:paraId="163F72BE" w14:textId="77777777" w:rsidR="00554380" w:rsidRPr="00A07F4E" w:rsidRDefault="00554380" w:rsidP="00FC10F8">
      <w:pPr>
        <w:spacing w:after="0" w:line="240" w:lineRule="auto"/>
        <w:rPr>
          <w:rFonts w:cs="Times New Roman"/>
        </w:rPr>
      </w:pPr>
    </w:p>
    <w:tbl>
      <w:tblPr>
        <w:tblW w:w="2760" w:type="dxa"/>
        <w:tblCellMar>
          <w:left w:w="70" w:type="dxa"/>
          <w:right w:w="70" w:type="dxa"/>
        </w:tblCellMar>
        <w:tblLook w:val="04A0" w:firstRow="1" w:lastRow="0" w:firstColumn="1" w:lastColumn="0" w:noHBand="0" w:noVBand="1"/>
      </w:tblPr>
      <w:tblGrid>
        <w:gridCol w:w="1525"/>
        <w:gridCol w:w="1320"/>
      </w:tblGrid>
      <w:tr w:rsidR="00554380" w:rsidRPr="00A07F4E" w14:paraId="7D533751" w14:textId="77777777" w:rsidTr="00554380">
        <w:trPr>
          <w:trHeight w:val="300"/>
        </w:trPr>
        <w:tc>
          <w:tcPr>
            <w:tcW w:w="1440" w:type="dxa"/>
            <w:tcBorders>
              <w:top w:val="nil"/>
              <w:left w:val="nil"/>
              <w:bottom w:val="nil"/>
              <w:right w:val="nil"/>
            </w:tcBorders>
            <w:shd w:val="clear" w:color="auto" w:fill="auto"/>
            <w:noWrap/>
            <w:vAlign w:val="center"/>
            <w:hideMark/>
          </w:tcPr>
          <w:p w14:paraId="1B21A6FC" w14:textId="77777777" w:rsidR="00554380" w:rsidRPr="00A07F4E" w:rsidRDefault="00554380" w:rsidP="00554380">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Maradványkockázat:</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0FE1B8" w14:textId="77777777" w:rsidR="00554380" w:rsidRPr="00A07F4E" w:rsidRDefault="00554380" w:rsidP="00554380">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7C7E18C8" w14:textId="77777777" w:rsidR="00554380" w:rsidRPr="00A07F4E" w:rsidRDefault="00554380" w:rsidP="00FC10F8">
      <w:pPr>
        <w:spacing w:after="0" w:line="240" w:lineRule="auto"/>
        <w:rPr>
          <w:rFonts w:cs="Times New Roman"/>
        </w:rPr>
      </w:pPr>
    </w:p>
    <w:p w14:paraId="0C89A253" w14:textId="77777777" w:rsidR="00FC10F8" w:rsidRPr="00A07F4E" w:rsidRDefault="00FC10F8" w:rsidP="00A07F4E">
      <w:pPr>
        <w:pStyle w:val="Listaszerbekezds"/>
        <w:numPr>
          <w:ilvl w:val="0"/>
          <w:numId w:val="197"/>
        </w:numPr>
        <w:spacing w:after="0" w:line="240" w:lineRule="auto"/>
        <w:ind w:left="851" w:hanging="284"/>
        <w:rPr>
          <w:rFonts w:cs="Times New Roman"/>
        </w:rPr>
      </w:pPr>
      <w:r w:rsidRPr="00A07F4E">
        <w:rPr>
          <w:rFonts w:cs="Times New Roman"/>
        </w:rPr>
        <w:t>Biztosítási többes ügynök</w:t>
      </w:r>
      <w:r w:rsidR="00830BDF" w:rsidRPr="00A07F4E">
        <w:rPr>
          <w:rFonts w:cs="Times New Roman"/>
        </w:rPr>
        <w:t xml:space="preserve"> – alszektor </w:t>
      </w:r>
    </w:p>
    <w:p w14:paraId="172512C3" w14:textId="77777777" w:rsidR="00830BDF" w:rsidRPr="00A07F4E" w:rsidRDefault="00830BDF" w:rsidP="00830BDF">
      <w:pPr>
        <w:spacing w:after="0" w:line="240" w:lineRule="auto"/>
        <w:ind w:left="1004"/>
        <w:rPr>
          <w:rFonts w:cs="Times New Roman"/>
        </w:rPr>
      </w:pPr>
    </w:p>
    <w:p w14:paraId="044D76B2" w14:textId="77777777" w:rsidR="00830BDF" w:rsidRPr="00A07F4E" w:rsidRDefault="00830BDF" w:rsidP="00830BDF">
      <w:pPr>
        <w:spacing w:after="0" w:line="240" w:lineRule="auto"/>
        <w:rPr>
          <w:rFonts w:cs="Times New Roman"/>
        </w:rPr>
      </w:pPr>
      <w:r w:rsidRPr="00A07F4E">
        <w:rPr>
          <w:rFonts w:cs="Times New Roman"/>
        </w:rPr>
        <w:t xml:space="preserve">Magyarországon a biztosítási alkusz </w:t>
      </w:r>
      <w:r w:rsidRPr="00747FB9">
        <w:rPr>
          <w:rFonts w:cs="Times New Roman"/>
        </w:rPr>
        <w:t xml:space="preserve">alszektorban </w:t>
      </w:r>
      <w:r w:rsidR="0097278F" w:rsidRPr="00FC37B3">
        <w:t>3</w:t>
      </w:r>
      <w:r w:rsidR="00803C58" w:rsidRPr="00FC37B3">
        <w:t>0</w:t>
      </w:r>
      <w:r w:rsidR="00544419" w:rsidRPr="00FC37B3">
        <w:t xml:space="preserve"> </w:t>
      </w:r>
      <w:r w:rsidR="00803C58" w:rsidRPr="00FC37B3">
        <w:t>és 50 közötti</w:t>
      </w:r>
      <w:r w:rsidRPr="00FC37B3">
        <w:rPr>
          <w:rFonts w:cs="Times New Roman"/>
        </w:rPr>
        <w:t xml:space="preserve"> szolgáltató</w:t>
      </w:r>
      <w:r w:rsidRPr="00747FB9">
        <w:rPr>
          <w:rFonts w:cs="Times New Roman"/>
        </w:rPr>
        <w:t xml:space="preserve"> tevékenyk</w:t>
      </w:r>
      <w:r w:rsidRPr="00A07F4E">
        <w:rPr>
          <w:rFonts w:cs="Times New Roman"/>
        </w:rPr>
        <w:t xml:space="preserve">edik. </w:t>
      </w:r>
    </w:p>
    <w:p w14:paraId="2ACF3274" w14:textId="77777777" w:rsidR="00554380" w:rsidRPr="00A07F4E" w:rsidRDefault="00554380" w:rsidP="00554380">
      <w:pPr>
        <w:spacing w:after="0" w:line="240" w:lineRule="auto"/>
        <w:rPr>
          <w:rFonts w:cs="Times New Roman"/>
        </w:rPr>
      </w:pPr>
    </w:p>
    <w:p w14:paraId="69CF50EC" w14:textId="60E078B8" w:rsidR="00554380" w:rsidRPr="00A07F4E" w:rsidRDefault="00554380" w:rsidP="00FC37B3">
      <w:pPr>
        <w:rPr>
          <w:rFonts w:cs="Times New Roman"/>
        </w:rPr>
      </w:pPr>
      <w:r w:rsidRPr="00A07F4E">
        <w:rPr>
          <w:rFonts w:cs="Times New Roman"/>
        </w:rPr>
        <w:t xml:space="preserve">A függő biztosításközvetítők a biztosítóval állnak jogviszonyban, amely alapján a megbízást adó biztosító lesz az ügyféllel szerződő fél, az ügynök a biztosító </w:t>
      </w:r>
      <w:proofErr w:type="spellStart"/>
      <w:r w:rsidRPr="00A07F4E">
        <w:rPr>
          <w:rFonts w:cs="Times New Roman"/>
        </w:rPr>
        <w:t>AML</w:t>
      </w:r>
      <w:proofErr w:type="spellEnd"/>
      <w:r w:rsidRPr="00A07F4E">
        <w:rPr>
          <w:rFonts w:cs="Times New Roman"/>
        </w:rPr>
        <w:t>/</w:t>
      </w:r>
      <w:proofErr w:type="spellStart"/>
      <w:r w:rsidRPr="00A07F4E">
        <w:rPr>
          <w:rFonts w:cs="Times New Roman"/>
        </w:rPr>
        <w:t>CFT</w:t>
      </w:r>
      <w:proofErr w:type="spellEnd"/>
      <w:r w:rsidRPr="00A07F4E">
        <w:rPr>
          <w:rFonts w:cs="Times New Roman"/>
        </w:rPr>
        <w:t xml:space="preserve"> politikáinak és eljárásainak köteles megfelelni, amely alapján a biztosító felel az ügynök jogszabályi megfelelőségéért. Mindezek alapján, az ügynök </w:t>
      </w:r>
      <w:proofErr w:type="spellStart"/>
      <w:r w:rsidRPr="00A07F4E">
        <w:rPr>
          <w:rFonts w:cs="Times New Roman"/>
        </w:rPr>
        <w:t>AML</w:t>
      </w:r>
      <w:proofErr w:type="spellEnd"/>
      <w:r w:rsidRPr="00A07F4E">
        <w:rPr>
          <w:rFonts w:cs="Times New Roman"/>
        </w:rPr>
        <w:t>/</w:t>
      </w:r>
      <w:proofErr w:type="spellStart"/>
      <w:r w:rsidRPr="00A07F4E">
        <w:rPr>
          <w:rFonts w:cs="Times New Roman"/>
        </w:rPr>
        <w:t>CFT</w:t>
      </w:r>
      <w:proofErr w:type="spellEnd"/>
      <w:r w:rsidRPr="00A07F4E">
        <w:rPr>
          <w:rFonts w:cs="Times New Roman"/>
        </w:rPr>
        <w:t xml:space="preserve"> tevékenységét a biztosító segíti, </w:t>
      </w:r>
      <w:r w:rsidR="0013141C" w:rsidRPr="00A07F4E">
        <w:rPr>
          <w:rFonts w:cs="Times New Roman"/>
        </w:rPr>
        <w:t xml:space="preserve">amellyel </w:t>
      </w:r>
      <w:r w:rsidRPr="00A07F4E">
        <w:rPr>
          <w:rFonts w:cs="Times New Roman"/>
        </w:rPr>
        <w:t>a</w:t>
      </w:r>
      <w:r w:rsidR="0013141C" w:rsidRPr="00A07F4E">
        <w:rPr>
          <w:rFonts w:cs="Times New Roman"/>
        </w:rPr>
        <w:t>z</w:t>
      </w:r>
      <w:r w:rsidRPr="00A07F4E">
        <w:rPr>
          <w:rFonts w:cs="Times New Roman"/>
        </w:rPr>
        <w:t xml:space="preserve"> </w:t>
      </w:r>
      <w:r w:rsidR="0013141C" w:rsidRPr="00A07F4E">
        <w:rPr>
          <w:rFonts w:cs="Times New Roman"/>
        </w:rPr>
        <w:t>al</w:t>
      </w:r>
      <w:r w:rsidRPr="00A07F4E">
        <w:rPr>
          <w:rFonts w:cs="Times New Roman"/>
        </w:rPr>
        <w:t xml:space="preserve">szektorban rejlő </w:t>
      </w:r>
      <w:r w:rsidR="0013141C" w:rsidRPr="00A07F4E">
        <w:rPr>
          <w:rFonts w:cs="Times New Roman"/>
        </w:rPr>
        <w:t xml:space="preserve">inherens kockázat is jobban mérséklődik. </w:t>
      </w:r>
      <w:r w:rsidR="00A844C3" w:rsidRPr="00F6504D">
        <w:rPr>
          <w:rFonts w:cs="Times New Roman"/>
        </w:rPr>
        <w:t>A</w:t>
      </w:r>
      <w:r w:rsidR="009B2298" w:rsidRPr="00F6504D">
        <w:rPr>
          <w:rFonts w:cs="Times New Roman"/>
        </w:rPr>
        <w:t>z MNB</w:t>
      </w:r>
      <w:r w:rsidR="00622282">
        <w:rPr>
          <w:rFonts w:cs="Times New Roman"/>
        </w:rPr>
        <w:t xml:space="preserve"> </w:t>
      </w:r>
      <w:r w:rsidR="00A844C3" w:rsidRPr="00A07F4E">
        <w:rPr>
          <w:rFonts w:cs="Times New Roman"/>
        </w:rPr>
        <w:t xml:space="preserve">az alszektor inherens kockázatát Kevésbé jelentősnek értékeli. </w:t>
      </w:r>
    </w:p>
    <w:p w14:paraId="51606432" w14:textId="77777777" w:rsidR="00A844C3" w:rsidRPr="00A07F4E" w:rsidRDefault="00A844C3" w:rsidP="00554380">
      <w:pPr>
        <w:spacing w:after="0" w:line="240" w:lineRule="auto"/>
        <w:rPr>
          <w:rFonts w:cs="Times New Roman"/>
        </w:rPr>
      </w:pPr>
    </w:p>
    <w:tbl>
      <w:tblPr>
        <w:tblW w:w="2760" w:type="dxa"/>
        <w:tblCellMar>
          <w:left w:w="70" w:type="dxa"/>
          <w:right w:w="70" w:type="dxa"/>
        </w:tblCellMar>
        <w:tblLook w:val="04A0" w:firstRow="1" w:lastRow="0" w:firstColumn="1" w:lastColumn="0" w:noHBand="0" w:noVBand="1"/>
      </w:tblPr>
      <w:tblGrid>
        <w:gridCol w:w="1440"/>
        <w:gridCol w:w="1320"/>
      </w:tblGrid>
      <w:tr w:rsidR="00A844C3" w:rsidRPr="00A07F4E" w14:paraId="73022700" w14:textId="77777777" w:rsidTr="009F6E2C">
        <w:trPr>
          <w:trHeight w:val="300"/>
        </w:trPr>
        <w:tc>
          <w:tcPr>
            <w:tcW w:w="1440" w:type="dxa"/>
            <w:tcBorders>
              <w:top w:val="nil"/>
              <w:left w:val="nil"/>
              <w:bottom w:val="nil"/>
              <w:right w:val="nil"/>
            </w:tcBorders>
            <w:shd w:val="clear" w:color="auto" w:fill="auto"/>
            <w:noWrap/>
            <w:vAlign w:val="center"/>
            <w:hideMark/>
          </w:tcPr>
          <w:p w14:paraId="79F0B2AB" w14:textId="77777777" w:rsidR="00A844C3" w:rsidRPr="00A07F4E" w:rsidRDefault="00A844C3" w:rsidP="009F6E2C">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Inherens kockázat:</w:t>
            </w:r>
            <w:r w:rsidRPr="00A07F4E">
              <w:rPr>
                <w:rFonts w:eastAsia="Times New Roman" w:cs="Calibri"/>
                <w:color w:val="000000"/>
                <w:sz w:val="16"/>
                <w:szCs w:val="16"/>
              </w:rPr>
              <w:t xml:space="preserve"> </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034887" w14:textId="77777777" w:rsidR="00A844C3" w:rsidRPr="00A07F4E" w:rsidRDefault="00A844C3" w:rsidP="009F6E2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349F218A" w14:textId="77777777" w:rsidR="00A844C3" w:rsidRPr="00A07F4E" w:rsidRDefault="00A844C3" w:rsidP="00554380">
      <w:pPr>
        <w:spacing w:after="0" w:line="240" w:lineRule="auto"/>
        <w:rPr>
          <w:rFonts w:cs="Times New Roman"/>
        </w:rPr>
      </w:pPr>
    </w:p>
    <w:p w14:paraId="57D66C65" w14:textId="5B9D2C17" w:rsidR="00A844C3" w:rsidRPr="00A07F4E" w:rsidRDefault="00A844C3" w:rsidP="00A844C3">
      <w:pPr>
        <w:spacing w:after="0" w:line="240" w:lineRule="auto"/>
        <w:rPr>
          <w:rFonts w:cs="Times New Roman"/>
        </w:rPr>
      </w:pPr>
      <w:r w:rsidRPr="00A07F4E">
        <w:rPr>
          <w:rFonts w:cs="Times New Roman"/>
        </w:rPr>
        <w:t>A szektor értékelésénél részletezett kockázatcsökkentő intézkedésekre, illetve arra a tényre, hogy folyamatos felügyelés során kockázatot növelő tényező nem jutott a</w:t>
      </w:r>
      <w:r w:rsidR="009B2298">
        <w:rPr>
          <w:rFonts w:cs="Times New Roman"/>
        </w:rPr>
        <w:t>z MNB</w:t>
      </w:r>
      <w:r w:rsidRPr="00A07F4E">
        <w:rPr>
          <w:rFonts w:cs="Times New Roman"/>
        </w:rPr>
        <w:t xml:space="preserve"> tudomására, a biztosítási többes ügynökök alszektorának maradványkockázatát a</w:t>
      </w:r>
      <w:r w:rsidR="009B2298">
        <w:rPr>
          <w:rFonts w:cs="Times New Roman"/>
        </w:rPr>
        <w:t>z MNB</w:t>
      </w:r>
      <w:r w:rsidRPr="00A07F4E">
        <w:rPr>
          <w:rFonts w:cs="Times New Roman"/>
        </w:rPr>
        <w:t xml:space="preserve"> Kevésbé jelentősnek értékeli. </w:t>
      </w:r>
    </w:p>
    <w:p w14:paraId="5809408C" w14:textId="77777777" w:rsidR="00A844C3" w:rsidRPr="00A07F4E" w:rsidRDefault="00A844C3" w:rsidP="00A844C3">
      <w:pPr>
        <w:spacing w:after="0" w:line="240" w:lineRule="auto"/>
        <w:rPr>
          <w:rFonts w:cs="Times New Roman"/>
        </w:rPr>
      </w:pPr>
    </w:p>
    <w:tbl>
      <w:tblPr>
        <w:tblW w:w="2760" w:type="dxa"/>
        <w:tblCellMar>
          <w:left w:w="70" w:type="dxa"/>
          <w:right w:w="70" w:type="dxa"/>
        </w:tblCellMar>
        <w:tblLook w:val="04A0" w:firstRow="1" w:lastRow="0" w:firstColumn="1" w:lastColumn="0" w:noHBand="0" w:noVBand="1"/>
      </w:tblPr>
      <w:tblGrid>
        <w:gridCol w:w="1525"/>
        <w:gridCol w:w="1320"/>
      </w:tblGrid>
      <w:tr w:rsidR="00A844C3" w:rsidRPr="00A07F4E" w14:paraId="1B831BF4" w14:textId="77777777" w:rsidTr="009F6E2C">
        <w:trPr>
          <w:trHeight w:val="300"/>
        </w:trPr>
        <w:tc>
          <w:tcPr>
            <w:tcW w:w="1440" w:type="dxa"/>
            <w:tcBorders>
              <w:top w:val="nil"/>
              <w:left w:val="nil"/>
              <w:bottom w:val="nil"/>
              <w:right w:val="nil"/>
            </w:tcBorders>
            <w:shd w:val="clear" w:color="auto" w:fill="auto"/>
            <w:noWrap/>
            <w:vAlign w:val="center"/>
            <w:hideMark/>
          </w:tcPr>
          <w:p w14:paraId="75FE1D3D" w14:textId="77777777" w:rsidR="00A844C3" w:rsidRPr="00A07F4E" w:rsidRDefault="00A844C3" w:rsidP="009F6E2C">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Maradványkockázat:</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B499F5" w14:textId="77777777" w:rsidR="00A844C3" w:rsidRPr="00A07F4E" w:rsidRDefault="00A844C3" w:rsidP="009F6E2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0FD43237" w14:textId="245AA500" w:rsidR="00554380" w:rsidRDefault="00554380" w:rsidP="00554380">
      <w:pPr>
        <w:spacing w:after="0" w:line="240" w:lineRule="auto"/>
        <w:rPr>
          <w:rFonts w:cs="Times New Roman"/>
        </w:rPr>
      </w:pPr>
    </w:p>
    <w:p w14:paraId="4478B3C3" w14:textId="6595139C" w:rsidR="00C63813" w:rsidRDefault="00C63813" w:rsidP="00554380">
      <w:pPr>
        <w:spacing w:after="0" w:line="240" w:lineRule="auto"/>
        <w:rPr>
          <w:rFonts w:cs="Times New Roman"/>
        </w:rPr>
      </w:pPr>
    </w:p>
    <w:p w14:paraId="231E245C" w14:textId="5665AB59" w:rsidR="00C63813" w:rsidRDefault="00C63813" w:rsidP="00554380">
      <w:pPr>
        <w:spacing w:after="0" w:line="240" w:lineRule="auto"/>
        <w:rPr>
          <w:rFonts w:cs="Times New Roman"/>
        </w:rPr>
      </w:pPr>
    </w:p>
    <w:p w14:paraId="156B4B94" w14:textId="503F22DD" w:rsidR="00C63813" w:rsidRDefault="00C63813" w:rsidP="00554380">
      <w:pPr>
        <w:spacing w:after="0" w:line="240" w:lineRule="auto"/>
        <w:rPr>
          <w:rFonts w:cs="Times New Roman"/>
        </w:rPr>
      </w:pPr>
    </w:p>
    <w:p w14:paraId="212957AC" w14:textId="77777777" w:rsidR="00C63813" w:rsidRPr="00A07F4E" w:rsidRDefault="00C63813" w:rsidP="00554380">
      <w:pPr>
        <w:spacing w:after="0" w:line="240" w:lineRule="auto"/>
        <w:rPr>
          <w:rFonts w:cs="Times New Roman"/>
        </w:rPr>
      </w:pPr>
    </w:p>
    <w:p w14:paraId="14448979" w14:textId="77777777" w:rsidR="00C63813" w:rsidRDefault="00C63813" w:rsidP="00C63813">
      <w:pPr>
        <w:pStyle w:val="Listaszerbekezds"/>
        <w:numPr>
          <w:ilvl w:val="0"/>
          <w:numId w:val="0"/>
        </w:numPr>
        <w:spacing w:after="0" w:line="240" w:lineRule="auto"/>
        <w:ind w:left="851"/>
        <w:rPr>
          <w:rFonts w:cs="Times New Roman"/>
        </w:rPr>
      </w:pPr>
    </w:p>
    <w:p w14:paraId="5A9721E6" w14:textId="50136CDF" w:rsidR="00535CCE" w:rsidRPr="00A07F4E" w:rsidRDefault="00FC10F8" w:rsidP="00A07F4E">
      <w:pPr>
        <w:pStyle w:val="Listaszerbekezds"/>
        <w:numPr>
          <w:ilvl w:val="0"/>
          <w:numId w:val="197"/>
        </w:numPr>
        <w:spacing w:after="0" w:line="240" w:lineRule="auto"/>
        <w:ind w:left="851" w:hanging="284"/>
        <w:rPr>
          <w:rFonts w:cs="Times New Roman"/>
        </w:rPr>
      </w:pPr>
      <w:r w:rsidRPr="00A07F4E">
        <w:rPr>
          <w:rFonts w:cs="Times New Roman"/>
        </w:rPr>
        <w:lastRenderedPageBreak/>
        <w:t>Biztosításközvetítő fióktelep</w:t>
      </w:r>
      <w:r w:rsidR="00830BDF" w:rsidRPr="00A07F4E">
        <w:rPr>
          <w:rFonts w:cs="Times New Roman"/>
        </w:rPr>
        <w:t xml:space="preserve"> – alszektor</w:t>
      </w:r>
    </w:p>
    <w:p w14:paraId="72FC5E0D" w14:textId="77777777" w:rsidR="00830BDF" w:rsidRPr="00A07F4E" w:rsidRDefault="00830BDF" w:rsidP="00830BDF">
      <w:pPr>
        <w:pStyle w:val="Listaszerbekezds"/>
        <w:numPr>
          <w:ilvl w:val="0"/>
          <w:numId w:val="0"/>
        </w:numPr>
        <w:spacing w:after="0" w:line="240" w:lineRule="auto"/>
        <w:ind w:left="1364"/>
        <w:rPr>
          <w:rFonts w:cs="Times New Roman"/>
        </w:rPr>
      </w:pPr>
    </w:p>
    <w:p w14:paraId="56B10F55" w14:textId="7651C9E6" w:rsidR="00830BDF" w:rsidRPr="00A07F4E" w:rsidRDefault="00830BDF" w:rsidP="00830BDF">
      <w:pPr>
        <w:spacing w:after="0" w:line="240" w:lineRule="auto"/>
        <w:rPr>
          <w:rFonts w:cs="Times New Roman"/>
        </w:rPr>
      </w:pPr>
      <w:r w:rsidRPr="00A07F4E">
        <w:rPr>
          <w:rFonts w:cs="Times New Roman"/>
        </w:rPr>
        <w:t xml:space="preserve">Magyarországon a biztosítási alkusz alszektorban </w:t>
      </w:r>
      <w:r w:rsidR="00FA06B9">
        <w:rPr>
          <w:rFonts w:cs="Times New Roman"/>
        </w:rPr>
        <w:t>1</w:t>
      </w:r>
      <w:r w:rsidR="0022461A" w:rsidRPr="00FC37B3">
        <w:rPr>
          <w:rFonts w:cs="Times New Roman"/>
        </w:rPr>
        <w:t xml:space="preserve"> </w:t>
      </w:r>
      <w:r w:rsidR="00443312" w:rsidRPr="00FC37B3">
        <w:rPr>
          <w:rFonts w:cs="Times New Roman"/>
        </w:rPr>
        <w:t xml:space="preserve">és </w:t>
      </w:r>
      <w:r w:rsidR="0022461A" w:rsidRPr="00FC37B3">
        <w:t>5</w:t>
      </w:r>
      <w:r w:rsidR="00443312" w:rsidRPr="00FC37B3">
        <w:t xml:space="preserve"> közötti számú</w:t>
      </w:r>
      <w:r w:rsidRPr="00A07F4E">
        <w:rPr>
          <w:rFonts w:cs="Times New Roman"/>
        </w:rPr>
        <w:t xml:space="preserve"> szolgáltató tevékenykedik. </w:t>
      </w:r>
    </w:p>
    <w:p w14:paraId="61A61E65" w14:textId="77777777" w:rsidR="00830BDF" w:rsidRPr="00A07F4E" w:rsidRDefault="00830BDF" w:rsidP="00830BDF">
      <w:pPr>
        <w:spacing w:after="0" w:line="240" w:lineRule="auto"/>
        <w:rPr>
          <w:rFonts w:cs="Times New Roman"/>
        </w:rPr>
      </w:pPr>
    </w:p>
    <w:p w14:paraId="3CE905D2" w14:textId="1EE232D3" w:rsidR="00830BDF" w:rsidRPr="00A07F4E" w:rsidRDefault="00830BDF" w:rsidP="00830BDF">
      <w:r w:rsidRPr="00A07F4E">
        <w:t>A biztosításközvetítő fióktelepek összetettségét</w:t>
      </w:r>
      <w:r w:rsidR="00163881" w:rsidRPr="00A07F4E">
        <w:t xml:space="preserve"> </w:t>
      </w:r>
      <w:r w:rsidR="001727FE" w:rsidRPr="00A07F4E">
        <w:t>vizsgálva megállapítható, hogy</w:t>
      </w:r>
      <w:r w:rsidRPr="00A07F4E">
        <w:t xml:space="preserve"> </w:t>
      </w:r>
      <w:r w:rsidR="00163881" w:rsidRPr="00A07F4E">
        <w:t>jellemzően azon szolgáltatók találhatóak ezen alszektorban</w:t>
      </w:r>
      <w:r w:rsidRPr="00A07F4E">
        <w:t>, amely</w:t>
      </w:r>
      <w:r w:rsidR="00163881" w:rsidRPr="00A07F4E">
        <w:t>ek</w:t>
      </w:r>
      <w:r w:rsidRPr="00A07F4E">
        <w:t xml:space="preserve">nek az anyavállalata más tagállamban került engedélyezésre. Ezen tulajdonosi struktúra, külföldi érdekeltség </w:t>
      </w:r>
      <w:r w:rsidR="00163881" w:rsidRPr="00A07F4E">
        <w:t>a külföldi kockázati tényezőket befolyásolhatja</w:t>
      </w:r>
      <w:r w:rsidR="00B93617" w:rsidRPr="00A07F4E">
        <w:t>, a</w:t>
      </w:r>
      <w:r w:rsidR="00163881" w:rsidRPr="00A07F4E">
        <w:t>zonban valamennyi</w:t>
      </w:r>
      <w:r w:rsidR="001727FE" w:rsidRPr="00A07F4E">
        <w:t xml:space="preserve"> </w:t>
      </w:r>
      <w:r w:rsidR="00163881" w:rsidRPr="00A07F4E">
        <w:t>biztosításközvetítő fióktelep anyavállalata az EU területén található, így a tagországok közötti szabályozást tekintve</w:t>
      </w:r>
      <w:r w:rsidR="00B93617" w:rsidRPr="00A07F4E">
        <w:t xml:space="preserve"> </w:t>
      </w:r>
      <w:r w:rsidR="001727FE" w:rsidRPr="00A07F4E">
        <w:t xml:space="preserve">eltérés – összehasonlítva harmadik országokhoz kapcsolódó kockázatokkal és ide nem értve </w:t>
      </w:r>
      <w:r w:rsidR="001512F4" w:rsidRPr="00A07F4E">
        <w:t xml:space="preserve">az </w:t>
      </w:r>
      <w:r w:rsidR="001512F4" w:rsidRPr="008A09BA">
        <w:t>Irányelv</w:t>
      </w:r>
      <w:r w:rsidR="001512F4" w:rsidRPr="00A07F4E">
        <w:t xml:space="preserve"> átültetéséből származó kisebb anomáliákat</w:t>
      </w:r>
      <w:r w:rsidR="00B93617" w:rsidRPr="00A07F4E">
        <w:t xml:space="preserve"> –</w:t>
      </w:r>
      <w:r w:rsidR="001727FE" w:rsidRPr="00A07F4E">
        <w:t xml:space="preserve"> </w:t>
      </w:r>
      <w:r w:rsidR="001512F4" w:rsidRPr="00A07F4E">
        <w:t>nem tapasztalható</w:t>
      </w:r>
      <w:r w:rsidR="00B93617" w:rsidRPr="00A07F4E">
        <w:t>, különös tekintettel arra</w:t>
      </w:r>
      <w:r w:rsidR="00D51914" w:rsidRPr="00A07F4E">
        <w:t xml:space="preserve"> a tényre is</w:t>
      </w:r>
      <w:r w:rsidR="00B93617" w:rsidRPr="00A07F4E">
        <w:t xml:space="preserve">, hogy a fióktelepek önálló entitásként a </w:t>
      </w:r>
      <w:proofErr w:type="spellStart"/>
      <w:r w:rsidR="00B93617" w:rsidRPr="00A07F4E">
        <w:t>Pmt</w:t>
      </w:r>
      <w:proofErr w:type="spellEnd"/>
      <w:r w:rsidR="00B93617" w:rsidRPr="00A07F4E">
        <w:t xml:space="preserve">. hatálya alá tartoznak, </w:t>
      </w:r>
      <w:r w:rsidR="001727FE" w:rsidRPr="00A07F4E">
        <w:t>azaz</w:t>
      </w:r>
      <w:r w:rsidR="00B93617" w:rsidRPr="00A07F4E">
        <w:t xml:space="preserve"> a fióktelepek</w:t>
      </w:r>
      <w:r w:rsidR="009B2298">
        <w:t>re</w:t>
      </w:r>
      <w:r w:rsidR="00B93617" w:rsidRPr="00A07F4E">
        <w:t xml:space="preserve"> a magyar szabályozás az irányadó. </w:t>
      </w:r>
      <w:r w:rsidR="009B2298">
        <w:t>E</w:t>
      </w:r>
      <w:r w:rsidR="00B93617" w:rsidRPr="00A07F4E">
        <w:t xml:space="preserve">rre tekintettel, a földrajzi kitettséget </w:t>
      </w:r>
      <w:r w:rsidR="001727FE" w:rsidRPr="00A07F4E">
        <w:t>vizsgálva</w:t>
      </w:r>
      <w:r w:rsidR="00B93617" w:rsidRPr="00A07F4E">
        <w:t xml:space="preserve"> kockázatot növelő tényező nem jelenik meg, így az alszektor inherens kockázata </w:t>
      </w:r>
      <w:r w:rsidR="009B2298">
        <w:t>az MNB</w:t>
      </w:r>
      <w:r w:rsidR="00B93617" w:rsidRPr="0042268B">
        <w:rPr>
          <w:highlight w:val="yellow"/>
        </w:rPr>
        <w:t xml:space="preserve"> </w:t>
      </w:r>
      <w:r w:rsidR="00B93617" w:rsidRPr="00F6504D">
        <w:t>értékelése</w:t>
      </w:r>
      <w:r w:rsidR="00B93617" w:rsidRPr="00A07F4E">
        <w:t xml:space="preserve"> alapján</w:t>
      </w:r>
      <w:r w:rsidR="009E6734" w:rsidRPr="00A07F4E">
        <w:t>, a szektor inherens kockázati értékével megegyezően</w:t>
      </w:r>
      <w:r w:rsidR="00B93617" w:rsidRPr="00A07F4E">
        <w:t xml:space="preserve"> Kevésbe jelentős. </w:t>
      </w:r>
    </w:p>
    <w:tbl>
      <w:tblPr>
        <w:tblW w:w="2760" w:type="dxa"/>
        <w:tblCellMar>
          <w:left w:w="70" w:type="dxa"/>
          <w:right w:w="70" w:type="dxa"/>
        </w:tblCellMar>
        <w:tblLook w:val="04A0" w:firstRow="1" w:lastRow="0" w:firstColumn="1" w:lastColumn="0" w:noHBand="0" w:noVBand="1"/>
      </w:tblPr>
      <w:tblGrid>
        <w:gridCol w:w="1440"/>
        <w:gridCol w:w="1320"/>
      </w:tblGrid>
      <w:tr w:rsidR="00B93617" w:rsidRPr="00A07F4E" w14:paraId="1F3377C3" w14:textId="77777777" w:rsidTr="009F6E2C">
        <w:trPr>
          <w:trHeight w:val="300"/>
        </w:trPr>
        <w:tc>
          <w:tcPr>
            <w:tcW w:w="1440" w:type="dxa"/>
            <w:tcBorders>
              <w:top w:val="nil"/>
              <w:left w:val="nil"/>
              <w:bottom w:val="nil"/>
              <w:right w:val="nil"/>
            </w:tcBorders>
            <w:shd w:val="clear" w:color="auto" w:fill="auto"/>
            <w:noWrap/>
            <w:vAlign w:val="center"/>
            <w:hideMark/>
          </w:tcPr>
          <w:p w14:paraId="5291302A" w14:textId="77777777" w:rsidR="00B93617" w:rsidRPr="00A07F4E" w:rsidRDefault="00B93617" w:rsidP="009F6E2C">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Inherens kockázat:</w:t>
            </w:r>
            <w:r w:rsidRPr="00A07F4E">
              <w:rPr>
                <w:rFonts w:eastAsia="Times New Roman" w:cs="Calibri"/>
                <w:color w:val="000000"/>
                <w:sz w:val="16"/>
                <w:szCs w:val="16"/>
              </w:rPr>
              <w:t xml:space="preserve"> </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6F1A429" w14:textId="77777777" w:rsidR="00B93617" w:rsidRPr="00A07F4E" w:rsidRDefault="00B93617" w:rsidP="009F6E2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14863687" w14:textId="77777777" w:rsidR="00220E8C" w:rsidRPr="00A07F4E" w:rsidRDefault="00220E8C" w:rsidP="00220E8C">
      <w:pPr>
        <w:spacing w:after="0" w:line="240" w:lineRule="auto"/>
        <w:rPr>
          <w:rFonts w:cs="Times New Roman"/>
        </w:rPr>
      </w:pPr>
    </w:p>
    <w:p w14:paraId="0C796767" w14:textId="77777777" w:rsidR="00B45A9B" w:rsidRDefault="00B45A9B" w:rsidP="00220E8C">
      <w:pPr>
        <w:spacing w:after="0" w:line="240" w:lineRule="auto"/>
        <w:rPr>
          <w:rFonts w:cs="Times New Roman"/>
        </w:rPr>
      </w:pPr>
    </w:p>
    <w:p w14:paraId="7BE6A5D7" w14:textId="3B9634EE" w:rsidR="00220E8C" w:rsidRPr="00A07F4E" w:rsidRDefault="00220E8C" w:rsidP="00FC37B3">
      <w:pPr>
        <w:rPr>
          <w:rFonts w:cs="Times New Roman"/>
        </w:rPr>
      </w:pPr>
      <w:r w:rsidRPr="00A07F4E">
        <w:rPr>
          <w:rFonts w:cs="Times New Roman"/>
        </w:rPr>
        <w:t>A szektor értékelésénél részletezett kockázatcsökkentő intézkedésekre, illetve arra a tényre, hogy folyamatos felügyelés során kockázatot növelő tényező nem jutott a</w:t>
      </w:r>
      <w:r w:rsidR="00766778" w:rsidRPr="00766778">
        <w:rPr>
          <w:rFonts w:cs="Times New Roman"/>
        </w:rPr>
        <w:t>z MNB</w:t>
      </w:r>
      <w:r w:rsidRPr="00F6504D">
        <w:rPr>
          <w:rFonts w:cs="Times New Roman"/>
        </w:rPr>
        <w:t xml:space="preserve"> tudomására</w:t>
      </w:r>
      <w:r w:rsidRPr="00A07F4E">
        <w:rPr>
          <w:rFonts w:cs="Times New Roman"/>
        </w:rPr>
        <w:t xml:space="preserve">, a </w:t>
      </w:r>
      <w:r w:rsidR="00B57F9F" w:rsidRPr="00A07F4E">
        <w:rPr>
          <w:rFonts w:cs="Times New Roman"/>
        </w:rPr>
        <w:t>biztosításközvetítő fióktelep</w:t>
      </w:r>
      <w:r w:rsidRPr="00A07F4E">
        <w:rPr>
          <w:rFonts w:cs="Times New Roman"/>
        </w:rPr>
        <w:t xml:space="preserve"> alszektorának maradványkockázatát </w:t>
      </w:r>
      <w:r w:rsidRPr="00F6504D">
        <w:rPr>
          <w:rFonts w:cs="Times New Roman"/>
        </w:rPr>
        <w:t>a</w:t>
      </w:r>
      <w:r w:rsidR="00766778" w:rsidRPr="00F6504D">
        <w:rPr>
          <w:rFonts w:cs="Times New Roman"/>
        </w:rPr>
        <w:t>z MNB</w:t>
      </w:r>
      <w:r>
        <w:rPr>
          <w:rFonts w:cs="Times New Roman"/>
        </w:rPr>
        <w:t xml:space="preserve"> </w:t>
      </w:r>
      <w:r w:rsidRPr="00A07F4E">
        <w:rPr>
          <w:rFonts w:cs="Times New Roman"/>
        </w:rPr>
        <w:t xml:space="preserve">Kevésbé jelentősnek értékeli. </w:t>
      </w:r>
    </w:p>
    <w:p w14:paraId="5A753046" w14:textId="77777777" w:rsidR="00220E8C" w:rsidRPr="00A07F4E" w:rsidRDefault="00220E8C" w:rsidP="00220E8C">
      <w:pPr>
        <w:spacing w:after="0" w:line="240" w:lineRule="auto"/>
        <w:rPr>
          <w:rFonts w:cs="Times New Roman"/>
        </w:rPr>
      </w:pPr>
    </w:p>
    <w:tbl>
      <w:tblPr>
        <w:tblW w:w="2845" w:type="dxa"/>
        <w:tblCellMar>
          <w:left w:w="70" w:type="dxa"/>
          <w:right w:w="70" w:type="dxa"/>
        </w:tblCellMar>
        <w:tblLook w:val="04A0" w:firstRow="1" w:lastRow="0" w:firstColumn="1" w:lastColumn="0" w:noHBand="0" w:noVBand="1"/>
      </w:tblPr>
      <w:tblGrid>
        <w:gridCol w:w="1525"/>
        <w:gridCol w:w="1320"/>
      </w:tblGrid>
      <w:tr w:rsidR="00220E8C" w:rsidRPr="00A07F4E" w14:paraId="1592E501" w14:textId="77777777" w:rsidTr="0071418A">
        <w:trPr>
          <w:trHeight w:val="300"/>
        </w:trPr>
        <w:tc>
          <w:tcPr>
            <w:tcW w:w="1525" w:type="dxa"/>
            <w:tcBorders>
              <w:top w:val="nil"/>
              <w:left w:val="nil"/>
              <w:bottom w:val="nil"/>
              <w:right w:val="nil"/>
            </w:tcBorders>
            <w:shd w:val="clear" w:color="auto" w:fill="auto"/>
            <w:noWrap/>
            <w:vAlign w:val="center"/>
            <w:hideMark/>
          </w:tcPr>
          <w:p w14:paraId="5CC9E158" w14:textId="77777777" w:rsidR="00220E8C" w:rsidRPr="00A07F4E" w:rsidRDefault="00220E8C" w:rsidP="009F6E2C">
            <w:pPr>
              <w:spacing w:after="0" w:line="240" w:lineRule="auto"/>
              <w:jc w:val="center"/>
              <w:rPr>
                <w:rFonts w:eastAsia="Times New Roman" w:cs="Calibri"/>
                <w:b/>
                <w:bCs/>
                <w:color w:val="000000"/>
                <w:sz w:val="16"/>
                <w:szCs w:val="16"/>
              </w:rPr>
            </w:pPr>
            <w:r w:rsidRPr="00A07F4E">
              <w:rPr>
                <w:rFonts w:eastAsia="Times New Roman" w:cs="Calibri"/>
                <w:b/>
                <w:bCs/>
                <w:color w:val="000000"/>
                <w:sz w:val="16"/>
                <w:szCs w:val="16"/>
              </w:rPr>
              <w:t>Maradványkockázat:</w:t>
            </w:r>
          </w:p>
        </w:tc>
        <w:tc>
          <w:tcPr>
            <w:tcW w:w="13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7D6C6BC" w14:textId="77777777" w:rsidR="00220E8C" w:rsidRPr="00A07F4E" w:rsidRDefault="00220E8C" w:rsidP="009F6E2C">
            <w:pPr>
              <w:spacing w:after="0" w:line="240" w:lineRule="auto"/>
              <w:jc w:val="center"/>
              <w:rPr>
                <w:rFonts w:eastAsia="Times New Roman" w:cs="Calibri"/>
                <w:color w:val="000000"/>
                <w:sz w:val="16"/>
                <w:szCs w:val="16"/>
              </w:rPr>
            </w:pPr>
            <w:r w:rsidRPr="00A07F4E">
              <w:rPr>
                <w:rFonts w:eastAsia="Times New Roman" w:cs="Calibri"/>
                <w:color w:val="000000"/>
                <w:sz w:val="16"/>
                <w:szCs w:val="16"/>
              </w:rPr>
              <w:t>Kevésbé jelentős</w:t>
            </w:r>
          </w:p>
        </w:tc>
      </w:tr>
    </w:tbl>
    <w:p w14:paraId="3F680E83" w14:textId="77777777" w:rsidR="0071418A" w:rsidRPr="00A07F4E" w:rsidRDefault="0071418A" w:rsidP="0071418A"/>
    <w:p w14:paraId="16018571" w14:textId="77777777" w:rsidR="0071418A" w:rsidRPr="00A07F4E" w:rsidRDefault="0071418A" w:rsidP="00A07F4E">
      <w:pPr>
        <w:pStyle w:val="Cmsor3"/>
        <w:numPr>
          <w:ilvl w:val="0"/>
          <w:numId w:val="146"/>
        </w:numPr>
      </w:pPr>
      <w:bookmarkStart w:id="281" w:name="_Toc109906071"/>
      <w:r w:rsidRPr="00A07F4E">
        <w:t>Maradványkockázat</w:t>
      </w:r>
      <w:bookmarkEnd w:id="281"/>
    </w:p>
    <w:p w14:paraId="53690F53" w14:textId="58F3E478" w:rsidR="0071418A" w:rsidRPr="00A07F4E" w:rsidRDefault="0071418A" w:rsidP="0071418A">
      <w:r w:rsidRPr="00F6504D">
        <w:t>A</w:t>
      </w:r>
      <w:r w:rsidR="00766778" w:rsidRPr="00766778">
        <w:t>z MNB</w:t>
      </w:r>
      <w:r w:rsidRPr="00A07F4E">
        <w:t xml:space="preserve"> mérlegelve a szektornál és az alszektoroknál részletezetteket a maradványkockázatot Kevésbé jelentősnek értékeli. Az inherens kockázati besorolás megegyezik a maradványkockázattal.</w:t>
      </w:r>
    </w:p>
    <w:tbl>
      <w:tblPr>
        <w:tblW w:w="3680" w:type="dxa"/>
        <w:jc w:val="center"/>
        <w:tblCellMar>
          <w:left w:w="70" w:type="dxa"/>
          <w:right w:w="70" w:type="dxa"/>
        </w:tblCellMar>
        <w:tblLook w:val="04A0" w:firstRow="1" w:lastRow="0" w:firstColumn="1" w:lastColumn="0" w:noHBand="0" w:noVBand="1"/>
      </w:tblPr>
      <w:tblGrid>
        <w:gridCol w:w="1871"/>
        <w:gridCol w:w="1900"/>
      </w:tblGrid>
      <w:tr w:rsidR="0071418A" w:rsidRPr="00A07F4E" w14:paraId="4958B077" w14:textId="77777777" w:rsidTr="009F6E2C">
        <w:trPr>
          <w:trHeight w:val="300"/>
          <w:jc w:val="center"/>
        </w:trPr>
        <w:tc>
          <w:tcPr>
            <w:tcW w:w="1780" w:type="dxa"/>
            <w:tcBorders>
              <w:top w:val="nil"/>
              <w:left w:val="nil"/>
              <w:bottom w:val="nil"/>
              <w:right w:val="nil"/>
            </w:tcBorders>
            <w:shd w:val="clear" w:color="auto" w:fill="auto"/>
            <w:noWrap/>
            <w:vAlign w:val="center"/>
            <w:hideMark/>
          </w:tcPr>
          <w:p w14:paraId="007DC3BD" w14:textId="77777777" w:rsidR="0071418A" w:rsidRPr="00A07F4E" w:rsidRDefault="0071418A" w:rsidP="009F6E2C">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CAE24E" w14:textId="77777777" w:rsidR="0071418A" w:rsidRPr="00A07F4E" w:rsidRDefault="0071418A" w:rsidP="009F6E2C">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r>
    </w:tbl>
    <w:p w14:paraId="630F0F3A" w14:textId="22DF2206" w:rsidR="00BA6306" w:rsidRPr="00A07F4E" w:rsidRDefault="00097DA8" w:rsidP="000222BD">
      <w:pPr>
        <w:pStyle w:val="Cmsor2"/>
        <w:rPr>
          <w:bCs/>
        </w:rPr>
      </w:pPr>
      <w:bookmarkStart w:id="282" w:name="_Toc109906072"/>
      <w:bookmarkStart w:id="283" w:name="_Hlk70952479"/>
      <w:bookmarkEnd w:id="271"/>
      <w:r w:rsidRPr="00A07F4E">
        <w:t>Bizalmi vagyonkezelő</w:t>
      </w:r>
      <w:r w:rsidR="001F7CF7">
        <w:t>k</w:t>
      </w:r>
      <w:r w:rsidR="001F7CF7">
        <w:rPr>
          <w:rStyle w:val="Lbjegyzet-hivatkozs"/>
        </w:rPr>
        <w:footnoteReference w:id="29"/>
      </w:r>
      <w:bookmarkEnd w:id="282"/>
    </w:p>
    <w:p w14:paraId="53C816C9" w14:textId="77777777" w:rsidR="00BA6306" w:rsidRPr="00A07F4E" w:rsidRDefault="00BA6306" w:rsidP="00A07F4E">
      <w:pPr>
        <w:pStyle w:val="Cmsor3"/>
        <w:numPr>
          <w:ilvl w:val="0"/>
          <w:numId w:val="155"/>
        </w:numPr>
      </w:pPr>
      <w:bookmarkStart w:id="284" w:name="_Toc109906073"/>
      <w:r w:rsidRPr="00A07F4E">
        <w:t>A szektor méretére, tevékenységi körére és összetettségére vonatkozó információk összesített formában</w:t>
      </w:r>
      <w:bookmarkEnd w:id="284"/>
    </w:p>
    <w:p w14:paraId="3E1EFA61" w14:textId="34641D6C" w:rsidR="009B7D07" w:rsidRDefault="00BA6306" w:rsidP="009B7D07">
      <w:r w:rsidRPr="00A07F4E">
        <w:t xml:space="preserve">Magyarországon a bizalmi vagyonkezeléssel </w:t>
      </w:r>
      <w:r w:rsidR="00B9261D" w:rsidRPr="009F3A30">
        <w:t xml:space="preserve">foglalkozó, szerződéssel rendelkező személyek </w:t>
      </w:r>
      <w:r w:rsidR="00B9261D" w:rsidRPr="00D5186E">
        <w:t xml:space="preserve">száma </w:t>
      </w:r>
      <w:r w:rsidR="00DE3176" w:rsidRPr="00FC37B3">
        <w:t xml:space="preserve">630 </w:t>
      </w:r>
      <w:r w:rsidR="00254DA1" w:rsidRPr="00FC37B3">
        <w:t xml:space="preserve">és </w:t>
      </w:r>
      <w:r w:rsidR="008817A0" w:rsidRPr="00FC37B3">
        <w:t>700</w:t>
      </w:r>
      <w:r w:rsidR="00254DA1" w:rsidRPr="00FC37B3">
        <w:t xml:space="preserve"> közöttire</w:t>
      </w:r>
      <w:r w:rsidR="00B9261D" w:rsidRPr="00FC37B3">
        <w:t xml:space="preserve"> </w:t>
      </w:r>
      <w:r w:rsidR="00B9261D" w:rsidRPr="00D5186E">
        <w:t xml:space="preserve">tehető. </w:t>
      </w:r>
      <w:r w:rsidR="009B7D07" w:rsidRPr="00D5186E">
        <w:t>Ezek közül az üzletszerű bizalmi vagyonkezeléssel foglalkozó szolgáltatók száma</w:t>
      </w:r>
      <w:r w:rsidR="00B9261D" w:rsidRPr="00D5186E">
        <w:t xml:space="preserve"> </w:t>
      </w:r>
      <w:r w:rsidR="008817A0" w:rsidRPr="00D5186E">
        <w:t>10-15 közötti</w:t>
      </w:r>
      <w:r w:rsidR="009B7D07" w:rsidRPr="00D5186E">
        <w:t xml:space="preserve">, míg nem üzletszerű bizalmi vagyonkezeléssel foglalkozó </w:t>
      </w:r>
      <w:r w:rsidR="00803C58" w:rsidRPr="00D5186E">
        <w:t xml:space="preserve">szereplők </w:t>
      </w:r>
      <w:r w:rsidR="009B7D07" w:rsidRPr="00D5186E">
        <w:t>száma</w:t>
      </w:r>
      <w:r w:rsidR="00803C58" w:rsidRPr="00D5186E">
        <w:t xml:space="preserve"> </w:t>
      </w:r>
      <w:r w:rsidR="00803C58" w:rsidRPr="00FC37B3">
        <w:t xml:space="preserve">több, mint </w:t>
      </w:r>
      <w:r w:rsidR="008817A0" w:rsidRPr="00FC37B3">
        <w:t>620</w:t>
      </w:r>
      <w:r w:rsidR="00B9261D" w:rsidRPr="00FC37B3">
        <w:t>.</w:t>
      </w:r>
    </w:p>
    <w:p w14:paraId="6A1E49B4" w14:textId="48E10E1A" w:rsidR="008B0AA7" w:rsidRDefault="008B0AA7" w:rsidP="008B0AA7">
      <w:r>
        <w:t>A MNB</w:t>
      </w:r>
      <w:r w:rsidRPr="00A07F4E">
        <w:t xml:space="preserve"> a termékekben/szolgáltatásokban, az ügyfelekben, a földrajzi kitettségben és az értékesítési csatornákban rejlő kockázatokat egyaránt </w:t>
      </w:r>
      <w:r>
        <w:t xml:space="preserve">Nagyon </w:t>
      </w:r>
      <w:r w:rsidRPr="00A07F4E">
        <w:t xml:space="preserve">jelentősnek értékelte.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8B0AA7" w:rsidRPr="003168BA" w14:paraId="07A2BBB4" w14:textId="77777777" w:rsidTr="00300DCA">
        <w:trPr>
          <w:trHeight w:val="314"/>
        </w:trPr>
        <w:tc>
          <w:tcPr>
            <w:tcW w:w="3061" w:type="dxa"/>
          </w:tcPr>
          <w:p w14:paraId="26FE76BA" w14:textId="77777777" w:rsidR="008B0AA7" w:rsidRPr="00554E41" w:rsidRDefault="008B0AA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0B1D8C79" w14:textId="77777777" w:rsidR="008B0AA7" w:rsidRPr="00554E41" w:rsidRDefault="008B0AA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8B0AA7" w:rsidRPr="003168BA" w14:paraId="4D4D568C" w14:textId="77777777" w:rsidTr="000222BD">
        <w:tc>
          <w:tcPr>
            <w:tcW w:w="3061" w:type="dxa"/>
            <w:shd w:val="clear" w:color="auto" w:fill="auto"/>
          </w:tcPr>
          <w:p w14:paraId="09078F48" w14:textId="77777777" w:rsidR="008B0AA7" w:rsidRPr="00554E41" w:rsidRDefault="008B0AA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FF0000"/>
          </w:tcPr>
          <w:p w14:paraId="02107B0D" w14:textId="7380BC88" w:rsidR="008B0AA7" w:rsidRPr="00554E41" w:rsidRDefault="008B0AA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Nagyon jelentős</w:t>
            </w:r>
          </w:p>
        </w:tc>
      </w:tr>
      <w:tr w:rsidR="008B0AA7" w14:paraId="1F18D98C" w14:textId="77777777" w:rsidTr="000222BD">
        <w:tc>
          <w:tcPr>
            <w:tcW w:w="3061" w:type="dxa"/>
            <w:shd w:val="clear" w:color="auto" w:fill="auto"/>
          </w:tcPr>
          <w:p w14:paraId="2AFE14E0" w14:textId="77777777" w:rsidR="008B0AA7" w:rsidRPr="00554E41" w:rsidRDefault="008B0AA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FF0000"/>
          </w:tcPr>
          <w:p w14:paraId="7073A1F3" w14:textId="5BC8EFD6" w:rsidR="008B0AA7" w:rsidRPr="00554E41" w:rsidRDefault="008B0AA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Nagyon jelentős</w:t>
            </w:r>
          </w:p>
        </w:tc>
      </w:tr>
      <w:tr w:rsidR="008B0AA7" w14:paraId="7DB6FD2D" w14:textId="77777777" w:rsidTr="000222BD">
        <w:trPr>
          <w:trHeight w:val="50"/>
        </w:trPr>
        <w:tc>
          <w:tcPr>
            <w:tcW w:w="3061" w:type="dxa"/>
            <w:shd w:val="clear" w:color="auto" w:fill="auto"/>
          </w:tcPr>
          <w:p w14:paraId="175E837D" w14:textId="77777777" w:rsidR="008B0AA7" w:rsidRPr="00554E41" w:rsidRDefault="008B0AA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FF0000"/>
          </w:tcPr>
          <w:p w14:paraId="1FE70BA8" w14:textId="72D610D7" w:rsidR="008B0AA7" w:rsidRPr="00554E41" w:rsidRDefault="008B0AA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Nagyon jelentős</w:t>
            </w:r>
          </w:p>
        </w:tc>
      </w:tr>
      <w:tr w:rsidR="008B0AA7" w14:paraId="1394F941" w14:textId="77777777" w:rsidTr="000222BD">
        <w:tc>
          <w:tcPr>
            <w:tcW w:w="3061" w:type="dxa"/>
            <w:shd w:val="clear" w:color="auto" w:fill="auto"/>
          </w:tcPr>
          <w:p w14:paraId="701B9CAF" w14:textId="77777777" w:rsidR="008B0AA7" w:rsidRPr="00554E41" w:rsidRDefault="008B0AA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0000"/>
          </w:tcPr>
          <w:p w14:paraId="6E56D0CB" w14:textId="1CC343EA" w:rsidR="008B0AA7" w:rsidRPr="00554E41" w:rsidRDefault="008B0AA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Nagyon jelentős</w:t>
            </w:r>
          </w:p>
        </w:tc>
      </w:tr>
    </w:tbl>
    <w:p w14:paraId="08E4AFAD" w14:textId="77777777" w:rsidR="001203CB" w:rsidRDefault="001203CB" w:rsidP="009B7D07"/>
    <w:p w14:paraId="45784184" w14:textId="1F04740C" w:rsidR="009B7D07" w:rsidRPr="00A07F4E" w:rsidRDefault="009B7D07" w:rsidP="009B7D07">
      <w:r w:rsidRPr="00A07F4E">
        <w:lastRenderedPageBreak/>
        <w:t>A szektoron belül a tevékenységnek megfelelően</w:t>
      </w:r>
      <w:r w:rsidR="00176488" w:rsidRPr="009F3A30">
        <w:t>, az üzletszerűséget figyelembe véve</w:t>
      </w:r>
      <w:r w:rsidRPr="00A07F4E">
        <w:t xml:space="preserve"> két alszektor került kialakításra: </w:t>
      </w:r>
    </w:p>
    <w:p w14:paraId="31763C78" w14:textId="77777777" w:rsidR="009B7D07" w:rsidRPr="00A07F4E" w:rsidRDefault="009B7D07" w:rsidP="007A1308">
      <w:pPr>
        <w:pStyle w:val="Listaszerbekezds"/>
        <w:numPr>
          <w:ilvl w:val="0"/>
          <w:numId w:val="24"/>
        </w:numPr>
      </w:pPr>
      <w:r w:rsidRPr="00A07F4E">
        <w:t>üzletszerű bizalmi vagyonkezelő</w:t>
      </w:r>
      <w:r w:rsidR="00176488" w:rsidRPr="009F3A30">
        <w:t>i alszektor</w:t>
      </w:r>
    </w:p>
    <w:p w14:paraId="1FFAA76E" w14:textId="5A52FC07" w:rsidR="00097DA8" w:rsidRDefault="009B7D07">
      <w:pPr>
        <w:pStyle w:val="Listaszerbekezds"/>
        <w:numPr>
          <w:ilvl w:val="0"/>
          <w:numId w:val="24"/>
        </w:numPr>
      </w:pPr>
      <w:r w:rsidRPr="00A07F4E">
        <w:t>nem üzletszerű bizalmi vagyonkezelő</w:t>
      </w:r>
      <w:r w:rsidR="00176488" w:rsidRPr="009F3A30">
        <w:t>i alszektor</w:t>
      </w:r>
    </w:p>
    <w:p w14:paraId="6DF5E6A6" w14:textId="77777777" w:rsidR="00863CDC" w:rsidRPr="00A07F4E" w:rsidRDefault="00097DA8" w:rsidP="00A07F4E">
      <w:pPr>
        <w:pStyle w:val="Cmsor3"/>
        <w:numPr>
          <w:ilvl w:val="0"/>
          <w:numId w:val="155"/>
        </w:numPr>
      </w:pPr>
      <w:bookmarkStart w:id="285" w:name="_Toc109906074"/>
      <w:r w:rsidRPr="00A07F4E">
        <w:t>Inherens kockázatértékelés</w:t>
      </w:r>
      <w:bookmarkEnd w:id="285"/>
    </w:p>
    <w:p w14:paraId="0D9E5748" w14:textId="77777777" w:rsidR="00BA6306" w:rsidRPr="00A07F4E" w:rsidRDefault="00BA6306" w:rsidP="00A07F4E">
      <w:pPr>
        <w:pStyle w:val="Listaszerbekezds"/>
        <w:numPr>
          <w:ilvl w:val="1"/>
          <w:numId w:val="23"/>
        </w:numPr>
        <w:ind w:left="851" w:hanging="284"/>
      </w:pPr>
      <w:r w:rsidRPr="00A07F4E">
        <w:t xml:space="preserve">A </w:t>
      </w:r>
      <w:r w:rsidR="009B7D07" w:rsidRPr="00A07F4E">
        <w:t>bizalmi vagyonkezelői</w:t>
      </w:r>
      <w:r w:rsidRPr="00A07F4E">
        <w:t xml:space="preserve"> szektorban rejlő ML/</w:t>
      </w:r>
      <w:proofErr w:type="spellStart"/>
      <w:r w:rsidRPr="00A07F4E">
        <w:t>TF</w:t>
      </w:r>
      <w:proofErr w:type="spellEnd"/>
      <w:r w:rsidRPr="00A07F4E">
        <w:t xml:space="preserve"> kockázati tényezők</w:t>
      </w:r>
    </w:p>
    <w:p w14:paraId="55091272" w14:textId="40F13A2F" w:rsidR="008B0AA7" w:rsidRDefault="00863CDC" w:rsidP="00D5316C">
      <w:pPr>
        <w:spacing w:before="120" w:after="120"/>
      </w:pPr>
      <w:r w:rsidRPr="000222BD">
        <w:t>A</w:t>
      </w:r>
      <w:r w:rsidR="001F7CF7" w:rsidRPr="008B0AA7">
        <w:t>z M</w:t>
      </w:r>
      <w:r w:rsidR="001F7CF7">
        <w:t>NB</w:t>
      </w:r>
      <w:r w:rsidRPr="009F3A30">
        <w:t xml:space="preserve"> tapasztalatai alapján a bizalmi vagyonkezelői szektorban nagy számban fordul elő, hogy a jogintézményt szándékolt céljával szemben ténylegesen a rendelt vagyon forrásának, az ehhez a vagyonhoz köthető személyeknek az elfedésére használják fel. Ennek megfelelően nem ritka az „offshore” hátterű vagyonrendelő, mindemellett teljesen általános gyakorlat, hogy a vagyonrendelő egyben elsődleges kedvezményezettként is megjelenik.</w:t>
      </w:r>
      <w:r w:rsidR="008B0AA7">
        <w:t xml:space="preserve"> </w:t>
      </w:r>
      <w:r w:rsidR="007C75BA">
        <w:t>Volt olyan eset,</w:t>
      </w:r>
      <w:r w:rsidR="008B0AA7">
        <w:t xml:space="preserve"> hogy a </w:t>
      </w:r>
      <w:r w:rsidRPr="009F3A30">
        <w:t>részvénytársasági osztalékfizetési szabályok kijátszására használták fel</w:t>
      </w:r>
      <w:r w:rsidR="008B0AA7">
        <w:t xml:space="preserve"> a bizalmi vagyonkezelői konstrukciót. </w:t>
      </w:r>
    </w:p>
    <w:p w14:paraId="728BF0B5" w14:textId="5D3F858E" w:rsidR="008A12EB" w:rsidRPr="008B0AA7" w:rsidRDefault="00863CDC" w:rsidP="00D5316C">
      <w:pPr>
        <w:spacing w:before="120" w:after="120"/>
      </w:pPr>
      <w:r w:rsidRPr="009F3A30">
        <w:t xml:space="preserve">Ugyan a bizalmi vagyonkezelők a </w:t>
      </w:r>
      <w:proofErr w:type="spellStart"/>
      <w:r w:rsidRPr="009F3A30">
        <w:t>Pmt</w:t>
      </w:r>
      <w:proofErr w:type="spellEnd"/>
      <w:r w:rsidRPr="009F3A30">
        <w:t xml:space="preserve">. hatálya alá tartozó szolgáltatók, azonban a felmerülő ML/FT kockázatok általuk történő érdemi kezelése </w:t>
      </w:r>
      <w:r w:rsidR="0005160A">
        <w:t>kockázatot hordoz magában.</w:t>
      </w:r>
      <w:r w:rsidRPr="009F3A30">
        <w:t xml:space="preserve"> Ennek oka egyfelől, hogy </w:t>
      </w:r>
      <w:r w:rsidR="0005160A">
        <w:t>a szolgáltatás</w:t>
      </w:r>
      <w:r w:rsidRPr="009F3A30">
        <w:t xml:space="preserve"> erős bizalmi viszonyt feltételez, amely mellett a gyanús jogügylet megakadályozása, bejelentése </w:t>
      </w:r>
      <w:r w:rsidR="00914DED">
        <w:t>s</w:t>
      </w:r>
      <w:r w:rsidR="00914DED" w:rsidRPr="009F3A30">
        <w:t xml:space="preserve">em </w:t>
      </w:r>
      <w:r w:rsidRPr="009F3A30">
        <w:t xml:space="preserve">életszerű. </w:t>
      </w:r>
      <w:r w:rsidR="007C75BA" w:rsidRPr="009F3A30">
        <w:t xml:space="preserve">A felmerülő kockázatok kezelése tekintetében másfelől problematikus a bizalmi vagyonkezelést jellemző kettősség, miszerint a bizalmi vagyonkezelő a vagyonkezelés belső viszonyaiban szolgáltatóként, míg külső viszonyaiban ügyfélként (kvázi a kezelt vagyon képviselőjeként, ugyanakkor mégis saját nevében, tulajdonosként eljárva) jelenik meg, azaz a vagyonkezelő egyidejűleg egymással ellentétes „érdekű” pozíciókat tölt be. </w:t>
      </w:r>
      <w:r w:rsidRPr="00A07F4E">
        <w:rPr>
          <w:rFonts w:cs="Times New Roman"/>
        </w:rPr>
        <w:t xml:space="preserve"> </w:t>
      </w:r>
    </w:p>
    <w:p w14:paraId="7D9E3F2B" w14:textId="77777777" w:rsidR="00BA6306" w:rsidRPr="00A07F4E" w:rsidRDefault="00BA6306" w:rsidP="00A07F4E">
      <w:pPr>
        <w:pStyle w:val="Listaszerbekezds"/>
        <w:numPr>
          <w:ilvl w:val="1"/>
          <w:numId w:val="23"/>
        </w:numPr>
        <w:ind w:left="851" w:hanging="284"/>
      </w:pPr>
      <w:r w:rsidRPr="00A07F4E">
        <w:t xml:space="preserve">A </w:t>
      </w:r>
      <w:r w:rsidR="007808A5" w:rsidRPr="00A07F4E">
        <w:t xml:space="preserve">bizalmi vagyonkezelői szektorban </w:t>
      </w:r>
      <w:r w:rsidRPr="00A07F4E">
        <w:t>rejlő, határokon átnyúló ML/</w:t>
      </w:r>
      <w:proofErr w:type="spellStart"/>
      <w:r w:rsidRPr="00A07F4E">
        <w:t>TF</w:t>
      </w:r>
      <w:proofErr w:type="spellEnd"/>
      <w:r w:rsidRPr="00A07F4E">
        <w:t xml:space="preserve"> kockázatok</w:t>
      </w:r>
    </w:p>
    <w:p w14:paraId="3AEA58B8" w14:textId="60903937" w:rsidR="00E86B4A" w:rsidRPr="00A07F4E" w:rsidRDefault="00E86B4A" w:rsidP="00E86B4A">
      <w:r w:rsidRPr="00A07F4E">
        <w:t>A bizalmi vagyonkezelő</w:t>
      </w:r>
      <w:r w:rsidR="00F04A1A" w:rsidRPr="009F3A30">
        <w:t>i jogviszony szereplői</w:t>
      </w:r>
      <w:r w:rsidR="00F04A1A" w:rsidRPr="00A07F4E">
        <w:t xml:space="preserve"> </w:t>
      </w:r>
      <w:r w:rsidRPr="00A07F4E">
        <w:t>jellemzően magyar állampolgárságú, természetes személyek vagy Magyarországon székhellyel rendelkező gazdasági társaságok,</w:t>
      </w:r>
      <w:r w:rsidR="001D079B" w:rsidRPr="00A07F4E">
        <w:t xml:space="preserve"> azonban előfordul</w:t>
      </w:r>
      <w:r w:rsidR="00871EA4" w:rsidRPr="00A07F4E">
        <w:t xml:space="preserve"> olyan eset is</w:t>
      </w:r>
      <w:r w:rsidR="001D079B" w:rsidRPr="00A07F4E">
        <w:t xml:space="preserve">, hogy a bizalmi vagyonkezelői szerződések szereplői külföldi állampolgárok, vagy külföldi cégek. </w:t>
      </w:r>
      <w:r w:rsidR="003275BB">
        <w:t>Megállapítható, hogy jellemzően</w:t>
      </w:r>
      <w:r w:rsidR="003275BB" w:rsidRPr="003275BB">
        <w:t xml:space="preserve"> kimutatható a magyarországi kapcsolat (akár a vagyonrendelő, akár a kedvezményezett, akár a rendelt vagyon vonatkozásában), egyre nagyobb számban jelennek meg olyan külföldi illetőségű vagyonrendelők, akik esetében nem látszik a hazai vagyonkezelési jogviszony létesítésének indoka. </w:t>
      </w:r>
      <w:r w:rsidR="001D079B" w:rsidRPr="00A07F4E">
        <w:t xml:space="preserve">Mindezek alapján megállapítható, hogy </w:t>
      </w:r>
      <w:r w:rsidRPr="00A07F4E">
        <w:t xml:space="preserve">a külföldi érintettség jelen szektorban </w:t>
      </w:r>
      <w:r w:rsidR="00F57802" w:rsidRPr="00A07F4E">
        <w:t xml:space="preserve">részben </w:t>
      </w:r>
      <w:r w:rsidR="00DC6C47">
        <w:t xml:space="preserve">jelen van, így az ebben rejlő kockázat </w:t>
      </w:r>
      <w:r w:rsidR="00D45F4F" w:rsidRPr="00A07F4E">
        <w:t>Jelentős</w:t>
      </w:r>
      <w:r w:rsidR="00F57802" w:rsidRPr="00A07F4E">
        <w:t xml:space="preserve">nek </w:t>
      </w:r>
      <w:r w:rsidR="00DC6C47">
        <w:t xml:space="preserve">tekintendő. </w:t>
      </w:r>
      <w:r w:rsidR="00D45F4F" w:rsidRPr="00A07F4E">
        <w:t xml:space="preserve"> </w:t>
      </w:r>
    </w:p>
    <w:p w14:paraId="4B5A6DAC" w14:textId="659CE571" w:rsidR="00BA6306" w:rsidRPr="00A07F4E" w:rsidRDefault="00BA6306" w:rsidP="00BA6306">
      <w:pPr>
        <w:rPr>
          <w:b/>
          <w:bCs/>
        </w:rPr>
      </w:pPr>
      <w:r w:rsidRPr="00A07F4E">
        <w:rPr>
          <w:b/>
          <w:bCs/>
        </w:rPr>
        <w:t>A</w:t>
      </w:r>
      <w:r w:rsidR="00500CD4">
        <w:rPr>
          <w:b/>
          <w:bCs/>
        </w:rPr>
        <w:t>z MNB</w:t>
      </w:r>
      <w:r w:rsidRPr="00A07F4E">
        <w:rPr>
          <w:b/>
          <w:bCs/>
        </w:rPr>
        <w:t xml:space="preserve"> értékelése alapján a </w:t>
      </w:r>
      <w:r w:rsidR="007808A5" w:rsidRPr="00A07F4E">
        <w:rPr>
          <w:b/>
          <w:bCs/>
        </w:rPr>
        <w:t>bizalmi vagyonkezelői</w:t>
      </w:r>
      <w:r w:rsidRPr="00A07F4E">
        <w:rPr>
          <w:b/>
          <w:bCs/>
        </w:rPr>
        <w:t xml:space="preserve"> szektor</w:t>
      </w:r>
      <w:r w:rsidR="00500CD4">
        <w:rPr>
          <w:b/>
          <w:bCs/>
        </w:rPr>
        <w:t>, így az ü</w:t>
      </w:r>
      <w:r w:rsidR="00500CD4" w:rsidRPr="00500CD4">
        <w:rPr>
          <w:b/>
          <w:bCs/>
        </w:rPr>
        <w:t xml:space="preserve">zletszerű bizalmi vagyonkezelői </w:t>
      </w:r>
      <w:r w:rsidR="00500CD4">
        <w:rPr>
          <w:b/>
          <w:bCs/>
        </w:rPr>
        <w:t xml:space="preserve">és a nem üzletszerű bizalmi vagyonkezelői </w:t>
      </w:r>
      <w:r w:rsidR="00500CD4" w:rsidRPr="00500CD4">
        <w:rPr>
          <w:b/>
          <w:bCs/>
        </w:rPr>
        <w:t>alszektor</w:t>
      </w:r>
      <w:r w:rsidR="00500CD4">
        <w:rPr>
          <w:b/>
          <w:bCs/>
        </w:rPr>
        <w:t xml:space="preserve"> </w:t>
      </w:r>
      <w:r w:rsidR="005F227E">
        <w:rPr>
          <w:b/>
          <w:bCs/>
        </w:rPr>
        <w:t>Nagyon j</w:t>
      </w:r>
      <w:r w:rsidRPr="00A07F4E">
        <w:rPr>
          <w:b/>
          <w:bCs/>
        </w:rPr>
        <w:t>elentős inherens kockázati értékkel rendelkezik.</w:t>
      </w:r>
    </w:p>
    <w:tbl>
      <w:tblPr>
        <w:tblW w:w="3580" w:type="dxa"/>
        <w:jc w:val="center"/>
        <w:tblCellMar>
          <w:left w:w="70" w:type="dxa"/>
          <w:right w:w="70" w:type="dxa"/>
        </w:tblCellMar>
        <w:tblLook w:val="04A0" w:firstRow="1" w:lastRow="0" w:firstColumn="1" w:lastColumn="0" w:noHBand="0" w:noVBand="1"/>
      </w:tblPr>
      <w:tblGrid>
        <w:gridCol w:w="1800"/>
        <w:gridCol w:w="1780"/>
      </w:tblGrid>
      <w:tr w:rsidR="005F227E" w:rsidRPr="00A07F4E" w14:paraId="299C835A" w14:textId="77777777" w:rsidTr="009F3A30">
        <w:trPr>
          <w:trHeight w:val="300"/>
          <w:jc w:val="center"/>
        </w:trPr>
        <w:tc>
          <w:tcPr>
            <w:tcW w:w="1800" w:type="dxa"/>
            <w:tcBorders>
              <w:top w:val="nil"/>
              <w:left w:val="nil"/>
              <w:bottom w:val="nil"/>
              <w:right w:val="nil"/>
            </w:tcBorders>
            <w:shd w:val="clear" w:color="auto" w:fill="auto"/>
            <w:noWrap/>
            <w:vAlign w:val="center"/>
            <w:hideMark/>
          </w:tcPr>
          <w:p w14:paraId="672E4FBA" w14:textId="77777777" w:rsidR="005F227E" w:rsidRPr="00A07F4E" w:rsidRDefault="005F227E" w:rsidP="009F3A30">
            <w:pPr>
              <w:spacing w:after="0" w:line="240" w:lineRule="auto"/>
              <w:jc w:val="left"/>
              <w:rPr>
                <w:rFonts w:eastAsia="Times New Roman" w:cs="Times New Roman"/>
                <w:b/>
                <w:bCs/>
                <w:color w:val="000000"/>
                <w:sz w:val="18"/>
                <w:szCs w:val="18"/>
              </w:rPr>
            </w:pPr>
            <w:r>
              <w:rPr>
                <w:rFonts w:eastAsia="Times New Roman" w:cs="Times New Roman"/>
                <w:b/>
                <w:bCs/>
                <w:color w:val="000000"/>
                <w:sz w:val="18"/>
                <w:szCs w:val="18"/>
              </w:rPr>
              <w:t>Inherens kockázat</w:t>
            </w:r>
          </w:p>
        </w:tc>
        <w:tc>
          <w:tcPr>
            <w:tcW w:w="1780" w:type="dxa"/>
            <w:tcBorders>
              <w:top w:val="single" w:sz="4" w:space="0" w:color="auto"/>
              <w:left w:val="single" w:sz="4" w:space="0" w:color="auto"/>
              <w:bottom w:val="single" w:sz="4" w:space="0" w:color="auto"/>
              <w:right w:val="single" w:sz="4" w:space="0" w:color="auto"/>
            </w:tcBorders>
            <w:shd w:val="clear" w:color="000000" w:fill="FF603B"/>
            <w:noWrap/>
            <w:vAlign w:val="center"/>
            <w:hideMark/>
          </w:tcPr>
          <w:p w14:paraId="76B57027" w14:textId="77777777" w:rsidR="005F227E" w:rsidRPr="009F3A30" w:rsidRDefault="005F227E" w:rsidP="0054568C">
            <w:pPr>
              <w:spacing w:after="0" w:line="240" w:lineRule="auto"/>
              <w:jc w:val="center"/>
              <w:rPr>
                <w:sz w:val="18"/>
              </w:rPr>
            </w:pPr>
            <w:r w:rsidRPr="00A07F4E">
              <w:rPr>
                <w:rFonts w:eastAsia="Times New Roman" w:cs="Times New Roman"/>
                <w:sz w:val="18"/>
                <w:szCs w:val="18"/>
              </w:rPr>
              <w:t>Nagyon jelentős</w:t>
            </w:r>
          </w:p>
        </w:tc>
      </w:tr>
    </w:tbl>
    <w:p w14:paraId="7467DED8" w14:textId="77777777" w:rsidR="003A71F8" w:rsidRPr="00A07F4E" w:rsidRDefault="003A71F8"/>
    <w:p w14:paraId="4FDD0BCA" w14:textId="7899B2ED" w:rsidR="00BA6306" w:rsidRDefault="00F1659B" w:rsidP="00A07F4E">
      <w:pPr>
        <w:pStyle w:val="Cmsor3"/>
        <w:numPr>
          <w:ilvl w:val="0"/>
          <w:numId w:val="155"/>
        </w:numPr>
      </w:pPr>
      <w:bookmarkStart w:id="286" w:name="_Toc109906075"/>
      <w:r w:rsidRPr="00A07F4E">
        <w:t>Az ellenőrzések minősége, f</w:t>
      </w:r>
      <w:r w:rsidR="00BA6306" w:rsidRPr="00A07F4E">
        <w:t>elügyeleti tevékenység</w:t>
      </w:r>
      <w:r w:rsidR="00590975" w:rsidRPr="00A07F4E">
        <w:t>, azonosított jogsértések</w:t>
      </w:r>
      <w:bookmarkEnd w:id="286"/>
    </w:p>
    <w:p w14:paraId="061E08BC" w14:textId="7FC97632" w:rsidR="004D42B0" w:rsidRPr="009F3A30" w:rsidRDefault="004D42B0" w:rsidP="00A07F4E">
      <w:pPr>
        <w:pStyle w:val="Listaszerbekezds"/>
        <w:numPr>
          <w:ilvl w:val="0"/>
          <w:numId w:val="205"/>
        </w:numPr>
        <w:ind w:left="851" w:hanging="284"/>
      </w:pPr>
      <w:r w:rsidRPr="009F3A30">
        <w:t>Üzletszerű bizalmi vagyonkezelői alszektor</w:t>
      </w:r>
    </w:p>
    <w:p w14:paraId="3D13CEBE" w14:textId="066D434F" w:rsidR="00733220" w:rsidRDefault="0062588E" w:rsidP="00A07F4E">
      <w:r>
        <w:t xml:space="preserve">Az üzletszerű bizalmi vagyonkezelőknél az ellenőrzés minőségét az MNB gyengének értékelte. </w:t>
      </w:r>
      <w:r w:rsidR="001D0795" w:rsidRPr="000222BD">
        <w:t>Az MNB</w:t>
      </w:r>
      <w:r w:rsidR="00F468F0" w:rsidRPr="000222BD">
        <w:t xml:space="preserve"> a</w:t>
      </w:r>
      <w:r w:rsidR="00F468F0" w:rsidRPr="009F3A30">
        <w:t xml:space="preserve"> </w:t>
      </w:r>
      <w:r w:rsidR="00B759E0" w:rsidRPr="009F3A30">
        <w:t>J</w:t>
      </w:r>
      <w:r w:rsidR="00F468F0" w:rsidRPr="009F3A30">
        <w:t>elentős inherens kockázati besorolásra, illetve a kockázatalapú felügyelésre is tekintettel nagyobb hangsúlyt fektetett</w:t>
      </w:r>
      <w:r w:rsidR="00E80E5C" w:rsidRPr="009F3A30">
        <w:t xml:space="preserve"> </w:t>
      </w:r>
      <w:r w:rsidR="00F468F0" w:rsidRPr="009F3A30">
        <w:t xml:space="preserve">az elmúlt időszakban az üzletszerű bizalmi vagyonkezelői alszektor vizsgálatára. Az elmúlt időszakban </w:t>
      </w:r>
      <w:proofErr w:type="spellStart"/>
      <w:r w:rsidR="00F468F0" w:rsidRPr="009F3A30">
        <w:t>on</w:t>
      </w:r>
      <w:proofErr w:type="spellEnd"/>
      <w:r w:rsidR="00F468F0" w:rsidRPr="009F3A30">
        <w:t xml:space="preserve">-site és </w:t>
      </w:r>
      <w:proofErr w:type="spellStart"/>
      <w:r w:rsidR="00F468F0" w:rsidRPr="009F3A30">
        <w:t>off</w:t>
      </w:r>
      <w:proofErr w:type="spellEnd"/>
      <w:r w:rsidR="00F468F0" w:rsidRPr="009F3A30">
        <w:t xml:space="preserve">-site vizsgálatokat is </w:t>
      </w:r>
      <w:r w:rsidR="00851D49" w:rsidRPr="009F3A30">
        <w:t xml:space="preserve">végez, </w:t>
      </w:r>
      <w:r w:rsidR="00F468F0" w:rsidRPr="009F3A30">
        <w:t xml:space="preserve">végzett az alszektorban. </w:t>
      </w:r>
      <w:r w:rsidR="00D90130" w:rsidRPr="009F3A30">
        <w:t>A korábbi ellenőrzés</w:t>
      </w:r>
      <w:r w:rsidR="00F468F0" w:rsidRPr="009F3A30">
        <w:t xml:space="preserve"> az üzletszerű bizalmi vagyonkezelők </w:t>
      </w:r>
      <w:r w:rsidR="008035BC" w:rsidRPr="009F3A30">
        <w:t>tényleges tulajdonosokat érintő ügyfél-átvilágítási gyakorlatá</w:t>
      </w:r>
      <w:r w:rsidR="00D90130" w:rsidRPr="009F3A30">
        <w:t>ra terjedt ki</w:t>
      </w:r>
      <w:r w:rsidR="008035BC" w:rsidRPr="009F3A30">
        <w:t xml:space="preserve">, </w:t>
      </w:r>
      <w:r w:rsidR="00B759E0" w:rsidRPr="009F3A30">
        <w:t>amellyel kapcsolatban</w:t>
      </w:r>
      <w:r w:rsidR="008035BC" w:rsidRPr="009F3A30">
        <w:t xml:space="preserve"> kockázatokat és hiányosságokat </w:t>
      </w:r>
      <w:r w:rsidR="008035BC" w:rsidRPr="000222BD">
        <w:t>a</w:t>
      </w:r>
      <w:r w:rsidR="001D0795" w:rsidRPr="00B62549">
        <w:t xml:space="preserve">z MNB </w:t>
      </w:r>
      <w:r w:rsidR="008035BC" w:rsidRPr="00B62549">
        <w:t>nem</w:t>
      </w:r>
      <w:r w:rsidR="008035BC" w:rsidRPr="009F3A30">
        <w:t xml:space="preserve"> azonosított, azonban </w:t>
      </w:r>
      <w:r w:rsidR="001D0795">
        <w:t>az MNB</w:t>
      </w:r>
      <w:r w:rsidR="008035BC" w:rsidRPr="009F3A30">
        <w:t xml:space="preserve"> a vizsgálati eljárás során a bizalmi vagyonkezelők tevékenységével kapcsolatban észlelt </w:t>
      </w:r>
      <w:r w:rsidR="00D90130" w:rsidRPr="009F3A30">
        <w:t xml:space="preserve">egyéb </w:t>
      </w:r>
      <w:r w:rsidR="008035BC" w:rsidRPr="009F3A30">
        <w:t>olyan hiányosságokat, amely</w:t>
      </w:r>
      <w:r w:rsidR="00D90130" w:rsidRPr="009F3A30">
        <w:t>ek</w:t>
      </w:r>
      <w:r w:rsidR="008035BC" w:rsidRPr="009F3A30">
        <w:t xml:space="preserve"> a</w:t>
      </w:r>
      <w:r w:rsidR="00E80E5C" w:rsidRPr="009F3A30">
        <w:t>kkor a folyamatban lévő</w:t>
      </w:r>
      <w:r w:rsidR="008035BC" w:rsidRPr="009F3A30">
        <w:t xml:space="preserve"> vizsgálat tárgyát nem képezték</w:t>
      </w:r>
      <w:r w:rsidR="00B759E0" w:rsidRPr="009F3A30">
        <w:t>. Ezen</w:t>
      </w:r>
      <w:r w:rsidR="00E80E5C" w:rsidRPr="009F3A30">
        <w:t xml:space="preserve"> észlelt</w:t>
      </w:r>
      <w:r w:rsidR="00B759E0" w:rsidRPr="009F3A30">
        <w:t xml:space="preserve"> hiányosságok közül vizsgálat </w:t>
      </w:r>
      <w:r w:rsidR="00D90130" w:rsidRPr="009F3A30">
        <w:t xml:space="preserve">a bizalmi vagyonkezelő szolgáltatók vagyonkezelésbe vett pénz és vagyoni eszközök forrását feltáró gyakorlatának ellenőrzésére </w:t>
      </w:r>
      <w:r w:rsidR="00733220" w:rsidRPr="009F3A30">
        <w:t>indult</w:t>
      </w:r>
      <w:r w:rsidR="00D90130" w:rsidRPr="009F3A30">
        <w:t>.</w:t>
      </w:r>
      <w:r w:rsidR="00D90130" w:rsidRPr="00A07F4E">
        <w:t xml:space="preserve"> </w:t>
      </w:r>
      <w:r w:rsidR="00C32B66" w:rsidRPr="00F6504D">
        <w:t>A vizsgálat</w:t>
      </w:r>
      <w:r w:rsidR="006C1881" w:rsidRPr="00F6504D">
        <w:t>ok</w:t>
      </w:r>
      <w:r w:rsidR="00C32B66" w:rsidRPr="00F6504D">
        <w:t xml:space="preserve"> során </w:t>
      </w:r>
      <w:r w:rsidR="00983CD2" w:rsidRPr="00F6504D">
        <w:t xml:space="preserve">hiányosságok a </w:t>
      </w:r>
      <w:r w:rsidR="006C1881" w:rsidRPr="00F6504D">
        <w:t xml:space="preserve">bejelentés elmulasztásával, </w:t>
      </w:r>
      <w:r w:rsidR="00983CD2" w:rsidRPr="00F6504D">
        <w:t xml:space="preserve">az </w:t>
      </w:r>
      <w:r w:rsidR="006C1881" w:rsidRPr="00F6504D">
        <w:t>ügyfél-átvilágítás</w:t>
      </w:r>
      <w:r w:rsidR="00446B29" w:rsidRPr="00F6504D">
        <w:t>i dokumentáció</w:t>
      </w:r>
      <w:r w:rsidR="006C1881" w:rsidRPr="00F6504D">
        <w:t xml:space="preserve"> teljeskörűségével,</w:t>
      </w:r>
      <w:r w:rsidR="00C8600C" w:rsidRPr="00F6504D">
        <w:t xml:space="preserve"> </w:t>
      </w:r>
      <w:r w:rsidR="006C1881" w:rsidRPr="00F6504D">
        <w:t>az üzleti kapcsolatok céljának és jellegének</w:t>
      </w:r>
      <w:r w:rsidR="00C8600C" w:rsidRPr="00F6504D">
        <w:t xml:space="preserve"> </w:t>
      </w:r>
      <w:r w:rsidR="006C1881" w:rsidRPr="00F6504D">
        <w:t>rögzítésével</w:t>
      </w:r>
      <w:r w:rsidR="00C8600C" w:rsidRPr="00F6504D">
        <w:t>, valamint a pénzeszköz forrásának vizsgálatával kapcsolatban kerültek</w:t>
      </w:r>
      <w:r w:rsidR="006C1881" w:rsidRPr="00F6504D">
        <w:t xml:space="preserve"> megállapításra</w:t>
      </w:r>
      <w:r w:rsidR="00C8600C" w:rsidRPr="00F6504D">
        <w:t>.</w:t>
      </w:r>
      <w:r w:rsidR="00C8600C">
        <w:t xml:space="preserve"> </w:t>
      </w:r>
    </w:p>
    <w:p w14:paraId="54044F77" w14:textId="6EC864AE" w:rsidR="00C32B66" w:rsidRPr="009F3A30" w:rsidRDefault="00C32B66" w:rsidP="00FC37B3">
      <w:pPr>
        <w:pStyle w:val="Listaszerbekezds"/>
        <w:numPr>
          <w:ilvl w:val="0"/>
          <w:numId w:val="205"/>
        </w:numPr>
        <w:ind w:left="851" w:hanging="284"/>
      </w:pPr>
      <w:r w:rsidRPr="009F3A30">
        <w:lastRenderedPageBreak/>
        <w:t>Nem üzletszerű bizalmi vagyonkezelői alszektor</w:t>
      </w:r>
    </w:p>
    <w:p w14:paraId="44697134" w14:textId="271B4919" w:rsidR="00C32B66" w:rsidRDefault="00C32B66" w:rsidP="00C32B66">
      <w:r>
        <w:t xml:space="preserve">A nem üzletszerű bizalmi vagyonkezelőknél az ellenőrzés minőségét az MNB </w:t>
      </w:r>
      <w:r w:rsidR="00F6504D">
        <w:t xml:space="preserve">szintén </w:t>
      </w:r>
      <w:r>
        <w:t xml:space="preserve">gyengének értékelte, mivel jellemzően a vagyonkezelőnek önmagát, saját eljárását, </w:t>
      </w:r>
      <w:proofErr w:type="spellStart"/>
      <w:r>
        <w:t>AML</w:t>
      </w:r>
      <w:proofErr w:type="spellEnd"/>
      <w:r>
        <w:t>/</w:t>
      </w:r>
      <w:proofErr w:type="spellStart"/>
      <w:r>
        <w:t>CFT</w:t>
      </w:r>
      <w:proofErr w:type="spellEnd"/>
      <w:r>
        <w:t xml:space="preserve"> tevékenységét lenne szükséges ellenőrizni, amely különösen nehézkes és életidegen a természetes személy vagyonkezelők esetében. A nem üzletszerű minősége miatt ezen bizalmi vagyonkezelők által a jogszabályok betartása, így azok ellenőrzésének kivitelezése is nehézkesebb szektorokhoz, alszektorokhoz képest. </w:t>
      </w:r>
      <w:r w:rsidRPr="009F3A30">
        <w:t>A nem üzletszerű bizalmi vagyonkezelői szerződések – azok nyilvántartásba vételét követően – a</w:t>
      </w:r>
      <w:r>
        <w:t>z MNB</w:t>
      </w:r>
      <w:r w:rsidRPr="009F3A30">
        <w:t xml:space="preserve"> által megvizsgálásra kerülnek, és ahol gyanús körülmény került detektálásra, úgy </w:t>
      </w:r>
      <w:r>
        <w:t>az MNB</w:t>
      </w:r>
      <w:r w:rsidRPr="009F3A30">
        <w:t xml:space="preserve"> bejelentéssel él a </w:t>
      </w:r>
      <w:proofErr w:type="spellStart"/>
      <w:r>
        <w:t>NAV</w:t>
      </w:r>
      <w:proofErr w:type="spellEnd"/>
      <w:r>
        <w:t xml:space="preserve"> </w:t>
      </w:r>
      <w:proofErr w:type="spellStart"/>
      <w:r>
        <w:t>PEI</w:t>
      </w:r>
      <w:proofErr w:type="spellEnd"/>
      <w:r w:rsidRPr="009F3A30">
        <w:t xml:space="preserve"> felé. Eddig </w:t>
      </w:r>
      <w:r>
        <w:t xml:space="preserve">az MNB </w:t>
      </w:r>
      <w:r w:rsidRPr="009F3A30">
        <w:t>általi bejelentésekre jellemzően az offshore érintettség, rejtett egyoldalú szerződések, illetve összefonódások miatt került sor</w:t>
      </w:r>
      <w:r>
        <w:t xml:space="preserve">. </w:t>
      </w:r>
      <w:r w:rsidRPr="000222BD">
        <w:t>Azonban megállapítható, hogy jelen alszektorban jellemzően családon belüli és kisebb összegű vagyonrendelésekre kerül sor, amely konstrukciók kisebb kockázatot hordoznak magukban, mint az üzletszerű bizalmi vagyonkezelői szerződések általi jogviszonyok, így az alszektor az üzletszerű bizalmi vagyonkezelői alszektorhoz képest alacsonyabb ML/</w:t>
      </w:r>
      <w:proofErr w:type="spellStart"/>
      <w:r w:rsidRPr="000222BD">
        <w:t>TF</w:t>
      </w:r>
      <w:proofErr w:type="spellEnd"/>
      <w:r w:rsidRPr="000222BD">
        <w:t xml:space="preserve"> kockázatot jelent.</w:t>
      </w:r>
      <w:r w:rsidRPr="009F3A30">
        <w:t xml:space="preserve"> A nem üzletszerű bizalmi vagyonkezelői alszektor felett a szerződések vizsgálatával a</w:t>
      </w:r>
      <w:r>
        <w:t>z MNB</w:t>
      </w:r>
      <w:r w:rsidRPr="009F3A30">
        <w:t xml:space="preserve"> kvázi folyamatos </w:t>
      </w:r>
      <w:proofErr w:type="spellStart"/>
      <w:r>
        <w:t>AML</w:t>
      </w:r>
      <w:proofErr w:type="spellEnd"/>
      <w:r>
        <w:t>/</w:t>
      </w:r>
      <w:proofErr w:type="spellStart"/>
      <w:r>
        <w:t>CFT</w:t>
      </w:r>
      <w:proofErr w:type="spellEnd"/>
      <w:r>
        <w:t xml:space="preserve"> </w:t>
      </w:r>
      <w:r w:rsidRPr="009F3A30">
        <w:t>felügyeletet lát el.</w:t>
      </w:r>
      <w:r w:rsidRPr="00A07F4E">
        <w:t xml:space="preserve">   </w:t>
      </w:r>
    </w:p>
    <w:p w14:paraId="7E45E9D2" w14:textId="77777777" w:rsidR="00BA6306" w:rsidRPr="00A07F4E" w:rsidRDefault="00BA6306" w:rsidP="00A07F4E">
      <w:pPr>
        <w:pStyle w:val="Cmsor3"/>
        <w:numPr>
          <w:ilvl w:val="0"/>
          <w:numId w:val="155"/>
        </w:numPr>
      </w:pPr>
      <w:bookmarkStart w:id="287" w:name="_Toc106869644"/>
      <w:bookmarkStart w:id="288" w:name="_Toc107236509"/>
      <w:bookmarkStart w:id="289" w:name="_Toc107237417"/>
      <w:bookmarkStart w:id="290" w:name="_Toc107237747"/>
      <w:bookmarkStart w:id="291" w:name="_Toc109906076"/>
      <w:bookmarkEnd w:id="287"/>
      <w:bookmarkEnd w:id="288"/>
      <w:bookmarkEnd w:id="289"/>
      <w:bookmarkEnd w:id="290"/>
      <w:r w:rsidRPr="00A07F4E">
        <w:t>Maradványkockázat</w:t>
      </w:r>
      <w:bookmarkEnd w:id="291"/>
    </w:p>
    <w:p w14:paraId="5F0B4E75" w14:textId="4C63B9E1" w:rsidR="004C0953" w:rsidRPr="00A07F4E" w:rsidRDefault="00BA6306" w:rsidP="00BA6306">
      <w:r w:rsidRPr="000222BD">
        <w:t>A</w:t>
      </w:r>
      <w:r w:rsidR="004F13F1" w:rsidRPr="00B62549">
        <w:t>z MNB</w:t>
      </w:r>
      <w:r w:rsidRPr="00B62549">
        <w:t xml:space="preserve"> a fenti szempontok</w:t>
      </w:r>
      <w:r w:rsidR="001D538C" w:rsidRPr="00B62549">
        <w:t>ra</w:t>
      </w:r>
      <w:r w:rsidR="001D538C">
        <w:t xml:space="preserve"> tekintettel</w:t>
      </w:r>
      <w:r w:rsidRPr="00A07F4E">
        <w:t xml:space="preserve"> a maradványkockázatot </w:t>
      </w:r>
    </w:p>
    <w:p w14:paraId="3CE2CA2B" w14:textId="77777777" w:rsidR="00F6504D" w:rsidRPr="009F3A30" w:rsidRDefault="00F6504D" w:rsidP="00F6504D">
      <w:pPr>
        <w:pStyle w:val="Listaszerbekezds"/>
        <w:numPr>
          <w:ilvl w:val="0"/>
          <w:numId w:val="209"/>
        </w:numPr>
      </w:pPr>
      <w:r w:rsidRPr="009F3A30">
        <w:t xml:space="preserve">az üzletszerű bizalmi vagyonkezelők esetében Nagyon jelentősnek tekinti.  </w:t>
      </w:r>
    </w:p>
    <w:tbl>
      <w:tblPr>
        <w:tblW w:w="3580" w:type="dxa"/>
        <w:tblCellMar>
          <w:left w:w="70" w:type="dxa"/>
          <w:right w:w="70" w:type="dxa"/>
        </w:tblCellMar>
        <w:tblLook w:val="04A0" w:firstRow="1" w:lastRow="0" w:firstColumn="1" w:lastColumn="0" w:noHBand="0" w:noVBand="1"/>
      </w:tblPr>
      <w:tblGrid>
        <w:gridCol w:w="1800"/>
        <w:gridCol w:w="1780"/>
      </w:tblGrid>
      <w:tr w:rsidR="00F6504D" w:rsidRPr="00A07F4E" w14:paraId="6D40E94A" w14:textId="77777777" w:rsidTr="00300DCA">
        <w:trPr>
          <w:trHeight w:val="300"/>
        </w:trPr>
        <w:tc>
          <w:tcPr>
            <w:tcW w:w="1800" w:type="dxa"/>
            <w:tcBorders>
              <w:top w:val="nil"/>
              <w:left w:val="nil"/>
              <w:bottom w:val="nil"/>
              <w:right w:val="nil"/>
            </w:tcBorders>
            <w:shd w:val="clear" w:color="auto" w:fill="auto"/>
            <w:noWrap/>
            <w:vAlign w:val="center"/>
            <w:hideMark/>
          </w:tcPr>
          <w:p w14:paraId="6372B686" w14:textId="77777777" w:rsidR="00F6504D" w:rsidRPr="009F3A30" w:rsidRDefault="00F6504D" w:rsidP="00300DCA">
            <w:pPr>
              <w:spacing w:after="0" w:line="240" w:lineRule="auto"/>
              <w:jc w:val="center"/>
              <w:rPr>
                <w:b/>
                <w:color w:val="000000"/>
                <w:sz w:val="18"/>
              </w:rPr>
            </w:pPr>
            <w:r w:rsidRPr="009F3A30">
              <w:rPr>
                <w:b/>
                <w:color w:val="000000"/>
                <w:sz w:val="18"/>
              </w:rPr>
              <w:t>Maradványkockázat</w:t>
            </w:r>
          </w:p>
        </w:tc>
        <w:tc>
          <w:tcPr>
            <w:tcW w:w="1780" w:type="dxa"/>
            <w:tcBorders>
              <w:top w:val="single" w:sz="4" w:space="0" w:color="auto"/>
              <w:left w:val="single" w:sz="4" w:space="0" w:color="auto"/>
              <w:bottom w:val="single" w:sz="4" w:space="0" w:color="auto"/>
              <w:right w:val="single" w:sz="4" w:space="0" w:color="auto"/>
            </w:tcBorders>
            <w:shd w:val="clear" w:color="000000" w:fill="FF603B"/>
            <w:noWrap/>
            <w:vAlign w:val="center"/>
            <w:hideMark/>
          </w:tcPr>
          <w:p w14:paraId="42D129E4" w14:textId="77777777" w:rsidR="00F6504D" w:rsidRPr="00A07F4E" w:rsidRDefault="00F6504D" w:rsidP="00300DCA">
            <w:pPr>
              <w:spacing w:after="0" w:line="240" w:lineRule="auto"/>
              <w:jc w:val="center"/>
              <w:rPr>
                <w:rFonts w:eastAsia="Times New Roman" w:cs="Times New Roman"/>
                <w:sz w:val="18"/>
                <w:szCs w:val="18"/>
              </w:rPr>
            </w:pPr>
            <w:r w:rsidRPr="009F3A30">
              <w:rPr>
                <w:sz w:val="18"/>
              </w:rPr>
              <w:t>Nagyon jelentős</w:t>
            </w:r>
          </w:p>
        </w:tc>
      </w:tr>
    </w:tbl>
    <w:p w14:paraId="1506A8E7" w14:textId="77777777" w:rsidR="00F6504D" w:rsidRDefault="00F6504D" w:rsidP="000222BD">
      <w:pPr>
        <w:pStyle w:val="Listaszerbekezds"/>
        <w:numPr>
          <w:ilvl w:val="0"/>
          <w:numId w:val="0"/>
        </w:numPr>
        <w:ind w:left="1364"/>
      </w:pPr>
    </w:p>
    <w:p w14:paraId="4FCDD26B" w14:textId="05F9277E" w:rsidR="00BA6306" w:rsidRPr="009F3A30" w:rsidRDefault="004C0953" w:rsidP="00A07F4E">
      <w:pPr>
        <w:pStyle w:val="Listaszerbekezds"/>
        <w:numPr>
          <w:ilvl w:val="0"/>
          <w:numId w:val="209"/>
        </w:numPr>
      </w:pPr>
      <w:r w:rsidRPr="009F3A30">
        <w:t xml:space="preserve">a nem üzletszerű bizalmi </w:t>
      </w:r>
      <w:r w:rsidRPr="00B62549">
        <w:t xml:space="preserve">vagyonkezelők </w:t>
      </w:r>
      <w:r w:rsidRPr="000222BD">
        <w:t xml:space="preserve">esetében </w:t>
      </w:r>
      <w:r w:rsidRPr="00B62549">
        <w:t xml:space="preserve">Jelentősnek </w:t>
      </w:r>
      <w:r w:rsidR="00BA6306" w:rsidRPr="00B62549">
        <w:t>értékeli</w:t>
      </w:r>
      <w:r w:rsidR="00BA6306" w:rsidRPr="009F3A30">
        <w:t xml:space="preserve">. </w:t>
      </w:r>
    </w:p>
    <w:tbl>
      <w:tblPr>
        <w:tblW w:w="2740" w:type="dxa"/>
        <w:tblCellMar>
          <w:left w:w="70" w:type="dxa"/>
          <w:right w:w="70" w:type="dxa"/>
        </w:tblCellMar>
        <w:tblLook w:val="04A0" w:firstRow="1" w:lastRow="0" w:firstColumn="1" w:lastColumn="0" w:noHBand="0" w:noVBand="1"/>
      </w:tblPr>
      <w:tblGrid>
        <w:gridCol w:w="1780"/>
        <w:gridCol w:w="960"/>
      </w:tblGrid>
      <w:tr w:rsidR="00BF12FE" w:rsidRPr="00A07F4E" w14:paraId="297B9BE2" w14:textId="77777777" w:rsidTr="00A07F4E">
        <w:trPr>
          <w:trHeight w:val="300"/>
        </w:trPr>
        <w:tc>
          <w:tcPr>
            <w:tcW w:w="1780" w:type="dxa"/>
            <w:tcBorders>
              <w:top w:val="nil"/>
              <w:left w:val="nil"/>
              <w:bottom w:val="nil"/>
              <w:right w:val="nil"/>
            </w:tcBorders>
            <w:shd w:val="clear" w:color="auto" w:fill="auto"/>
            <w:noWrap/>
            <w:vAlign w:val="center"/>
            <w:hideMark/>
          </w:tcPr>
          <w:bookmarkEnd w:id="283"/>
          <w:p w14:paraId="260E2CA3" w14:textId="77777777" w:rsidR="00BF12FE" w:rsidRPr="009F3A30" w:rsidRDefault="00BF12FE" w:rsidP="00BF12FE">
            <w:pPr>
              <w:spacing w:after="0" w:line="240" w:lineRule="auto"/>
              <w:jc w:val="center"/>
              <w:rPr>
                <w:b/>
                <w:color w:val="000000"/>
                <w:sz w:val="18"/>
              </w:rPr>
            </w:pPr>
            <w:r w:rsidRPr="009F3A30">
              <w:rPr>
                <w:b/>
                <w:color w:val="000000"/>
                <w:sz w:val="18"/>
              </w:rPr>
              <w:t>Maradványkockázat</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8D333EC" w14:textId="77777777" w:rsidR="00BF12FE" w:rsidRPr="009F3A30" w:rsidRDefault="00BF12FE" w:rsidP="00BF12FE">
            <w:pPr>
              <w:spacing w:after="0" w:line="240" w:lineRule="auto"/>
              <w:jc w:val="center"/>
              <w:rPr>
                <w:color w:val="000000"/>
                <w:sz w:val="18"/>
              </w:rPr>
            </w:pPr>
            <w:r w:rsidRPr="009F3A30">
              <w:rPr>
                <w:color w:val="000000"/>
                <w:sz w:val="18"/>
              </w:rPr>
              <w:t>Jelentős</w:t>
            </w:r>
          </w:p>
        </w:tc>
      </w:tr>
    </w:tbl>
    <w:p w14:paraId="040C6D12" w14:textId="35CDA6E7" w:rsidR="00E07993" w:rsidRPr="009F3A30" w:rsidRDefault="00E07993" w:rsidP="00A24D72">
      <w:pPr>
        <w:spacing w:before="120"/>
        <w:rPr>
          <w:b/>
        </w:rPr>
      </w:pPr>
      <w:r w:rsidRPr="009F3A30">
        <w:rPr>
          <w:b/>
        </w:rPr>
        <w:t xml:space="preserve">A bizalmi vagyonkezelői szektor maradványkockázata </w:t>
      </w:r>
      <w:r w:rsidR="00AC4726">
        <w:rPr>
          <w:b/>
        </w:rPr>
        <w:t>az MNB</w:t>
      </w:r>
      <w:r w:rsidRPr="009F3A30">
        <w:rPr>
          <w:b/>
        </w:rPr>
        <w:t xml:space="preserve"> megítélése szerint:</w:t>
      </w:r>
    </w:p>
    <w:tbl>
      <w:tblPr>
        <w:tblW w:w="3580" w:type="dxa"/>
        <w:jc w:val="center"/>
        <w:tblCellMar>
          <w:left w:w="70" w:type="dxa"/>
          <w:right w:w="70" w:type="dxa"/>
        </w:tblCellMar>
        <w:tblLook w:val="04A0" w:firstRow="1" w:lastRow="0" w:firstColumn="1" w:lastColumn="0" w:noHBand="0" w:noVBand="1"/>
      </w:tblPr>
      <w:tblGrid>
        <w:gridCol w:w="1816"/>
        <w:gridCol w:w="1780"/>
      </w:tblGrid>
      <w:tr w:rsidR="00E07993" w:rsidRPr="00A07F4E" w14:paraId="2CB4045D" w14:textId="77777777" w:rsidTr="00A07F4E">
        <w:trPr>
          <w:trHeight w:val="300"/>
          <w:jc w:val="center"/>
        </w:trPr>
        <w:tc>
          <w:tcPr>
            <w:tcW w:w="1800" w:type="dxa"/>
            <w:tcBorders>
              <w:top w:val="nil"/>
              <w:left w:val="nil"/>
              <w:bottom w:val="nil"/>
              <w:right w:val="nil"/>
            </w:tcBorders>
            <w:shd w:val="clear" w:color="auto" w:fill="auto"/>
            <w:noWrap/>
            <w:vAlign w:val="center"/>
            <w:hideMark/>
          </w:tcPr>
          <w:p w14:paraId="6BC10A7A" w14:textId="77777777" w:rsidR="00E07993" w:rsidRPr="009F3A30" w:rsidRDefault="00E07993" w:rsidP="002078C6">
            <w:pPr>
              <w:spacing w:after="0" w:line="240" w:lineRule="auto"/>
              <w:jc w:val="center"/>
              <w:rPr>
                <w:b/>
                <w:color w:val="000000"/>
              </w:rPr>
            </w:pPr>
            <w:r w:rsidRPr="009F3A30">
              <w:rPr>
                <w:b/>
                <w:color w:val="000000"/>
              </w:rPr>
              <w:t>Maradványkockázat</w:t>
            </w:r>
          </w:p>
        </w:tc>
        <w:tc>
          <w:tcPr>
            <w:tcW w:w="1780" w:type="dxa"/>
            <w:tcBorders>
              <w:top w:val="single" w:sz="4" w:space="0" w:color="auto"/>
              <w:left w:val="single" w:sz="4" w:space="0" w:color="auto"/>
              <w:bottom w:val="single" w:sz="4" w:space="0" w:color="auto"/>
              <w:right w:val="single" w:sz="4" w:space="0" w:color="auto"/>
            </w:tcBorders>
            <w:shd w:val="clear" w:color="000000" w:fill="FF603B"/>
            <w:noWrap/>
            <w:vAlign w:val="center"/>
            <w:hideMark/>
          </w:tcPr>
          <w:p w14:paraId="67BBDA56" w14:textId="77777777" w:rsidR="00E07993" w:rsidRPr="00A07F4E" w:rsidRDefault="00E07993" w:rsidP="002078C6">
            <w:pPr>
              <w:spacing w:after="0" w:line="240" w:lineRule="auto"/>
              <w:jc w:val="center"/>
              <w:rPr>
                <w:rFonts w:eastAsia="Times New Roman" w:cs="Times New Roman"/>
              </w:rPr>
            </w:pPr>
            <w:r w:rsidRPr="009F3A30">
              <w:t>Nagyon jelentős</w:t>
            </w:r>
          </w:p>
        </w:tc>
      </w:tr>
    </w:tbl>
    <w:p w14:paraId="11182593" w14:textId="77777777" w:rsidR="00E07993" w:rsidRPr="00A07F4E" w:rsidRDefault="00E07993">
      <w:pPr>
        <w:rPr>
          <w:b/>
          <w:bCs/>
        </w:rPr>
      </w:pPr>
    </w:p>
    <w:p w14:paraId="66663E4F" w14:textId="74875447" w:rsidR="00F5259C" w:rsidRPr="00A07F4E" w:rsidRDefault="00F854FD" w:rsidP="006B6B99">
      <w:pPr>
        <w:pStyle w:val="Cmsor2"/>
      </w:pPr>
      <w:bookmarkStart w:id="292" w:name="_Toc109906077"/>
      <w:r w:rsidRPr="00A07F4E">
        <w:t>Pénztárak</w:t>
      </w:r>
      <w:r w:rsidR="00BF36B4">
        <w:rPr>
          <w:rStyle w:val="Lbjegyzet-hivatkozs"/>
        </w:rPr>
        <w:footnoteReference w:id="30"/>
      </w:r>
      <w:bookmarkEnd w:id="292"/>
    </w:p>
    <w:p w14:paraId="7B714898" w14:textId="77777777" w:rsidR="00F854FD" w:rsidRPr="00A07F4E" w:rsidRDefault="00F854FD" w:rsidP="00A07F4E">
      <w:pPr>
        <w:pStyle w:val="Cmsor3"/>
        <w:numPr>
          <w:ilvl w:val="0"/>
          <w:numId w:val="160"/>
        </w:numPr>
      </w:pPr>
      <w:bookmarkStart w:id="293" w:name="_Toc109906078"/>
      <w:r w:rsidRPr="00A07F4E">
        <w:t>A szektor méretére, tevékenységi körére és összetettségére vonatkozó információk összesített formában</w:t>
      </w:r>
      <w:bookmarkEnd w:id="293"/>
    </w:p>
    <w:p w14:paraId="43FADEA3" w14:textId="18BC93D0" w:rsidR="00D44E65" w:rsidRPr="00A07F4E" w:rsidRDefault="00B64C53" w:rsidP="00B64C53">
      <w:r w:rsidRPr="009F3A30">
        <w:t>A</w:t>
      </w:r>
      <w:r w:rsidR="00BF36B4">
        <w:t>z MNB</w:t>
      </w:r>
      <w:r w:rsidRPr="009F3A30">
        <w:t xml:space="preserve"> Magyarországon </w:t>
      </w:r>
      <w:proofErr w:type="spellStart"/>
      <w:r w:rsidRPr="009F3A30">
        <w:t>AML</w:t>
      </w:r>
      <w:proofErr w:type="spellEnd"/>
      <w:r w:rsidRPr="009F3A30">
        <w:t>/</w:t>
      </w:r>
      <w:proofErr w:type="spellStart"/>
      <w:r w:rsidRPr="009F3A30">
        <w:t>CFT</w:t>
      </w:r>
      <w:proofErr w:type="spellEnd"/>
      <w:r w:rsidRPr="009F3A30">
        <w:t xml:space="preserve"> felügyeletet összesen </w:t>
      </w:r>
      <w:r w:rsidRPr="00FC37B3">
        <w:t>50</w:t>
      </w:r>
      <w:r w:rsidR="004C2C36" w:rsidRPr="00FC37B3">
        <w:t xml:space="preserve"> </w:t>
      </w:r>
      <w:r w:rsidRPr="00FC37B3">
        <w:t xml:space="preserve">és </w:t>
      </w:r>
      <w:r w:rsidR="008817A0" w:rsidRPr="00FC37B3">
        <w:t>6</w:t>
      </w:r>
      <w:r w:rsidRPr="00FC37B3">
        <w:t>0 közötti</w:t>
      </w:r>
      <w:r w:rsidRPr="00646EB8">
        <w:t xml:space="preserve"> </w:t>
      </w:r>
      <w:r w:rsidRPr="009F3A30">
        <w:t xml:space="preserve">pénztár felett gyakorol. A pénztári szektorhoz tartozik az </w:t>
      </w:r>
      <w:r w:rsidRPr="0084068A">
        <w:t>egészség- és önsegélyező pénztár, az önkéntes nyugdíjpénztár</w:t>
      </w:r>
      <w:r w:rsidR="004C2C36" w:rsidRPr="009F3A30">
        <w:t>, illetve</w:t>
      </w:r>
      <w:r w:rsidRPr="009F3A30">
        <w:t xml:space="preserve"> az önkéntes pénztár</w:t>
      </w:r>
      <w:r w:rsidR="0042681B">
        <w:t>.</w:t>
      </w:r>
      <w:r w:rsidRPr="00A07F4E">
        <w:t xml:space="preserve"> </w:t>
      </w:r>
    </w:p>
    <w:p w14:paraId="0A3BF0F4" w14:textId="77777777" w:rsidR="00F854FD" w:rsidRPr="00A07F4E" w:rsidRDefault="00F854FD" w:rsidP="00A07F4E">
      <w:pPr>
        <w:pStyle w:val="Cmsor3"/>
        <w:numPr>
          <w:ilvl w:val="0"/>
          <w:numId w:val="160"/>
        </w:numPr>
      </w:pPr>
      <w:bookmarkStart w:id="294" w:name="_Toc109906079"/>
      <w:r w:rsidRPr="00A07F4E">
        <w:t>Inherens kockázatértékelés</w:t>
      </w:r>
      <w:bookmarkEnd w:id="294"/>
    </w:p>
    <w:p w14:paraId="38977D09" w14:textId="77777777" w:rsidR="00F854FD" w:rsidRPr="00A07F4E" w:rsidRDefault="00F854FD" w:rsidP="00A07F4E">
      <w:pPr>
        <w:pStyle w:val="Listaszerbekezds"/>
        <w:numPr>
          <w:ilvl w:val="1"/>
          <w:numId w:val="26"/>
        </w:numPr>
        <w:ind w:left="851" w:hanging="284"/>
      </w:pPr>
      <w:r w:rsidRPr="00A07F4E">
        <w:t>A pénztári szektorban rejlő ML/</w:t>
      </w:r>
      <w:proofErr w:type="spellStart"/>
      <w:r w:rsidRPr="00A07F4E">
        <w:t>TF</w:t>
      </w:r>
      <w:proofErr w:type="spellEnd"/>
      <w:r w:rsidRPr="00A07F4E">
        <w:t xml:space="preserve"> kockázati tényezők</w:t>
      </w:r>
    </w:p>
    <w:p w14:paraId="57B36B2C" w14:textId="40D935FE" w:rsidR="0042681B" w:rsidRDefault="00DB1DFC" w:rsidP="0042681B">
      <w:r w:rsidRPr="0023718A">
        <w:t>A</w:t>
      </w:r>
      <w:r w:rsidR="0042681B" w:rsidRPr="0023718A">
        <w:t>z</w:t>
      </w:r>
      <w:r w:rsidRPr="0023718A">
        <w:t xml:space="preserve"> </w:t>
      </w:r>
      <w:r w:rsidR="0042681B" w:rsidRPr="006B6B99">
        <w:t>MNB</w:t>
      </w:r>
      <w:r w:rsidRPr="0023718A">
        <w:t xml:space="preserve"> az értékesítési csatornákban megjelenő kockázatot Mérsékelten jelentősnek, a földrajzi kitettségben, az ügyfelekben, termékekben/szolgáltatásokban rejlő kockázatokat pedig Kevésbé jelentősnek</w:t>
      </w:r>
      <w:r w:rsidR="0023718A" w:rsidRPr="006B6B99">
        <w:t xml:space="preserve"> </w:t>
      </w:r>
      <w:r w:rsidRPr="0023718A">
        <w:t>értékelte.</w:t>
      </w:r>
      <w:r w:rsidR="0042681B" w:rsidRPr="00A07F4E">
        <w:t xml:space="preserve"> </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42681B" w:rsidRPr="003168BA" w14:paraId="1312392E" w14:textId="77777777" w:rsidTr="00300DCA">
        <w:trPr>
          <w:trHeight w:val="314"/>
        </w:trPr>
        <w:tc>
          <w:tcPr>
            <w:tcW w:w="3061" w:type="dxa"/>
          </w:tcPr>
          <w:p w14:paraId="19236701" w14:textId="77777777" w:rsidR="0042681B" w:rsidRPr="00554E41" w:rsidRDefault="0042681B"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7E335A0A" w14:textId="77777777" w:rsidR="0042681B" w:rsidRPr="00554E41" w:rsidRDefault="0042681B"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42681B" w:rsidRPr="003168BA" w14:paraId="3956828B" w14:textId="77777777" w:rsidTr="006B6B99">
        <w:tc>
          <w:tcPr>
            <w:tcW w:w="3061" w:type="dxa"/>
            <w:shd w:val="clear" w:color="auto" w:fill="auto"/>
          </w:tcPr>
          <w:p w14:paraId="3D2863D1" w14:textId="77777777" w:rsidR="0042681B" w:rsidRPr="00554E41" w:rsidRDefault="0042681B"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518A150D" w14:textId="1F4D3988" w:rsidR="0042681B" w:rsidRPr="00E11D42" w:rsidRDefault="0042681B" w:rsidP="00300DCA">
            <w:pPr>
              <w:spacing w:after="0" w:line="240" w:lineRule="auto"/>
              <w:contextualSpacing w:val="0"/>
              <w:jc w:val="center"/>
              <w:rPr>
                <w:rFonts w:eastAsia="Times New Roman" w:cs="Calibri"/>
                <w:color w:val="000000"/>
                <w:sz w:val="18"/>
                <w:szCs w:val="18"/>
              </w:rPr>
            </w:pPr>
            <w:r w:rsidRPr="00E11D42">
              <w:rPr>
                <w:rFonts w:eastAsia="Times New Roman" w:cs="Calibri"/>
                <w:color w:val="000000"/>
                <w:sz w:val="18"/>
                <w:szCs w:val="18"/>
              </w:rPr>
              <w:t>Kevésbé jelentős</w:t>
            </w:r>
          </w:p>
        </w:tc>
      </w:tr>
      <w:tr w:rsidR="0042681B" w14:paraId="239D9830" w14:textId="77777777" w:rsidTr="006B6B99">
        <w:tc>
          <w:tcPr>
            <w:tcW w:w="3061" w:type="dxa"/>
            <w:shd w:val="clear" w:color="auto" w:fill="auto"/>
          </w:tcPr>
          <w:p w14:paraId="46DADAC6" w14:textId="77777777" w:rsidR="0042681B" w:rsidRPr="00554E41" w:rsidRDefault="0042681B"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5507B452" w14:textId="3C56B023" w:rsidR="0042681B" w:rsidRPr="00E11D42" w:rsidRDefault="0042681B" w:rsidP="00300DCA">
            <w:pPr>
              <w:spacing w:after="0" w:line="240" w:lineRule="auto"/>
              <w:contextualSpacing w:val="0"/>
              <w:jc w:val="center"/>
              <w:rPr>
                <w:rFonts w:eastAsia="Times New Roman" w:cs="Calibri"/>
                <w:color w:val="000000"/>
                <w:sz w:val="18"/>
                <w:szCs w:val="18"/>
              </w:rPr>
            </w:pPr>
            <w:r w:rsidRPr="00E11D42">
              <w:rPr>
                <w:rFonts w:eastAsia="Times New Roman" w:cs="Calibri"/>
                <w:color w:val="000000"/>
                <w:sz w:val="18"/>
                <w:szCs w:val="18"/>
              </w:rPr>
              <w:t>Kevésbé jelentős</w:t>
            </w:r>
          </w:p>
        </w:tc>
      </w:tr>
      <w:tr w:rsidR="0042681B" w14:paraId="48CAE6B5" w14:textId="77777777" w:rsidTr="006B6B99">
        <w:trPr>
          <w:trHeight w:val="50"/>
        </w:trPr>
        <w:tc>
          <w:tcPr>
            <w:tcW w:w="3061" w:type="dxa"/>
            <w:shd w:val="clear" w:color="auto" w:fill="auto"/>
          </w:tcPr>
          <w:p w14:paraId="6FE44094" w14:textId="77777777" w:rsidR="0042681B" w:rsidRPr="006B6B99" w:rsidRDefault="0042681B" w:rsidP="00300DCA">
            <w:pPr>
              <w:spacing w:after="0" w:line="240" w:lineRule="auto"/>
              <w:contextualSpacing w:val="0"/>
              <w:jc w:val="center"/>
              <w:rPr>
                <w:rFonts w:eastAsia="Times New Roman" w:cs="Times New Roman"/>
                <w:color w:val="000000"/>
                <w:sz w:val="18"/>
                <w:szCs w:val="18"/>
                <w:highlight w:val="cyan"/>
              </w:rPr>
            </w:pPr>
            <w:r w:rsidRPr="0023718A">
              <w:rPr>
                <w:rFonts w:eastAsia="Times New Roman" w:cs="Times New Roman"/>
                <w:color w:val="000000"/>
                <w:sz w:val="18"/>
                <w:szCs w:val="18"/>
              </w:rPr>
              <w:t>Földrajzi</w:t>
            </w:r>
          </w:p>
        </w:tc>
        <w:tc>
          <w:tcPr>
            <w:tcW w:w="3035" w:type="dxa"/>
            <w:shd w:val="clear" w:color="auto" w:fill="92D050"/>
          </w:tcPr>
          <w:p w14:paraId="228E511F" w14:textId="399D1C2D" w:rsidR="0042681B" w:rsidRPr="006B6B99" w:rsidRDefault="0042681B" w:rsidP="00300DCA">
            <w:pPr>
              <w:spacing w:after="0" w:line="240" w:lineRule="auto"/>
              <w:contextualSpacing w:val="0"/>
              <w:jc w:val="center"/>
              <w:rPr>
                <w:rFonts w:eastAsia="Times New Roman" w:cs="Calibri"/>
                <w:color w:val="000000"/>
                <w:sz w:val="18"/>
                <w:szCs w:val="18"/>
                <w:highlight w:val="cyan"/>
              </w:rPr>
            </w:pPr>
            <w:r w:rsidRPr="0023718A">
              <w:rPr>
                <w:rFonts w:eastAsia="Times New Roman" w:cs="Calibri"/>
                <w:color w:val="000000"/>
                <w:sz w:val="18"/>
                <w:szCs w:val="18"/>
              </w:rPr>
              <w:t>Kevésbé jelentős</w:t>
            </w:r>
          </w:p>
        </w:tc>
      </w:tr>
      <w:tr w:rsidR="0042681B" w14:paraId="2E8F9983" w14:textId="77777777" w:rsidTr="006B6B99">
        <w:tc>
          <w:tcPr>
            <w:tcW w:w="3061" w:type="dxa"/>
            <w:shd w:val="clear" w:color="auto" w:fill="auto"/>
          </w:tcPr>
          <w:p w14:paraId="2B017C6E" w14:textId="77777777" w:rsidR="0042681B" w:rsidRPr="00554E41" w:rsidRDefault="0042681B"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730F5728" w14:textId="0DC390A4" w:rsidR="0042681B" w:rsidRPr="00554E41" w:rsidRDefault="0042681B"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401C8F2D" w14:textId="0C5FD5AB" w:rsidR="00680E43" w:rsidRDefault="00680E43" w:rsidP="00FC37B3">
      <w:pPr>
        <w:spacing w:before="120"/>
      </w:pPr>
      <w:r w:rsidRPr="00680E43">
        <w:lastRenderedPageBreak/>
        <w:t xml:space="preserve">A pénztári termékek nem teszik lehetővé a névtelen tranzakciókat, kockázat a kifizetéskor jelentkezik. </w:t>
      </w:r>
      <w:r w:rsidRPr="009F3A30">
        <w:t xml:space="preserve">Készpénz ügyletek nem jellemzőek és a szektor csak más szektorok közreműködésével tud jelentős összegű ügyleteket lebonyolítani, amelyet kockázatcsökkentő tényezőként </w:t>
      </w:r>
      <w:r w:rsidRPr="00BC33D3">
        <w:t xml:space="preserve">értékelt </w:t>
      </w:r>
      <w:r w:rsidRPr="007C10F9">
        <w:t>az MNB</w:t>
      </w:r>
      <w:r>
        <w:t>.</w:t>
      </w:r>
    </w:p>
    <w:p w14:paraId="3B364A1A" w14:textId="10DAF5A8" w:rsidR="00D34982" w:rsidRPr="00A07F4E" w:rsidRDefault="00BC33D3" w:rsidP="00D34982">
      <w:r>
        <w:t>A szektorban k</w:t>
      </w:r>
      <w:r w:rsidR="00DB1DFC" w:rsidRPr="009F3A30">
        <w:t xml:space="preserve">ockázatként került azonosításra </w:t>
      </w:r>
      <w:r>
        <w:t xml:space="preserve">a kockázatérzékenységi megközelítést </w:t>
      </w:r>
      <w:r w:rsidR="006A3449">
        <w:t>megvalósító</w:t>
      </w:r>
      <w:r>
        <w:t xml:space="preserve"> eljárások hiánya. </w:t>
      </w:r>
      <w:r w:rsidR="00DB1DFC" w:rsidRPr="009F3A30">
        <w:t xml:space="preserve"> Jelen szektorra is általánosságban elmondható, hogy a szektorhoz tartozó </w:t>
      </w:r>
      <w:r w:rsidR="008C1A55">
        <w:t>szolgáltatók</w:t>
      </w:r>
      <w:r w:rsidR="00DB1DFC" w:rsidRPr="009F3A30">
        <w:t xml:space="preserve"> fejlesztendő </w:t>
      </w:r>
      <w:proofErr w:type="spellStart"/>
      <w:r w:rsidR="00DB1DFC" w:rsidRPr="00572DC7">
        <w:t>AML</w:t>
      </w:r>
      <w:proofErr w:type="spellEnd"/>
      <w:r w:rsidR="00DB1DFC" w:rsidRPr="009F3A30">
        <w:t xml:space="preserve"> tranzakció </w:t>
      </w:r>
      <w:proofErr w:type="spellStart"/>
      <w:r w:rsidR="00DB1DFC" w:rsidRPr="009F3A30">
        <w:t>monitoringgal</w:t>
      </w:r>
      <w:proofErr w:type="spellEnd"/>
      <w:r w:rsidR="00DB1DFC" w:rsidRPr="009F3A30">
        <w:t xml:space="preserve"> és gyanús ügyletek bejelentésére vonatkozó politikákkal és eljárásokkal rendelkeznek.  </w:t>
      </w:r>
      <w:r w:rsidR="008C1A55">
        <w:t>A szolgáltatók</w:t>
      </w:r>
      <w:r w:rsidR="00DB1DFC" w:rsidRPr="009F3A30">
        <w:t xml:space="preserve"> a felügyleti adatszolgáltatások teljesítése során több esetben nem megfelelő adatokat bocsátanak rendelkezésre. </w:t>
      </w:r>
    </w:p>
    <w:p w14:paraId="2CC596A5" w14:textId="77777777" w:rsidR="00D34982" w:rsidRPr="00A07F4E" w:rsidRDefault="00F854FD" w:rsidP="00A07F4E">
      <w:pPr>
        <w:pStyle w:val="Listaszerbekezds"/>
        <w:numPr>
          <w:ilvl w:val="1"/>
          <w:numId w:val="26"/>
        </w:numPr>
        <w:ind w:left="851" w:hanging="284"/>
      </w:pPr>
      <w:r w:rsidRPr="00A07F4E">
        <w:t>A pénztári szektorban rejlő, határokon átnyúló ML/</w:t>
      </w:r>
      <w:proofErr w:type="spellStart"/>
      <w:r w:rsidRPr="00A07F4E">
        <w:t>TF</w:t>
      </w:r>
      <w:proofErr w:type="spellEnd"/>
      <w:r w:rsidRPr="00A07F4E">
        <w:t xml:space="preserve"> kockázatok</w:t>
      </w:r>
    </w:p>
    <w:p w14:paraId="3331118F" w14:textId="4F74C5E9" w:rsidR="00D34982" w:rsidRDefault="00D34982" w:rsidP="00A07F4E">
      <w:r w:rsidRPr="009F3A30">
        <w:t xml:space="preserve">A szektorra nem jellemző a külföldi érintettség, tipikusan magyar ügyfelekkel rendelkeznek a szektorhoz tartozó </w:t>
      </w:r>
      <w:r w:rsidR="008C1A55">
        <w:t>szolgáltatók</w:t>
      </w:r>
      <w:r w:rsidRPr="009F3A30">
        <w:t xml:space="preserve">. </w:t>
      </w:r>
      <w:r w:rsidR="00BC33D3">
        <w:t>Továbbá n</w:t>
      </w:r>
      <w:r w:rsidR="00BC33D3" w:rsidRPr="00BC33D3">
        <w:t>incsenek határon átnyúló tranzakciók.</w:t>
      </w:r>
    </w:p>
    <w:p w14:paraId="7C7B57B6" w14:textId="473E2F42" w:rsidR="00D34982" w:rsidRPr="00A07F4E" w:rsidRDefault="00D34982" w:rsidP="00A07F4E">
      <w:pPr>
        <w:rPr>
          <w:b/>
          <w:bCs/>
        </w:rPr>
      </w:pPr>
      <w:r w:rsidRPr="006B6B99">
        <w:rPr>
          <w:b/>
        </w:rPr>
        <w:t>A</w:t>
      </w:r>
      <w:r w:rsidR="00BC33D3" w:rsidRPr="006B6B99">
        <w:rPr>
          <w:b/>
        </w:rPr>
        <w:t>z MNB</w:t>
      </w:r>
      <w:r w:rsidR="00C01EE4">
        <w:rPr>
          <w:b/>
        </w:rPr>
        <w:t xml:space="preserve"> </w:t>
      </w:r>
      <w:r w:rsidRPr="009F3A30">
        <w:rPr>
          <w:b/>
        </w:rPr>
        <w:t>értékelése alapján</w:t>
      </w:r>
      <w:r w:rsidR="005132F6" w:rsidRPr="009F3A30">
        <w:rPr>
          <w:b/>
        </w:rPr>
        <w:t>, figyelembe véve a fent részletezetteket</w:t>
      </w:r>
      <w:r w:rsidRPr="009F3A30">
        <w:rPr>
          <w:b/>
        </w:rPr>
        <w:t xml:space="preserve"> a pénztári szektor 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D34982" w:rsidRPr="00A07F4E" w14:paraId="72AE849C" w14:textId="77777777" w:rsidTr="002078C6">
        <w:trPr>
          <w:trHeight w:val="300"/>
          <w:jc w:val="center"/>
        </w:trPr>
        <w:tc>
          <w:tcPr>
            <w:tcW w:w="1780" w:type="dxa"/>
            <w:tcBorders>
              <w:top w:val="nil"/>
              <w:left w:val="nil"/>
              <w:bottom w:val="nil"/>
              <w:right w:val="nil"/>
            </w:tcBorders>
            <w:shd w:val="clear" w:color="auto" w:fill="auto"/>
            <w:noWrap/>
            <w:vAlign w:val="center"/>
            <w:hideMark/>
          </w:tcPr>
          <w:p w14:paraId="22E0ED3C" w14:textId="77777777" w:rsidR="00D34982" w:rsidRPr="00A07F4E" w:rsidRDefault="00D34982" w:rsidP="002078C6">
            <w:pPr>
              <w:spacing w:after="0" w:line="240" w:lineRule="auto"/>
              <w:jc w:val="center"/>
              <w:rPr>
                <w:rFonts w:eastAsia="Times New Roman" w:cs="Calibri"/>
                <w:b/>
                <w:bCs/>
                <w:color w:val="000000"/>
              </w:rPr>
            </w:pPr>
            <w:r w:rsidRPr="00A07F4E">
              <w:rPr>
                <w:rFonts w:eastAsia="Times New Roman" w:cs="Calibri"/>
                <w:b/>
                <w:bCs/>
                <w:color w:val="000000"/>
              </w:rPr>
              <w:t>Inherens kockázat:</w:t>
            </w:r>
            <w:r w:rsidRPr="00A07F4E">
              <w:rPr>
                <w:rFonts w:eastAsia="Times New Roman" w:cs="Calibri"/>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F9E40D" w14:textId="77777777" w:rsidR="00D34982" w:rsidRPr="00A07F4E" w:rsidRDefault="00D34982" w:rsidP="002078C6">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r>
    </w:tbl>
    <w:p w14:paraId="2C225639" w14:textId="77777777" w:rsidR="00D34982" w:rsidRPr="00A07F4E" w:rsidRDefault="00D34982" w:rsidP="00A07F4E"/>
    <w:p w14:paraId="3C52A4CB" w14:textId="77777777" w:rsidR="00F854FD" w:rsidRPr="00A07F4E" w:rsidRDefault="00F854FD" w:rsidP="00A07F4E">
      <w:pPr>
        <w:pStyle w:val="Cmsor3"/>
        <w:numPr>
          <w:ilvl w:val="0"/>
          <w:numId w:val="160"/>
        </w:numPr>
      </w:pPr>
      <w:bookmarkStart w:id="295" w:name="_Toc109906080"/>
      <w:r w:rsidRPr="00A07F4E">
        <w:t>Az ellenőrzések minősége</w:t>
      </w:r>
      <w:r w:rsidR="006E6CC3" w:rsidRPr="00A07F4E">
        <w:t>, felügyeleti tevékenység, azonosított jogsértések</w:t>
      </w:r>
      <w:bookmarkEnd w:id="295"/>
    </w:p>
    <w:p w14:paraId="4988E2A7" w14:textId="4AE305D8" w:rsidR="006E6CC3" w:rsidRPr="009F3A30" w:rsidRDefault="006E6CC3" w:rsidP="006E6CC3">
      <w:r w:rsidRPr="009F3A30">
        <w:t>A</w:t>
      </w:r>
      <w:r w:rsidR="00BC33D3">
        <w:t>z MNB a</w:t>
      </w:r>
      <w:r w:rsidRPr="009F3A30">
        <w:t xml:space="preserve"> </w:t>
      </w:r>
      <w:r w:rsidR="007102CC" w:rsidRPr="009F3A30">
        <w:t>pénztárak</w:t>
      </w:r>
      <w:r w:rsidRPr="009F3A30">
        <w:t xml:space="preserve"> ellenőrzéseinek megfelelőségét és minőségét </w:t>
      </w:r>
      <w:r w:rsidR="007102CC" w:rsidRPr="009F3A30">
        <w:t xml:space="preserve">tekintve </w:t>
      </w:r>
      <w:r w:rsidR="008C1A55">
        <w:t>a szolgáltatók</w:t>
      </w:r>
      <w:r w:rsidRPr="009F3A30">
        <w:t xml:space="preserve"> egészére kiterjedő, az egyes üzleti kapcsolatokra alkalmazott kockázatértékelést </w:t>
      </w:r>
      <w:r w:rsidR="007102CC" w:rsidRPr="009F3A30">
        <w:t>minősíti</w:t>
      </w:r>
      <w:r w:rsidRPr="009F3A30">
        <w:t xml:space="preserve"> gyengének</w:t>
      </w:r>
      <w:r w:rsidRPr="006B6B99">
        <w:t>.</w:t>
      </w:r>
      <w:r w:rsidR="007102CC" w:rsidRPr="006B6B99">
        <w:t xml:space="preserve"> </w:t>
      </w:r>
      <w:r w:rsidRPr="006B6B99">
        <w:t>A</w:t>
      </w:r>
      <w:r w:rsidR="00BC33D3">
        <w:t xml:space="preserve">z MNB </w:t>
      </w:r>
      <w:r w:rsidR="008C1A55">
        <w:t>a szolgáltatók</w:t>
      </w:r>
      <w:r w:rsidRPr="009F3A30">
        <w:t xml:space="preserve"> felügyelete során </w:t>
      </w:r>
      <w:r w:rsidR="007102CC" w:rsidRPr="009F3A30">
        <w:t xml:space="preserve">kockázatot </w:t>
      </w:r>
      <w:r w:rsidRPr="009F3A30">
        <w:t>az ügyfelek kockázatértékelésével, a gyanús tranzakciók jelentésével, valamint az oktatással és a tudatossággal kapcsolatban azonosított.</w:t>
      </w:r>
    </w:p>
    <w:p w14:paraId="236BF185" w14:textId="7CAEA361" w:rsidR="00455C72" w:rsidRPr="009F3A30" w:rsidRDefault="006E6CC3" w:rsidP="006E6CC3">
      <w:r w:rsidRPr="009F3A30">
        <w:t>A pénztárak tevékenységét</w:t>
      </w:r>
      <w:r w:rsidRPr="00BC33D3">
        <w:t xml:space="preserve"> </w:t>
      </w:r>
      <w:r w:rsidR="00BC33D3">
        <w:t>az MNB</w:t>
      </w:r>
      <w:r w:rsidRPr="009F3A30">
        <w:t xml:space="preserve"> jellemzően </w:t>
      </w:r>
      <w:r w:rsidRPr="006B6B99">
        <w:t>folyamatos</w:t>
      </w:r>
      <w:r w:rsidRPr="009F3A30">
        <w:t xml:space="preserve"> felügyelés keretében, illetve </w:t>
      </w:r>
      <w:proofErr w:type="spellStart"/>
      <w:r w:rsidRPr="009F3A30">
        <w:t>off</w:t>
      </w:r>
      <w:proofErr w:type="spellEnd"/>
      <w:r w:rsidRPr="009F3A30">
        <w:t xml:space="preserve">-site </w:t>
      </w:r>
      <w:r w:rsidR="003315BE" w:rsidRPr="009F3A30">
        <w:t xml:space="preserve">jellegű </w:t>
      </w:r>
      <w:r w:rsidR="00C717F9" w:rsidRPr="009F3A30">
        <w:t xml:space="preserve">jelzések esetén </w:t>
      </w:r>
      <w:r w:rsidR="003315BE" w:rsidRPr="009F3A30">
        <w:t>ellenőrzi</w:t>
      </w:r>
      <w:r w:rsidRPr="009F3A30">
        <w:t xml:space="preserve">. </w:t>
      </w:r>
      <w:r w:rsidR="00CF79A2">
        <w:t>A</w:t>
      </w:r>
      <w:r w:rsidR="008A455D">
        <w:t>z</w:t>
      </w:r>
      <w:r w:rsidR="00CF79A2">
        <w:t xml:space="preserve"> MNB</w:t>
      </w:r>
      <w:r w:rsidR="00C717F9" w:rsidRPr="009F3A30">
        <w:t xml:space="preserve"> </w:t>
      </w:r>
      <w:r w:rsidRPr="009F3A30">
        <w:t>a pénztára</w:t>
      </w:r>
      <w:r w:rsidR="00F85DC2" w:rsidRPr="009F3A30">
        <w:t>kat az általuk</w:t>
      </w:r>
      <w:r w:rsidRPr="009F3A30">
        <w:t xml:space="preserve"> szolgáltatott éves és negyedéves adatok, pénztárak ügyfeleitől, illetve társhatóságoktól érkező panaszok és sajtófigyelés </w:t>
      </w:r>
      <w:r w:rsidR="00F85DC2" w:rsidRPr="009F3A30">
        <w:t>során szerzett információk alapján</w:t>
      </w:r>
      <w:r w:rsidR="00C717F9" w:rsidRPr="009F3A30">
        <w:t xml:space="preserve"> felügyeli, felmerülő kockázati jelzés alapján ellenőrzi</w:t>
      </w:r>
      <w:r w:rsidRPr="009F3A30">
        <w:t xml:space="preserve">. </w:t>
      </w:r>
      <w:r w:rsidR="00455C72" w:rsidRPr="006B6B99">
        <w:t>A</w:t>
      </w:r>
      <w:r w:rsidR="00CF79A2">
        <w:t>z MNB</w:t>
      </w:r>
      <w:r w:rsidR="00455C72" w:rsidRPr="009F3A30">
        <w:t xml:space="preserve">-nek a szektort tekintve – a kockázatalapú megközelítésre, illetve a Kevésbé jelentős inherens kockázatra figyelemmel – csekély a rendelkezésre álló felügyeleti tapasztalata.  </w:t>
      </w:r>
    </w:p>
    <w:p w14:paraId="7F1D2E6A" w14:textId="77777777" w:rsidR="006E6CC3" w:rsidRPr="00A07F4E" w:rsidRDefault="006E6CC3" w:rsidP="006E6CC3">
      <w:r w:rsidRPr="009F3A30">
        <w:t xml:space="preserve">Megjegyzendő, hogy a pénztárak </w:t>
      </w:r>
      <w:r w:rsidR="00BA1504" w:rsidRPr="009F3A30">
        <w:t>gyanús tranzakciókhoz kapcsolódó bejelentéseik száma a többi szektoréhoz viszonyítva alacsonyabb, azonban ez a Kevésbé jelentős inherens kockázati besorolásra tekintettel nem nevezhető szokatlannak, így kockázatot növelő tényezőnek.</w:t>
      </w:r>
      <w:r w:rsidR="00BA1504" w:rsidRPr="00A07F4E">
        <w:t xml:space="preserve"> </w:t>
      </w:r>
    </w:p>
    <w:p w14:paraId="1D8A9411" w14:textId="77777777" w:rsidR="00F854FD" w:rsidRPr="00A07F4E" w:rsidRDefault="00F854FD" w:rsidP="00A07F4E">
      <w:pPr>
        <w:pStyle w:val="Cmsor3"/>
        <w:numPr>
          <w:ilvl w:val="0"/>
          <w:numId w:val="160"/>
        </w:numPr>
      </w:pPr>
      <w:bookmarkStart w:id="296" w:name="_Toc109906081"/>
      <w:r w:rsidRPr="00A07F4E">
        <w:t>Maradványkockázat</w:t>
      </w:r>
      <w:bookmarkEnd w:id="296"/>
    </w:p>
    <w:p w14:paraId="685F17E1" w14:textId="7C790EE5" w:rsidR="00056124" w:rsidRPr="00A07F4E" w:rsidRDefault="002C00B3" w:rsidP="00056124">
      <w:r w:rsidRPr="009F3A30">
        <w:t>Ez idáig a</w:t>
      </w:r>
      <w:r w:rsidR="00C06433">
        <w:t>z MNB</w:t>
      </w:r>
      <w:r w:rsidRPr="009F3A30">
        <w:t xml:space="preserve">-nek olyan kockázatot </w:t>
      </w:r>
      <w:r w:rsidR="00E80E5C" w:rsidRPr="009F3A30">
        <w:t>növelő</w:t>
      </w:r>
      <w:r w:rsidRPr="009F3A30">
        <w:t xml:space="preserve"> tényező nem jutott a tudomására, amely hatással lenne az inherens kockázati tényezőre, annak eltérítését indokolná. </w:t>
      </w:r>
      <w:r w:rsidR="00F854FD" w:rsidRPr="009F3A30">
        <w:t>A</w:t>
      </w:r>
      <w:r w:rsidR="00C06433">
        <w:t>z MNB</w:t>
      </w:r>
      <w:r w:rsidR="008A455D">
        <w:t xml:space="preserve"> </w:t>
      </w:r>
      <w:r w:rsidR="00056124" w:rsidRPr="009F3A30">
        <w:t>mérlegelve a szektornál részletezetteket a maradványkockázatot Kevésbé jelentősnek értékeli, amely az inherens kockázati besorolással megegyezik.</w:t>
      </w:r>
      <w:r w:rsidR="00056124" w:rsidRPr="00A07F4E">
        <w:t xml:space="preserve">  </w:t>
      </w:r>
    </w:p>
    <w:tbl>
      <w:tblPr>
        <w:tblW w:w="3180" w:type="dxa"/>
        <w:jc w:val="center"/>
        <w:tblCellMar>
          <w:left w:w="70" w:type="dxa"/>
          <w:right w:w="70" w:type="dxa"/>
        </w:tblCellMar>
        <w:tblLook w:val="04A0" w:firstRow="1" w:lastRow="0" w:firstColumn="1" w:lastColumn="0" w:noHBand="0" w:noVBand="1"/>
      </w:tblPr>
      <w:tblGrid>
        <w:gridCol w:w="1698"/>
        <w:gridCol w:w="1520"/>
      </w:tblGrid>
      <w:tr w:rsidR="00F20D10" w:rsidRPr="00A07F4E" w14:paraId="6C045C9B" w14:textId="77777777" w:rsidTr="00F20D10">
        <w:trPr>
          <w:trHeight w:val="300"/>
          <w:jc w:val="center"/>
        </w:trPr>
        <w:tc>
          <w:tcPr>
            <w:tcW w:w="1660" w:type="dxa"/>
            <w:tcBorders>
              <w:top w:val="nil"/>
              <w:left w:val="nil"/>
              <w:bottom w:val="nil"/>
              <w:right w:val="nil"/>
            </w:tcBorders>
            <w:shd w:val="clear" w:color="auto" w:fill="auto"/>
            <w:noWrap/>
            <w:vAlign w:val="center"/>
            <w:hideMark/>
          </w:tcPr>
          <w:p w14:paraId="23240C6D" w14:textId="77777777" w:rsidR="00F20D10" w:rsidRPr="00A07F4E" w:rsidRDefault="00F20D10" w:rsidP="00F20D10">
            <w:pPr>
              <w:spacing w:after="0" w:line="240" w:lineRule="auto"/>
              <w:jc w:val="center"/>
              <w:rPr>
                <w:rFonts w:eastAsia="Times New Roman" w:cs="Calibri"/>
                <w:b/>
                <w:bCs/>
                <w:color w:val="000000"/>
                <w:sz w:val="18"/>
                <w:szCs w:val="18"/>
              </w:rPr>
            </w:pPr>
            <w:r w:rsidRPr="00A07F4E">
              <w:rPr>
                <w:rFonts w:eastAsia="Times New Roman" w:cs="Calibri"/>
                <w:b/>
                <w:bCs/>
                <w:color w:val="000000"/>
                <w:sz w:val="18"/>
                <w:szCs w:val="18"/>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FD647A" w14:textId="77777777" w:rsidR="00F20D10" w:rsidRPr="00A07F4E" w:rsidRDefault="00F20D10" w:rsidP="00F20D10">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r>
    </w:tbl>
    <w:p w14:paraId="3A3598CD" w14:textId="3533C657" w:rsidR="00C63813" w:rsidRDefault="00C63813" w:rsidP="00C63813">
      <w:pPr>
        <w:pStyle w:val="Cmsor2"/>
        <w:numPr>
          <w:ilvl w:val="0"/>
          <w:numId w:val="0"/>
        </w:numPr>
        <w:ind w:left="431" w:hanging="431"/>
      </w:pPr>
    </w:p>
    <w:p w14:paraId="1E4CD797" w14:textId="04F7897C" w:rsidR="00C63813" w:rsidRDefault="00C63813" w:rsidP="00C63813"/>
    <w:p w14:paraId="2762146B" w14:textId="78B61373" w:rsidR="00C63813" w:rsidRDefault="00C63813" w:rsidP="00C63813"/>
    <w:p w14:paraId="7C152706" w14:textId="77777777" w:rsidR="00C63813" w:rsidRPr="00C63813" w:rsidRDefault="00C63813" w:rsidP="00C63813"/>
    <w:p w14:paraId="025D8B6E" w14:textId="483BD3B5" w:rsidR="005D18D3" w:rsidRPr="00A07F4E" w:rsidRDefault="005D18D3" w:rsidP="006B6B99">
      <w:pPr>
        <w:pStyle w:val="Cmsor2"/>
      </w:pPr>
      <w:bookmarkStart w:id="297" w:name="_Toc109906082"/>
      <w:r w:rsidRPr="00A07F4E">
        <w:lastRenderedPageBreak/>
        <w:t>Foglalkoztatói nyugdíjszolgáltató</w:t>
      </w:r>
      <w:r w:rsidR="001C1F19">
        <w:t>k</w:t>
      </w:r>
      <w:r w:rsidR="008E13A0">
        <w:rPr>
          <w:rStyle w:val="Lbjegyzet-hivatkozs"/>
        </w:rPr>
        <w:footnoteReference w:id="31"/>
      </w:r>
      <w:bookmarkEnd w:id="297"/>
    </w:p>
    <w:p w14:paraId="59BA9D34" w14:textId="77777777" w:rsidR="005D18D3" w:rsidRPr="00A07F4E" w:rsidRDefault="005D18D3" w:rsidP="00A07F4E">
      <w:pPr>
        <w:pStyle w:val="Cmsor3"/>
        <w:numPr>
          <w:ilvl w:val="0"/>
          <w:numId w:val="168"/>
        </w:numPr>
      </w:pPr>
      <w:bookmarkStart w:id="298" w:name="_Toc109906083"/>
      <w:r w:rsidRPr="00A07F4E">
        <w:t>A szektor méretére, tevékenységi körére és összetettségére vonatkozó információk összesített formában</w:t>
      </w:r>
      <w:bookmarkEnd w:id="298"/>
    </w:p>
    <w:p w14:paraId="672DAE1B" w14:textId="4FA03471" w:rsidR="005D18D3" w:rsidRDefault="005D18D3" w:rsidP="005D18D3">
      <w:r w:rsidRPr="006B6B99">
        <w:t>A</w:t>
      </w:r>
      <w:r w:rsidR="001631C4" w:rsidRPr="001631C4">
        <w:t>z MNB</w:t>
      </w:r>
      <w:r w:rsidRPr="009F3A30">
        <w:t xml:space="preserve"> Magyarországon </w:t>
      </w:r>
      <w:proofErr w:type="spellStart"/>
      <w:r w:rsidRPr="009F3A30">
        <w:t>AML</w:t>
      </w:r>
      <w:proofErr w:type="spellEnd"/>
      <w:r w:rsidRPr="009F3A30">
        <w:t>/</w:t>
      </w:r>
      <w:proofErr w:type="spellStart"/>
      <w:r w:rsidRPr="009F3A30">
        <w:t>CFT</w:t>
      </w:r>
      <w:proofErr w:type="spellEnd"/>
      <w:r w:rsidRPr="009F3A30">
        <w:t xml:space="preserve"> felügyeletet </w:t>
      </w:r>
      <w:r w:rsidRPr="008817A0">
        <w:t xml:space="preserve">összesen </w:t>
      </w:r>
      <w:r w:rsidR="008817A0" w:rsidRPr="008817A0">
        <w:t xml:space="preserve">1 és </w:t>
      </w:r>
      <w:r w:rsidR="008817A0" w:rsidRPr="00FC37B3">
        <w:t xml:space="preserve">3 </w:t>
      </w:r>
      <w:r w:rsidR="008817A0" w:rsidRPr="008817A0">
        <w:t>közötti számú</w:t>
      </w:r>
      <w:r w:rsidRPr="009F3A30">
        <w:t xml:space="preserve"> foglalkoztatói nyugdíjszolgáltató felett gyakorol. </w:t>
      </w:r>
    </w:p>
    <w:p w14:paraId="5E7D26F6" w14:textId="77777777" w:rsidR="005D18D3" w:rsidRPr="00A07F4E" w:rsidRDefault="005D18D3" w:rsidP="00A07F4E">
      <w:pPr>
        <w:pStyle w:val="Cmsor3"/>
        <w:numPr>
          <w:ilvl w:val="0"/>
          <w:numId w:val="168"/>
        </w:numPr>
      </w:pPr>
      <w:bookmarkStart w:id="299" w:name="_Toc109906084"/>
      <w:r w:rsidRPr="00A07F4E">
        <w:t>Inherens kockázatértékelés</w:t>
      </w:r>
      <w:bookmarkEnd w:id="299"/>
    </w:p>
    <w:p w14:paraId="024C8D74" w14:textId="77777777" w:rsidR="005D18D3" w:rsidRPr="009F3A30" w:rsidRDefault="005D18D3" w:rsidP="00A07F4E">
      <w:pPr>
        <w:pStyle w:val="Listaszerbekezds"/>
        <w:numPr>
          <w:ilvl w:val="1"/>
          <w:numId w:val="37"/>
        </w:numPr>
        <w:ind w:left="851" w:hanging="284"/>
      </w:pPr>
      <w:r w:rsidRPr="009F3A30">
        <w:t>A foglalkoztatói nyugdíjszolgáltatói szektorban rejlő ML/</w:t>
      </w:r>
      <w:proofErr w:type="spellStart"/>
      <w:r w:rsidRPr="009F3A30">
        <w:t>TF</w:t>
      </w:r>
      <w:proofErr w:type="spellEnd"/>
      <w:r w:rsidRPr="009F3A30">
        <w:t xml:space="preserve"> kockázati tényezők</w:t>
      </w:r>
    </w:p>
    <w:p w14:paraId="4DDB45B3" w14:textId="4220CF63" w:rsidR="005D18D3" w:rsidRPr="009F3A30" w:rsidRDefault="005D18D3" w:rsidP="005D18D3">
      <w:r w:rsidRPr="006B6B99">
        <w:t>A</w:t>
      </w:r>
      <w:r w:rsidR="001631C4" w:rsidRPr="008A455D">
        <w:t>z MNB</w:t>
      </w:r>
      <w:r w:rsidRPr="008A455D">
        <w:t xml:space="preserve"> az értékesítési</w:t>
      </w:r>
      <w:r w:rsidRPr="0023718A">
        <w:t xml:space="preserve"> csatornákban megjelenő kockázatot Mérsékelten jelentősnek, a földrajzi kitettségben, az ügyfelekben, termékekben/szolgáltatásokban rejlő kockázatokat pedig Kevésbé jelentősnek </w:t>
      </w:r>
      <w:r w:rsidR="00FE604D" w:rsidRPr="0023718A">
        <w:t>mi</w:t>
      </w:r>
      <w:r w:rsidR="00135F34" w:rsidRPr="0023718A">
        <w:t>n</w:t>
      </w:r>
      <w:r w:rsidR="00FE604D" w:rsidRPr="0023718A">
        <w:t>ősítette</w:t>
      </w:r>
      <w:r w:rsidRPr="0023718A">
        <w:t>.</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1631C4" w:rsidRPr="003168BA" w14:paraId="661FF3C6" w14:textId="77777777" w:rsidTr="00300DCA">
        <w:trPr>
          <w:trHeight w:val="314"/>
        </w:trPr>
        <w:tc>
          <w:tcPr>
            <w:tcW w:w="3061" w:type="dxa"/>
          </w:tcPr>
          <w:p w14:paraId="7476DA4C" w14:textId="77777777" w:rsidR="001631C4" w:rsidRPr="00554E41" w:rsidRDefault="001631C4"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0EA18960" w14:textId="77777777" w:rsidR="001631C4" w:rsidRPr="00554E41" w:rsidRDefault="001631C4"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1631C4" w:rsidRPr="003168BA" w14:paraId="6E86F688" w14:textId="77777777" w:rsidTr="006B6B99">
        <w:tc>
          <w:tcPr>
            <w:tcW w:w="3061" w:type="dxa"/>
            <w:shd w:val="clear" w:color="auto" w:fill="auto"/>
          </w:tcPr>
          <w:p w14:paraId="72D7F334" w14:textId="77777777" w:rsidR="001631C4" w:rsidRPr="00554E41" w:rsidRDefault="001631C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619A10E4" w14:textId="77777777" w:rsidR="001631C4" w:rsidRPr="00554E41" w:rsidRDefault="001631C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1631C4" w14:paraId="74A95654" w14:textId="77777777" w:rsidTr="006B6B99">
        <w:tc>
          <w:tcPr>
            <w:tcW w:w="3061" w:type="dxa"/>
            <w:shd w:val="clear" w:color="auto" w:fill="auto"/>
          </w:tcPr>
          <w:p w14:paraId="4AACBB56" w14:textId="77777777" w:rsidR="001631C4" w:rsidRPr="00554E41" w:rsidRDefault="001631C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5F9BBCDD" w14:textId="77777777" w:rsidR="001631C4" w:rsidRPr="00554E41" w:rsidRDefault="001631C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1631C4" w14:paraId="2287915F" w14:textId="77777777" w:rsidTr="006B6B99">
        <w:trPr>
          <w:trHeight w:val="50"/>
        </w:trPr>
        <w:tc>
          <w:tcPr>
            <w:tcW w:w="3061" w:type="dxa"/>
            <w:shd w:val="clear" w:color="auto" w:fill="auto"/>
          </w:tcPr>
          <w:p w14:paraId="1F61D1DF" w14:textId="77777777" w:rsidR="001631C4" w:rsidRPr="006B6B99" w:rsidRDefault="001631C4" w:rsidP="00300DCA">
            <w:pPr>
              <w:spacing w:after="0" w:line="240" w:lineRule="auto"/>
              <w:contextualSpacing w:val="0"/>
              <w:jc w:val="center"/>
              <w:rPr>
                <w:rFonts w:eastAsia="Times New Roman" w:cs="Times New Roman"/>
                <w:color w:val="000000"/>
                <w:sz w:val="18"/>
                <w:szCs w:val="18"/>
                <w:highlight w:val="cyan"/>
              </w:rPr>
            </w:pPr>
            <w:r w:rsidRPr="0023718A">
              <w:rPr>
                <w:rFonts w:eastAsia="Times New Roman" w:cs="Times New Roman"/>
                <w:color w:val="000000"/>
                <w:sz w:val="18"/>
                <w:szCs w:val="18"/>
              </w:rPr>
              <w:t>Földrajzi</w:t>
            </w:r>
          </w:p>
        </w:tc>
        <w:tc>
          <w:tcPr>
            <w:tcW w:w="3035" w:type="dxa"/>
            <w:shd w:val="clear" w:color="auto" w:fill="92D050"/>
          </w:tcPr>
          <w:p w14:paraId="06BD2D82" w14:textId="7A0F0C89" w:rsidR="001631C4" w:rsidRPr="006B6B99" w:rsidRDefault="001631C4" w:rsidP="00300DCA">
            <w:pPr>
              <w:spacing w:after="0" w:line="240" w:lineRule="auto"/>
              <w:contextualSpacing w:val="0"/>
              <w:jc w:val="center"/>
              <w:rPr>
                <w:rFonts w:eastAsia="Times New Roman" w:cs="Times New Roman"/>
                <w:color w:val="000000"/>
                <w:sz w:val="18"/>
                <w:szCs w:val="18"/>
                <w:highlight w:val="cyan"/>
              </w:rPr>
            </w:pPr>
            <w:r w:rsidRPr="0023718A">
              <w:rPr>
                <w:rFonts w:eastAsia="Times New Roman" w:cs="Times New Roman"/>
                <w:color w:val="000000"/>
                <w:sz w:val="18"/>
                <w:szCs w:val="18"/>
              </w:rPr>
              <w:t>Kevésbé jelentős</w:t>
            </w:r>
          </w:p>
        </w:tc>
      </w:tr>
      <w:tr w:rsidR="001631C4" w14:paraId="57A7EC46" w14:textId="77777777" w:rsidTr="006B6B99">
        <w:tc>
          <w:tcPr>
            <w:tcW w:w="3061" w:type="dxa"/>
            <w:shd w:val="clear" w:color="auto" w:fill="auto"/>
          </w:tcPr>
          <w:p w14:paraId="45E0A561" w14:textId="77777777" w:rsidR="001631C4" w:rsidRPr="00554E41" w:rsidRDefault="001631C4"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56355919" w14:textId="6A43DA27" w:rsidR="001631C4" w:rsidRPr="00554E41" w:rsidRDefault="001631C4"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5B36CAF1" w14:textId="0FD2CAE0" w:rsidR="005D18D3" w:rsidRPr="009F3A30" w:rsidRDefault="005D18D3" w:rsidP="00C63813">
      <w:pPr>
        <w:spacing w:before="120"/>
      </w:pPr>
      <w:r w:rsidRPr="009F3A30">
        <w:t xml:space="preserve">Jelen szektorra is általánosságban elmondható, hogy a szektorhoz tartozó </w:t>
      </w:r>
      <w:r w:rsidR="008C1A55">
        <w:t>szolgáltatók</w:t>
      </w:r>
      <w:r w:rsidRPr="009F3A30">
        <w:t xml:space="preserve"> fejlesztendő </w:t>
      </w:r>
      <w:proofErr w:type="spellStart"/>
      <w:r w:rsidRPr="006E35AE">
        <w:t>AML</w:t>
      </w:r>
      <w:proofErr w:type="spellEnd"/>
      <w:r w:rsidRPr="006E35AE">
        <w:t xml:space="preserve"> tranzakció</w:t>
      </w:r>
      <w:r w:rsidRPr="009F3A30">
        <w:t xml:space="preserve"> </w:t>
      </w:r>
      <w:proofErr w:type="spellStart"/>
      <w:r w:rsidRPr="009F3A30">
        <w:t>monitoringgal</w:t>
      </w:r>
      <w:proofErr w:type="spellEnd"/>
      <w:r w:rsidRPr="009F3A30">
        <w:t xml:space="preserve"> és gyanús ügyletek bejelentésére vonatkozó politikákkal és eljárásokkal rendelkeznek.  </w:t>
      </w:r>
      <w:r w:rsidR="008C1A55">
        <w:t>A szolgáltatók</w:t>
      </w:r>
      <w:r w:rsidRPr="009F3A30">
        <w:t xml:space="preserve"> a felügyleti adatszolgáltatások teljesítése során több esetben nem megfelelő adatokat bocsátanak rendelkezésre. </w:t>
      </w:r>
    </w:p>
    <w:p w14:paraId="601464ED" w14:textId="4C18E2E7" w:rsidR="005D18D3" w:rsidRPr="009F3A30" w:rsidRDefault="005D18D3" w:rsidP="005D18D3">
      <w:r w:rsidRPr="009F3A30">
        <w:t>Készpénz ügyletek nem jellemzőek</w:t>
      </w:r>
      <w:r w:rsidR="00FE604D" w:rsidRPr="009F3A30">
        <w:t xml:space="preserve">, illetve </w:t>
      </w:r>
      <w:r w:rsidRPr="009F3A30">
        <w:t>a szektor csak más szektorok közreműködésével tud jelentős összegű ügyleteket lebonyolítani, amely</w:t>
      </w:r>
      <w:r w:rsidR="00753220" w:rsidRPr="009F3A30">
        <w:t>e</w:t>
      </w:r>
      <w:r w:rsidR="00FE604D" w:rsidRPr="009F3A30">
        <w:t xml:space="preserve">t </w:t>
      </w:r>
      <w:r w:rsidR="00FE604D" w:rsidRPr="008E13A0">
        <w:t>a</w:t>
      </w:r>
      <w:r w:rsidR="008E13A0" w:rsidRPr="008E13A0">
        <w:t>z MNB</w:t>
      </w:r>
      <w:r w:rsidR="00156EC3">
        <w:t xml:space="preserve"> </w:t>
      </w:r>
      <w:r w:rsidRPr="009F3A30">
        <w:t>kockázatcsökkentő tényező</w:t>
      </w:r>
      <w:r w:rsidR="00FE604D" w:rsidRPr="009F3A30">
        <w:t>ként értékelt</w:t>
      </w:r>
      <w:r w:rsidRPr="009F3A30">
        <w:t xml:space="preserve">. </w:t>
      </w:r>
    </w:p>
    <w:p w14:paraId="0970CF16" w14:textId="77777777" w:rsidR="005D18D3" w:rsidRPr="009F3A30" w:rsidRDefault="005D18D3" w:rsidP="00A07F4E">
      <w:pPr>
        <w:pStyle w:val="Listaszerbekezds"/>
        <w:numPr>
          <w:ilvl w:val="1"/>
          <w:numId w:val="37"/>
        </w:numPr>
        <w:ind w:left="851" w:hanging="284"/>
      </w:pPr>
      <w:r w:rsidRPr="009F3A30">
        <w:t xml:space="preserve">A </w:t>
      </w:r>
      <w:r w:rsidR="003473DA" w:rsidRPr="009F3A30">
        <w:t xml:space="preserve">foglalkoztatói nyugdíjszolgáltatói szektorban </w:t>
      </w:r>
      <w:r w:rsidRPr="009F3A30">
        <w:t>rejlő, határokon átnyúló ML/</w:t>
      </w:r>
      <w:proofErr w:type="spellStart"/>
      <w:r w:rsidRPr="009F3A30">
        <w:t>TF</w:t>
      </w:r>
      <w:proofErr w:type="spellEnd"/>
      <w:r w:rsidRPr="009F3A30">
        <w:t xml:space="preserve"> kockázatok</w:t>
      </w:r>
    </w:p>
    <w:p w14:paraId="47C5438D" w14:textId="0396757C" w:rsidR="005D18D3" w:rsidRPr="009F3A30" w:rsidRDefault="005D18D3" w:rsidP="005D18D3">
      <w:r w:rsidRPr="009F3A30">
        <w:t xml:space="preserve">A szektorra nem jellemző a külföldi érintettség, tipikusan magyar ügyfelekkel rendelkeznek a szektorhoz tartozó </w:t>
      </w:r>
      <w:r w:rsidR="008C1A55">
        <w:t>szolgáltatók</w:t>
      </w:r>
      <w:r w:rsidRPr="009F3A30">
        <w:t xml:space="preserve">. </w:t>
      </w:r>
      <w:r w:rsidR="00EC6F68" w:rsidRPr="00EC6F68">
        <w:t>Nincsenek határon átnyúló tranzakciók.</w:t>
      </w:r>
    </w:p>
    <w:p w14:paraId="75BD59C7" w14:textId="71C591FB" w:rsidR="005D18D3" w:rsidRPr="009F3A30" w:rsidRDefault="008E13A0" w:rsidP="005D18D3">
      <w:pPr>
        <w:rPr>
          <w:b/>
        </w:rPr>
      </w:pPr>
      <w:r w:rsidRPr="008E13A0">
        <w:rPr>
          <w:b/>
        </w:rPr>
        <w:t>AZ MNB</w:t>
      </w:r>
      <w:r w:rsidR="005D18D3" w:rsidRPr="009F3A30">
        <w:rPr>
          <w:b/>
        </w:rPr>
        <w:t xml:space="preserve"> értékelése alapján, figyelembe véve a fent részletezetteket </w:t>
      </w:r>
      <w:r w:rsidR="00753220" w:rsidRPr="009F3A30">
        <w:rPr>
          <w:b/>
        </w:rPr>
        <w:t xml:space="preserve">foglalkoztatói nyugdíjszolgáltatói szektor </w:t>
      </w:r>
      <w:r w:rsidR="005D18D3" w:rsidRPr="009F3A30">
        <w:rPr>
          <w:b/>
        </w:rPr>
        <w:t>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5D18D3" w:rsidRPr="00A07F4E" w14:paraId="41E37ABE" w14:textId="77777777" w:rsidTr="002078C6">
        <w:trPr>
          <w:trHeight w:val="300"/>
          <w:jc w:val="center"/>
        </w:trPr>
        <w:tc>
          <w:tcPr>
            <w:tcW w:w="1780" w:type="dxa"/>
            <w:tcBorders>
              <w:top w:val="nil"/>
              <w:left w:val="nil"/>
              <w:bottom w:val="nil"/>
              <w:right w:val="nil"/>
            </w:tcBorders>
            <w:shd w:val="clear" w:color="auto" w:fill="auto"/>
            <w:noWrap/>
            <w:vAlign w:val="center"/>
            <w:hideMark/>
          </w:tcPr>
          <w:p w14:paraId="7C2A1429" w14:textId="77777777" w:rsidR="005D18D3" w:rsidRPr="009F3A30" w:rsidRDefault="005D18D3" w:rsidP="002078C6">
            <w:pPr>
              <w:spacing w:after="0" w:line="240" w:lineRule="auto"/>
              <w:jc w:val="center"/>
              <w:rPr>
                <w:b/>
                <w:color w:val="000000"/>
              </w:rPr>
            </w:pPr>
            <w:r w:rsidRPr="009F3A30">
              <w:rPr>
                <w:b/>
                <w:color w:val="000000"/>
              </w:rPr>
              <w:t>Inherens kockázat:</w:t>
            </w:r>
            <w:r w:rsidRPr="009F3A30">
              <w:rPr>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54663F" w14:textId="77777777" w:rsidR="005D18D3" w:rsidRPr="009F3A30" w:rsidRDefault="005D18D3" w:rsidP="002078C6">
            <w:pPr>
              <w:spacing w:after="0" w:line="240" w:lineRule="auto"/>
              <w:jc w:val="center"/>
              <w:rPr>
                <w:color w:val="000000"/>
                <w:sz w:val="18"/>
              </w:rPr>
            </w:pPr>
            <w:r w:rsidRPr="009F3A30">
              <w:rPr>
                <w:color w:val="000000"/>
                <w:sz w:val="18"/>
              </w:rPr>
              <w:t>Kevésbé jelentős</w:t>
            </w:r>
          </w:p>
        </w:tc>
      </w:tr>
    </w:tbl>
    <w:p w14:paraId="4F7F3325" w14:textId="77777777" w:rsidR="005D18D3" w:rsidRPr="00A07F4E" w:rsidRDefault="005D18D3" w:rsidP="00A07F4E">
      <w:pPr>
        <w:pStyle w:val="Cmsor3"/>
        <w:numPr>
          <w:ilvl w:val="0"/>
          <w:numId w:val="168"/>
        </w:numPr>
      </w:pPr>
      <w:bookmarkStart w:id="300" w:name="_Toc109906085"/>
      <w:r w:rsidRPr="00A07F4E">
        <w:t>Az ellenőrzések minősége, felügyeleti tevékenység, azonosított jogsértések</w:t>
      </w:r>
      <w:bookmarkEnd w:id="300"/>
    </w:p>
    <w:p w14:paraId="5DD9ED2E" w14:textId="78A97686" w:rsidR="005D18D3" w:rsidRPr="009F3A30" w:rsidRDefault="005D18D3" w:rsidP="005D18D3">
      <w:r w:rsidRPr="006B6B99">
        <w:t>A</w:t>
      </w:r>
      <w:r w:rsidR="00D17822" w:rsidRPr="006B6B99">
        <w:t>z MNB a</w:t>
      </w:r>
      <w:r w:rsidR="004813F4" w:rsidRPr="006B6B99">
        <w:t xml:space="preserve"> </w:t>
      </w:r>
      <w:r w:rsidR="003473DA" w:rsidRPr="006E4EE8">
        <w:t>foglalkoztatói</w:t>
      </w:r>
      <w:r w:rsidR="003473DA" w:rsidRPr="009F3A30">
        <w:t xml:space="preserve"> nyugdíjszolgáltatói szektor</w:t>
      </w:r>
      <w:r w:rsidRPr="009F3A30">
        <w:t xml:space="preserve"> </w:t>
      </w:r>
      <w:r w:rsidR="00F1659B" w:rsidRPr="009F3A30">
        <w:t xml:space="preserve">általi </w:t>
      </w:r>
      <w:r w:rsidRPr="009F3A30">
        <w:t xml:space="preserve">ellenőrzések megfelelőségét és minőségét tekintve </w:t>
      </w:r>
      <w:r w:rsidR="008C1A55">
        <w:t>a szolgáltatók</w:t>
      </w:r>
      <w:r w:rsidRPr="009F3A30">
        <w:t xml:space="preserve"> egészére kiterjedő, az egyes üzleti kapcsolatokra alkalmazott kockázatértékelést minősíti gyengének. A</w:t>
      </w:r>
      <w:r w:rsidR="00D17822">
        <w:t xml:space="preserve">z </w:t>
      </w:r>
      <w:r w:rsidR="00D17822" w:rsidRPr="00D17822">
        <w:t>MNB</w:t>
      </w:r>
      <w:r w:rsidR="004813F4">
        <w:t xml:space="preserve"> </w:t>
      </w:r>
      <w:r w:rsidRPr="009F3A30">
        <w:t>kockázatot az ügyfelek kockázatértékelésével, a gyanús tranzakciók jelentésével, valamint az oktatással és a tudatossággal kapcsolatban azonosított.</w:t>
      </w:r>
    </w:p>
    <w:p w14:paraId="0C6CD648" w14:textId="1CE770DA" w:rsidR="007E08F9" w:rsidRPr="009F3A30" w:rsidRDefault="005D18D3" w:rsidP="007E08F9">
      <w:r w:rsidRPr="009F3A30">
        <w:t xml:space="preserve">A </w:t>
      </w:r>
      <w:r w:rsidR="003473DA" w:rsidRPr="009F3A30">
        <w:t>foglalkoztatói nyugdíjszolgáltatói</w:t>
      </w:r>
      <w:r w:rsidRPr="009F3A30">
        <w:t xml:space="preserve"> tevékenység</w:t>
      </w:r>
      <w:r w:rsidR="003473DA" w:rsidRPr="009F3A30">
        <w:t>e</w:t>
      </w:r>
      <w:r w:rsidRPr="009F3A30">
        <w:t xml:space="preserve">t jellemzően </w:t>
      </w:r>
      <w:r w:rsidR="00D17822" w:rsidRPr="00D17822">
        <w:t>az MNB</w:t>
      </w:r>
      <w:r w:rsidRPr="009F3A30">
        <w:t xml:space="preserve"> folyamatos felügyelés keretében, illetve </w:t>
      </w:r>
      <w:proofErr w:type="spellStart"/>
      <w:r w:rsidRPr="009F3A30">
        <w:t>off</w:t>
      </w:r>
      <w:proofErr w:type="spellEnd"/>
      <w:r w:rsidRPr="009F3A30">
        <w:t xml:space="preserve">-site </w:t>
      </w:r>
      <w:r w:rsidR="007229F4" w:rsidRPr="009F3A30">
        <w:t xml:space="preserve">jellegű </w:t>
      </w:r>
      <w:r w:rsidR="003315BE" w:rsidRPr="009F3A30">
        <w:t>vizsgálatokkal ellenőrzi</w:t>
      </w:r>
      <w:r w:rsidRPr="009F3A30">
        <w:t xml:space="preserve">. </w:t>
      </w:r>
      <w:r w:rsidR="00981BED" w:rsidRPr="006B6B99">
        <w:t>A</w:t>
      </w:r>
      <w:r w:rsidR="00D17822" w:rsidRPr="006B6B99">
        <w:t>z MNB</w:t>
      </w:r>
      <w:r w:rsidR="00981BED" w:rsidRPr="009F3A30">
        <w:t xml:space="preserve"> f</w:t>
      </w:r>
      <w:r w:rsidRPr="009F3A30">
        <w:t xml:space="preserve">olyamatos felügyelés keretében a </w:t>
      </w:r>
      <w:r w:rsidR="00ED2CA3" w:rsidRPr="009F3A30">
        <w:t>foglalkoztatói nyugdíjszolgáltatói szektort</w:t>
      </w:r>
      <w:r w:rsidRPr="009F3A30">
        <w:t xml:space="preserve"> az általuk </w:t>
      </w:r>
      <w:r w:rsidR="00ED2CA3" w:rsidRPr="009F3A30">
        <w:t xml:space="preserve">az MNB részére </w:t>
      </w:r>
      <w:r w:rsidRPr="009F3A30">
        <w:t xml:space="preserve">szolgáltatott éves és negyedéves adatok, </w:t>
      </w:r>
      <w:r w:rsidR="00ED2CA3" w:rsidRPr="009F3A30">
        <w:t>a foglalkoztatói nyugdíjszolgáltatói szektor</w:t>
      </w:r>
      <w:r w:rsidR="00753220" w:rsidRPr="009F3A30">
        <w:t xml:space="preserve">hoz tartozó </w:t>
      </w:r>
      <w:r w:rsidR="008C1A55">
        <w:t>szolgáltatók</w:t>
      </w:r>
      <w:r w:rsidR="00753220" w:rsidRPr="009F3A30">
        <w:t xml:space="preserve"> </w:t>
      </w:r>
      <w:r w:rsidRPr="009F3A30">
        <w:t xml:space="preserve">ügyfeleitől, </w:t>
      </w:r>
      <w:r w:rsidR="007E08F9" w:rsidRPr="009F3A30">
        <w:t>illetve társhatóságoktól érkező panaszok és sajtófigyelés során szerzett információk alapján felügyeli, felmerülő kockázati jelzés alapján ellenőrzi</w:t>
      </w:r>
      <w:r w:rsidRPr="009F3A30">
        <w:t xml:space="preserve">. </w:t>
      </w:r>
      <w:r w:rsidR="007E08F9" w:rsidRPr="006B6B99">
        <w:t>A</w:t>
      </w:r>
      <w:r w:rsidR="00D17822" w:rsidRPr="006B6B99">
        <w:t>z MNB</w:t>
      </w:r>
      <w:r w:rsidR="007E08F9" w:rsidRPr="006B6B99">
        <w:t>-nek</w:t>
      </w:r>
      <w:r w:rsidR="007E08F9" w:rsidRPr="009F3A30">
        <w:t xml:space="preserve"> a szektort tekintve – a kockázatalapú megközelítésre</w:t>
      </w:r>
      <w:r w:rsidR="001250F4" w:rsidRPr="009F3A30">
        <w:t xml:space="preserve">, illetve </w:t>
      </w:r>
      <w:r w:rsidR="003C1535" w:rsidRPr="009F3A30">
        <w:t>a Kevésbé jelentős inherens kockázatra</w:t>
      </w:r>
      <w:r w:rsidR="007E08F9" w:rsidRPr="009F3A30">
        <w:t xml:space="preserve"> figyelemmel – csekély a rendelkezésre álló felügyeleti tapasztalata.  </w:t>
      </w:r>
    </w:p>
    <w:p w14:paraId="46653018" w14:textId="77777777" w:rsidR="005D18D3" w:rsidRPr="009F3A30" w:rsidRDefault="005D18D3" w:rsidP="005D18D3">
      <w:r w:rsidRPr="009F3A30">
        <w:lastRenderedPageBreak/>
        <w:t xml:space="preserve">Megjegyzendő, hogy a </w:t>
      </w:r>
      <w:r w:rsidR="00ED2CA3" w:rsidRPr="009F3A30">
        <w:t>foglalkoztatói nyugdíjszolgáltatói szektor</w:t>
      </w:r>
      <w:r w:rsidRPr="009F3A30">
        <w:t xml:space="preserve"> gyanús tranzakciókhoz kapcsolódó bejelentéseik száma a többi szektoréhoz viszonyítva alacsonyabb, azonban ez a Kevésbé jelentős inherens kockázati besorolásra tekintettel nem nevezhető szokatlannak, így kockázatot növelő tényezőnek. </w:t>
      </w:r>
    </w:p>
    <w:p w14:paraId="32F2DB71" w14:textId="77777777" w:rsidR="005D18D3" w:rsidRPr="00A07F4E" w:rsidRDefault="005D18D3" w:rsidP="00A07F4E">
      <w:pPr>
        <w:pStyle w:val="Cmsor3"/>
        <w:numPr>
          <w:ilvl w:val="0"/>
          <w:numId w:val="168"/>
        </w:numPr>
      </w:pPr>
      <w:bookmarkStart w:id="301" w:name="_Toc109906086"/>
      <w:r w:rsidRPr="00A07F4E">
        <w:t>Maradványkockázat</w:t>
      </w:r>
      <w:bookmarkEnd w:id="301"/>
    </w:p>
    <w:p w14:paraId="29D945E9" w14:textId="702F696B" w:rsidR="005D18D3" w:rsidRPr="009F3A30" w:rsidRDefault="00981BED" w:rsidP="005D18D3">
      <w:r w:rsidRPr="009F3A30">
        <w:t xml:space="preserve">Ez idáig </w:t>
      </w:r>
      <w:r w:rsidRPr="00D17822">
        <w:t>a</w:t>
      </w:r>
      <w:r w:rsidR="00D17822" w:rsidRPr="00D17822">
        <w:t>z MNB</w:t>
      </w:r>
      <w:r w:rsidRPr="006B6B99">
        <w:t>-nek</w:t>
      </w:r>
      <w:r w:rsidRPr="009F3A30">
        <w:t xml:space="preserve"> olyan kockázatot </w:t>
      </w:r>
      <w:r w:rsidR="00753220" w:rsidRPr="009F3A30">
        <w:t>növelő</w:t>
      </w:r>
      <w:r w:rsidRPr="009F3A30">
        <w:t xml:space="preserve"> tényező nem jutott a tudomására, amely hatással lenne az inherens kockázati tényezőre, annak eltérítését indokolná. </w:t>
      </w:r>
      <w:r w:rsidR="005D18D3" w:rsidRPr="006B6B99">
        <w:t>A</w:t>
      </w:r>
      <w:r w:rsidR="00D17822" w:rsidRPr="006B6B99">
        <w:t>z MNB</w:t>
      </w:r>
      <w:r w:rsidR="004813F4">
        <w:t xml:space="preserve"> </w:t>
      </w:r>
      <w:r w:rsidR="005D18D3" w:rsidRPr="009F3A30">
        <w:t xml:space="preserve">mérlegelve a szektornál részletezetteket a maradványkockázatot Kevésbé jelentősnek értékeli, amely az inherens kockázati besorolással megegyezik.  </w:t>
      </w:r>
    </w:p>
    <w:tbl>
      <w:tblPr>
        <w:tblW w:w="3180" w:type="dxa"/>
        <w:jc w:val="center"/>
        <w:tblCellMar>
          <w:left w:w="70" w:type="dxa"/>
          <w:right w:w="70" w:type="dxa"/>
        </w:tblCellMar>
        <w:tblLook w:val="04A0" w:firstRow="1" w:lastRow="0" w:firstColumn="1" w:lastColumn="0" w:noHBand="0" w:noVBand="1"/>
      </w:tblPr>
      <w:tblGrid>
        <w:gridCol w:w="1698"/>
        <w:gridCol w:w="1520"/>
      </w:tblGrid>
      <w:tr w:rsidR="005D18D3" w:rsidRPr="00A07F4E" w14:paraId="7D76E263" w14:textId="77777777" w:rsidTr="002078C6">
        <w:trPr>
          <w:trHeight w:val="300"/>
          <w:jc w:val="center"/>
        </w:trPr>
        <w:tc>
          <w:tcPr>
            <w:tcW w:w="1660" w:type="dxa"/>
            <w:tcBorders>
              <w:top w:val="nil"/>
              <w:left w:val="nil"/>
              <w:bottom w:val="nil"/>
              <w:right w:val="nil"/>
            </w:tcBorders>
            <w:shd w:val="clear" w:color="auto" w:fill="auto"/>
            <w:noWrap/>
            <w:vAlign w:val="center"/>
            <w:hideMark/>
          </w:tcPr>
          <w:p w14:paraId="0F5BB68B" w14:textId="77777777" w:rsidR="005D18D3" w:rsidRPr="009F3A30" w:rsidRDefault="005D18D3" w:rsidP="002078C6">
            <w:pPr>
              <w:spacing w:after="0" w:line="240" w:lineRule="auto"/>
              <w:jc w:val="center"/>
              <w:rPr>
                <w:b/>
                <w:color w:val="000000"/>
                <w:sz w:val="18"/>
              </w:rPr>
            </w:pPr>
            <w:r w:rsidRPr="009F3A30">
              <w:rPr>
                <w:b/>
                <w:color w:val="000000"/>
                <w:sz w:val="18"/>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C769D21" w14:textId="77777777" w:rsidR="005D18D3" w:rsidRPr="009F3A30" w:rsidRDefault="005D18D3" w:rsidP="002078C6">
            <w:pPr>
              <w:spacing w:after="0" w:line="240" w:lineRule="auto"/>
              <w:jc w:val="center"/>
              <w:rPr>
                <w:color w:val="000000"/>
                <w:sz w:val="18"/>
              </w:rPr>
            </w:pPr>
            <w:r w:rsidRPr="009F3A30">
              <w:rPr>
                <w:color w:val="000000"/>
                <w:sz w:val="18"/>
              </w:rPr>
              <w:t>Kevésbé jelentős</w:t>
            </w:r>
          </w:p>
        </w:tc>
      </w:tr>
    </w:tbl>
    <w:p w14:paraId="7937099C" w14:textId="735228E6" w:rsidR="009C5FE6" w:rsidRPr="00A07F4E" w:rsidRDefault="009C5FE6" w:rsidP="000222BD">
      <w:pPr>
        <w:pStyle w:val="Cmsor2"/>
      </w:pPr>
      <w:bookmarkStart w:id="302" w:name="_Toc109906087"/>
      <w:r w:rsidRPr="00A07F4E">
        <w:t>Utalvány</w:t>
      </w:r>
      <w:r w:rsidR="00B610A8">
        <w:t>-</w:t>
      </w:r>
      <w:r w:rsidRPr="00A07F4E">
        <w:t>kibocsátó</w:t>
      </w:r>
      <w:r w:rsidR="00A3667A">
        <w:t>k</w:t>
      </w:r>
      <w:r w:rsidR="00B610A8">
        <w:rPr>
          <w:rStyle w:val="Lbjegyzet-hivatkozs"/>
        </w:rPr>
        <w:footnoteReference w:id="32"/>
      </w:r>
      <w:bookmarkEnd w:id="302"/>
    </w:p>
    <w:p w14:paraId="4F789850" w14:textId="77777777" w:rsidR="009C5FE6" w:rsidRPr="00A07F4E" w:rsidRDefault="009C5FE6" w:rsidP="00A07F4E">
      <w:pPr>
        <w:pStyle w:val="Cmsor3"/>
        <w:numPr>
          <w:ilvl w:val="0"/>
          <w:numId w:val="173"/>
        </w:numPr>
      </w:pPr>
      <w:bookmarkStart w:id="303" w:name="_Toc109906088"/>
      <w:r w:rsidRPr="00A07F4E">
        <w:t>A szektor méretére, tevékenységi körére és összetettségére vonatkozó információk összesített formában</w:t>
      </w:r>
      <w:bookmarkEnd w:id="303"/>
    </w:p>
    <w:p w14:paraId="60780B9A" w14:textId="68C9001F" w:rsidR="009C5FE6" w:rsidRPr="009F3A30" w:rsidRDefault="009C5FE6" w:rsidP="009C5FE6">
      <w:r w:rsidRPr="009F3A30">
        <w:t>A</w:t>
      </w:r>
      <w:r w:rsidR="00EC6F68" w:rsidRPr="00EC6F68">
        <w:t>z MNB</w:t>
      </w:r>
      <w:r w:rsidRPr="009F3A30">
        <w:t xml:space="preserve"> Magyarországon </w:t>
      </w:r>
      <w:proofErr w:type="spellStart"/>
      <w:r w:rsidRPr="009F3A30">
        <w:t>AML</w:t>
      </w:r>
      <w:proofErr w:type="spellEnd"/>
      <w:r w:rsidRPr="009F3A30">
        <w:t>/</w:t>
      </w:r>
      <w:proofErr w:type="spellStart"/>
      <w:r w:rsidRPr="009F3A30">
        <w:t>CFT</w:t>
      </w:r>
      <w:proofErr w:type="spellEnd"/>
      <w:r w:rsidRPr="009F3A30">
        <w:t xml:space="preserve"> felügyeletet </w:t>
      </w:r>
      <w:r w:rsidRPr="00FC37B3">
        <w:t xml:space="preserve">összesen </w:t>
      </w:r>
      <w:r w:rsidR="008817A0" w:rsidRPr="00FC37B3">
        <w:t xml:space="preserve">1 </w:t>
      </w:r>
      <w:r w:rsidR="00807A27" w:rsidRPr="00FC37B3">
        <w:t xml:space="preserve">és </w:t>
      </w:r>
      <w:r w:rsidR="008817A0" w:rsidRPr="00FC37B3">
        <w:t>5</w:t>
      </w:r>
      <w:r w:rsidR="00807A27" w:rsidRPr="00FC37B3">
        <w:t xml:space="preserve"> közötti</w:t>
      </w:r>
      <w:r w:rsidRPr="009F3A30">
        <w:t xml:space="preserve"> </w:t>
      </w:r>
      <w:r w:rsidR="008817A0">
        <w:t xml:space="preserve">számú </w:t>
      </w:r>
      <w:r w:rsidR="00807A27" w:rsidRPr="009F3A30">
        <w:t>utalvány</w:t>
      </w:r>
      <w:r w:rsidR="00B610A8">
        <w:t>-</w:t>
      </w:r>
      <w:r w:rsidR="00807A27" w:rsidRPr="009F3A30">
        <w:t xml:space="preserve">kibocsátó </w:t>
      </w:r>
      <w:r w:rsidRPr="009F3A30">
        <w:t>felett gyakorol</w:t>
      </w:r>
      <w:r w:rsidR="00807A27" w:rsidRPr="009F3A30">
        <w:t xml:space="preserve">. </w:t>
      </w:r>
      <w:r w:rsidR="00B610A8" w:rsidRPr="00B610A8">
        <w:t>A forgatható utalvány</w:t>
      </w:r>
      <w:r w:rsidR="00B610A8">
        <w:rPr>
          <w:rStyle w:val="Lbjegyzet-hivatkozs"/>
        </w:rPr>
        <w:footnoteReference w:id="33"/>
      </w:r>
      <w:r w:rsidR="00B610A8" w:rsidRPr="00B610A8">
        <w:t xml:space="preserve"> alatt értendő minden olyan, az utalvány-kibocsátóval szembeni pénzkövetelést megtestesítő bankjegynek, készpénz-helyettesítő fizetési eszköznek és értékpapírnak nem minősülő, átruházható és többször felhasználható, papír alapú fizetési eszköz, amely áruk vagy szolgáltatások ellenértékének a kiegyenlítésére szolgál. A forgatható utalvány kibocsátására irányuló tevékenység során az utalvány-kibocsátó közvetlenül vagy utalványforgalmazó útján pénzeszköz ellenében forgatható utalványt bocsát az utalványbirtokos rendelkezésére.</w:t>
      </w:r>
    </w:p>
    <w:p w14:paraId="569599DC" w14:textId="77777777" w:rsidR="009C5FE6" w:rsidRPr="00A07F4E" w:rsidRDefault="009C5FE6" w:rsidP="00A07F4E">
      <w:pPr>
        <w:pStyle w:val="Cmsor3"/>
        <w:numPr>
          <w:ilvl w:val="0"/>
          <w:numId w:val="173"/>
        </w:numPr>
      </w:pPr>
      <w:bookmarkStart w:id="304" w:name="_Toc106192478"/>
      <w:bookmarkStart w:id="305" w:name="_Toc106198074"/>
      <w:bookmarkStart w:id="306" w:name="_Toc106198720"/>
      <w:bookmarkStart w:id="307" w:name="_Toc106869658"/>
      <w:bookmarkStart w:id="308" w:name="_Toc107236523"/>
      <w:bookmarkStart w:id="309" w:name="_Toc107237431"/>
      <w:bookmarkStart w:id="310" w:name="_Toc107237761"/>
      <w:bookmarkStart w:id="311" w:name="_Toc109906089"/>
      <w:bookmarkEnd w:id="304"/>
      <w:bookmarkEnd w:id="305"/>
      <w:bookmarkEnd w:id="306"/>
      <w:bookmarkEnd w:id="307"/>
      <w:bookmarkEnd w:id="308"/>
      <w:bookmarkEnd w:id="309"/>
      <w:bookmarkEnd w:id="310"/>
      <w:r w:rsidRPr="00A07F4E">
        <w:t>Inherens kockázatértékelés</w:t>
      </w:r>
      <w:bookmarkEnd w:id="311"/>
    </w:p>
    <w:p w14:paraId="0F713545" w14:textId="77777777" w:rsidR="009C5FE6" w:rsidRPr="009F3A30" w:rsidRDefault="009E35BB" w:rsidP="00A07F4E">
      <w:pPr>
        <w:pStyle w:val="Listaszerbekezds"/>
        <w:numPr>
          <w:ilvl w:val="1"/>
          <w:numId w:val="38"/>
        </w:numPr>
        <w:ind w:left="851" w:hanging="284"/>
      </w:pPr>
      <w:r w:rsidRPr="009F3A30">
        <w:t>Az utalványkibocsátói</w:t>
      </w:r>
      <w:r w:rsidR="009C5FE6" w:rsidRPr="009F3A30">
        <w:t xml:space="preserve"> szektorban rejlő ML/</w:t>
      </w:r>
      <w:proofErr w:type="spellStart"/>
      <w:r w:rsidR="009C5FE6" w:rsidRPr="009F3A30">
        <w:t>TF</w:t>
      </w:r>
      <w:proofErr w:type="spellEnd"/>
      <w:r w:rsidR="009C5FE6" w:rsidRPr="009F3A30">
        <w:t xml:space="preserve"> kockázati tényezők</w:t>
      </w:r>
    </w:p>
    <w:p w14:paraId="48CAE385" w14:textId="6AAAF93B" w:rsidR="0097262E" w:rsidRDefault="009C5FE6" w:rsidP="009C5FE6">
      <w:r w:rsidRPr="006E4EE8">
        <w:t>A</w:t>
      </w:r>
      <w:r w:rsidR="00EC6F68" w:rsidRPr="006E4EE8">
        <w:t>z MNB</w:t>
      </w:r>
      <w:r w:rsidRPr="006E4EE8">
        <w:t xml:space="preserve"> az értékesítési csatornákban megjelenő kockázatot Mérsékelten jelentősnek, a földrajzi kitettségben, az ügyfelekben, termékekben/szolgáltatásokban rejlő kockázatokat pedig Kevésbé jelentősnek mi</w:t>
      </w:r>
      <w:r w:rsidR="00135F34" w:rsidRPr="006E4EE8">
        <w:t>n</w:t>
      </w:r>
      <w:r w:rsidRPr="006E4EE8">
        <w:t>ősítette.</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EC6F68" w:rsidRPr="003168BA" w14:paraId="04CCBB21" w14:textId="77777777" w:rsidTr="00300DCA">
        <w:trPr>
          <w:trHeight w:val="314"/>
        </w:trPr>
        <w:tc>
          <w:tcPr>
            <w:tcW w:w="3061" w:type="dxa"/>
          </w:tcPr>
          <w:p w14:paraId="4EC51B4A" w14:textId="77777777" w:rsidR="00EC6F68" w:rsidRPr="00554E41" w:rsidRDefault="00EC6F68"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7AB4CA95" w14:textId="77777777" w:rsidR="00EC6F68" w:rsidRPr="00554E41" w:rsidRDefault="00EC6F68"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EC6F68" w:rsidRPr="003168BA" w14:paraId="6208AA20" w14:textId="77777777" w:rsidTr="000222BD">
        <w:tc>
          <w:tcPr>
            <w:tcW w:w="3061" w:type="dxa"/>
            <w:shd w:val="clear" w:color="auto" w:fill="auto"/>
          </w:tcPr>
          <w:p w14:paraId="3D33A459"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0134CF7D"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C6F68" w14:paraId="7D6CFF8D" w14:textId="77777777" w:rsidTr="000222BD">
        <w:tc>
          <w:tcPr>
            <w:tcW w:w="3061" w:type="dxa"/>
            <w:shd w:val="clear" w:color="auto" w:fill="auto"/>
          </w:tcPr>
          <w:p w14:paraId="017384EB"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47BECA8B"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C6F68" w14:paraId="0245B902" w14:textId="77777777" w:rsidTr="000222BD">
        <w:trPr>
          <w:trHeight w:val="50"/>
        </w:trPr>
        <w:tc>
          <w:tcPr>
            <w:tcW w:w="3061" w:type="dxa"/>
            <w:shd w:val="clear" w:color="auto" w:fill="auto"/>
          </w:tcPr>
          <w:p w14:paraId="5994AD59"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37CB032D"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C6F68" w14:paraId="2704491B" w14:textId="77777777" w:rsidTr="000222BD">
        <w:tc>
          <w:tcPr>
            <w:tcW w:w="3061" w:type="dxa"/>
            <w:shd w:val="clear" w:color="auto" w:fill="auto"/>
          </w:tcPr>
          <w:p w14:paraId="47D7252B"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23B9B93E" w14:textId="77777777" w:rsidR="00EC6F68" w:rsidRPr="00554E41" w:rsidRDefault="00EC6F68"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1C284EDF" w14:textId="63570775" w:rsidR="009C5FE6" w:rsidRPr="009F3A30" w:rsidRDefault="009C5FE6" w:rsidP="00C63813">
      <w:pPr>
        <w:spacing w:before="120"/>
      </w:pPr>
      <w:r w:rsidRPr="009F3A30">
        <w:t xml:space="preserve">A szektort tekintve, annak szereplői szabályalapú </w:t>
      </w:r>
      <w:r w:rsidR="006B5CD8">
        <w:t>folyamatokat követnek</w:t>
      </w:r>
      <w:r w:rsidRPr="009F3A30">
        <w:t xml:space="preserve"> az </w:t>
      </w:r>
      <w:proofErr w:type="spellStart"/>
      <w:r w:rsidRPr="009F3A30">
        <w:t>AML</w:t>
      </w:r>
      <w:proofErr w:type="spellEnd"/>
      <w:r w:rsidRPr="009F3A30">
        <w:t>/</w:t>
      </w:r>
      <w:proofErr w:type="spellStart"/>
      <w:r w:rsidRPr="009F3A30">
        <w:t>CFT</w:t>
      </w:r>
      <w:proofErr w:type="spellEnd"/>
      <w:r w:rsidRPr="009F3A30">
        <w:t xml:space="preserve"> </w:t>
      </w:r>
      <w:r w:rsidR="004813F4">
        <w:t>gyakorlatukban</w:t>
      </w:r>
      <w:r w:rsidRPr="009F3A30">
        <w:t>,</w:t>
      </w:r>
      <w:r w:rsidR="006B5CD8">
        <w:t xml:space="preserve"> holott az MNB elvárása</w:t>
      </w:r>
      <w:r w:rsidRPr="009F3A30">
        <w:t xml:space="preserve"> a kockázatalapú megközelítés </w:t>
      </w:r>
      <w:r w:rsidR="006B5CD8">
        <w:t>megfelelő végrehajtása</w:t>
      </w:r>
      <w:r w:rsidRPr="009F3A30">
        <w:t xml:space="preserve">. </w:t>
      </w:r>
    </w:p>
    <w:p w14:paraId="62D1CE1B" w14:textId="64489AB5" w:rsidR="009C5FE6" w:rsidRPr="009F3A30" w:rsidRDefault="00135F34" w:rsidP="009C5FE6">
      <w:r w:rsidRPr="009F3A30">
        <w:t>A</w:t>
      </w:r>
      <w:r w:rsidR="009C5FE6" w:rsidRPr="009F3A30">
        <w:t xml:space="preserve"> szektor </w:t>
      </w:r>
      <w:r w:rsidRPr="009F3A30">
        <w:t xml:space="preserve">szereplői </w:t>
      </w:r>
      <w:r w:rsidR="009C5FE6" w:rsidRPr="009F3A30">
        <w:t>csak más szektorok közreműködésével tud jelentős összegű ügyleteket lebonyolítani, amelyeket a</w:t>
      </w:r>
      <w:r w:rsidR="006B5CD8">
        <w:t xml:space="preserve">z </w:t>
      </w:r>
      <w:r w:rsidR="006B5CD8" w:rsidRPr="006B5CD8">
        <w:t>MNB</w:t>
      </w:r>
      <w:r w:rsidR="009C5FE6" w:rsidRPr="009F3A30">
        <w:t xml:space="preserve"> kockázatcsökkentő tényezőként értékelt. </w:t>
      </w:r>
    </w:p>
    <w:p w14:paraId="25DCCF81" w14:textId="77777777" w:rsidR="009C5FE6" w:rsidRPr="009F3A30" w:rsidRDefault="009C5FE6" w:rsidP="00A07F4E">
      <w:pPr>
        <w:pStyle w:val="Listaszerbekezds"/>
        <w:numPr>
          <w:ilvl w:val="1"/>
          <w:numId w:val="38"/>
        </w:numPr>
        <w:ind w:left="851" w:hanging="284"/>
      </w:pPr>
      <w:r w:rsidRPr="009F3A30">
        <w:t>A foglalkoztatói nyugdíjszolgáltatói szektorban rejlő, határokon átnyúló ML/</w:t>
      </w:r>
      <w:proofErr w:type="spellStart"/>
      <w:r w:rsidRPr="009F3A30">
        <w:t>TF</w:t>
      </w:r>
      <w:proofErr w:type="spellEnd"/>
      <w:r w:rsidRPr="009F3A30">
        <w:t xml:space="preserve"> kockázatok</w:t>
      </w:r>
    </w:p>
    <w:p w14:paraId="23115EB5" w14:textId="77777777" w:rsidR="009C5FE6" w:rsidRPr="009F3A30" w:rsidRDefault="009C5FE6" w:rsidP="009C5FE6">
      <w:r w:rsidRPr="009F3A30">
        <w:t xml:space="preserve">A szektorra nem jellemző a külföldi érintettség, tipikusan magyar ügyfelekkel rendelkeznek a szektorhoz tartozó </w:t>
      </w:r>
      <w:r w:rsidR="008C1A55">
        <w:t>szolgáltatók</w:t>
      </w:r>
      <w:r w:rsidRPr="009F3A30">
        <w:t xml:space="preserve">. </w:t>
      </w:r>
    </w:p>
    <w:p w14:paraId="6C6B0D3C" w14:textId="4827A915" w:rsidR="009C5FE6" w:rsidRPr="009F3A30" w:rsidRDefault="009C5FE6" w:rsidP="009C5FE6">
      <w:pPr>
        <w:rPr>
          <w:b/>
        </w:rPr>
      </w:pPr>
      <w:r w:rsidRPr="009F3A30">
        <w:rPr>
          <w:b/>
        </w:rPr>
        <w:t>A</w:t>
      </w:r>
      <w:r w:rsidR="006B5CD8">
        <w:rPr>
          <w:b/>
        </w:rPr>
        <w:t xml:space="preserve">z </w:t>
      </w:r>
      <w:r w:rsidR="006B5CD8" w:rsidRPr="006B5CD8">
        <w:rPr>
          <w:b/>
        </w:rPr>
        <w:t>MNB</w:t>
      </w:r>
      <w:r w:rsidR="00A3667A">
        <w:rPr>
          <w:b/>
        </w:rPr>
        <w:t xml:space="preserve"> </w:t>
      </w:r>
      <w:r w:rsidRPr="009F3A30">
        <w:rPr>
          <w:b/>
        </w:rPr>
        <w:t xml:space="preserve">értékelése alapján, figyelembe véve a fent részletezetteket </w:t>
      </w:r>
      <w:r w:rsidR="00753220" w:rsidRPr="009F3A30">
        <w:rPr>
          <w:b/>
        </w:rPr>
        <w:t>az utalványkibocsátói</w:t>
      </w:r>
      <w:r w:rsidRPr="009F3A30">
        <w:rPr>
          <w:b/>
        </w:rPr>
        <w:t xml:space="preserve"> szektor 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9C5FE6" w:rsidRPr="00A07F4E" w14:paraId="2735B7C3" w14:textId="77777777" w:rsidTr="002078C6">
        <w:trPr>
          <w:trHeight w:val="300"/>
          <w:jc w:val="center"/>
        </w:trPr>
        <w:tc>
          <w:tcPr>
            <w:tcW w:w="1780" w:type="dxa"/>
            <w:tcBorders>
              <w:top w:val="nil"/>
              <w:left w:val="nil"/>
              <w:bottom w:val="nil"/>
              <w:right w:val="nil"/>
            </w:tcBorders>
            <w:shd w:val="clear" w:color="auto" w:fill="auto"/>
            <w:noWrap/>
            <w:vAlign w:val="center"/>
            <w:hideMark/>
          </w:tcPr>
          <w:p w14:paraId="61E79B93" w14:textId="77777777" w:rsidR="009C5FE6" w:rsidRPr="009F3A30" w:rsidRDefault="009C5FE6" w:rsidP="002078C6">
            <w:pPr>
              <w:spacing w:after="0" w:line="240" w:lineRule="auto"/>
              <w:jc w:val="center"/>
              <w:rPr>
                <w:b/>
                <w:color w:val="000000"/>
              </w:rPr>
            </w:pPr>
            <w:r w:rsidRPr="009F3A30">
              <w:rPr>
                <w:b/>
                <w:color w:val="000000"/>
              </w:rPr>
              <w:t>Inherens kockázat:</w:t>
            </w:r>
            <w:r w:rsidRPr="009F3A30">
              <w:rPr>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D483C15" w14:textId="77777777" w:rsidR="009C5FE6" w:rsidRPr="009F3A30" w:rsidRDefault="009C5FE6" w:rsidP="002078C6">
            <w:pPr>
              <w:spacing w:after="0" w:line="240" w:lineRule="auto"/>
              <w:jc w:val="center"/>
              <w:rPr>
                <w:color w:val="000000"/>
                <w:sz w:val="18"/>
              </w:rPr>
            </w:pPr>
            <w:r w:rsidRPr="009F3A30">
              <w:rPr>
                <w:color w:val="000000"/>
                <w:sz w:val="18"/>
              </w:rPr>
              <w:t>Kevésbé jelentős</w:t>
            </w:r>
          </w:p>
        </w:tc>
      </w:tr>
    </w:tbl>
    <w:p w14:paraId="52D78E47" w14:textId="77777777" w:rsidR="009C5FE6" w:rsidRPr="009F3A30" w:rsidRDefault="009C5FE6" w:rsidP="009C5FE6"/>
    <w:p w14:paraId="327A1CD9" w14:textId="77777777" w:rsidR="009C5FE6" w:rsidRPr="00A07F4E" w:rsidRDefault="009C5FE6" w:rsidP="00A07F4E">
      <w:pPr>
        <w:pStyle w:val="Cmsor3"/>
        <w:numPr>
          <w:ilvl w:val="0"/>
          <w:numId w:val="173"/>
        </w:numPr>
      </w:pPr>
      <w:bookmarkStart w:id="312" w:name="_Toc109906090"/>
      <w:r w:rsidRPr="00A07F4E">
        <w:t>Az ellenőrzések minősége, felügyeleti tevékenység, azonosított jogsértések</w:t>
      </w:r>
      <w:bookmarkEnd w:id="312"/>
    </w:p>
    <w:p w14:paraId="11B18F9F" w14:textId="546F2FC0" w:rsidR="009C5FE6" w:rsidRPr="009F3A30" w:rsidRDefault="009C5FE6" w:rsidP="009C5FE6">
      <w:r w:rsidRPr="009F3A30">
        <w:t>A</w:t>
      </w:r>
      <w:r w:rsidR="00837E92">
        <w:t>z MNB</w:t>
      </w:r>
      <w:r w:rsidR="004813F4">
        <w:t xml:space="preserve"> </w:t>
      </w:r>
      <w:r w:rsidR="00135F34" w:rsidRPr="009F3A30">
        <w:t>az utalvány</w:t>
      </w:r>
      <w:r w:rsidR="00837E92">
        <w:t>-</w:t>
      </w:r>
      <w:r w:rsidR="00135F34" w:rsidRPr="009F3A30">
        <w:t>kibocsátói</w:t>
      </w:r>
      <w:r w:rsidRPr="009F3A30">
        <w:t xml:space="preserve"> szektor </w:t>
      </w:r>
      <w:r w:rsidR="00F1659B" w:rsidRPr="009F3A30">
        <w:t xml:space="preserve">általi </w:t>
      </w:r>
      <w:r w:rsidRPr="009F3A30">
        <w:t xml:space="preserve">ellenőrzések megfelelőségét és minőségét tekintve </w:t>
      </w:r>
      <w:r w:rsidR="008C1A55">
        <w:t>a szolgáltatók</w:t>
      </w:r>
      <w:r w:rsidRPr="009F3A30">
        <w:t xml:space="preserve"> egészére kiterjedő, az egyes üzleti kapcsolatokra alkalmazott kockázatértékelést minősíti gyengének. A</w:t>
      </w:r>
      <w:r w:rsidR="00837E92">
        <w:t>z MNB a</w:t>
      </w:r>
      <w:r w:rsidRPr="009F3A30">
        <w:t xml:space="preserve"> kockázatot az ügyfelek kockázatértékelésével, a gyanús tranzakciók </w:t>
      </w:r>
      <w:r w:rsidR="0074184B">
        <w:t xml:space="preserve">a </w:t>
      </w:r>
      <w:proofErr w:type="spellStart"/>
      <w:r w:rsidR="00F36742">
        <w:t>NAV</w:t>
      </w:r>
      <w:proofErr w:type="spellEnd"/>
      <w:r w:rsidR="00F36742">
        <w:t xml:space="preserve"> </w:t>
      </w:r>
      <w:proofErr w:type="spellStart"/>
      <w:r w:rsidR="00F36742">
        <w:t>PEI-nek</w:t>
      </w:r>
      <w:proofErr w:type="spellEnd"/>
      <w:r w:rsidR="00F36742">
        <w:t xml:space="preserve"> történő be</w:t>
      </w:r>
      <w:r w:rsidRPr="009F3A30">
        <w:t>jelentésével, valamint az oktatással és a tudatossággal kapcsolatban azonosított.</w:t>
      </w:r>
    </w:p>
    <w:p w14:paraId="63DF719E" w14:textId="2BC9D294" w:rsidR="00F72740" w:rsidRPr="009F3A30" w:rsidRDefault="009C5FE6" w:rsidP="00F72740">
      <w:r w:rsidRPr="009F3A30">
        <w:t>A</w:t>
      </w:r>
      <w:r w:rsidR="00135F34" w:rsidRPr="009F3A30">
        <w:t>z</w:t>
      </w:r>
      <w:r w:rsidRPr="009F3A30">
        <w:t xml:space="preserve"> </w:t>
      </w:r>
      <w:r w:rsidR="00135F34" w:rsidRPr="009F3A30">
        <w:t>utalvány</w:t>
      </w:r>
      <w:r w:rsidR="00E25797">
        <w:t>-</w:t>
      </w:r>
      <w:r w:rsidR="00135F34" w:rsidRPr="009F3A30">
        <w:t>kiboc</w:t>
      </w:r>
      <w:r w:rsidR="00135F34" w:rsidRPr="00E25797">
        <w:t>sátói</w:t>
      </w:r>
      <w:r w:rsidR="00135F34" w:rsidRPr="009F3A30">
        <w:t xml:space="preserve"> </w:t>
      </w:r>
      <w:r w:rsidRPr="009F3A30">
        <w:t xml:space="preserve">tevékenységet jellemzően </w:t>
      </w:r>
      <w:r w:rsidR="00E25797" w:rsidRPr="00E25797">
        <w:t>az MNB</w:t>
      </w:r>
      <w:r w:rsidRPr="009F3A30">
        <w:t xml:space="preserve"> folyamatos felügyelés keretében, illetve </w:t>
      </w:r>
      <w:proofErr w:type="spellStart"/>
      <w:r w:rsidRPr="009F3A30">
        <w:t>off</w:t>
      </w:r>
      <w:proofErr w:type="spellEnd"/>
      <w:r w:rsidRPr="009F3A30">
        <w:t xml:space="preserve">-site jellegű vizsgálatokkal ellenőrzi. </w:t>
      </w:r>
      <w:r w:rsidR="00135F34" w:rsidRPr="009F3A30">
        <w:t>A</w:t>
      </w:r>
      <w:r w:rsidR="00E25797" w:rsidRPr="00E25797">
        <w:t>z MNB</w:t>
      </w:r>
      <w:r w:rsidR="00135F34" w:rsidRPr="000222BD">
        <w:t xml:space="preserve"> a</w:t>
      </w:r>
      <w:r w:rsidR="00135F34" w:rsidRPr="009F3A30">
        <w:t>z</w:t>
      </w:r>
      <w:r w:rsidRPr="009F3A30">
        <w:t xml:space="preserve"> </w:t>
      </w:r>
      <w:r w:rsidR="00135F34" w:rsidRPr="00E25797">
        <w:t>utalvány</w:t>
      </w:r>
      <w:r w:rsidR="00E25797" w:rsidRPr="00E25797">
        <w:t>-</w:t>
      </w:r>
      <w:r w:rsidR="00135F34" w:rsidRPr="00E25797">
        <w:t>kibocsátói</w:t>
      </w:r>
      <w:r w:rsidR="00135F34" w:rsidRPr="009F3A30">
        <w:t xml:space="preserve"> </w:t>
      </w:r>
      <w:r w:rsidRPr="009F3A30">
        <w:t xml:space="preserve">szektort </w:t>
      </w:r>
      <w:r w:rsidR="00135F34" w:rsidRPr="009F3A30">
        <w:t>a</w:t>
      </w:r>
      <w:r w:rsidRPr="009F3A30">
        <w:t xml:space="preserve"> szektor</w:t>
      </w:r>
      <w:r w:rsidR="001862F3" w:rsidRPr="009F3A30">
        <w:t xml:space="preserve">hoz tartozó szolgáltatók </w:t>
      </w:r>
      <w:r w:rsidRPr="009F3A30">
        <w:t xml:space="preserve">ügyfeleitől, </w:t>
      </w:r>
      <w:r w:rsidR="00F72740" w:rsidRPr="009F3A30">
        <w:t xml:space="preserve">illetve társhatóságoktól érkező panaszok és sajtófigyelés során szerzett információk alapján felügyeli, felmerülő kockázati jelzés alapján ellenőrzi. A </w:t>
      </w:r>
      <w:r w:rsidR="00E25797" w:rsidRPr="000222BD">
        <w:t>MNB</w:t>
      </w:r>
      <w:r w:rsidR="00F72740" w:rsidRPr="000222BD">
        <w:t>-nek</w:t>
      </w:r>
      <w:r w:rsidR="00F72740" w:rsidRPr="009F3A30">
        <w:t xml:space="preserve"> a szektort tekintve – a kockázatalapú megközelítésre, illetve a Kevésbé jelentős inherens kockázatra figyelemmel – csekély a rendelkezésre álló felügyeleti tapasztalata.  </w:t>
      </w:r>
    </w:p>
    <w:p w14:paraId="0E16B6B5" w14:textId="16F4B550" w:rsidR="009C5FE6" w:rsidRPr="009F3A30" w:rsidRDefault="009C5FE6" w:rsidP="009C5FE6">
      <w:r w:rsidRPr="009F3A30">
        <w:t xml:space="preserve">Megjegyzendő, hogy </w:t>
      </w:r>
      <w:r w:rsidR="002D416B" w:rsidRPr="009F3A30">
        <w:t>az utalvány</w:t>
      </w:r>
      <w:r w:rsidR="00E25797">
        <w:t>-</w:t>
      </w:r>
      <w:r w:rsidR="002D416B" w:rsidRPr="009F3A30">
        <w:t xml:space="preserve">kibocsátói </w:t>
      </w:r>
      <w:r w:rsidRPr="009F3A30">
        <w:t xml:space="preserve">szektor gyanús tranzakciókhoz kapcsolódó bejelentéseik száma a többi szektoréhoz viszonyítva alacsonyabb, azonban ez a Kevésbé jelentős inherens kockázati besorolásra tekintettel nem nevezhető szokatlannak, így kockázatot növelő tényezőnek. </w:t>
      </w:r>
    </w:p>
    <w:p w14:paraId="186BFE58" w14:textId="37C98B9B" w:rsidR="009C5FE6" w:rsidRPr="009F3A30" w:rsidRDefault="009C5FE6" w:rsidP="009C5FE6">
      <w:r w:rsidRPr="009F3A30">
        <w:t>Ez idáig a</w:t>
      </w:r>
      <w:r w:rsidR="00E25797" w:rsidRPr="000222BD">
        <w:t>z MNB</w:t>
      </w:r>
      <w:r w:rsidRPr="000222BD">
        <w:t>-nek</w:t>
      </w:r>
      <w:r w:rsidRPr="009F3A30">
        <w:t xml:space="preserve"> olyan kockázatot növelő tényező nem jutott a tudomására, amely hatással lenne az inherens kockázati tényezőre, annak eltérítését indokolná. </w:t>
      </w:r>
    </w:p>
    <w:p w14:paraId="02093F7A" w14:textId="77777777" w:rsidR="009C5FE6" w:rsidRPr="00A07F4E" w:rsidRDefault="009C5FE6" w:rsidP="00A07F4E">
      <w:pPr>
        <w:pStyle w:val="Cmsor3"/>
        <w:numPr>
          <w:ilvl w:val="0"/>
          <w:numId w:val="173"/>
        </w:numPr>
      </w:pPr>
      <w:bookmarkStart w:id="313" w:name="_Toc109906091"/>
      <w:r w:rsidRPr="00A07F4E">
        <w:t>Maradványkockázat</w:t>
      </w:r>
      <w:bookmarkEnd w:id="313"/>
    </w:p>
    <w:p w14:paraId="37D4E611" w14:textId="65225360" w:rsidR="009C5FE6" w:rsidRPr="009F3A30" w:rsidRDefault="00F72740" w:rsidP="009C5FE6">
      <w:r w:rsidRPr="009F3A30">
        <w:t xml:space="preserve">Ez idáig </w:t>
      </w:r>
      <w:r w:rsidRPr="00E25797">
        <w:t>a</w:t>
      </w:r>
      <w:r w:rsidR="00E25797" w:rsidRPr="00E25797">
        <w:t>z MNB</w:t>
      </w:r>
      <w:r w:rsidRPr="000222BD">
        <w:t>-nek</w:t>
      </w:r>
      <w:r w:rsidRPr="009F3A30">
        <w:t xml:space="preserve"> olyan kockázatot növelő tényező nem jutott a tudomására, amely hatással lenne az inherens kockázati tényezőre, annak eltérítését indokolná. </w:t>
      </w:r>
      <w:r w:rsidR="009C5FE6" w:rsidRPr="009F3A30">
        <w:t>A</w:t>
      </w:r>
      <w:r w:rsidR="00E25797">
        <w:t>z MNB</w:t>
      </w:r>
      <w:r w:rsidR="009C5FE6" w:rsidRPr="009F3A30">
        <w:t xml:space="preserve"> mérlegelve a szektornál részletezetteket a maradványkockázatot Kevésbé jelentősnek értékeli, amely az inherens kockázati besorolással megegyezik.  </w:t>
      </w:r>
    </w:p>
    <w:tbl>
      <w:tblPr>
        <w:tblW w:w="3180" w:type="dxa"/>
        <w:jc w:val="center"/>
        <w:tblCellMar>
          <w:left w:w="70" w:type="dxa"/>
          <w:right w:w="70" w:type="dxa"/>
        </w:tblCellMar>
        <w:tblLook w:val="04A0" w:firstRow="1" w:lastRow="0" w:firstColumn="1" w:lastColumn="0" w:noHBand="0" w:noVBand="1"/>
      </w:tblPr>
      <w:tblGrid>
        <w:gridCol w:w="1698"/>
        <w:gridCol w:w="1520"/>
      </w:tblGrid>
      <w:tr w:rsidR="009C5FE6" w:rsidRPr="00A07F4E" w14:paraId="30E5D1A0" w14:textId="77777777" w:rsidTr="002078C6">
        <w:trPr>
          <w:trHeight w:val="300"/>
          <w:jc w:val="center"/>
        </w:trPr>
        <w:tc>
          <w:tcPr>
            <w:tcW w:w="1660" w:type="dxa"/>
            <w:tcBorders>
              <w:top w:val="nil"/>
              <w:left w:val="nil"/>
              <w:bottom w:val="nil"/>
              <w:right w:val="nil"/>
            </w:tcBorders>
            <w:shd w:val="clear" w:color="auto" w:fill="auto"/>
            <w:noWrap/>
            <w:vAlign w:val="center"/>
            <w:hideMark/>
          </w:tcPr>
          <w:p w14:paraId="7D8ADD3C" w14:textId="77777777" w:rsidR="009C5FE6" w:rsidRPr="009F3A30" w:rsidRDefault="009C5FE6" w:rsidP="002078C6">
            <w:pPr>
              <w:spacing w:after="0" w:line="240" w:lineRule="auto"/>
              <w:jc w:val="center"/>
              <w:rPr>
                <w:b/>
                <w:color w:val="000000"/>
                <w:sz w:val="18"/>
              </w:rPr>
            </w:pPr>
            <w:r w:rsidRPr="009F3A30">
              <w:rPr>
                <w:b/>
                <w:color w:val="000000"/>
                <w:sz w:val="18"/>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564D71" w14:textId="77777777" w:rsidR="009C5FE6" w:rsidRPr="009F3A30" w:rsidRDefault="009C5FE6" w:rsidP="002078C6">
            <w:pPr>
              <w:spacing w:after="0" w:line="240" w:lineRule="auto"/>
              <w:jc w:val="center"/>
              <w:rPr>
                <w:color w:val="000000"/>
                <w:sz w:val="18"/>
              </w:rPr>
            </w:pPr>
            <w:r w:rsidRPr="009F3A30">
              <w:rPr>
                <w:color w:val="000000"/>
                <w:sz w:val="18"/>
              </w:rPr>
              <w:t>Kevésbé jelentős</w:t>
            </w:r>
          </w:p>
        </w:tc>
      </w:tr>
    </w:tbl>
    <w:p w14:paraId="6D3DF9ED" w14:textId="2D65DF0F" w:rsidR="00903043" w:rsidRPr="00A07F4E" w:rsidRDefault="00903043" w:rsidP="000222BD">
      <w:pPr>
        <w:pStyle w:val="Cmsor2"/>
      </w:pPr>
      <w:bookmarkStart w:id="314" w:name="_Toc109906092"/>
      <w:r w:rsidRPr="00A07F4E">
        <w:t>Piacműködtetők</w:t>
      </w:r>
      <w:r w:rsidR="00E25797">
        <w:rPr>
          <w:rStyle w:val="Lbjegyzet-hivatkozs"/>
        </w:rPr>
        <w:footnoteReference w:id="34"/>
      </w:r>
      <w:bookmarkEnd w:id="314"/>
    </w:p>
    <w:p w14:paraId="7DA9EFB5" w14:textId="77777777" w:rsidR="00903043" w:rsidRPr="00A07F4E" w:rsidRDefault="00903043" w:rsidP="00A07F4E">
      <w:pPr>
        <w:pStyle w:val="Cmsor3"/>
        <w:numPr>
          <w:ilvl w:val="0"/>
          <w:numId w:val="177"/>
        </w:numPr>
      </w:pPr>
      <w:bookmarkStart w:id="315" w:name="_Toc109906093"/>
      <w:r w:rsidRPr="00A07F4E">
        <w:t>A szektor méretére, tevékenységi körére és összetettségére vonatkozó információk összesített formában</w:t>
      </w:r>
      <w:bookmarkEnd w:id="315"/>
    </w:p>
    <w:p w14:paraId="7B5DE145" w14:textId="0216938F" w:rsidR="00903043" w:rsidRPr="009F3A30" w:rsidRDefault="00903043" w:rsidP="00903043">
      <w:r w:rsidRPr="009F3A30">
        <w:t>A</w:t>
      </w:r>
      <w:r w:rsidR="00E25797" w:rsidRPr="000222BD">
        <w:t>z MNB</w:t>
      </w:r>
      <w:r w:rsidRPr="000222BD">
        <w:t xml:space="preserve"> Magyarországon</w:t>
      </w:r>
      <w:r w:rsidRPr="009F3A30">
        <w:t xml:space="preserve"> </w:t>
      </w:r>
      <w:proofErr w:type="spellStart"/>
      <w:r w:rsidRPr="009F3A30">
        <w:t>AML</w:t>
      </w:r>
      <w:proofErr w:type="spellEnd"/>
      <w:r w:rsidRPr="009F3A30">
        <w:t>/</w:t>
      </w:r>
      <w:proofErr w:type="spellStart"/>
      <w:r w:rsidRPr="009F3A30">
        <w:t>CFT</w:t>
      </w:r>
      <w:proofErr w:type="spellEnd"/>
      <w:r w:rsidRPr="009F3A30">
        <w:t xml:space="preserve"> felügyeletet összesen </w:t>
      </w:r>
      <w:r w:rsidR="008817A0">
        <w:t>1-3 közötti számú</w:t>
      </w:r>
      <w:r w:rsidR="002078C6" w:rsidRPr="009F3A30">
        <w:t xml:space="preserve"> piacműködtető</w:t>
      </w:r>
      <w:r w:rsidRPr="009F3A30">
        <w:t xml:space="preserve"> felett gyakorol.</w:t>
      </w:r>
      <w:r w:rsidR="002078C6" w:rsidRPr="009F3A30">
        <w:t xml:space="preserve"> A piacműködtető olyan személy, amely irányítja, illetve működteti a szabályozott piac üzletvitelét, és amely maga a szabályozott piac. </w:t>
      </w:r>
      <w:r w:rsidRPr="009F3A30">
        <w:t xml:space="preserve"> </w:t>
      </w:r>
    </w:p>
    <w:p w14:paraId="5B981145" w14:textId="77777777" w:rsidR="00903043" w:rsidRPr="00A07F4E" w:rsidRDefault="00903043" w:rsidP="00A07F4E">
      <w:pPr>
        <w:pStyle w:val="Cmsor3"/>
        <w:numPr>
          <w:ilvl w:val="0"/>
          <w:numId w:val="177"/>
        </w:numPr>
      </w:pPr>
      <w:bookmarkStart w:id="316" w:name="_Toc109906094"/>
      <w:r w:rsidRPr="00A07F4E">
        <w:t>Inherens kockázatértékelés</w:t>
      </w:r>
      <w:bookmarkEnd w:id="316"/>
    </w:p>
    <w:p w14:paraId="73DB71FC" w14:textId="77777777" w:rsidR="00903043" w:rsidRPr="009F3A30" w:rsidRDefault="00903043" w:rsidP="00A07F4E">
      <w:pPr>
        <w:pStyle w:val="Listaszerbekezds"/>
        <w:numPr>
          <w:ilvl w:val="1"/>
          <w:numId w:val="39"/>
        </w:numPr>
        <w:ind w:left="851" w:hanging="284"/>
      </w:pPr>
      <w:r w:rsidRPr="009F3A30">
        <w:t xml:space="preserve">A </w:t>
      </w:r>
      <w:r w:rsidR="006055E9" w:rsidRPr="009F3A30">
        <w:t xml:space="preserve">piacműködtetői </w:t>
      </w:r>
      <w:r w:rsidRPr="009F3A30">
        <w:t>szektorban rejlő ML/</w:t>
      </w:r>
      <w:proofErr w:type="spellStart"/>
      <w:r w:rsidRPr="009F3A30">
        <w:t>TF</w:t>
      </w:r>
      <w:proofErr w:type="spellEnd"/>
      <w:r w:rsidRPr="009F3A30">
        <w:t xml:space="preserve"> kockázati tényezők</w:t>
      </w:r>
    </w:p>
    <w:p w14:paraId="44B0BC4B" w14:textId="1AEA7894" w:rsidR="00903043" w:rsidRDefault="00903043" w:rsidP="00903043">
      <w:r w:rsidRPr="000222BD">
        <w:t>A</w:t>
      </w:r>
      <w:r w:rsidR="00E25797" w:rsidRPr="006E35AE">
        <w:t>z MNB</w:t>
      </w:r>
      <w:r w:rsidRPr="006E35AE">
        <w:t xml:space="preserve"> az értékesítési csatornákban megjelenő kockázatot Mérsékelten jelentősnek, a földrajzi kitettségben, az ügyfelekben, termékekben/szolgáltatásokban rejlő kockázatokat pedig Kevésbé jelentősnek értékelte.</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E25797" w:rsidRPr="003168BA" w14:paraId="3D62EC24" w14:textId="77777777" w:rsidTr="00300DCA">
        <w:trPr>
          <w:trHeight w:val="314"/>
        </w:trPr>
        <w:tc>
          <w:tcPr>
            <w:tcW w:w="3061" w:type="dxa"/>
          </w:tcPr>
          <w:p w14:paraId="5B4C26FB" w14:textId="77777777" w:rsidR="00E25797" w:rsidRPr="00554E41" w:rsidRDefault="00E2579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138055A9" w14:textId="77777777" w:rsidR="00E25797" w:rsidRPr="00554E41" w:rsidRDefault="00E25797"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E25797" w:rsidRPr="003168BA" w14:paraId="1B0CD684" w14:textId="77777777" w:rsidTr="000222BD">
        <w:tc>
          <w:tcPr>
            <w:tcW w:w="3061" w:type="dxa"/>
            <w:shd w:val="clear" w:color="auto" w:fill="auto"/>
          </w:tcPr>
          <w:p w14:paraId="170A0051"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75BAD1BB"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25797" w14:paraId="07A10FB9" w14:textId="77777777" w:rsidTr="000222BD">
        <w:tc>
          <w:tcPr>
            <w:tcW w:w="3061" w:type="dxa"/>
            <w:shd w:val="clear" w:color="auto" w:fill="auto"/>
          </w:tcPr>
          <w:p w14:paraId="568E48DD"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2B8E27FE"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25797" w14:paraId="2A41BE92" w14:textId="77777777" w:rsidTr="000222BD">
        <w:trPr>
          <w:trHeight w:val="50"/>
        </w:trPr>
        <w:tc>
          <w:tcPr>
            <w:tcW w:w="3061" w:type="dxa"/>
            <w:shd w:val="clear" w:color="auto" w:fill="auto"/>
          </w:tcPr>
          <w:p w14:paraId="48E4D485"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0DB9C185"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E25797" w14:paraId="41F09CF5" w14:textId="77777777" w:rsidTr="000222BD">
        <w:tc>
          <w:tcPr>
            <w:tcW w:w="3061" w:type="dxa"/>
            <w:shd w:val="clear" w:color="auto" w:fill="auto"/>
          </w:tcPr>
          <w:p w14:paraId="3738A3CF"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12F0FB97" w14:textId="77777777" w:rsidR="00E25797" w:rsidRPr="00554E41" w:rsidRDefault="00E25797"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556BC882" w14:textId="77777777" w:rsidR="00E25797" w:rsidRPr="009F3A30" w:rsidRDefault="00E25797" w:rsidP="00903043"/>
    <w:p w14:paraId="6C4E9094" w14:textId="77777777" w:rsidR="00F63B33" w:rsidRPr="009F3A30" w:rsidRDefault="00F63B33" w:rsidP="00F63B33">
      <w:r w:rsidRPr="009F3A30">
        <w:lastRenderedPageBreak/>
        <w:t xml:space="preserve">Készpénz ügyletek nem jellemzőek és a szektor csak más szektorok közreműködésével tud jelentős összegű ügyleteket lebonyolítani, amely kockázatcsökkentő tényező. </w:t>
      </w:r>
    </w:p>
    <w:p w14:paraId="25CF5112" w14:textId="06690016" w:rsidR="00903043" w:rsidRPr="009F3A30" w:rsidRDefault="00F63B33" w:rsidP="000222BD">
      <w:r w:rsidRPr="00F63B33">
        <w:t>A piacműködtetők a tevékenységük során létrejövő üzleti kapcsolatokat tőzsdetagokkal és kibocsátókkal létesítenek, ami további kockázatot csökkentő tényező. A hazai értéktőzsde tekintetében valamennyi tőzsdetag MNB felügyelet vagy társfelügyelet alatt áll.</w:t>
      </w:r>
      <w:r w:rsidR="004813F4">
        <w:t xml:space="preserve"> </w:t>
      </w:r>
      <w:r w:rsidR="00903043" w:rsidRPr="009F3A30">
        <w:t xml:space="preserve">A </w:t>
      </w:r>
      <w:r w:rsidR="006055E9" w:rsidRPr="009F3A30">
        <w:t xml:space="preserve">piacműködtetői szektorban </w:t>
      </w:r>
      <w:r w:rsidR="00903043" w:rsidRPr="009F3A30">
        <w:t>rejlő, határokon átnyúló ML/</w:t>
      </w:r>
      <w:proofErr w:type="spellStart"/>
      <w:r w:rsidR="00903043" w:rsidRPr="009F3A30">
        <w:t>TF</w:t>
      </w:r>
      <w:proofErr w:type="spellEnd"/>
      <w:r w:rsidR="00903043" w:rsidRPr="009F3A30">
        <w:t xml:space="preserve"> kockázatok</w:t>
      </w:r>
    </w:p>
    <w:p w14:paraId="490E8C09" w14:textId="769B5C17" w:rsidR="00903043" w:rsidRPr="009F3A30" w:rsidRDefault="00903043" w:rsidP="00903043">
      <w:r w:rsidRPr="009F3A30">
        <w:t>A szektor</w:t>
      </w:r>
      <w:r w:rsidR="00F63B33">
        <w:t xml:space="preserve"> vonatkozásában az MNB nem azonosított határokon átnyúló ML/</w:t>
      </w:r>
      <w:proofErr w:type="spellStart"/>
      <w:r w:rsidR="00F63B33">
        <w:t>TF</w:t>
      </w:r>
      <w:proofErr w:type="spellEnd"/>
      <w:r w:rsidR="00F63B33">
        <w:t xml:space="preserve"> kockázatot. </w:t>
      </w:r>
      <w:r w:rsidRPr="009F3A30">
        <w:t xml:space="preserve"> </w:t>
      </w:r>
    </w:p>
    <w:p w14:paraId="4E1F06A4" w14:textId="4128C322" w:rsidR="00903043" w:rsidRPr="009F3A30" w:rsidRDefault="00F63B33" w:rsidP="00903043">
      <w:pPr>
        <w:rPr>
          <w:b/>
        </w:rPr>
      </w:pPr>
      <w:r w:rsidRPr="000222BD">
        <w:rPr>
          <w:b/>
        </w:rPr>
        <w:t>Az MNB</w:t>
      </w:r>
      <w:r w:rsidR="00903043" w:rsidRPr="009F3A30">
        <w:rPr>
          <w:b/>
        </w:rPr>
        <w:t xml:space="preserve"> értékelése alapján, figyelembe véve a fent részletezetteket a </w:t>
      </w:r>
      <w:r w:rsidR="002C35A2" w:rsidRPr="009F3A30">
        <w:rPr>
          <w:b/>
        </w:rPr>
        <w:t>piacműködtetői</w:t>
      </w:r>
      <w:r w:rsidR="006055E9" w:rsidRPr="009F3A30">
        <w:rPr>
          <w:b/>
        </w:rPr>
        <w:t xml:space="preserve"> szektor</w:t>
      </w:r>
      <w:r w:rsidR="00903043" w:rsidRPr="009F3A30">
        <w:rPr>
          <w:b/>
        </w:rPr>
        <w:t xml:space="preserve"> 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903043" w:rsidRPr="00A07F4E" w14:paraId="6FFB003B" w14:textId="77777777" w:rsidTr="002078C6">
        <w:trPr>
          <w:trHeight w:val="300"/>
          <w:jc w:val="center"/>
        </w:trPr>
        <w:tc>
          <w:tcPr>
            <w:tcW w:w="1780" w:type="dxa"/>
            <w:tcBorders>
              <w:top w:val="nil"/>
              <w:left w:val="nil"/>
              <w:bottom w:val="nil"/>
              <w:right w:val="nil"/>
            </w:tcBorders>
            <w:shd w:val="clear" w:color="auto" w:fill="auto"/>
            <w:noWrap/>
            <w:vAlign w:val="center"/>
            <w:hideMark/>
          </w:tcPr>
          <w:p w14:paraId="174EA576" w14:textId="77777777" w:rsidR="00903043" w:rsidRPr="009F3A30" w:rsidRDefault="00903043" w:rsidP="002078C6">
            <w:pPr>
              <w:spacing w:after="0" w:line="240" w:lineRule="auto"/>
              <w:jc w:val="center"/>
              <w:rPr>
                <w:b/>
                <w:color w:val="000000"/>
              </w:rPr>
            </w:pPr>
            <w:r w:rsidRPr="009F3A30">
              <w:rPr>
                <w:b/>
                <w:color w:val="000000"/>
              </w:rPr>
              <w:t>Inherens kockázat:</w:t>
            </w:r>
            <w:r w:rsidRPr="009F3A30">
              <w:rPr>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2E5837" w14:textId="77777777" w:rsidR="00903043" w:rsidRPr="009F3A30" w:rsidRDefault="00903043" w:rsidP="002078C6">
            <w:pPr>
              <w:spacing w:after="0" w:line="240" w:lineRule="auto"/>
              <w:jc w:val="center"/>
              <w:rPr>
                <w:color w:val="000000"/>
                <w:sz w:val="18"/>
              </w:rPr>
            </w:pPr>
            <w:r w:rsidRPr="009F3A30">
              <w:rPr>
                <w:color w:val="000000"/>
                <w:sz w:val="18"/>
              </w:rPr>
              <w:t>Kevésbé jelentős</w:t>
            </w:r>
          </w:p>
        </w:tc>
      </w:tr>
    </w:tbl>
    <w:p w14:paraId="0B44D7DD" w14:textId="77777777" w:rsidR="00903043" w:rsidRPr="009F3A30" w:rsidRDefault="00903043" w:rsidP="00903043"/>
    <w:p w14:paraId="6B19F9A5" w14:textId="77777777" w:rsidR="00903043" w:rsidRPr="00A07F4E" w:rsidRDefault="00903043" w:rsidP="00A07F4E">
      <w:pPr>
        <w:pStyle w:val="Cmsor3"/>
        <w:numPr>
          <w:ilvl w:val="0"/>
          <w:numId w:val="177"/>
        </w:numPr>
      </w:pPr>
      <w:bookmarkStart w:id="317" w:name="_Toc109906095"/>
      <w:r w:rsidRPr="00A07F4E">
        <w:t>Az ellenőrzések minősége, felügyeleti tevékenység, azonosított jogsértések</w:t>
      </w:r>
      <w:bookmarkEnd w:id="317"/>
    </w:p>
    <w:p w14:paraId="5E8B3044" w14:textId="0B7D8747" w:rsidR="0076680C" w:rsidRPr="009F3A30" w:rsidRDefault="00903043" w:rsidP="0076680C">
      <w:r w:rsidRPr="009F3A30">
        <w:t>A p</w:t>
      </w:r>
      <w:r w:rsidR="006055E9" w:rsidRPr="009F3A30">
        <w:t>iacműködtetők</w:t>
      </w:r>
      <w:r w:rsidRPr="009F3A30">
        <w:t xml:space="preserve"> tevékenységét </w:t>
      </w:r>
      <w:r w:rsidR="00F63B33">
        <w:t xml:space="preserve">az </w:t>
      </w:r>
      <w:r w:rsidR="00F63B33" w:rsidRPr="00F63B33">
        <w:t>MNB</w:t>
      </w:r>
      <w:r w:rsidR="0076680C" w:rsidRPr="009F3A30">
        <w:t xml:space="preserve"> jellemzően folyamatos felügyelés keretében, illetve </w:t>
      </w:r>
      <w:proofErr w:type="spellStart"/>
      <w:r w:rsidR="0076680C" w:rsidRPr="009F3A30">
        <w:t>off</w:t>
      </w:r>
      <w:proofErr w:type="spellEnd"/>
      <w:r w:rsidR="0076680C" w:rsidRPr="009F3A30">
        <w:t>-site jellegű vizsgálatokkal ellenőrzi. A</w:t>
      </w:r>
      <w:r w:rsidR="00F63B33" w:rsidRPr="00F63B33">
        <w:t>z MNB</w:t>
      </w:r>
      <w:r w:rsidR="0076680C" w:rsidRPr="009F3A30">
        <w:t xml:space="preserve"> a piacműködtetői szektor</w:t>
      </w:r>
      <w:r w:rsidR="002C35A2" w:rsidRPr="009F3A30">
        <w:t xml:space="preserve">hoz tartozó </w:t>
      </w:r>
      <w:r w:rsidR="008C1A55">
        <w:t>szolgáltatók</w:t>
      </w:r>
      <w:r w:rsidR="002C35A2" w:rsidRPr="009F3A30">
        <w:t xml:space="preserve"> </w:t>
      </w:r>
      <w:r w:rsidR="0076680C" w:rsidRPr="009F3A30">
        <w:t>ügyfele</w:t>
      </w:r>
      <w:r w:rsidR="002C35A2" w:rsidRPr="009F3A30">
        <w:t>i</w:t>
      </w:r>
      <w:r w:rsidR="0076680C" w:rsidRPr="009F3A30">
        <w:t>től</w:t>
      </w:r>
      <w:r w:rsidR="00E76015" w:rsidRPr="009F3A30">
        <w:t>,</w:t>
      </w:r>
      <w:r w:rsidR="0076680C" w:rsidRPr="009F3A30">
        <w:t xml:space="preserve"> illetve társhatóságoktól érkező panaszok és sajtófigyelés során szerzett információk alapján felügyeli, felmerülő kockázati jelzés alapján ellenőrzi. </w:t>
      </w:r>
      <w:r w:rsidR="0076680C" w:rsidRPr="00F63B33">
        <w:t>A</w:t>
      </w:r>
      <w:r w:rsidR="00F63B33" w:rsidRPr="00F63B33">
        <w:t>z MNB</w:t>
      </w:r>
      <w:r w:rsidR="0076680C" w:rsidRPr="000222BD">
        <w:t>-nek</w:t>
      </w:r>
      <w:r w:rsidR="0076680C" w:rsidRPr="009F3A30">
        <w:t xml:space="preserve"> a szektort tekintve – a kockázatalapú megközelítésre, illetve a Kevésbé jelentős inherens kockázatra figyelemmel – csekély a rendelkezésre álló felügyeleti tapasztalata.  </w:t>
      </w:r>
    </w:p>
    <w:p w14:paraId="1CC78E53" w14:textId="2CA99D99" w:rsidR="00903043" w:rsidRDefault="00903043" w:rsidP="00903043">
      <w:r w:rsidRPr="009F3A30">
        <w:t xml:space="preserve">Megjegyzendő, hogy a </w:t>
      </w:r>
      <w:r w:rsidR="00E76015" w:rsidRPr="009F3A30">
        <w:t>piacműködtetők</w:t>
      </w:r>
      <w:r w:rsidRPr="009F3A30">
        <w:t xml:space="preserve"> tranzakciókhoz kapcsolódó bejelentéseik száma a többi szektoréhoz viszonyítva alacsonyabb, azonban ez a Kevésbé jelentős inherens kockázati besorolásra tekintettel nem nevezhető szokatlannak, így kockázatot növelő tényezőnek. </w:t>
      </w:r>
    </w:p>
    <w:p w14:paraId="2EABD607" w14:textId="77777777" w:rsidR="00903043" w:rsidRPr="00A07F4E" w:rsidRDefault="00903043" w:rsidP="00A07F4E">
      <w:pPr>
        <w:pStyle w:val="Cmsor3"/>
        <w:numPr>
          <w:ilvl w:val="0"/>
          <w:numId w:val="177"/>
        </w:numPr>
      </w:pPr>
      <w:bookmarkStart w:id="318" w:name="_Toc109906096"/>
      <w:r w:rsidRPr="00A07F4E">
        <w:t>Maradványkockázat</w:t>
      </w:r>
      <w:bookmarkEnd w:id="318"/>
    </w:p>
    <w:p w14:paraId="113E9626" w14:textId="501F2A8F" w:rsidR="00903043" w:rsidRPr="009F3A30" w:rsidRDefault="00903043" w:rsidP="00903043">
      <w:r w:rsidRPr="009F3A30">
        <w:t>Ez idáig a</w:t>
      </w:r>
      <w:r w:rsidR="00F63B33" w:rsidRPr="000222BD">
        <w:t>z MNB</w:t>
      </w:r>
      <w:r w:rsidRPr="000222BD">
        <w:t>-nek</w:t>
      </w:r>
      <w:r w:rsidRPr="009F3A30">
        <w:t xml:space="preserve"> olyan kockázatot növelő tényező nem jutott a tudomására, amely hatással lenne az inherens kockázati tényezőre, annak eltérítését indokolná. </w:t>
      </w:r>
      <w:r w:rsidRPr="00F63B33">
        <w:t>A</w:t>
      </w:r>
      <w:r w:rsidR="00F63B33" w:rsidRPr="00F63B33">
        <w:t>z MNB</w:t>
      </w:r>
      <w:r w:rsidRPr="009F3A30">
        <w:t xml:space="preserve"> mérlegelve a szektornál részletezetteket a maradványkockázatot Kevésbé jelentősnek értékeli, amely az inherens kockázati besorolással megegyezik.  </w:t>
      </w:r>
    </w:p>
    <w:tbl>
      <w:tblPr>
        <w:tblW w:w="3180" w:type="dxa"/>
        <w:jc w:val="center"/>
        <w:tblCellMar>
          <w:left w:w="70" w:type="dxa"/>
          <w:right w:w="70" w:type="dxa"/>
        </w:tblCellMar>
        <w:tblLook w:val="04A0" w:firstRow="1" w:lastRow="0" w:firstColumn="1" w:lastColumn="0" w:noHBand="0" w:noVBand="1"/>
      </w:tblPr>
      <w:tblGrid>
        <w:gridCol w:w="1698"/>
        <w:gridCol w:w="1520"/>
      </w:tblGrid>
      <w:tr w:rsidR="00903043" w:rsidRPr="00A07F4E" w14:paraId="3EF57AFD" w14:textId="77777777" w:rsidTr="002078C6">
        <w:trPr>
          <w:trHeight w:val="300"/>
          <w:jc w:val="center"/>
        </w:trPr>
        <w:tc>
          <w:tcPr>
            <w:tcW w:w="1660" w:type="dxa"/>
            <w:tcBorders>
              <w:top w:val="nil"/>
              <w:left w:val="nil"/>
              <w:bottom w:val="nil"/>
              <w:right w:val="nil"/>
            </w:tcBorders>
            <w:shd w:val="clear" w:color="auto" w:fill="auto"/>
            <w:noWrap/>
            <w:vAlign w:val="center"/>
            <w:hideMark/>
          </w:tcPr>
          <w:p w14:paraId="2912EDD9" w14:textId="77777777" w:rsidR="00903043" w:rsidRPr="009F3A30" w:rsidRDefault="00903043" w:rsidP="002078C6">
            <w:pPr>
              <w:spacing w:after="0" w:line="240" w:lineRule="auto"/>
              <w:jc w:val="center"/>
              <w:rPr>
                <w:b/>
                <w:color w:val="000000"/>
                <w:sz w:val="18"/>
              </w:rPr>
            </w:pPr>
            <w:r w:rsidRPr="009F3A30">
              <w:rPr>
                <w:b/>
                <w:color w:val="000000"/>
                <w:sz w:val="18"/>
              </w:rPr>
              <w:t>Maradványkockázat:</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63B6098" w14:textId="77777777" w:rsidR="00903043" w:rsidRPr="009F3A30" w:rsidRDefault="00903043" w:rsidP="002078C6">
            <w:pPr>
              <w:spacing w:after="0" w:line="240" w:lineRule="auto"/>
              <w:jc w:val="center"/>
              <w:rPr>
                <w:color w:val="000000"/>
                <w:sz w:val="18"/>
              </w:rPr>
            </w:pPr>
            <w:r w:rsidRPr="009F3A30">
              <w:rPr>
                <w:color w:val="000000"/>
                <w:sz w:val="18"/>
              </w:rPr>
              <w:t>Kevésbé jelentős</w:t>
            </w:r>
          </w:p>
        </w:tc>
      </w:tr>
    </w:tbl>
    <w:p w14:paraId="6A7C1898" w14:textId="77777777" w:rsidR="00080478" w:rsidRPr="009F3A30" w:rsidRDefault="00080478" w:rsidP="00080478">
      <w:pPr>
        <w:rPr>
          <w:b/>
        </w:rPr>
      </w:pPr>
    </w:p>
    <w:p w14:paraId="35C87382" w14:textId="77777777" w:rsidR="00CF1116" w:rsidRPr="00A07F4E" w:rsidRDefault="00E45387" w:rsidP="000222BD">
      <w:pPr>
        <w:pStyle w:val="Cmsor2"/>
      </w:pPr>
      <w:bookmarkStart w:id="319" w:name="_Toc109906097"/>
      <w:r w:rsidRPr="00A07F4E">
        <w:t>Pénzpiaci közvetítő</w:t>
      </w:r>
      <w:r w:rsidR="001C1F19">
        <w:t>k</w:t>
      </w:r>
      <w:bookmarkEnd w:id="319"/>
      <w:r w:rsidRPr="00A07F4E">
        <w:t xml:space="preserve"> </w:t>
      </w:r>
    </w:p>
    <w:p w14:paraId="66041878" w14:textId="77777777" w:rsidR="004C585C" w:rsidRPr="00A07F4E" w:rsidRDefault="004C585C" w:rsidP="00A07F4E">
      <w:pPr>
        <w:pStyle w:val="Cmsor3"/>
        <w:numPr>
          <w:ilvl w:val="0"/>
          <w:numId w:val="182"/>
        </w:numPr>
      </w:pPr>
      <w:bookmarkStart w:id="320" w:name="_Toc109906098"/>
      <w:r w:rsidRPr="00A07F4E">
        <w:t>A szektor méretére, tevékenységi körére és összetettségére vonatkozó információk összesített formában</w:t>
      </w:r>
      <w:bookmarkEnd w:id="320"/>
    </w:p>
    <w:p w14:paraId="462B900E" w14:textId="372796D0" w:rsidR="004C585C" w:rsidRPr="009F3A30" w:rsidRDefault="004C585C" w:rsidP="004C585C">
      <w:r w:rsidRPr="000222BD">
        <w:t>A</w:t>
      </w:r>
      <w:r w:rsidR="00F63B33" w:rsidRPr="00F63B33">
        <w:t>z MNB</w:t>
      </w:r>
      <w:r w:rsidRPr="009F3A30">
        <w:t xml:space="preserve"> Magyarországon </w:t>
      </w:r>
      <w:proofErr w:type="spellStart"/>
      <w:r w:rsidRPr="009F3A30">
        <w:t>AML</w:t>
      </w:r>
      <w:proofErr w:type="spellEnd"/>
      <w:r w:rsidRPr="009F3A30">
        <w:t>/</w:t>
      </w:r>
      <w:proofErr w:type="spellStart"/>
      <w:r w:rsidRPr="009F3A30">
        <w:t>CFT</w:t>
      </w:r>
      <w:proofErr w:type="spellEnd"/>
      <w:r w:rsidRPr="009F3A30">
        <w:t xml:space="preserve"> felügyeletet összesen </w:t>
      </w:r>
      <w:r w:rsidR="004B0D1C" w:rsidRPr="00FC37B3">
        <w:t>1</w:t>
      </w:r>
      <w:r w:rsidR="004B0D1C">
        <w:t>5</w:t>
      </w:r>
      <w:r w:rsidR="004B0D1C" w:rsidRPr="00FC37B3">
        <w:t xml:space="preserve"> </w:t>
      </w:r>
      <w:r w:rsidR="00DA5E2B" w:rsidRPr="00FC37B3">
        <w:t>és 20 közötti</w:t>
      </w:r>
      <w:r w:rsidRPr="001203CB">
        <w:t xml:space="preserve"> </w:t>
      </w:r>
      <w:r w:rsidR="00DA5E2B" w:rsidRPr="009F3A30">
        <w:t>többes kiemelt közvetítő és alkusz</w:t>
      </w:r>
      <w:r w:rsidR="009D5483" w:rsidRPr="009F3A30">
        <w:t xml:space="preserve"> (a továbbiakban együttesen: </w:t>
      </w:r>
      <w:r w:rsidR="00E45387" w:rsidRPr="009F3A30">
        <w:t>pénzpiaci</w:t>
      </w:r>
      <w:r w:rsidR="003D5B98" w:rsidRPr="009F3A30">
        <w:t xml:space="preserve"> </w:t>
      </w:r>
      <w:r w:rsidR="009D5483" w:rsidRPr="009F3A30">
        <w:t>közvetítő)</w:t>
      </w:r>
      <w:r w:rsidRPr="009F3A30">
        <w:t xml:space="preserve"> felett gyakorol. A </w:t>
      </w:r>
      <w:r w:rsidR="00E45387" w:rsidRPr="009F3A30">
        <w:t xml:space="preserve">pénzpiaci </w:t>
      </w:r>
      <w:r w:rsidRPr="009F3A30">
        <w:t xml:space="preserve">közvetítők </w:t>
      </w:r>
      <w:r w:rsidR="009D5483" w:rsidRPr="009F3A30">
        <w:t>pénzügyi szolgáltatási</w:t>
      </w:r>
      <w:r w:rsidRPr="009F3A30">
        <w:t xml:space="preserve"> tevékenységet látnak el. </w:t>
      </w:r>
    </w:p>
    <w:p w14:paraId="10424879" w14:textId="37B91E1F" w:rsidR="003D5B98" w:rsidRDefault="003D5B98" w:rsidP="004C585C">
      <w:r w:rsidRPr="009F3A30">
        <w:t xml:space="preserve">Mind a többes kiemelt közvetítők, mind az alkuszok tevékenysége nem egy meghatározott pénzügyi intézmény pénzügyi szolgáltatási tevékenységéhez kapcsolódik, ezért a közvetítői tevékenységet a </w:t>
      </w:r>
      <w:r w:rsidR="00833B0D" w:rsidRPr="009F3A30">
        <w:t xml:space="preserve">pénzpiaci </w:t>
      </w:r>
      <w:r w:rsidRPr="009F3A30">
        <w:t>közvetítők az MNB által kiadott tevékenységi engedély alapján végezhetik.</w:t>
      </w:r>
      <w:r w:rsidR="00796D0F" w:rsidRPr="009F3A30">
        <w:t xml:space="preserve"> A többes kiemelt közvetítő tevékenységet több pénzügyi intézmény egymással versengő pénzügyi szolgáltatása vonatkozásában folytat.</w:t>
      </w:r>
    </w:p>
    <w:p w14:paraId="1D65F5DC" w14:textId="77777777" w:rsidR="004C585C" w:rsidRPr="00A07F4E" w:rsidRDefault="004C585C" w:rsidP="00A07F4E">
      <w:pPr>
        <w:pStyle w:val="Cmsor3"/>
        <w:numPr>
          <w:ilvl w:val="0"/>
          <w:numId w:val="182"/>
        </w:numPr>
      </w:pPr>
      <w:bookmarkStart w:id="321" w:name="_Toc106198085"/>
      <w:bookmarkStart w:id="322" w:name="_Toc106198731"/>
      <w:bookmarkStart w:id="323" w:name="_Toc106869669"/>
      <w:bookmarkStart w:id="324" w:name="_Toc107236534"/>
      <w:bookmarkStart w:id="325" w:name="_Toc107237442"/>
      <w:bookmarkStart w:id="326" w:name="_Toc107237772"/>
      <w:bookmarkStart w:id="327" w:name="_Toc109906099"/>
      <w:bookmarkEnd w:id="321"/>
      <w:bookmarkEnd w:id="322"/>
      <w:bookmarkEnd w:id="323"/>
      <w:bookmarkEnd w:id="324"/>
      <w:bookmarkEnd w:id="325"/>
      <w:bookmarkEnd w:id="326"/>
      <w:r w:rsidRPr="00A07F4E">
        <w:t>Inherens kockázatértékelés</w:t>
      </w:r>
      <w:bookmarkEnd w:id="327"/>
    </w:p>
    <w:p w14:paraId="2527E13C" w14:textId="77777777" w:rsidR="004C585C" w:rsidRPr="009F3A30" w:rsidRDefault="00176575" w:rsidP="00A07F4E">
      <w:pPr>
        <w:pStyle w:val="Listaszerbekezds"/>
        <w:numPr>
          <w:ilvl w:val="1"/>
          <w:numId w:val="44"/>
        </w:numPr>
        <w:ind w:left="851" w:hanging="284"/>
      </w:pPr>
      <w:r w:rsidRPr="009F3A30">
        <w:t xml:space="preserve">A </w:t>
      </w:r>
      <w:r w:rsidR="00833B0D" w:rsidRPr="009F3A30">
        <w:t>pénzpiaci közvetítői</w:t>
      </w:r>
      <w:r w:rsidR="004C585C" w:rsidRPr="009F3A30">
        <w:t xml:space="preserve"> szektorban rejlő ML/</w:t>
      </w:r>
      <w:proofErr w:type="spellStart"/>
      <w:r w:rsidR="004C585C" w:rsidRPr="009F3A30">
        <w:t>TF</w:t>
      </w:r>
      <w:proofErr w:type="spellEnd"/>
      <w:r w:rsidR="004C585C" w:rsidRPr="009F3A30">
        <w:t xml:space="preserve"> kockázati tényezők</w:t>
      </w:r>
    </w:p>
    <w:p w14:paraId="05F88EA5" w14:textId="210E670F" w:rsidR="004C585C" w:rsidRDefault="00F63B33" w:rsidP="004C585C">
      <w:r w:rsidRPr="006E35AE">
        <w:t>Az MNB</w:t>
      </w:r>
      <w:r w:rsidR="004C585C" w:rsidRPr="006E35AE">
        <w:t xml:space="preserve"> az értékesítési csatornákban megjelenő kockázatot Mérsékelten jelentősnek, a földrajzi kitettségben, az ügyfelekben, termékekben/szolgáltatásokban rejlő kockázatokat pedig Kevésbé jelentősnek értékelte.</w:t>
      </w:r>
    </w:p>
    <w:p w14:paraId="40946B6A" w14:textId="77777777" w:rsidR="00C63813" w:rsidRPr="009F3A30" w:rsidRDefault="00C63813" w:rsidP="004C585C"/>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474E01" w:rsidRPr="003168BA" w14:paraId="6152D2C1" w14:textId="77777777" w:rsidTr="00300DCA">
        <w:trPr>
          <w:trHeight w:val="314"/>
        </w:trPr>
        <w:tc>
          <w:tcPr>
            <w:tcW w:w="3061" w:type="dxa"/>
          </w:tcPr>
          <w:p w14:paraId="70F410E8" w14:textId="77777777" w:rsidR="00474E01" w:rsidRPr="00554E41" w:rsidRDefault="00474E01"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lastRenderedPageBreak/>
              <w:t>Kockázat megnevezése</w:t>
            </w:r>
          </w:p>
        </w:tc>
        <w:tc>
          <w:tcPr>
            <w:tcW w:w="3035" w:type="dxa"/>
          </w:tcPr>
          <w:p w14:paraId="5E398FE9" w14:textId="77777777" w:rsidR="00474E01" w:rsidRPr="00554E41" w:rsidRDefault="00474E01"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474E01" w:rsidRPr="003168BA" w14:paraId="17D9BAD5" w14:textId="77777777" w:rsidTr="00CF11CD">
        <w:tc>
          <w:tcPr>
            <w:tcW w:w="3061" w:type="dxa"/>
            <w:shd w:val="clear" w:color="auto" w:fill="auto"/>
          </w:tcPr>
          <w:p w14:paraId="416C32A5"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6EDFB96F"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474E01" w14:paraId="06E8EB95" w14:textId="77777777" w:rsidTr="00CF11CD">
        <w:tc>
          <w:tcPr>
            <w:tcW w:w="3061" w:type="dxa"/>
            <w:shd w:val="clear" w:color="auto" w:fill="auto"/>
          </w:tcPr>
          <w:p w14:paraId="16E13940"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595E04BF"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474E01" w14:paraId="684E4945" w14:textId="77777777" w:rsidTr="00CF11CD">
        <w:trPr>
          <w:trHeight w:val="50"/>
        </w:trPr>
        <w:tc>
          <w:tcPr>
            <w:tcW w:w="3061" w:type="dxa"/>
            <w:shd w:val="clear" w:color="auto" w:fill="auto"/>
          </w:tcPr>
          <w:p w14:paraId="30A25E97"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601387D1"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474E01" w14:paraId="7CAACF82" w14:textId="77777777" w:rsidTr="00CF11CD">
        <w:tc>
          <w:tcPr>
            <w:tcW w:w="3061" w:type="dxa"/>
            <w:shd w:val="clear" w:color="auto" w:fill="auto"/>
          </w:tcPr>
          <w:p w14:paraId="1E5DCEEF"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FFFF00"/>
          </w:tcPr>
          <w:p w14:paraId="0FD86BC3" w14:textId="77777777" w:rsidR="00474E01" w:rsidRPr="00554E41" w:rsidRDefault="00474E0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Mérsékelten jelentős</w:t>
            </w:r>
          </w:p>
        </w:tc>
      </w:tr>
    </w:tbl>
    <w:p w14:paraId="6973862C" w14:textId="77777777" w:rsidR="00447E4D" w:rsidRDefault="00447E4D" w:rsidP="00C63813">
      <w:pPr>
        <w:spacing w:before="120"/>
      </w:pPr>
      <w:r w:rsidRPr="00447E4D">
        <w:t xml:space="preserve">A </w:t>
      </w:r>
      <w:r>
        <w:t>p</w:t>
      </w:r>
      <w:r w:rsidRPr="00447E4D">
        <w:t>énzpiaci közvetítők a pénzügyi intézmények által nyújtott termékeket közvetítik, amelyek kockázata így minden esetben az ügyféllel szerződést kötő pénzügyi intézmény termékkockázatához igazodik.</w:t>
      </w:r>
    </w:p>
    <w:p w14:paraId="3017C0C7" w14:textId="47EDB721" w:rsidR="00447E4D" w:rsidRDefault="00447E4D" w:rsidP="004C585C">
      <w:r w:rsidRPr="00447E4D">
        <w:t xml:space="preserve">A </w:t>
      </w:r>
      <w:r>
        <w:t>p</w:t>
      </w:r>
      <w:r w:rsidRPr="00447E4D">
        <w:t xml:space="preserve">énzpiaci közvetítői tevékenység jellegéből adódóan jellemzően személyesen találkoznak az ügyfelekkel, más csatorna igénybevételére a tevékenység alaptermészetére tekintettel jellemzően nem kerül sor. Kockázat abban az esetben merül fel, ha a </w:t>
      </w:r>
      <w:r>
        <w:t>p</w:t>
      </w:r>
      <w:r w:rsidRPr="00447E4D">
        <w:t xml:space="preserve">énzpiaci közvetítő közvetítői alvállalkozót vesz igénybe, amelynek igénybevételével a személyes találkozás nem a </w:t>
      </w:r>
      <w:r>
        <w:t>p</w:t>
      </w:r>
      <w:r w:rsidRPr="00447E4D">
        <w:t>énzpiaci közvetítő és az ügyfél között valósul meg, hanem egy plusz szereplő, a közvetítői alvállalkozó és az ügyfél között.</w:t>
      </w:r>
    </w:p>
    <w:p w14:paraId="017787C7" w14:textId="186AE4FE" w:rsidR="008349C0" w:rsidRDefault="00447E4D" w:rsidP="004C585C">
      <w:r w:rsidRPr="00447E4D">
        <w:t xml:space="preserve">Tekintettel arra, hogy a </w:t>
      </w:r>
      <w:r>
        <w:t>p</w:t>
      </w:r>
      <w:r w:rsidRPr="00447E4D">
        <w:t xml:space="preserve">énzpiaci közvetítők kevesebb anyagi erőforrással rendelkeznek, mint például a hitelintézeti szektorhoz tartozó szolgáltatók, úgy a </w:t>
      </w:r>
      <w:r>
        <w:t>p</w:t>
      </w:r>
      <w:r w:rsidRPr="00447E4D">
        <w:t xml:space="preserve">énzpiaci közvetítők esetében különösen elmondható, hogy erősen fejlesztendőek az </w:t>
      </w:r>
      <w:proofErr w:type="spellStart"/>
      <w:r w:rsidRPr="00447E4D">
        <w:t>AML</w:t>
      </w:r>
      <w:proofErr w:type="spellEnd"/>
      <w:r w:rsidRPr="00447E4D">
        <w:t xml:space="preserve"> eljárások, így különösen fejlesztendő </w:t>
      </w:r>
      <w:proofErr w:type="spellStart"/>
      <w:r w:rsidRPr="00447E4D">
        <w:t>AML</w:t>
      </w:r>
      <w:proofErr w:type="spellEnd"/>
      <w:r w:rsidRPr="00447E4D">
        <w:t xml:space="preserve"> tranzakció </w:t>
      </w:r>
      <w:proofErr w:type="spellStart"/>
      <w:r w:rsidRPr="00447E4D">
        <w:t>monitoringgal</w:t>
      </w:r>
      <w:proofErr w:type="spellEnd"/>
      <w:r w:rsidRPr="00447E4D">
        <w:t xml:space="preserve"> és gyanús ügyletek bejelentésére vonatkozó politikákkal és eljárásokkal rendelkeznek.</w:t>
      </w:r>
      <w:r w:rsidR="008349C0">
        <w:t xml:space="preserve"> </w:t>
      </w:r>
      <w:r w:rsidR="008349C0" w:rsidRPr="008349C0">
        <w:t xml:space="preserve">A szolgáltatók továbbra is szabályalapú megoldásokat vagy utasításokat várnak az </w:t>
      </w:r>
      <w:proofErr w:type="spellStart"/>
      <w:r w:rsidR="008349C0" w:rsidRPr="008349C0">
        <w:t>AML</w:t>
      </w:r>
      <w:proofErr w:type="spellEnd"/>
      <w:r w:rsidR="008349C0" w:rsidRPr="008349C0">
        <w:t>/</w:t>
      </w:r>
      <w:proofErr w:type="spellStart"/>
      <w:r w:rsidR="008349C0" w:rsidRPr="008349C0">
        <w:t>CFT</w:t>
      </w:r>
      <w:proofErr w:type="spellEnd"/>
      <w:r w:rsidR="008349C0" w:rsidRPr="008349C0">
        <w:t xml:space="preserve"> politikák végrehajtásához,</w:t>
      </w:r>
      <w:r w:rsidR="008349C0">
        <w:t xml:space="preserve"> pénzeszköz forrás vizsgálatának gyakorlata nem </w:t>
      </w:r>
      <w:r w:rsidR="00073881">
        <w:t>kielégítő,</w:t>
      </w:r>
      <w:r w:rsidR="008349C0">
        <w:t xml:space="preserve"> illetve </w:t>
      </w:r>
      <w:r w:rsidR="008349C0" w:rsidRPr="008349C0">
        <w:t>a kockázatalapú megközelítést nem hajtják végre kellőképpen, amely belső kontroll hiányosságokat eredményeznek.</w:t>
      </w:r>
      <w:r w:rsidR="008349C0">
        <w:t xml:space="preserve"> </w:t>
      </w:r>
    </w:p>
    <w:p w14:paraId="46A76A90" w14:textId="77777777" w:rsidR="004C585C" w:rsidRPr="009F3A30" w:rsidRDefault="004C585C" w:rsidP="004C585C">
      <w:r w:rsidRPr="009F3A30">
        <w:t xml:space="preserve">Jellemző a közvetítő és az üzleti kapcsolat többi szereplője közötti elégtelen együttműködés, kommunikáció, amely befolyásolja a hatékonyságot, amely kockázatot növelő tényezőnek minősül. </w:t>
      </w:r>
      <w:r w:rsidR="00C91EB8" w:rsidRPr="009F3A30">
        <w:t>Továbbá, j</w:t>
      </w:r>
      <w:r w:rsidR="00176575" w:rsidRPr="009F3A30">
        <w:t>elen</w:t>
      </w:r>
      <w:r w:rsidRPr="009F3A30">
        <w:t xml:space="preserve"> szektor különösen "profitorientált" lehet a főként jutalékokon alapuló javadalmazási rendszere miatt</w:t>
      </w:r>
      <w:r w:rsidR="00176575" w:rsidRPr="009F3A30">
        <w:t>, amely</w:t>
      </w:r>
      <w:r w:rsidRPr="009F3A30">
        <w:t xml:space="preserve"> következtében sérülhet a </w:t>
      </w:r>
      <w:proofErr w:type="spellStart"/>
      <w:r w:rsidRPr="009F3A30">
        <w:t>pénzmosás</w:t>
      </w:r>
      <w:proofErr w:type="spellEnd"/>
      <w:r w:rsidRPr="009F3A30">
        <w:t xml:space="preserve"> elleni küzdelemnek való megfelelés.</w:t>
      </w:r>
    </w:p>
    <w:p w14:paraId="1FAFEF41" w14:textId="77777777" w:rsidR="00176575" w:rsidRPr="009F3A30" w:rsidRDefault="00176575" w:rsidP="00A07F4E">
      <w:pPr>
        <w:pStyle w:val="Listaszerbekezds"/>
        <w:numPr>
          <w:ilvl w:val="0"/>
          <w:numId w:val="45"/>
        </w:numPr>
        <w:ind w:left="851" w:hanging="284"/>
      </w:pPr>
      <w:r w:rsidRPr="009F3A30">
        <w:t xml:space="preserve">A </w:t>
      </w:r>
      <w:r w:rsidR="007E5925" w:rsidRPr="009F3A30">
        <w:t>pénzpiaci közvetítői</w:t>
      </w:r>
      <w:r w:rsidRPr="009F3A30">
        <w:t xml:space="preserve"> szektorban rejlő</w:t>
      </w:r>
      <w:r w:rsidR="00232F42" w:rsidRPr="009F3A30">
        <w:t>, határokon átnyúló ML/</w:t>
      </w:r>
      <w:proofErr w:type="spellStart"/>
      <w:r w:rsidR="00232F42" w:rsidRPr="009F3A30">
        <w:t>TF</w:t>
      </w:r>
      <w:proofErr w:type="spellEnd"/>
      <w:r w:rsidR="00232F42" w:rsidRPr="009F3A30">
        <w:t xml:space="preserve"> kockázatok</w:t>
      </w:r>
    </w:p>
    <w:p w14:paraId="3B7A5B64" w14:textId="77777777" w:rsidR="004C585C" w:rsidRPr="009F3A30" w:rsidRDefault="004C585C" w:rsidP="004C585C">
      <w:r w:rsidRPr="009F3A30">
        <w:t>A szektorra nem jellemző a külföldi érintettség, tipikusan magyar ügyfelekkel rendelkeznek a szektorhoz tarto</w:t>
      </w:r>
      <w:r w:rsidR="00232F42" w:rsidRPr="009F3A30">
        <w:t>zó közvetítők</w:t>
      </w:r>
      <w:r w:rsidRPr="009F3A30">
        <w:t xml:space="preserve">. </w:t>
      </w:r>
    </w:p>
    <w:p w14:paraId="6010EFCE" w14:textId="611BB808" w:rsidR="004C585C" w:rsidRPr="009F3A30" w:rsidRDefault="004C585C" w:rsidP="004C585C">
      <w:pPr>
        <w:rPr>
          <w:b/>
        </w:rPr>
      </w:pPr>
      <w:r w:rsidRPr="000222BD">
        <w:rPr>
          <w:b/>
        </w:rPr>
        <w:t>A</w:t>
      </w:r>
      <w:r w:rsidR="008349C0" w:rsidRPr="008349C0">
        <w:rPr>
          <w:b/>
        </w:rPr>
        <w:t>z MNB</w:t>
      </w:r>
      <w:r w:rsidRPr="009F3A30">
        <w:rPr>
          <w:b/>
        </w:rPr>
        <w:t xml:space="preserve"> értékelése alapján </w:t>
      </w:r>
      <w:r w:rsidR="004C5784" w:rsidRPr="009F3A30">
        <w:rPr>
          <w:b/>
        </w:rPr>
        <w:t xml:space="preserve">a </w:t>
      </w:r>
      <w:r w:rsidR="008F2DDC" w:rsidRPr="009F3A30">
        <w:rPr>
          <w:b/>
        </w:rPr>
        <w:t>pénzpiaci közvetítő</w:t>
      </w:r>
      <w:r w:rsidR="004C5784" w:rsidRPr="009F3A30">
        <w:rPr>
          <w:b/>
        </w:rPr>
        <w:t xml:space="preserve"> </w:t>
      </w:r>
      <w:r w:rsidRPr="009F3A30">
        <w:rPr>
          <w:b/>
        </w:rPr>
        <w:t>szektor 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4C585C" w:rsidRPr="00A07F4E" w14:paraId="2450CA3C" w14:textId="77777777" w:rsidTr="009A6A66">
        <w:trPr>
          <w:trHeight w:val="300"/>
          <w:jc w:val="center"/>
        </w:trPr>
        <w:tc>
          <w:tcPr>
            <w:tcW w:w="1780" w:type="dxa"/>
            <w:tcBorders>
              <w:top w:val="nil"/>
              <w:left w:val="nil"/>
              <w:bottom w:val="nil"/>
              <w:right w:val="nil"/>
            </w:tcBorders>
            <w:shd w:val="clear" w:color="auto" w:fill="auto"/>
            <w:noWrap/>
            <w:vAlign w:val="center"/>
            <w:hideMark/>
          </w:tcPr>
          <w:p w14:paraId="04CCA1EF" w14:textId="77777777" w:rsidR="004C585C" w:rsidRPr="009F3A30" w:rsidRDefault="004C585C" w:rsidP="009A6A66">
            <w:pPr>
              <w:spacing w:after="0" w:line="240" w:lineRule="auto"/>
              <w:jc w:val="center"/>
              <w:rPr>
                <w:b/>
                <w:color w:val="000000"/>
              </w:rPr>
            </w:pPr>
            <w:r w:rsidRPr="009F3A30">
              <w:rPr>
                <w:b/>
                <w:color w:val="000000"/>
              </w:rPr>
              <w:t>Inherens kockázat:</w:t>
            </w:r>
            <w:r w:rsidRPr="009F3A30">
              <w:rPr>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6CF71C" w14:textId="77777777" w:rsidR="004C585C" w:rsidRPr="009F3A30" w:rsidRDefault="004C585C" w:rsidP="009A6A66">
            <w:pPr>
              <w:spacing w:after="0" w:line="240" w:lineRule="auto"/>
              <w:jc w:val="center"/>
              <w:rPr>
                <w:color w:val="000000"/>
                <w:sz w:val="18"/>
              </w:rPr>
            </w:pPr>
            <w:r w:rsidRPr="009F3A30">
              <w:rPr>
                <w:color w:val="000000"/>
                <w:sz w:val="18"/>
              </w:rPr>
              <w:t>Kevésbé jelentős</w:t>
            </w:r>
          </w:p>
        </w:tc>
      </w:tr>
    </w:tbl>
    <w:p w14:paraId="4A6B2A33" w14:textId="77777777" w:rsidR="004C585C" w:rsidRPr="009F3A30" w:rsidRDefault="004C585C" w:rsidP="004C585C"/>
    <w:p w14:paraId="0C3ECE88" w14:textId="77777777" w:rsidR="00822752" w:rsidRPr="00A07F4E" w:rsidRDefault="00822752" w:rsidP="00A07F4E">
      <w:pPr>
        <w:pStyle w:val="Cmsor3"/>
        <w:numPr>
          <w:ilvl w:val="0"/>
          <w:numId w:val="182"/>
        </w:numPr>
      </w:pPr>
      <w:bookmarkStart w:id="328" w:name="_Toc109906100"/>
      <w:r w:rsidRPr="00A07F4E">
        <w:t>Az ellenőrzések minősége, felügyeleti tevékenység, azonosított jogsértések</w:t>
      </w:r>
      <w:bookmarkEnd w:id="328"/>
    </w:p>
    <w:p w14:paraId="6085EF60" w14:textId="4812D41B" w:rsidR="00822752" w:rsidRPr="009F3A30" w:rsidRDefault="008349C0" w:rsidP="00822752">
      <w:r w:rsidRPr="000222BD">
        <w:t>Az MNB</w:t>
      </w:r>
      <w:r w:rsidR="00822752" w:rsidRPr="000222BD">
        <w:t xml:space="preserve"> a</w:t>
      </w:r>
      <w:r w:rsidR="00822752" w:rsidRPr="009F3A30">
        <w:t xml:space="preserve"> többes kiemelt közvetítő</w:t>
      </w:r>
      <w:r w:rsidR="00F1659B" w:rsidRPr="009F3A30">
        <w:t>k</w:t>
      </w:r>
      <w:r w:rsidR="00822752" w:rsidRPr="009F3A30">
        <w:t xml:space="preserve"> és alkusz</w:t>
      </w:r>
      <w:r w:rsidR="00F1659B" w:rsidRPr="009F3A30">
        <w:t xml:space="preserve">ok általi </w:t>
      </w:r>
      <w:r w:rsidR="00822752" w:rsidRPr="009F3A30">
        <w:t>ellenőrzések megfelelőségét és minőségét tekintve a</w:t>
      </w:r>
      <w:r w:rsidR="00E45387" w:rsidRPr="009F3A30">
        <w:t xml:space="preserve"> </w:t>
      </w:r>
      <w:r w:rsidR="009F14B0" w:rsidRPr="009F3A30">
        <w:t>pénzpiaci közvetítő</w:t>
      </w:r>
      <w:r w:rsidR="00E45387" w:rsidRPr="009F3A30">
        <w:t xml:space="preserve">k </w:t>
      </w:r>
      <w:r w:rsidR="00822752" w:rsidRPr="009F3A30">
        <w:t xml:space="preserve">egészére kiterjedő, az egyes üzleti kapcsolatokra alkalmazott kockázatértékelést minősíti gyengének. </w:t>
      </w:r>
      <w:r w:rsidR="00822752" w:rsidRPr="000222BD">
        <w:t>A</w:t>
      </w:r>
      <w:r w:rsidRPr="000222BD">
        <w:t>z MNB</w:t>
      </w:r>
      <w:r w:rsidR="00D8607F">
        <w:t xml:space="preserve"> </w:t>
      </w:r>
      <w:r w:rsidR="00822752" w:rsidRPr="009F3A30">
        <w:t>kockázatot az ügyfelek kockázatértékelésével, a gyanús tranzakciók jelentésével, valamint az oktatással és a tudatossággal kapcsolatban azonosított.</w:t>
      </w:r>
    </w:p>
    <w:p w14:paraId="0D3D2A04" w14:textId="084B942E" w:rsidR="00822752" w:rsidRPr="009F3A30" w:rsidRDefault="00822752" w:rsidP="00822752">
      <w:r w:rsidRPr="009F3A30">
        <w:t>A</w:t>
      </w:r>
      <w:r w:rsidR="00E45387" w:rsidRPr="009F3A30">
        <w:t xml:space="preserve"> </w:t>
      </w:r>
      <w:r w:rsidR="009F14B0" w:rsidRPr="009F3A30">
        <w:t>pénzpiaci közvetítő</w:t>
      </w:r>
      <w:r w:rsidR="00E45387" w:rsidRPr="009F3A30">
        <w:t xml:space="preserve">i </w:t>
      </w:r>
      <w:r w:rsidRPr="009F3A30">
        <w:t xml:space="preserve">tevékenységet </w:t>
      </w:r>
      <w:r w:rsidR="008349C0" w:rsidRPr="000222BD">
        <w:t>az MNB</w:t>
      </w:r>
      <w:r w:rsidRPr="008349C0">
        <w:t xml:space="preserve"> </w:t>
      </w:r>
      <w:r w:rsidRPr="009F3A30">
        <w:t xml:space="preserve">jellemzően folyamatos felügyelés keretében, illetve </w:t>
      </w:r>
      <w:proofErr w:type="spellStart"/>
      <w:r w:rsidRPr="009F3A30">
        <w:t>off</w:t>
      </w:r>
      <w:proofErr w:type="spellEnd"/>
      <w:r w:rsidRPr="009F3A30">
        <w:t xml:space="preserve">-site jellegű vizsgálatokkal ellenőrzi. </w:t>
      </w:r>
      <w:r w:rsidR="008349C0" w:rsidRPr="000222BD">
        <w:t>Az MNB</w:t>
      </w:r>
      <w:r w:rsidRPr="000222BD">
        <w:t xml:space="preserve"> </w:t>
      </w:r>
      <w:r w:rsidR="00E45387" w:rsidRPr="000222BD">
        <w:t>a</w:t>
      </w:r>
      <w:r w:rsidR="00E45387" w:rsidRPr="009F3A30">
        <w:t xml:space="preserve"> </w:t>
      </w:r>
      <w:r w:rsidR="007E5925" w:rsidRPr="009F3A30">
        <w:t>pénzpiaci közvetítői</w:t>
      </w:r>
      <w:r w:rsidR="00E45387" w:rsidRPr="009F3A30">
        <w:t xml:space="preserve"> </w:t>
      </w:r>
      <w:r w:rsidRPr="009F3A30">
        <w:t xml:space="preserve">szektort </w:t>
      </w:r>
      <w:r w:rsidR="007E5925" w:rsidRPr="009F3A30">
        <w:t>a közvetítők</w:t>
      </w:r>
      <w:r w:rsidR="00E45387" w:rsidRPr="009F3A30">
        <w:t xml:space="preserve"> </w:t>
      </w:r>
      <w:r w:rsidRPr="009F3A30">
        <w:t xml:space="preserve">ügyfeleitől, illetve társhatóságoktól érkező panaszok és sajtófigyelés során szerzett információk alapján felügyeli, felmerülő kockázati jelzés alapján ellenőrzi. </w:t>
      </w:r>
      <w:r w:rsidRPr="008349C0">
        <w:t>A</w:t>
      </w:r>
      <w:r w:rsidR="008349C0" w:rsidRPr="000222BD">
        <w:t>z MNB</w:t>
      </w:r>
      <w:r w:rsidRPr="00B36190">
        <w:t xml:space="preserve"> </w:t>
      </w:r>
      <w:r w:rsidRPr="000222BD">
        <w:t>a</w:t>
      </w:r>
      <w:r w:rsidRPr="009F3A30">
        <w:t xml:space="preserve"> szektort tekintve – a kockázatalapú megközelítésre, illetve a Kevésbé jelentős inherens kockázatra figyelemmel – csekély a rendelkezésre álló felügyeleti tapasztalata.  </w:t>
      </w:r>
    </w:p>
    <w:p w14:paraId="7E81A3C1" w14:textId="77777777" w:rsidR="00822752" w:rsidRPr="009F3A30" w:rsidRDefault="00822752" w:rsidP="00822752">
      <w:r w:rsidRPr="009F3A30">
        <w:t xml:space="preserve">Megjegyzendő, hogy </w:t>
      </w:r>
      <w:r w:rsidR="007E5925" w:rsidRPr="009F3A30">
        <w:t>a pénzpiaci közvetítői</w:t>
      </w:r>
      <w:r w:rsidR="00E45387" w:rsidRPr="009F3A30">
        <w:t xml:space="preserve"> </w:t>
      </w:r>
      <w:r w:rsidRPr="009F3A30">
        <w:t xml:space="preserve">szektor gyanús tranzakciókhoz kapcsolódó bejelentéseik száma a többi szektoréhoz viszonyítva alacsonyabb, azonban ez a Kevésbé jelentős inherens kockázati besorolásra tekintettel nem nevezhető szokatlannak, így kockázatot növelő tényezőnek. </w:t>
      </w:r>
    </w:p>
    <w:p w14:paraId="4E742E2E" w14:textId="1803D097" w:rsidR="00822752" w:rsidRPr="009F3A30" w:rsidRDefault="00822752" w:rsidP="00822752">
      <w:r w:rsidRPr="009F3A30">
        <w:lastRenderedPageBreak/>
        <w:t>Ez idáig a</w:t>
      </w:r>
      <w:r w:rsidR="008349C0" w:rsidRPr="000222BD">
        <w:t>z MNB</w:t>
      </w:r>
      <w:r w:rsidRPr="000222BD">
        <w:t>-nek</w:t>
      </w:r>
      <w:r w:rsidRPr="009F3A30">
        <w:t xml:space="preserve"> olyan kockázatot növelő tényező nem jutott a tudomására, amely hatással lenne az inherens kockázati tényezőre, annak eltérítését indokolná. </w:t>
      </w:r>
    </w:p>
    <w:p w14:paraId="5A1C7958" w14:textId="77777777" w:rsidR="004C585C" w:rsidRPr="00A07F4E" w:rsidRDefault="004C585C" w:rsidP="00A07F4E">
      <w:pPr>
        <w:pStyle w:val="Cmsor3"/>
        <w:numPr>
          <w:ilvl w:val="0"/>
          <w:numId w:val="182"/>
        </w:numPr>
      </w:pPr>
      <w:bookmarkStart w:id="329" w:name="_Toc109906101"/>
      <w:r w:rsidRPr="00A07F4E">
        <w:t>Maradványkockázat</w:t>
      </w:r>
      <w:bookmarkEnd w:id="329"/>
    </w:p>
    <w:p w14:paraId="11680E9F" w14:textId="149E7865" w:rsidR="004C585C" w:rsidRPr="009F3A30" w:rsidRDefault="004C585C" w:rsidP="004C585C">
      <w:r w:rsidRPr="008349C0">
        <w:t>A</w:t>
      </w:r>
      <w:r w:rsidR="008349C0" w:rsidRPr="008349C0">
        <w:t>z MNB</w:t>
      </w:r>
      <w:r w:rsidRPr="009F3A30">
        <w:t xml:space="preserve"> mérlegelve a szektornál részletezetteket a maradványkockázatot Kevésbé jelentősnek értékeli. Az inherens kockázati besorolás megegyezik a maradványkockázattal.</w:t>
      </w:r>
    </w:p>
    <w:tbl>
      <w:tblPr>
        <w:tblW w:w="3680" w:type="dxa"/>
        <w:jc w:val="center"/>
        <w:tblCellMar>
          <w:left w:w="70" w:type="dxa"/>
          <w:right w:w="70" w:type="dxa"/>
        </w:tblCellMar>
        <w:tblLook w:val="04A0" w:firstRow="1" w:lastRow="0" w:firstColumn="1" w:lastColumn="0" w:noHBand="0" w:noVBand="1"/>
      </w:tblPr>
      <w:tblGrid>
        <w:gridCol w:w="1871"/>
        <w:gridCol w:w="1900"/>
      </w:tblGrid>
      <w:tr w:rsidR="004C585C" w:rsidRPr="00A07F4E" w14:paraId="5CCA086D" w14:textId="77777777" w:rsidTr="009A6A66">
        <w:trPr>
          <w:trHeight w:val="300"/>
          <w:jc w:val="center"/>
        </w:trPr>
        <w:tc>
          <w:tcPr>
            <w:tcW w:w="1780" w:type="dxa"/>
            <w:tcBorders>
              <w:top w:val="nil"/>
              <w:left w:val="nil"/>
              <w:bottom w:val="nil"/>
              <w:right w:val="nil"/>
            </w:tcBorders>
            <w:shd w:val="clear" w:color="auto" w:fill="auto"/>
            <w:noWrap/>
            <w:vAlign w:val="center"/>
            <w:hideMark/>
          </w:tcPr>
          <w:p w14:paraId="6005A195" w14:textId="77777777" w:rsidR="004C585C" w:rsidRPr="009F3A30" w:rsidRDefault="004C585C" w:rsidP="009A6A66">
            <w:pPr>
              <w:spacing w:after="0" w:line="240" w:lineRule="auto"/>
              <w:jc w:val="center"/>
              <w:rPr>
                <w:b/>
                <w:color w:val="000000"/>
              </w:rPr>
            </w:pPr>
            <w:r w:rsidRPr="009F3A30">
              <w:rPr>
                <w:b/>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14B755" w14:textId="77777777" w:rsidR="004C585C" w:rsidRPr="009F3A30" w:rsidRDefault="004C585C" w:rsidP="009A6A66">
            <w:pPr>
              <w:spacing w:after="0" w:line="240" w:lineRule="auto"/>
              <w:jc w:val="center"/>
              <w:rPr>
                <w:color w:val="000000"/>
                <w:sz w:val="18"/>
              </w:rPr>
            </w:pPr>
            <w:r w:rsidRPr="009F3A30">
              <w:rPr>
                <w:color w:val="000000"/>
                <w:sz w:val="18"/>
              </w:rPr>
              <w:t>Kevésbé jelentős</w:t>
            </w:r>
          </w:p>
        </w:tc>
      </w:tr>
    </w:tbl>
    <w:p w14:paraId="4DB2218D" w14:textId="37C88300" w:rsidR="00A846A3" w:rsidRPr="00A07F4E" w:rsidRDefault="00A846A3" w:rsidP="000222BD">
      <w:pPr>
        <w:pStyle w:val="Cmsor2"/>
      </w:pPr>
      <w:bookmarkStart w:id="330" w:name="_Toc109906102"/>
      <w:r w:rsidRPr="00A07F4E">
        <w:t>Pénzfeldolgozók</w:t>
      </w:r>
      <w:r w:rsidR="008349C0">
        <w:rPr>
          <w:rStyle w:val="Lbjegyzet-hivatkozs"/>
        </w:rPr>
        <w:footnoteReference w:id="35"/>
      </w:r>
      <w:bookmarkEnd w:id="330"/>
    </w:p>
    <w:p w14:paraId="45BE03E6" w14:textId="77777777" w:rsidR="00A846A3" w:rsidRPr="00A07F4E" w:rsidRDefault="00A846A3" w:rsidP="00A07F4E">
      <w:pPr>
        <w:pStyle w:val="Cmsor3"/>
        <w:numPr>
          <w:ilvl w:val="0"/>
          <w:numId w:val="190"/>
        </w:numPr>
      </w:pPr>
      <w:bookmarkStart w:id="331" w:name="_Toc109906103"/>
      <w:r w:rsidRPr="00A07F4E">
        <w:t>A szektor méretére, tevékenységi körére és összetettségére vonatkozó információk összesített formában</w:t>
      </w:r>
      <w:bookmarkEnd w:id="331"/>
    </w:p>
    <w:p w14:paraId="25A87B0E" w14:textId="75467445" w:rsidR="00A846A3" w:rsidRPr="009F3A30" w:rsidRDefault="00A846A3" w:rsidP="00517E22">
      <w:r w:rsidRPr="009F3A30">
        <w:t>A</w:t>
      </w:r>
      <w:r w:rsidR="00073881">
        <w:t xml:space="preserve">z </w:t>
      </w:r>
      <w:r w:rsidR="00073881" w:rsidRPr="00073881">
        <w:t>MNB</w:t>
      </w:r>
      <w:r w:rsidRPr="009F3A30">
        <w:t xml:space="preserve"> Magyarországon </w:t>
      </w:r>
      <w:proofErr w:type="spellStart"/>
      <w:r w:rsidRPr="009F3A30">
        <w:t>AML</w:t>
      </w:r>
      <w:proofErr w:type="spellEnd"/>
      <w:r w:rsidRPr="009F3A30">
        <w:t>/</w:t>
      </w:r>
      <w:proofErr w:type="spellStart"/>
      <w:r w:rsidRPr="009F3A30">
        <w:t>CFT</w:t>
      </w:r>
      <w:proofErr w:type="spellEnd"/>
      <w:r w:rsidRPr="009F3A30">
        <w:t xml:space="preserve"> felügyeletet </w:t>
      </w:r>
      <w:r w:rsidRPr="00FC37B3">
        <w:t xml:space="preserve">összesen </w:t>
      </w:r>
      <w:r w:rsidR="0097278F" w:rsidRPr="00FC37B3">
        <w:t>3</w:t>
      </w:r>
      <w:r w:rsidRPr="00FC37B3">
        <w:t xml:space="preserve"> és </w:t>
      </w:r>
      <w:r w:rsidR="0097278F" w:rsidRPr="00FC37B3">
        <w:t xml:space="preserve">5 </w:t>
      </w:r>
      <w:r w:rsidRPr="00FC37B3">
        <w:t>közötti</w:t>
      </w:r>
      <w:r w:rsidRPr="009F3A30">
        <w:t xml:space="preserve"> </w:t>
      </w:r>
      <w:r w:rsidR="00517E22" w:rsidRPr="009F3A30">
        <w:t>pén</w:t>
      </w:r>
      <w:r w:rsidR="006852EA" w:rsidRPr="009F3A30">
        <w:t>z</w:t>
      </w:r>
      <w:r w:rsidR="00517E22" w:rsidRPr="009F3A30">
        <w:t>feldolgozó</w:t>
      </w:r>
      <w:r w:rsidRPr="009F3A30">
        <w:t xml:space="preserve"> felett gyakorol.</w:t>
      </w:r>
      <w:r w:rsidR="008B4C9A" w:rsidRPr="009F3A30">
        <w:t xml:space="preserve"> A pénzfeldolgozási tevékenységhez, mint kiegészítő pénzügyi szolgáltatás üzletszerű végzéséhez </w:t>
      </w:r>
      <w:r w:rsidR="00073881">
        <w:t>az MNB</w:t>
      </w:r>
      <w:r w:rsidR="008B4C9A" w:rsidRPr="009F3A30">
        <w:t xml:space="preserve"> engedélye szükséges.</w:t>
      </w:r>
      <w:r w:rsidR="009A6A66" w:rsidRPr="009F3A30">
        <w:t xml:space="preserve"> </w:t>
      </w:r>
    </w:p>
    <w:p w14:paraId="4B857C29" w14:textId="77777777" w:rsidR="00A846A3" w:rsidRPr="00A07F4E" w:rsidRDefault="00A846A3" w:rsidP="00A07F4E">
      <w:pPr>
        <w:pStyle w:val="Cmsor3"/>
        <w:numPr>
          <w:ilvl w:val="0"/>
          <w:numId w:val="190"/>
        </w:numPr>
      </w:pPr>
      <w:bookmarkStart w:id="332" w:name="_Toc109906104"/>
      <w:r w:rsidRPr="00A07F4E">
        <w:t>Inherens kockázatértékelés</w:t>
      </w:r>
      <w:bookmarkEnd w:id="332"/>
    </w:p>
    <w:p w14:paraId="5AF913F3" w14:textId="77777777" w:rsidR="00A846A3" w:rsidRPr="009F3A30" w:rsidRDefault="00A846A3" w:rsidP="00A07F4E">
      <w:pPr>
        <w:pStyle w:val="Listaszerbekezds"/>
        <w:numPr>
          <w:ilvl w:val="1"/>
          <w:numId w:val="47"/>
        </w:numPr>
        <w:ind w:left="851" w:hanging="284"/>
      </w:pPr>
      <w:r w:rsidRPr="009F3A30">
        <w:t xml:space="preserve">A </w:t>
      </w:r>
      <w:r w:rsidR="0073446B" w:rsidRPr="009F3A30">
        <w:t>pénzfeldolgozói</w:t>
      </w:r>
      <w:r w:rsidRPr="009F3A30">
        <w:t xml:space="preserve"> szektorban rejlő ML/</w:t>
      </w:r>
      <w:proofErr w:type="spellStart"/>
      <w:r w:rsidRPr="009F3A30">
        <w:t>TF</w:t>
      </w:r>
      <w:proofErr w:type="spellEnd"/>
      <w:r w:rsidRPr="009F3A30">
        <w:t xml:space="preserve"> kockázati tényezők</w:t>
      </w:r>
    </w:p>
    <w:p w14:paraId="207F3010" w14:textId="2AE76AB6" w:rsidR="00A846A3" w:rsidRPr="009F3A30" w:rsidRDefault="00A846A3" w:rsidP="00A846A3">
      <w:r w:rsidRPr="000222BD">
        <w:t>A</w:t>
      </w:r>
      <w:r w:rsidR="00073881" w:rsidRPr="000222BD">
        <w:t>z MNB</w:t>
      </w:r>
      <w:r w:rsidRPr="006E35AE">
        <w:t xml:space="preserve"> az értékesítési csatornákban, a földrajzi kitettségben, az ügyfelekben, </w:t>
      </w:r>
      <w:r w:rsidR="009A6A66" w:rsidRPr="006E35AE">
        <w:t xml:space="preserve">illetve a </w:t>
      </w:r>
      <w:r w:rsidRPr="006E35AE">
        <w:t>termékekben/szolgáltatásokban rejlő kockázatokat Kevésbé jelentősnek értékelte.</w:t>
      </w:r>
    </w:p>
    <w:tbl>
      <w:tblPr>
        <w:tblStyle w:val="Rcsostblzat"/>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35"/>
      </w:tblGrid>
      <w:tr w:rsidR="00073881" w:rsidRPr="003168BA" w14:paraId="75431EDB" w14:textId="77777777" w:rsidTr="00300DCA">
        <w:trPr>
          <w:trHeight w:val="314"/>
        </w:trPr>
        <w:tc>
          <w:tcPr>
            <w:tcW w:w="3061" w:type="dxa"/>
          </w:tcPr>
          <w:p w14:paraId="5EEE89A7" w14:textId="77777777" w:rsidR="00073881" w:rsidRPr="00554E41" w:rsidRDefault="00073881"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 megnevezése</w:t>
            </w:r>
          </w:p>
        </w:tc>
        <w:tc>
          <w:tcPr>
            <w:tcW w:w="3035" w:type="dxa"/>
          </w:tcPr>
          <w:p w14:paraId="0023B77E" w14:textId="77777777" w:rsidR="00073881" w:rsidRPr="00554E41" w:rsidRDefault="00073881" w:rsidP="00300DCA">
            <w:pPr>
              <w:spacing w:after="0" w:line="240" w:lineRule="auto"/>
              <w:contextualSpacing w:val="0"/>
              <w:jc w:val="center"/>
              <w:rPr>
                <w:rFonts w:eastAsia="Times New Roman" w:cs="Times New Roman"/>
                <w:b/>
                <w:color w:val="000000"/>
                <w:sz w:val="18"/>
                <w:szCs w:val="18"/>
              </w:rPr>
            </w:pPr>
            <w:r w:rsidRPr="00554E41">
              <w:rPr>
                <w:rFonts w:eastAsia="Times New Roman" w:cs="Times New Roman"/>
                <w:b/>
                <w:color w:val="000000"/>
                <w:sz w:val="18"/>
                <w:szCs w:val="18"/>
              </w:rPr>
              <w:t>Kockázati érték</w:t>
            </w:r>
          </w:p>
        </w:tc>
      </w:tr>
      <w:tr w:rsidR="00073881" w:rsidRPr="003168BA" w14:paraId="6F3A6B6D" w14:textId="77777777" w:rsidTr="00CF11CD">
        <w:tc>
          <w:tcPr>
            <w:tcW w:w="3061" w:type="dxa"/>
            <w:shd w:val="clear" w:color="auto" w:fill="auto"/>
          </w:tcPr>
          <w:p w14:paraId="2B03BFB5"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Termék/szolgáltatás</w:t>
            </w:r>
          </w:p>
        </w:tc>
        <w:tc>
          <w:tcPr>
            <w:tcW w:w="3035" w:type="dxa"/>
            <w:shd w:val="clear" w:color="auto" w:fill="92D050"/>
          </w:tcPr>
          <w:p w14:paraId="49DE4644"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073881" w14:paraId="4DE73AB3" w14:textId="77777777" w:rsidTr="00CF11CD">
        <w:tc>
          <w:tcPr>
            <w:tcW w:w="3061" w:type="dxa"/>
            <w:shd w:val="clear" w:color="auto" w:fill="auto"/>
          </w:tcPr>
          <w:p w14:paraId="2F3834CD"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Ügyfél</w:t>
            </w:r>
          </w:p>
        </w:tc>
        <w:tc>
          <w:tcPr>
            <w:tcW w:w="3035" w:type="dxa"/>
            <w:shd w:val="clear" w:color="auto" w:fill="92D050"/>
          </w:tcPr>
          <w:p w14:paraId="1A4E6E39"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073881" w14:paraId="52223A28" w14:textId="77777777" w:rsidTr="00CF11CD">
        <w:trPr>
          <w:trHeight w:val="50"/>
        </w:trPr>
        <w:tc>
          <w:tcPr>
            <w:tcW w:w="3061" w:type="dxa"/>
            <w:shd w:val="clear" w:color="auto" w:fill="auto"/>
          </w:tcPr>
          <w:p w14:paraId="3AC3D57F"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Földrajzi</w:t>
            </w:r>
          </w:p>
        </w:tc>
        <w:tc>
          <w:tcPr>
            <w:tcW w:w="3035" w:type="dxa"/>
            <w:shd w:val="clear" w:color="auto" w:fill="92D050"/>
          </w:tcPr>
          <w:p w14:paraId="05E23545"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r w:rsidR="00073881" w14:paraId="06459E47" w14:textId="77777777" w:rsidTr="00CF11CD">
        <w:tc>
          <w:tcPr>
            <w:tcW w:w="3061" w:type="dxa"/>
            <w:shd w:val="clear" w:color="auto" w:fill="auto"/>
          </w:tcPr>
          <w:p w14:paraId="061E032D" w14:textId="77777777" w:rsidR="00073881" w:rsidRPr="00554E41" w:rsidRDefault="00073881" w:rsidP="00300DCA">
            <w:pPr>
              <w:spacing w:after="0" w:line="240" w:lineRule="auto"/>
              <w:contextualSpacing w:val="0"/>
              <w:jc w:val="center"/>
              <w:rPr>
                <w:rFonts w:eastAsia="Times New Roman" w:cs="Times New Roman"/>
                <w:color w:val="000000"/>
                <w:sz w:val="18"/>
                <w:szCs w:val="18"/>
              </w:rPr>
            </w:pPr>
            <w:r w:rsidRPr="00554E41">
              <w:rPr>
                <w:rFonts w:eastAsia="Times New Roman" w:cs="Times New Roman"/>
                <w:color w:val="000000"/>
                <w:sz w:val="18"/>
                <w:szCs w:val="18"/>
              </w:rPr>
              <w:t>Értékesítési csato</w:t>
            </w:r>
            <w:r>
              <w:rPr>
                <w:rFonts w:eastAsia="Times New Roman" w:cs="Times New Roman"/>
                <w:color w:val="000000"/>
                <w:sz w:val="18"/>
                <w:szCs w:val="18"/>
              </w:rPr>
              <w:t>r</w:t>
            </w:r>
            <w:r w:rsidRPr="00554E41">
              <w:rPr>
                <w:rFonts w:eastAsia="Times New Roman" w:cs="Times New Roman"/>
                <w:color w:val="000000"/>
                <w:sz w:val="18"/>
                <w:szCs w:val="18"/>
              </w:rPr>
              <w:t>na</w:t>
            </w:r>
          </w:p>
        </w:tc>
        <w:tc>
          <w:tcPr>
            <w:tcW w:w="3035" w:type="dxa"/>
            <w:shd w:val="clear" w:color="auto" w:fill="92D050"/>
          </w:tcPr>
          <w:p w14:paraId="486C8560" w14:textId="14FCF0CA" w:rsidR="00073881" w:rsidRPr="00554E41" w:rsidRDefault="00073881" w:rsidP="00300DCA">
            <w:pPr>
              <w:spacing w:after="0" w:line="240" w:lineRule="auto"/>
              <w:contextualSpacing w:val="0"/>
              <w:jc w:val="center"/>
              <w:rPr>
                <w:rFonts w:eastAsia="Times New Roman" w:cs="Times New Roman"/>
                <w:color w:val="000000"/>
                <w:sz w:val="18"/>
                <w:szCs w:val="18"/>
              </w:rPr>
            </w:pPr>
            <w:r>
              <w:rPr>
                <w:rFonts w:eastAsia="Times New Roman" w:cs="Times New Roman"/>
                <w:color w:val="000000"/>
                <w:sz w:val="18"/>
                <w:szCs w:val="18"/>
              </w:rPr>
              <w:t>Kevésbé jelentős</w:t>
            </w:r>
          </w:p>
        </w:tc>
      </w:tr>
    </w:tbl>
    <w:p w14:paraId="01FDE2AE" w14:textId="12324929" w:rsidR="00073881" w:rsidRPr="009F3A30" w:rsidRDefault="00073881" w:rsidP="00FC37B3">
      <w:pPr>
        <w:spacing w:before="120"/>
      </w:pPr>
      <w:r>
        <w:t>Kockázatcsökkentő tényező,</w:t>
      </w:r>
      <w:r w:rsidRPr="00073881">
        <w:t xml:space="preserve"> hogy a készpénz feldolgozási folyamat során a feldolgozott készpénzhez már nem köthető közvetlenül az ügyfél</w:t>
      </w:r>
      <w:r>
        <w:t>hez</w:t>
      </w:r>
      <w:r w:rsidRPr="00073881">
        <w:t xml:space="preserve">. A </w:t>
      </w:r>
      <w:r>
        <w:t>p</w:t>
      </w:r>
      <w:r w:rsidRPr="00073881">
        <w:t xml:space="preserve">énzfeldolgozók ugyanis jellemzően Magyarország területén működő hitelintézetek megbízásából járnak el, azaz szempontjukból a hitelintézet tekinthető ügyfélnek. Előfordul, hogy közvetlenül olyan személy a </w:t>
      </w:r>
      <w:r>
        <w:t>p</w:t>
      </w:r>
      <w:r w:rsidRPr="00073881">
        <w:t xml:space="preserve">énzfeldolgozó ügyfele, ahol a készpénz (jellemzően árukereskedelmi tevékenységhez kapcsolódóan) az ügyfél birtokába jut, azonban ezen esetek száma igen alacsony és ez esetben is inkább a pénzszállítási, mint a pénzfeldolgozási tevékenység során kerülhet a Pénzfeldolgozó birtokába olyan adat, tény, körülmény, ami </w:t>
      </w:r>
      <w:proofErr w:type="spellStart"/>
      <w:r w:rsidRPr="00073881">
        <w:t>pénzmosás</w:t>
      </w:r>
      <w:proofErr w:type="spellEnd"/>
      <w:r w:rsidRPr="00073881">
        <w:t xml:space="preserve"> gyanújára utalhat.</w:t>
      </w:r>
    </w:p>
    <w:p w14:paraId="5BDE09F7" w14:textId="6383DD5B" w:rsidR="00A846A3" w:rsidRPr="009F3A30" w:rsidRDefault="009A6A66" w:rsidP="00073881">
      <w:r w:rsidRPr="009F3A30">
        <w:t>Jelen szektor kevésbé van kitéve ML/</w:t>
      </w:r>
      <w:proofErr w:type="spellStart"/>
      <w:r w:rsidRPr="009F3A30">
        <w:t>TF</w:t>
      </w:r>
      <w:proofErr w:type="spellEnd"/>
      <w:r w:rsidRPr="009F3A30">
        <w:t xml:space="preserve"> kockázatoknak azonban jelen szektorra is általánosságban elmondható </w:t>
      </w:r>
      <w:r w:rsidR="00A846A3" w:rsidRPr="009F3A30">
        <w:t xml:space="preserve">az erőforrásalapú megközelítés jelenléte, illetve a kockázatalapú megközelítést segítő politikák, eljárások hiánya. </w:t>
      </w:r>
    </w:p>
    <w:p w14:paraId="1DBF3092" w14:textId="77777777" w:rsidR="00A846A3" w:rsidRPr="009F3A30" w:rsidRDefault="00A846A3" w:rsidP="00A07F4E">
      <w:pPr>
        <w:pStyle w:val="Listaszerbekezds"/>
        <w:numPr>
          <w:ilvl w:val="0"/>
          <w:numId w:val="45"/>
        </w:numPr>
        <w:ind w:left="851" w:hanging="284"/>
      </w:pPr>
      <w:r w:rsidRPr="009F3A30">
        <w:t xml:space="preserve">A </w:t>
      </w:r>
      <w:r w:rsidR="008F2DDC" w:rsidRPr="009F3A30">
        <w:t>pénzfeldolgozói</w:t>
      </w:r>
      <w:r w:rsidRPr="009F3A30">
        <w:t xml:space="preserve"> szektorban rejlő, határokon átnyúló ML/</w:t>
      </w:r>
      <w:proofErr w:type="spellStart"/>
      <w:r w:rsidRPr="009F3A30">
        <w:t>TF</w:t>
      </w:r>
      <w:proofErr w:type="spellEnd"/>
      <w:r w:rsidRPr="009F3A30">
        <w:t xml:space="preserve"> kockázatok</w:t>
      </w:r>
    </w:p>
    <w:p w14:paraId="4AB71AB1" w14:textId="180B7D42" w:rsidR="00A846A3" w:rsidRDefault="00A846A3" w:rsidP="00A846A3">
      <w:r w:rsidRPr="009F3A30">
        <w:t xml:space="preserve">A szektorra nem jellemző a külföldi érintettség, tipikusan magyar ügyfelekkel rendelkeznek a szektorhoz tartozó </w:t>
      </w:r>
      <w:r w:rsidR="009A6A66" w:rsidRPr="009F3A30">
        <w:t>pénzfeldolgozók</w:t>
      </w:r>
      <w:r w:rsidRPr="009F3A30">
        <w:t xml:space="preserve">. </w:t>
      </w:r>
    </w:p>
    <w:p w14:paraId="6D87E758" w14:textId="42CAF003" w:rsidR="00A846A3" w:rsidRPr="009F3A30" w:rsidRDefault="00A846A3" w:rsidP="00A846A3">
      <w:pPr>
        <w:rPr>
          <w:b/>
        </w:rPr>
      </w:pPr>
      <w:r w:rsidRPr="009F3A30">
        <w:rPr>
          <w:b/>
        </w:rPr>
        <w:t>A</w:t>
      </w:r>
      <w:r w:rsidR="00073881">
        <w:rPr>
          <w:b/>
        </w:rPr>
        <w:t>z MNB</w:t>
      </w:r>
      <w:r w:rsidRPr="009F3A30">
        <w:rPr>
          <w:b/>
        </w:rPr>
        <w:t xml:space="preserve"> értékelése alapján </w:t>
      </w:r>
      <w:r w:rsidR="009A6A66" w:rsidRPr="009F3A30">
        <w:rPr>
          <w:b/>
        </w:rPr>
        <w:t>a pénzfeldolgozó szektorban</w:t>
      </w:r>
      <w:r w:rsidRPr="009F3A30">
        <w:rPr>
          <w:b/>
        </w:rPr>
        <w:t xml:space="preserve"> Kevésbé jelentős inherens kockázati értékkel rendelkezik.</w:t>
      </w:r>
    </w:p>
    <w:tbl>
      <w:tblPr>
        <w:tblW w:w="3680" w:type="dxa"/>
        <w:jc w:val="center"/>
        <w:tblCellMar>
          <w:left w:w="70" w:type="dxa"/>
          <w:right w:w="70" w:type="dxa"/>
        </w:tblCellMar>
        <w:tblLook w:val="04A0" w:firstRow="1" w:lastRow="0" w:firstColumn="1" w:lastColumn="0" w:noHBand="0" w:noVBand="1"/>
      </w:tblPr>
      <w:tblGrid>
        <w:gridCol w:w="1780"/>
        <w:gridCol w:w="1900"/>
      </w:tblGrid>
      <w:tr w:rsidR="00A846A3" w:rsidRPr="00A07F4E" w14:paraId="1F0BFF8F" w14:textId="77777777" w:rsidTr="009A6A66">
        <w:trPr>
          <w:trHeight w:val="300"/>
          <w:jc w:val="center"/>
        </w:trPr>
        <w:tc>
          <w:tcPr>
            <w:tcW w:w="1780" w:type="dxa"/>
            <w:tcBorders>
              <w:top w:val="nil"/>
              <w:left w:val="nil"/>
              <w:bottom w:val="nil"/>
              <w:right w:val="nil"/>
            </w:tcBorders>
            <w:shd w:val="clear" w:color="auto" w:fill="auto"/>
            <w:noWrap/>
            <w:vAlign w:val="center"/>
            <w:hideMark/>
          </w:tcPr>
          <w:p w14:paraId="11C2FC27" w14:textId="77777777" w:rsidR="00A846A3" w:rsidRPr="009F3A30" w:rsidRDefault="00A846A3" w:rsidP="009A6A66">
            <w:pPr>
              <w:spacing w:after="0" w:line="240" w:lineRule="auto"/>
              <w:jc w:val="center"/>
              <w:rPr>
                <w:b/>
                <w:color w:val="000000"/>
              </w:rPr>
            </w:pPr>
            <w:r w:rsidRPr="009F3A30">
              <w:rPr>
                <w:b/>
                <w:color w:val="000000"/>
              </w:rPr>
              <w:t>Inherens kockázat:</w:t>
            </w:r>
            <w:r w:rsidRPr="009F3A30">
              <w:rPr>
                <w:color w:val="000000"/>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502E47" w14:textId="77777777" w:rsidR="00A846A3" w:rsidRPr="009F3A30" w:rsidRDefault="00A846A3" w:rsidP="009A6A66">
            <w:pPr>
              <w:spacing w:after="0" w:line="240" w:lineRule="auto"/>
              <w:jc w:val="center"/>
              <w:rPr>
                <w:color w:val="000000"/>
                <w:sz w:val="18"/>
              </w:rPr>
            </w:pPr>
            <w:r w:rsidRPr="009F3A30">
              <w:rPr>
                <w:color w:val="000000"/>
                <w:sz w:val="18"/>
              </w:rPr>
              <w:t>Kevésbé jelentős</w:t>
            </w:r>
          </w:p>
        </w:tc>
      </w:tr>
    </w:tbl>
    <w:p w14:paraId="2A57D968" w14:textId="1EE1D99F" w:rsidR="00A846A3" w:rsidRDefault="00A846A3" w:rsidP="00A846A3"/>
    <w:p w14:paraId="596662AE" w14:textId="656778F5" w:rsidR="00C63813" w:rsidRDefault="00C63813" w:rsidP="00A846A3"/>
    <w:p w14:paraId="4D983D73" w14:textId="77777777" w:rsidR="00E57F87" w:rsidRDefault="00E57F87" w:rsidP="00A846A3"/>
    <w:p w14:paraId="7F0DC7BD" w14:textId="77777777" w:rsidR="00A846A3" w:rsidRPr="00A07F4E" w:rsidRDefault="00A846A3" w:rsidP="00A07F4E">
      <w:pPr>
        <w:pStyle w:val="Cmsor3"/>
        <w:numPr>
          <w:ilvl w:val="0"/>
          <w:numId w:val="190"/>
        </w:numPr>
      </w:pPr>
      <w:bookmarkStart w:id="333" w:name="_Toc106198738"/>
      <w:bookmarkStart w:id="334" w:name="_Toc106201933"/>
      <w:bookmarkStart w:id="335" w:name="_Toc106869676"/>
      <w:bookmarkStart w:id="336" w:name="_Toc107236541"/>
      <w:bookmarkStart w:id="337" w:name="_Toc107237449"/>
      <w:bookmarkStart w:id="338" w:name="_Toc107237779"/>
      <w:bookmarkStart w:id="339" w:name="_Toc106198739"/>
      <w:bookmarkStart w:id="340" w:name="_Toc106201934"/>
      <w:bookmarkStart w:id="341" w:name="_Toc106869677"/>
      <w:bookmarkStart w:id="342" w:name="_Toc107236542"/>
      <w:bookmarkStart w:id="343" w:name="_Toc107237450"/>
      <w:bookmarkStart w:id="344" w:name="_Toc107237780"/>
      <w:bookmarkStart w:id="345" w:name="_Toc106198740"/>
      <w:bookmarkStart w:id="346" w:name="_Toc106201935"/>
      <w:bookmarkStart w:id="347" w:name="_Toc106869678"/>
      <w:bookmarkStart w:id="348" w:name="_Toc107236543"/>
      <w:bookmarkStart w:id="349" w:name="_Toc107237451"/>
      <w:bookmarkStart w:id="350" w:name="_Toc107237781"/>
      <w:bookmarkStart w:id="351" w:name="_Toc10990610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A07F4E">
        <w:t>Az ellenőrzések minősége, felügyeleti tevékenység, azonosított jogsértések</w:t>
      </w:r>
      <w:bookmarkEnd w:id="351"/>
    </w:p>
    <w:p w14:paraId="5C6D8E90" w14:textId="3C87A6EC" w:rsidR="00A846A3" w:rsidRPr="009F3A30" w:rsidRDefault="00A846A3" w:rsidP="00A846A3">
      <w:r w:rsidRPr="009F3A30">
        <w:t xml:space="preserve">A </w:t>
      </w:r>
      <w:r w:rsidR="009A6A66" w:rsidRPr="009F3A30">
        <w:t>pénzfeldolgozói</w:t>
      </w:r>
      <w:r w:rsidRPr="009F3A30">
        <w:t xml:space="preserve"> tevékenységet </w:t>
      </w:r>
      <w:r w:rsidR="00DE7BF9" w:rsidRPr="00DE7BF9">
        <w:t xml:space="preserve">az MNB </w:t>
      </w:r>
      <w:r w:rsidRPr="009F3A30">
        <w:t xml:space="preserve">jellemzően folyamatos felügyelés keretében, illetve </w:t>
      </w:r>
      <w:proofErr w:type="spellStart"/>
      <w:r w:rsidRPr="009F3A30">
        <w:t>off</w:t>
      </w:r>
      <w:proofErr w:type="spellEnd"/>
      <w:r w:rsidRPr="009F3A30">
        <w:t xml:space="preserve">-site jellegű vizsgálatokkal ellenőrzi. </w:t>
      </w:r>
      <w:r w:rsidRPr="00DE7BF9">
        <w:t>A</w:t>
      </w:r>
      <w:r w:rsidR="00DE7BF9" w:rsidRPr="00DE7BF9">
        <w:t>z MNB</w:t>
      </w:r>
      <w:r w:rsidRPr="009F3A30">
        <w:t xml:space="preserve"> </w:t>
      </w:r>
      <w:r w:rsidR="009A6A66" w:rsidRPr="009F3A30">
        <w:t>folyamatos felügyelés keretében</w:t>
      </w:r>
      <w:r w:rsidR="00E16829" w:rsidRPr="009F3A30">
        <w:t>,</w:t>
      </w:r>
      <w:r w:rsidR="009A6A66" w:rsidRPr="009F3A30">
        <w:t xml:space="preserve"> a pénzfeldolgozók </w:t>
      </w:r>
      <w:r w:rsidRPr="009F3A30">
        <w:t>ügyfeleitől, illetve társhatóságoktól érkező panaszok és sajtófigyelés során szerzett információk alapján felügyeli, felmerülő kockázati jelzés alapján ellenőrzi</w:t>
      </w:r>
      <w:r w:rsidR="009A6A66" w:rsidRPr="009F3A30">
        <w:t xml:space="preserve"> a pénzfeldolgozókat</w:t>
      </w:r>
      <w:r w:rsidRPr="009F3A30">
        <w:t xml:space="preserve">. </w:t>
      </w:r>
      <w:r w:rsidRPr="000222BD">
        <w:t>A</w:t>
      </w:r>
      <w:r w:rsidR="00DE7BF9" w:rsidRPr="000222BD">
        <w:t>z MNB</w:t>
      </w:r>
      <w:r w:rsidRPr="000222BD">
        <w:t>-nek</w:t>
      </w:r>
      <w:r w:rsidRPr="009F3A30">
        <w:t xml:space="preserve"> a szektort tekintve – a kockázatalapú megközelítésre, illetve a Kevésbé jelentős inherens kockázatra figyelemmel – csekély a rendelkezésre álló felügyeleti tapasztalata.  </w:t>
      </w:r>
    </w:p>
    <w:p w14:paraId="7203202C" w14:textId="77777777" w:rsidR="00A846A3" w:rsidRPr="009F3A30" w:rsidRDefault="00A846A3" w:rsidP="00A846A3">
      <w:r w:rsidRPr="009F3A30">
        <w:t xml:space="preserve">Megjegyzendő, hogy a </w:t>
      </w:r>
      <w:r w:rsidR="00E16829" w:rsidRPr="009F3A30">
        <w:t xml:space="preserve">pénzfeldolgozók </w:t>
      </w:r>
      <w:r w:rsidRPr="009F3A30">
        <w:t xml:space="preserve">gyanús tranzakciókhoz kapcsolódó bejelentéseik száma a többi szektoréhoz viszonyítva alacsonyabb, azonban ez a Kevésbé jelentős inherens kockázati besorolásra tekintettel nem nevezhető szokatlannak, így kockázatot növelő tényezőnek. </w:t>
      </w:r>
    </w:p>
    <w:p w14:paraId="7CF62D78" w14:textId="3B1B8A12" w:rsidR="00A846A3" w:rsidRPr="009F3A30" w:rsidRDefault="00A846A3" w:rsidP="00A846A3">
      <w:r w:rsidRPr="009F3A30">
        <w:t xml:space="preserve">Ez idáig </w:t>
      </w:r>
      <w:r w:rsidRPr="000222BD">
        <w:t>a</w:t>
      </w:r>
      <w:r w:rsidR="00DE7BF9" w:rsidRPr="000222BD">
        <w:t>z MNB</w:t>
      </w:r>
      <w:r w:rsidRPr="000222BD">
        <w:t>-nek</w:t>
      </w:r>
      <w:r w:rsidRPr="009F3A30">
        <w:t xml:space="preserve"> olyan kockázatot növelő tényező nem jutott a tudomására, amely hatással lenne az inherens kockázati tényezőre, annak eltérítését indokolná. </w:t>
      </w:r>
    </w:p>
    <w:p w14:paraId="0B3B4D9B" w14:textId="77777777" w:rsidR="00A846A3" w:rsidRPr="00A07F4E" w:rsidRDefault="00A846A3" w:rsidP="00A07F4E">
      <w:pPr>
        <w:pStyle w:val="Cmsor3"/>
        <w:numPr>
          <w:ilvl w:val="0"/>
          <w:numId w:val="190"/>
        </w:numPr>
      </w:pPr>
      <w:bookmarkStart w:id="352" w:name="_Toc109906106"/>
      <w:r w:rsidRPr="00A07F4E">
        <w:t>Maradványkockázat</w:t>
      </w:r>
      <w:bookmarkEnd w:id="352"/>
    </w:p>
    <w:p w14:paraId="7D1CF445" w14:textId="703BC5BB" w:rsidR="00A846A3" w:rsidRPr="00A07F4E" w:rsidRDefault="00A846A3" w:rsidP="00A846A3">
      <w:r w:rsidRPr="009F3A30">
        <w:t>A</w:t>
      </w:r>
      <w:r w:rsidR="00DE7BF9" w:rsidRPr="00DE7BF9">
        <w:t>z MNB</w:t>
      </w:r>
      <w:r w:rsidRPr="009F3A30">
        <w:t xml:space="preserve"> mérlegelve a szektornál részletezetteket a maradványkockázatot a maradványkockázatot Kevésbé jelentősnek értékeli. Az inherens kockázati besorolás megegyezik a maradványkockázattal.</w:t>
      </w:r>
    </w:p>
    <w:tbl>
      <w:tblPr>
        <w:tblW w:w="3680" w:type="dxa"/>
        <w:jc w:val="center"/>
        <w:tblCellMar>
          <w:left w:w="70" w:type="dxa"/>
          <w:right w:w="70" w:type="dxa"/>
        </w:tblCellMar>
        <w:tblLook w:val="04A0" w:firstRow="1" w:lastRow="0" w:firstColumn="1" w:lastColumn="0" w:noHBand="0" w:noVBand="1"/>
      </w:tblPr>
      <w:tblGrid>
        <w:gridCol w:w="1871"/>
        <w:gridCol w:w="1900"/>
      </w:tblGrid>
      <w:tr w:rsidR="00A846A3" w:rsidRPr="00A07F4E" w14:paraId="5163E9C4" w14:textId="77777777" w:rsidTr="009A6A66">
        <w:trPr>
          <w:trHeight w:val="300"/>
          <w:jc w:val="center"/>
        </w:trPr>
        <w:tc>
          <w:tcPr>
            <w:tcW w:w="1780" w:type="dxa"/>
            <w:tcBorders>
              <w:top w:val="nil"/>
              <w:left w:val="nil"/>
              <w:bottom w:val="nil"/>
              <w:right w:val="nil"/>
            </w:tcBorders>
            <w:shd w:val="clear" w:color="auto" w:fill="auto"/>
            <w:noWrap/>
            <w:vAlign w:val="center"/>
            <w:hideMark/>
          </w:tcPr>
          <w:p w14:paraId="5AD3E769" w14:textId="77777777" w:rsidR="00A846A3" w:rsidRPr="00A07F4E" w:rsidRDefault="00A846A3" w:rsidP="009A6A66">
            <w:pPr>
              <w:spacing w:after="0" w:line="240" w:lineRule="auto"/>
              <w:jc w:val="center"/>
              <w:rPr>
                <w:rFonts w:eastAsia="Times New Roman" w:cs="Calibri"/>
                <w:b/>
                <w:bCs/>
                <w:color w:val="000000"/>
              </w:rPr>
            </w:pPr>
            <w:r w:rsidRPr="00A07F4E">
              <w:rPr>
                <w:rFonts w:eastAsia="Times New Roman" w:cs="Calibri"/>
                <w:b/>
                <w:bCs/>
                <w:color w:val="000000"/>
              </w:rPr>
              <w:t>Maradványkockázat:</w:t>
            </w:r>
          </w:p>
        </w:tc>
        <w:tc>
          <w:tcPr>
            <w:tcW w:w="19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619A2A" w14:textId="77777777" w:rsidR="00A846A3" w:rsidRPr="00A07F4E" w:rsidRDefault="00A846A3" w:rsidP="009A6A66">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r>
    </w:tbl>
    <w:p w14:paraId="4EB4A701" w14:textId="77777777" w:rsidR="003E0C15" w:rsidRDefault="003E0C15">
      <w:pPr>
        <w:spacing w:after="0" w:line="240" w:lineRule="auto"/>
        <w:jc w:val="left"/>
        <w:rPr>
          <w:rFonts w:eastAsiaTheme="majorEastAsia" w:cstheme="majorBidi"/>
          <w:b/>
          <w:bCs/>
          <w:caps/>
          <w:color w:val="0C2148" w:themeColor="text2"/>
          <w:sz w:val="24"/>
          <w:szCs w:val="42"/>
        </w:rPr>
      </w:pPr>
      <w:r>
        <w:br w:type="page"/>
      </w:r>
    </w:p>
    <w:p w14:paraId="096EAC6B" w14:textId="77777777" w:rsidR="00204846" w:rsidRPr="00A07F4E" w:rsidRDefault="00054169" w:rsidP="000222BD">
      <w:pPr>
        <w:pStyle w:val="Cmsor1"/>
      </w:pPr>
      <w:bookmarkStart w:id="353" w:name="_Toc109906107"/>
      <w:r w:rsidRPr="00A07F4E">
        <w:lastRenderedPageBreak/>
        <w:t>ÖSSZEGZÉS</w:t>
      </w:r>
      <w:bookmarkEnd w:id="353"/>
    </w:p>
    <w:p w14:paraId="75D94A54" w14:textId="05843401" w:rsidR="00F17319" w:rsidRPr="00A07F4E" w:rsidRDefault="00C2093E" w:rsidP="00F17319">
      <w:r>
        <w:t>Jelen kockázatértékelés 3. pontjában részletezett kockázatértékelés ere</w:t>
      </w:r>
      <w:r w:rsidR="003275DB">
        <w:t>d</w:t>
      </w:r>
      <w:r>
        <w:t>ményét, a</w:t>
      </w:r>
      <w:r w:rsidRPr="00A07F4E">
        <w:t xml:space="preserve"> </w:t>
      </w:r>
      <w:r w:rsidR="00EE2BEE" w:rsidRPr="00A07F4E">
        <w:t>szektorok</w:t>
      </w:r>
      <w:r w:rsidR="00FC37B3">
        <w:t xml:space="preserve">, </w:t>
      </w:r>
      <w:r w:rsidR="00F433A6">
        <w:t xml:space="preserve">az </w:t>
      </w:r>
      <w:r w:rsidR="00EE2BEE" w:rsidRPr="00A07F4E">
        <w:t>alszektorok</w:t>
      </w:r>
      <w:r w:rsidR="00FC37B3">
        <w:t xml:space="preserve"> és az </w:t>
      </w:r>
      <w:proofErr w:type="spellStart"/>
      <w:r w:rsidR="00FC37B3">
        <w:t>al</w:t>
      </w:r>
      <w:proofErr w:type="spellEnd"/>
      <w:r w:rsidR="00FC37B3">
        <w:t>-alszektorok</w:t>
      </w:r>
      <w:r w:rsidR="00EE2BEE" w:rsidRPr="00A07F4E">
        <w:t xml:space="preserve"> inherens</w:t>
      </w:r>
      <w:r w:rsidR="005B257B">
        <w:t>-</w:t>
      </w:r>
      <w:r w:rsidR="00EE2BEE" w:rsidRPr="00A07F4E">
        <w:t xml:space="preserve"> és maradványkockázatát </w:t>
      </w:r>
      <w:r w:rsidR="005B257B">
        <w:t xml:space="preserve">az alábbi táblázat </w:t>
      </w:r>
      <w:r w:rsidR="00D1049B">
        <w:t>szemlélteti</w:t>
      </w:r>
      <w:r w:rsidR="00BF0E9D">
        <w:t>.</w:t>
      </w:r>
    </w:p>
    <w:tbl>
      <w:tblPr>
        <w:tblW w:w="9634" w:type="dxa"/>
        <w:tblCellMar>
          <w:left w:w="70" w:type="dxa"/>
          <w:right w:w="70" w:type="dxa"/>
        </w:tblCellMar>
        <w:tblLook w:val="04A0" w:firstRow="1" w:lastRow="0" w:firstColumn="1" w:lastColumn="0" w:noHBand="0" w:noVBand="1"/>
      </w:tblPr>
      <w:tblGrid>
        <w:gridCol w:w="5524"/>
        <w:gridCol w:w="1984"/>
        <w:gridCol w:w="2126"/>
      </w:tblGrid>
      <w:tr w:rsidR="0027702B" w:rsidRPr="00A07F4E" w14:paraId="5F4DDAB2" w14:textId="77777777" w:rsidTr="00A07F4E">
        <w:trPr>
          <w:trHeight w:val="284"/>
        </w:trPr>
        <w:tc>
          <w:tcPr>
            <w:tcW w:w="5524" w:type="dxa"/>
            <w:tcBorders>
              <w:top w:val="single" w:sz="4" w:space="0" w:color="auto"/>
              <w:left w:val="single" w:sz="4" w:space="0" w:color="auto"/>
              <w:bottom w:val="single" w:sz="4" w:space="0" w:color="auto"/>
              <w:right w:val="nil"/>
            </w:tcBorders>
            <w:shd w:val="clear" w:color="auto" w:fill="E7E6E6" w:themeFill="background2"/>
            <w:noWrap/>
            <w:vAlign w:val="center"/>
            <w:hideMark/>
          </w:tcPr>
          <w:p w14:paraId="2C0560F8" w14:textId="741A1950" w:rsidR="0027702B" w:rsidRPr="00A07F4E" w:rsidRDefault="0027702B" w:rsidP="0027702B">
            <w:pPr>
              <w:spacing w:after="0" w:line="240" w:lineRule="auto"/>
              <w:jc w:val="center"/>
              <w:rPr>
                <w:rFonts w:eastAsia="Times New Roman" w:cs="Calibri"/>
                <w:b/>
                <w:bCs/>
                <w:color w:val="000000"/>
                <w:sz w:val="18"/>
                <w:szCs w:val="18"/>
              </w:rPr>
            </w:pPr>
            <w:bookmarkStart w:id="354" w:name="_Hlk108533675"/>
            <w:r w:rsidRPr="00A07F4E">
              <w:rPr>
                <w:rFonts w:eastAsia="Times New Roman" w:cs="Calibri"/>
                <w:b/>
                <w:bCs/>
                <w:color w:val="000000"/>
                <w:sz w:val="18"/>
                <w:szCs w:val="18"/>
              </w:rPr>
              <w:t>Szektor/alszektor</w:t>
            </w:r>
            <w:r w:rsidR="003D1452">
              <w:rPr>
                <w:rFonts w:eastAsia="Times New Roman" w:cs="Calibri"/>
                <w:b/>
                <w:bCs/>
                <w:color w:val="000000"/>
                <w:sz w:val="18"/>
                <w:szCs w:val="18"/>
              </w:rPr>
              <w:t>/</w:t>
            </w:r>
            <w:proofErr w:type="spellStart"/>
            <w:r w:rsidR="003D1452">
              <w:rPr>
                <w:rFonts w:eastAsia="Times New Roman" w:cs="Calibri"/>
                <w:b/>
                <w:bCs/>
                <w:color w:val="000000"/>
                <w:sz w:val="18"/>
                <w:szCs w:val="18"/>
              </w:rPr>
              <w:t>al</w:t>
            </w:r>
            <w:proofErr w:type="spellEnd"/>
            <w:r w:rsidR="003D1452">
              <w:rPr>
                <w:rFonts w:eastAsia="Times New Roman" w:cs="Calibri"/>
                <w:b/>
                <w:bCs/>
                <w:color w:val="000000"/>
                <w:sz w:val="18"/>
                <w:szCs w:val="18"/>
              </w:rPr>
              <w:t>-alszektor</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565C5A9" w14:textId="77777777" w:rsidR="0027702B" w:rsidRPr="00A07F4E" w:rsidRDefault="0027702B" w:rsidP="0041629D">
            <w:pPr>
              <w:spacing w:after="0" w:line="240" w:lineRule="auto"/>
              <w:jc w:val="center"/>
              <w:rPr>
                <w:rFonts w:eastAsia="Times New Roman" w:cs="Calibri"/>
                <w:b/>
                <w:bCs/>
                <w:color w:val="000000"/>
                <w:sz w:val="18"/>
                <w:szCs w:val="18"/>
              </w:rPr>
            </w:pPr>
            <w:r w:rsidRPr="00A07F4E">
              <w:rPr>
                <w:rFonts w:eastAsia="Times New Roman" w:cs="Calibri"/>
                <w:b/>
                <w:bCs/>
                <w:color w:val="000000"/>
                <w:sz w:val="18"/>
                <w:szCs w:val="18"/>
              </w:rPr>
              <w:t>Inherens kockázat</w:t>
            </w:r>
          </w:p>
        </w:tc>
        <w:tc>
          <w:tcPr>
            <w:tcW w:w="212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C5CCDBF" w14:textId="77777777" w:rsidR="0027702B" w:rsidRPr="00A07F4E" w:rsidRDefault="0027702B" w:rsidP="00097DA8">
            <w:pPr>
              <w:spacing w:after="0" w:line="240" w:lineRule="auto"/>
              <w:jc w:val="center"/>
              <w:rPr>
                <w:rFonts w:eastAsia="Times New Roman" w:cs="Calibri"/>
                <w:b/>
                <w:bCs/>
                <w:color w:val="000000"/>
                <w:sz w:val="18"/>
                <w:szCs w:val="18"/>
              </w:rPr>
            </w:pPr>
            <w:r w:rsidRPr="00A07F4E">
              <w:rPr>
                <w:rFonts w:eastAsia="Times New Roman" w:cs="Calibri"/>
                <w:b/>
                <w:bCs/>
                <w:color w:val="000000"/>
                <w:sz w:val="18"/>
                <w:szCs w:val="18"/>
              </w:rPr>
              <w:t>Maradványkockázat</w:t>
            </w:r>
          </w:p>
        </w:tc>
      </w:tr>
      <w:tr w:rsidR="0027702B" w:rsidRPr="00A07F4E" w14:paraId="7E643C2E"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CBD55A" w14:textId="77777777" w:rsidR="0027702B" w:rsidRPr="00A07F4E" w:rsidRDefault="0027702B" w:rsidP="0027702B">
            <w:pPr>
              <w:spacing w:after="0" w:line="240" w:lineRule="auto"/>
              <w:jc w:val="left"/>
              <w:rPr>
                <w:rFonts w:eastAsia="Times New Roman" w:cs="Calibri"/>
                <w:color w:val="000000"/>
                <w:sz w:val="18"/>
                <w:szCs w:val="18"/>
              </w:rPr>
            </w:pPr>
            <w:r w:rsidRPr="00A07F4E">
              <w:rPr>
                <w:rFonts w:eastAsia="Times New Roman" w:cs="Calibri"/>
                <w:color w:val="000000"/>
                <w:sz w:val="18"/>
                <w:szCs w:val="18"/>
              </w:rPr>
              <w:t xml:space="preserve">1. Hitelintézetek </w:t>
            </w:r>
          </w:p>
        </w:tc>
        <w:tc>
          <w:tcPr>
            <w:tcW w:w="1984" w:type="dxa"/>
            <w:tcBorders>
              <w:top w:val="nil"/>
              <w:left w:val="nil"/>
              <w:bottom w:val="single" w:sz="4" w:space="0" w:color="auto"/>
              <w:right w:val="single" w:sz="4" w:space="0" w:color="auto"/>
            </w:tcBorders>
            <w:shd w:val="clear" w:color="000000" w:fill="FF0000"/>
            <w:noWrap/>
            <w:vAlign w:val="center"/>
            <w:hideMark/>
          </w:tcPr>
          <w:p w14:paraId="4EC4ACBE" w14:textId="77777777" w:rsidR="0027702B" w:rsidRPr="00A07F4E" w:rsidRDefault="0027702B" w:rsidP="00A07F4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Nagyon jelentős</w:t>
            </w:r>
          </w:p>
        </w:tc>
        <w:tc>
          <w:tcPr>
            <w:tcW w:w="2126" w:type="dxa"/>
            <w:tcBorders>
              <w:top w:val="nil"/>
              <w:left w:val="nil"/>
              <w:bottom w:val="single" w:sz="4" w:space="0" w:color="auto"/>
              <w:right w:val="single" w:sz="4" w:space="0" w:color="auto"/>
            </w:tcBorders>
            <w:shd w:val="clear" w:color="000000" w:fill="FF0000"/>
            <w:noWrap/>
            <w:vAlign w:val="center"/>
            <w:hideMark/>
          </w:tcPr>
          <w:p w14:paraId="6A23E710" w14:textId="77777777" w:rsidR="0027702B" w:rsidRPr="00A07F4E" w:rsidRDefault="0027702B" w:rsidP="00A07F4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Nagyon jelentős</w:t>
            </w:r>
          </w:p>
        </w:tc>
      </w:tr>
      <w:tr w:rsidR="0027702B" w:rsidRPr="00A07F4E" w14:paraId="40FF97A5"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653DB9" w14:textId="77777777" w:rsidR="0027702B" w:rsidRPr="00A07F4E" w:rsidRDefault="0027702B" w:rsidP="0027702B">
            <w:pPr>
              <w:spacing w:after="0" w:line="240" w:lineRule="auto"/>
              <w:ind w:firstLineChars="100" w:firstLine="180"/>
              <w:jc w:val="left"/>
              <w:rPr>
                <w:rFonts w:eastAsia="Times New Roman" w:cs="Calibri"/>
                <w:color w:val="000000"/>
                <w:sz w:val="18"/>
                <w:szCs w:val="18"/>
              </w:rPr>
            </w:pPr>
            <w:r w:rsidRPr="00A07F4E">
              <w:rPr>
                <w:rFonts w:eastAsia="Times New Roman" w:cs="Calibri"/>
                <w:color w:val="000000"/>
                <w:sz w:val="18"/>
                <w:szCs w:val="18"/>
              </w:rPr>
              <w:t xml:space="preserve"> - Szakosított hitelintézet</w:t>
            </w:r>
          </w:p>
        </w:tc>
        <w:tc>
          <w:tcPr>
            <w:tcW w:w="1984" w:type="dxa"/>
            <w:tcBorders>
              <w:top w:val="nil"/>
              <w:left w:val="nil"/>
              <w:bottom w:val="single" w:sz="4" w:space="0" w:color="auto"/>
              <w:right w:val="single" w:sz="4" w:space="0" w:color="auto"/>
            </w:tcBorders>
            <w:shd w:val="clear" w:color="000000" w:fill="FFC000"/>
            <w:noWrap/>
            <w:vAlign w:val="center"/>
            <w:hideMark/>
          </w:tcPr>
          <w:p w14:paraId="23FD86B3" w14:textId="77777777" w:rsidR="0027702B" w:rsidRPr="00A07F4E" w:rsidRDefault="0027702B" w:rsidP="00A07F4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c>
          <w:tcPr>
            <w:tcW w:w="2126" w:type="dxa"/>
            <w:tcBorders>
              <w:top w:val="nil"/>
              <w:left w:val="nil"/>
              <w:bottom w:val="single" w:sz="4" w:space="0" w:color="auto"/>
              <w:right w:val="single" w:sz="4" w:space="0" w:color="auto"/>
            </w:tcBorders>
            <w:shd w:val="clear" w:color="000000" w:fill="FFC000"/>
            <w:noWrap/>
            <w:vAlign w:val="center"/>
            <w:hideMark/>
          </w:tcPr>
          <w:p w14:paraId="5025461D" w14:textId="77777777" w:rsidR="0027702B" w:rsidRPr="00A07F4E" w:rsidRDefault="0027702B" w:rsidP="00A07F4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r>
      <w:tr w:rsidR="00EA0DCE" w:rsidRPr="00A07F4E" w14:paraId="06D438E1" w14:textId="77777777" w:rsidTr="000222BD">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5A730DDF" w14:textId="326E0EAA" w:rsidR="00EA0DCE" w:rsidRPr="000222BD" w:rsidRDefault="001E7577" w:rsidP="000222BD">
            <w:pPr>
              <w:pStyle w:val="Listaszerbekezds"/>
              <w:numPr>
                <w:ilvl w:val="0"/>
                <w:numId w:val="242"/>
              </w:numPr>
              <w:spacing w:after="0" w:line="240" w:lineRule="auto"/>
              <w:ind w:left="351" w:hanging="142"/>
              <w:jc w:val="left"/>
              <w:rPr>
                <w:rFonts w:eastAsia="Times New Roman" w:cs="Calibri"/>
                <w:color w:val="000000"/>
                <w:sz w:val="18"/>
                <w:szCs w:val="18"/>
              </w:rPr>
            </w:pPr>
            <w:proofErr w:type="spellStart"/>
            <w:r>
              <w:rPr>
                <w:rFonts w:eastAsia="Times New Roman" w:cs="Calibri"/>
                <w:color w:val="000000"/>
                <w:sz w:val="18"/>
                <w:szCs w:val="18"/>
              </w:rPr>
              <w:t>AML</w:t>
            </w:r>
            <w:proofErr w:type="spellEnd"/>
            <w:r>
              <w:rPr>
                <w:rFonts w:eastAsia="Times New Roman" w:cs="Calibri"/>
                <w:color w:val="000000"/>
                <w:sz w:val="18"/>
                <w:szCs w:val="18"/>
              </w:rPr>
              <w:t>/</w:t>
            </w:r>
            <w:proofErr w:type="spellStart"/>
            <w:r>
              <w:rPr>
                <w:rFonts w:eastAsia="Times New Roman" w:cs="Calibri"/>
                <w:color w:val="000000"/>
                <w:sz w:val="18"/>
                <w:szCs w:val="18"/>
              </w:rPr>
              <w:t>CFT</w:t>
            </w:r>
            <w:proofErr w:type="spellEnd"/>
            <w:r w:rsidRPr="000222BD">
              <w:rPr>
                <w:rFonts w:eastAsia="Times New Roman" w:cs="Calibri"/>
                <w:color w:val="000000"/>
                <w:sz w:val="18"/>
                <w:szCs w:val="18"/>
              </w:rPr>
              <w:t xml:space="preserve"> </w:t>
            </w:r>
            <w:r w:rsidR="00EA0DCE" w:rsidRPr="000222BD">
              <w:rPr>
                <w:rFonts w:eastAsia="Times New Roman" w:cs="Calibri"/>
                <w:color w:val="000000"/>
                <w:sz w:val="18"/>
                <w:szCs w:val="18"/>
              </w:rPr>
              <w:t>kollégium mellett működő külföldi érintettségű csoporttag</w:t>
            </w:r>
          </w:p>
        </w:tc>
        <w:tc>
          <w:tcPr>
            <w:tcW w:w="1984" w:type="dxa"/>
            <w:tcBorders>
              <w:top w:val="nil"/>
              <w:left w:val="nil"/>
              <w:bottom w:val="single" w:sz="4" w:space="0" w:color="auto"/>
              <w:right w:val="single" w:sz="4" w:space="0" w:color="auto"/>
            </w:tcBorders>
            <w:shd w:val="clear" w:color="auto" w:fill="FFC000"/>
            <w:noWrap/>
            <w:vAlign w:val="center"/>
          </w:tcPr>
          <w:p w14:paraId="0AE80E6A" w14:textId="21CF0EC8"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c>
          <w:tcPr>
            <w:tcW w:w="2126" w:type="dxa"/>
            <w:tcBorders>
              <w:top w:val="nil"/>
              <w:left w:val="nil"/>
              <w:bottom w:val="single" w:sz="4" w:space="0" w:color="auto"/>
              <w:right w:val="single" w:sz="4" w:space="0" w:color="auto"/>
            </w:tcBorders>
            <w:shd w:val="clear" w:color="auto" w:fill="FFC000"/>
            <w:noWrap/>
            <w:vAlign w:val="center"/>
          </w:tcPr>
          <w:p w14:paraId="037DA94A" w14:textId="1F76DDC8"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r>
      <w:tr w:rsidR="00EA0DCE" w:rsidRPr="00A07F4E" w14:paraId="3F4EE2C1" w14:textId="77777777" w:rsidTr="00FE0763">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5D6A6C8" w14:textId="77777777" w:rsidR="00EA0DCE" w:rsidRPr="00354557" w:rsidRDefault="00EA0DCE" w:rsidP="00EA0DCE">
            <w:pPr>
              <w:spacing w:after="0" w:line="240" w:lineRule="auto"/>
              <w:jc w:val="left"/>
              <w:rPr>
                <w:rFonts w:eastAsia="Times New Roman" w:cs="Calibri"/>
                <w:color w:val="000000"/>
                <w:sz w:val="18"/>
                <w:szCs w:val="18"/>
              </w:rPr>
            </w:pPr>
            <w:r w:rsidRPr="00354557">
              <w:rPr>
                <w:rFonts w:eastAsia="Times New Roman" w:cs="Calibri"/>
                <w:color w:val="000000"/>
                <w:sz w:val="18"/>
                <w:szCs w:val="18"/>
              </w:rPr>
              <w:t>2. Pénzforgalmi intézmények</w:t>
            </w:r>
          </w:p>
        </w:tc>
        <w:tc>
          <w:tcPr>
            <w:tcW w:w="1984" w:type="dxa"/>
            <w:tcBorders>
              <w:top w:val="nil"/>
              <w:left w:val="nil"/>
              <w:bottom w:val="single" w:sz="4" w:space="0" w:color="auto"/>
              <w:right w:val="single" w:sz="4" w:space="0" w:color="auto"/>
            </w:tcBorders>
            <w:shd w:val="clear" w:color="auto" w:fill="FFC000"/>
            <w:noWrap/>
            <w:vAlign w:val="center"/>
            <w:hideMark/>
          </w:tcPr>
          <w:p w14:paraId="06C914BC" w14:textId="3CF28833" w:rsidR="00EA0DCE" w:rsidRPr="00A07F4E" w:rsidRDefault="00FE0763" w:rsidP="00EA0DCE">
            <w:pPr>
              <w:spacing w:after="0" w:line="240" w:lineRule="auto"/>
              <w:jc w:val="center"/>
              <w:rPr>
                <w:rFonts w:eastAsia="Times New Roman" w:cs="Calibri"/>
                <w:color w:val="000000"/>
                <w:sz w:val="18"/>
                <w:szCs w:val="18"/>
              </w:rPr>
            </w:pPr>
            <w:r>
              <w:rPr>
                <w:rFonts w:eastAsia="Times New Roman" w:cs="Calibri"/>
                <w:color w:val="000000"/>
                <w:sz w:val="18"/>
                <w:szCs w:val="18"/>
              </w:rPr>
              <w:t>Jelentős</w:t>
            </w:r>
          </w:p>
        </w:tc>
        <w:tc>
          <w:tcPr>
            <w:tcW w:w="2126" w:type="dxa"/>
            <w:tcBorders>
              <w:top w:val="nil"/>
              <w:left w:val="nil"/>
              <w:bottom w:val="single" w:sz="4" w:space="0" w:color="auto"/>
              <w:right w:val="single" w:sz="4" w:space="0" w:color="auto"/>
            </w:tcBorders>
            <w:shd w:val="clear" w:color="auto" w:fill="FFC000"/>
            <w:noWrap/>
            <w:vAlign w:val="center"/>
            <w:hideMark/>
          </w:tcPr>
          <w:p w14:paraId="6B2D2E1C" w14:textId="776AE3FD" w:rsidR="00EA0DCE" w:rsidRPr="00A07F4E" w:rsidRDefault="00FE0763" w:rsidP="00EA0DCE">
            <w:pPr>
              <w:spacing w:after="0" w:line="240" w:lineRule="auto"/>
              <w:jc w:val="center"/>
              <w:rPr>
                <w:rFonts w:eastAsia="Times New Roman" w:cs="Calibri"/>
                <w:color w:val="000000"/>
                <w:sz w:val="18"/>
                <w:szCs w:val="18"/>
              </w:rPr>
            </w:pPr>
            <w:r>
              <w:rPr>
                <w:rFonts w:eastAsia="Times New Roman" w:cs="Calibri"/>
                <w:color w:val="000000"/>
                <w:sz w:val="18"/>
                <w:szCs w:val="18"/>
              </w:rPr>
              <w:t>Jelentős</w:t>
            </w:r>
          </w:p>
        </w:tc>
      </w:tr>
      <w:tr w:rsidR="00EA0DCE" w:rsidRPr="00A07F4E" w14:paraId="5A1F8C66" w14:textId="77777777" w:rsidTr="00354557">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05DE63F" w14:textId="2B1DC4FC" w:rsidR="00EA0DCE" w:rsidRPr="00354557" w:rsidRDefault="00EA0DCE" w:rsidP="00EA0DCE">
            <w:pPr>
              <w:spacing w:after="0" w:line="240" w:lineRule="auto"/>
              <w:ind w:firstLineChars="100" w:firstLine="180"/>
              <w:jc w:val="left"/>
              <w:rPr>
                <w:rFonts w:eastAsia="Times New Roman" w:cs="Calibri"/>
                <w:color w:val="000000"/>
                <w:sz w:val="18"/>
                <w:szCs w:val="18"/>
              </w:rPr>
            </w:pPr>
            <w:r w:rsidRPr="00354557">
              <w:rPr>
                <w:rFonts w:eastAsia="Times New Roman" w:cs="Calibri"/>
                <w:color w:val="000000"/>
                <w:sz w:val="18"/>
                <w:szCs w:val="18"/>
              </w:rPr>
              <w:t xml:space="preserve"> </w:t>
            </w:r>
            <w:r w:rsidRPr="00335F33">
              <w:rPr>
                <w:rFonts w:eastAsia="Times New Roman" w:cs="Calibri"/>
                <w:color w:val="000000"/>
                <w:sz w:val="18"/>
                <w:szCs w:val="18"/>
              </w:rPr>
              <w:t xml:space="preserve">- </w:t>
            </w:r>
            <w:r w:rsidR="00354557" w:rsidRPr="00354557">
              <w:rPr>
                <w:rFonts w:eastAsia="Times New Roman" w:cs="Calibri"/>
                <w:color w:val="000000"/>
                <w:sz w:val="18"/>
                <w:szCs w:val="18"/>
              </w:rPr>
              <w:t>Fizetési számla vezetés tevékenységet nem végző pénzforgalmi intézmény</w:t>
            </w:r>
            <w:r w:rsidR="00E60E2F">
              <w:rPr>
                <w:rFonts w:eastAsia="Times New Roman" w:cs="Calibri"/>
                <w:color w:val="000000"/>
                <w:sz w:val="18"/>
                <w:szCs w:val="18"/>
              </w:rPr>
              <w:t xml:space="preserve"> </w:t>
            </w:r>
          </w:p>
        </w:tc>
        <w:tc>
          <w:tcPr>
            <w:tcW w:w="1984" w:type="dxa"/>
            <w:tcBorders>
              <w:top w:val="nil"/>
              <w:left w:val="nil"/>
              <w:bottom w:val="single" w:sz="4" w:space="0" w:color="auto"/>
              <w:right w:val="single" w:sz="4" w:space="0" w:color="auto"/>
            </w:tcBorders>
            <w:shd w:val="clear" w:color="auto" w:fill="FFFF00"/>
            <w:noWrap/>
            <w:vAlign w:val="center"/>
            <w:hideMark/>
          </w:tcPr>
          <w:p w14:paraId="3D56DA73" w14:textId="2E647140" w:rsidR="00EA0DCE" w:rsidRPr="00A07F4E" w:rsidRDefault="00354557" w:rsidP="00EA0DCE">
            <w:pPr>
              <w:spacing w:after="0" w:line="240" w:lineRule="auto"/>
              <w:jc w:val="center"/>
              <w:rPr>
                <w:rFonts w:eastAsia="Times New Roman" w:cs="Calibri"/>
                <w:color w:val="000000"/>
                <w:sz w:val="18"/>
                <w:szCs w:val="18"/>
              </w:rPr>
            </w:pPr>
            <w:r>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auto" w:fill="FFFF00"/>
            <w:noWrap/>
            <w:vAlign w:val="center"/>
            <w:hideMark/>
          </w:tcPr>
          <w:p w14:paraId="48074644" w14:textId="5ADEB4B3" w:rsidR="00EA0DCE" w:rsidRPr="00A07F4E" w:rsidRDefault="00354557" w:rsidP="00EA0DCE">
            <w:pPr>
              <w:spacing w:after="0" w:line="240" w:lineRule="auto"/>
              <w:jc w:val="center"/>
              <w:rPr>
                <w:rFonts w:eastAsia="Times New Roman" w:cs="Calibri"/>
                <w:color w:val="000000"/>
                <w:sz w:val="18"/>
                <w:szCs w:val="18"/>
              </w:rPr>
            </w:pPr>
            <w:r>
              <w:rPr>
                <w:rFonts w:eastAsia="Times New Roman" w:cs="Calibri"/>
                <w:color w:val="000000"/>
                <w:sz w:val="18"/>
                <w:szCs w:val="18"/>
              </w:rPr>
              <w:t>Mérsékelten jelentős</w:t>
            </w:r>
          </w:p>
        </w:tc>
      </w:tr>
      <w:tr w:rsidR="00427896" w:rsidRPr="00A07F4E" w14:paraId="2F520B35" w14:textId="77777777" w:rsidTr="00FC37B3">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74ADC909" w14:textId="43354E79" w:rsidR="00427896" w:rsidRPr="00427896" w:rsidRDefault="00D83744" w:rsidP="00FC37B3">
            <w:pPr>
              <w:pStyle w:val="Listaszerbekezds"/>
              <w:numPr>
                <w:ilvl w:val="0"/>
                <w:numId w:val="241"/>
              </w:numPr>
              <w:spacing w:after="0" w:line="240" w:lineRule="auto"/>
              <w:ind w:left="1059" w:hanging="141"/>
              <w:jc w:val="left"/>
              <w:rPr>
                <w:rFonts w:eastAsia="Times New Roman" w:cs="Calibri"/>
                <w:color w:val="000000"/>
                <w:sz w:val="18"/>
                <w:szCs w:val="18"/>
              </w:rPr>
            </w:pPr>
            <w:r w:rsidRPr="000222BD">
              <w:rPr>
                <w:rFonts w:eastAsia="Times New Roman" w:cs="Calibri"/>
                <w:color w:val="000000"/>
                <w:sz w:val="18"/>
                <w:szCs w:val="18"/>
              </w:rPr>
              <w:t xml:space="preserve">Fizetés-kezdeményezési szolgáltatók </w:t>
            </w:r>
            <w:r>
              <w:rPr>
                <w:rFonts w:eastAsia="Times New Roman" w:cs="Calibri"/>
                <w:color w:val="000000"/>
                <w:sz w:val="18"/>
                <w:szCs w:val="18"/>
              </w:rPr>
              <w:t>(</w:t>
            </w:r>
            <w:proofErr w:type="spellStart"/>
            <w:r>
              <w:rPr>
                <w:rFonts w:eastAsia="Times New Roman" w:cs="Calibri"/>
                <w:color w:val="000000"/>
                <w:sz w:val="18"/>
                <w:szCs w:val="18"/>
              </w:rPr>
              <w:t>PISP</w:t>
            </w:r>
            <w:proofErr w:type="spellEnd"/>
            <w:r>
              <w:rPr>
                <w:rFonts w:eastAsia="Times New Roman" w:cs="Calibri"/>
                <w:color w:val="000000"/>
                <w:sz w:val="18"/>
                <w:szCs w:val="18"/>
              </w:rPr>
              <w:t>)</w:t>
            </w:r>
          </w:p>
        </w:tc>
        <w:tc>
          <w:tcPr>
            <w:tcW w:w="1984" w:type="dxa"/>
            <w:tcBorders>
              <w:top w:val="nil"/>
              <w:left w:val="nil"/>
              <w:bottom w:val="single" w:sz="4" w:space="0" w:color="auto"/>
              <w:right w:val="single" w:sz="4" w:space="0" w:color="auto"/>
            </w:tcBorders>
            <w:shd w:val="clear" w:color="auto" w:fill="FFFF00"/>
            <w:noWrap/>
            <w:vAlign w:val="center"/>
          </w:tcPr>
          <w:p w14:paraId="4A064453" w14:textId="6F105311" w:rsidR="00427896" w:rsidRDefault="00D83744" w:rsidP="00EA0DCE">
            <w:pPr>
              <w:spacing w:after="0" w:line="240" w:lineRule="auto"/>
              <w:jc w:val="center"/>
              <w:rPr>
                <w:rFonts w:eastAsia="Times New Roman" w:cs="Calibri"/>
                <w:color w:val="000000"/>
                <w:sz w:val="18"/>
                <w:szCs w:val="18"/>
              </w:rPr>
            </w:pPr>
            <w:r>
              <w:rPr>
                <w:rFonts w:eastAsia="Times New Roman" w:cs="Calibri"/>
                <w:color w:val="000000"/>
                <w:sz w:val="18"/>
                <w:szCs w:val="18"/>
              </w:rPr>
              <w:t>Mérsékelten j</w:t>
            </w:r>
            <w:r w:rsidR="00427896">
              <w:rPr>
                <w:rFonts w:eastAsia="Times New Roman" w:cs="Calibri"/>
                <w:color w:val="000000"/>
                <w:sz w:val="18"/>
                <w:szCs w:val="18"/>
              </w:rPr>
              <w:t>elentős</w:t>
            </w:r>
          </w:p>
        </w:tc>
        <w:tc>
          <w:tcPr>
            <w:tcW w:w="2126" w:type="dxa"/>
            <w:tcBorders>
              <w:top w:val="nil"/>
              <w:left w:val="nil"/>
              <w:bottom w:val="single" w:sz="4" w:space="0" w:color="auto"/>
              <w:right w:val="single" w:sz="4" w:space="0" w:color="auto"/>
            </w:tcBorders>
            <w:shd w:val="clear" w:color="auto" w:fill="FFFF00"/>
            <w:noWrap/>
            <w:vAlign w:val="center"/>
          </w:tcPr>
          <w:p w14:paraId="6D77FDD7" w14:textId="604FAE95" w:rsidR="00427896" w:rsidRDefault="00D83744" w:rsidP="00EA0DCE">
            <w:pPr>
              <w:spacing w:after="0" w:line="240" w:lineRule="auto"/>
              <w:jc w:val="center"/>
              <w:rPr>
                <w:rFonts w:eastAsia="Times New Roman" w:cs="Calibri"/>
                <w:color w:val="000000"/>
                <w:sz w:val="18"/>
                <w:szCs w:val="18"/>
              </w:rPr>
            </w:pPr>
            <w:r>
              <w:rPr>
                <w:rFonts w:eastAsia="Times New Roman" w:cs="Calibri"/>
                <w:color w:val="000000"/>
                <w:sz w:val="18"/>
                <w:szCs w:val="18"/>
              </w:rPr>
              <w:t xml:space="preserve">Mérsékelten jelentős </w:t>
            </w:r>
          </w:p>
        </w:tc>
      </w:tr>
      <w:tr w:rsidR="00EA0DCE" w:rsidRPr="00A07F4E" w14:paraId="18E495F7" w14:textId="77777777" w:rsidTr="00FC37B3">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59FBE6" w14:textId="6BE96A42" w:rsidR="00EA0DCE" w:rsidRPr="00FC37B3" w:rsidRDefault="00D83744" w:rsidP="00FC37B3">
            <w:pPr>
              <w:pStyle w:val="Listaszerbekezds"/>
              <w:numPr>
                <w:ilvl w:val="0"/>
                <w:numId w:val="241"/>
              </w:numPr>
              <w:spacing w:after="0" w:line="240" w:lineRule="auto"/>
              <w:ind w:left="1059" w:hanging="141"/>
              <w:jc w:val="left"/>
              <w:rPr>
                <w:rFonts w:eastAsia="Times New Roman" w:cs="Calibri"/>
                <w:color w:val="000000"/>
                <w:sz w:val="18"/>
                <w:szCs w:val="18"/>
              </w:rPr>
            </w:pPr>
            <w:r w:rsidRPr="00290280">
              <w:rPr>
                <w:rFonts w:eastAsia="Times New Roman" w:cs="Calibri"/>
                <w:color w:val="000000"/>
                <w:sz w:val="18"/>
                <w:szCs w:val="18"/>
              </w:rPr>
              <w:t xml:space="preserve">Számlainformációs szolgáltatók </w:t>
            </w:r>
            <w:r w:rsidRPr="00A07F4E">
              <w:rPr>
                <w:rFonts w:eastAsia="Times New Roman" w:cs="Calibri"/>
                <w:color w:val="000000"/>
                <w:sz w:val="18"/>
                <w:szCs w:val="18"/>
              </w:rPr>
              <w:t>(</w:t>
            </w:r>
            <w:proofErr w:type="spellStart"/>
            <w:r w:rsidRPr="00A07F4E">
              <w:rPr>
                <w:rFonts w:eastAsia="Times New Roman" w:cs="Calibri"/>
                <w:color w:val="000000"/>
                <w:sz w:val="18"/>
                <w:szCs w:val="18"/>
              </w:rPr>
              <w:t>AISP</w:t>
            </w:r>
            <w:proofErr w:type="spellEnd"/>
            <w:r w:rsidRPr="00A07F4E">
              <w:rPr>
                <w:rFonts w:eastAsia="Times New Roman" w:cs="Calibri"/>
                <w:color w:val="000000"/>
                <w:sz w:val="18"/>
                <w:szCs w:val="18"/>
              </w:rPr>
              <w:t xml:space="preserve">) </w:t>
            </w:r>
          </w:p>
        </w:tc>
        <w:tc>
          <w:tcPr>
            <w:tcW w:w="1984" w:type="dxa"/>
            <w:tcBorders>
              <w:top w:val="nil"/>
              <w:left w:val="nil"/>
              <w:bottom w:val="single" w:sz="4" w:space="0" w:color="auto"/>
              <w:right w:val="single" w:sz="4" w:space="0" w:color="auto"/>
            </w:tcBorders>
            <w:shd w:val="clear" w:color="auto" w:fill="92D050"/>
            <w:noWrap/>
            <w:vAlign w:val="center"/>
            <w:hideMark/>
          </w:tcPr>
          <w:p w14:paraId="22216E0A" w14:textId="749E67E6" w:rsidR="00EA0DCE" w:rsidRPr="00A07F4E" w:rsidRDefault="00D83744" w:rsidP="00EA0DCE">
            <w:pPr>
              <w:spacing w:after="0" w:line="240" w:lineRule="auto"/>
              <w:jc w:val="center"/>
              <w:rPr>
                <w:rFonts w:eastAsia="Times New Roman" w:cs="Calibri"/>
                <w:color w:val="000000"/>
                <w:sz w:val="18"/>
                <w:szCs w:val="18"/>
              </w:rPr>
            </w:pPr>
            <w:r>
              <w:rPr>
                <w:rFonts w:eastAsia="Times New Roman" w:cs="Calibri"/>
                <w:color w:val="000000"/>
                <w:sz w:val="18"/>
                <w:szCs w:val="18"/>
              </w:rPr>
              <w:t xml:space="preserve">Kevésbé </w:t>
            </w:r>
            <w:r w:rsidR="009145FA">
              <w:rPr>
                <w:rFonts w:eastAsia="Times New Roman" w:cs="Calibri"/>
                <w:color w:val="000000"/>
                <w:sz w:val="18"/>
                <w:szCs w:val="18"/>
              </w:rPr>
              <w:t>jelentős</w:t>
            </w:r>
          </w:p>
        </w:tc>
        <w:tc>
          <w:tcPr>
            <w:tcW w:w="2126" w:type="dxa"/>
            <w:tcBorders>
              <w:top w:val="nil"/>
              <w:left w:val="nil"/>
              <w:bottom w:val="single" w:sz="4" w:space="0" w:color="auto"/>
              <w:right w:val="single" w:sz="4" w:space="0" w:color="auto"/>
            </w:tcBorders>
            <w:shd w:val="clear" w:color="auto" w:fill="92D050"/>
            <w:noWrap/>
            <w:vAlign w:val="center"/>
            <w:hideMark/>
          </w:tcPr>
          <w:p w14:paraId="7787340C" w14:textId="7C04E18E" w:rsidR="00EA0DCE" w:rsidRPr="00A07F4E" w:rsidRDefault="00D83744" w:rsidP="00EA0DCE">
            <w:pPr>
              <w:spacing w:after="0" w:line="240" w:lineRule="auto"/>
              <w:jc w:val="center"/>
              <w:rPr>
                <w:rFonts w:eastAsia="Times New Roman" w:cs="Calibri"/>
                <w:color w:val="000000"/>
                <w:sz w:val="18"/>
                <w:szCs w:val="18"/>
              </w:rPr>
            </w:pPr>
            <w:r>
              <w:rPr>
                <w:rFonts w:eastAsia="Times New Roman" w:cs="Calibri"/>
                <w:color w:val="000000"/>
                <w:sz w:val="18"/>
                <w:szCs w:val="18"/>
              </w:rPr>
              <w:t xml:space="preserve">Kevésbé </w:t>
            </w:r>
            <w:r w:rsidR="009145FA">
              <w:rPr>
                <w:rFonts w:eastAsia="Times New Roman" w:cs="Calibri"/>
                <w:color w:val="000000"/>
                <w:sz w:val="18"/>
                <w:szCs w:val="18"/>
              </w:rPr>
              <w:t>jelentős</w:t>
            </w:r>
          </w:p>
        </w:tc>
      </w:tr>
      <w:tr w:rsidR="00EA0DCE" w:rsidRPr="00A07F4E" w14:paraId="1414A4C3" w14:textId="77777777" w:rsidTr="00A07F4E">
        <w:tblPrEx>
          <w:jc w:val="center"/>
        </w:tblPrEx>
        <w:trPr>
          <w:trHeight w:val="284"/>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CE6289" w14:textId="77777777" w:rsidR="00EA0DCE" w:rsidRPr="00A07F4E" w:rsidRDefault="00EA0DCE" w:rsidP="00EA0DCE">
            <w:pPr>
              <w:spacing w:after="0" w:line="240" w:lineRule="auto"/>
              <w:jc w:val="left"/>
              <w:rPr>
                <w:rFonts w:eastAsia="Times New Roman" w:cs="Calibri"/>
                <w:color w:val="000000"/>
                <w:sz w:val="18"/>
                <w:szCs w:val="18"/>
              </w:rPr>
            </w:pPr>
            <w:r w:rsidRPr="00AE715C">
              <w:rPr>
                <w:rFonts w:eastAsia="Times New Roman" w:cs="Calibri"/>
                <w:color w:val="000000"/>
                <w:sz w:val="18"/>
                <w:szCs w:val="18"/>
              </w:rPr>
              <w:t>3. Elektronikuspénz-kibocsátó szolgáltatók</w:t>
            </w:r>
          </w:p>
        </w:tc>
        <w:tc>
          <w:tcPr>
            <w:tcW w:w="1984" w:type="dxa"/>
            <w:tcBorders>
              <w:top w:val="nil"/>
              <w:left w:val="nil"/>
              <w:bottom w:val="single" w:sz="4" w:space="0" w:color="auto"/>
              <w:right w:val="single" w:sz="4" w:space="0" w:color="auto"/>
            </w:tcBorders>
            <w:shd w:val="clear" w:color="000000" w:fill="FFFF00"/>
            <w:noWrap/>
            <w:vAlign w:val="center"/>
            <w:hideMark/>
          </w:tcPr>
          <w:p w14:paraId="36A6CF7A"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38724D84"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103E4F05"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C3ED47" w14:textId="20C0E910"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4. Pénzvált</w:t>
            </w:r>
            <w:r>
              <w:rPr>
                <w:rFonts w:eastAsia="Times New Roman" w:cs="Calibri"/>
                <w:color w:val="000000"/>
                <w:sz w:val="18"/>
                <w:szCs w:val="18"/>
              </w:rPr>
              <w:t>ó irodák</w:t>
            </w:r>
          </w:p>
        </w:tc>
        <w:tc>
          <w:tcPr>
            <w:tcW w:w="1984" w:type="dxa"/>
            <w:tcBorders>
              <w:top w:val="nil"/>
              <w:left w:val="nil"/>
              <w:bottom w:val="single" w:sz="4" w:space="0" w:color="auto"/>
              <w:right w:val="single" w:sz="4" w:space="0" w:color="auto"/>
            </w:tcBorders>
            <w:shd w:val="clear" w:color="000000" w:fill="FFC000"/>
            <w:noWrap/>
            <w:vAlign w:val="center"/>
            <w:hideMark/>
          </w:tcPr>
          <w:p w14:paraId="07728B06"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504C0A91"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55010620"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6A2D56"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5. Befektetési vállalkozások</w:t>
            </w:r>
          </w:p>
        </w:tc>
        <w:tc>
          <w:tcPr>
            <w:tcW w:w="1984" w:type="dxa"/>
            <w:tcBorders>
              <w:top w:val="nil"/>
              <w:left w:val="nil"/>
              <w:bottom w:val="single" w:sz="4" w:space="0" w:color="auto"/>
              <w:right w:val="single" w:sz="4" w:space="0" w:color="auto"/>
            </w:tcBorders>
            <w:shd w:val="clear" w:color="000000" w:fill="FFFF00"/>
            <w:noWrap/>
            <w:vAlign w:val="center"/>
            <w:hideMark/>
          </w:tcPr>
          <w:p w14:paraId="215A10C3"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1741DE7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31B7F555"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54D39E"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6. Kollektív befektetési vállalkozások/alapkezelők</w:t>
            </w:r>
          </w:p>
        </w:tc>
        <w:tc>
          <w:tcPr>
            <w:tcW w:w="1984" w:type="dxa"/>
            <w:tcBorders>
              <w:top w:val="nil"/>
              <w:left w:val="nil"/>
              <w:bottom w:val="single" w:sz="4" w:space="0" w:color="auto"/>
              <w:right w:val="single" w:sz="4" w:space="0" w:color="auto"/>
            </w:tcBorders>
            <w:shd w:val="clear" w:color="000000" w:fill="FFFF00"/>
            <w:noWrap/>
            <w:vAlign w:val="center"/>
            <w:hideMark/>
          </w:tcPr>
          <w:p w14:paraId="08470DA6"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28E34417"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4DC69903"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4B8296"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 xml:space="preserve">7. Pénzügyi szolgáltatók </w:t>
            </w:r>
          </w:p>
        </w:tc>
        <w:tc>
          <w:tcPr>
            <w:tcW w:w="1984" w:type="dxa"/>
            <w:tcBorders>
              <w:top w:val="nil"/>
              <w:left w:val="nil"/>
              <w:bottom w:val="single" w:sz="4" w:space="0" w:color="auto"/>
              <w:right w:val="single" w:sz="4" w:space="0" w:color="auto"/>
            </w:tcBorders>
            <w:shd w:val="clear" w:color="000000" w:fill="FFFF00"/>
            <w:noWrap/>
            <w:vAlign w:val="center"/>
            <w:hideMark/>
          </w:tcPr>
          <w:p w14:paraId="60DDA3F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31E8DF2D"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45B0EB2F"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E8F5DC"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8. Életbiztosítók</w:t>
            </w:r>
          </w:p>
        </w:tc>
        <w:tc>
          <w:tcPr>
            <w:tcW w:w="1984" w:type="dxa"/>
            <w:tcBorders>
              <w:top w:val="nil"/>
              <w:left w:val="nil"/>
              <w:bottom w:val="single" w:sz="4" w:space="0" w:color="auto"/>
              <w:right w:val="single" w:sz="4" w:space="0" w:color="auto"/>
            </w:tcBorders>
            <w:shd w:val="clear" w:color="000000" w:fill="FFFF00"/>
            <w:noWrap/>
            <w:vAlign w:val="center"/>
            <w:hideMark/>
          </w:tcPr>
          <w:p w14:paraId="422CD6BB"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c>
          <w:tcPr>
            <w:tcW w:w="2126" w:type="dxa"/>
            <w:tcBorders>
              <w:top w:val="nil"/>
              <w:left w:val="nil"/>
              <w:bottom w:val="single" w:sz="4" w:space="0" w:color="auto"/>
              <w:right w:val="single" w:sz="4" w:space="0" w:color="auto"/>
            </w:tcBorders>
            <w:shd w:val="clear" w:color="000000" w:fill="FFFF00"/>
            <w:noWrap/>
            <w:vAlign w:val="center"/>
            <w:hideMark/>
          </w:tcPr>
          <w:p w14:paraId="4D36ADA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Mérsékelten jelentős</w:t>
            </w:r>
          </w:p>
        </w:tc>
      </w:tr>
      <w:tr w:rsidR="00EA0DCE" w:rsidRPr="00A07F4E" w14:paraId="5BD49339"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2EF88E"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9. Életbiztosítás közvetítők</w:t>
            </w:r>
          </w:p>
        </w:tc>
        <w:tc>
          <w:tcPr>
            <w:tcW w:w="1984" w:type="dxa"/>
            <w:tcBorders>
              <w:top w:val="nil"/>
              <w:left w:val="nil"/>
              <w:bottom w:val="single" w:sz="4" w:space="0" w:color="auto"/>
              <w:right w:val="single" w:sz="4" w:space="0" w:color="auto"/>
            </w:tcBorders>
            <w:shd w:val="clear" w:color="000000" w:fill="92D050"/>
            <w:noWrap/>
            <w:vAlign w:val="center"/>
            <w:hideMark/>
          </w:tcPr>
          <w:p w14:paraId="52022199"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36CFC565"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4A8D82C6"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520E241" w14:textId="77777777" w:rsidR="00EA0DCE" w:rsidRPr="00A07F4E" w:rsidRDefault="00EA0DCE" w:rsidP="00EA0DCE">
            <w:pPr>
              <w:spacing w:after="0" w:line="240" w:lineRule="auto"/>
              <w:ind w:firstLineChars="100" w:firstLine="180"/>
              <w:jc w:val="left"/>
              <w:rPr>
                <w:rFonts w:eastAsia="Times New Roman" w:cs="Calibri"/>
                <w:color w:val="000000"/>
                <w:sz w:val="18"/>
                <w:szCs w:val="18"/>
              </w:rPr>
            </w:pPr>
            <w:r w:rsidRPr="00A07F4E">
              <w:rPr>
                <w:rFonts w:eastAsia="Times New Roman" w:cs="Calibri"/>
                <w:color w:val="000000"/>
                <w:sz w:val="18"/>
                <w:szCs w:val="18"/>
              </w:rPr>
              <w:t xml:space="preserve"> - Biztosítási alkusz </w:t>
            </w:r>
          </w:p>
        </w:tc>
        <w:tc>
          <w:tcPr>
            <w:tcW w:w="1984" w:type="dxa"/>
            <w:tcBorders>
              <w:top w:val="nil"/>
              <w:left w:val="nil"/>
              <w:bottom w:val="single" w:sz="4" w:space="0" w:color="auto"/>
              <w:right w:val="single" w:sz="4" w:space="0" w:color="auto"/>
            </w:tcBorders>
            <w:shd w:val="clear" w:color="000000" w:fill="92D050"/>
            <w:noWrap/>
            <w:vAlign w:val="center"/>
            <w:hideMark/>
          </w:tcPr>
          <w:p w14:paraId="5994845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31A60EAB"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6DFEBF97"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1DEB8CD" w14:textId="77777777" w:rsidR="00EA0DCE" w:rsidRPr="00A07F4E" w:rsidRDefault="00EA0DCE" w:rsidP="00EA0DCE">
            <w:pPr>
              <w:spacing w:after="0" w:line="240" w:lineRule="auto"/>
              <w:ind w:firstLineChars="100" w:firstLine="180"/>
              <w:jc w:val="left"/>
              <w:rPr>
                <w:rFonts w:eastAsia="Times New Roman" w:cs="Calibri"/>
                <w:color w:val="000000"/>
                <w:sz w:val="18"/>
                <w:szCs w:val="18"/>
              </w:rPr>
            </w:pPr>
            <w:r w:rsidRPr="00A07F4E">
              <w:rPr>
                <w:rFonts w:eastAsia="Times New Roman" w:cs="Calibri"/>
                <w:color w:val="000000"/>
                <w:sz w:val="18"/>
                <w:szCs w:val="18"/>
              </w:rPr>
              <w:t xml:space="preserve"> - Biztosítási többes ügynök  </w:t>
            </w:r>
          </w:p>
        </w:tc>
        <w:tc>
          <w:tcPr>
            <w:tcW w:w="1984" w:type="dxa"/>
            <w:tcBorders>
              <w:top w:val="nil"/>
              <w:left w:val="nil"/>
              <w:bottom w:val="single" w:sz="4" w:space="0" w:color="auto"/>
              <w:right w:val="single" w:sz="4" w:space="0" w:color="auto"/>
            </w:tcBorders>
            <w:shd w:val="clear" w:color="000000" w:fill="92D050"/>
            <w:noWrap/>
            <w:vAlign w:val="center"/>
            <w:hideMark/>
          </w:tcPr>
          <w:p w14:paraId="48646644"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4EB417B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35BEB580"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108E436" w14:textId="77777777" w:rsidR="00EA0DCE" w:rsidRPr="00A07F4E" w:rsidRDefault="00EA0DCE" w:rsidP="00EA0DCE">
            <w:pPr>
              <w:spacing w:after="0" w:line="240" w:lineRule="auto"/>
              <w:ind w:firstLineChars="100" w:firstLine="180"/>
              <w:jc w:val="left"/>
              <w:rPr>
                <w:rFonts w:eastAsia="Times New Roman" w:cs="Calibri"/>
                <w:color w:val="000000"/>
                <w:sz w:val="18"/>
                <w:szCs w:val="18"/>
              </w:rPr>
            </w:pPr>
            <w:r w:rsidRPr="00A07F4E">
              <w:rPr>
                <w:rFonts w:eastAsia="Times New Roman" w:cs="Calibri"/>
                <w:color w:val="000000"/>
                <w:sz w:val="18"/>
                <w:szCs w:val="18"/>
              </w:rPr>
              <w:t xml:space="preserve"> - Biztosításközvetítő fióktelep </w:t>
            </w:r>
          </w:p>
        </w:tc>
        <w:tc>
          <w:tcPr>
            <w:tcW w:w="1984" w:type="dxa"/>
            <w:tcBorders>
              <w:top w:val="nil"/>
              <w:left w:val="nil"/>
              <w:bottom w:val="single" w:sz="4" w:space="0" w:color="auto"/>
              <w:right w:val="single" w:sz="4" w:space="0" w:color="auto"/>
            </w:tcBorders>
            <w:shd w:val="clear" w:color="000000" w:fill="92D050"/>
            <w:noWrap/>
            <w:vAlign w:val="center"/>
            <w:hideMark/>
          </w:tcPr>
          <w:p w14:paraId="2D27DC3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6D38C3D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62DDDFD4" w14:textId="77777777" w:rsidTr="009F3A30">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45BC99"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10. Bizalmi vagyonkezelők</w:t>
            </w:r>
          </w:p>
        </w:tc>
        <w:tc>
          <w:tcPr>
            <w:tcW w:w="1984" w:type="dxa"/>
            <w:tcBorders>
              <w:top w:val="nil"/>
              <w:left w:val="nil"/>
              <w:bottom w:val="single" w:sz="4" w:space="0" w:color="auto"/>
              <w:right w:val="single" w:sz="4" w:space="0" w:color="auto"/>
            </w:tcBorders>
            <w:shd w:val="clear" w:color="auto" w:fill="FF0000"/>
            <w:noWrap/>
            <w:vAlign w:val="center"/>
            <w:hideMark/>
          </w:tcPr>
          <w:p w14:paraId="3E613643" w14:textId="77777777" w:rsidR="00EA0DCE" w:rsidRPr="009F3A30" w:rsidRDefault="00EA0DCE" w:rsidP="00EA0DCE">
            <w:pPr>
              <w:spacing w:after="0" w:line="240" w:lineRule="auto"/>
              <w:jc w:val="center"/>
              <w:rPr>
                <w:color w:val="000000"/>
                <w:sz w:val="18"/>
                <w:highlight w:val="red"/>
              </w:rPr>
            </w:pPr>
            <w:r w:rsidRPr="00A07F4E">
              <w:rPr>
                <w:rFonts w:eastAsia="Times New Roman" w:cs="Calibri"/>
                <w:color w:val="000000"/>
                <w:sz w:val="18"/>
                <w:szCs w:val="18"/>
              </w:rPr>
              <w:t>Nagyon jelentős</w:t>
            </w:r>
          </w:p>
        </w:tc>
        <w:tc>
          <w:tcPr>
            <w:tcW w:w="2126" w:type="dxa"/>
            <w:tcBorders>
              <w:top w:val="nil"/>
              <w:left w:val="nil"/>
              <w:bottom w:val="single" w:sz="4" w:space="0" w:color="auto"/>
              <w:right w:val="single" w:sz="4" w:space="0" w:color="auto"/>
            </w:tcBorders>
            <w:shd w:val="clear" w:color="000000" w:fill="FF0000"/>
            <w:noWrap/>
            <w:vAlign w:val="center"/>
            <w:hideMark/>
          </w:tcPr>
          <w:p w14:paraId="326B8BC5"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Nagyon jelentős</w:t>
            </w:r>
          </w:p>
        </w:tc>
      </w:tr>
      <w:tr w:rsidR="00EA0DCE" w:rsidRPr="00A07F4E" w14:paraId="5AE2B59D" w14:textId="77777777" w:rsidTr="009F3A30">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E0AAFE"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 xml:space="preserve"> - üzletszerű bizalmi vagyonkezelők</w:t>
            </w:r>
          </w:p>
        </w:tc>
        <w:tc>
          <w:tcPr>
            <w:tcW w:w="1984" w:type="dxa"/>
            <w:tcBorders>
              <w:top w:val="nil"/>
              <w:left w:val="nil"/>
              <w:bottom w:val="single" w:sz="4" w:space="0" w:color="auto"/>
              <w:right w:val="single" w:sz="4" w:space="0" w:color="auto"/>
            </w:tcBorders>
            <w:shd w:val="clear" w:color="auto" w:fill="FF0000"/>
            <w:noWrap/>
            <w:vAlign w:val="center"/>
            <w:hideMark/>
          </w:tcPr>
          <w:p w14:paraId="6A0CD073" w14:textId="77777777" w:rsidR="00EA0DCE" w:rsidRPr="009F3A30" w:rsidRDefault="00EA0DCE" w:rsidP="00EA0DCE">
            <w:pPr>
              <w:spacing w:after="0" w:line="240" w:lineRule="auto"/>
              <w:jc w:val="center"/>
              <w:rPr>
                <w:color w:val="000000"/>
                <w:sz w:val="18"/>
                <w:highlight w:val="red"/>
              </w:rPr>
            </w:pPr>
            <w:r w:rsidRPr="00A07F4E">
              <w:rPr>
                <w:rFonts w:eastAsia="Times New Roman" w:cs="Calibri"/>
                <w:color w:val="000000"/>
                <w:sz w:val="18"/>
                <w:szCs w:val="18"/>
              </w:rPr>
              <w:t>Nagyon jelentős</w:t>
            </w:r>
          </w:p>
        </w:tc>
        <w:tc>
          <w:tcPr>
            <w:tcW w:w="2126" w:type="dxa"/>
            <w:tcBorders>
              <w:top w:val="nil"/>
              <w:left w:val="nil"/>
              <w:bottom w:val="single" w:sz="4" w:space="0" w:color="auto"/>
              <w:right w:val="single" w:sz="4" w:space="0" w:color="auto"/>
            </w:tcBorders>
            <w:shd w:val="clear" w:color="000000" w:fill="FF0000"/>
            <w:noWrap/>
            <w:vAlign w:val="center"/>
            <w:hideMark/>
          </w:tcPr>
          <w:p w14:paraId="08A5C77D"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Nagyon jelentős</w:t>
            </w:r>
          </w:p>
        </w:tc>
      </w:tr>
      <w:tr w:rsidR="00EA0DCE" w:rsidRPr="00A07F4E" w14:paraId="084871FE" w14:textId="77777777" w:rsidTr="009F3A30">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5E3282"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 xml:space="preserve"> - nem üzletszerű bizalmi vagyonkezelők</w:t>
            </w:r>
          </w:p>
        </w:tc>
        <w:tc>
          <w:tcPr>
            <w:tcW w:w="1984" w:type="dxa"/>
            <w:tcBorders>
              <w:top w:val="nil"/>
              <w:left w:val="nil"/>
              <w:bottom w:val="single" w:sz="4" w:space="0" w:color="auto"/>
              <w:right w:val="single" w:sz="4" w:space="0" w:color="auto"/>
            </w:tcBorders>
            <w:shd w:val="clear" w:color="auto" w:fill="FF0000"/>
            <w:noWrap/>
            <w:vAlign w:val="center"/>
            <w:hideMark/>
          </w:tcPr>
          <w:p w14:paraId="26C48357" w14:textId="77777777" w:rsidR="00EA0DCE" w:rsidRPr="00A07F4E" w:rsidRDefault="00EA0DCE" w:rsidP="00EA0DCE">
            <w:pPr>
              <w:spacing w:after="0" w:line="240" w:lineRule="auto"/>
              <w:jc w:val="center"/>
              <w:rPr>
                <w:rFonts w:eastAsia="Times New Roman" w:cs="Calibri"/>
                <w:color w:val="000000"/>
                <w:sz w:val="18"/>
                <w:szCs w:val="18"/>
              </w:rPr>
            </w:pPr>
            <w:r>
              <w:rPr>
                <w:rFonts w:eastAsia="Times New Roman" w:cs="Calibri"/>
                <w:color w:val="000000"/>
                <w:sz w:val="18"/>
                <w:szCs w:val="18"/>
              </w:rPr>
              <w:t>Nagyon j</w:t>
            </w:r>
            <w:r w:rsidRPr="00A07F4E">
              <w:rPr>
                <w:rFonts w:eastAsia="Times New Roman" w:cs="Calibri"/>
                <w:color w:val="000000"/>
                <w:sz w:val="18"/>
                <w:szCs w:val="18"/>
              </w:rPr>
              <w:t>elentős</w:t>
            </w:r>
          </w:p>
        </w:tc>
        <w:tc>
          <w:tcPr>
            <w:tcW w:w="2126" w:type="dxa"/>
            <w:tcBorders>
              <w:top w:val="nil"/>
              <w:left w:val="nil"/>
              <w:bottom w:val="single" w:sz="4" w:space="0" w:color="auto"/>
              <w:right w:val="single" w:sz="4" w:space="0" w:color="auto"/>
            </w:tcBorders>
            <w:shd w:val="clear" w:color="000000" w:fill="FFC000"/>
            <w:noWrap/>
            <w:vAlign w:val="center"/>
            <w:hideMark/>
          </w:tcPr>
          <w:p w14:paraId="5BEF597A"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Jelentős</w:t>
            </w:r>
          </w:p>
        </w:tc>
      </w:tr>
      <w:tr w:rsidR="00EA0DCE" w:rsidRPr="00A07F4E" w14:paraId="13B509B6"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49DA7D"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11. Pénztárak</w:t>
            </w:r>
          </w:p>
        </w:tc>
        <w:tc>
          <w:tcPr>
            <w:tcW w:w="1984" w:type="dxa"/>
            <w:tcBorders>
              <w:top w:val="nil"/>
              <w:left w:val="nil"/>
              <w:bottom w:val="single" w:sz="4" w:space="0" w:color="auto"/>
              <w:right w:val="single" w:sz="4" w:space="0" w:color="auto"/>
            </w:tcBorders>
            <w:shd w:val="clear" w:color="000000" w:fill="92D050"/>
            <w:noWrap/>
            <w:vAlign w:val="center"/>
            <w:hideMark/>
          </w:tcPr>
          <w:p w14:paraId="524FD69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5BE8F969"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1B5F5D29"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42596B"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12. Foglalkoztatói nyugdíjszolgáltató</w:t>
            </w:r>
            <w:r>
              <w:rPr>
                <w:rFonts w:eastAsia="Times New Roman" w:cs="Calibri"/>
                <w:color w:val="000000"/>
                <w:sz w:val="18"/>
                <w:szCs w:val="18"/>
              </w:rPr>
              <w:t>k</w:t>
            </w:r>
          </w:p>
        </w:tc>
        <w:tc>
          <w:tcPr>
            <w:tcW w:w="1984" w:type="dxa"/>
            <w:tcBorders>
              <w:top w:val="nil"/>
              <w:left w:val="nil"/>
              <w:bottom w:val="single" w:sz="4" w:space="0" w:color="auto"/>
              <w:right w:val="single" w:sz="4" w:space="0" w:color="auto"/>
            </w:tcBorders>
            <w:shd w:val="clear" w:color="000000" w:fill="92D050"/>
            <w:noWrap/>
            <w:vAlign w:val="center"/>
            <w:hideMark/>
          </w:tcPr>
          <w:p w14:paraId="436D309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4EEDFF13"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4B9C0A58"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85BEE5" w14:textId="437AEFF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13. Utalvány</w:t>
            </w:r>
            <w:r>
              <w:rPr>
                <w:rFonts w:eastAsia="Times New Roman" w:cs="Calibri"/>
                <w:color w:val="000000"/>
                <w:sz w:val="18"/>
                <w:szCs w:val="18"/>
              </w:rPr>
              <w:t>-</w:t>
            </w:r>
            <w:r w:rsidRPr="00A07F4E">
              <w:rPr>
                <w:rFonts w:eastAsia="Times New Roman" w:cs="Calibri"/>
                <w:color w:val="000000"/>
                <w:sz w:val="18"/>
                <w:szCs w:val="18"/>
              </w:rPr>
              <w:t>kibocsátók</w:t>
            </w:r>
          </w:p>
        </w:tc>
        <w:tc>
          <w:tcPr>
            <w:tcW w:w="1984" w:type="dxa"/>
            <w:tcBorders>
              <w:top w:val="nil"/>
              <w:left w:val="nil"/>
              <w:bottom w:val="single" w:sz="4" w:space="0" w:color="auto"/>
              <w:right w:val="single" w:sz="4" w:space="0" w:color="auto"/>
            </w:tcBorders>
            <w:shd w:val="clear" w:color="000000" w:fill="92D050"/>
            <w:noWrap/>
            <w:vAlign w:val="center"/>
            <w:hideMark/>
          </w:tcPr>
          <w:p w14:paraId="09F9183C"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34235C63"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5252DEE7"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45BDA4"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14. Piacműködtetők</w:t>
            </w:r>
          </w:p>
        </w:tc>
        <w:tc>
          <w:tcPr>
            <w:tcW w:w="1984" w:type="dxa"/>
            <w:tcBorders>
              <w:top w:val="nil"/>
              <w:left w:val="nil"/>
              <w:bottom w:val="single" w:sz="4" w:space="0" w:color="auto"/>
              <w:right w:val="single" w:sz="4" w:space="0" w:color="auto"/>
            </w:tcBorders>
            <w:shd w:val="clear" w:color="000000" w:fill="92D050"/>
            <w:noWrap/>
            <w:vAlign w:val="center"/>
            <w:hideMark/>
          </w:tcPr>
          <w:p w14:paraId="5A891717"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5847B761"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22BEEA29"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3E1584"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15. Pénzpiaci közvetítő</w:t>
            </w:r>
            <w:r>
              <w:rPr>
                <w:rFonts w:eastAsia="Times New Roman" w:cs="Calibri"/>
                <w:color w:val="000000"/>
                <w:sz w:val="18"/>
                <w:szCs w:val="18"/>
              </w:rPr>
              <w:t>k</w:t>
            </w:r>
            <w:r w:rsidRPr="00A07F4E">
              <w:rPr>
                <w:rFonts w:eastAsia="Times New Roman" w:cs="Calibri"/>
                <w:color w:val="000000"/>
                <w:sz w:val="18"/>
                <w:szCs w:val="18"/>
              </w:rPr>
              <w:t xml:space="preserve"> </w:t>
            </w:r>
          </w:p>
        </w:tc>
        <w:tc>
          <w:tcPr>
            <w:tcW w:w="1984" w:type="dxa"/>
            <w:tcBorders>
              <w:top w:val="nil"/>
              <w:left w:val="nil"/>
              <w:bottom w:val="single" w:sz="4" w:space="0" w:color="auto"/>
              <w:right w:val="single" w:sz="4" w:space="0" w:color="auto"/>
            </w:tcBorders>
            <w:shd w:val="clear" w:color="000000" w:fill="92D050"/>
            <w:noWrap/>
            <w:vAlign w:val="center"/>
            <w:hideMark/>
          </w:tcPr>
          <w:p w14:paraId="78CC3B5F"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4E0EA43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tr w:rsidR="00EA0DCE" w:rsidRPr="00A07F4E" w14:paraId="531C0626" w14:textId="77777777" w:rsidTr="00A07F4E">
        <w:trPr>
          <w:trHeight w:val="28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29FD5D" w14:textId="77777777" w:rsidR="00EA0DCE" w:rsidRPr="00A07F4E" w:rsidRDefault="00EA0DCE" w:rsidP="00EA0DCE">
            <w:pPr>
              <w:spacing w:after="0" w:line="240" w:lineRule="auto"/>
              <w:jc w:val="left"/>
              <w:rPr>
                <w:rFonts w:eastAsia="Times New Roman" w:cs="Calibri"/>
                <w:color w:val="000000"/>
                <w:sz w:val="18"/>
                <w:szCs w:val="18"/>
              </w:rPr>
            </w:pPr>
            <w:r w:rsidRPr="00A07F4E">
              <w:rPr>
                <w:rFonts w:eastAsia="Times New Roman" w:cs="Calibri"/>
                <w:color w:val="000000"/>
                <w:sz w:val="18"/>
                <w:szCs w:val="18"/>
              </w:rPr>
              <w:t>16. Pénzfeldolgozók</w:t>
            </w:r>
          </w:p>
        </w:tc>
        <w:tc>
          <w:tcPr>
            <w:tcW w:w="1984" w:type="dxa"/>
            <w:tcBorders>
              <w:top w:val="nil"/>
              <w:left w:val="nil"/>
              <w:bottom w:val="single" w:sz="4" w:space="0" w:color="auto"/>
              <w:right w:val="single" w:sz="4" w:space="0" w:color="auto"/>
            </w:tcBorders>
            <w:shd w:val="clear" w:color="000000" w:fill="92D050"/>
            <w:noWrap/>
            <w:vAlign w:val="center"/>
            <w:hideMark/>
          </w:tcPr>
          <w:p w14:paraId="12E9A3CB"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Kevésbé jelentős</w:t>
            </w:r>
          </w:p>
        </w:tc>
        <w:tc>
          <w:tcPr>
            <w:tcW w:w="2126" w:type="dxa"/>
            <w:tcBorders>
              <w:top w:val="nil"/>
              <w:left w:val="nil"/>
              <w:bottom w:val="single" w:sz="4" w:space="0" w:color="auto"/>
              <w:right w:val="single" w:sz="4" w:space="0" w:color="auto"/>
            </w:tcBorders>
            <w:shd w:val="clear" w:color="000000" w:fill="92D050"/>
            <w:noWrap/>
            <w:vAlign w:val="center"/>
            <w:hideMark/>
          </w:tcPr>
          <w:p w14:paraId="283D4F68" w14:textId="77777777" w:rsidR="00EA0DCE" w:rsidRPr="00A07F4E" w:rsidRDefault="00EA0DCE" w:rsidP="00EA0DCE">
            <w:pPr>
              <w:spacing w:after="0" w:line="240" w:lineRule="auto"/>
              <w:jc w:val="center"/>
              <w:rPr>
                <w:rFonts w:eastAsia="Times New Roman" w:cs="Calibri"/>
                <w:color w:val="000000"/>
                <w:sz w:val="18"/>
                <w:szCs w:val="18"/>
              </w:rPr>
            </w:pPr>
            <w:r w:rsidRPr="00A07F4E">
              <w:rPr>
                <w:rFonts w:eastAsia="Times New Roman" w:cs="Calibri"/>
                <w:color w:val="000000"/>
                <w:sz w:val="18"/>
                <w:szCs w:val="18"/>
              </w:rPr>
              <w:t>Kevésbe jelentős</w:t>
            </w:r>
          </w:p>
        </w:tc>
      </w:tr>
      <w:bookmarkEnd w:id="354"/>
    </w:tbl>
    <w:p w14:paraId="7524B093" w14:textId="77777777" w:rsidR="00F17319" w:rsidRPr="00A07F4E" w:rsidRDefault="00F17319" w:rsidP="006855CF"/>
    <w:p w14:paraId="0377A942" w14:textId="7EBF04AE" w:rsidR="0061032A" w:rsidRPr="00310CEB" w:rsidRDefault="0061032A" w:rsidP="00700EC3"/>
    <w:sectPr w:rsidR="0061032A" w:rsidRPr="00310CEB" w:rsidSect="00B27620">
      <w:headerReference w:type="default" r:id="rId12"/>
      <w:footerReference w:type="default" r:id="rId13"/>
      <w:pgSz w:w="11906" w:h="16838" w:code="9"/>
      <w:pgMar w:top="1418" w:right="1191" w:bottom="170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C9CB" w14:textId="77777777" w:rsidR="006C6733" w:rsidRDefault="006C6733">
      <w:r>
        <w:separator/>
      </w:r>
    </w:p>
  </w:endnote>
  <w:endnote w:type="continuationSeparator" w:id="0">
    <w:p w14:paraId="2CC35EBC" w14:textId="77777777" w:rsidR="006C6733" w:rsidRDefault="006C6733">
      <w:r>
        <w:continuationSeparator/>
      </w:r>
    </w:p>
  </w:endnote>
  <w:endnote w:type="continuationNotice" w:id="1">
    <w:p w14:paraId="1326B236" w14:textId="77777777" w:rsidR="006C6733" w:rsidRDefault="006C6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6167" w14:textId="77777777" w:rsidR="009661DC" w:rsidRPr="00AC6950" w:rsidRDefault="009661DC"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8E7A" w14:textId="77777777" w:rsidR="006C6733" w:rsidRDefault="006C6733">
      <w:r>
        <w:separator/>
      </w:r>
    </w:p>
  </w:footnote>
  <w:footnote w:type="continuationSeparator" w:id="0">
    <w:p w14:paraId="16083041" w14:textId="77777777" w:rsidR="006C6733" w:rsidRDefault="006C6733">
      <w:r>
        <w:continuationSeparator/>
      </w:r>
    </w:p>
  </w:footnote>
  <w:footnote w:type="continuationNotice" w:id="1">
    <w:p w14:paraId="718CE1FD" w14:textId="77777777" w:rsidR="006C6733" w:rsidRDefault="006C6733">
      <w:pPr>
        <w:spacing w:after="0" w:line="240" w:lineRule="auto"/>
      </w:pPr>
    </w:p>
  </w:footnote>
  <w:footnote w:id="2">
    <w:p w14:paraId="7437DCD4" w14:textId="29BD62F2" w:rsidR="00C1449C" w:rsidRPr="000222BD" w:rsidRDefault="00C1449C">
      <w:pPr>
        <w:pStyle w:val="Lbjegyzetszveg"/>
        <w:rPr>
          <w:i/>
          <w:iCs/>
        </w:rPr>
      </w:pPr>
      <w:r>
        <w:rPr>
          <w:rStyle w:val="Lbjegyzet-hivatkozs"/>
        </w:rPr>
        <w:footnoteRef/>
      </w:r>
      <w:r>
        <w:t xml:space="preserve"> </w:t>
      </w:r>
      <w:r w:rsidR="00096705" w:rsidRPr="00096705">
        <w:t>a hitelintézetekről és a pénzügyi vállalkozásokról</w:t>
      </w:r>
      <w:r w:rsidR="00096705">
        <w:t xml:space="preserve"> szóló </w:t>
      </w:r>
      <w:r w:rsidR="00096705" w:rsidRPr="00096705">
        <w:t>2013. évi CCXXXVII. törvény</w:t>
      </w:r>
      <w:r w:rsidR="00096705">
        <w:t xml:space="preserve"> (</w:t>
      </w:r>
      <w:r w:rsidRPr="000222BD">
        <w:rPr>
          <w:b/>
          <w:bCs/>
        </w:rPr>
        <w:t>Hpt.</w:t>
      </w:r>
      <w:r w:rsidR="00096705">
        <w:t>)</w:t>
      </w:r>
      <w:r>
        <w:t xml:space="preserve"> 8. § (1) bekezdés alapján: „</w:t>
      </w:r>
      <w:r w:rsidRPr="000222BD">
        <w:rPr>
          <w:i/>
          <w:iCs/>
        </w:rPr>
        <w:t>Hitelintézet az a pénzügyi intézmény, amely a 3. §-ban meghatározott pénzügyi szolgáltatások közül legalább betétet gyűjt, vagy más visszafizetendő pénzeszközt fogad el a nyilvánosságtól - ide nem értve a jogszabályban meghatározott nyilvános kötvénykibocsátást -, valamint hitelt és pénzkölcsönt nyújt.”</w:t>
      </w:r>
    </w:p>
  </w:footnote>
  <w:footnote w:id="3">
    <w:p w14:paraId="45179296" w14:textId="54F34784" w:rsidR="009661DC" w:rsidRDefault="009661DC" w:rsidP="001C0863">
      <w:pPr>
        <w:pStyle w:val="Lbjegyzetszveg"/>
      </w:pPr>
      <w:r w:rsidRPr="009F3A30">
        <w:rPr>
          <w:rStyle w:val="Lbjegyzet-hivatkozs"/>
        </w:rPr>
        <w:footnoteRef/>
      </w:r>
      <w:r w:rsidRPr="009F3A30">
        <w:t xml:space="preserve"> Az </w:t>
      </w:r>
      <w:proofErr w:type="spellStart"/>
      <w:r w:rsidRPr="009F3A30">
        <w:t>EBA</w:t>
      </w:r>
      <w:proofErr w:type="spellEnd"/>
      <w:r w:rsidRPr="009F3A30">
        <w:t xml:space="preserve"> részére benyújtott, </w:t>
      </w:r>
      <w:r w:rsidR="00752EF6">
        <w:t>az MNB</w:t>
      </w:r>
      <w:r w:rsidRPr="009F3A30">
        <w:t xml:space="preserve"> 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8C1A55">
        <w:t>a szolgáltatók</w:t>
      </w:r>
      <w:r w:rsidRPr="009F3A30">
        <w:t xml:space="preserve"> által alkalmazott kontrolloknál megadott értékelés szerinti összefoglalás.</w:t>
      </w:r>
      <w:r>
        <w:t xml:space="preserve"> </w:t>
      </w:r>
    </w:p>
  </w:footnote>
  <w:footnote w:id="4">
    <w:p w14:paraId="24C7B564" w14:textId="10983D3A" w:rsidR="00C05E03" w:rsidRDefault="00C05E03">
      <w:pPr>
        <w:pStyle w:val="Lbjegyzetszveg"/>
      </w:pPr>
      <w:r>
        <w:rPr>
          <w:rStyle w:val="Lbjegyzet-hivatkozs"/>
        </w:rPr>
        <w:footnoteRef/>
      </w:r>
      <w:r>
        <w:t xml:space="preserve"> </w:t>
      </w:r>
      <w:r w:rsidRPr="00C05E03">
        <w:t>Jelen szektorhoz a pénzforgalmi intézmények tartoznak, azon vállalkozások, amelyek – a vonatkozó jogszabályban foglaltaknak megfelelően – az MNB által kiadott tevékenységi engedéllyel rendelkeznek pénzforgalmi szolgáltatási tevékenység végzésére, de nem rendelkeznek engedéllyel az elektronikuspénz-kibocsátási tevékenység végzésére.</w:t>
      </w:r>
    </w:p>
  </w:footnote>
  <w:footnote w:id="5">
    <w:p w14:paraId="761A00BF" w14:textId="07B7734E" w:rsidR="00741494" w:rsidRDefault="00741494">
      <w:pPr>
        <w:pStyle w:val="Lbjegyzetszveg"/>
      </w:pPr>
      <w:r>
        <w:rPr>
          <w:rStyle w:val="Lbjegyzet-hivatkozs"/>
        </w:rPr>
        <w:footnoteRef/>
      </w:r>
      <w:r>
        <w:t xml:space="preserve"> </w:t>
      </w:r>
      <w:proofErr w:type="spellStart"/>
      <w:r w:rsidRPr="00C315D4">
        <w:t>Pmt</w:t>
      </w:r>
      <w:proofErr w:type="spellEnd"/>
      <w:r w:rsidRPr="00C315D4">
        <w:t>. 1. § (4) bekezdésének a) alpontja</w:t>
      </w:r>
    </w:p>
  </w:footnote>
  <w:footnote w:id="6">
    <w:p w14:paraId="17D317AE" w14:textId="58A33694" w:rsidR="00595624" w:rsidRPr="000222BD" w:rsidRDefault="00595624">
      <w:pPr>
        <w:pStyle w:val="Lbjegyzetszveg"/>
        <w:rPr>
          <w:i/>
          <w:iCs/>
        </w:rPr>
      </w:pPr>
      <w:r>
        <w:rPr>
          <w:rStyle w:val="Lbjegyzet-hivatkozs"/>
        </w:rPr>
        <w:footnoteRef/>
      </w:r>
      <w:r>
        <w:t xml:space="preserve"> </w:t>
      </w:r>
      <w:r w:rsidRPr="00595624">
        <w:t xml:space="preserve">a pénzforgalom lebonyolításáról </w:t>
      </w:r>
      <w:r>
        <w:t xml:space="preserve">szóló </w:t>
      </w:r>
      <w:r w:rsidRPr="00595624">
        <w:t>35/2017. (XII. 14.) MNB rendelet</w:t>
      </w:r>
      <w:r w:rsidR="00400638">
        <w:t xml:space="preserve"> (</w:t>
      </w:r>
      <w:r w:rsidR="00400638" w:rsidRPr="000222BD">
        <w:rPr>
          <w:b/>
          <w:bCs/>
        </w:rPr>
        <w:t>35/2017. (XII. 14.) MNB rendelet</w:t>
      </w:r>
      <w:r w:rsidR="00400638">
        <w:t xml:space="preserve">) </w:t>
      </w:r>
      <w:r>
        <w:t xml:space="preserve">2. § (1) bekezdés </w:t>
      </w:r>
      <w:r w:rsidRPr="00595624">
        <w:t>5.</w:t>
      </w:r>
      <w:r>
        <w:t xml:space="preserve"> pont: </w:t>
      </w:r>
      <w:r w:rsidRPr="000222BD">
        <w:rPr>
          <w:i/>
          <w:iCs/>
        </w:rPr>
        <w:t xml:space="preserve">„fizetési kérelem: a kedvezményezett által a fizető félnek címzett fizetés kezdeményezésére vonatkozó, az azonnali átutalást feldolgozó fizetési rendszerben szabványosított üzenet, amely legalább az azonnali átutalási megbízás megadásához szükséges valamennyi adatot tartalmazza.” </w:t>
      </w:r>
    </w:p>
  </w:footnote>
  <w:footnote w:id="7">
    <w:p w14:paraId="345F56C4" w14:textId="1B23D89D" w:rsidR="009661DC" w:rsidRDefault="009661DC">
      <w:pPr>
        <w:pStyle w:val="Lbjegyzetszveg"/>
      </w:pPr>
      <w:r w:rsidRPr="00A07F4E">
        <w:rPr>
          <w:rStyle w:val="Lbjegyzet-hivatkozs"/>
        </w:rPr>
        <w:footnoteRef/>
      </w:r>
      <w:r w:rsidRPr="00A07F4E">
        <w:t xml:space="preserve"> </w:t>
      </w:r>
      <w:r w:rsidRPr="009F3A30">
        <w:t xml:space="preserve">Az </w:t>
      </w:r>
      <w:proofErr w:type="spellStart"/>
      <w:r w:rsidRPr="009F3A30">
        <w:t>EBA</w:t>
      </w:r>
      <w:proofErr w:type="spellEnd"/>
      <w:r w:rsidRPr="009F3A30">
        <w:t xml:space="preserve"> részére benyújtott, </w:t>
      </w:r>
      <w:r w:rsidR="00134F1E">
        <w:t>az MNB</w:t>
      </w:r>
      <w:r w:rsidRPr="009F3A30">
        <w:t xml:space="preserve"> 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A37D9D">
        <w:t>a szolgáltatók</w:t>
      </w:r>
      <w:r w:rsidRPr="009F3A30">
        <w:t xml:space="preserve"> által alkalmazott kontrolloknál megadott értékelés szerinti összefoglalás.</w:t>
      </w:r>
    </w:p>
  </w:footnote>
  <w:footnote w:id="8">
    <w:p w14:paraId="2DC0B12A" w14:textId="643EA3F6" w:rsidR="00B42236" w:rsidRDefault="00B42236">
      <w:pPr>
        <w:pStyle w:val="Lbjegyzetszveg"/>
      </w:pPr>
      <w:r>
        <w:rPr>
          <w:rStyle w:val="Lbjegyzet-hivatkozs"/>
        </w:rPr>
        <w:footnoteRef/>
      </w:r>
      <w:r>
        <w:t xml:space="preserve"> Hpt. 6. § (1) bekezdés 27a pontja alapján: "</w:t>
      </w:r>
      <w:r w:rsidRPr="000222BD">
        <w:rPr>
          <w:i/>
          <w:iCs/>
        </w:rPr>
        <w:t>fizetés-kezdeményezési szolgáltatás:</w:t>
      </w:r>
      <w:r w:rsidRPr="00B42236">
        <w:t xml:space="preserve"> </w:t>
      </w:r>
      <w:r w:rsidRPr="000222BD">
        <w:rPr>
          <w:i/>
          <w:iCs/>
        </w:rPr>
        <w:t>olyan szolgáltatás, amely a pénzforgalmi szolgáltatást igénybe vevő kérésére másik pénzforgalmi szolgáltatónál vezetett fizetési számla vonatkozásában fizetési megbízás indítására szolgál;”</w:t>
      </w:r>
    </w:p>
  </w:footnote>
  <w:footnote w:id="9">
    <w:p w14:paraId="6D070282" w14:textId="77777777" w:rsidR="00B42236" w:rsidRPr="00A32F39" w:rsidRDefault="00B42236" w:rsidP="00B42236">
      <w:pPr>
        <w:pStyle w:val="Lbjegyzetszveg"/>
        <w:rPr>
          <w:i/>
          <w:iCs/>
        </w:rPr>
      </w:pPr>
      <w:r>
        <w:rPr>
          <w:rStyle w:val="Lbjegyzet-hivatkozs"/>
        </w:rPr>
        <w:footnoteRef/>
      </w:r>
      <w:r>
        <w:t xml:space="preserve"> Hpt. 6. § (1) bekezdés 101a pontja alapján: </w:t>
      </w:r>
      <w:r w:rsidRPr="00A32F39">
        <w:rPr>
          <w:i/>
          <w:iCs/>
        </w:rPr>
        <w:t>„számlainformációs szolgáltatás: olyan online szolgáltatás, amely összesített információk nyújtására szolgál egy vagy több olyan fizetési számláról, amelyet a pénzforgalmi szolgáltatást igénybe vevő egy másik pénzforgalmi szolgáltatónál vagy több pénzforgalmi szolgáltatónál nyitott;”</w:t>
      </w:r>
    </w:p>
  </w:footnote>
  <w:footnote w:id="10">
    <w:p w14:paraId="1C15117D" w14:textId="3CD28619" w:rsidR="00551FEE" w:rsidRDefault="00551FEE">
      <w:pPr>
        <w:pStyle w:val="Lbjegyzetszveg"/>
      </w:pPr>
      <w:r>
        <w:rPr>
          <w:rStyle w:val="Lbjegyzet-hivatkozs"/>
        </w:rPr>
        <w:footnoteRef/>
      </w:r>
      <w:r>
        <w:t xml:space="preserve"> </w:t>
      </w:r>
      <w:r w:rsidRPr="000222BD">
        <w:t>Az elektronikuspénz-kibocsátási tevékenységet az MNB engedélyével végző elektronikuspénz-kibocsátó intézmény.</w:t>
      </w:r>
    </w:p>
  </w:footnote>
  <w:footnote w:id="11">
    <w:p w14:paraId="663DDE97" w14:textId="4AD77FE8" w:rsidR="00F33903" w:rsidRDefault="00F33903">
      <w:pPr>
        <w:pStyle w:val="Lbjegyzetszveg"/>
      </w:pPr>
      <w:r>
        <w:rPr>
          <w:rStyle w:val="Lbjegyzet-hivatkozs"/>
        </w:rPr>
        <w:footnoteRef/>
      </w:r>
      <w:r>
        <w:t xml:space="preserve"> </w:t>
      </w:r>
      <w:r w:rsidR="00604F0C" w:rsidRPr="00604F0C">
        <w:t xml:space="preserve">a pénzügyi rendszerek </w:t>
      </w:r>
      <w:proofErr w:type="spellStart"/>
      <w:r w:rsidR="00604F0C" w:rsidRPr="00604F0C">
        <w:t>pénzmosás</w:t>
      </w:r>
      <w:proofErr w:type="spellEnd"/>
      <w:r w:rsidR="00604F0C" w:rsidRPr="00604F0C">
        <w:t xml:space="preserve"> vagy terrorizmusfinanszírozás céljára való elhasználásának megelőzéséről, a 648/2012/EU európai parlamenti és tanácsi rendelet módosításáról, valamint a 2005/60/EK európai parlamenti és tanácsi irányelv és a 2006/70/EK bizottsági irányelv hatályon kívül helyezéséről szóló 2015/849/EU Európai Parlamenti és a Tanácsi 2015. május 20-i irányelv</w:t>
      </w:r>
      <w:r w:rsidR="00604F0C">
        <w:t xml:space="preserve">e </w:t>
      </w:r>
      <w:r w:rsidR="002B0B30">
        <w:t>(</w:t>
      </w:r>
      <w:r w:rsidR="002B0B30" w:rsidRPr="008B2356">
        <w:rPr>
          <w:b/>
          <w:bCs/>
        </w:rPr>
        <w:t>Irányelv</w:t>
      </w:r>
      <w:r w:rsidR="002B0B30">
        <w:t>)</w:t>
      </w:r>
    </w:p>
  </w:footnote>
  <w:footnote w:id="12">
    <w:p w14:paraId="13D68ACF" w14:textId="67A5AB8E" w:rsidR="00284D88" w:rsidRDefault="00284D88">
      <w:pPr>
        <w:pStyle w:val="Lbjegyzetszveg"/>
      </w:pPr>
      <w:r>
        <w:rPr>
          <w:rStyle w:val="Lbjegyzet-hivatkozs"/>
        </w:rPr>
        <w:footnoteRef/>
      </w:r>
      <w:r>
        <w:t xml:space="preserve"> A </w:t>
      </w:r>
      <w:proofErr w:type="spellStart"/>
      <w:r w:rsidRPr="00284D88">
        <w:t>Pmt</w:t>
      </w:r>
      <w:proofErr w:type="spellEnd"/>
      <w:r w:rsidRPr="00284D88">
        <w:t>. 3. § 30. pont</w:t>
      </w:r>
      <w:r>
        <w:t xml:space="preserve">jában meghatározott pénzváltó irodát jelenti. </w:t>
      </w:r>
    </w:p>
  </w:footnote>
  <w:footnote w:id="13">
    <w:p w14:paraId="76F9323C" w14:textId="1362ED6B" w:rsidR="005849AD" w:rsidRDefault="005849AD">
      <w:pPr>
        <w:pStyle w:val="Lbjegyzetszveg"/>
      </w:pPr>
      <w:r>
        <w:rPr>
          <w:rStyle w:val="Lbjegyzet-hivatkozs"/>
        </w:rPr>
        <w:footnoteRef/>
      </w:r>
      <w:r>
        <w:t xml:space="preserve"> A Hpt. </w:t>
      </w:r>
      <w:r w:rsidRPr="00BC05C3">
        <w:t>6. § (1)</w:t>
      </w:r>
      <w:r>
        <w:t xml:space="preserve"> 90. pont a) alpontja szerinti kiemelt közvetítői tevékenységet jelenti.</w:t>
      </w:r>
    </w:p>
  </w:footnote>
  <w:footnote w:id="14">
    <w:p w14:paraId="5B8591CB" w14:textId="21593E9E" w:rsidR="00307BA5" w:rsidRDefault="00307BA5">
      <w:pPr>
        <w:pStyle w:val="Lbjegyzetszveg"/>
      </w:pPr>
      <w:r>
        <w:rPr>
          <w:rStyle w:val="Lbjegyzet-hivatkozs"/>
        </w:rPr>
        <w:footnoteRef/>
      </w:r>
      <w:r>
        <w:t xml:space="preserve"> A </w:t>
      </w:r>
      <w:r w:rsidRPr="00834F5F">
        <w:t>Hpt. 3</w:t>
      </w:r>
      <w:r w:rsidRPr="00307BA5">
        <w:t>. § (</w:t>
      </w:r>
      <w:r>
        <w:t>2</w:t>
      </w:r>
      <w:r w:rsidRPr="00307BA5">
        <w:t>)</w:t>
      </w:r>
      <w:r>
        <w:t xml:space="preserve"> a) pontja alapján. </w:t>
      </w:r>
    </w:p>
  </w:footnote>
  <w:footnote w:id="15">
    <w:p w14:paraId="51BCFD94" w14:textId="1170A8CF" w:rsidR="00204494" w:rsidRDefault="00204494">
      <w:pPr>
        <w:pStyle w:val="Lbjegyzetszveg"/>
      </w:pPr>
      <w:r>
        <w:rPr>
          <w:rStyle w:val="Lbjegyzet-hivatkozs"/>
        </w:rPr>
        <w:footnoteRef/>
      </w:r>
      <w:r>
        <w:t xml:space="preserve"> </w:t>
      </w:r>
      <w:r w:rsidR="003226B8" w:rsidRPr="003226B8">
        <w:t>a Büntető Törvénykönyvről</w:t>
      </w:r>
      <w:r w:rsidR="003226B8">
        <w:t xml:space="preserve"> szóló </w:t>
      </w:r>
      <w:r w:rsidR="003226B8" w:rsidRPr="003226B8">
        <w:t>2012. évi C. törvény</w:t>
      </w:r>
      <w:r w:rsidR="003226B8">
        <w:t xml:space="preserve"> </w:t>
      </w:r>
      <w:r w:rsidRPr="00204494">
        <w:t>396. §</w:t>
      </w:r>
      <w:r>
        <w:t xml:space="preserve"> (1)</w:t>
      </w:r>
      <w:r w:rsidR="003226B8">
        <w:t xml:space="preserve"> bekezdése</w:t>
      </w:r>
    </w:p>
  </w:footnote>
  <w:footnote w:id="16">
    <w:p w14:paraId="65FD97A7" w14:textId="2509AE15" w:rsidR="009661DC" w:rsidRDefault="009661DC">
      <w:pPr>
        <w:pStyle w:val="Lbjegyzetszveg"/>
      </w:pPr>
      <w:r w:rsidRPr="00A07F4E">
        <w:rPr>
          <w:rStyle w:val="Lbjegyzet-hivatkozs"/>
        </w:rPr>
        <w:footnoteRef/>
      </w:r>
      <w:r w:rsidRPr="00A07F4E">
        <w:t xml:space="preserve"> </w:t>
      </w:r>
      <w:r w:rsidRPr="009F3A30">
        <w:t xml:space="preserve">Az </w:t>
      </w:r>
      <w:proofErr w:type="spellStart"/>
      <w:r w:rsidRPr="009F3A30">
        <w:t>EBA</w:t>
      </w:r>
      <w:proofErr w:type="spellEnd"/>
      <w:r w:rsidRPr="009F3A30">
        <w:t xml:space="preserve"> részére benyújtott, </w:t>
      </w:r>
      <w:r w:rsidR="005B3349">
        <w:t>az MNB</w:t>
      </w:r>
      <w:r w:rsidRPr="009F3A30">
        <w:t xml:space="preserve"> 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8C1A55">
        <w:t>a szolgáltatók</w:t>
      </w:r>
      <w:r w:rsidRPr="009F3A30">
        <w:t xml:space="preserve"> által alkalmazott kontrolloknál megadott értékelés szerinti összefoglalás.</w:t>
      </w:r>
    </w:p>
  </w:footnote>
  <w:footnote w:id="17">
    <w:p w14:paraId="2BDA9852" w14:textId="5C3602B4" w:rsidR="004A0FFC" w:rsidRDefault="004A0FFC" w:rsidP="00A120C2">
      <w:pPr>
        <w:pStyle w:val="Lbjegyzetszveg"/>
        <w:spacing w:after="0" w:line="240" w:lineRule="auto"/>
      </w:pPr>
      <w:r w:rsidRPr="00A120C2">
        <w:footnoteRef/>
      </w:r>
      <w:r>
        <w:t xml:space="preserve"> </w:t>
      </w:r>
      <w:r w:rsidR="00D764CE" w:rsidRPr="00D764CE">
        <w:t xml:space="preserve">a kollektív befektetési formákról és kezelőikről, valamint egyes pénzügyi tárgyú törvények módosításáról </w:t>
      </w:r>
      <w:r w:rsidR="00D764CE">
        <w:t xml:space="preserve">szóló </w:t>
      </w:r>
      <w:r w:rsidR="00D764CE" w:rsidRPr="00D764CE">
        <w:t xml:space="preserve">2014. évi XVI. törvény </w:t>
      </w:r>
      <w:r w:rsidR="00D764CE">
        <w:t>(</w:t>
      </w:r>
      <w:proofErr w:type="spellStart"/>
      <w:r w:rsidRPr="00A120C2">
        <w:rPr>
          <w:b/>
          <w:bCs/>
        </w:rPr>
        <w:t>Kbftv</w:t>
      </w:r>
      <w:proofErr w:type="spellEnd"/>
      <w:r w:rsidRPr="00A120C2">
        <w:rPr>
          <w:b/>
          <w:bCs/>
        </w:rPr>
        <w:t>.</w:t>
      </w:r>
      <w:r w:rsidR="00D764CE">
        <w:t>)</w:t>
      </w:r>
      <w:r w:rsidRPr="00A120C2">
        <w:t xml:space="preserve"> 4. § (1) 18. pontja szerint meghatározott tevékenység. </w:t>
      </w:r>
    </w:p>
  </w:footnote>
  <w:footnote w:id="18">
    <w:p w14:paraId="2EA2E6FB" w14:textId="71FA322A" w:rsidR="004A0FFC" w:rsidRDefault="004A0FFC" w:rsidP="00A120C2">
      <w:pPr>
        <w:pStyle w:val="Lbjegyzetszveg"/>
        <w:spacing w:after="0" w:line="240" w:lineRule="auto"/>
      </w:pPr>
      <w:r w:rsidRPr="00A120C2">
        <w:footnoteRef/>
      </w:r>
      <w:r>
        <w:t xml:space="preserve"> </w:t>
      </w:r>
      <w:proofErr w:type="spellStart"/>
      <w:r w:rsidRPr="00A120C2">
        <w:t>Kbftv</w:t>
      </w:r>
      <w:proofErr w:type="spellEnd"/>
      <w:r w:rsidRPr="00A120C2">
        <w:t xml:space="preserve">. 4. § (1) 9. pontja rendszeres gazdasági tevékenységként egy vagy több </w:t>
      </w:r>
      <w:proofErr w:type="spellStart"/>
      <w:r w:rsidRPr="00A120C2">
        <w:t>ÁÉKBV</w:t>
      </w:r>
      <w:proofErr w:type="spellEnd"/>
      <w:r w:rsidRPr="00A120C2">
        <w:t>-t kezelő befektetési alapkezelő.</w:t>
      </w:r>
    </w:p>
  </w:footnote>
  <w:footnote w:id="19">
    <w:p w14:paraId="6E95CCB7" w14:textId="5FEF4FDB" w:rsidR="004A0FFC" w:rsidRDefault="004A0FFC" w:rsidP="00A120C2">
      <w:pPr>
        <w:pStyle w:val="Lbjegyzetszveg"/>
        <w:spacing w:after="0" w:line="240" w:lineRule="auto"/>
      </w:pPr>
      <w:r w:rsidRPr="00A120C2">
        <w:footnoteRef/>
      </w:r>
      <w:r>
        <w:t xml:space="preserve"> </w:t>
      </w:r>
      <w:proofErr w:type="spellStart"/>
      <w:r w:rsidRPr="00A120C2">
        <w:t>Kbftv</w:t>
      </w:r>
      <w:proofErr w:type="spellEnd"/>
      <w:r w:rsidRPr="00A120C2">
        <w:t>. 4. § (1) 2. pontja szerint az alternatív befektetési alapkezelő, azaz rendszeres gazdasági tevékenységként egy vagy több ABA-t kezelő befektetési alapkezelő.</w:t>
      </w:r>
    </w:p>
  </w:footnote>
  <w:footnote w:id="20">
    <w:p w14:paraId="7C04DAAC" w14:textId="48FF9D1F" w:rsidR="004A0FFC" w:rsidRDefault="004A0FFC" w:rsidP="00A120C2">
      <w:pPr>
        <w:pStyle w:val="Lbjegyzetszveg"/>
        <w:spacing w:after="0" w:line="240" w:lineRule="auto"/>
      </w:pPr>
      <w:r w:rsidRPr="00A120C2">
        <w:footnoteRef/>
      </w:r>
      <w:r>
        <w:t xml:space="preserve"> </w:t>
      </w:r>
      <w:proofErr w:type="spellStart"/>
      <w:r w:rsidRPr="00A120C2">
        <w:t>Kbftv</w:t>
      </w:r>
      <w:proofErr w:type="spellEnd"/>
      <w:r w:rsidRPr="00A120C2">
        <w:t>. 4. § (1) 62. pont.</w:t>
      </w:r>
    </w:p>
  </w:footnote>
  <w:footnote w:id="21">
    <w:p w14:paraId="10CF8CD4" w14:textId="6CC89FF5" w:rsidR="009661DC" w:rsidRDefault="009661DC">
      <w:pPr>
        <w:pStyle w:val="Lbjegyzetszveg"/>
      </w:pPr>
      <w:r>
        <w:rPr>
          <w:rStyle w:val="Lbjegyzet-hivatkozs"/>
        </w:rPr>
        <w:footnoteRef/>
      </w:r>
      <w:r>
        <w:t xml:space="preserve"> </w:t>
      </w:r>
      <w:r w:rsidRPr="00D9509F">
        <w:t xml:space="preserve">Az </w:t>
      </w:r>
      <w:proofErr w:type="spellStart"/>
      <w:r w:rsidRPr="00D9509F">
        <w:t>EBA</w:t>
      </w:r>
      <w:proofErr w:type="spellEnd"/>
      <w:r w:rsidRPr="00D9509F">
        <w:t xml:space="preserve"> részére benyújtott, a</w:t>
      </w:r>
      <w:r w:rsidR="00626F9B">
        <w:t>z MNB</w:t>
      </w:r>
      <w:r w:rsidRPr="00D9509F">
        <w:t xml:space="preserve"> által kitöltött „</w:t>
      </w:r>
      <w:proofErr w:type="spellStart"/>
      <w:r w:rsidRPr="00D9509F">
        <w:t>Opinion</w:t>
      </w:r>
      <w:proofErr w:type="spellEnd"/>
      <w:r w:rsidRPr="00D9509F">
        <w:t xml:space="preserve"> </w:t>
      </w:r>
      <w:proofErr w:type="spellStart"/>
      <w:r w:rsidRPr="00D9509F">
        <w:t>on</w:t>
      </w:r>
      <w:proofErr w:type="spellEnd"/>
      <w:r w:rsidRPr="00D9509F">
        <w:t xml:space="preserve"> </w:t>
      </w:r>
      <w:proofErr w:type="spellStart"/>
      <w:r w:rsidRPr="00D9509F">
        <w:t>the</w:t>
      </w:r>
      <w:proofErr w:type="spellEnd"/>
      <w:r w:rsidRPr="00D9509F">
        <w:t xml:space="preserve"> ML/</w:t>
      </w:r>
      <w:proofErr w:type="spellStart"/>
      <w:r w:rsidRPr="00D9509F">
        <w:t>TF</w:t>
      </w:r>
      <w:proofErr w:type="spellEnd"/>
      <w:r w:rsidRPr="00D9509F">
        <w:t xml:space="preserve"> </w:t>
      </w:r>
      <w:proofErr w:type="spellStart"/>
      <w:r w:rsidRPr="00D9509F">
        <w:t>risks</w:t>
      </w:r>
      <w:proofErr w:type="spellEnd"/>
      <w:r w:rsidRPr="00D9509F">
        <w:t xml:space="preserve"> </w:t>
      </w:r>
      <w:proofErr w:type="spellStart"/>
      <w:r w:rsidRPr="00D9509F">
        <w:t>affecting</w:t>
      </w:r>
      <w:proofErr w:type="spellEnd"/>
      <w:r w:rsidRPr="00D9509F">
        <w:t xml:space="preserve"> </w:t>
      </w:r>
      <w:proofErr w:type="spellStart"/>
      <w:r w:rsidRPr="00D9509F">
        <w:t>the</w:t>
      </w:r>
      <w:proofErr w:type="spellEnd"/>
      <w:r w:rsidRPr="00D9509F">
        <w:t xml:space="preserve"> </w:t>
      </w:r>
      <w:proofErr w:type="spellStart"/>
      <w:r w:rsidRPr="00D9509F">
        <w:t>EU's</w:t>
      </w:r>
      <w:proofErr w:type="spellEnd"/>
      <w:r w:rsidRPr="00D9509F">
        <w:t xml:space="preserve"> </w:t>
      </w:r>
      <w:proofErr w:type="spellStart"/>
      <w:r w:rsidRPr="00D9509F">
        <w:t>financial</w:t>
      </w:r>
      <w:proofErr w:type="spellEnd"/>
      <w:r w:rsidRPr="00D9509F">
        <w:t xml:space="preserve"> sector - 2020 </w:t>
      </w:r>
      <w:proofErr w:type="spellStart"/>
      <w:r w:rsidRPr="00D9509F">
        <w:t>Questionnaire</w:t>
      </w:r>
      <w:proofErr w:type="spellEnd"/>
      <w:r w:rsidRPr="00D9509F">
        <w:t xml:space="preserve"> Part 2: </w:t>
      </w:r>
      <w:proofErr w:type="spellStart"/>
      <w:r w:rsidRPr="00D9509F">
        <w:t>Risk</w:t>
      </w:r>
      <w:proofErr w:type="spellEnd"/>
      <w:r w:rsidRPr="00D9509F">
        <w:t xml:space="preserve"> </w:t>
      </w:r>
      <w:proofErr w:type="spellStart"/>
      <w:r w:rsidRPr="00D9509F">
        <w:t>Assessments</w:t>
      </w:r>
      <w:proofErr w:type="spellEnd"/>
      <w:r w:rsidRPr="00D9509F">
        <w:t>” dokumentumban a szektort érintően a</w:t>
      </w:r>
      <w:r w:rsidR="008C1A55">
        <w:t xml:space="preserve"> szolgáltatók </w:t>
      </w:r>
      <w:r w:rsidRPr="00D9509F">
        <w:t>által alkalmazott kontrol</w:t>
      </w:r>
      <w:r>
        <w:t>l</w:t>
      </w:r>
      <w:r w:rsidRPr="00D9509F">
        <w:t>oknál megadott értékelés alapján.</w:t>
      </w:r>
    </w:p>
  </w:footnote>
  <w:footnote w:id="22">
    <w:p w14:paraId="14911520" w14:textId="661C592B" w:rsidR="005A0DC6" w:rsidRDefault="005A0DC6">
      <w:pPr>
        <w:pStyle w:val="Lbjegyzetszveg"/>
      </w:pPr>
      <w:r>
        <w:rPr>
          <w:rStyle w:val="Lbjegyzet-hivatkozs"/>
        </w:rPr>
        <w:footnoteRef/>
      </w:r>
      <w:r>
        <w:t xml:space="preserve"> A </w:t>
      </w:r>
      <w:r w:rsidR="00D764CE">
        <w:t>Hpt.</w:t>
      </w:r>
      <w:r w:rsidRPr="005A0DC6">
        <w:t xml:space="preserve"> hatálya alá tartoznak.</w:t>
      </w:r>
    </w:p>
  </w:footnote>
  <w:footnote w:id="23">
    <w:p w14:paraId="77863FD9" w14:textId="6A2EC6D7" w:rsidR="00E62390" w:rsidRPr="00ED3797" w:rsidRDefault="00E62390" w:rsidP="00E62390">
      <w:pPr>
        <w:pStyle w:val="Lbjegyzetszveg"/>
        <w:rPr>
          <w:rFonts w:ascii="Garamond" w:hAnsi="Garamond"/>
        </w:rPr>
      </w:pPr>
      <w:r w:rsidRPr="00ED3797">
        <w:rPr>
          <w:rStyle w:val="Lbjegyzet-hivatkozs"/>
          <w:rFonts w:ascii="Garamond" w:hAnsi="Garamond"/>
        </w:rPr>
        <w:footnoteRef/>
      </w:r>
      <w:r w:rsidRPr="00ED3797">
        <w:rPr>
          <w:rFonts w:ascii="Garamond" w:hAnsi="Garamond"/>
        </w:rPr>
        <w:t xml:space="preserve"> </w:t>
      </w:r>
      <w:r w:rsidRPr="00FC37B3">
        <w:t xml:space="preserve">E megállapítások háttereként ld. az Európai Bizottság által 2019-ben kiadott </w:t>
      </w:r>
      <w:r w:rsidR="00154765" w:rsidRPr="00154765">
        <w:t>Szupranacionális kockázatértékelés</w:t>
      </w:r>
      <w:r w:rsidRPr="00FC37B3">
        <w:t xml:space="preserve"> releváns részeit.</w:t>
      </w:r>
    </w:p>
  </w:footnote>
  <w:footnote w:id="24">
    <w:p w14:paraId="055A5026" w14:textId="0A85C914" w:rsidR="009661DC" w:rsidRDefault="009661DC">
      <w:pPr>
        <w:pStyle w:val="Lbjegyzetszveg"/>
      </w:pPr>
      <w:r>
        <w:rPr>
          <w:rStyle w:val="Lbjegyzet-hivatkozs"/>
        </w:rPr>
        <w:footnoteRef/>
      </w:r>
      <w:r>
        <w:t xml:space="preserve"> </w:t>
      </w:r>
      <w:r w:rsidRPr="009F3A30">
        <w:t xml:space="preserve">Az </w:t>
      </w:r>
      <w:proofErr w:type="spellStart"/>
      <w:r w:rsidRPr="009F3A30">
        <w:t>EBA</w:t>
      </w:r>
      <w:proofErr w:type="spellEnd"/>
      <w:r w:rsidRPr="009F3A30">
        <w:t xml:space="preserve"> részére benyújtott, </w:t>
      </w:r>
      <w:r w:rsidR="005272DC">
        <w:t>az MNB</w:t>
      </w:r>
      <w:r w:rsidRPr="009F3A30">
        <w:t xml:space="preserve"> 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8C1A55">
        <w:t>a szolgáltatók</w:t>
      </w:r>
      <w:r w:rsidRPr="009F3A30">
        <w:t xml:space="preserve"> által alkalmazott kontrolloknál megadott értékelés szerinti összefoglalás.</w:t>
      </w:r>
    </w:p>
  </w:footnote>
  <w:footnote w:id="25">
    <w:p w14:paraId="74C17EF1" w14:textId="08D41AC0" w:rsidR="009661DC" w:rsidRDefault="009661DC">
      <w:pPr>
        <w:pStyle w:val="Lbjegyzetszveg"/>
      </w:pPr>
      <w:r w:rsidRPr="00A07F4E">
        <w:rPr>
          <w:rStyle w:val="Lbjegyzet-hivatkozs"/>
        </w:rPr>
        <w:footnoteRef/>
      </w:r>
      <w:r w:rsidRPr="00A07F4E">
        <w:t xml:space="preserve"> </w:t>
      </w:r>
      <w:r w:rsidRPr="009F3A30">
        <w:t xml:space="preserve">Az </w:t>
      </w:r>
      <w:proofErr w:type="spellStart"/>
      <w:r w:rsidRPr="009F3A30">
        <w:t>EBA</w:t>
      </w:r>
      <w:proofErr w:type="spellEnd"/>
      <w:r w:rsidRPr="009F3A30">
        <w:t xml:space="preserve"> részére benyújtott, a</w:t>
      </w:r>
      <w:r w:rsidR="00993B96">
        <w:t xml:space="preserve">z MNB </w:t>
      </w:r>
      <w:r w:rsidRPr="009F3A30">
        <w:t>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8C1A55">
        <w:t>a szolgáltatók</w:t>
      </w:r>
      <w:r w:rsidRPr="009F3A30">
        <w:t xml:space="preserve"> által alkalmazott kontrolloknál megadott értékelés szerinti összefoglalás.</w:t>
      </w:r>
    </w:p>
  </w:footnote>
  <w:footnote w:id="26">
    <w:p w14:paraId="6D010B36" w14:textId="26B9BF34" w:rsidR="00751C63" w:rsidRDefault="00751C63">
      <w:pPr>
        <w:pStyle w:val="Lbjegyzetszveg"/>
      </w:pPr>
      <w:r>
        <w:rPr>
          <w:rStyle w:val="Lbjegyzet-hivatkozs"/>
        </w:rPr>
        <w:footnoteRef/>
      </w:r>
      <w:r>
        <w:t xml:space="preserve"> </w:t>
      </w:r>
      <w:proofErr w:type="spellStart"/>
      <w:r>
        <w:t>Pmt</w:t>
      </w:r>
      <w:proofErr w:type="spellEnd"/>
      <w:r>
        <w:t xml:space="preserve">. </w:t>
      </w:r>
      <w:r w:rsidRPr="00751C63">
        <w:t>3. §</w:t>
      </w:r>
      <w:r>
        <w:t xml:space="preserve"> 28. h) pont</w:t>
      </w:r>
    </w:p>
  </w:footnote>
  <w:footnote w:id="27">
    <w:p w14:paraId="5634B6B5" w14:textId="17326CE2" w:rsidR="00751C63" w:rsidRDefault="00751C63">
      <w:pPr>
        <w:pStyle w:val="Lbjegyzetszveg"/>
      </w:pPr>
      <w:r>
        <w:rPr>
          <w:rStyle w:val="Lbjegyzet-hivatkozs"/>
        </w:rPr>
        <w:footnoteRef/>
      </w:r>
      <w:r>
        <w:t xml:space="preserve"> </w:t>
      </w:r>
      <w:proofErr w:type="spellStart"/>
      <w:r>
        <w:t>Pmt</w:t>
      </w:r>
      <w:proofErr w:type="spellEnd"/>
      <w:r>
        <w:t xml:space="preserve">. </w:t>
      </w:r>
      <w:r w:rsidRPr="00751C63">
        <w:t>3. §</w:t>
      </w:r>
      <w:r>
        <w:t xml:space="preserve"> 28. h) pont</w:t>
      </w:r>
    </w:p>
  </w:footnote>
  <w:footnote w:id="28">
    <w:p w14:paraId="3E2FEC25" w14:textId="5F8B1B29" w:rsidR="009661DC" w:rsidRDefault="009661DC">
      <w:pPr>
        <w:pStyle w:val="Lbjegyzetszveg"/>
      </w:pPr>
      <w:r w:rsidRPr="00A07F4E">
        <w:rPr>
          <w:rStyle w:val="Lbjegyzet-hivatkozs"/>
        </w:rPr>
        <w:footnoteRef/>
      </w:r>
      <w:r w:rsidRPr="00A07F4E">
        <w:t xml:space="preserve"> </w:t>
      </w:r>
      <w:r w:rsidRPr="009F3A30">
        <w:t xml:space="preserve">Az </w:t>
      </w:r>
      <w:proofErr w:type="spellStart"/>
      <w:r w:rsidRPr="009F3A30">
        <w:t>EBA</w:t>
      </w:r>
      <w:proofErr w:type="spellEnd"/>
      <w:r w:rsidRPr="009F3A30">
        <w:t xml:space="preserve"> részére benyújtott, </w:t>
      </w:r>
      <w:r w:rsidR="00EB24FB">
        <w:t>az MNB</w:t>
      </w:r>
      <w:r w:rsidRPr="009F3A30">
        <w:t xml:space="preserve"> által kitöltött „</w:t>
      </w:r>
      <w:proofErr w:type="spellStart"/>
      <w:r w:rsidRPr="009F3A30">
        <w:rPr>
          <w:i/>
        </w:rPr>
        <w:t>Opinion</w:t>
      </w:r>
      <w:proofErr w:type="spellEnd"/>
      <w:r w:rsidRPr="009F3A30">
        <w:rPr>
          <w:i/>
        </w:rPr>
        <w:t xml:space="preserve"> </w:t>
      </w:r>
      <w:proofErr w:type="spellStart"/>
      <w:r w:rsidRPr="009F3A30">
        <w:rPr>
          <w:i/>
        </w:rPr>
        <w:t>on</w:t>
      </w:r>
      <w:proofErr w:type="spellEnd"/>
      <w:r w:rsidRPr="009F3A30">
        <w:rPr>
          <w:i/>
        </w:rPr>
        <w:t xml:space="preserve"> </w:t>
      </w:r>
      <w:proofErr w:type="spellStart"/>
      <w:r w:rsidRPr="009F3A30">
        <w:rPr>
          <w:i/>
        </w:rPr>
        <w:t>the</w:t>
      </w:r>
      <w:proofErr w:type="spellEnd"/>
      <w:r w:rsidRPr="009F3A30">
        <w:rPr>
          <w:i/>
        </w:rPr>
        <w:t xml:space="preserve"> ML/</w:t>
      </w:r>
      <w:proofErr w:type="spellStart"/>
      <w:r w:rsidRPr="009F3A30">
        <w:rPr>
          <w:i/>
        </w:rPr>
        <w:t>TF</w:t>
      </w:r>
      <w:proofErr w:type="spellEnd"/>
      <w:r w:rsidRPr="009F3A30">
        <w:rPr>
          <w:i/>
        </w:rPr>
        <w:t xml:space="preserve"> </w:t>
      </w:r>
      <w:proofErr w:type="spellStart"/>
      <w:r w:rsidRPr="009F3A30">
        <w:rPr>
          <w:i/>
        </w:rPr>
        <w:t>risks</w:t>
      </w:r>
      <w:proofErr w:type="spellEnd"/>
      <w:r w:rsidRPr="009F3A30">
        <w:rPr>
          <w:i/>
        </w:rPr>
        <w:t xml:space="preserve"> </w:t>
      </w:r>
      <w:proofErr w:type="spellStart"/>
      <w:r w:rsidRPr="009F3A30">
        <w:rPr>
          <w:i/>
        </w:rPr>
        <w:t>affecting</w:t>
      </w:r>
      <w:proofErr w:type="spellEnd"/>
      <w:r w:rsidRPr="009F3A30">
        <w:rPr>
          <w:i/>
        </w:rPr>
        <w:t xml:space="preserve"> </w:t>
      </w:r>
      <w:proofErr w:type="spellStart"/>
      <w:r w:rsidRPr="009F3A30">
        <w:rPr>
          <w:i/>
        </w:rPr>
        <w:t>the</w:t>
      </w:r>
      <w:proofErr w:type="spellEnd"/>
      <w:r w:rsidRPr="009F3A30">
        <w:rPr>
          <w:i/>
        </w:rPr>
        <w:t xml:space="preserve"> </w:t>
      </w:r>
      <w:proofErr w:type="spellStart"/>
      <w:r w:rsidRPr="009F3A30">
        <w:rPr>
          <w:i/>
        </w:rPr>
        <w:t>EU's</w:t>
      </w:r>
      <w:proofErr w:type="spellEnd"/>
      <w:r w:rsidRPr="009F3A30">
        <w:rPr>
          <w:i/>
        </w:rPr>
        <w:t xml:space="preserve"> </w:t>
      </w:r>
      <w:proofErr w:type="spellStart"/>
      <w:r w:rsidRPr="009F3A30">
        <w:rPr>
          <w:i/>
        </w:rPr>
        <w:t>financial</w:t>
      </w:r>
      <w:proofErr w:type="spellEnd"/>
      <w:r w:rsidRPr="009F3A30">
        <w:rPr>
          <w:i/>
        </w:rPr>
        <w:t xml:space="preserve"> sector - 2020 </w:t>
      </w:r>
      <w:proofErr w:type="spellStart"/>
      <w:r w:rsidRPr="009F3A30">
        <w:rPr>
          <w:i/>
        </w:rPr>
        <w:t>Questionnaire</w:t>
      </w:r>
      <w:proofErr w:type="spellEnd"/>
      <w:r w:rsidRPr="009F3A30">
        <w:rPr>
          <w:i/>
        </w:rPr>
        <w:t xml:space="preserve"> Part 2: </w:t>
      </w:r>
      <w:proofErr w:type="spellStart"/>
      <w:r w:rsidRPr="009F3A30">
        <w:rPr>
          <w:i/>
        </w:rPr>
        <w:t>Risk</w:t>
      </w:r>
      <w:proofErr w:type="spellEnd"/>
      <w:r w:rsidRPr="009F3A30">
        <w:rPr>
          <w:i/>
        </w:rPr>
        <w:t xml:space="preserve"> </w:t>
      </w:r>
      <w:proofErr w:type="spellStart"/>
      <w:r w:rsidRPr="009F3A30">
        <w:rPr>
          <w:i/>
        </w:rPr>
        <w:t>Assessments</w:t>
      </w:r>
      <w:proofErr w:type="spellEnd"/>
      <w:r w:rsidRPr="009F3A30">
        <w:t xml:space="preserve">” dokumentumban a szektort érintően </w:t>
      </w:r>
      <w:r w:rsidR="008C1A55">
        <w:t>a szolgáltatók</w:t>
      </w:r>
      <w:r w:rsidRPr="009F3A30">
        <w:t xml:space="preserve"> által alkalmazott kontrolloknál megadott értékelés szerinti összefoglalás.</w:t>
      </w:r>
    </w:p>
  </w:footnote>
  <w:footnote w:id="29">
    <w:p w14:paraId="65291479" w14:textId="0E4254EF" w:rsidR="001F7CF7" w:rsidRDefault="001F7CF7">
      <w:pPr>
        <w:pStyle w:val="Lbjegyzetszveg"/>
      </w:pPr>
      <w:r>
        <w:rPr>
          <w:rStyle w:val="Lbjegyzet-hivatkozs"/>
        </w:rPr>
        <w:footnoteRef/>
      </w:r>
      <w:r>
        <w:t xml:space="preserve"> </w:t>
      </w:r>
      <w:r w:rsidRPr="001F7CF7">
        <w:t>A bizalmi vagyonkezelés jogintézményét a Polgári Törvénykönyvről szóló 2013. évi V. törvény vezette be, a bizalmi vagyonkezelési tevékenység végzésének részletszabályairól pedig a bizalmi vagyonkezelőkről és tevékenységük szabályairól szóló 2014. évi XV. törvény rendelkezik. Ez utóbbi értelmében bizalmi vagyonkezelés egynél több szerződés alapján üzletszerű formában az MNB engedélyével, illetve nem üzletszerűen az MNB általi nyilvántartásba vétel mellett végezhető.</w:t>
      </w:r>
    </w:p>
  </w:footnote>
  <w:footnote w:id="30">
    <w:p w14:paraId="06B925D4" w14:textId="43B03C1E" w:rsidR="00BF36B4" w:rsidRDefault="00BF36B4" w:rsidP="000222BD">
      <w:pPr>
        <w:spacing w:after="0" w:line="240" w:lineRule="auto"/>
        <w:jc w:val="center"/>
      </w:pPr>
      <w:r>
        <w:rPr>
          <w:rStyle w:val="Lbjegyzet-hivatkozs"/>
        </w:rPr>
        <w:footnoteRef/>
      </w:r>
      <w:r>
        <w:t xml:space="preserve"> </w:t>
      </w:r>
      <w:r w:rsidRPr="00BF36B4">
        <w:t>A pénztárak tevékenységét az Önkéntes Kölcsönös Biztosító Pénztárakról szóló 1993. évi XCVI. törvény szabályozza.</w:t>
      </w:r>
    </w:p>
  </w:footnote>
  <w:footnote w:id="31">
    <w:p w14:paraId="2CA63B5C" w14:textId="0D2C9B72" w:rsidR="008E13A0" w:rsidRDefault="008E13A0">
      <w:pPr>
        <w:pStyle w:val="Lbjegyzetszveg"/>
      </w:pPr>
      <w:r>
        <w:rPr>
          <w:rStyle w:val="Lbjegyzet-hivatkozs"/>
        </w:rPr>
        <w:footnoteRef/>
      </w:r>
      <w:r>
        <w:t xml:space="preserve"> A</w:t>
      </w:r>
      <w:r w:rsidRPr="008E13A0">
        <w:t xml:space="preserve"> foglalkoztatói nyugdíjról és intézményeiről</w:t>
      </w:r>
      <w:r>
        <w:t xml:space="preserve"> szóló </w:t>
      </w:r>
      <w:r w:rsidRPr="008E13A0">
        <w:t>2007. évi CXVII. törvény 2. § 14. pontja</w:t>
      </w:r>
      <w:r w:rsidR="00D17822">
        <w:t xml:space="preserve"> szerinti foglalkoztatói nyugdíjszolgáltató intézményt jelenti. </w:t>
      </w:r>
    </w:p>
  </w:footnote>
  <w:footnote w:id="32">
    <w:p w14:paraId="36C8A6A5" w14:textId="1854FAEE" w:rsidR="00B610A8" w:rsidRDefault="00B610A8">
      <w:pPr>
        <w:pStyle w:val="Lbjegyzetszveg"/>
      </w:pPr>
      <w:r>
        <w:rPr>
          <w:rStyle w:val="Lbjegyzet-hivatkozs"/>
        </w:rPr>
        <w:footnoteRef/>
      </w:r>
      <w:r>
        <w:t xml:space="preserve"> Utalvány-kibocsátó az a </w:t>
      </w:r>
      <w:r w:rsidRPr="00B610A8">
        <w:t>vállalkozás, amely forgatható utalvány kibocsátására irányuló tevékenységet végez az egyes fizetési szolgáltatókról szóló 2013. évi CCXXXV. törvény</w:t>
      </w:r>
      <w:r>
        <w:t xml:space="preserve"> </w:t>
      </w:r>
      <w:r w:rsidRPr="00B610A8">
        <w:t>9. § (1) bekezdése alapján</w:t>
      </w:r>
      <w:r>
        <w:t>.</w:t>
      </w:r>
    </w:p>
  </w:footnote>
  <w:footnote w:id="33">
    <w:p w14:paraId="0EFDA3A2" w14:textId="0056828D" w:rsidR="00B610A8" w:rsidRDefault="00B610A8">
      <w:pPr>
        <w:pStyle w:val="Lbjegyzetszveg"/>
      </w:pPr>
      <w:r>
        <w:rPr>
          <w:rStyle w:val="Lbjegyzet-hivatkozs"/>
        </w:rPr>
        <w:footnoteRef/>
      </w:r>
      <w:r>
        <w:t xml:space="preserve"> Hpt. </w:t>
      </w:r>
      <w:r w:rsidRPr="00B610A8">
        <w:t>6. § (1)</w:t>
      </w:r>
      <w:r>
        <w:t xml:space="preserve"> 29. pont</w:t>
      </w:r>
    </w:p>
  </w:footnote>
  <w:footnote w:id="34">
    <w:p w14:paraId="382B170C" w14:textId="1656DFCA" w:rsidR="00E25797" w:rsidRDefault="00E25797">
      <w:pPr>
        <w:pStyle w:val="Lbjegyzetszveg"/>
      </w:pPr>
      <w:r>
        <w:rPr>
          <w:rStyle w:val="Lbjegyzet-hivatkozs"/>
        </w:rPr>
        <w:footnoteRef/>
      </w:r>
      <w:r>
        <w:t xml:space="preserve"> </w:t>
      </w:r>
      <w:r w:rsidRPr="00E25797">
        <w:t xml:space="preserve">A </w:t>
      </w:r>
      <w:proofErr w:type="spellStart"/>
      <w:r w:rsidRPr="008B2F6D">
        <w:t>Bszt</w:t>
      </w:r>
      <w:proofErr w:type="spellEnd"/>
      <w:r w:rsidRPr="008B2F6D">
        <w:t>.</w:t>
      </w:r>
      <w:r w:rsidRPr="00E25797">
        <w:t xml:space="preserve"> szerint a piacműködtető olyan személy, amely irányítja, illetve működteti a szabályozott piac üzletvitelét, és amely maga a szabályozott piac.</w:t>
      </w:r>
    </w:p>
  </w:footnote>
  <w:footnote w:id="35">
    <w:p w14:paraId="718F9F2D" w14:textId="18869BA3" w:rsidR="008349C0" w:rsidRDefault="008349C0">
      <w:pPr>
        <w:pStyle w:val="Lbjegyzetszveg"/>
      </w:pPr>
      <w:r>
        <w:rPr>
          <w:rStyle w:val="Lbjegyzet-hivatkozs"/>
        </w:rPr>
        <w:footnoteRef/>
      </w:r>
      <w:r>
        <w:t xml:space="preserve"> A </w:t>
      </w:r>
      <w:r w:rsidRPr="008349C0">
        <w:t xml:space="preserve">Hpt. </w:t>
      </w:r>
      <w:r w:rsidR="00073881" w:rsidRPr="00073881">
        <w:t>6. § (1)</w:t>
      </w:r>
      <w:r w:rsidR="00073881">
        <w:t xml:space="preserve"> 85. pontja szerinti tevékenység végzését jelenti.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08E" w14:textId="77777777" w:rsidR="009661DC" w:rsidRPr="00AC6950" w:rsidRDefault="009661DC"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489"/>
    <w:multiLevelType w:val="hybridMultilevel"/>
    <w:tmpl w:val="9C14299E"/>
    <w:lvl w:ilvl="0" w:tplc="054CAF04">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CF3BF4"/>
    <w:multiLevelType w:val="hybridMultilevel"/>
    <w:tmpl w:val="7694A4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3E203F"/>
    <w:multiLevelType w:val="hybridMultilevel"/>
    <w:tmpl w:val="D93A3EA4"/>
    <w:lvl w:ilvl="0" w:tplc="1D802B48">
      <w:numFmt w:val="bullet"/>
      <w:lvlText w:val="-"/>
      <w:lvlJc w:val="left"/>
      <w:pPr>
        <w:ind w:left="540" w:hanging="360"/>
      </w:pPr>
      <w:rPr>
        <w:rFonts w:ascii="Calibri" w:eastAsia="Times New Roman" w:hAnsi="Calibri" w:cs="Calibri"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3" w15:restartNumberingAfterBreak="0">
    <w:nsid w:val="0AA748CC"/>
    <w:multiLevelType w:val="hybridMultilevel"/>
    <w:tmpl w:val="E0F483F0"/>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4" w15:restartNumberingAfterBreak="0">
    <w:nsid w:val="0CB356C6"/>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417885"/>
    <w:multiLevelType w:val="hybridMultilevel"/>
    <w:tmpl w:val="7B829374"/>
    <w:lvl w:ilvl="0" w:tplc="040E0013">
      <w:start w:val="1"/>
      <w:numFmt w:val="upperRoman"/>
      <w:lvlText w:val="%1."/>
      <w:lvlJc w:val="righ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644994"/>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CF49B5"/>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20C0CD9"/>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3030742"/>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07716E"/>
    <w:multiLevelType w:val="hybridMultilevel"/>
    <w:tmpl w:val="9D30B4F6"/>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4D7DD2"/>
    <w:multiLevelType w:val="hybridMultilevel"/>
    <w:tmpl w:val="0098048A"/>
    <w:lvl w:ilvl="0" w:tplc="BBCE670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9946C0D"/>
    <w:multiLevelType w:val="hybridMultilevel"/>
    <w:tmpl w:val="250E010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AC94B6C"/>
    <w:multiLevelType w:val="hybridMultilevel"/>
    <w:tmpl w:val="2998223C"/>
    <w:lvl w:ilvl="0" w:tplc="7730105E">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1E031DC3"/>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0" w15:restartNumberingAfterBreak="0">
    <w:nsid w:val="20B4441F"/>
    <w:multiLevelType w:val="hybridMultilevel"/>
    <w:tmpl w:val="64E4D484"/>
    <w:lvl w:ilvl="0" w:tplc="7980BE0C">
      <w:start w:val="8"/>
      <w:numFmt w:val="bullet"/>
      <w:lvlText w:val="•"/>
      <w:lvlJc w:val="left"/>
      <w:pPr>
        <w:ind w:left="927" w:hanging="360"/>
      </w:pPr>
      <w:rPr>
        <w:rFonts w:ascii="Calibri" w:eastAsiaTheme="minorHAnsi" w:hAnsi="Calibri"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23DA2669"/>
    <w:multiLevelType w:val="hybridMultilevel"/>
    <w:tmpl w:val="D9D6888C"/>
    <w:lvl w:ilvl="0" w:tplc="9EBC16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49C1CD8"/>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276C233B"/>
    <w:multiLevelType w:val="hybridMultilevel"/>
    <w:tmpl w:val="7F229CE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5" w15:restartNumberingAfterBreak="0">
    <w:nsid w:val="2BEF3B47"/>
    <w:multiLevelType w:val="hybridMultilevel"/>
    <w:tmpl w:val="6C069086"/>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26" w15:restartNumberingAfterBreak="0">
    <w:nsid w:val="2CD65992"/>
    <w:multiLevelType w:val="hybridMultilevel"/>
    <w:tmpl w:val="EECC95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4D76638"/>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8B65FEE"/>
    <w:multiLevelType w:val="hybridMultilevel"/>
    <w:tmpl w:val="CD5831E0"/>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30" w15:restartNumberingAfterBreak="0">
    <w:nsid w:val="3D0535AC"/>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D187DBF"/>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D7B461A"/>
    <w:multiLevelType w:val="hybridMultilevel"/>
    <w:tmpl w:val="6C069086"/>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3" w15:restartNumberingAfterBreak="0">
    <w:nsid w:val="3E835FC0"/>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414662DB"/>
    <w:multiLevelType w:val="hybridMultilevel"/>
    <w:tmpl w:val="C51AF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42660821"/>
    <w:multiLevelType w:val="hybridMultilevel"/>
    <w:tmpl w:val="2998223C"/>
    <w:lvl w:ilvl="0" w:tplc="7730105E">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15:restartNumberingAfterBreak="0">
    <w:nsid w:val="44A06954"/>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46F30A26"/>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4B0A0171"/>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2A77DA"/>
    <w:multiLevelType w:val="hybridMultilevel"/>
    <w:tmpl w:val="7BEC9234"/>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42" w15:restartNumberingAfterBreak="0">
    <w:nsid w:val="4FB231D3"/>
    <w:multiLevelType w:val="hybridMultilevel"/>
    <w:tmpl w:val="0BCE1CD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0120B3D"/>
    <w:multiLevelType w:val="hybridMultilevel"/>
    <w:tmpl w:val="8C1EC3B8"/>
    <w:lvl w:ilvl="0" w:tplc="B0AC6B9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17A0672"/>
    <w:multiLevelType w:val="hybridMultilevel"/>
    <w:tmpl w:val="3C42FD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52194EAB"/>
    <w:multiLevelType w:val="hybridMultilevel"/>
    <w:tmpl w:val="59BAA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3287D52"/>
    <w:multiLevelType w:val="hybridMultilevel"/>
    <w:tmpl w:val="063A5A60"/>
    <w:lvl w:ilvl="0" w:tplc="D76CD258">
      <w:start w:val="4"/>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3732B09"/>
    <w:multiLevelType w:val="hybridMultilevel"/>
    <w:tmpl w:val="6C069086"/>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48" w15:restartNumberingAfterBreak="0">
    <w:nsid w:val="54AF0A60"/>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4F866BD"/>
    <w:multiLevelType w:val="hybridMultilevel"/>
    <w:tmpl w:val="568ED7B4"/>
    <w:lvl w:ilvl="0" w:tplc="ABB27AC4">
      <w:start w:val="1"/>
      <w:numFmt w:val="decimal"/>
      <w:lvlText w:val="%1."/>
      <w:lvlJc w:val="left"/>
      <w:pPr>
        <w:ind w:left="644" w:hanging="360"/>
      </w:pPr>
      <w:rPr>
        <w:rFonts w:hint="default"/>
      </w:rPr>
    </w:lvl>
    <w:lvl w:ilvl="1" w:tplc="040E001B">
      <w:start w:val="1"/>
      <w:numFmt w:val="lowerRoman"/>
      <w:lvlText w:val="%2."/>
      <w:lvlJc w:val="righ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0" w15:restartNumberingAfterBreak="0">
    <w:nsid w:val="55FF5BFF"/>
    <w:multiLevelType w:val="hybridMultilevel"/>
    <w:tmpl w:val="250E010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57B036ED"/>
    <w:multiLevelType w:val="hybridMultilevel"/>
    <w:tmpl w:val="E7EA8DB6"/>
    <w:lvl w:ilvl="0" w:tplc="7BDAEF6E">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97E05F1"/>
    <w:multiLevelType w:val="hybridMultilevel"/>
    <w:tmpl w:val="583438C0"/>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53" w15:restartNumberingAfterBreak="0">
    <w:nsid w:val="5A024FE0"/>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BBD21D8"/>
    <w:multiLevelType w:val="hybridMultilevel"/>
    <w:tmpl w:val="10F02CC2"/>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55" w15:restartNumberingAfterBreak="0">
    <w:nsid w:val="5C3A56F5"/>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0457063"/>
    <w:multiLevelType w:val="hybridMultilevel"/>
    <w:tmpl w:val="B366D89C"/>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57" w15:restartNumberingAfterBreak="0">
    <w:nsid w:val="63003838"/>
    <w:multiLevelType w:val="hybridMultilevel"/>
    <w:tmpl w:val="584A9038"/>
    <w:lvl w:ilvl="0" w:tplc="ABB27AC4">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8" w15:restartNumberingAfterBreak="0">
    <w:nsid w:val="63B556A5"/>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4071EC8"/>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4821E1D"/>
    <w:multiLevelType w:val="hybridMultilevel"/>
    <w:tmpl w:val="584A9038"/>
    <w:lvl w:ilvl="0" w:tplc="ABB27AC4">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1" w15:restartNumberingAfterBreak="0">
    <w:nsid w:val="67A27555"/>
    <w:multiLevelType w:val="hybridMultilevel"/>
    <w:tmpl w:val="3F4A69E2"/>
    <w:lvl w:ilvl="0" w:tplc="7980BE0C">
      <w:start w:val="8"/>
      <w:numFmt w:val="bullet"/>
      <w:lvlText w:val="•"/>
      <w:lvlJc w:val="left"/>
      <w:pPr>
        <w:ind w:left="927"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8CB75DB"/>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3" w15:restartNumberingAfterBreak="0">
    <w:nsid w:val="69B50215"/>
    <w:multiLevelType w:val="hybridMultilevel"/>
    <w:tmpl w:val="B18248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A517FDF"/>
    <w:multiLevelType w:val="hybridMultilevel"/>
    <w:tmpl w:val="A0009BC4"/>
    <w:lvl w:ilvl="0" w:tplc="344479CA">
      <w:numFmt w:val="bullet"/>
      <w:lvlText w:val="-"/>
      <w:lvlJc w:val="left"/>
      <w:pPr>
        <w:ind w:left="585" w:hanging="360"/>
      </w:pPr>
      <w:rPr>
        <w:rFonts w:ascii="Calibri" w:eastAsia="Times New Roman" w:hAnsi="Calibri" w:cs="Calibri" w:hint="default"/>
      </w:rPr>
    </w:lvl>
    <w:lvl w:ilvl="1" w:tplc="040E0003" w:tentative="1">
      <w:start w:val="1"/>
      <w:numFmt w:val="bullet"/>
      <w:lvlText w:val="o"/>
      <w:lvlJc w:val="left"/>
      <w:pPr>
        <w:ind w:left="1305" w:hanging="360"/>
      </w:pPr>
      <w:rPr>
        <w:rFonts w:ascii="Courier New" w:hAnsi="Courier New" w:cs="Courier New" w:hint="default"/>
      </w:rPr>
    </w:lvl>
    <w:lvl w:ilvl="2" w:tplc="040E0005" w:tentative="1">
      <w:start w:val="1"/>
      <w:numFmt w:val="bullet"/>
      <w:lvlText w:val=""/>
      <w:lvlJc w:val="left"/>
      <w:pPr>
        <w:ind w:left="2025" w:hanging="360"/>
      </w:pPr>
      <w:rPr>
        <w:rFonts w:ascii="Wingdings" w:hAnsi="Wingdings" w:hint="default"/>
      </w:rPr>
    </w:lvl>
    <w:lvl w:ilvl="3" w:tplc="040E0001" w:tentative="1">
      <w:start w:val="1"/>
      <w:numFmt w:val="bullet"/>
      <w:lvlText w:val=""/>
      <w:lvlJc w:val="left"/>
      <w:pPr>
        <w:ind w:left="2745" w:hanging="360"/>
      </w:pPr>
      <w:rPr>
        <w:rFonts w:ascii="Symbol" w:hAnsi="Symbol" w:hint="default"/>
      </w:rPr>
    </w:lvl>
    <w:lvl w:ilvl="4" w:tplc="040E0003" w:tentative="1">
      <w:start w:val="1"/>
      <w:numFmt w:val="bullet"/>
      <w:lvlText w:val="o"/>
      <w:lvlJc w:val="left"/>
      <w:pPr>
        <w:ind w:left="3465" w:hanging="360"/>
      </w:pPr>
      <w:rPr>
        <w:rFonts w:ascii="Courier New" w:hAnsi="Courier New" w:cs="Courier New" w:hint="default"/>
      </w:rPr>
    </w:lvl>
    <w:lvl w:ilvl="5" w:tplc="040E0005" w:tentative="1">
      <w:start w:val="1"/>
      <w:numFmt w:val="bullet"/>
      <w:lvlText w:val=""/>
      <w:lvlJc w:val="left"/>
      <w:pPr>
        <w:ind w:left="4185" w:hanging="360"/>
      </w:pPr>
      <w:rPr>
        <w:rFonts w:ascii="Wingdings" w:hAnsi="Wingdings" w:hint="default"/>
      </w:rPr>
    </w:lvl>
    <w:lvl w:ilvl="6" w:tplc="040E0001" w:tentative="1">
      <w:start w:val="1"/>
      <w:numFmt w:val="bullet"/>
      <w:lvlText w:val=""/>
      <w:lvlJc w:val="left"/>
      <w:pPr>
        <w:ind w:left="4905" w:hanging="360"/>
      </w:pPr>
      <w:rPr>
        <w:rFonts w:ascii="Symbol" w:hAnsi="Symbol" w:hint="default"/>
      </w:rPr>
    </w:lvl>
    <w:lvl w:ilvl="7" w:tplc="040E0003" w:tentative="1">
      <w:start w:val="1"/>
      <w:numFmt w:val="bullet"/>
      <w:lvlText w:val="o"/>
      <w:lvlJc w:val="left"/>
      <w:pPr>
        <w:ind w:left="5625" w:hanging="360"/>
      </w:pPr>
      <w:rPr>
        <w:rFonts w:ascii="Courier New" w:hAnsi="Courier New" w:cs="Courier New" w:hint="default"/>
      </w:rPr>
    </w:lvl>
    <w:lvl w:ilvl="8" w:tplc="040E0005" w:tentative="1">
      <w:start w:val="1"/>
      <w:numFmt w:val="bullet"/>
      <w:lvlText w:val=""/>
      <w:lvlJc w:val="left"/>
      <w:pPr>
        <w:ind w:left="6345" w:hanging="360"/>
      </w:pPr>
      <w:rPr>
        <w:rFonts w:ascii="Wingdings" w:hAnsi="Wingdings" w:hint="default"/>
      </w:rPr>
    </w:lvl>
  </w:abstractNum>
  <w:abstractNum w:abstractNumId="65" w15:restartNumberingAfterBreak="0">
    <w:nsid w:val="6CB35F31"/>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7" w15:restartNumberingAfterBreak="0">
    <w:nsid w:val="6FD92AFB"/>
    <w:multiLevelType w:val="hybridMultilevel"/>
    <w:tmpl w:val="584A9038"/>
    <w:lvl w:ilvl="0" w:tplc="ABB27AC4">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8" w15:restartNumberingAfterBreak="0">
    <w:nsid w:val="703E4E6C"/>
    <w:multiLevelType w:val="hybridMultilevel"/>
    <w:tmpl w:val="A8EAAD84"/>
    <w:lvl w:ilvl="0" w:tplc="040E0019">
      <w:start w:val="1"/>
      <w:numFmt w:val="lowerLetter"/>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69" w15:restartNumberingAfterBreak="0">
    <w:nsid w:val="71A87E00"/>
    <w:multiLevelType w:val="hybridMultilevel"/>
    <w:tmpl w:val="2998223C"/>
    <w:lvl w:ilvl="0" w:tplc="7730105E">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0" w15:restartNumberingAfterBreak="0">
    <w:nsid w:val="73085380"/>
    <w:multiLevelType w:val="hybridMultilevel"/>
    <w:tmpl w:val="2D14B51C"/>
    <w:lvl w:ilvl="0" w:tplc="B0088E0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15:restartNumberingAfterBreak="0">
    <w:nsid w:val="76944E5C"/>
    <w:multiLevelType w:val="hybridMultilevel"/>
    <w:tmpl w:val="BCBE3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86C07F2"/>
    <w:multiLevelType w:val="hybridMultilevel"/>
    <w:tmpl w:val="F30A5E6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74" w15:restartNumberingAfterBreak="0">
    <w:nsid w:val="7A94423C"/>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5" w15:restartNumberingAfterBreak="0">
    <w:nsid w:val="7B2626AE"/>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6" w15:restartNumberingAfterBreak="0">
    <w:nsid w:val="7C761C65"/>
    <w:multiLevelType w:val="hybridMultilevel"/>
    <w:tmpl w:val="58AC1CD6"/>
    <w:lvl w:ilvl="0" w:tplc="6FBC0A10">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7" w15:restartNumberingAfterBreak="0">
    <w:nsid w:val="7DF02F7E"/>
    <w:multiLevelType w:val="hybridMultilevel"/>
    <w:tmpl w:val="2998223C"/>
    <w:lvl w:ilvl="0" w:tplc="7730105E">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8" w15:restartNumberingAfterBreak="0">
    <w:nsid w:val="7E641EBE"/>
    <w:multiLevelType w:val="hybridMultilevel"/>
    <w:tmpl w:val="B1824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20958575">
    <w:abstractNumId w:val="19"/>
  </w:num>
  <w:num w:numId="2" w16cid:durableId="18244612">
    <w:abstractNumId w:val="12"/>
  </w:num>
  <w:num w:numId="3" w16cid:durableId="45447637">
    <w:abstractNumId w:val="24"/>
  </w:num>
  <w:num w:numId="4" w16cid:durableId="726878622">
    <w:abstractNumId w:val="5"/>
  </w:num>
  <w:num w:numId="5" w16cid:durableId="93597916">
    <w:abstractNumId w:val="8"/>
  </w:num>
  <w:num w:numId="6" w16cid:durableId="299773212">
    <w:abstractNumId w:val="14"/>
  </w:num>
  <w:num w:numId="7" w16cid:durableId="1985500494">
    <w:abstractNumId w:val="66"/>
  </w:num>
  <w:num w:numId="8" w16cid:durableId="80874346">
    <w:abstractNumId w:val="35"/>
    <w:lvlOverride w:ilvl="0">
      <w:startOverride w:val="1"/>
    </w:lvlOverride>
  </w:num>
  <w:num w:numId="9" w16cid:durableId="337193129">
    <w:abstractNumId w:val="71"/>
  </w:num>
  <w:num w:numId="10" w16cid:durableId="517893707">
    <w:abstractNumId w:val="6"/>
  </w:num>
  <w:num w:numId="11" w16cid:durableId="1726025216">
    <w:abstractNumId w:val="42"/>
  </w:num>
  <w:num w:numId="12" w16cid:durableId="1296528277">
    <w:abstractNumId w:val="18"/>
  </w:num>
  <w:num w:numId="13" w16cid:durableId="1540703891">
    <w:abstractNumId w:val="23"/>
  </w:num>
  <w:num w:numId="14" w16cid:durableId="1863392539">
    <w:abstractNumId w:val="74"/>
  </w:num>
  <w:num w:numId="15" w16cid:durableId="535890717">
    <w:abstractNumId w:val="62"/>
  </w:num>
  <w:num w:numId="16" w16cid:durableId="587152668">
    <w:abstractNumId w:val="69"/>
  </w:num>
  <w:num w:numId="17" w16cid:durableId="2127296">
    <w:abstractNumId w:val="77"/>
  </w:num>
  <w:num w:numId="18" w16cid:durableId="646322846">
    <w:abstractNumId w:val="36"/>
  </w:num>
  <w:num w:numId="19" w16cid:durableId="2092849165">
    <w:abstractNumId w:val="49"/>
  </w:num>
  <w:num w:numId="20" w16cid:durableId="311524164">
    <w:abstractNumId w:val="20"/>
  </w:num>
  <w:num w:numId="21" w16cid:durableId="2021731900">
    <w:abstractNumId w:val="73"/>
  </w:num>
  <w:num w:numId="22" w16cid:durableId="542906136">
    <w:abstractNumId w:val="52"/>
  </w:num>
  <w:num w:numId="23" w16cid:durableId="1219970527">
    <w:abstractNumId w:val="65"/>
  </w:num>
  <w:num w:numId="24" w16cid:durableId="1010376771">
    <w:abstractNumId w:val="61"/>
  </w:num>
  <w:num w:numId="25" w16cid:durableId="364403187">
    <w:abstractNumId w:val="60"/>
  </w:num>
  <w:num w:numId="26" w16cid:durableId="394933514">
    <w:abstractNumId w:val="33"/>
  </w:num>
  <w:num w:numId="27" w16cid:durableId="5547027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1915539">
    <w:abstractNumId w:val="13"/>
  </w:num>
  <w:num w:numId="29" w16cid:durableId="1691908829">
    <w:abstractNumId w:val="35"/>
  </w:num>
  <w:num w:numId="30" w16cid:durableId="549608758">
    <w:abstractNumId w:val="39"/>
  </w:num>
  <w:num w:numId="31" w16cid:durableId="703293290">
    <w:abstractNumId w:val="27"/>
  </w:num>
  <w:num w:numId="32" w16cid:durableId="1402486823">
    <w:abstractNumId w:val="35"/>
    <w:lvlOverride w:ilvl="0">
      <w:startOverride w:val="1"/>
    </w:lvlOverride>
  </w:num>
  <w:num w:numId="33" w16cid:durableId="753207188">
    <w:abstractNumId w:val="54"/>
  </w:num>
  <w:num w:numId="34" w16cid:durableId="166755714">
    <w:abstractNumId w:val="35"/>
    <w:lvlOverride w:ilvl="0">
      <w:startOverride w:val="1"/>
    </w:lvlOverride>
  </w:num>
  <w:num w:numId="35" w16cid:durableId="176969539">
    <w:abstractNumId w:val="3"/>
  </w:num>
  <w:num w:numId="36" w16cid:durableId="469370643">
    <w:abstractNumId w:val="35"/>
    <w:lvlOverride w:ilvl="0">
      <w:startOverride w:val="1"/>
    </w:lvlOverride>
  </w:num>
  <w:num w:numId="37" w16cid:durableId="754672018">
    <w:abstractNumId w:val="76"/>
  </w:num>
  <w:num w:numId="38" w16cid:durableId="1083722581">
    <w:abstractNumId w:val="10"/>
  </w:num>
  <w:num w:numId="39" w16cid:durableId="761492996">
    <w:abstractNumId w:val="75"/>
  </w:num>
  <w:num w:numId="40" w16cid:durableId="792284438">
    <w:abstractNumId w:val="17"/>
  </w:num>
  <w:num w:numId="41" w16cid:durableId="1160661199">
    <w:abstractNumId w:val="37"/>
  </w:num>
  <w:num w:numId="42" w16cid:durableId="968556678">
    <w:abstractNumId w:val="35"/>
    <w:lvlOverride w:ilvl="0">
      <w:startOverride w:val="1"/>
    </w:lvlOverride>
  </w:num>
  <w:num w:numId="43" w16cid:durableId="459345929">
    <w:abstractNumId w:val="35"/>
    <w:lvlOverride w:ilvl="0">
      <w:startOverride w:val="1"/>
    </w:lvlOverride>
  </w:num>
  <w:num w:numId="44" w16cid:durableId="1408721175">
    <w:abstractNumId w:val="57"/>
  </w:num>
  <w:num w:numId="45" w16cid:durableId="403723712">
    <w:abstractNumId w:val="29"/>
  </w:num>
  <w:num w:numId="46" w16cid:durableId="681783659">
    <w:abstractNumId w:val="22"/>
  </w:num>
  <w:num w:numId="47" w16cid:durableId="1398045200">
    <w:abstractNumId w:val="67"/>
  </w:num>
  <w:num w:numId="48" w16cid:durableId="1914510685">
    <w:abstractNumId w:val="68"/>
  </w:num>
  <w:num w:numId="49" w16cid:durableId="884876410">
    <w:abstractNumId w:val="35"/>
    <w:lvlOverride w:ilvl="0">
      <w:startOverride w:val="1"/>
    </w:lvlOverride>
  </w:num>
  <w:num w:numId="50" w16cid:durableId="1069310724">
    <w:abstractNumId w:val="35"/>
    <w:lvlOverride w:ilvl="0">
      <w:startOverride w:val="1"/>
    </w:lvlOverride>
  </w:num>
  <w:num w:numId="51" w16cid:durableId="1451977415">
    <w:abstractNumId w:val="35"/>
    <w:lvlOverride w:ilvl="0">
      <w:startOverride w:val="1"/>
    </w:lvlOverride>
  </w:num>
  <w:num w:numId="52" w16cid:durableId="1937206474">
    <w:abstractNumId w:val="21"/>
  </w:num>
  <w:num w:numId="53" w16cid:durableId="2034113429">
    <w:abstractNumId w:val="24"/>
  </w:num>
  <w:num w:numId="54" w16cid:durableId="1369183058">
    <w:abstractNumId w:val="24"/>
  </w:num>
  <w:num w:numId="55" w16cid:durableId="1387491521">
    <w:abstractNumId w:val="24"/>
  </w:num>
  <w:num w:numId="56" w16cid:durableId="729380920">
    <w:abstractNumId w:val="24"/>
  </w:num>
  <w:num w:numId="57" w16cid:durableId="770391683">
    <w:abstractNumId w:val="24"/>
  </w:num>
  <w:num w:numId="58" w16cid:durableId="599609140">
    <w:abstractNumId w:val="24"/>
  </w:num>
  <w:num w:numId="59" w16cid:durableId="307515627">
    <w:abstractNumId w:val="24"/>
  </w:num>
  <w:num w:numId="60" w16cid:durableId="698510077">
    <w:abstractNumId w:val="24"/>
  </w:num>
  <w:num w:numId="61" w16cid:durableId="922111078">
    <w:abstractNumId w:val="24"/>
  </w:num>
  <w:num w:numId="62" w16cid:durableId="1802193160">
    <w:abstractNumId w:val="24"/>
  </w:num>
  <w:num w:numId="63" w16cid:durableId="978999177">
    <w:abstractNumId w:val="24"/>
  </w:num>
  <w:num w:numId="64" w16cid:durableId="1824470080">
    <w:abstractNumId w:val="24"/>
  </w:num>
  <w:num w:numId="65" w16cid:durableId="143864354">
    <w:abstractNumId w:val="24"/>
  </w:num>
  <w:num w:numId="66" w16cid:durableId="90972234">
    <w:abstractNumId w:val="24"/>
  </w:num>
  <w:num w:numId="67" w16cid:durableId="1126811">
    <w:abstractNumId w:val="24"/>
  </w:num>
  <w:num w:numId="68" w16cid:durableId="2000884702">
    <w:abstractNumId w:val="24"/>
  </w:num>
  <w:num w:numId="69" w16cid:durableId="261692430">
    <w:abstractNumId w:val="30"/>
  </w:num>
  <w:num w:numId="70" w16cid:durableId="1965231365">
    <w:abstractNumId w:val="24"/>
  </w:num>
  <w:num w:numId="71" w16cid:durableId="2004047716">
    <w:abstractNumId w:val="24"/>
  </w:num>
  <w:num w:numId="72" w16cid:durableId="730351782">
    <w:abstractNumId w:val="24"/>
  </w:num>
  <w:num w:numId="73" w16cid:durableId="2028750981">
    <w:abstractNumId w:val="24"/>
  </w:num>
  <w:num w:numId="74" w16cid:durableId="669017590">
    <w:abstractNumId w:val="24"/>
  </w:num>
  <w:num w:numId="75" w16cid:durableId="1982809295">
    <w:abstractNumId w:val="24"/>
  </w:num>
  <w:num w:numId="76" w16cid:durableId="1058162908">
    <w:abstractNumId w:val="24"/>
  </w:num>
  <w:num w:numId="77" w16cid:durableId="1991055650">
    <w:abstractNumId w:val="24"/>
  </w:num>
  <w:num w:numId="78" w16cid:durableId="287787814">
    <w:abstractNumId w:val="24"/>
  </w:num>
  <w:num w:numId="79" w16cid:durableId="1908689630">
    <w:abstractNumId w:val="24"/>
  </w:num>
  <w:num w:numId="80" w16cid:durableId="718555383">
    <w:abstractNumId w:val="24"/>
  </w:num>
  <w:num w:numId="81" w16cid:durableId="1541042611">
    <w:abstractNumId w:val="24"/>
  </w:num>
  <w:num w:numId="82" w16cid:durableId="2127188358">
    <w:abstractNumId w:val="24"/>
  </w:num>
  <w:num w:numId="83" w16cid:durableId="865337384">
    <w:abstractNumId w:val="24"/>
  </w:num>
  <w:num w:numId="84" w16cid:durableId="198595805">
    <w:abstractNumId w:val="24"/>
  </w:num>
  <w:num w:numId="85" w16cid:durableId="1640065271">
    <w:abstractNumId w:val="24"/>
  </w:num>
  <w:num w:numId="86" w16cid:durableId="1220245247">
    <w:abstractNumId w:val="24"/>
  </w:num>
  <w:num w:numId="87" w16cid:durableId="602759681">
    <w:abstractNumId w:val="24"/>
  </w:num>
  <w:num w:numId="88" w16cid:durableId="65305546">
    <w:abstractNumId w:val="24"/>
  </w:num>
  <w:num w:numId="89" w16cid:durableId="277764669">
    <w:abstractNumId w:val="24"/>
  </w:num>
  <w:num w:numId="90" w16cid:durableId="405885960">
    <w:abstractNumId w:val="24"/>
  </w:num>
  <w:num w:numId="91" w16cid:durableId="1224172876">
    <w:abstractNumId w:val="24"/>
  </w:num>
  <w:num w:numId="92" w16cid:durableId="1196195716">
    <w:abstractNumId w:val="11"/>
  </w:num>
  <w:num w:numId="93" w16cid:durableId="1068110930">
    <w:abstractNumId w:val="24"/>
  </w:num>
  <w:num w:numId="94" w16cid:durableId="1427535208">
    <w:abstractNumId w:val="24"/>
  </w:num>
  <w:num w:numId="95" w16cid:durableId="197864314">
    <w:abstractNumId w:val="24"/>
  </w:num>
  <w:num w:numId="96" w16cid:durableId="673917720">
    <w:abstractNumId w:val="24"/>
  </w:num>
  <w:num w:numId="97" w16cid:durableId="67272062">
    <w:abstractNumId w:val="24"/>
  </w:num>
  <w:num w:numId="98" w16cid:durableId="1859150981">
    <w:abstractNumId w:val="24"/>
  </w:num>
  <w:num w:numId="99" w16cid:durableId="149300054">
    <w:abstractNumId w:val="24"/>
  </w:num>
  <w:num w:numId="100" w16cid:durableId="1050882254">
    <w:abstractNumId w:val="48"/>
  </w:num>
  <w:num w:numId="101" w16cid:durableId="1643998735">
    <w:abstractNumId w:val="24"/>
  </w:num>
  <w:num w:numId="102" w16cid:durableId="1266376546">
    <w:abstractNumId w:val="24"/>
  </w:num>
  <w:num w:numId="103" w16cid:durableId="949170589">
    <w:abstractNumId w:val="24"/>
  </w:num>
  <w:num w:numId="104" w16cid:durableId="1914928946">
    <w:abstractNumId w:val="24"/>
  </w:num>
  <w:num w:numId="105" w16cid:durableId="796685250">
    <w:abstractNumId w:val="24"/>
  </w:num>
  <w:num w:numId="106" w16cid:durableId="1319000029">
    <w:abstractNumId w:val="24"/>
  </w:num>
  <w:num w:numId="107" w16cid:durableId="527332370">
    <w:abstractNumId w:val="24"/>
  </w:num>
  <w:num w:numId="108" w16cid:durableId="58404050">
    <w:abstractNumId w:val="24"/>
  </w:num>
  <w:num w:numId="109" w16cid:durableId="1091313777">
    <w:abstractNumId w:val="24"/>
  </w:num>
  <w:num w:numId="110" w16cid:durableId="1499345149">
    <w:abstractNumId w:val="59"/>
  </w:num>
  <w:num w:numId="111" w16cid:durableId="955217666">
    <w:abstractNumId w:val="24"/>
  </w:num>
  <w:num w:numId="112" w16cid:durableId="39332439">
    <w:abstractNumId w:val="24"/>
  </w:num>
  <w:num w:numId="113" w16cid:durableId="950670235">
    <w:abstractNumId w:val="24"/>
  </w:num>
  <w:num w:numId="114" w16cid:durableId="45957161">
    <w:abstractNumId w:val="7"/>
  </w:num>
  <w:num w:numId="115" w16cid:durableId="938487808">
    <w:abstractNumId w:val="24"/>
  </w:num>
  <w:num w:numId="116" w16cid:durableId="1496453939">
    <w:abstractNumId w:val="24"/>
  </w:num>
  <w:num w:numId="117" w16cid:durableId="757604651">
    <w:abstractNumId w:val="24"/>
  </w:num>
  <w:num w:numId="118" w16cid:durableId="885994750">
    <w:abstractNumId w:val="24"/>
  </w:num>
  <w:num w:numId="119" w16cid:durableId="1020661791">
    <w:abstractNumId w:val="24"/>
  </w:num>
  <w:num w:numId="120" w16cid:durableId="1373846127">
    <w:abstractNumId w:val="24"/>
  </w:num>
  <w:num w:numId="121" w16cid:durableId="1094934410">
    <w:abstractNumId w:val="78"/>
  </w:num>
  <w:num w:numId="122" w16cid:durableId="109863657">
    <w:abstractNumId w:val="24"/>
  </w:num>
  <w:num w:numId="123" w16cid:durableId="808011309">
    <w:abstractNumId w:val="24"/>
  </w:num>
  <w:num w:numId="124" w16cid:durableId="1845899273">
    <w:abstractNumId w:val="24"/>
  </w:num>
  <w:num w:numId="125" w16cid:durableId="1966739311">
    <w:abstractNumId w:val="24"/>
  </w:num>
  <w:num w:numId="126" w16cid:durableId="2056470188">
    <w:abstractNumId w:val="24"/>
  </w:num>
  <w:num w:numId="127" w16cid:durableId="677118828">
    <w:abstractNumId w:val="24"/>
  </w:num>
  <w:num w:numId="128" w16cid:durableId="978924168">
    <w:abstractNumId w:val="40"/>
  </w:num>
  <w:num w:numId="129" w16cid:durableId="2111662721">
    <w:abstractNumId w:val="24"/>
  </w:num>
  <w:num w:numId="130" w16cid:durableId="947590058">
    <w:abstractNumId w:val="35"/>
    <w:lvlOverride w:ilvl="0">
      <w:startOverride w:val="1"/>
    </w:lvlOverride>
  </w:num>
  <w:num w:numId="131" w16cid:durableId="370301518">
    <w:abstractNumId w:val="35"/>
    <w:lvlOverride w:ilvl="0">
      <w:startOverride w:val="1"/>
    </w:lvlOverride>
  </w:num>
  <w:num w:numId="132" w16cid:durableId="302001274">
    <w:abstractNumId w:val="24"/>
  </w:num>
  <w:num w:numId="133" w16cid:durableId="1635061956">
    <w:abstractNumId w:val="24"/>
  </w:num>
  <w:num w:numId="134" w16cid:durableId="1396321709">
    <w:abstractNumId w:val="24"/>
  </w:num>
  <w:num w:numId="135" w16cid:durableId="1707481601">
    <w:abstractNumId w:val="24"/>
  </w:num>
  <w:num w:numId="136" w16cid:durableId="1960532041">
    <w:abstractNumId w:val="24"/>
  </w:num>
  <w:num w:numId="137" w16cid:durableId="710417040">
    <w:abstractNumId w:val="24"/>
  </w:num>
  <w:num w:numId="138" w16cid:durableId="1087312844">
    <w:abstractNumId w:val="9"/>
  </w:num>
  <w:num w:numId="139" w16cid:durableId="1355615862">
    <w:abstractNumId w:val="24"/>
  </w:num>
  <w:num w:numId="140" w16cid:durableId="87193662">
    <w:abstractNumId w:val="24"/>
  </w:num>
  <w:num w:numId="141" w16cid:durableId="1861119722">
    <w:abstractNumId w:val="24"/>
  </w:num>
  <w:num w:numId="142" w16cid:durableId="752513606">
    <w:abstractNumId w:val="24"/>
  </w:num>
  <w:num w:numId="143" w16cid:durableId="2038387800">
    <w:abstractNumId w:val="24"/>
  </w:num>
  <w:num w:numId="144" w16cid:durableId="649601427">
    <w:abstractNumId w:val="24"/>
  </w:num>
  <w:num w:numId="145" w16cid:durableId="1528787523">
    <w:abstractNumId w:val="24"/>
  </w:num>
  <w:num w:numId="146" w16cid:durableId="902986566">
    <w:abstractNumId w:val="38"/>
  </w:num>
  <w:num w:numId="147" w16cid:durableId="1240213407">
    <w:abstractNumId w:val="24"/>
  </w:num>
  <w:num w:numId="148" w16cid:durableId="246497517">
    <w:abstractNumId w:val="24"/>
  </w:num>
  <w:num w:numId="149" w16cid:durableId="1028721960">
    <w:abstractNumId w:val="24"/>
  </w:num>
  <w:num w:numId="150" w16cid:durableId="1706634940">
    <w:abstractNumId w:val="24"/>
  </w:num>
  <w:num w:numId="151" w16cid:durableId="2006664468">
    <w:abstractNumId w:val="24"/>
  </w:num>
  <w:num w:numId="152" w16cid:durableId="374432793">
    <w:abstractNumId w:val="24"/>
  </w:num>
  <w:num w:numId="153" w16cid:durableId="561522167">
    <w:abstractNumId w:val="24"/>
  </w:num>
  <w:num w:numId="154" w16cid:durableId="945582310">
    <w:abstractNumId w:val="24"/>
  </w:num>
  <w:num w:numId="155" w16cid:durableId="236328690">
    <w:abstractNumId w:val="28"/>
  </w:num>
  <w:num w:numId="156" w16cid:durableId="1473517241">
    <w:abstractNumId w:val="24"/>
  </w:num>
  <w:num w:numId="157" w16cid:durableId="421876685">
    <w:abstractNumId w:val="24"/>
  </w:num>
  <w:num w:numId="158" w16cid:durableId="350181524">
    <w:abstractNumId w:val="24"/>
  </w:num>
  <w:num w:numId="159" w16cid:durableId="1213536604">
    <w:abstractNumId w:val="24"/>
  </w:num>
  <w:num w:numId="160" w16cid:durableId="1560437304">
    <w:abstractNumId w:val="63"/>
  </w:num>
  <w:num w:numId="161" w16cid:durableId="1515069835">
    <w:abstractNumId w:val="24"/>
  </w:num>
  <w:num w:numId="162" w16cid:durableId="160320085">
    <w:abstractNumId w:val="24"/>
  </w:num>
  <w:num w:numId="163" w16cid:durableId="1195848712">
    <w:abstractNumId w:val="24"/>
  </w:num>
  <w:num w:numId="164" w16cid:durableId="1250389081">
    <w:abstractNumId w:val="24"/>
  </w:num>
  <w:num w:numId="165" w16cid:durableId="332034451">
    <w:abstractNumId w:val="24"/>
  </w:num>
  <w:num w:numId="166" w16cid:durableId="1074746368">
    <w:abstractNumId w:val="24"/>
  </w:num>
  <w:num w:numId="167" w16cid:durableId="352609170">
    <w:abstractNumId w:val="24"/>
  </w:num>
  <w:num w:numId="168" w16cid:durableId="1183587456">
    <w:abstractNumId w:val="53"/>
  </w:num>
  <w:num w:numId="169" w16cid:durableId="580867614">
    <w:abstractNumId w:val="24"/>
  </w:num>
  <w:num w:numId="170" w16cid:durableId="49233258">
    <w:abstractNumId w:val="24"/>
  </w:num>
  <w:num w:numId="171" w16cid:durableId="331035694">
    <w:abstractNumId w:val="24"/>
  </w:num>
  <w:num w:numId="172" w16cid:durableId="1478523993">
    <w:abstractNumId w:val="24"/>
  </w:num>
  <w:num w:numId="173" w16cid:durableId="1675110365">
    <w:abstractNumId w:val="55"/>
  </w:num>
  <w:num w:numId="174" w16cid:durableId="1704400527">
    <w:abstractNumId w:val="24"/>
  </w:num>
  <w:num w:numId="175" w16cid:durableId="901327334">
    <w:abstractNumId w:val="24"/>
  </w:num>
  <w:num w:numId="176" w16cid:durableId="375660183">
    <w:abstractNumId w:val="24"/>
  </w:num>
  <w:num w:numId="177" w16cid:durableId="1251112371">
    <w:abstractNumId w:val="31"/>
  </w:num>
  <w:num w:numId="178" w16cid:durableId="1470585232">
    <w:abstractNumId w:val="24"/>
  </w:num>
  <w:num w:numId="179" w16cid:durableId="118040238">
    <w:abstractNumId w:val="24"/>
  </w:num>
  <w:num w:numId="180" w16cid:durableId="1268778088">
    <w:abstractNumId w:val="24"/>
  </w:num>
  <w:num w:numId="181" w16cid:durableId="449708777">
    <w:abstractNumId w:val="24"/>
  </w:num>
  <w:num w:numId="182" w16cid:durableId="1259217120">
    <w:abstractNumId w:val="58"/>
  </w:num>
  <w:num w:numId="183" w16cid:durableId="176425294">
    <w:abstractNumId w:val="24"/>
  </w:num>
  <w:num w:numId="184" w16cid:durableId="1782454060">
    <w:abstractNumId w:val="24"/>
  </w:num>
  <w:num w:numId="185" w16cid:durableId="54476270">
    <w:abstractNumId w:val="24"/>
  </w:num>
  <w:num w:numId="186" w16cid:durableId="1903247970">
    <w:abstractNumId w:val="24"/>
  </w:num>
  <w:num w:numId="187" w16cid:durableId="731386205">
    <w:abstractNumId w:val="24"/>
  </w:num>
  <w:num w:numId="188" w16cid:durableId="1669678216">
    <w:abstractNumId w:val="24"/>
  </w:num>
  <w:num w:numId="189" w16cid:durableId="20590705">
    <w:abstractNumId w:val="24"/>
  </w:num>
  <w:num w:numId="190" w16cid:durableId="2064674443">
    <w:abstractNumId w:val="4"/>
  </w:num>
  <w:num w:numId="191" w16cid:durableId="1155296620">
    <w:abstractNumId w:val="50"/>
  </w:num>
  <w:num w:numId="192" w16cid:durableId="342056393">
    <w:abstractNumId w:val="35"/>
    <w:lvlOverride w:ilvl="0">
      <w:startOverride w:val="1"/>
    </w:lvlOverride>
  </w:num>
  <w:num w:numId="193" w16cid:durableId="921065987">
    <w:abstractNumId w:val="35"/>
    <w:lvlOverride w:ilvl="0">
      <w:startOverride w:val="1"/>
    </w:lvlOverride>
  </w:num>
  <w:num w:numId="194" w16cid:durableId="94254947">
    <w:abstractNumId w:val="24"/>
  </w:num>
  <w:num w:numId="195" w16cid:durableId="498812056">
    <w:abstractNumId w:val="56"/>
  </w:num>
  <w:num w:numId="196" w16cid:durableId="1946032331">
    <w:abstractNumId w:val="35"/>
    <w:lvlOverride w:ilvl="0">
      <w:startOverride w:val="1"/>
    </w:lvlOverride>
  </w:num>
  <w:num w:numId="197" w16cid:durableId="352607649">
    <w:abstractNumId w:val="41"/>
  </w:num>
  <w:num w:numId="198" w16cid:durableId="287005341">
    <w:abstractNumId w:val="24"/>
  </w:num>
  <w:num w:numId="199" w16cid:durableId="651107946">
    <w:abstractNumId w:val="24"/>
  </w:num>
  <w:num w:numId="200" w16cid:durableId="1666473704">
    <w:abstractNumId w:val="24"/>
  </w:num>
  <w:num w:numId="201" w16cid:durableId="2104648105">
    <w:abstractNumId w:val="24"/>
  </w:num>
  <w:num w:numId="202" w16cid:durableId="319509302">
    <w:abstractNumId w:val="24"/>
  </w:num>
  <w:num w:numId="203" w16cid:durableId="1113593265">
    <w:abstractNumId w:val="24"/>
  </w:num>
  <w:num w:numId="204" w16cid:durableId="653410848">
    <w:abstractNumId w:val="24"/>
  </w:num>
  <w:num w:numId="205" w16cid:durableId="1862740821">
    <w:abstractNumId w:val="47"/>
  </w:num>
  <w:num w:numId="206" w16cid:durableId="976885148">
    <w:abstractNumId w:val="35"/>
    <w:lvlOverride w:ilvl="0">
      <w:startOverride w:val="1"/>
    </w:lvlOverride>
  </w:num>
  <w:num w:numId="207" w16cid:durableId="313602830">
    <w:abstractNumId w:val="35"/>
    <w:lvlOverride w:ilvl="0">
      <w:startOverride w:val="1"/>
    </w:lvlOverride>
  </w:num>
  <w:num w:numId="208" w16cid:durableId="766195725">
    <w:abstractNumId w:val="24"/>
  </w:num>
  <w:num w:numId="209" w16cid:durableId="59451316">
    <w:abstractNumId w:val="25"/>
  </w:num>
  <w:num w:numId="210" w16cid:durableId="349377375">
    <w:abstractNumId w:val="24"/>
  </w:num>
  <w:num w:numId="211" w16cid:durableId="1051462439">
    <w:abstractNumId w:val="34"/>
  </w:num>
  <w:num w:numId="212" w16cid:durableId="2084132741">
    <w:abstractNumId w:val="45"/>
  </w:num>
  <w:num w:numId="213" w16cid:durableId="1235311453">
    <w:abstractNumId w:val="24"/>
  </w:num>
  <w:num w:numId="214" w16cid:durableId="1917595538">
    <w:abstractNumId w:val="24"/>
  </w:num>
  <w:num w:numId="215" w16cid:durableId="949240564">
    <w:abstractNumId w:val="24"/>
  </w:num>
  <w:num w:numId="216" w16cid:durableId="1680082903">
    <w:abstractNumId w:val="24"/>
  </w:num>
  <w:num w:numId="217" w16cid:durableId="1798066933">
    <w:abstractNumId w:val="24"/>
  </w:num>
  <w:num w:numId="218" w16cid:durableId="826702109">
    <w:abstractNumId w:val="24"/>
  </w:num>
  <w:num w:numId="219" w16cid:durableId="629366079">
    <w:abstractNumId w:val="24"/>
  </w:num>
  <w:num w:numId="220" w16cid:durableId="1470783289">
    <w:abstractNumId w:val="24"/>
  </w:num>
  <w:num w:numId="221" w16cid:durableId="1860659590">
    <w:abstractNumId w:val="24"/>
  </w:num>
  <w:num w:numId="222" w16cid:durableId="1469010718">
    <w:abstractNumId w:val="24"/>
  </w:num>
  <w:num w:numId="223" w16cid:durableId="976644830">
    <w:abstractNumId w:val="24"/>
  </w:num>
  <w:num w:numId="224" w16cid:durableId="972297957">
    <w:abstractNumId w:val="24"/>
  </w:num>
  <w:num w:numId="225" w16cid:durableId="1444106921">
    <w:abstractNumId w:val="24"/>
  </w:num>
  <w:num w:numId="226" w16cid:durableId="597447278">
    <w:abstractNumId w:val="24"/>
  </w:num>
  <w:num w:numId="227" w16cid:durableId="565994572">
    <w:abstractNumId w:val="24"/>
  </w:num>
  <w:num w:numId="228" w16cid:durableId="1645041870">
    <w:abstractNumId w:val="24"/>
  </w:num>
  <w:num w:numId="229" w16cid:durableId="865680538">
    <w:abstractNumId w:val="24"/>
  </w:num>
  <w:num w:numId="230" w16cid:durableId="1940485812">
    <w:abstractNumId w:val="16"/>
  </w:num>
  <w:num w:numId="231" w16cid:durableId="1555046015">
    <w:abstractNumId w:val="35"/>
    <w:lvlOverride w:ilvl="0">
      <w:startOverride w:val="1"/>
    </w:lvlOverride>
  </w:num>
  <w:num w:numId="232" w16cid:durableId="1484658179">
    <w:abstractNumId w:val="35"/>
    <w:lvlOverride w:ilvl="0">
      <w:startOverride w:val="1"/>
    </w:lvlOverride>
  </w:num>
  <w:num w:numId="233" w16cid:durableId="1020470290">
    <w:abstractNumId w:val="72"/>
  </w:num>
  <w:num w:numId="234" w16cid:durableId="628435004">
    <w:abstractNumId w:val="51"/>
  </w:num>
  <w:num w:numId="235" w16cid:durableId="479150996">
    <w:abstractNumId w:val="43"/>
  </w:num>
  <w:num w:numId="236" w16cid:durableId="1651205804">
    <w:abstractNumId w:val="26"/>
  </w:num>
  <w:num w:numId="237" w16cid:durableId="1815440896">
    <w:abstractNumId w:val="70"/>
  </w:num>
  <w:num w:numId="238" w16cid:durableId="1070998760">
    <w:abstractNumId w:val="64"/>
  </w:num>
  <w:num w:numId="239" w16cid:durableId="559948658">
    <w:abstractNumId w:val="0"/>
  </w:num>
  <w:num w:numId="240" w16cid:durableId="291130992">
    <w:abstractNumId w:val="15"/>
  </w:num>
  <w:num w:numId="241" w16cid:durableId="1681466924">
    <w:abstractNumId w:val="2"/>
  </w:num>
  <w:num w:numId="242" w16cid:durableId="1625649128">
    <w:abstractNumId w:val="46"/>
  </w:num>
  <w:num w:numId="243" w16cid:durableId="512961911">
    <w:abstractNumId w:val="32"/>
  </w:num>
  <w:num w:numId="244" w16cid:durableId="1425033988">
    <w:abstractNumId w:val="35"/>
    <w:lvlOverride w:ilvl="0">
      <w:startOverride w:val="1"/>
    </w:lvlOverride>
  </w:num>
  <w:num w:numId="245" w16cid:durableId="1910767865">
    <w:abstractNumId w:val="35"/>
    <w:lvlOverride w:ilvl="0">
      <w:startOverride w:val="1"/>
    </w:lvlOverride>
  </w:num>
  <w:num w:numId="246" w16cid:durableId="2108690374">
    <w:abstractNumId w:val="35"/>
    <w:lvlOverride w:ilvl="0">
      <w:startOverride w:val="1"/>
    </w:lvlOverride>
  </w:num>
  <w:num w:numId="247" w16cid:durableId="259946253">
    <w:abstractNumId w:val="1"/>
  </w:num>
  <w:num w:numId="248" w16cid:durableId="650712282">
    <w:abstractNumId w:val="35"/>
    <w:lvlOverride w:ilvl="0">
      <w:startOverride w:val="1"/>
    </w:lvlOverride>
  </w:num>
  <w:num w:numId="249" w16cid:durableId="136919529">
    <w:abstractNumId w:val="35"/>
    <w:lvlOverride w:ilvl="0">
      <w:startOverride w:val="1"/>
    </w:lvlOverride>
  </w:num>
  <w:num w:numId="250" w16cid:durableId="1619528455">
    <w:abstractNumId w:val="35"/>
    <w:lvlOverride w:ilvl="0">
      <w:startOverride w:val="1"/>
    </w:lvlOverride>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A7"/>
    <w:rsid w:val="0000056C"/>
    <w:rsid w:val="000021D7"/>
    <w:rsid w:val="0000273C"/>
    <w:rsid w:val="00005441"/>
    <w:rsid w:val="00005C25"/>
    <w:rsid w:val="00006FE5"/>
    <w:rsid w:val="0001040A"/>
    <w:rsid w:val="00010C1A"/>
    <w:rsid w:val="00011D18"/>
    <w:rsid w:val="00012D68"/>
    <w:rsid w:val="00013B7D"/>
    <w:rsid w:val="00015A43"/>
    <w:rsid w:val="000168AA"/>
    <w:rsid w:val="0001707A"/>
    <w:rsid w:val="00017B1B"/>
    <w:rsid w:val="00020241"/>
    <w:rsid w:val="00020C11"/>
    <w:rsid w:val="00020DFA"/>
    <w:rsid w:val="00021D43"/>
    <w:rsid w:val="000222BD"/>
    <w:rsid w:val="000230DC"/>
    <w:rsid w:val="000234BE"/>
    <w:rsid w:val="00023FCE"/>
    <w:rsid w:val="0002407F"/>
    <w:rsid w:val="0002450C"/>
    <w:rsid w:val="0002498B"/>
    <w:rsid w:val="00024B38"/>
    <w:rsid w:val="000250E6"/>
    <w:rsid w:val="00026414"/>
    <w:rsid w:val="000268B7"/>
    <w:rsid w:val="00026FBE"/>
    <w:rsid w:val="000273F6"/>
    <w:rsid w:val="00027695"/>
    <w:rsid w:val="00027B62"/>
    <w:rsid w:val="00027F63"/>
    <w:rsid w:val="0003068F"/>
    <w:rsid w:val="00031C34"/>
    <w:rsid w:val="00033193"/>
    <w:rsid w:val="00033357"/>
    <w:rsid w:val="00033E46"/>
    <w:rsid w:val="00035697"/>
    <w:rsid w:val="000418C9"/>
    <w:rsid w:val="00041F40"/>
    <w:rsid w:val="00046341"/>
    <w:rsid w:val="000470E1"/>
    <w:rsid w:val="0004769E"/>
    <w:rsid w:val="00050C56"/>
    <w:rsid w:val="00050D58"/>
    <w:rsid w:val="0005109D"/>
    <w:rsid w:val="00051587"/>
    <w:rsid w:val="0005160A"/>
    <w:rsid w:val="00051695"/>
    <w:rsid w:val="000522FB"/>
    <w:rsid w:val="00054169"/>
    <w:rsid w:val="000550A7"/>
    <w:rsid w:val="0005577F"/>
    <w:rsid w:val="00055D40"/>
    <w:rsid w:val="00056124"/>
    <w:rsid w:val="00056B99"/>
    <w:rsid w:val="00060148"/>
    <w:rsid w:val="000610B9"/>
    <w:rsid w:val="000626AF"/>
    <w:rsid w:val="00062A85"/>
    <w:rsid w:val="00063216"/>
    <w:rsid w:val="0006374F"/>
    <w:rsid w:val="00064546"/>
    <w:rsid w:val="0006460D"/>
    <w:rsid w:val="00064614"/>
    <w:rsid w:val="00064A50"/>
    <w:rsid w:val="00066056"/>
    <w:rsid w:val="00066BBB"/>
    <w:rsid w:val="000674BE"/>
    <w:rsid w:val="00067BAA"/>
    <w:rsid w:val="00067BE2"/>
    <w:rsid w:val="00067C0C"/>
    <w:rsid w:val="00070A8F"/>
    <w:rsid w:val="00070F88"/>
    <w:rsid w:val="000711EB"/>
    <w:rsid w:val="00071467"/>
    <w:rsid w:val="00071793"/>
    <w:rsid w:val="000724FC"/>
    <w:rsid w:val="000732D2"/>
    <w:rsid w:val="00073427"/>
    <w:rsid w:val="000736BF"/>
    <w:rsid w:val="00073881"/>
    <w:rsid w:val="00074D8B"/>
    <w:rsid w:val="00074E81"/>
    <w:rsid w:val="00076544"/>
    <w:rsid w:val="00076FD0"/>
    <w:rsid w:val="0007761C"/>
    <w:rsid w:val="00077C4E"/>
    <w:rsid w:val="00080478"/>
    <w:rsid w:val="00080B7D"/>
    <w:rsid w:val="0008131E"/>
    <w:rsid w:val="00081934"/>
    <w:rsid w:val="000831EC"/>
    <w:rsid w:val="0008332C"/>
    <w:rsid w:val="00083A9E"/>
    <w:rsid w:val="00084C0E"/>
    <w:rsid w:val="00085FC9"/>
    <w:rsid w:val="00087DF7"/>
    <w:rsid w:val="00087E97"/>
    <w:rsid w:val="000904C4"/>
    <w:rsid w:val="000909E5"/>
    <w:rsid w:val="0009183B"/>
    <w:rsid w:val="00091A66"/>
    <w:rsid w:val="000923AB"/>
    <w:rsid w:val="000942B7"/>
    <w:rsid w:val="00096660"/>
    <w:rsid w:val="0009667E"/>
    <w:rsid w:val="00096705"/>
    <w:rsid w:val="00097205"/>
    <w:rsid w:val="00097DA8"/>
    <w:rsid w:val="000A04D7"/>
    <w:rsid w:val="000A0C14"/>
    <w:rsid w:val="000A1827"/>
    <w:rsid w:val="000A2D41"/>
    <w:rsid w:val="000A39B1"/>
    <w:rsid w:val="000A3A63"/>
    <w:rsid w:val="000A4B3F"/>
    <w:rsid w:val="000A71F3"/>
    <w:rsid w:val="000B1475"/>
    <w:rsid w:val="000B499E"/>
    <w:rsid w:val="000B5E06"/>
    <w:rsid w:val="000B6F08"/>
    <w:rsid w:val="000C0741"/>
    <w:rsid w:val="000C2918"/>
    <w:rsid w:val="000C3019"/>
    <w:rsid w:val="000C5D7B"/>
    <w:rsid w:val="000C6686"/>
    <w:rsid w:val="000C701E"/>
    <w:rsid w:val="000C701F"/>
    <w:rsid w:val="000C7CA3"/>
    <w:rsid w:val="000D04B6"/>
    <w:rsid w:val="000D0711"/>
    <w:rsid w:val="000D1C8B"/>
    <w:rsid w:val="000D1E44"/>
    <w:rsid w:val="000D312B"/>
    <w:rsid w:val="000D3199"/>
    <w:rsid w:val="000D40AE"/>
    <w:rsid w:val="000D4F61"/>
    <w:rsid w:val="000D5F26"/>
    <w:rsid w:val="000E0021"/>
    <w:rsid w:val="000E21F1"/>
    <w:rsid w:val="000E27EF"/>
    <w:rsid w:val="000E2CBD"/>
    <w:rsid w:val="000E40D3"/>
    <w:rsid w:val="000E41DA"/>
    <w:rsid w:val="000E4EE3"/>
    <w:rsid w:val="000E7A77"/>
    <w:rsid w:val="000F0038"/>
    <w:rsid w:val="000F0D66"/>
    <w:rsid w:val="000F1F12"/>
    <w:rsid w:val="000F2858"/>
    <w:rsid w:val="000F2AE0"/>
    <w:rsid w:val="000F2B9F"/>
    <w:rsid w:val="000F30B8"/>
    <w:rsid w:val="000F3421"/>
    <w:rsid w:val="000F373A"/>
    <w:rsid w:val="000F3B1B"/>
    <w:rsid w:val="000F4811"/>
    <w:rsid w:val="000F4B1D"/>
    <w:rsid w:val="000F5ED9"/>
    <w:rsid w:val="000F68FE"/>
    <w:rsid w:val="000F6D32"/>
    <w:rsid w:val="00101654"/>
    <w:rsid w:val="00101977"/>
    <w:rsid w:val="00102525"/>
    <w:rsid w:val="00102702"/>
    <w:rsid w:val="0010304A"/>
    <w:rsid w:val="00103EE0"/>
    <w:rsid w:val="001043EB"/>
    <w:rsid w:val="0010447E"/>
    <w:rsid w:val="0010496C"/>
    <w:rsid w:val="0011064C"/>
    <w:rsid w:val="00110868"/>
    <w:rsid w:val="00110A97"/>
    <w:rsid w:val="001112D7"/>
    <w:rsid w:val="001118E9"/>
    <w:rsid w:val="00112057"/>
    <w:rsid w:val="0011224F"/>
    <w:rsid w:val="00113C88"/>
    <w:rsid w:val="00115934"/>
    <w:rsid w:val="00116B5C"/>
    <w:rsid w:val="0011780B"/>
    <w:rsid w:val="001203CB"/>
    <w:rsid w:val="001207ED"/>
    <w:rsid w:val="0012101D"/>
    <w:rsid w:val="00122914"/>
    <w:rsid w:val="00123188"/>
    <w:rsid w:val="001237C8"/>
    <w:rsid w:val="00124505"/>
    <w:rsid w:val="001250F4"/>
    <w:rsid w:val="001255A4"/>
    <w:rsid w:val="0013122F"/>
    <w:rsid w:val="0013141C"/>
    <w:rsid w:val="00132260"/>
    <w:rsid w:val="001326A9"/>
    <w:rsid w:val="00133A51"/>
    <w:rsid w:val="00134F1E"/>
    <w:rsid w:val="00135047"/>
    <w:rsid w:val="001356A6"/>
    <w:rsid w:val="001357D0"/>
    <w:rsid w:val="00135B06"/>
    <w:rsid w:val="00135F34"/>
    <w:rsid w:val="00136260"/>
    <w:rsid w:val="001421CC"/>
    <w:rsid w:val="00143691"/>
    <w:rsid w:val="00143E8D"/>
    <w:rsid w:val="001445D4"/>
    <w:rsid w:val="00144800"/>
    <w:rsid w:val="00144E68"/>
    <w:rsid w:val="00147733"/>
    <w:rsid w:val="00150045"/>
    <w:rsid w:val="001512F4"/>
    <w:rsid w:val="00151EB4"/>
    <w:rsid w:val="00152DBF"/>
    <w:rsid w:val="00153A1E"/>
    <w:rsid w:val="00153D60"/>
    <w:rsid w:val="0015442F"/>
    <w:rsid w:val="00154765"/>
    <w:rsid w:val="0015483C"/>
    <w:rsid w:val="00155F6D"/>
    <w:rsid w:val="00156EC3"/>
    <w:rsid w:val="00156F4F"/>
    <w:rsid w:val="001572F0"/>
    <w:rsid w:val="001605E8"/>
    <w:rsid w:val="00160BE2"/>
    <w:rsid w:val="001631C4"/>
    <w:rsid w:val="00163881"/>
    <w:rsid w:val="00163E28"/>
    <w:rsid w:val="00164E9A"/>
    <w:rsid w:val="00164F36"/>
    <w:rsid w:val="001653AA"/>
    <w:rsid w:val="0016564C"/>
    <w:rsid w:val="00165743"/>
    <w:rsid w:val="00166E49"/>
    <w:rsid w:val="00166F6C"/>
    <w:rsid w:val="0017014E"/>
    <w:rsid w:val="001720BD"/>
    <w:rsid w:val="001727FE"/>
    <w:rsid w:val="00173EC0"/>
    <w:rsid w:val="001747F6"/>
    <w:rsid w:val="00174DD8"/>
    <w:rsid w:val="00175C1F"/>
    <w:rsid w:val="00176488"/>
    <w:rsid w:val="00176575"/>
    <w:rsid w:val="00176C3D"/>
    <w:rsid w:val="00176F07"/>
    <w:rsid w:val="00177356"/>
    <w:rsid w:val="0018359E"/>
    <w:rsid w:val="00183A5E"/>
    <w:rsid w:val="00183E6F"/>
    <w:rsid w:val="001845D5"/>
    <w:rsid w:val="00185426"/>
    <w:rsid w:val="001855A5"/>
    <w:rsid w:val="0018619A"/>
    <w:rsid w:val="001862F3"/>
    <w:rsid w:val="001864E3"/>
    <w:rsid w:val="001870A7"/>
    <w:rsid w:val="001873B4"/>
    <w:rsid w:val="001874A5"/>
    <w:rsid w:val="001876D9"/>
    <w:rsid w:val="00192E9A"/>
    <w:rsid w:val="00193BDE"/>
    <w:rsid w:val="00195C7F"/>
    <w:rsid w:val="00196898"/>
    <w:rsid w:val="00197277"/>
    <w:rsid w:val="00197350"/>
    <w:rsid w:val="0019773E"/>
    <w:rsid w:val="001A2918"/>
    <w:rsid w:val="001A2BAA"/>
    <w:rsid w:val="001A3C9D"/>
    <w:rsid w:val="001B292A"/>
    <w:rsid w:val="001B3486"/>
    <w:rsid w:val="001B4FAE"/>
    <w:rsid w:val="001B74E9"/>
    <w:rsid w:val="001B7C24"/>
    <w:rsid w:val="001C0863"/>
    <w:rsid w:val="001C0BEE"/>
    <w:rsid w:val="001C0FAA"/>
    <w:rsid w:val="001C1F19"/>
    <w:rsid w:val="001C24F1"/>
    <w:rsid w:val="001C3803"/>
    <w:rsid w:val="001C3BD9"/>
    <w:rsid w:val="001C466F"/>
    <w:rsid w:val="001C510F"/>
    <w:rsid w:val="001C5BDD"/>
    <w:rsid w:val="001C5C33"/>
    <w:rsid w:val="001C5CA4"/>
    <w:rsid w:val="001C5EC3"/>
    <w:rsid w:val="001C61CC"/>
    <w:rsid w:val="001C7E29"/>
    <w:rsid w:val="001D0795"/>
    <w:rsid w:val="001D079B"/>
    <w:rsid w:val="001D0AA1"/>
    <w:rsid w:val="001D1270"/>
    <w:rsid w:val="001D33B2"/>
    <w:rsid w:val="001D4211"/>
    <w:rsid w:val="001D45B7"/>
    <w:rsid w:val="001D538C"/>
    <w:rsid w:val="001D5999"/>
    <w:rsid w:val="001D59FD"/>
    <w:rsid w:val="001D5A59"/>
    <w:rsid w:val="001D5B72"/>
    <w:rsid w:val="001D5FE6"/>
    <w:rsid w:val="001D60A8"/>
    <w:rsid w:val="001D7401"/>
    <w:rsid w:val="001E0C10"/>
    <w:rsid w:val="001E1B36"/>
    <w:rsid w:val="001E2D3D"/>
    <w:rsid w:val="001E34FF"/>
    <w:rsid w:val="001E4231"/>
    <w:rsid w:val="001E621D"/>
    <w:rsid w:val="001E73D9"/>
    <w:rsid w:val="001E7577"/>
    <w:rsid w:val="001F0641"/>
    <w:rsid w:val="001F0E5D"/>
    <w:rsid w:val="001F10D8"/>
    <w:rsid w:val="001F1610"/>
    <w:rsid w:val="001F1D76"/>
    <w:rsid w:val="001F33A6"/>
    <w:rsid w:val="001F41D3"/>
    <w:rsid w:val="001F4A79"/>
    <w:rsid w:val="001F5EF2"/>
    <w:rsid w:val="001F7518"/>
    <w:rsid w:val="001F7CF7"/>
    <w:rsid w:val="001F7E0C"/>
    <w:rsid w:val="002012AD"/>
    <w:rsid w:val="0020331F"/>
    <w:rsid w:val="002038F8"/>
    <w:rsid w:val="00204494"/>
    <w:rsid w:val="00204846"/>
    <w:rsid w:val="00205438"/>
    <w:rsid w:val="002060E0"/>
    <w:rsid w:val="00206642"/>
    <w:rsid w:val="00206BC7"/>
    <w:rsid w:val="00207382"/>
    <w:rsid w:val="002078C6"/>
    <w:rsid w:val="0021091C"/>
    <w:rsid w:val="002120E4"/>
    <w:rsid w:val="00212FF7"/>
    <w:rsid w:val="002130DC"/>
    <w:rsid w:val="0021357A"/>
    <w:rsid w:val="00213916"/>
    <w:rsid w:val="00214230"/>
    <w:rsid w:val="0021484C"/>
    <w:rsid w:val="00217A5C"/>
    <w:rsid w:val="00217AEE"/>
    <w:rsid w:val="0022056B"/>
    <w:rsid w:val="00220E8C"/>
    <w:rsid w:val="0022177A"/>
    <w:rsid w:val="00221C95"/>
    <w:rsid w:val="00222FFD"/>
    <w:rsid w:val="002230EB"/>
    <w:rsid w:val="00223171"/>
    <w:rsid w:val="002239DC"/>
    <w:rsid w:val="0022461A"/>
    <w:rsid w:val="00226761"/>
    <w:rsid w:val="0022764E"/>
    <w:rsid w:val="00227879"/>
    <w:rsid w:val="00230774"/>
    <w:rsid w:val="00231B8F"/>
    <w:rsid w:val="00232F42"/>
    <w:rsid w:val="00232F5E"/>
    <w:rsid w:val="002342A8"/>
    <w:rsid w:val="00236293"/>
    <w:rsid w:val="002365B9"/>
    <w:rsid w:val="00237034"/>
    <w:rsid w:val="0023718A"/>
    <w:rsid w:val="00240C97"/>
    <w:rsid w:val="002414E4"/>
    <w:rsid w:val="00241DE1"/>
    <w:rsid w:val="00242F6F"/>
    <w:rsid w:val="0024483A"/>
    <w:rsid w:val="00245050"/>
    <w:rsid w:val="0024525F"/>
    <w:rsid w:val="00245510"/>
    <w:rsid w:val="0024663A"/>
    <w:rsid w:val="002467BB"/>
    <w:rsid w:val="00247330"/>
    <w:rsid w:val="00250BC4"/>
    <w:rsid w:val="002513AF"/>
    <w:rsid w:val="002513B0"/>
    <w:rsid w:val="002522F1"/>
    <w:rsid w:val="00252B87"/>
    <w:rsid w:val="00253270"/>
    <w:rsid w:val="00253379"/>
    <w:rsid w:val="0025361E"/>
    <w:rsid w:val="00253FBA"/>
    <w:rsid w:val="002542BF"/>
    <w:rsid w:val="0025460D"/>
    <w:rsid w:val="00254DA1"/>
    <w:rsid w:val="00257259"/>
    <w:rsid w:val="002602F5"/>
    <w:rsid w:val="002611AE"/>
    <w:rsid w:val="0026180A"/>
    <w:rsid w:val="00263207"/>
    <w:rsid w:val="00264058"/>
    <w:rsid w:val="0026540B"/>
    <w:rsid w:val="002658BF"/>
    <w:rsid w:val="0026798B"/>
    <w:rsid w:val="00270724"/>
    <w:rsid w:val="00271371"/>
    <w:rsid w:val="00272DB5"/>
    <w:rsid w:val="00273052"/>
    <w:rsid w:val="0027402D"/>
    <w:rsid w:val="0027503D"/>
    <w:rsid w:val="00275138"/>
    <w:rsid w:val="002751D4"/>
    <w:rsid w:val="002762C1"/>
    <w:rsid w:val="00276809"/>
    <w:rsid w:val="0027702B"/>
    <w:rsid w:val="00280AA8"/>
    <w:rsid w:val="00281A1E"/>
    <w:rsid w:val="00281B1D"/>
    <w:rsid w:val="00282713"/>
    <w:rsid w:val="00282A31"/>
    <w:rsid w:val="00282E68"/>
    <w:rsid w:val="00283A0B"/>
    <w:rsid w:val="00283CDA"/>
    <w:rsid w:val="00283FFD"/>
    <w:rsid w:val="0028404C"/>
    <w:rsid w:val="0028435F"/>
    <w:rsid w:val="002849F6"/>
    <w:rsid w:val="00284D88"/>
    <w:rsid w:val="002866DE"/>
    <w:rsid w:val="00287162"/>
    <w:rsid w:val="00287904"/>
    <w:rsid w:val="00287B1F"/>
    <w:rsid w:val="00287D15"/>
    <w:rsid w:val="00290280"/>
    <w:rsid w:val="00290D47"/>
    <w:rsid w:val="00291050"/>
    <w:rsid w:val="00292177"/>
    <w:rsid w:val="0029295E"/>
    <w:rsid w:val="0029326F"/>
    <w:rsid w:val="00293B54"/>
    <w:rsid w:val="00293CD7"/>
    <w:rsid w:val="002945C3"/>
    <w:rsid w:val="00294A71"/>
    <w:rsid w:val="00294DE2"/>
    <w:rsid w:val="00295B2D"/>
    <w:rsid w:val="002972A0"/>
    <w:rsid w:val="0029772D"/>
    <w:rsid w:val="002A0113"/>
    <w:rsid w:val="002A1312"/>
    <w:rsid w:val="002A1E76"/>
    <w:rsid w:val="002A29C4"/>
    <w:rsid w:val="002A3B0E"/>
    <w:rsid w:val="002A514F"/>
    <w:rsid w:val="002B069A"/>
    <w:rsid w:val="002B0B30"/>
    <w:rsid w:val="002B0B9A"/>
    <w:rsid w:val="002B1EA4"/>
    <w:rsid w:val="002B24CA"/>
    <w:rsid w:val="002B2910"/>
    <w:rsid w:val="002B3674"/>
    <w:rsid w:val="002B4D45"/>
    <w:rsid w:val="002B525B"/>
    <w:rsid w:val="002B6B78"/>
    <w:rsid w:val="002B6D25"/>
    <w:rsid w:val="002B78E0"/>
    <w:rsid w:val="002C00B3"/>
    <w:rsid w:val="002C042D"/>
    <w:rsid w:val="002C05D0"/>
    <w:rsid w:val="002C14AE"/>
    <w:rsid w:val="002C1C67"/>
    <w:rsid w:val="002C35A2"/>
    <w:rsid w:val="002C3A0F"/>
    <w:rsid w:val="002C3F0B"/>
    <w:rsid w:val="002C4421"/>
    <w:rsid w:val="002C55AC"/>
    <w:rsid w:val="002C5E1A"/>
    <w:rsid w:val="002C67FB"/>
    <w:rsid w:val="002C728F"/>
    <w:rsid w:val="002C73BD"/>
    <w:rsid w:val="002C7AB8"/>
    <w:rsid w:val="002C7D4D"/>
    <w:rsid w:val="002C7DD0"/>
    <w:rsid w:val="002C7E2F"/>
    <w:rsid w:val="002D0788"/>
    <w:rsid w:val="002D138D"/>
    <w:rsid w:val="002D3BFB"/>
    <w:rsid w:val="002D416B"/>
    <w:rsid w:val="002D4422"/>
    <w:rsid w:val="002D5E55"/>
    <w:rsid w:val="002D6402"/>
    <w:rsid w:val="002D6776"/>
    <w:rsid w:val="002E1283"/>
    <w:rsid w:val="002E3671"/>
    <w:rsid w:val="002E3995"/>
    <w:rsid w:val="002E39C9"/>
    <w:rsid w:val="002E554C"/>
    <w:rsid w:val="002E5A05"/>
    <w:rsid w:val="002E7440"/>
    <w:rsid w:val="002F0692"/>
    <w:rsid w:val="002F08C0"/>
    <w:rsid w:val="002F0C86"/>
    <w:rsid w:val="002F226A"/>
    <w:rsid w:val="002F34ED"/>
    <w:rsid w:val="002F45A8"/>
    <w:rsid w:val="002F602F"/>
    <w:rsid w:val="002F62B1"/>
    <w:rsid w:val="00300907"/>
    <w:rsid w:val="00300DCA"/>
    <w:rsid w:val="00300EE3"/>
    <w:rsid w:val="00301FDE"/>
    <w:rsid w:val="00302136"/>
    <w:rsid w:val="003039AE"/>
    <w:rsid w:val="003057F9"/>
    <w:rsid w:val="00307BA5"/>
    <w:rsid w:val="00310CEB"/>
    <w:rsid w:val="00311421"/>
    <w:rsid w:val="00311698"/>
    <w:rsid w:val="00312E63"/>
    <w:rsid w:val="00313246"/>
    <w:rsid w:val="00314FAD"/>
    <w:rsid w:val="003150D9"/>
    <w:rsid w:val="003160B9"/>
    <w:rsid w:val="003168BA"/>
    <w:rsid w:val="0031753C"/>
    <w:rsid w:val="0031772D"/>
    <w:rsid w:val="00317EC5"/>
    <w:rsid w:val="00321C09"/>
    <w:rsid w:val="00321ECE"/>
    <w:rsid w:val="003226B8"/>
    <w:rsid w:val="00322802"/>
    <w:rsid w:val="00323054"/>
    <w:rsid w:val="003231ED"/>
    <w:rsid w:val="003261ED"/>
    <w:rsid w:val="003275BB"/>
    <w:rsid w:val="003275DB"/>
    <w:rsid w:val="00327A74"/>
    <w:rsid w:val="003315BE"/>
    <w:rsid w:val="00332961"/>
    <w:rsid w:val="00332CB3"/>
    <w:rsid w:val="003353E0"/>
    <w:rsid w:val="00335F33"/>
    <w:rsid w:val="0033760A"/>
    <w:rsid w:val="0033770B"/>
    <w:rsid w:val="00341A32"/>
    <w:rsid w:val="00341BB5"/>
    <w:rsid w:val="00342914"/>
    <w:rsid w:val="00343614"/>
    <w:rsid w:val="00343E1A"/>
    <w:rsid w:val="0034617A"/>
    <w:rsid w:val="00346467"/>
    <w:rsid w:val="003473DA"/>
    <w:rsid w:val="0034742F"/>
    <w:rsid w:val="00350A5D"/>
    <w:rsid w:val="0035153B"/>
    <w:rsid w:val="003524A6"/>
    <w:rsid w:val="0035261C"/>
    <w:rsid w:val="00352693"/>
    <w:rsid w:val="00353618"/>
    <w:rsid w:val="00353EA2"/>
    <w:rsid w:val="003541DD"/>
    <w:rsid w:val="00354557"/>
    <w:rsid w:val="003548F7"/>
    <w:rsid w:val="00354E9A"/>
    <w:rsid w:val="003556D6"/>
    <w:rsid w:val="00355793"/>
    <w:rsid w:val="0035661D"/>
    <w:rsid w:val="00357A52"/>
    <w:rsid w:val="003602F4"/>
    <w:rsid w:val="003605C7"/>
    <w:rsid w:val="003611C6"/>
    <w:rsid w:val="0036135D"/>
    <w:rsid w:val="00365D0E"/>
    <w:rsid w:val="003701D4"/>
    <w:rsid w:val="003704B1"/>
    <w:rsid w:val="00370CCC"/>
    <w:rsid w:val="003728FE"/>
    <w:rsid w:val="00373BD2"/>
    <w:rsid w:val="00374D7A"/>
    <w:rsid w:val="00375B98"/>
    <w:rsid w:val="00375E91"/>
    <w:rsid w:val="003768DD"/>
    <w:rsid w:val="0037696F"/>
    <w:rsid w:val="00377DDF"/>
    <w:rsid w:val="00380087"/>
    <w:rsid w:val="00380214"/>
    <w:rsid w:val="00380643"/>
    <w:rsid w:val="00380866"/>
    <w:rsid w:val="003824BF"/>
    <w:rsid w:val="003827F0"/>
    <w:rsid w:val="00383593"/>
    <w:rsid w:val="0038414D"/>
    <w:rsid w:val="00384264"/>
    <w:rsid w:val="00384D65"/>
    <w:rsid w:val="00387034"/>
    <w:rsid w:val="00387E5D"/>
    <w:rsid w:val="0039035E"/>
    <w:rsid w:val="00391B59"/>
    <w:rsid w:val="00393EA9"/>
    <w:rsid w:val="0039468D"/>
    <w:rsid w:val="00394A81"/>
    <w:rsid w:val="003953BD"/>
    <w:rsid w:val="00395B14"/>
    <w:rsid w:val="00395D13"/>
    <w:rsid w:val="00397F34"/>
    <w:rsid w:val="003A1DA3"/>
    <w:rsid w:val="003A25DA"/>
    <w:rsid w:val="003A29C6"/>
    <w:rsid w:val="003A2A02"/>
    <w:rsid w:val="003A32F4"/>
    <w:rsid w:val="003A3500"/>
    <w:rsid w:val="003A4147"/>
    <w:rsid w:val="003A6A9B"/>
    <w:rsid w:val="003A71F8"/>
    <w:rsid w:val="003B029B"/>
    <w:rsid w:val="003B12B2"/>
    <w:rsid w:val="003B3261"/>
    <w:rsid w:val="003B3AF9"/>
    <w:rsid w:val="003B448F"/>
    <w:rsid w:val="003B46BE"/>
    <w:rsid w:val="003B715E"/>
    <w:rsid w:val="003B7BEE"/>
    <w:rsid w:val="003B7FC2"/>
    <w:rsid w:val="003C0EC9"/>
    <w:rsid w:val="003C138F"/>
    <w:rsid w:val="003C1535"/>
    <w:rsid w:val="003C1C4C"/>
    <w:rsid w:val="003C1D59"/>
    <w:rsid w:val="003C3D80"/>
    <w:rsid w:val="003C4C60"/>
    <w:rsid w:val="003C5699"/>
    <w:rsid w:val="003C569C"/>
    <w:rsid w:val="003C6050"/>
    <w:rsid w:val="003C6521"/>
    <w:rsid w:val="003C675A"/>
    <w:rsid w:val="003C6A4D"/>
    <w:rsid w:val="003C7598"/>
    <w:rsid w:val="003D04DD"/>
    <w:rsid w:val="003D0EEC"/>
    <w:rsid w:val="003D1452"/>
    <w:rsid w:val="003D2CF4"/>
    <w:rsid w:val="003D52BC"/>
    <w:rsid w:val="003D5B98"/>
    <w:rsid w:val="003D6302"/>
    <w:rsid w:val="003E0C15"/>
    <w:rsid w:val="003E1AEF"/>
    <w:rsid w:val="003E1CF4"/>
    <w:rsid w:val="003E4415"/>
    <w:rsid w:val="003E6C2B"/>
    <w:rsid w:val="003E74B1"/>
    <w:rsid w:val="003E794B"/>
    <w:rsid w:val="003F0485"/>
    <w:rsid w:val="003F0600"/>
    <w:rsid w:val="003F128A"/>
    <w:rsid w:val="003F233D"/>
    <w:rsid w:val="003F2370"/>
    <w:rsid w:val="003F4A58"/>
    <w:rsid w:val="003F59BB"/>
    <w:rsid w:val="003F5DF3"/>
    <w:rsid w:val="003F7186"/>
    <w:rsid w:val="0040029B"/>
    <w:rsid w:val="00400638"/>
    <w:rsid w:val="00401582"/>
    <w:rsid w:val="004023C2"/>
    <w:rsid w:val="00402714"/>
    <w:rsid w:val="00403556"/>
    <w:rsid w:val="00405895"/>
    <w:rsid w:val="00406551"/>
    <w:rsid w:val="00406EFB"/>
    <w:rsid w:val="00410B39"/>
    <w:rsid w:val="00412009"/>
    <w:rsid w:val="0041484F"/>
    <w:rsid w:val="00415AFC"/>
    <w:rsid w:val="0041629D"/>
    <w:rsid w:val="0042268B"/>
    <w:rsid w:val="00423D50"/>
    <w:rsid w:val="00423E3B"/>
    <w:rsid w:val="00424F66"/>
    <w:rsid w:val="004250ED"/>
    <w:rsid w:val="00425ED1"/>
    <w:rsid w:val="0042681B"/>
    <w:rsid w:val="00427896"/>
    <w:rsid w:val="0042799D"/>
    <w:rsid w:val="004321C9"/>
    <w:rsid w:val="0043276D"/>
    <w:rsid w:val="00432C8E"/>
    <w:rsid w:val="00433067"/>
    <w:rsid w:val="004330EA"/>
    <w:rsid w:val="00433374"/>
    <w:rsid w:val="00433630"/>
    <w:rsid w:val="00433DF0"/>
    <w:rsid w:val="004341E6"/>
    <w:rsid w:val="00434CE0"/>
    <w:rsid w:val="00434DC6"/>
    <w:rsid w:val="004413FF"/>
    <w:rsid w:val="00442ABF"/>
    <w:rsid w:val="00443312"/>
    <w:rsid w:val="004451FE"/>
    <w:rsid w:val="0044584C"/>
    <w:rsid w:val="00445855"/>
    <w:rsid w:val="0044641A"/>
    <w:rsid w:val="00446B29"/>
    <w:rsid w:val="0044724B"/>
    <w:rsid w:val="00447E4D"/>
    <w:rsid w:val="00453087"/>
    <w:rsid w:val="004533C6"/>
    <w:rsid w:val="00453558"/>
    <w:rsid w:val="00455A38"/>
    <w:rsid w:val="00455C72"/>
    <w:rsid w:val="00456429"/>
    <w:rsid w:val="004575CA"/>
    <w:rsid w:val="00457A4A"/>
    <w:rsid w:val="00457DA6"/>
    <w:rsid w:val="0046022C"/>
    <w:rsid w:val="00460944"/>
    <w:rsid w:val="00460D09"/>
    <w:rsid w:val="00461452"/>
    <w:rsid w:val="0046352D"/>
    <w:rsid w:val="00464463"/>
    <w:rsid w:val="0046462E"/>
    <w:rsid w:val="00465939"/>
    <w:rsid w:val="00466AF7"/>
    <w:rsid w:val="00467360"/>
    <w:rsid w:val="0047029F"/>
    <w:rsid w:val="00470DAB"/>
    <w:rsid w:val="00470E2D"/>
    <w:rsid w:val="00472345"/>
    <w:rsid w:val="0047238B"/>
    <w:rsid w:val="004729CE"/>
    <w:rsid w:val="00472E27"/>
    <w:rsid w:val="00474131"/>
    <w:rsid w:val="00474E01"/>
    <w:rsid w:val="00475D5A"/>
    <w:rsid w:val="004811BA"/>
    <w:rsid w:val="004813F4"/>
    <w:rsid w:val="004817EF"/>
    <w:rsid w:val="0048183A"/>
    <w:rsid w:val="00481FA9"/>
    <w:rsid w:val="00482082"/>
    <w:rsid w:val="0048366A"/>
    <w:rsid w:val="004851CF"/>
    <w:rsid w:val="004867B8"/>
    <w:rsid w:val="00487842"/>
    <w:rsid w:val="00487EC7"/>
    <w:rsid w:val="00490C67"/>
    <w:rsid w:val="00491483"/>
    <w:rsid w:val="004919C2"/>
    <w:rsid w:val="004924CA"/>
    <w:rsid w:val="00492FD4"/>
    <w:rsid w:val="00494456"/>
    <w:rsid w:val="00494C89"/>
    <w:rsid w:val="00495166"/>
    <w:rsid w:val="004A0FFC"/>
    <w:rsid w:val="004A1163"/>
    <w:rsid w:val="004A1C94"/>
    <w:rsid w:val="004A2493"/>
    <w:rsid w:val="004A35D3"/>
    <w:rsid w:val="004A58E3"/>
    <w:rsid w:val="004A5E5B"/>
    <w:rsid w:val="004A5F09"/>
    <w:rsid w:val="004B0D1C"/>
    <w:rsid w:val="004B1084"/>
    <w:rsid w:val="004B110A"/>
    <w:rsid w:val="004B1527"/>
    <w:rsid w:val="004B1A68"/>
    <w:rsid w:val="004B1C47"/>
    <w:rsid w:val="004B2059"/>
    <w:rsid w:val="004B291D"/>
    <w:rsid w:val="004B357F"/>
    <w:rsid w:val="004B3EF2"/>
    <w:rsid w:val="004B4AEB"/>
    <w:rsid w:val="004B576C"/>
    <w:rsid w:val="004B5834"/>
    <w:rsid w:val="004B65D4"/>
    <w:rsid w:val="004B70AE"/>
    <w:rsid w:val="004C0953"/>
    <w:rsid w:val="004C1D7E"/>
    <w:rsid w:val="004C2028"/>
    <w:rsid w:val="004C2C36"/>
    <w:rsid w:val="004C5367"/>
    <w:rsid w:val="004C5784"/>
    <w:rsid w:val="004C585C"/>
    <w:rsid w:val="004C7482"/>
    <w:rsid w:val="004C779C"/>
    <w:rsid w:val="004D100F"/>
    <w:rsid w:val="004D179A"/>
    <w:rsid w:val="004D1D96"/>
    <w:rsid w:val="004D270F"/>
    <w:rsid w:val="004D39CF"/>
    <w:rsid w:val="004D3A1B"/>
    <w:rsid w:val="004D3CB5"/>
    <w:rsid w:val="004D42B0"/>
    <w:rsid w:val="004D455D"/>
    <w:rsid w:val="004D4F6D"/>
    <w:rsid w:val="004D51C1"/>
    <w:rsid w:val="004D60F7"/>
    <w:rsid w:val="004D7635"/>
    <w:rsid w:val="004D783B"/>
    <w:rsid w:val="004E0097"/>
    <w:rsid w:val="004E02B2"/>
    <w:rsid w:val="004E1577"/>
    <w:rsid w:val="004E1993"/>
    <w:rsid w:val="004E2BA2"/>
    <w:rsid w:val="004E31D5"/>
    <w:rsid w:val="004E4500"/>
    <w:rsid w:val="004E5DF9"/>
    <w:rsid w:val="004E6612"/>
    <w:rsid w:val="004F0A3C"/>
    <w:rsid w:val="004F1347"/>
    <w:rsid w:val="004F13F1"/>
    <w:rsid w:val="004F18AA"/>
    <w:rsid w:val="004F1BAA"/>
    <w:rsid w:val="004F42D5"/>
    <w:rsid w:val="004F4C3C"/>
    <w:rsid w:val="004F4DDC"/>
    <w:rsid w:val="004F533E"/>
    <w:rsid w:val="004F567A"/>
    <w:rsid w:val="004F5741"/>
    <w:rsid w:val="004F72B9"/>
    <w:rsid w:val="00500176"/>
    <w:rsid w:val="0050045B"/>
    <w:rsid w:val="005008C0"/>
    <w:rsid w:val="00500CD4"/>
    <w:rsid w:val="00501172"/>
    <w:rsid w:val="00503A99"/>
    <w:rsid w:val="005049B1"/>
    <w:rsid w:val="00504A60"/>
    <w:rsid w:val="0050657B"/>
    <w:rsid w:val="00506BAA"/>
    <w:rsid w:val="00506BD2"/>
    <w:rsid w:val="00506F8B"/>
    <w:rsid w:val="00507C6F"/>
    <w:rsid w:val="005108C4"/>
    <w:rsid w:val="00510CDE"/>
    <w:rsid w:val="00511012"/>
    <w:rsid w:val="005124DA"/>
    <w:rsid w:val="00512D9E"/>
    <w:rsid w:val="005132F6"/>
    <w:rsid w:val="0051375A"/>
    <w:rsid w:val="00513899"/>
    <w:rsid w:val="00513B1F"/>
    <w:rsid w:val="0051450F"/>
    <w:rsid w:val="0051486A"/>
    <w:rsid w:val="005149CD"/>
    <w:rsid w:val="005156CC"/>
    <w:rsid w:val="00516455"/>
    <w:rsid w:val="00517847"/>
    <w:rsid w:val="00517E22"/>
    <w:rsid w:val="00520019"/>
    <w:rsid w:val="0052225C"/>
    <w:rsid w:val="005224EB"/>
    <w:rsid w:val="00522ACA"/>
    <w:rsid w:val="0052546E"/>
    <w:rsid w:val="0052584F"/>
    <w:rsid w:val="00525D78"/>
    <w:rsid w:val="005272DC"/>
    <w:rsid w:val="00527B6F"/>
    <w:rsid w:val="00530ABF"/>
    <w:rsid w:val="005312FD"/>
    <w:rsid w:val="0053256B"/>
    <w:rsid w:val="00532EA4"/>
    <w:rsid w:val="0053578C"/>
    <w:rsid w:val="00535CCE"/>
    <w:rsid w:val="00535CDD"/>
    <w:rsid w:val="00535F0A"/>
    <w:rsid w:val="00540B2E"/>
    <w:rsid w:val="00541AFC"/>
    <w:rsid w:val="00543714"/>
    <w:rsid w:val="00544419"/>
    <w:rsid w:val="00544934"/>
    <w:rsid w:val="0054568C"/>
    <w:rsid w:val="00545CE9"/>
    <w:rsid w:val="005465FA"/>
    <w:rsid w:val="00547292"/>
    <w:rsid w:val="00551869"/>
    <w:rsid w:val="00551FEE"/>
    <w:rsid w:val="00554380"/>
    <w:rsid w:val="00554431"/>
    <w:rsid w:val="005550CA"/>
    <w:rsid w:val="005551A2"/>
    <w:rsid w:val="00556F7D"/>
    <w:rsid w:val="0055734A"/>
    <w:rsid w:val="0055789A"/>
    <w:rsid w:val="00557A68"/>
    <w:rsid w:val="00557C8E"/>
    <w:rsid w:val="00561175"/>
    <w:rsid w:val="005618FD"/>
    <w:rsid w:val="00561AA9"/>
    <w:rsid w:val="00563888"/>
    <w:rsid w:val="005648EE"/>
    <w:rsid w:val="00565874"/>
    <w:rsid w:val="005664B7"/>
    <w:rsid w:val="00566627"/>
    <w:rsid w:val="00566641"/>
    <w:rsid w:val="005679B6"/>
    <w:rsid w:val="0057023C"/>
    <w:rsid w:val="0057150C"/>
    <w:rsid w:val="00571B78"/>
    <w:rsid w:val="00571C3C"/>
    <w:rsid w:val="00571CDD"/>
    <w:rsid w:val="00572DC7"/>
    <w:rsid w:val="00574F9E"/>
    <w:rsid w:val="005761C6"/>
    <w:rsid w:val="005763C5"/>
    <w:rsid w:val="00576672"/>
    <w:rsid w:val="0057699C"/>
    <w:rsid w:val="00580423"/>
    <w:rsid w:val="005818C7"/>
    <w:rsid w:val="00581D24"/>
    <w:rsid w:val="0058273D"/>
    <w:rsid w:val="00582E30"/>
    <w:rsid w:val="00583622"/>
    <w:rsid w:val="0058459E"/>
    <w:rsid w:val="005849AD"/>
    <w:rsid w:val="005859EC"/>
    <w:rsid w:val="00585E3C"/>
    <w:rsid w:val="00586884"/>
    <w:rsid w:val="00586B17"/>
    <w:rsid w:val="00586D4D"/>
    <w:rsid w:val="0058736E"/>
    <w:rsid w:val="00587923"/>
    <w:rsid w:val="00590975"/>
    <w:rsid w:val="00591B2A"/>
    <w:rsid w:val="0059343A"/>
    <w:rsid w:val="00593562"/>
    <w:rsid w:val="00594345"/>
    <w:rsid w:val="005950FA"/>
    <w:rsid w:val="00595624"/>
    <w:rsid w:val="0059668D"/>
    <w:rsid w:val="00596814"/>
    <w:rsid w:val="00597253"/>
    <w:rsid w:val="005972ED"/>
    <w:rsid w:val="00597B0B"/>
    <w:rsid w:val="005A011E"/>
    <w:rsid w:val="005A0536"/>
    <w:rsid w:val="005A0935"/>
    <w:rsid w:val="005A0DC6"/>
    <w:rsid w:val="005A109F"/>
    <w:rsid w:val="005A1AF1"/>
    <w:rsid w:val="005A24F5"/>
    <w:rsid w:val="005A2E27"/>
    <w:rsid w:val="005A316A"/>
    <w:rsid w:val="005A337F"/>
    <w:rsid w:val="005A3531"/>
    <w:rsid w:val="005A3DDE"/>
    <w:rsid w:val="005A4B2F"/>
    <w:rsid w:val="005A50C3"/>
    <w:rsid w:val="005A788E"/>
    <w:rsid w:val="005A7D0F"/>
    <w:rsid w:val="005B0A26"/>
    <w:rsid w:val="005B257B"/>
    <w:rsid w:val="005B3349"/>
    <w:rsid w:val="005B3865"/>
    <w:rsid w:val="005B3B76"/>
    <w:rsid w:val="005B5263"/>
    <w:rsid w:val="005B7C9B"/>
    <w:rsid w:val="005C0469"/>
    <w:rsid w:val="005C0763"/>
    <w:rsid w:val="005C1BE9"/>
    <w:rsid w:val="005C215E"/>
    <w:rsid w:val="005C37E9"/>
    <w:rsid w:val="005C3F73"/>
    <w:rsid w:val="005C4100"/>
    <w:rsid w:val="005C498A"/>
    <w:rsid w:val="005C4E6F"/>
    <w:rsid w:val="005C57D1"/>
    <w:rsid w:val="005C5BB7"/>
    <w:rsid w:val="005C6CE0"/>
    <w:rsid w:val="005D18D3"/>
    <w:rsid w:val="005D1A2C"/>
    <w:rsid w:val="005D321B"/>
    <w:rsid w:val="005D5240"/>
    <w:rsid w:val="005D5F59"/>
    <w:rsid w:val="005D62D1"/>
    <w:rsid w:val="005D6E13"/>
    <w:rsid w:val="005D7B66"/>
    <w:rsid w:val="005E3CA8"/>
    <w:rsid w:val="005E3DF3"/>
    <w:rsid w:val="005E505C"/>
    <w:rsid w:val="005E5D99"/>
    <w:rsid w:val="005E619A"/>
    <w:rsid w:val="005F0487"/>
    <w:rsid w:val="005F1738"/>
    <w:rsid w:val="005F227E"/>
    <w:rsid w:val="005F2CAC"/>
    <w:rsid w:val="005F3818"/>
    <w:rsid w:val="005F3E3D"/>
    <w:rsid w:val="005F425D"/>
    <w:rsid w:val="005F5CE8"/>
    <w:rsid w:val="005F6140"/>
    <w:rsid w:val="005F6B8C"/>
    <w:rsid w:val="005F719C"/>
    <w:rsid w:val="005F791F"/>
    <w:rsid w:val="005F7B6E"/>
    <w:rsid w:val="005F7D90"/>
    <w:rsid w:val="00600148"/>
    <w:rsid w:val="006017BC"/>
    <w:rsid w:val="00601BB6"/>
    <w:rsid w:val="00601D05"/>
    <w:rsid w:val="00602F0C"/>
    <w:rsid w:val="006034E2"/>
    <w:rsid w:val="00603723"/>
    <w:rsid w:val="0060456E"/>
    <w:rsid w:val="00604F08"/>
    <w:rsid w:val="00604F0C"/>
    <w:rsid w:val="00605383"/>
    <w:rsid w:val="006055E9"/>
    <w:rsid w:val="00605CB0"/>
    <w:rsid w:val="00606A23"/>
    <w:rsid w:val="00606F5E"/>
    <w:rsid w:val="0060761C"/>
    <w:rsid w:val="0061032A"/>
    <w:rsid w:val="00610AD9"/>
    <w:rsid w:val="00610E45"/>
    <w:rsid w:val="006131DB"/>
    <w:rsid w:val="00620600"/>
    <w:rsid w:val="006209FD"/>
    <w:rsid w:val="00621CB7"/>
    <w:rsid w:val="00622282"/>
    <w:rsid w:val="00624AB0"/>
    <w:rsid w:val="0062588E"/>
    <w:rsid w:val="00626168"/>
    <w:rsid w:val="00626B8D"/>
    <w:rsid w:val="00626F9B"/>
    <w:rsid w:val="00627BFA"/>
    <w:rsid w:val="00627F5C"/>
    <w:rsid w:val="0063151D"/>
    <w:rsid w:val="00631B7A"/>
    <w:rsid w:val="006324B7"/>
    <w:rsid w:val="00632839"/>
    <w:rsid w:val="00633322"/>
    <w:rsid w:val="0063459A"/>
    <w:rsid w:val="00636BB8"/>
    <w:rsid w:val="00636C0A"/>
    <w:rsid w:val="006414F2"/>
    <w:rsid w:val="00641FEA"/>
    <w:rsid w:val="006427BB"/>
    <w:rsid w:val="00642A07"/>
    <w:rsid w:val="00642F89"/>
    <w:rsid w:val="00643529"/>
    <w:rsid w:val="006439D7"/>
    <w:rsid w:val="00643CB4"/>
    <w:rsid w:val="00643ED3"/>
    <w:rsid w:val="00643FAA"/>
    <w:rsid w:val="00644BE4"/>
    <w:rsid w:val="00646EB8"/>
    <w:rsid w:val="00652DA7"/>
    <w:rsid w:val="00653710"/>
    <w:rsid w:val="006563E7"/>
    <w:rsid w:val="00661A47"/>
    <w:rsid w:val="006620B9"/>
    <w:rsid w:val="0066337C"/>
    <w:rsid w:val="0066422E"/>
    <w:rsid w:val="0066528B"/>
    <w:rsid w:val="00665E0E"/>
    <w:rsid w:val="00665EDF"/>
    <w:rsid w:val="00666159"/>
    <w:rsid w:val="00666950"/>
    <w:rsid w:val="00667E78"/>
    <w:rsid w:val="00670CE2"/>
    <w:rsid w:val="00670F59"/>
    <w:rsid w:val="0067124E"/>
    <w:rsid w:val="00671278"/>
    <w:rsid w:val="00673D24"/>
    <w:rsid w:val="006744A6"/>
    <w:rsid w:val="0067570F"/>
    <w:rsid w:val="006804E7"/>
    <w:rsid w:val="00680E43"/>
    <w:rsid w:val="00681108"/>
    <w:rsid w:val="006813E2"/>
    <w:rsid w:val="006817CB"/>
    <w:rsid w:val="00681ED6"/>
    <w:rsid w:val="006852EA"/>
    <w:rsid w:val="006855CF"/>
    <w:rsid w:val="00690998"/>
    <w:rsid w:val="00690C97"/>
    <w:rsid w:val="00690F42"/>
    <w:rsid w:val="00692C6A"/>
    <w:rsid w:val="0069441B"/>
    <w:rsid w:val="00696BC3"/>
    <w:rsid w:val="0069701E"/>
    <w:rsid w:val="006979B2"/>
    <w:rsid w:val="00697F28"/>
    <w:rsid w:val="006A03B6"/>
    <w:rsid w:val="006A2BBE"/>
    <w:rsid w:val="006A3449"/>
    <w:rsid w:val="006A4B6B"/>
    <w:rsid w:val="006A54BA"/>
    <w:rsid w:val="006A5BEB"/>
    <w:rsid w:val="006A66EB"/>
    <w:rsid w:val="006B0392"/>
    <w:rsid w:val="006B24D6"/>
    <w:rsid w:val="006B2726"/>
    <w:rsid w:val="006B2BA6"/>
    <w:rsid w:val="006B4271"/>
    <w:rsid w:val="006B56CB"/>
    <w:rsid w:val="006B5CD8"/>
    <w:rsid w:val="006B6109"/>
    <w:rsid w:val="006B6B99"/>
    <w:rsid w:val="006B6E04"/>
    <w:rsid w:val="006B73C0"/>
    <w:rsid w:val="006B7A8F"/>
    <w:rsid w:val="006B7AF1"/>
    <w:rsid w:val="006C130A"/>
    <w:rsid w:val="006C1574"/>
    <w:rsid w:val="006C157B"/>
    <w:rsid w:val="006C1881"/>
    <w:rsid w:val="006C2106"/>
    <w:rsid w:val="006C29FD"/>
    <w:rsid w:val="006C2B06"/>
    <w:rsid w:val="006C2C3D"/>
    <w:rsid w:val="006C4558"/>
    <w:rsid w:val="006C4871"/>
    <w:rsid w:val="006C4D68"/>
    <w:rsid w:val="006C6733"/>
    <w:rsid w:val="006C700F"/>
    <w:rsid w:val="006C74FA"/>
    <w:rsid w:val="006C7666"/>
    <w:rsid w:val="006C7A54"/>
    <w:rsid w:val="006D0881"/>
    <w:rsid w:val="006D1957"/>
    <w:rsid w:val="006D2B3E"/>
    <w:rsid w:val="006D3379"/>
    <w:rsid w:val="006D3867"/>
    <w:rsid w:val="006D3C6A"/>
    <w:rsid w:val="006D3FF2"/>
    <w:rsid w:val="006D4373"/>
    <w:rsid w:val="006D4488"/>
    <w:rsid w:val="006D56F1"/>
    <w:rsid w:val="006D6EFF"/>
    <w:rsid w:val="006D79C5"/>
    <w:rsid w:val="006E0BDC"/>
    <w:rsid w:val="006E21E3"/>
    <w:rsid w:val="006E26AC"/>
    <w:rsid w:val="006E34F9"/>
    <w:rsid w:val="006E35AE"/>
    <w:rsid w:val="006E45F8"/>
    <w:rsid w:val="006E48F0"/>
    <w:rsid w:val="006E4EE8"/>
    <w:rsid w:val="006E52E5"/>
    <w:rsid w:val="006E5F78"/>
    <w:rsid w:val="006E6CC3"/>
    <w:rsid w:val="006F01A3"/>
    <w:rsid w:val="006F0376"/>
    <w:rsid w:val="006F1EE1"/>
    <w:rsid w:val="006F2711"/>
    <w:rsid w:val="006F319D"/>
    <w:rsid w:val="006F39C8"/>
    <w:rsid w:val="006F3E48"/>
    <w:rsid w:val="006F435E"/>
    <w:rsid w:val="006F4FD7"/>
    <w:rsid w:val="006F5D02"/>
    <w:rsid w:val="006F6144"/>
    <w:rsid w:val="006F6CBA"/>
    <w:rsid w:val="00700EC3"/>
    <w:rsid w:val="00700F22"/>
    <w:rsid w:val="007015FF"/>
    <w:rsid w:val="00702B7D"/>
    <w:rsid w:val="00702E90"/>
    <w:rsid w:val="007038F8"/>
    <w:rsid w:val="00703E97"/>
    <w:rsid w:val="007041AE"/>
    <w:rsid w:val="0070653D"/>
    <w:rsid w:val="00707C38"/>
    <w:rsid w:val="007102CC"/>
    <w:rsid w:val="00711962"/>
    <w:rsid w:val="007119B5"/>
    <w:rsid w:val="007130BB"/>
    <w:rsid w:val="007130E2"/>
    <w:rsid w:val="0071418A"/>
    <w:rsid w:val="00714713"/>
    <w:rsid w:val="00717046"/>
    <w:rsid w:val="00717967"/>
    <w:rsid w:val="00717E93"/>
    <w:rsid w:val="007229F4"/>
    <w:rsid w:val="007236B8"/>
    <w:rsid w:val="0072398E"/>
    <w:rsid w:val="007247D8"/>
    <w:rsid w:val="00724A7D"/>
    <w:rsid w:val="00724D30"/>
    <w:rsid w:val="00726437"/>
    <w:rsid w:val="00726666"/>
    <w:rsid w:val="00726826"/>
    <w:rsid w:val="007273B0"/>
    <w:rsid w:val="00727891"/>
    <w:rsid w:val="0073083E"/>
    <w:rsid w:val="007322B4"/>
    <w:rsid w:val="0073230F"/>
    <w:rsid w:val="0073249E"/>
    <w:rsid w:val="00732D87"/>
    <w:rsid w:val="00732F9D"/>
    <w:rsid w:val="00733220"/>
    <w:rsid w:val="007336CE"/>
    <w:rsid w:val="0073446B"/>
    <w:rsid w:val="00734F31"/>
    <w:rsid w:val="007355F8"/>
    <w:rsid w:val="00735C85"/>
    <w:rsid w:val="00737660"/>
    <w:rsid w:val="007376E0"/>
    <w:rsid w:val="007377BD"/>
    <w:rsid w:val="00741494"/>
    <w:rsid w:val="0074184B"/>
    <w:rsid w:val="00741955"/>
    <w:rsid w:val="00741CA9"/>
    <w:rsid w:val="007437A4"/>
    <w:rsid w:val="00744A1F"/>
    <w:rsid w:val="00744D37"/>
    <w:rsid w:val="00746D82"/>
    <w:rsid w:val="00746F49"/>
    <w:rsid w:val="007474DD"/>
    <w:rsid w:val="00747B78"/>
    <w:rsid w:val="00747FB9"/>
    <w:rsid w:val="00750143"/>
    <w:rsid w:val="00751C63"/>
    <w:rsid w:val="00751F37"/>
    <w:rsid w:val="00752EF6"/>
    <w:rsid w:val="00753220"/>
    <w:rsid w:val="00754625"/>
    <w:rsid w:val="00754A11"/>
    <w:rsid w:val="00754A8F"/>
    <w:rsid w:val="00756859"/>
    <w:rsid w:val="00757F1D"/>
    <w:rsid w:val="00761358"/>
    <w:rsid w:val="00765037"/>
    <w:rsid w:val="00766337"/>
    <w:rsid w:val="00766778"/>
    <w:rsid w:val="0076680C"/>
    <w:rsid w:val="00766993"/>
    <w:rsid w:val="00767C29"/>
    <w:rsid w:val="00767D3F"/>
    <w:rsid w:val="00773A07"/>
    <w:rsid w:val="00773F7D"/>
    <w:rsid w:val="00774306"/>
    <w:rsid w:val="00776BD7"/>
    <w:rsid w:val="007771CF"/>
    <w:rsid w:val="00777557"/>
    <w:rsid w:val="007808A5"/>
    <w:rsid w:val="007818AA"/>
    <w:rsid w:val="00782B80"/>
    <w:rsid w:val="00782F89"/>
    <w:rsid w:val="00783B3C"/>
    <w:rsid w:val="00784455"/>
    <w:rsid w:val="0078490A"/>
    <w:rsid w:val="00784986"/>
    <w:rsid w:val="00784B29"/>
    <w:rsid w:val="00784D15"/>
    <w:rsid w:val="00786EF4"/>
    <w:rsid w:val="007877E7"/>
    <w:rsid w:val="00790D04"/>
    <w:rsid w:val="00791092"/>
    <w:rsid w:val="007913EE"/>
    <w:rsid w:val="00792A99"/>
    <w:rsid w:val="00792C7B"/>
    <w:rsid w:val="007940F5"/>
    <w:rsid w:val="00794970"/>
    <w:rsid w:val="00795DD2"/>
    <w:rsid w:val="0079674A"/>
    <w:rsid w:val="00796AA3"/>
    <w:rsid w:val="00796D0F"/>
    <w:rsid w:val="00797371"/>
    <w:rsid w:val="00797B75"/>
    <w:rsid w:val="007A1308"/>
    <w:rsid w:val="007A173B"/>
    <w:rsid w:val="007A1A3A"/>
    <w:rsid w:val="007A2410"/>
    <w:rsid w:val="007A2BE7"/>
    <w:rsid w:val="007A3EC3"/>
    <w:rsid w:val="007A617F"/>
    <w:rsid w:val="007A6646"/>
    <w:rsid w:val="007A78F0"/>
    <w:rsid w:val="007B0715"/>
    <w:rsid w:val="007B0878"/>
    <w:rsid w:val="007B1174"/>
    <w:rsid w:val="007B200A"/>
    <w:rsid w:val="007B305B"/>
    <w:rsid w:val="007B35F2"/>
    <w:rsid w:val="007B39B9"/>
    <w:rsid w:val="007B3E15"/>
    <w:rsid w:val="007B62FC"/>
    <w:rsid w:val="007B7FC8"/>
    <w:rsid w:val="007C0195"/>
    <w:rsid w:val="007C1F69"/>
    <w:rsid w:val="007C1F8F"/>
    <w:rsid w:val="007C23C1"/>
    <w:rsid w:val="007C241E"/>
    <w:rsid w:val="007C3346"/>
    <w:rsid w:val="007C4506"/>
    <w:rsid w:val="007C5767"/>
    <w:rsid w:val="007C72D1"/>
    <w:rsid w:val="007C7586"/>
    <w:rsid w:val="007C75BA"/>
    <w:rsid w:val="007C762D"/>
    <w:rsid w:val="007C76FF"/>
    <w:rsid w:val="007D0C74"/>
    <w:rsid w:val="007D0D58"/>
    <w:rsid w:val="007D408D"/>
    <w:rsid w:val="007D67A3"/>
    <w:rsid w:val="007D7E92"/>
    <w:rsid w:val="007E0286"/>
    <w:rsid w:val="007E08F9"/>
    <w:rsid w:val="007E1CED"/>
    <w:rsid w:val="007E316D"/>
    <w:rsid w:val="007E395A"/>
    <w:rsid w:val="007E5925"/>
    <w:rsid w:val="007E6CA0"/>
    <w:rsid w:val="007F0390"/>
    <w:rsid w:val="007F161F"/>
    <w:rsid w:val="007F167C"/>
    <w:rsid w:val="007F197C"/>
    <w:rsid w:val="007F1D57"/>
    <w:rsid w:val="007F2F18"/>
    <w:rsid w:val="007F414F"/>
    <w:rsid w:val="007F5120"/>
    <w:rsid w:val="007F5477"/>
    <w:rsid w:val="007F7E59"/>
    <w:rsid w:val="007F7F39"/>
    <w:rsid w:val="008008DF"/>
    <w:rsid w:val="00801D5A"/>
    <w:rsid w:val="008035BC"/>
    <w:rsid w:val="008037B7"/>
    <w:rsid w:val="00803C58"/>
    <w:rsid w:val="00807A27"/>
    <w:rsid w:val="00810689"/>
    <w:rsid w:val="00811834"/>
    <w:rsid w:val="00812A40"/>
    <w:rsid w:val="00813D6F"/>
    <w:rsid w:val="0081648B"/>
    <w:rsid w:val="008170C9"/>
    <w:rsid w:val="008171FE"/>
    <w:rsid w:val="0081732B"/>
    <w:rsid w:val="00817811"/>
    <w:rsid w:val="00817C9F"/>
    <w:rsid w:val="00817F66"/>
    <w:rsid w:val="00821C4F"/>
    <w:rsid w:val="0082208F"/>
    <w:rsid w:val="00822752"/>
    <w:rsid w:val="00822BBD"/>
    <w:rsid w:val="0082345F"/>
    <w:rsid w:val="00823B7E"/>
    <w:rsid w:val="008244E2"/>
    <w:rsid w:val="008246A9"/>
    <w:rsid w:val="00825580"/>
    <w:rsid w:val="00825686"/>
    <w:rsid w:val="008258E9"/>
    <w:rsid w:val="0082633F"/>
    <w:rsid w:val="00827559"/>
    <w:rsid w:val="00827994"/>
    <w:rsid w:val="00830BDF"/>
    <w:rsid w:val="00831365"/>
    <w:rsid w:val="0083148D"/>
    <w:rsid w:val="008324F3"/>
    <w:rsid w:val="0083252A"/>
    <w:rsid w:val="00833B0D"/>
    <w:rsid w:val="008345F6"/>
    <w:rsid w:val="008347D1"/>
    <w:rsid w:val="008349B3"/>
    <w:rsid w:val="008349C0"/>
    <w:rsid w:val="00834F5F"/>
    <w:rsid w:val="00835B2F"/>
    <w:rsid w:val="00836693"/>
    <w:rsid w:val="0083670C"/>
    <w:rsid w:val="008367C7"/>
    <w:rsid w:val="008370C0"/>
    <w:rsid w:val="00837E92"/>
    <w:rsid w:val="00840065"/>
    <w:rsid w:val="008401BD"/>
    <w:rsid w:val="0084068A"/>
    <w:rsid w:val="0084172F"/>
    <w:rsid w:val="00842BE4"/>
    <w:rsid w:val="00843FA2"/>
    <w:rsid w:val="00844283"/>
    <w:rsid w:val="0084582F"/>
    <w:rsid w:val="00846BD1"/>
    <w:rsid w:val="0084793F"/>
    <w:rsid w:val="00847C0A"/>
    <w:rsid w:val="00850B6F"/>
    <w:rsid w:val="00850BAC"/>
    <w:rsid w:val="008512C4"/>
    <w:rsid w:val="00851D49"/>
    <w:rsid w:val="00851F43"/>
    <w:rsid w:val="00852808"/>
    <w:rsid w:val="008528A0"/>
    <w:rsid w:val="00852BAE"/>
    <w:rsid w:val="0085343A"/>
    <w:rsid w:val="008575E1"/>
    <w:rsid w:val="00860131"/>
    <w:rsid w:val="0086019F"/>
    <w:rsid w:val="008607C8"/>
    <w:rsid w:val="00860860"/>
    <w:rsid w:val="00860EF9"/>
    <w:rsid w:val="0086201A"/>
    <w:rsid w:val="00863CDC"/>
    <w:rsid w:val="00863F9B"/>
    <w:rsid w:val="00864147"/>
    <w:rsid w:val="00864468"/>
    <w:rsid w:val="00864A10"/>
    <w:rsid w:val="00864C55"/>
    <w:rsid w:val="008655EC"/>
    <w:rsid w:val="00865ED2"/>
    <w:rsid w:val="00866547"/>
    <w:rsid w:val="00866E5E"/>
    <w:rsid w:val="00866E71"/>
    <w:rsid w:val="008704FD"/>
    <w:rsid w:val="00870643"/>
    <w:rsid w:val="008709CD"/>
    <w:rsid w:val="00871EA4"/>
    <w:rsid w:val="00872724"/>
    <w:rsid w:val="008728BA"/>
    <w:rsid w:val="0087472B"/>
    <w:rsid w:val="008762E5"/>
    <w:rsid w:val="00876E68"/>
    <w:rsid w:val="0087743A"/>
    <w:rsid w:val="00877E23"/>
    <w:rsid w:val="00877E7E"/>
    <w:rsid w:val="008817A0"/>
    <w:rsid w:val="008823FB"/>
    <w:rsid w:val="0088309D"/>
    <w:rsid w:val="0088548C"/>
    <w:rsid w:val="00886497"/>
    <w:rsid w:val="008935BD"/>
    <w:rsid w:val="008936DF"/>
    <w:rsid w:val="00893E51"/>
    <w:rsid w:val="008A09BA"/>
    <w:rsid w:val="008A0B6C"/>
    <w:rsid w:val="008A0BCB"/>
    <w:rsid w:val="008A12EB"/>
    <w:rsid w:val="008A1C40"/>
    <w:rsid w:val="008A2C68"/>
    <w:rsid w:val="008A32C8"/>
    <w:rsid w:val="008A34DF"/>
    <w:rsid w:val="008A455D"/>
    <w:rsid w:val="008A4DA1"/>
    <w:rsid w:val="008A6007"/>
    <w:rsid w:val="008A63C7"/>
    <w:rsid w:val="008A6758"/>
    <w:rsid w:val="008A7C42"/>
    <w:rsid w:val="008B0AA7"/>
    <w:rsid w:val="008B0B95"/>
    <w:rsid w:val="008B0C78"/>
    <w:rsid w:val="008B0C7E"/>
    <w:rsid w:val="008B2356"/>
    <w:rsid w:val="008B2F6D"/>
    <w:rsid w:val="008B3641"/>
    <w:rsid w:val="008B3778"/>
    <w:rsid w:val="008B4464"/>
    <w:rsid w:val="008B4C9A"/>
    <w:rsid w:val="008B5D54"/>
    <w:rsid w:val="008B61E3"/>
    <w:rsid w:val="008B63D6"/>
    <w:rsid w:val="008B6B9B"/>
    <w:rsid w:val="008B7609"/>
    <w:rsid w:val="008B7CFC"/>
    <w:rsid w:val="008C1A55"/>
    <w:rsid w:val="008C26E8"/>
    <w:rsid w:val="008C2961"/>
    <w:rsid w:val="008C2E63"/>
    <w:rsid w:val="008C2F08"/>
    <w:rsid w:val="008C3F8D"/>
    <w:rsid w:val="008C45A4"/>
    <w:rsid w:val="008C474C"/>
    <w:rsid w:val="008C4F2B"/>
    <w:rsid w:val="008C54C5"/>
    <w:rsid w:val="008C555C"/>
    <w:rsid w:val="008C56D8"/>
    <w:rsid w:val="008C61BE"/>
    <w:rsid w:val="008C719D"/>
    <w:rsid w:val="008C7305"/>
    <w:rsid w:val="008D07A5"/>
    <w:rsid w:val="008D12FF"/>
    <w:rsid w:val="008D1BE3"/>
    <w:rsid w:val="008D1CFD"/>
    <w:rsid w:val="008D2936"/>
    <w:rsid w:val="008D372A"/>
    <w:rsid w:val="008D3A8D"/>
    <w:rsid w:val="008D5B4D"/>
    <w:rsid w:val="008D5D6E"/>
    <w:rsid w:val="008D6221"/>
    <w:rsid w:val="008D6258"/>
    <w:rsid w:val="008D6ABE"/>
    <w:rsid w:val="008D7D8F"/>
    <w:rsid w:val="008E049A"/>
    <w:rsid w:val="008E0862"/>
    <w:rsid w:val="008E0F38"/>
    <w:rsid w:val="008E13A0"/>
    <w:rsid w:val="008E1D54"/>
    <w:rsid w:val="008E222F"/>
    <w:rsid w:val="008E2426"/>
    <w:rsid w:val="008E26F2"/>
    <w:rsid w:val="008E287B"/>
    <w:rsid w:val="008E3579"/>
    <w:rsid w:val="008E41BC"/>
    <w:rsid w:val="008E4B42"/>
    <w:rsid w:val="008E5771"/>
    <w:rsid w:val="008E5B73"/>
    <w:rsid w:val="008E642C"/>
    <w:rsid w:val="008E66D1"/>
    <w:rsid w:val="008E6CE9"/>
    <w:rsid w:val="008E70EA"/>
    <w:rsid w:val="008E7327"/>
    <w:rsid w:val="008F07E4"/>
    <w:rsid w:val="008F0811"/>
    <w:rsid w:val="008F1A00"/>
    <w:rsid w:val="008F2077"/>
    <w:rsid w:val="008F20D7"/>
    <w:rsid w:val="008F2DDC"/>
    <w:rsid w:val="008F4760"/>
    <w:rsid w:val="008F513B"/>
    <w:rsid w:val="008F5FF1"/>
    <w:rsid w:val="008F635E"/>
    <w:rsid w:val="00900451"/>
    <w:rsid w:val="00900A33"/>
    <w:rsid w:val="00901DCF"/>
    <w:rsid w:val="00902024"/>
    <w:rsid w:val="00903043"/>
    <w:rsid w:val="00903075"/>
    <w:rsid w:val="009032B4"/>
    <w:rsid w:val="00903AC3"/>
    <w:rsid w:val="00904AF0"/>
    <w:rsid w:val="009052E6"/>
    <w:rsid w:val="00907600"/>
    <w:rsid w:val="0091294A"/>
    <w:rsid w:val="009145FA"/>
    <w:rsid w:val="00914DED"/>
    <w:rsid w:val="009155B7"/>
    <w:rsid w:val="00917B8A"/>
    <w:rsid w:val="00920167"/>
    <w:rsid w:val="009208A2"/>
    <w:rsid w:val="009212C3"/>
    <w:rsid w:val="009220C7"/>
    <w:rsid w:val="009228DF"/>
    <w:rsid w:val="00923D5C"/>
    <w:rsid w:val="00924A7F"/>
    <w:rsid w:val="00924E8D"/>
    <w:rsid w:val="00925712"/>
    <w:rsid w:val="009267FD"/>
    <w:rsid w:val="00926ADB"/>
    <w:rsid w:val="00926EA9"/>
    <w:rsid w:val="009277E1"/>
    <w:rsid w:val="0093071F"/>
    <w:rsid w:val="00930F98"/>
    <w:rsid w:val="009310E0"/>
    <w:rsid w:val="00931AA9"/>
    <w:rsid w:val="0093238A"/>
    <w:rsid w:val="0093286B"/>
    <w:rsid w:val="00933E50"/>
    <w:rsid w:val="00934193"/>
    <w:rsid w:val="00934E1D"/>
    <w:rsid w:val="00934F6E"/>
    <w:rsid w:val="009357E2"/>
    <w:rsid w:val="00935BD1"/>
    <w:rsid w:val="00935C9E"/>
    <w:rsid w:val="0093635D"/>
    <w:rsid w:val="009365E1"/>
    <w:rsid w:val="00936A34"/>
    <w:rsid w:val="0093746D"/>
    <w:rsid w:val="00937A0B"/>
    <w:rsid w:val="0094086B"/>
    <w:rsid w:val="0094233D"/>
    <w:rsid w:val="00943B8C"/>
    <w:rsid w:val="009448A5"/>
    <w:rsid w:val="00944E94"/>
    <w:rsid w:val="00950ACA"/>
    <w:rsid w:val="0095190F"/>
    <w:rsid w:val="009554CC"/>
    <w:rsid w:val="00957F22"/>
    <w:rsid w:val="0096165F"/>
    <w:rsid w:val="00961F15"/>
    <w:rsid w:val="00962FE4"/>
    <w:rsid w:val="009631CA"/>
    <w:rsid w:val="00963BC8"/>
    <w:rsid w:val="009661DC"/>
    <w:rsid w:val="009665AC"/>
    <w:rsid w:val="00966967"/>
    <w:rsid w:val="009669AC"/>
    <w:rsid w:val="009669EC"/>
    <w:rsid w:val="0096774F"/>
    <w:rsid w:val="00970A0D"/>
    <w:rsid w:val="00970F63"/>
    <w:rsid w:val="0097262E"/>
    <w:rsid w:val="0097278F"/>
    <w:rsid w:val="00972EC3"/>
    <w:rsid w:val="00972F5E"/>
    <w:rsid w:val="009739E0"/>
    <w:rsid w:val="009746B2"/>
    <w:rsid w:val="0097536D"/>
    <w:rsid w:val="00976044"/>
    <w:rsid w:val="009811A9"/>
    <w:rsid w:val="00981A39"/>
    <w:rsid w:val="00981BED"/>
    <w:rsid w:val="00983CD2"/>
    <w:rsid w:val="00984B7B"/>
    <w:rsid w:val="00985F7B"/>
    <w:rsid w:val="00986D34"/>
    <w:rsid w:val="00986E55"/>
    <w:rsid w:val="00986F75"/>
    <w:rsid w:val="009872F3"/>
    <w:rsid w:val="00990B18"/>
    <w:rsid w:val="0099160E"/>
    <w:rsid w:val="00991E68"/>
    <w:rsid w:val="00992153"/>
    <w:rsid w:val="00993B96"/>
    <w:rsid w:val="00994652"/>
    <w:rsid w:val="0099487C"/>
    <w:rsid w:val="00994F77"/>
    <w:rsid w:val="00995542"/>
    <w:rsid w:val="009A0A38"/>
    <w:rsid w:val="009A0F33"/>
    <w:rsid w:val="009A2D67"/>
    <w:rsid w:val="009A2E4E"/>
    <w:rsid w:val="009A3188"/>
    <w:rsid w:val="009A4F0C"/>
    <w:rsid w:val="009A6A66"/>
    <w:rsid w:val="009A6B36"/>
    <w:rsid w:val="009A6BF1"/>
    <w:rsid w:val="009B0D50"/>
    <w:rsid w:val="009B2208"/>
    <w:rsid w:val="009B2298"/>
    <w:rsid w:val="009B377B"/>
    <w:rsid w:val="009B3996"/>
    <w:rsid w:val="009B3CE0"/>
    <w:rsid w:val="009B411A"/>
    <w:rsid w:val="009B4F88"/>
    <w:rsid w:val="009B6CD7"/>
    <w:rsid w:val="009B7D07"/>
    <w:rsid w:val="009B7F1B"/>
    <w:rsid w:val="009B7F1D"/>
    <w:rsid w:val="009C09A6"/>
    <w:rsid w:val="009C1BF7"/>
    <w:rsid w:val="009C2A6D"/>
    <w:rsid w:val="009C334E"/>
    <w:rsid w:val="009C3844"/>
    <w:rsid w:val="009C5FE6"/>
    <w:rsid w:val="009C622E"/>
    <w:rsid w:val="009C6632"/>
    <w:rsid w:val="009C775A"/>
    <w:rsid w:val="009D01CB"/>
    <w:rsid w:val="009D0800"/>
    <w:rsid w:val="009D09F9"/>
    <w:rsid w:val="009D1272"/>
    <w:rsid w:val="009D1570"/>
    <w:rsid w:val="009D239B"/>
    <w:rsid w:val="009D2600"/>
    <w:rsid w:val="009D2629"/>
    <w:rsid w:val="009D296A"/>
    <w:rsid w:val="009D2CE7"/>
    <w:rsid w:val="009D3729"/>
    <w:rsid w:val="009D3B3D"/>
    <w:rsid w:val="009D4156"/>
    <w:rsid w:val="009D4626"/>
    <w:rsid w:val="009D4E8A"/>
    <w:rsid w:val="009D5483"/>
    <w:rsid w:val="009D6DC6"/>
    <w:rsid w:val="009E1526"/>
    <w:rsid w:val="009E35BB"/>
    <w:rsid w:val="009E3A57"/>
    <w:rsid w:val="009E3FC9"/>
    <w:rsid w:val="009E6734"/>
    <w:rsid w:val="009E7AC9"/>
    <w:rsid w:val="009F0461"/>
    <w:rsid w:val="009F0675"/>
    <w:rsid w:val="009F14B0"/>
    <w:rsid w:val="009F1F40"/>
    <w:rsid w:val="009F2325"/>
    <w:rsid w:val="009F298C"/>
    <w:rsid w:val="009F3A30"/>
    <w:rsid w:val="009F409C"/>
    <w:rsid w:val="009F413A"/>
    <w:rsid w:val="009F503A"/>
    <w:rsid w:val="009F59C2"/>
    <w:rsid w:val="009F6E2C"/>
    <w:rsid w:val="009F7D01"/>
    <w:rsid w:val="00A00F2A"/>
    <w:rsid w:val="00A03212"/>
    <w:rsid w:val="00A0374B"/>
    <w:rsid w:val="00A03E21"/>
    <w:rsid w:val="00A046FB"/>
    <w:rsid w:val="00A04CFD"/>
    <w:rsid w:val="00A06991"/>
    <w:rsid w:val="00A07F4E"/>
    <w:rsid w:val="00A105A3"/>
    <w:rsid w:val="00A120C2"/>
    <w:rsid w:val="00A125B9"/>
    <w:rsid w:val="00A12CEA"/>
    <w:rsid w:val="00A13F02"/>
    <w:rsid w:val="00A146FF"/>
    <w:rsid w:val="00A14D72"/>
    <w:rsid w:val="00A153AF"/>
    <w:rsid w:val="00A16867"/>
    <w:rsid w:val="00A16BE8"/>
    <w:rsid w:val="00A17909"/>
    <w:rsid w:val="00A20A1E"/>
    <w:rsid w:val="00A20ABB"/>
    <w:rsid w:val="00A2173F"/>
    <w:rsid w:val="00A22A0A"/>
    <w:rsid w:val="00A244C7"/>
    <w:rsid w:val="00A248A1"/>
    <w:rsid w:val="00A24D72"/>
    <w:rsid w:val="00A25E71"/>
    <w:rsid w:val="00A25FA5"/>
    <w:rsid w:val="00A26654"/>
    <w:rsid w:val="00A268DC"/>
    <w:rsid w:val="00A26ED3"/>
    <w:rsid w:val="00A27ECD"/>
    <w:rsid w:val="00A27EDC"/>
    <w:rsid w:val="00A302FF"/>
    <w:rsid w:val="00A304D5"/>
    <w:rsid w:val="00A3105B"/>
    <w:rsid w:val="00A31C29"/>
    <w:rsid w:val="00A340CA"/>
    <w:rsid w:val="00A34F95"/>
    <w:rsid w:val="00A35DA1"/>
    <w:rsid w:val="00A3667A"/>
    <w:rsid w:val="00A36D79"/>
    <w:rsid w:val="00A37C55"/>
    <w:rsid w:val="00A37D9D"/>
    <w:rsid w:val="00A40A26"/>
    <w:rsid w:val="00A4379F"/>
    <w:rsid w:val="00A43BDC"/>
    <w:rsid w:val="00A43C09"/>
    <w:rsid w:val="00A44A5A"/>
    <w:rsid w:val="00A44C60"/>
    <w:rsid w:val="00A46C80"/>
    <w:rsid w:val="00A5096A"/>
    <w:rsid w:val="00A52295"/>
    <w:rsid w:val="00A52E4A"/>
    <w:rsid w:val="00A55D45"/>
    <w:rsid w:val="00A55FF6"/>
    <w:rsid w:val="00A567ED"/>
    <w:rsid w:val="00A56BCD"/>
    <w:rsid w:val="00A56F55"/>
    <w:rsid w:val="00A57330"/>
    <w:rsid w:val="00A57D44"/>
    <w:rsid w:val="00A57F9B"/>
    <w:rsid w:val="00A60012"/>
    <w:rsid w:val="00A602C1"/>
    <w:rsid w:val="00A60EA8"/>
    <w:rsid w:val="00A60EE2"/>
    <w:rsid w:val="00A65440"/>
    <w:rsid w:val="00A655A3"/>
    <w:rsid w:val="00A6597D"/>
    <w:rsid w:val="00A65DFE"/>
    <w:rsid w:val="00A65E35"/>
    <w:rsid w:val="00A66238"/>
    <w:rsid w:val="00A6671C"/>
    <w:rsid w:val="00A67AF1"/>
    <w:rsid w:val="00A72EA8"/>
    <w:rsid w:val="00A73156"/>
    <w:rsid w:val="00A73EB9"/>
    <w:rsid w:val="00A73F0A"/>
    <w:rsid w:val="00A750C8"/>
    <w:rsid w:val="00A77604"/>
    <w:rsid w:val="00A800A3"/>
    <w:rsid w:val="00A819D0"/>
    <w:rsid w:val="00A82EE2"/>
    <w:rsid w:val="00A84088"/>
    <w:rsid w:val="00A844C3"/>
    <w:rsid w:val="00A846A3"/>
    <w:rsid w:val="00A8495F"/>
    <w:rsid w:val="00A86719"/>
    <w:rsid w:val="00A86A7F"/>
    <w:rsid w:val="00A86D99"/>
    <w:rsid w:val="00A87B9F"/>
    <w:rsid w:val="00A90078"/>
    <w:rsid w:val="00A917AC"/>
    <w:rsid w:val="00A917E0"/>
    <w:rsid w:val="00A9383D"/>
    <w:rsid w:val="00A94737"/>
    <w:rsid w:val="00A94C01"/>
    <w:rsid w:val="00A96BC6"/>
    <w:rsid w:val="00A96D16"/>
    <w:rsid w:val="00A96E25"/>
    <w:rsid w:val="00A97162"/>
    <w:rsid w:val="00A97222"/>
    <w:rsid w:val="00AA0FBE"/>
    <w:rsid w:val="00AA2F22"/>
    <w:rsid w:val="00AA2FB0"/>
    <w:rsid w:val="00AA5BB9"/>
    <w:rsid w:val="00AA6C83"/>
    <w:rsid w:val="00AA75CF"/>
    <w:rsid w:val="00AA7D28"/>
    <w:rsid w:val="00AB0401"/>
    <w:rsid w:val="00AB08EE"/>
    <w:rsid w:val="00AB0CCF"/>
    <w:rsid w:val="00AB1A65"/>
    <w:rsid w:val="00AB30DA"/>
    <w:rsid w:val="00AB3B9A"/>
    <w:rsid w:val="00AB3E83"/>
    <w:rsid w:val="00AB4596"/>
    <w:rsid w:val="00AB5225"/>
    <w:rsid w:val="00AB5B26"/>
    <w:rsid w:val="00AB61DA"/>
    <w:rsid w:val="00AB63A8"/>
    <w:rsid w:val="00AB664D"/>
    <w:rsid w:val="00AB6A14"/>
    <w:rsid w:val="00AB6A45"/>
    <w:rsid w:val="00AB7AE3"/>
    <w:rsid w:val="00AB7DBF"/>
    <w:rsid w:val="00AC06FF"/>
    <w:rsid w:val="00AC11A2"/>
    <w:rsid w:val="00AC12BC"/>
    <w:rsid w:val="00AC2464"/>
    <w:rsid w:val="00AC31D4"/>
    <w:rsid w:val="00AC337B"/>
    <w:rsid w:val="00AC3933"/>
    <w:rsid w:val="00AC4726"/>
    <w:rsid w:val="00AC5537"/>
    <w:rsid w:val="00AC56D3"/>
    <w:rsid w:val="00AC6950"/>
    <w:rsid w:val="00AD0137"/>
    <w:rsid w:val="00AD0FC8"/>
    <w:rsid w:val="00AD1B9D"/>
    <w:rsid w:val="00AD1E1C"/>
    <w:rsid w:val="00AD35C5"/>
    <w:rsid w:val="00AD5109"/>
    <w:rsid w:val="00AD53A0"/>
    <w:rsid w:val="00AD541A"/>
    <w:rsid w:val="00AD5791"/>
    <w:rsid w:val="00AD6100"/>
    <w:rsid w:val="00AD6A84"/>
    <w:rsid w:val="00AD6B59"/>
    <w:rsid w:val="00AD6B91"/>
    <w:rsid w:val="00AD6F6D"/>
    <w:rsid w:val="00AE169B"/>
    <w:rsid w:val="00AE3A9D"/>
    <w:rsid w:val="00AE3CD1"/>
    <w:rsid w:val="00AE41D5"/>
    <w:rsid w:val="00AE4B5B"/>
    <w:rsid w:val="00AE4D73"/>
    <w:rsid w:val="00AE58A2"/>
    <w:rsid w:val="00AE715C"/>
    <w:rsid w:val="00AE7403"/>
    <w:rsid w:val="00AE7739"/>
    <w:rsid w:val="00AE787B"/>
    <w:rsid w:val="00AF10BD"/>
    <w:rsid w:val="00AF14D4"/>
    <w:rsid w:val="00AF1C92"/>
    <w:rsid w:val="00AF1E40"/>
    <w:rsid w:val="00AF24FF"/>
    <w:rsid w:val="00AF2B5D"/>
    <w:rsid w:val="00AF2F40"/>
    <w:rsid w:val="00AF3CAD"/>
    <w:rsid w:val="00AF43E2"/>
    <w:rsid w:val="00AF4D1C"/>
    <w:rsid w:val="00AF5618"/>
    <w:rsid w:val="00AF59B0"/>
    <w:rsid w:val="00AF6048"/>
    <w:rsid w:val="00AF7AB5"/>
    <w:rsid w:val="00AF7B9B"/>
    <w:rsid w:val="00B019AD"/>
    <w:rsid w:val="00B02811"/>
    <w:rsid w:val="00B02B00"/>
    <w:rsid w:val="00B0371B"/>
    <w:rsid w:val="00B04B70"/>
    <w:rsid w:val="00B06F8B"/>
    <w:rsid w:val="00B07B08"/>
    <w:rsid w:val="00B07D4B"/>
    <w:rsid w:val="00B10603"/>
    <w:rsid w:val="00B10BB6"/>
    <w:rsid w:val="00B12FD6"/>
    <w:rsid w:val="00B144C8"/>
    <w:rsid w:val="00B146CB"/>
    <w:rsid w:val="00B154D8"/>
    <w:rsid w:val="00B15880"/>
    <w:rsid w:val="00B1673D"/>
    <w:rsid w:val="00B17D84"/>
    <w:rsid w:val="00B17E4D"/>
    <w:rsid w:val="00B204B6"/>
    <w:rsid w:val="00B208B2"/>
    <w:rsid w:val="00B2169B"/>
    <w:rsid w:val="00B21727"/>
    <w:rsid w:val="00B22A10"/>
    <w:rsid w:val="00B22F30"/>
    <w:rsid w:val="00B2324C"/>
    <w:rsid w:val="00B250ED"/>
    <w:rsid w:val="00B25C26"/>
    <w:rsid w:val="00B261BA"/>
    <w:rsid w:val="00B27620"/>
    <w:rsid w:val="00B30554"/>
    <w:rsid w:val="00B3064A"/>
    <w:rsid w:val="00B309FC"/>
    <w:rsid w:val="00B32219"/>
    <w:rsid w:val="00B3473A"/>
    <w:rsid w:val="00B3511B"/>
    <w:rsid w:val="00B36061"/>
    <w:rsid w:val="00B36190"/>
    <w:rsid w:val="00B36A9C"/>
    <w:rsid w:val="00B37787"/>
    <w:rsid w:val="00B40B33"/>
    <w:rsid w:val="00B42236"/>
    <w:rsid w:val="00B4230E"/>
    <w:rsid w:val="00B434AC"/>
    <w:rsid w:val="00B44194"/>
    <w:rsid w:val="00B4506F"/>
    <w:rsid w:val="00B45A9B"/>
    <w:rsid w:val="00B45D0C"/>
    <w:rsid w:val="00B46F92"/>
    <w:rsid w:val="00B471CD"/>
    <w:rsid w:val="00B4727E"/>
    <w:rsid w:val="00B50120"/>
    <w:rsid w:val="00B51E64"/>
    <w:rsid w:val="00B5298B"/>
    <w:rsid w:val="00B53C3B"/>
    <w:rsid w:val="00B54E70"/>
    <w:rsid w:val="00B54F8D"/>
    <w:rsid w:val="00B55827"/>
    <w:rsid w:val="00B56865"/>
    <w:rsid w:val="00B56AA3"/>
    <w:rsid w:val="00B5711C"/>
    <w:rsid w:val="00B57F9F"/>
    <w:rsid w:val="00B602C9"/>
    <w:rsid w:val="00B60811"/>
    <w:rsid w:val="00B610A8"/>
    <w:rsid w:val="00B6115A"/>
    <w:rsid w:val="00B6132A"/>
    <w:rsid w:val="00B62549"/>
    <w:rsid w:val="00B625D2"/>
    <w:rsid w:val="00B62845"/>
    <w:rsid w:val="00B6284F"/>
    <w:rsid w:val="00B63617"/>
    <w:rsid w:val="00B64835"/>
    <w:rsid w:val="00B64892"/>
    <w:rsid w:val="00B64C53"/>
    <w:rsid w:val="00B6679D"/>
    <w:rsid w:val="00B66A7E"/>
    <w:rsid w:val="00B674FE"/>
    <w:rsid w:val="00B702D5"/>
    <w:rsid w:val="00B702F0"/>
    <w:rsid w:val="00B704C8"/>
    <w:rsid w:val="00B7092D"/>
    <w:rsid w:val="00B71267"/>
    <w:rsid w:val="00B71BB7"/>
    <w:rsid w:val="00B72099"/>
    <w:rsid w:val="00B7212B"/>
    <w:rsid w:val="00B723C6"/>
    <w:rsid w:val="00B733EA"/>
    <w:rsid w:val="00B73858"/>
    <w:rsid w:val="00B759E0"/>
    <w:rsid w:val="00B75A05"/>
    <w:rsid w:val="00B75D7B"/>
    <w:rsid w:val="00B800CB"/>
    <w:rsid w:val="00B8074B"/>
    <w:rsid w:val="00B80776"/>
    <w:rsid w:val="00B80D09"/>
    <w:rsid w:val="00B8101A"/>
    <w:rsid w:val="00B811B0"/>
    <w:rsid w:val="00B8169D"/>
    <w:rsid w:val="00B8171B"/>
    <w:rsid w:val="00B84319"/>
    <w:rsid w:val="00B86094"/>
    <w:rsid w:val="00B861AB"/>
    <w:rsid w:val="00B87051"/>
    <w:rsid w:val="00B90348"/>
    <w:rsid w:val="00B9059D"/>
    <w:rsid w:val="00B9261D"/>
    <w:rsid w:val="00B93617"/>
    <w:rsid w:val="00B93663"/>
    <w:rsid w:val="00B944EB"/>
    <w:rsid w:val="00B94BC9"/>
    <w:rsid w:val="00B957DF"/>
    <w:rsid w:val="00B95CB8"/>
    <w:rsid w:val="00B96013"/>
    <w:rsid w:val="00B96C7F"/>
    <w:rsid w:val="00B970EC"/>
    <w:rsid w:val="00BA1504"/>
    <w:rsid w:val="00BA19BE"/>
    <w:rsid w:val="00BA2950"/>
    <w:rsid w:val="00BA2A45"/>
    <w:rsid w:val="00BA3E98"/>
    <w:rsid w:val="00BA5325"/>
    <w:rsid w:val="00BA6306"/>
    <w:rsid w:val="00BA722D"/>
    <w:rsid w:val="00BB0B64"/>
    <w:rsid w:val="00BB1CAA"/>
    <w:rsid w:val="00BB27C2"/>
    <w:rsid w:val="00BB2A13"/>
    <w:rsid w:val="00BB2CD9"/>
    <w:rsid w:val="00BB2EA6"/>
    <w:rsid w:val="00BB332D"/>
    <w:rsid w:val="00BB3ACF"/>
    <w:rsid w:val="00BB6BD7"/>
    <w:rsid w:val="00BB7D50"/>
    <w:rsid w:val="00BC05C3"/>
    <w:rsid w:val="00BC0D30"/>
    <w:rsid w:val="00BC222E"/>
    <w:rsid w:val="00BC33D3"/>
    <w:rsid w:val="00BC417B"/>
    <w:rsid w:val="00BC516C"/>
    <w:rsid w:val="00BC5A62"/>
    <w:rsid w:val="00BC611A"/>
    <w:rsid w:val="00BC6AF9"/>
    <w:rsid w:val="00BC6E4B"/>
    <w:rsid w:val="00BC6EB4"/>
    <w:rsid w:val="00BC75CF"/>
    <w:rsid w:val="00BD0575"/>
    <w:rsid w:val="00BD0767"/>
    <w:rsid w:val="00BD12AC"/>
    <w:rsid w:val="00BD13E9"/>
    <w:rsid w:val="00BD173C"/>
    <w:rsid w:val="00BD2124"/>
    <w:rsid w:val="00BD2232"/>
    <w:rsid w:val="00BD29BB"/>
    <w:rsid w:val="00BD34D6"/>
    <w:rsid w:val="00BD35E9"/>
    <w:rsid w:val="00BD4FE5"/>
    <w:rsid w:val="00BD5B76"/>
    <w:rsid w:val="00BD6994"/>
    <w:rsid w:val="00BD75B8"/>
    <w:rsid w:val="00BD7B8A"/>
    <w:rsid w:val="00BE0A08"/>
    <w:rsid w:val="00BE0EA0"/>
    <w:rsid w:val="00BE125E"/>
    <w:rsid w:val="00BE317B"/>
    <w:rsid w:val="00BE3C6D"/>
    <w:rsid w:val="00BE40C9"/>
    <w:rsid w:val="00BE4282"/>
    <w:rsid w:val="00BE5440"/>
    <w:rsid w:val="00BE5843"/>
    <w:rsid w:val="00BE7009"/>
    <w:rsid w:val="00BF0359"/>
    <w:rsid w:val="00BF0BFF"/>
    <w:rsid w:val="00BF0C62"/>
    <w:rsid w:val="00BF0E9D"/>
    <w:rsid w:val="00BF12FE"/>
    <w:rsid w:val="00BF16F2"/>
    <w:rsid w:val="00BF1E62"/>
    <w:rsid w:val="00BF2782"/>
    <w:rsid w:val="00BF2809"/>
    <w:rsid w:val="00BF2AC8"/>
    <w:rsid w:val="00BF2F4E"/>
    <w:rsid w:val="00BF33FF"/>
    <w:rsid w:val="00BF36B4"/>
    <w:rsid w:val="00BF3AF0"/>
    <w:rsid w:val="00BF4BA2"/>
    <w:rsid w:val="00BF6083"/>
    <w:rsid w:val="00C012F3"/>
    <w:rsid w:val="00C01E8F"/>
    <w:rsid w:val="00C01EE4"/>
    <w:rsid w:val="00C023F3"/>
    <w:rsid w:val="00C0290E"/>
    <w:rsid w:val="00C03E3B"/>
    <w:rsid w:val="00C03E47"/>
    <w:rsid w:val="00C0501F"/>
    <w:rsid w:val="00C05B5A"/>
    <w:rsid w:val="00C05E03"/>
    <w:rsid w:val="00C06433"/>
    <w:rsid w:val="00C06F2F"/>
    <w:rsid w:val="00C07885"/>
    <w:rsid w:val="00C10441"/>
    <w:rsid w:val="00C11EE6"/>
    <w:rsid w:val="00C123B0"/>
    <w:rsid w:val="00C136F8"/>
    <w:rsid w:val="00C1449C"/>
    <w:rsid w:val="00C146F6"/>
    <w:rsid w:val="00C1563C"/>
    <w:rsid w:val="00C16943"/>
    <w:rsid w:val="00C17469"/>
    <w:rsid w:val="00C20799"/>
    <w:rsid w:val="00C2093E"/>
    <w:rsid w:val="00C21207"/>
    <w:rsid w:val="00C21BD1"/>
    <w:rsid w:val="00C2263B"/>
    <w:rsid w:val="00C22660"/>
    <w:rsid w:val="00C22BFE"/>
    <w:rsid w:val="00C22D0F"/>
    <w:rsid w:val="00C22FB8"/>
    <w:rsid w:val="00C24EF3"/>
    <w:rsid w:val="00C25A6A"/>
    <w:rsid w:val="00C25AF9"/>
    <w:rsid w:val="00C26CD8"/>
    <w:rsid w:val="00C26EB5"/>
    <w:rsid w:val="00C26FB4"/>
    <w:rsid w:val="00C27644"/>
    <w:rsid w:val="00C3126E"/>
    <w:rsid w:val="00C315D4"/>
    <w:rsid w:val="00C31F64"/>
    <w:rsid w:val="00C324C8"/>
    <w:rsid w:val="00C32B66"/>
    <w:rsid w:val="00C333D9"/>
    <w:rsid w:val="00C336A8"/>
    <w:rsid w:val="00C345CA"/>
    <w:rsid w:val="00C356FC"/>
    <w:rsid w:val="00C373E0"/>
    <w:rsid w:val="00C400A2"/>
    <w:rsid w:val="00C42182"/>
    <w:rsid w:val="00C43638"/>
    <w:rsid w:val="00C43AC5"/>
    <w:rsid w:val="00C44895"/>
    <w:rsid w:val="00C45220"/>
    <w:rsid w:val="00C45363"/>
    <w:rsid w:val="00C460D4"/>
    <w:rsid w:val="00C47607"/>
    <w:rsid w:val="00C50383"/>
    <w:rsid w:val="00C514A3"/>
    <w:rsid w:val="00C51A6A"/>
    <w:rsid w:val="00C51E13"/>
    <w:rsid w:val="00C522BD"/>
    <w:rsid w:val="00C5272B"/>
    <w:rsid w:val="00C52A4D"/>
    <w:rsid w:val="00C550F4"/>
    <w:rsid w:val="00C55AD6"/>
    <w:rsid w:val="00C55AEC"/>
    <w:rsid w:val="00C5725A"/>
    <w:rsid w:val="00C5737F"/>
    <w:rsid w:val="00C575C6"/>
    <w:rsid w:val="00C617E3"/>
    <w:rsid w:val="00C61884"/>
    <w:rsid w:val="00C61E95"/>
    <w:rsid w:val="00C622F7"/>
    <w:rsid w:val="00C624E6"/>
    <w:rsid w:val="00C63567"/>
    <w:rsid w:val="00C635EE"/>
    <w:rsid w:val="00C63813"/>
    <w:rsid w:val="00C63AAD"/>
    <w:rsid w:val="00C63F2A"/>
    <w:rsid w:val="00C6429F"/>
    <w:rsid w:val="00C64BFE"/>
    <w:rsid w:val="00C64F11"/>
    <w:rsid w:val="00C668CB"/>
    <w:rsid w:val="00C668DE"/>
    <w:rsid w:val="00C66A72"/>
    <w:rsid w:val="00C71556"/>
    <w:rsid w:val="00C717F9"/>
    <w:rsid w:val="00C71CCE"/>
    <w:rsid w:val="00C72FB8"/>
    <w:rsid w:val="00C740DD"/>
    <w:rsid w:val="00C74209"/>
    <w:rsid w:val="00C7654B"/>
    <w:rsid w:val="00C77065"/>
    <w:rsid w:val="00C77241"/>
    <w:rsid w:val="00C77A8B"/>
    <w:rsid w:val="00C77B3C"/>
    <w:rsid w:val="00C802A1"/>
    <w:rsid w:val="00C811DF"/>
    <w:rsid w:val="00C82D24"/>
    <w:rsid w:val="00C830DF"/>
    <w:rsid w:val="00C835A0"/>
    <w:rsid w:val="00C8437D"/>
    <w:rsid w:val="00C8600C"/>
    <w:rsid w:val="00C86418"/>
    <w:rsid w:val="00C87105"/>
    <w:rsid w:val="00C907C0"/>
    <w:rsid w:val="00C91EB8"/>
    <w:rsid w:val="00C92495"/>
    <w:rsid w:val="00C93837"/>
    <w:rsid w:val="00C93F14"/>
    <w:rsid w:val="00C95E94"/>
    <w:rsid w:val="00C96F7C"/>
    <w:rsid w:val="00CA01CE"/>
    <w:rsid w:val="00CA10D2"/>
    <w:rsid w:val="00CA1D85"/>
    <w:rsid w:val="00CA36DC"/>
    <w:rsid w:val="00CA398B"/>
    <w:rsid w:val="00CA47FE"/>
    <w:rsid w:val="00CA5D83"/>
    <w:rsid w:val="00CA6053"/>
    <w:rsid w:val="00CA6243"/>
    <w:rsid w:val="00CA64BE"/>
    <w:rsid w:val="00CB0B90"/>
    <w:rsid w:val="00CB1EC7"/>
    <w:rsid w:val="00CB40C6"/>
    <w:rsid w:val="00CB528A"/>
    <w:rsid w:val="00CB655C"/>
    <w:rsid w:val="00CB7FB6"/>
    <w:rsid w:val="00CC0EE6"/>
    <w:rsid w:val="00CC2A40"/>
    <w:rsid w:val="00CC46DF"/>
    <w:rsid w:val="00CC483B"/>
    <w:rsid w:val="00CC4908"/>
    <w:rsid w:val="00CC4CB1"/>
    <w:rsid w:val="00CC4EE2"/>
    <w:rsid w:val="00CD1340"/>
    <w:rsid w:val="00CD14AF"/>
    <w:rsid w:val="00CD1D49"/>
    <w:rsid w:val="00CD36BC"/>
    <w:rsid w:val="00CD3CB4"/>
    <w:rsid w:val="00CD6E8D"/>
    <w:rsid w:val="00CD724F"/>
    <w:rsid w:val="00CD74F1"/>
    <w:rsid w:val="00CE188C"/>
    <w:rsid w:val="00CE1936"/>
    <w:rsid w:val="00CE1C15"/>
    <w:rsid w:val="00CE5AC6"/>
    <w:rsid w:val="00CE5F04"/>
    <w:rsid w:val="00CE67D0"/>
    <w:rsid w:val="00CE6847"/>
    <w:rsid w:val="00CE75B0"/>
    <w:rsid w:val="00CE78FF"/>
    <w:rsid w:val="00CE79A3"/>
    <w:rsid w:val="00CF0658"/>
    <w:rsid w:val="00CF0CA0"/>
    <w:rsid w:val="00CF1116"/>
    <w:rsid w:val="00CF11CD"/>
    <w:rsid w:val="00CF148C"/>
    <w:rsid w:val="00CF34E2"/>
    <w:rsid w:val="00CF3DE4"/>
    <w:rsid w:val="00CF40A2"/>
    <w:rsid w:val="00CF79A2"/>
    <w:rsid w:val="00CF7DF7"/>
    <w:rsid w:val="00D00776"/>
    <w:rsid w:val="00D00D53"/>
    <w:rsid w:val="00D02170"/>
    <w:rsid w:val="00D03058"/>
    <w:rsid w:val="00D03B9B"/>
    <w:rsid w:val="00D0749B"/>
    <w:rsid w:val="00D074CD"/>
    <w:rsid w:val="00D0775C"/>
    <w:rsid w:val="00D07904"/>
    <w:rsid w:val="00D07AC3"/>
    <w:rsid w:val="00D1049B"/>
    <w:rsid w:val="00D10ECD"/>
    <w:rsid w:val="00D1110A"/>
    <w:rsid w:val="00D11D8B"/>
    <w:rsid w:val="00D13D04"/>
    <w:rsid w:val="00D144FA"/>
    <w:rsid w:val="00D1574C"/>
    <w:rsid w:val="00D15773"/>
    <w:rsid w:val="00D158BF"/>
    <w:rsid w:val="00D15963"/>
    <w:rsid w:val="00D15A1A"/>
    <w:rsid w:val="00D16C9E"/>
    <w:rsid w:val="00D17024"/>
    <w:rsid w:val="00D17822"/>
    <w:rsid w:val="00D17D9A"/>
    <w:rsid w:val="00D21043"/>
    <w:rsid w:val="00D210EF"/>
    <w:rsid w:val="00D220E3"/>
    <w:rsid w:val="00D23C0F"/>
    <w:rsid w:val="00D24D54"/>
    <w:rsid w:val="00D25489"/>
    <w:rsid w:val="00D265EF"/>
    <w:rsid w:val="00D26C57"/>
    <w:rsid w:val="00D2761D"/>
    <w:rsid w:val="00D27F57"/>
    <w:rsid w:val="00D30521"/>
    <w:rsid w:val="00D3100C"/>
    <w:rsid w:val="00D31BD1"/>
    <w:rsid w:val="00D325B4"/>
    <w:rsid w:val="00D332B8"/>
    <w:rsid w:val="00D335C9"/>
    <w:rsid w:val="00D33969"/>
    <w:rsid w:val="00D34982"/>
    <w:rsid w:val="00D34EB7"/>
    <w:rsid w:val="00D35558"/>
    <w:rsid w:val="00D36407"/>
    <w:rsid w:val="00D377CB"/>
    <w:rsid w:val="00D37C5D"/>
    <w:rsid w:val="00D40233"/>
    <w:rsid w:val="00D41517"/>
    <w:rsid w:val="00D42035"/>
    <w:rsid w:val="00D42E00"/>
    <w:rsid w:val="00D44E65"/>
    <w:rsid w:val="00D45E3C"/>
    <w:rsid w:val="00D45F4F"/>
    <w:rsid w:val="00D463F1"/>
    <w:rsid w:val="00D503F2"/>
    <w:rsid w:val="00D5186E"/>
    <w:rsid w:val="00D51914"/>
    <w:rsid w:val="00D51A9A"/>
    <w:rsid w:val="00D524BB"/>
    <w:rsid w:val="00D5316C"/>
    <w:rsid w:val="00D531F1"/>
    <w:rsid w:val="00D561C8"/>
    <w:rsid w:val="00D579C8"/>
    <w:rsid w:val="00D57CCE"/>
    <w:rsid w:val="00D57DE8"/>
    <w:rsid w:val="00D60046"/>
    <w:rsid w:val="00D61721"/>
    <w:rsid w:val="00D62331"/>
    <w:rsid w:val="00D6265B"/>
    <w:rsid w:val="00D63395"/>
    <w:rsid w:val="00D63F2A"/>
    <w:rsid w:val="00D646EF"/>
    <w:rsid w:val="00D65406"/>
    <w:rsid w:val="00D65D62"/>
    <w:rsid w:val="00D65E8E"/>
    <w:rsid w:val="00D65EBD"/>
    <w:rsid w:val="00D6613D"/>
    <w:rsid w:val="00D66D15"/>
    <w:rsid w:val="00D6703D"/>
    <w:rsid w:val="00D717DA"/>
    <w:rsid w:val="00D72320"/>
    <w:rsid w:val="00D72349"/>
    <w:rsid w:val="00D7264C"/>
    <w:rsid w:val="00D73A24"/>
    <w:rsid w:val="00D74298"/>
    <w:rsid w:val="00D751A7"/>
    <w:rsid w:val="00D75BFB"/>
    <w:rsid w:val="00D76414"/>
    <w:rsid w:val="00D764CE"/>
    <w:rsid w:val="00D7659E"/>
    <w:rsid w:val="00D815CF"/>
    <w:rsid w:val="00D833EE"/>
    <w:rsid w:val="00D83744"/>
    <w:rsid w:val="00D838A1"/>
    <w:rsid w:val="00D841DE"/>
    <w:rsid w:val="00D84BA5"/>
    <w:rsid w:val="00D8607F"/>
    <w:rsid w:val="00D861CC"/>
    <w:rsid w:val="00D86EEF"/>
    <w:rsid w:val="00D87C46"/>
    <w:rsid w:val="00D87DC6"/>
    <w:rsid w:val="00D90130"/>
    <w:rsid w:val="00D92268"/>
    <w:rsid w:val="00D946B0"/>
    <w:rsid w:val="00D94793"/>
    <w:rsid w:val="00D948F0"/>
    <w:rsid w:val="00D9509F"/>
    <w:rsid w:val="00D958A2"/>
    <w:rsid w:val="00DA0E6E"/>
    <w:rsid w:val="00DA131E"/>
    <w:rsid w:val="00DA2566"/>
    <w:rsid w:val="00DA2679"/>
    <w:rsid w:val="00DA270C"/>
    <w:rsid w:val="00DA2731"/>
    <w:rsid w:val="00DA3039"/>
    <w:rsid w:val="00DA3C66"/>
    <w:rsid w:val="00DA3FC1"/>
    <w:rsid w:val="00DA446A"/>
    <w:rsid w:val="00DA5E2B"/>
    <w:rsid w:val="00DA6913"/>
    <w:rsid w:val="00DA6B88"/>
    <w:rsid w:val="00DA73B6"/>
    <w:rsid w:val="00DB03D4"/>
    <w:rsid w:val="00DB127D"/>
    <w:rsid w:val="00DB1DFC"/>
    <w:rsid w:val="00DB2208"/>
    <w:rsid w:val="00DB23A3"/>
    <w:rsid w:val="00DB27C2"/>
    <w:rsid w:val="00DB4403"/>
    <w:rsid w:val="00DB5B80"/>
    <w:rsid w:val="00DC6C47"/>
    <w:rsid w:val="00DC76C7"/>
    <w:rsid w:val="00DC7816"/>
    <w:rsid w:val="00DC79D0"/>
    <w:rsid w:val="00DC7B3F"/>
    <w:rsid w:val="00DD0078"/>
    <w:rsid w:val="00DD2941"/>
    <w:rsid w:val="00DD3F09"/>
    <w:rsid w:val="00DD62AD"/>
    <w:rsid w:val="00DD7153"/>
    <w:rsid w:val="00DD7C6B"/>
    <w:rsid w:val="00DE1142"/>
    <w:rsid w:val="00DE1E4F"/>
    <w:rsid w:val="00DE241C"/>
    <w:rsid w:val="00DE3176"/>
    <w:rsid w:val="00DE4364"/>
    <w:rsid w:val="00DE478F"/>
    <w:rsid w:val="00DE4E1D"/>
    <w:rsid w:val="00DE5D5F"/>
    <w:rsid w:val="00DE724E"/>
    <w:rsid w:val="00DE7BF9"/>
    <w:rsid w:val="00DF1FE5"/>
    <w:rsid w:val="00DF45B2"/>
    <w:rsid w:val="00DF47A4"/>
    <w:rsid w:val="00DF4854"/>
    <w:rsid w:val="00DF4F58"/>
    <w:rsid w:val="00DF6839"/>
    <w:rsid w:val="00DF7502"/>
    <w:rsid w:val="00DF7F2A"/>
    <w:rsid w:val="00E01359"/>
    <w:rsid w:val="00E0243D"/>
    <w:rsid w:val="00E03277"/>
    <w:rsid w:val="00E04103"/>
    <w:rsid w:val="00E0412C"/>
    <w:rsid w:val="00E05E2E"/>
    <w:rsid w:val="00E0702B"/>
    <w:rsid w:val="00E07993"/>
    <w:rsid w:val="00E07F91"/>
    <w:rsid w:val="00E102AD"/>
    <w:rsid w:val="00E10319"/>
    <w:rsid w:val="00E10C3C"/>
    <w:rsid w:val="00E11D42"/>
    <w:rsid w:val="00E11F2F"/>
    <w:rsid w:val="00E11FED"/>
    <w:rsid w:val="00E127C5"/>
    <w:rsid w:val="00E12BFC"/>
    <w:rsid w:val="00E13078"/>
    <w:rsid w:val="00E13A3A"/>
    <w:rsid w:val="00E1422C"/>
    <w:rsid w:val="00E1442D"/>
    <w:rsid w:val="00E1477D"/>
    <w:rsid w:val="00E1488D"/>
    <w:rsid w:val="00E14CD2"/>
    <w:rsid w:val="00E15546"/>
    <w:rsid w:val="00E15A89"/>
    <w:rsid w:val="00E161E8"/>
    <w:rsid w:val="00E16829"/>
    <w:rsid w:val="00E17D2E"/>
    <w:rsid w:val="00E20572"/>
    <w:rsid w:val="00E21D6C"/>
    <w:rsid w:val="00E22A19"/>
    <w:rsid w:val="00E24CD3"/>
    <w:rsid w:val="00E24CDB"/>
    <w:rsid w:val="00E24E49"/>
    <w:rsid w:val="00E25797"/>
    <w:rsid w:val="00E25D5A"/>
    <w:rsid w:val="00E2620F"/>
    <w:rsid w:val="00E301AE"/>
    <w:rsid w:val="00E31152"/>
    <w:rsid w:val="00E31578"/>
    <w:rsid w:val="00E315BC"/>
    <w:rsid w:val="00E32062"/>
    <w:rsid w:val="00E32093"/>
    <w:rsid w:val="00E320B7"/>
    <w:rsid w:val="00E33610"/>
    <w:rsid w:val="00E33BD4"/>
    <w:rsid w:val="00E35139"/>
    <w:rsid w:val="00E3589A"/>
    <w:rsid w:val="00E37136"/>
    <w:rsid w:val="00E4050C"/>
    <w:rsid w:val="00E40F0F"/>
    <w:rsid w:val="00E415EC"/>
    <w:rsid w:val="00E41D1F"/>
    <w:rsid w:val="00E41F0C"/>
    <w:rsid w:val="00E421ED"/>
    <w:rsid w:val="00E4268E"/>
    <w:rsid w:val="00E42A03"/>
    <w:rsid w:val="00E42B5D"/>
    <w:rsid w:val="00E43448"/>
    <w:rsid w:val="00E43740"/>
    <w:rsid w:val="00E441E6"/>
    <w:rsid w:val="00E44555"/>
    <w:rsid w:val="00E4526A"/>
    <w:rsid w:val="00E45387"/>
    <w:rsid w:val="00E4553F"/>
    <w:rsid w:val="00E4613E"/>
    <w:rsid w:val="00E46FB2"/>
    <w:rsid w:val="00E47912"/>
    <w:rsid w:val="00E50608"/>
    <w:rsid w:val="00E50B3D"/>
    <w:rsid w:val="00E5165B"/>
    <w:rsid w:val="00E51DB4"/>
    <w:rsid w:val="00E526A6"/>
    <w:rsid w:val="00E52ABA"/>
    <w:rsid w:val="00E5314F"/>
    <w:rsid w:val="00E5481A"/>
    <w:rsid w:val="00E55477"/>
    <w:rsid w:val="00E56E6A"/>
    <w:rsid w:val="00E56FE3"/>
    <w:rsid w:val="00E57F87"/>
    <w:rsid w:val="00E60563"/>
    <w:rsid w:val="00E60E2F"/>
    <w:rsid w:val="00E62390"/>
    <w:rsid w:val="00E6353F"/>
    <w:rsid w:val="00E64118"/>
    <w:rsid w:val="00E653E3"/>
    <w:rsid w:val="00E65991"/>
    <w:rsid w:val="00E65B04"/>
    <w:rsid w:val="00E666C4"/>
    <w:rsid w:val="00E668B7"/>
    <w:rsid w:val="00E66AEE"/>
    <w:rsid w:val="00E66C80"/>
    <w:rsid w:val="00E6765B"/>
    <w:rsid w:val="00E70478"/>
    <w:rsid w:val="00E70685"/>
    <w:rsid w:val="00E70BFE"/>
    <w:rsid w:val="00E70FF5"/>
    <w:rsid w:val="00E72999"/>
    <w:rsid w:val="00E72D81"/>
    <w:rsid w:val="00E7312D"/>
    <w:rsid w:val="00E736A7"/>
    <w:rsid w:val="00E73953"/>
    <w:rsid w:val="00E7413D"/>
    <w:rsid w:val="00E74410"/>
    <w:rsid w:val="00E7487F"/>
    <w:rsid w:val="00E74881"/>
    <w:rsid w:val="00E757E7"/>
    <w:rsid w:val="00E76015"/>
    <w:rsid w:val="00E7667B"/>
    <w:rsid w:val="00E80E5C"/>
    <w:rsid w:val="00E84A2D"/>
    <w:rsid w:val="00E85AE8"/>
    <w:rsid w:val="00E86B4A"/>
    <w:rsid w:val="00E870E3"/>
    <w:rsid w:val="00E87C26"/>
    <w:rsid w:val="00E90F10"/>
    <w:rsid w:val="00E9249E"/>
    <w:rsid w:val="00E92BB0"/>
    <w:rsid w:val="00E931B3"/>
    <w:rsid w:val="00E94E20"/>
    <w:rsid w:val="00E94F24"/>
    <w:rsid w:val="00E9535B"/>
    <w:rsid w:val="00E972E9"/>
    <w:rsid w:val="00E97DF7"/>
    <w:rsid w:val="00EA0DCE"/>
    <w:rsid w:val="00EA2361"/>
    <w:rsid w:val="00EA25F2"/>
    <w:rsid w:val="00EA2E9A"/>
    <w:rsid w:val="00EA2F3B"/>
    <w:rsid w:val="00EA3468"/>
    <w:rsid w:val="00EA3C71"/>
    <w:rsid w:val="00EA4616"/>
    <w:rsid w:val="00EA5CBD"/>
    <w:rsid w:val="00EA5EA8"/>
    <w:rsid w:val="00EA6C27"/>
    <w:rsid w:val="00EB0D3F"/>
    <w:rsid w:val="00EB11D4"/>
    <w:rsid w:val="00EB24FB"/>
    <w:rsid w:val="00EB2886"/>
    <w:rsid w:val="00EB398E"/>
    <w:rsid w:val="00EB39F2"/>
    <w:rsid w:val="00EB5585"/>
    <w:rsid w:val="00EB55A1"/>
    <w:rsid w:val="00EB5B42"/>
    <w:rsid w:val="00EB61BF"/>
    <w:rsid w:val="00EB6441"/>
    <w:rsid w:val="00EB6F20"/>
    <w:rsid w:val="00EC0D9F"/>
    <w:rsid w:val="00EC0F82"/>
    <w:rsid w:val="00EC21C3"/>
    <w:rsid w:val="00EC222B"/>
    <w:rsid w:val="00EC226F"/>
    <w:rsid w:val="00EC3AC1"/>
    <w:rsid w:val="00EC4096"/>
    <w:rsid w:val="00EC429C"/>
    <w:rsid w:val="00EC4429"/>
    <w:rsid w:val="00EC4807"/>
    <w:rsid w:val="00EC5E60"/>
    <w:rsid w:val="00EC6606"/>
    <w:rsid w:val="00EC6A51"/>
    <w:rsid w:val="00EC6F68"/>
    <w:rsid w:val="00ED0199"/>
    <w:rsid w:val="00ED05AC"/>
    <w:rsid w:val="00ED0901"/>
    <w:rsid w:val="00ED10E2"/>
    <w:rsid w:val="00ED16AA"/>
    <w:rsid w:val="00ED25AA"/>
    <w:rsid w:val="00ED2CA3"/>
    <w:rsid w:val="00ED3709"/>
    <w:rsid w:val="00ED3868"/>
    <w:rsid w:val="00ED3E3D"/>
    <w:rsid w:val="00ED5436"/>
    <w:rsid w:val="00ED7351"/>
    <w:rsid w:val="00ED7B91"/>
    <w:rsid w:val="00EE08A6"/>
    <w:rsid w:val="00EE2BEE"/>
    <w:rsid w:val="00EE4050"/>
    <w:rsid w:val="00EE4149"/>
    <w:rsid w:val="00EE5B4E"/>
    <w:rsid w:val="00EE74F4"/>
    <w:rsid w:val="00EE7B48"/>
    <w:rsid w:val="00EF0367"/>
    <w:rsid w:val="00EF0858"/>
    <w:rsid w:val="00EF13D8"/>
    <w:rsid w:val="00EF1A60"/>
    <w:rsid w:val="00EF20EE"/>
    <w:rsid w:val="00EF44D1"/>
    <w:rsid w:val="00EF58AC"/>
    <w:rsid w:val="00EF5CFD"/>
    <w:rsid w:val="00EF6238"/>
    <w:rsid w:val="00EF715A"/>
    <w:rsid w:val="00EF7235"/>
    <w:rsid w:val="00EF76E7"/>
    <w:rsid w:val="00F00BA1"/>
    <w:rsid w:val="00F02997"/>
    <w:rsid w:val="00F02EEA"/>
    <w:rsid w:val="00F03D59"/>
    <w:rsid w:val="00F04775"/>
    <w:rsid w:val="00F04867"/>
    <w:rsid w:val="00F04A1A"/>
    <w:rsid w:val="00F04E3E"/>
    <w:rsid w:val="00F06A29"/>
    <w:rsid w:val="00F07DA3"/>
    <w:rsid w:val="00F10771"/>
    <w:rsid w:val="00F1126C"/>
    <w:rsid w:val="00F15F64"/>
    <w:rsid w:val="00F1659B"/>
    <w:rsid w:val="00F16B9C"/>
    <w:rsid w:val="00F17319"/>
    <w:rsid w:val="00F17407"/>
    <w:rsid w:val="00F1759B"/>
    <w:rsid w:val="00F205E5"/>
    <w:rsid w:val="00F20D10"/>
    <w:rsid w:val="00F23A74"/>
    <w:rsid w:val="00F23BE7"/>
    <w:rsid w:val="00F25593"/>
    <w:rsid w:val="00F25D0D"/>
    <w:rsid w:val="00F26E48"/>
    <w:rsid w:val="00F26F20"/>
    <w:rsid w:val="00F274E9"/>
    <w:rsid w:val="00F31DFA"/>
    <w:rsid w:val="00F332A9"/>
    <w:rsid w:val="00F33903"/>
    <w:rsid w:val="00F342CB"/>
    <w:rsid w:val="00F34C56"/>
    <w:rsid w:val="00F34DF8"/>
    <w:rsid w:val="00F351A5"/>
    <w:rsid w:val="00F36742"/>
    <w:rsid w:val="00F406A9"/>
    <w:rsid w:val="00F40725"/>
    <w:rsid w:val="00F433A6"/>
    <w:rsid w:val="00F4396D"/>
    <w:rsid w:val="00F44044"/>
    <w:rsid w:val="00F4420E"/>
    <w:rsid w:val="00F44CA8"/>
    <w:rsid w:val="00F4513C"/>
    <w:rsid w:val="00F451F5"/>
    <w:rsid w:val="00F45B1E"/>
    <w:rsid w:val="00F45EBB"/>
    <w:rsid w:val="00F468F0"/>
    <w:rsid w:val="00F5040D"/>
    <w:rsid w:val="00F512A3"/>
    <w:rsid w:val="00F51AB4"/>
    <w:rsid w:val="00F51C68"/>
    <w:rsid w:val="00F523A8"/>
    <w:rsid w:val="00F5259C"/>
    <w:rsid w:val="00F525EA"/>
    <w:rsid w:val="00F52B50"/>
    <w:rsid w:val="00F53647"/>
    <w:rsid w:val="00F5418C"/>
    <w:rsid w:val="00F54723"/>
    <w:rsid w:val="00F55F34"/>
    <w:rsid w:val="00F56023"/>
    <w:rsid w:val="00F57359"/>
    <w:rsid w:val="00F57483"/>
    <w:rsid w:val="00F57802"/>
    <w:rsid w:val="00F57881"/>
    <w:rsid w:val="00F57AF5"/>
    <w:rsid w:val="00F60A7B"/>
    <w:rsid w:val="00F60A86"/>
    <w:rsid w:val="00F62B87"/>
    <w:rsid w:val="00F62E88"/>
    <w:rsid w:val="00F63313"/>
    <w:rsid w:val="00F638CB"/>
    <w:rsid w:val="00F63AB6"/>
    <w:rsid w:val="00F63B33"/>
    <w:rsid w:val="00F63FCB"/>
    <w:rsid w:val="00F65004"/>
    <w:rsid w:val="00F6504D"/>
    <w:rsid w:val="00F65208"/>
    <w:rsid w:val="00F6598F"/>
    <w:rsid w:val="00F659DF"/>
    <w:rsid w:val="00F65D65"/>
    <w:rsid w:val="00F67846"/>
    <w:rsid w:val="00F67BE6"/>
    <w:rsid w:val="00F702A8"/>
    <w:rsid w:val="00F702E1"/>
    <w:rsid w:val="00F71E49"/>
    <w:rsid w:val="00F72740"/>
    <w:rsid w:val="00F73201"/>
    <w:rsid w:val="00F769CD"/>
    <w:rsid w:val="00F76FB3"/>
    <w:rsid w:val="00F8020A"/>
    <w:rsid w:val="00F811FC"/>
    <w:rsid w:val="00F83726"/>
    <w:rsid w:val="00F838B1"/>
    <w:rsid w:val="00F84121"/>
    <w:rsid w:val="00F84433"/>
    <w:rsid w:val="00F8481F"/>
    <w:rsid w:val="00F84A7A"/>
    <w:rsid w:val="00F84D1B"/>
    <w:rsid w:val="00F854FD"/>
    <w:rsid w:val="00F8567E"/>
    <w:rsid w:val="00F85DC2"/>
    <w:rsid w:val="00F86B33"/>
    <w:rsid w:val="00F90ECE"/>
    <w:rsid w:val="00F91A20"/>
    <w:rsid w:val="00F91C17"/>
    <w:rsid w:val="00F92164"/>
    <w:rsid w:val="00F924E3"/>
    <w:rsid w:val="00F93CA0"/>
    <w:rsid w:val="00F949B1"/>
    <w:rsid w:val="00F958EE"/>
    <w:rsid w:val="00F964BB"/>
    <w:rsid w:val="00F96EEB"/>
    <w:rsid w:val="00F96F8A"/>
    <w:rsid w:val="00F9761F"/>
    <w:rsid w:val="00FA06B9"/>
    <w:rsid w:val="00FA102C"/>
    <w:rsid w:val="00FA124F"/>
    <w:rsid w:val="00FA12B8"/>
    <w:rsid w:val="00FA182A"/>
    <w:rsid w:val="00FA310E"/>
    <w:rsid w:val="00FA3200"/>
    <w:rsid w:val="00FA56CB"/>
    <w:rsid w:val="00FA6AF3"/>
    <w:rsid w:val="00FB3124"/>
    <w:rsid w:val="00FB32EE"/>
    <w:rsid w:val="00FB6FEE"/>
    <w:rsid w:val="00FB773B"/>
    <w:rsid w:val="00FC10F8"/>
    <w:rsid w:val="00FC116C"/>
    <w:rsid w:val="00FC1B73"/>
    <w:rsid w:val="00FC37B3"/>
    <w:rsid w:val="00FC3C0E"/>
    <w:rsid w:val="00FC3C74"/>
    <w:rsid w:val="00FC4014"/>
    <w:rsid w:val="00FC544A"/>
    <w:rsid w:val="00FC5616"/>
    <w:rsid w:val="00FC5906"/>
    <w:rsid w:val="00FC5A64"/>
    <w:rsid w:val="00FC62B0"/>
    <w:rsid w:val="00FC692C"/>
    <w:rsid w:val="00FC76F0"/>
    <w:rsid w:val="00FD04D5"/>
    <w:rsid w:val="00FD0772"/>
    <w:rsid w:val="00FD0BCA"/>
    <w:rsid w:val="00FD2630"/>
    <w:rsid w:val="00FD328C"/>
    <w:rsid w:val="00FD3B7C"/>
    <w:rsid w:val="00FD4025"/>
    <w:rsid w:val="00FD40BF"/>
    <w:rsid w:val="00FD52E1"/>
    <w:rsid w:val="00FD5F84"/>
    <w:rsid w:val="00FD7299"/>
    <w:rsid w:val="00FE0763"/>
    <w:rsid w:val="00FE089A"/>
    <w:rsid w:val="00FE2094"/>
    <w:rsid w:val="00FE263E"/>
    <w:rsid w:val="00FE277D"/>
    <w:rsid w:val="00FE43CA"/>
    <w:rsid w:val="00FE586B"/>
    <w:rsid w:val="00FE604D"/>
    <w:rsid w:val="00FE764B"/>
    <w:rsid w:val="00FE7E03"/>
    <w:rsid w:val="00FF043C"/>
    <w:rsid w:val="00FF0A29"/>
    <w:rsid w:val="00FF395F"/>
    <w:rsid w:val="00FF6172"/>
    <w:rsid w:val="00FF6A8B"/>
    <w:rsid w:val="00FF6D69"/>
    <w:rsid w:val="00FF6E78"/>
    <w:rsid w:val="00FF7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7F6F9"/>
  <w15:docId w15:val="{CD38738E-B62C-4183-8B62-9EECA7E4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24F5"/>
    <w:pPr>
      <w:spacing w:after="150" w:line="276" w:lineRule="auto"/>
      <w:jc w:val="both"/>
    </w:pPr>
  </w:style>
  <w:style w:type="paragraph" w:styleId="Cmsor1">
    <w:name w:val="heading 1"/>
    <w:basedOn w:val="Norml"/>
    <w:next w:val="Norml"/>
    <w:link w:val="Cmsor1Char"/>
    <w:qFormat/>
    <w:rsid w:val="005A24F5"/>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5A24F5"/>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5A24F5"/>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5A24F5"/>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5A24F5"/>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5A24F5"/>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5A24F5"/>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5A24F5"/>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5A24F5"/>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5A24F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5A24F5"/>
  </w:style>
  <w:style w:type="table" w:customStyle="1" w:styleId="tblzat-mtrix">
    <w:name w:val="táblázat - mátrix"/>
    <w:basedOn w:val="Normltblzat"/>
    <w:uiPriority w:val="2"/>
    <w:qFormat/>
    <w:rsid w:val="005A24F5"/>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5A24F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aliases w:val="lista_2,Paragraphe EI,Paragraphe de liste1,EC,Paragraphe de liste"/>
    <w:basedOn w:val="Norml"/>
    <w:link w:val="ListaszerbekezdsChar"/>
    <w:uiPriority w:val="4"/>
    <w:qFormat/>
    <w:rsid w:val="005A24F5"/>
    <w:pPr>
      <w:numPr>
        <w:numId w:val="8"/>
      </w:numPr>
      <w:contextualSpacing/>
    </w:pPr>
  </w:style>
  <w:style w:type="character" w:styleId="Hiperhivatkozs">
    <w:name w:val="Hyperlink"/>
    <w:basedOn w:val="Vgjegyzet-hivatkozs"/>
    <w:uiPriority w:val="99"/>
    <w:rsid w:val="005A24F5"/>
    <w:rPr>
      <w:rFonts w:ascii="Calibri" w:hAnsi="Calibri"/>
      <w:color w:val="0000FF"/>
      <w:sz w:val="20"/>
      <w:u w:val="single"/>
      <w:vertAlign w:val="superscript"/>
    </w:rPr>
  </w:style>
  <w:style w:type="table" w:customStyle="1" w:styleId="tblzat-oldallces">
    <w:name w:val="táblázat - oldalléces"/>
    <w:basedOn w:val="Normltblzat"/>
    <w:uiPriority w:val="3"/>
    <w:qFormat/>
    <w:rsid w:val="005A24F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5A24F5"/>
    <w:rPr>
      <w:vertAlign w:val="superscript"/>
    </w:rPr>
  </w:style>
  <w:style w:type="paragraph" w:styleId="Buborkszveg">
    <w:name w:val="Balloon Text"/>
    <w:basedOn w:val="Norml"/>
    <w:link w:val="BuborkszvegChar"/>
    <w:uiPriority w:val="99"/>
    <w:semiHidden/>
    <w:unhideWhenUsed/>
    <w:rsid w:val="005A24F5"/>
    <w:rPr>
      <w:rFonts w:ascii="Tahoma" w:hAnsi="Tahoma" w:cs="Tahoma"/>
      <w:sz w:val="16"/>
      <w:szCs w:val="16"/>
    </w:rPr>
  </w:style>
  <w:style w:type="paragraph" w:customStyle="1" w:styleId="Magyarzszveg">
    <w:name w:val="Magyarázó szöveg"/>
    <w:basedOn w:val="Norml"/>
    <w:next w:val="Norml"/>
    <w:uiPriority w:val="7"/>
    <w:rsid w:val="005A24F5"/>
    <w:rPr>
      <w:color w:val="F6A800" w:themeColor="accent5"/>
      <w:sz w:val="18"/>
    </w:rPr>
  </w:style>
  <w:style w:type="character" w:customStyle="1" w:styleId="BuborkszvegChar">
    <w:name w:val="Buborékszöveg Char"/>
    <w:basedOn w:val="Bekezdsalapbettpusa"/>
    <w:link w:val="Buborkszveg"/>
    <w:uiPriority w:val="99"/>
    <w:semiHidden/>
    <w:rsid w:val="005A24F5"/>
    <w:rPr>
      <w:rFonts w:ascii="Tahoma" w:hAnsi="Tahoma" w:cs="Tahoma"/>
      <w:sz w:val="16"/>
      <w:szCs w:val="16"/>
    </w:rPr>
  </w:style>
  <w:style w:type="paragraph" w:styleId="lfej">
    <w:name w:val="header"/>
    <w:basedOn w:val="Norml"/>
    <w:link w:val="lfejChar"/>
    <w:uiPriority w:val="99"/>
    <w:unhideWhenUsed/>
    <w:rsid w:val="005A24F5"/>
    <w:pPr>
      <w:tabs>
        <w:tab w:val="center" w:pos="4536"/>
        <w:tab w:val="right" w:pos="9072"/>
      </w:tabs>
    </w:pPr>
  </w:style>
  <w:style w:type="character" w:customStyle="1" w:styleId="lfejChar">
    <w:name w:val="Élőfej Char"/>
    <w:basedOn w:val="Bekezdsalapbettpusa"/>
    <w:link w:val="lfej"/>
    <w:uiPriority w:val="99"/>
    <w:rsid w:val="005A24F5"/>
  </w:style>
  <w:style w:type="paragraph" w:styleId="llb">
    <w:name w:val="footer"/>
    <w:basedOn w:val="Norml"/>
    <w:link w:val="llbChar"/>
    <w:uiPriority w:val="99"/>
    <w:unhideWhenUsed/>
    <w:rsid w:val="005A24F5"/>
    <w:pPr>
      <w:tabs>
        <w:tab w:val="center" w:pos="4536"/>
        <w:tab w:val="right" w:pos="9072"/>
      </w:tabs>
    </w:pPr>
  </w:style>
  <w:style w:type="character" w:customStyle="1" w:styleId="llbChar">
    <w:name w:val="Élőláb Char"/>
    <w:basedOn w:val="Bekezdsalapbettpusa"/>
    <w:link w:val="llb"/>
    <w:uiPriority w:val="99"/>
    <w:rsid w:val="005A24F5"/>
  </w:style>
  <w:style w:type="paragraph" w:customStyle="1" w:styleId="Szmozs">
    <w:name w:val="Számozás"/>
    <w:basedOn w:val="Norml"/>
    <w:uiPriority w:val="4"/>
    <w:qFormat/>
    <w:rsid w:val="005A24F5"/>
    <w:pPr>
      <w:numPr>
        <w:numId w:val="4"/>
      </w:numPr>
      <w:spacing w:before="120"/>
      <w:contextualSpacing/>
    </w:pPr>
  </w:style>
  <w:style w:type="table" w:styleId="Rcsostblzat">
    <w:name w:val="Table Grid"/>
    <w:aliases w:val="Szegély nélküli"/>
    <w:basedOn w:val="Normltblzat"/>
    <w:uiPriority w:val="59"/>
    <w:rsid w:val="005A24F5"/>
    <w:pPr>
      <w:contextualSpacing/>
    </w:pPr>
    <w:tblPr/>
    <w:tcPr>
      <w:vAlign w:val="center"/>
    </w:tcPr>
  </w:style>
  <w:style w:type="character" w:customStyle="1" w:styleId="Cmsor4Char">
    <w:name w:val="Címsor 4 Char"/>
    <w:basedOn w:val="Bekezdsalapbettpusa"/>
    <w:link w:val="Cmsor4"/>
    <w:rsid w:val="005A24F5"/>
    <w:rPr>
      <w:iCs/>
      <w:color w:val="0C2148" w:themeColor="text2"/>
      <w:szCs w:val="30"/>
    </w:rPr>
  </w:style>
  <w:style w:type="character" w:customStyle="1" w:styleId="Cmsor5Char">
    <w:name w:val="Címsor 5 Char"/>
    <w:basedOn w:val="Bekezdsalapbettpusa"/>
    <w:link w:val="Cmsor5"/>
    <w:rsid w:val="005A24F5"/>
    <w:rPr>
      <w:color w:val="0C2148" w:themeColor="text2"/>
      <w:szCs w:val="26"/>
    </w:rPr>
  </w:style>
  <w:style w:type="character" w:customStyle="1" w:styleId="Cmsor6Char">
    <w:name w:val="Címsor 6 Char"/>
    <w:basedOn w:val="Bekezdsalapbettpusa"/>
    <w:link w:val="Cmsor6"/>
    <w:rsid w:val="005A24F5"/>
    <w:rPr>
      <w:color w:val="0C2148" w:themeColor="text2"/>
    </w:rPr>
  </w:style>
  <w:style w:type="character" w:customStyle="1" w:styleId="Cmsor1Char">
    <w:name w:val="Címsor 1 Char"/>
    <w:basedOn w:val="Bekezdsalapbettpusa"/>
    <w:link w:val="Cmsor1"/>
    <w:rsid w:val="005A24F5"/>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5A24F5"/>
    <w:rPr>
      <w:b/>
      <w:color w:val="0C2148" w:themeColor="text2"/>
      <w:sz w:val="24"/>
      <w:szCs w:val="38"/>
    </w:rPr>
  </w:style>
  <w:style w:type="character" w:customStyle="1" w:styleId="Cmsor3Char">
    <w:name w:val="Címsor 3 Char"/>
    <w:basedOn w:val="Bekezdsalapbettpusa"/>
    <w:link w:val="Cmsor3"/>
    <w:rsid w:val="005A24F5"/>
    <w:rPr>
      <w:bCs/>
      <w:color w:val="0C2148" w:themeColor="text2"/>
      <w:szCs w:val="34"/>
    </w:rPr>
  </w:style>
  <w:style w:type="paragraph" w:styleId="Cm">
    <w:name w:val="Title"/>
    <w:basedOn w:val="Norml"/>
    <w:next w:val="Norml"/>
    <w:link w:val="CmChar"/>
    <w:uiPriority w:val="3"/>
    <w:qFormat/>
    <w:rsid w:val="005A24F5"/>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5A24F5"/>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5A24F5"/>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5A24F5"/>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5A24F5"/>
    <w:rPr>
      <w:rFonts w:eastAsiaTheme="majorEastAsia" w:cstheme="majorBidi"/>
      <w:i/>
      <w:iCs/>
      <w:color w:val="404040" w:themeColor="text1" w:themeTint="BF"/>
    </w:rPr>
  </w:style>
  <w:style w:type="numbering" w:customStyle="1" w:styleId="Style1">
    <w:name w:val="Style1"/>
    <w:uiPriority w:val="99"/>
    <w:rsid w:val="005A24F5"/>
    <w:pPr>
      <w:numPr>
        <w:numId w:val="1"/>
      </w:numPr>
    </w:pPr>
  </w:style>
  <w:style w:type="paragraph" w:styleId="TJ7">
    <w:name w:val="toc 7"/>
    <w:basedOn w:val="Norml"/>
    <w:next w:val="Norml"/>
    <w:autoRedefine/>
    <w:uiPriority w:val="99"/>
    <w:locked/>
    <w:rsid w:val="005A24F5"/>
    <w:pPr>
      <w:spacing w:after="100"/>
      <w:ind w:left="1200"/>
    </w:pPr>
    <w:rPr>
      <w:color w:val="385623" w:themeColor="accent6" w:themeShade="80"/>
    </w:rPr>
  </w:style>
  <w:style w:type="paragraph" w:styleId="TJ8">
    <w:name w:val="toc 8"/>
    <w:basedOn w:val="Norml"/>
    <w:next w:val="Norml"/>
    <w:autoRedefine/>
    <w:uiPriority w:val="99"/>
    <w:locked/>
    <w:rsid w:val="005A24F5"/>
    <w:pPr>
      <w:spacing w:after="100"/>
      <w:ind w:left="1400"/>
    </w:pPr>
    <w:rPr>
      <w:color w:val="385623" w:themeColor="accent6" w:themeShade="80"/>
    </w:rPr>
  </w:style>
  <w:style w:type="paragraph" w:styleId="TJ9">
    <w:name w:val="toc 9"/>
    <w:basedOn w:val="Norml"/>
    <w:next w:val="Norml"/>
    <w:autoRedefine/>
    <w:uiPriority w:val="99"/>
    <w:locked/>
    <w:rsid w:val="005A24F5"/>
    <w:pPr>
      <w:spacing w:after="100"/>
      <w:ind w:left="1600"/>
    </w:pPr>
    <w:rPr>
      <w:color w:val="385623" w:themeColor="accent6" w:themeShade="80"/>
    </w:rPr>
  </w:style>
  <w:style w:type="table" w:customStyle="1" w:styleId="Calendar2">
    <w:name w:val="Calendar 2"/>
    <w:basedOn w:val="Normltblzat"/>
    <w:uiPriority w:val="99"/>
    <w:qFormat/>
    <w:rsid w:val="005A24F5"/>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5A24F5"/>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5A24F5"/>
    <w:rPr>
      <w:rFonts w:eastAsiaTheme="minorEastAsia"/>
      <w:color w:val="0C2148" w:themeColor="text2"/>
      <w:sz w:val="16"/>
    </w:rPr>
  </w:style>
  <w:style w:type="character" w:styleId="Finomkiemels">
    <w:name w:val="Subtle Emphasis"/>
    <w:basedOn w:val="Bekezdsalapbettpusa"/>
    <w:uiPriority w:val="19"/>
    <w:qFormat/>
    <w:rsid w:val="005A24F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5A24F5"/>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5A24F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5A24F5"/>
    <w:rPr>
      <w:color w:val="385623" w:themeColor="accent6" w:themeShade="80"/>
    </w:rPr>
  </w:style>
  <w:style w:type="character" w:customStyle="1" w:styleId="VgjegyzetszvegeChar">
    <w:name w:val="Végjegyzet szövege Char"/>
    <w:basedOn w:val="Bekezdsalapbettpusa"/>
    <w:link w:val="Vgjegyzetszvege"/>
    <w:uiPriority w:val="99"/>
    <w:semiHidden/>
    <w:rsid w:val="005A24F5"/>
    <w:rPr>
      <w:color w:val="385623" w:themeColor="accent6" w:themeShade="80"/>
    </w:rPr>
  </w:style>
  <w:style w:type="table" w:customStyle="1" w:styleId="Vilgosrnykols1jellszn1">
    <w:name w:val="Világos árnyékolás – 1. jelölőszín1"/>
    <w:basedOn w:val="Normltblzat"/>
    <w:uiPriority w:val="60"/>
    <w:rsid w:val="005A24F5"/>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5A24F5"/>
    <w:pPr>
      <w:numPr>
        <w:numId w:val="5"/>
      </w:numPr>
    </w:pPr>
  </w:style>
  <w:style w:type="paragraph" w:customStyle="1" w:styleId="Tblaszvegstlus">
    <w:name w:val="Tábla szöveg stílus"/>
    <w:basedOn w:val="Norml"/>
    <w:link w:val="TblaszvegstlusChar"/>
    <w:uiPriority w:val="8"/>
    <w:qFormat/>
    <w:rsid w:val="005A24F5"/>
  </w:style>
  <w:style w:type="character" w:customStyle="1" w:styleId="ListaszerbekezdsChar">
    <w:name w:val="Listaszerű bekezdés Char"/>
    <w:aliases w:val="lista_2 Char,Paragraphe EI Char,Paragraphe de liste1 Char,EC Char,Paragraphe de liste Char"/>
    <w:basedOn w:val="Bekezdsalapbettpusa"/>
    <w:link w:val="Listaszerbekezds"/>
    <w:uiPriority w:val="4"/>
    <w:rsid w:val="005A24F5"/>
  </w:style>
  <w:style w:type="character" w:customStyle="1" w:styleId="Listaszerbekezds2Char">
    <w:name w:val="Listaszerű bekezdés 2 Char"/>
    <w:basedOn w:val="ListaszerbekezdsChar"/>
    <w:link w:val="Listaszerbekezds2"/>
    <w:uiPriority w:val="4"/>
    <w:rsid w:val="005A24F5"/>
  </w:style>
  <w:style w:type="character" w:customStyle="1" w:styleId="TblaszvegstlusChar">
    <w:name w:val="Tábla szöveg stílus Char"/>
    <w:basedOn w:val="Bekezdsalapbettpusa"/>
    <w:link w:val="Tblaszvegstlus"/>
    <w:uiPriority w:val="8"/>
    <w:rsid w:val="005A24F5"/>
  </w:style>
  <w:style w:type="character" w:styleId="Finomhivatkozs">
    <w:name w:val="Subtle Reference"/>
    <w:basedOn w:val="Bekezdsalapbettpusa"/>
    <w:uiPriority w:val="31"/>
    <w:rsid w:val="005A24F5"/>
    <w:rPr>
      <w:sz w:val="24"/>
      <w:szCs w:val="24"/>
      <w:u w:val="single"/>
    </w:rPr>
  </w:style>
  <w:style w:type="character" w:styleId="Ershivatkozs">
    <w:name w:val="Intense Reference"/>
    <w:basedOn w:val="Bekezdsalapbettpusa"/>
    <w:uiPriority w:val="32"/>
    <w:rsid w:val="005A24F5"/>
    <w:rPr>
      <w:b/>
      <w:sz w:val="24"/>
      <w:u w:val="single"/>
    </w:rPr>
  </w:style>
  <w:style w:type="paragraph" w:customStyle="1" w:styleId="Listaszerbekezds2szint">
    <w:name w:val="Listaszerű bekezdés 2. szint"/>
    <w:basedOn w:val="Listaszerbekezds"/>
    <w:link w:val="Listaszerbekezds2szintChar"/>
    <w:uiPriority w:val="4"/>
    <w:qFormat/>
    <w:rsid w:val="005A24F5"/>
    <w:pPr>
      <w:numPr>
        <w:numId w:val="7"/>
      </w:numPr>
    </w:pPr>
  </w:style>
  <w:style w:type="paragraph" w:customStyle="1" w:styleId="Listaszerbekezds3szint">
    <w:name w:val="Listaszerű bekezdés 3. szint"/>
    <w:basedOn w:val="Listaszerbekezds"/>
    <w:link w:val="Listaszerbekezds3szintChar"/>
    <w:uiPriority w:val="4"/>
    <w:qFormat/>
    <w:rsid w:val="005A24F5"/>
    <w:pPr>
      <w:numPr>
        <w:ilvl w:val="2"/>
        <w:numId w:val="9"/>
      </w:numPr>
    </w:pPr>
  </w:style>
  <w:style w:type="character" w:customStyle="1" w:styleId="Listaszerbekezds2szintChar">
    <w:name w:val="Listaszerű bekezdés 2. szint Char"/>
    <w:basedOn w:val="ListaszerbekezdsChar"/>
    <w:link w:val="Listaszerbekezds2szint"/>
    <w:uiPriority w:val="4"/>
    <w:rsid w:val="005A24F5"/>
  </w:style>
  <w:style w:type="character" w:customStyle="1" w:styleId="Listaszerbekezds3szintChar">
    <w:name w:val="Listaszerű bekezdés 3. szint Char"/>
    <w:basedOn w:val="ListaszerbekezdsChar"/>
    <w:link w:val="Listaszerbekezds3szint"/>
    <w:uiPriority w:val="4"/>
    <w:rsid w:val="005A24F5"/>
  </w:style>
  <w:style w:type="paragraph" w:styleId="Alcm">
    <w:name w:val="Subtitle"/>
    <w:basedOn w:val="Norml"/>
    <w:next w:val="Norml"/>
    <w:link w:val="AlcmChar"/>
    <w:uiPriority w:val="11"/>
    <w:rsid w:val="005A24F5"/>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5A24F5"/>
    <w:rPr>
      <w:rFonts w:eastAsiaTheme="majorEastAsia" w:cstheme="majorBidi"/>
    </w:rPr>
  </w:style>
  <w:style w:type="paragraph" w:customStyle="1" w:styleId="Listabetvel">
    <w:name w:val="Lista betűvel"/>
    <w:basedOn w:val="Listaszerbekezds"/>
    <w:link w:val="ListabetvelChar"/>
    <w:uiPriority w:val="4"/>
    <w:qFormat/>
    <w:rsid w:val="005A24F5"/>
    <w:pPr>
      <w:numPr>
        <w:numId w:val="6"/>
      </w:numPr>
    </w:pPr>
  </w:style>
  <w:style w:type="character" w:customStyle="1" w:styleId="ListabetvelChar">
    <w:name w:val="Lista betűvel Char"/>
    <w:basedOn w:val="ListaszerbekezdsChar"/>
    <w:link w:val="Listabetvel"/>
    <w:uiPriority w:val="4"/>
    <w:rsid w:val="005A24F5"/>
  </w:style>
  <w:style w:type="paragraph" w:customStyle="1" w:styleId="Erskiemels1">
    <w:name w:val="Erős kiemelés1"/>
    <w:basedOn w:val="Norml"/>
    <w:link w:val="ErskiemelsChar"/>
    <w:uiPriority w:val="5"/>
    <w:qFormat/>
    <w:rsid w:val="005A24F5"/>
    <w:rPr>
      <w:b/>
      <w:i/>
    </w:rPr>
  </w:style>
  <w:style w:type="character" w:customStyle="1" w:styleId="ErskiemelsChar">
    <w:name w:val="Erős kiemelés Char"/>
    <w:basedOn w:val="Bekezdsalapbettpusa"/>
    <w:link w:val="Erskiemels1"/>
    <w:uiPriority w:val="5"/>
    <w:rsid w:val="005A24F5"/>
    <w:rPr>
      <w:b/>
      <w:i/>
    </w:rPr>
  </w:style>
  <w:style w:type="paragraph" w:customStyle="1" w:styleId="Bold">
    <w:name w:val="Bold"/>
    <w:basedOn w:val="Norml"/>
    <w:link w:val="BoldChar"/>
    <w:uiPriority w:val="6"/>
    <w:qFormat/>
    <w:rsid w:val="005A24F5"/>
    <w:rPr>
      <w:b/>
    </w:rPr>
  </w:style>
  <w:style w:type="character" w:customStyle="1" w:styleId="BoldChar">
    <w:name w:val="Bold Char"/>
    <w:basedOn w:val="Bekezdsalapbettpusa"/>
    <w:link w:val="Bold"/>
    <w:uiPriority w:val="6"/>
    <w:rsid w:val="005A24F5"/>
    <w:rPr>
      <w:b/>
    </w:rPr>
  </w:style>
  <w:style w:type="character" w:styleId="Mrltotthiperhivatkozs">
    <w:name w:val="FollowedHyperlink"/>
    <w:basedOn w:val="Bekezdsalapbettpusa"/>
    <w:uiPriority w:val="99"/>
    <w:semiHidden/>
    <w:unhideWhenUsed/>
    <w:rsid w:val="005A24F5"/>
    <w:rPr>
      <w:color w:val="954F72" w:themeColor="followedHyperlink"/>
      <w:u w:val="single"/>
    </w:rPr>
  </w:style>
  <w:style w:type="paragraph" w:styleId="Tartalomjegyzkcmsora">
    <w:name w:val="TOC Heading"/>
    <w:basedOn w:val="Cmsor1"/>
    <w:next w:val="Norml"/>
    <w:uiPriority w:val="39"/>
    <w:unhideWhenUsed/>
    <w:qFormat/>
    <w:rsid w:val="005A24F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5A24F5"/>
    <w:pPr>
      <w:spacing w:after="100"/>
      <w:ind w:left="220"/>
      <w:jc w:val="left"/>
    </w:pPr>
    <w:rPr>
      <w:rFonts w:eastAsiaTheme="minorEastAsia"/>
    </w:rPr>
  </w:style>
  <w:style w:type="paragraph" w:styleId="TJ1">
    <w:name w:val="toc 1"/>
    <w:basedOn w:val="Norml"/>
    <w:next w:val="Norml"/>
    <w:autoRedefine/>
    <w:uiPriority w:val="39"/>
    <w:unhideWhenUsed/>
    <w:qFormat/>
    <w:locked/>
    <w:rsid w:val="005A24F5"/>
    <w:pPr>
      <w:spacing w:after="100"/>
      <w:jc w:val="left"/>
    </w:pPr>
    <w:rPr>
      <w:rFonts w:eastAsiaTheme="minorEastAsia"/>
    </w:rPr>
  </w:style>
  <w:style w:type="paragraph" w:styleId="TJ3">
    <w:name w:val="toc 3"/>
    <w:basedOn w:val="Norml"/>
    <w:next w:val="Norml"/>
    <w:uiPriority w:val="39"/>
    <w:unhideWhenUsed/>
    <w:qFormat/>
    <w:locked/>
    <w:rsid w:val="005A24F5"/>
    <w:pPr>
      <w:spacing w:after="100"/>
      <w:ind w:left="400"/>
    </w:pPr>
  </w:style>
  <w:style w:type="paragraph" w:customStyle="1" w:styleId="StyleTOC2Left015">
    <w:name w:val="Style TOC 2 + Left:  0.15&quot;"/>
    <w:basedOn w:val="TJ2"/>
    <w:rsid w:val="005A24F5"/>
    <w:pPr>
      <w:ind w:left="216"/>
    </w:pPr>
    <w:rPr>
      <w:rFonts w:eastAsia="Times New Roman" w:cs="Times New Roman"/>
    </w:rPr>
  </w:style>
  <w:style w:type="paragraph" w:customStyle="1" w:styleId="StyleTOC3Left031">
    <w:name w:val="Style TOC 3 + Left:  0.31&quot;"/>
    <w:basedOn w:val="TJ3"/>
    <w:rsid w:val="005A24F5"/>
    <w:pPr>
      <w:ind w:left="446"/>
    </w:pPr>
    <w:rPr>
      <w:rFonts w:eastAsia="Times New Roman" w:cs="Times New Roman"/>
    </w:rPr>
  </w:style>
  <w:style w:type="numbering" w:customStyle="1" w:styleId="Hierarchikuslista">
    <w:name w:val="Hierarchikus lista"/>
    <w:uiPriority w:val="99"/>
    <w:rsid w:val="005A24F5"/>
    <w:pPr>
      <w:numPr>
        <w:numId w:val="2"/>
      </w:numPr>
    </w:pPr>
  </w:style>
  <w:style w:type="paragraph" w:customStyle="1" w:styleId="HierarchikusLista0">
    <w:name w:val="Hierarchikus Lista"/>
    <w:basedOn w:val="Listaszerbekezds"/>
    <w:link w:val="HierarchikusListaChar"/>
    <w:qFormat/>
    <w:rsid w:val="005A24F5"/>
    <w:pPr>
      <w:numPr>
        <w:numId w:val="0"/>
      </w:numPr>
    </w:pPr>
  </w:style>
  <w:style w:type="character" w:customStyle="1" w:styleId="HierarchikusListaChar">
    <w:name w:val="Hierarchikus Lista Char"/>
    <w:basedOn w:val="ListaszerbekezdsChar"/>
    <w:link w:val="HierarchikusLista0"/>
    <w:rsid w:val="005A24F5"/>
  </w:style>
  <w:style w:type="character" w:styleId="Kiemels2">
    <w:name w:val="Strong"/>
    <w:basedOn w:val="Bekezdsalapbettpusa"/>
    <w:uiPriority w:val="22"/>
    <w:rsid w:val="005A24F5"/>
    <w:rPr>
      <w:b/>
      <w:bCs/>
    </w:rPr>
  </w:style>
  <w:style w:type="character" w:styleId="Kiemels">
    <w:name w:val="Emphasis"/>
    <w:basedOn w:val="Bekezdsalapbettpusa"/>
    <w:uiPriority w:val="6"/>
    <w:qFormat/>
    <w:rsid w:val="005A24F5"/>
    <w:rPr>
      <w:i/>
      <w:iCs/>
    </w:rPr>
  </w:style>
  <w:style w:type="paragraph" w:styleId="Nincstrkz">
    <w:name w:val="No Spacing"/>
    <w:basedOn w:val="Norml"/>
    <w:uiPriority w:val="1"/>
    <w:rsid w:val="005A24F5"/>
    <w:rPr>
      <w:szCs w:val="32"/>
    </w:rPr>
  </w:style>
  <w:style w:type="paragraph" w:styleId="Idzet">
    <w:name w:val="Quote"/>
    <w:basedOn w:val="Norml"/>
    <w:next w:val="Norml"/>
    <w:link w:val="IdzetChar"/>
    <w:uiPriority w:val="29"/>
    <w:rsid w:val="005A24F5"/>
    <w:rPr>
      <w:i/>
    </w:rPr>
  </w:style>
  <w:style w:type="character" w:customStyle="1" w:styleId="IdzetChar">
    <w:name w:val="Idézet Char"/>
    <w:basedOn w:val="Bekezdsalapbettpusa"/>
    <w:link w:val="Idzet"/>
    <w:uiPriority w:val="29"/>
    <w:rsid w:val="005A24F5"/>
    <w:rPr>
      <w:i/>
    </w:rPr>
  </w:style>
  <w:style w:type="paragraph" w:styleId="Kiemeltidzet">
    <w:name w:val="Intense Quote"/>
    <w:basedOn w:val="Norml"/>
    <w:next w:val="Norml"/>
    <w:link w:val="KiemeltidzetChar"/>
    <w:uiPriority w:val="30"/>
    <w:rsid w:val="005A24F5"/>
    <w:pPr>
      <w:ind w:left="720" w:right="720"/>
    </w:pPr>
    <w:rPr>
      <w:b/>
      <w:i/>
    </w:rPr>
  </w:style>
  <w:style w:type="character" w:customStyle="1" w:styleId="KiemeltidzetChar">
    <w:name w:val="Kiemelt idézet Char"/>
    <w:basedOn w:val="Bekezdsalapbettpusa"/>
    <w:link w:val="Kiemeltidzet"/>
    <w:uiPriority w:val="30"/>
    <w:rsid w:val="005A24F5"/>
    <w:rPr>
      <w:b/>
      <w:i/>
    </w:rPr>
  </w:style>
  <w:style w:type="character" w:styleId="Erskiemels">
    <w:name w:val="Intense Emphasis"/>
    <w:basedOn w:val="Bekezdsalapbettpusa"/>
    <w:uiPriority w:val="21"/>
    <w:rsid w:val="005A24F5"/>
    <w:rPr>
      <w:b/>
      <w:i/>
      <w:sz w:val="24"/>
      <w:szCs w:val="24"/>
      <w:u w:val="single"/>
    </w:rPr>
  </w:style>
  <w:style w:type="character" w:styleId="Knyvcme">
    <w:name w:val="Book Title"/>
    <w:basedOn w:val="Bekezdsalapbettpusa"/>
    <w:uiPriority w:val="33"/>
    <w:rsid w:val="005A24F5"/>
    <w:rPr>
      <w:rFonts w:ascii="Calibri" w:eastAsiaTheme="majorEastAsia" w:hAnsi="Calibri"/>
      <w:b/>
      <w:i/>
      <w:sz w:val="24"/>
      <w:szCs w:val="24"/>
    </w:rPr>
  </w:style>
  <w:style w:type="paragraph" w:customStyle="1" w:styleId="Szvegdobozstlus">
    <w:name w:val="Szövegdoboz stílus"/>
    <w:basedOn w:val="HierarchikusLista0"/>
    <w:qFormat/>
    <w:rsid w:val="005A24F5"/>
    <w:rPr>
      <w:b/>
      <w:i/>
      <w:color w:val="009EE0"/>
    </w:rPr>
  </w:style>
  <w:style w:type="table" w:customStyle="1" w:styleId="Rcsos">
    <w:name w:val="Rácsos"/>
    <w:basedOn w:val="Normltblzat"/>
    <w:uiPriority w:val="99"/>
    <w:rsid w:val="005A24F5"/>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5A24F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5A24F5"/>
    <w:pPr>
      <w:keepNext/>
      <w:spacing w:after="40"/>
      <w:jc w:val="center"/>
    </w:pPr>
    <w:rPr>
      <w:b/>
      <w:bCs/>
      <w:color w:val="808080"/>
      <w:szCs w:val="18"/>
    </w:rPr>
  </w:style>
  <w:style w:type="paragraph" w:customStyle="1" w:styleId="ENCaption2Col">
    <w:name w:val="EN_Caption_2Col"/>
    <w:basedOn w:val="Norml"/>
    <w:next w:val="Norml"/>
    <w:uiPriority w:val="1"/>
    <w:qFormat/>
    <w:rsid w:val="005A24F5"/>
    <w:pPr>
      <w:keepNext/>
      <w:spacing w:after="40"/>
      <w:jc w:val="left"/>
    </w:pPr>
    <w:rPr>
      <w:b/>
      <w:bCs/>
      <w:color w:val="808080"/>
      <w:szCs w:val="18"/>
    </w:rPr>
  </w:style>
  <w:style w:type="paragraph" w:customStyle="1" w:styleId="ENCaptionBox">
    <w:name w:val="EN_Caption_Box"/>
    <w:basedOn w:val="Norml"/>
    <w:next w:val="Norml"/>
    <w:uiPriority w:val="1"/>
    <w:qFormat/>
    <w:rsid w:val="005A24F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5A24F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5A24F5"/>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5A24F5"/>
    <w:rPr>
      <w:rFonts w:eastAsiaTheme="minorEastAsia"/>
      <w:color w:val="808080"/>
      <w:sz w:val="18"/>
    </w:rPr>
  </w:style>
  <w:style w:type="paragraph" w:customStyle="1" w:styleId="ENNormal">
    <w:name w:val="EN_Normal"/>
    <w:basedOn w:val="Norml"/>
    <w:uiPriority w:val="1"/>
    <w:qFormat/>
    <w:rsid w:val="005A24F5"/>
  </w:style>
  <w:style w:type="paragraph" w:customStyle="1" w:styleId="ENNormalBox">
    <w:name w:val="EN_Normal_Box"/>
    <w:basedOn w:val="Norml"/>
    <w:uiPriority w:val="1"/>
    <w:qFormat/>
    <w:rsid w:val="005A24F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5A24F5"/>
    <w:pPr>
      <w:keepLines/>
      <w:jc w:val="center"/>
    </w:pPr>
    <w:rPr>
      <w:color w:val="808080"/>
      <w:sz w:val="18"/>
    </w:rPr>
  </w:style>
  <w:style w:type="paragraph" w:customStyle="1" w:styleId="ENNote2Col">
    <w:name w:val="EN_Note_2Col"/>
    <w:basedOn w:val="Norml"/>
    <w:next w:val="ENNormal"/>
    <w:uiPriority w:val="1"/>
    <w:qFormat/>
    <w:rsid w:val="005A24F5"/>
    <w:pPr>
      <w:keepLines/>
    </w:pPr>
    <w:rPr>
      <w:color w:val="808080"/>
      <w:sz w:val="18"/>
    </w:rPr>
  </w:style>
  <w:style w:type="paragraph" w:customStyle="1" w:styleId="ENNoteBox">
    <w:name w:val="EN_Note_Box"/>
    <w:basedOn w:val="Norml"/>
    <w:next w:val="ENNormalBox"/>
    <w:uiPriority w:val="1"/>
    <w:qFormat/>
    <w:rsid w:val="005A24F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5A24F5"/>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5A24F5"/>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5A24F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5A24F5"/>
    <w:pPr>
      <w:keepNext/>
      <w:spacing w:after="40"/>
      <w:jc w:val="center"/>
    </w:pPr>
    <w:rPr>
      <w:sz w:val="20"/>
    </w:rPr>
  </w:style>
  <w:style w:type="paragraph" w:customStyle="1" w:styleId="HUCaption2Col">
    <w:name w:val="HU_Caption_2Col"/>
    <w:basedOn w:val="Kpalrs"/>
    <w:next w:val="Norml"/>
    <w:uiPriority w:val="1"/>
    <w:qFormat/>
    <w:rsid w:val="005A24F5"/>
    <w:pPr>
      <w:keepNext/>
      <w:spacing w:after="40"/>
    </w:pPr>
    <w:rPr>
      <w:sz w:val="20"/>
    </w:rPr>
  </w:style>
  <w:style w:type="paragraph" w:customStyle="1" w:styleId="HUCaptionBox">
    <w:name w:val="HU_Caption_Box"/>
    <w:basedOn w:val="Kpalrs"/>
    <w:next w:val="Norml"/>
    <w:uiPriority w:val="1"/>
    <w:qFormat/>
    <w:rsid w:val="005A24F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5A24F5"/>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5A24F5"/>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5A24F5"/>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5A24F5"/>
    <w:rPr>
      <w:caps/>
      <w:color w:val="0C2148" w:themeColor="text2"/>
    </w:rPr>
  </w:style>
  <w:style w:type="paragraph" w:customStyle="1" w:styleId="HUFootnote">
    <w:name w:val="HU_Footnote"/>
    <w:basedOn w:val="Lbjegyzetszveg"/>
    <w:uiPriority w:val="1"/>
    <w:qFormat/>
    <w:rsid w:val="005A24F5"/>
    <w:rPr>
      <w:color w:val="808080"/>
      <w:sz w:val="18"/>
    </w:rPr>
  </w:style>
  <w:style w:type="paragraph" w:customStyle="1" w:styleId="HUNormalBox">
    <w:name w:val="HU_Normal_Box"/>
    <w:basedOn w:val="Norml"/>
    <w:uiPriority w:val="1"/>
    <w:qFormat/>
    <w:rsid w:val="005A24F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5A24F5"/>
    <w:pPr>
      <w:keepLines/>
      <w:jc w:val="center"/>
    </w:pPr>
    <w:rPr>
      <w:color w:val="808080"/>
      <w:sz w:val="18"/>
    </w:rPr>
  </w:style>
  <w:style w:type="paragraph" w:customStyle="1" w:styleId="HUNote2Col">
    <w:name w:val="HU_Note_2Col"/>
    <w:basedOn w:val="Norml"/>
    <w:next w:val="Norml"/>
    <w:uiPriority w:val="1"/>
    <w:qFormat/>
    <w:rsid w:val="005A24F5"/>
    <w:pPr>
      <w:keepLines/>
    </w:pPr>
    <w:rPr>
      <w:color w:val="808080"/>
      <w:sz w:val="18"/>
    </w:rPr>
  </w:style>
  <w:style w:type="paragraph" w:customStyle="1" w:styleId="HUNoteBox">
    <w:name w:val="HU_Note_Box"/>
    <w:basedOn w:val="Norml"/>
    <w:next w:val="HUNormalBox"/>
    <w:link w:val="HUNoteBoxChar"/>
    <w:uiPriority w:val="1"/>
    <w:qFormat/>
    <w:rsid w:val="005A24F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5A24F5"/>
    <w:rPr>
      <w:color w:val="808080"/>
      <w:sz w:val="18"/>
      <w:shd w:val="clear" w:color="auto" w:fill="C6EEFF"/>
    </w:rPr>
  </w:style>
  <w:style w:type="paragraph" w:customStyle="1" w:styleId="HUSectionTitle">
    <w:name w:val="HU_Section_Title"/>
    <w:basedOn w:val="Cmsor2"/>
    <w:next w:val="Norml"/>
    <w:link w:val="HUSectionTitleChar"/>
    <w:uiPriority w:val="1"/>
    <w:rsid w:val="005A24F5"/>
    <w:pPr>
      <w:keepNext/>
    </w:pPr>
  </w:style>
  <w:style w:type="character" w:customStyle="1" w:styleId="HUSectionTitleChar">
    <w:name w:val="HU_Section_Title Char"/>
    <w:basedOn w:val="Cmsor2Char"/>
    <w:link w:val="HUSectionTitle"/>
    <w:uiPriority w:val="1"/>
    <w:rsid w:val="005A24F5"/>
    <w:rPr>
      <w:b/>
      <w:color w:val="0C2148" w:themeColor="text2"/>
      <w:sz w:val="24"/>
      <w:szCs w:val="38"/>
    </w:rPr>
  </w:style>
  <w:style w:type="paragraph" w:customStyle="1" w:styleId="HUSubsectionTitle">
    <w:name w:val="HU_Subsection_Title"/>
    <w:basedOn w:val="Cmsor3"/>
    <w:next w:val="Norml"/>
    <w:link w:val="HUSubsectionTitleChar"/>
    <w:uiPriority w:val="1"/>
    <w:rsid w:val="005A24F5"/>
    <w:pPr>
      <w:keepNext/>
      <w:ind w:left="595" w:hanging="595"/>
    </w:pPr>
  </w:style>
  <w:style w:type="character" w:customStyle="1" w:styleId="HUSubsectionTitleChar">
    <w:name w:val="HU_Subsection_Title Char"/>
    <w:basedOn w:val="Cmsor3Char"/>
    <w:link w:val="HUSubsectionTitle"/>
    <w:uiPriority w:val="1"/>
    <w:rsid w:val="005A24F5"/>
    <w:rPr>
      <w:bCs/>
      <w:color w:val="0C2148" w:themeColor="text2"/>
      <w:szCs w:val="34"/>
    </w:rPr>
  </w:style>
  <w:style w:type="paragraph" w:customStyle="1" w:styleId="Heading1Kiadvny">
    <w:name w:val="Heading 1 Kiadvány"/>
    <w:basedOn w:val="Cmsor1"/>
    <w:qFormat/>
    <w:rsid w:val="005A24F5"/>
    <w:rPr>
      <w:b w:val="0"/>
      <w:caps w:val="0"/>
      <w:sz w:val="52"/>
    </w:rPr>
  </w:style>
  <w:style w:type="character" w:styleId="Jegyzethivatkozs">
    <w:name w:val="annotation reference"/>
    <w:basedOn w:val="Bekezdsalapbettpusa"/>
    <w:uiPriority w:val="99"/>
    <w:semiHidden/>
    <w:unhideWhenUsed/>
    <w:rsid w:val="000550A7"/>
    <w:rPr>
      <w:sz w:val="16"/>
      <w:szCs w:val="16"/>
    </w:rPr>
  </w:style>
  <w:style w:type="paragraph" w:styleId="Jegyzetszveg">
    <w:name w:val="annotation text"/>
    <w:basedOn w:val="Norml"/>
    <w:link w:val="JegyzetszvegChar"/>
    <w:uiPriority w:val="99"/>
    <w:unhideWhenUsed/>
    <w:rsid w:val="000550A7"/>
    <w:pPr>
      <w:spacing w:line="240" w:lineRule="auto"/>
    </w:pPr>
  </w:style>
  <w:style w:type="character" w:customStyle="1" w:styleId="JegyzetszvegChar">
    <w:name w:val="Jegyzetszöveg Char"/>
    <w:basedOn w:val="Bekezdsalapbettpusa"/>
    <w:link w:val="Jegyzetszveg"/>
    <w:uiPriority w:val="99"/>
    <w:rsid w:val="000550A7"/>
  </w:style>
  <w:style w:type="paragraph" w:styleId="Megjegyzstrgya">
    <w:name w:val="annotation subject"/>
    <w:basedOn w:val="Jegyzetszveg"/>
    <w:next w:val="Jegyzetszveg"/>
    <w:link w:val="MegjegyzstrgyaChar"/>
    <w:uiPriority w:val="99"/>
    <w:semiHidden/>
    <w:unhideWhenUsed/>
    <w:rsid w:val="002E7440"/>
    <w:rPr>
      <w:b/>
      <w:bCs/>
    </w:rPr>
  </w:style>
  <w:style w:type="character" w:customStyle="1" w:styleId="MegjegyzstrgyaChar">
    <w:name w:val="Megjegyzés tárgya Char"/>
    <w:basedOn w:val="JegyzetszvegChar"/>
    <w:link w:val="Megjegyzstrgya"/>
    <w:uiPriority w:val="99"/>
    <w:semiHidden/>
    <w:rsid w:val="002E7440"/>
    <w:rPr>
      <w:b/>
      <w:bCs/>
    </w:rPr>
  </w:style>
  <w:style w:type="paragraph" w:styleId="Vltozat">
    <w:name w:val="Revision"/>
    <w:hidden/>
    <w:uiPriority w:val="99"/>
    <w:semiHidden/>
    <w:rsid w:val="00B30554"/>
  </w:style>
  <w:style w:type="paragraph" w:styleId="Szvegtrzsbehzssal3">
    <w:name w:val="Body Text Indent 3"/>
    <w:basedOn w:val="Norml"/>
    <w:link w:val="Szvegtrzsbehzssal3Char"/>
    <w:uiPriority w:val="99"/>
    <w:unhideWhenUsed/>
    <w:rsid w:val="008A4DA1"/>
    <w:pPr>
      <w:spacing w:after="0" w:line="360" w:lineRule="atLeast"/>
      <w:ind w:left="432"/>
      <w:jc w:val="left"/>
    </w:pPr>
    <w:rPr>
      <w:rFonts w:ascii="Times New Roman" w:hAnsi="Times New Roman" w:cs="Times New Roman"/>
      <w:sz w:val="24"/>
      <w:szCs w:val="24"/>
    </w:rPr>
  </w:style>
  <w:style w:type="character" w:customStyle="1" w:styleId="Szvegtrzsbehzssal3Char">
    <w:name w:val="Szövegtörzs behúzással 3 Char"/>
    <w:basedOn w:val="Bekezdsalapbettpusa"/>
    <w:link w:val="Szvegtrzsbehzssal3"/>
    <w:uiPriority w:val="99"/>
    <w:rsid w:val="008A4DA1"/>
    <w:rPr>
      <w:rFonts w:ascii="Times New Roman" w:hAnsi="Times New Roman" w:cs="Times New Roman"/>
      <w:sz w:val="24"/>
      <w:szCs w:val="24"/>
    </w:rPr>
  </w:style>
  <w:style w:type="character" w:styleId="Lbjegyzet-hivatkozs">
    <w:name w:val="footnote reference"/>
    <w:aliases w:val="Footnote symbol,Times 10 Point,Exposant 3 Point,Footnote Reference Number,Voetnootverwijzing,Footnote reference number,note TESI,SUPERS,EN Footnote Reference,Ref,de nota al pie,Footnote number,callout"/>
    <w:basedOn w:val="Bekezdsalapbettpusa"/>
    <w:uiPriority w:val="99"/>
    <w:unhideWhenUsed/>
    <w:qFormat/>
    <w:rsid w:val="001720BD"/>
    <w:rPr>
      <w:vertAlign w:val="superscript"/>
    </w:rPr>
  </w:style>
  <w:style w:type="table" w:styleId="Tblzategyszer1">
    <w:name w:val="Plain Table 1"/>
    <w:basedOn w:val="Normltblzat"/>
    <w:uiPriority w:val="41"/>
    <w:rsid w:val="008258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F5DF3"/>
    <w:pPr>
      <w:autoSpaceDE w:val="0"/>
      <w:autoSpaceDN w:val="0"/>
      <w:adjustRightInd w:val="0"/>
    </w:pPr>
    <w:rPr>
      <w:rFonts w:cs="Calibri"/>
      <w:color w:val="000000"/>
      <w:sz w:val="24"/>
      <w:szCs w:val="24"/>
    </w:rPr>
  </w:style>
  <w:style w:type="character" w:customStyle="1" w:styleId="cf01">
    <w:name w:val="cf01"/>
    <w:basedOn w:val="Bekezdsalapbettpusa"/>
    <w:rsid w:val="003168BA"/>
    <w:rPr>
      <w:rFonts w:ascii="Segoe UI" w:hAnsi="Segoe UI" w:cs="Segoe UI" w:hint="default"/>
      <w:sz w:val="18"/>
      <w:szCs w:val="18"/>
    </w:rPr>
  </w:style>
  <w:style w:type="paragraph" w:styleId="Szvegtrzs">
    <w:name w:val="Body Text"/>
    <w:basedOn w:val="Norml"/>
    <w:link w:val="SzvegtrzsChar"/>
    <w:uiPriority w:val="99"/>
    <w:unhideWhenUsed/>
    <w:rsid w:val="00E47912"/>
    <w:pPr>
      <w:spacing w:after="120"/>
    </w:pPr>
  </w:style>
  <w:style w:type="character" w:customStyle="1" w:styleId="SzvegtrzsChar">
    <w:name w:val="Szövegtörzs Char"/>
    <w:basedOn w:val="Bekezdsalapbettpusa"/>
    <w:link w:val="Szvegtrzs"/>
    <w:uiPriority w:val="99"/>
    <w:rsid w:val="00E47912"/>
  </w:style>
  <w:style w:type="paragraph" w:styleId="TJ4">
    <w:name w:val="toc 4"/>
    <w:basedOn w:val="Norml"/>
    <w:next w:val="Norml"/>
    <w:autoRedefine/>
    <w:uiPriority w:val="39"/>
    <w:unhideWhenUsed/>
    <w:locked/>
    <w:rsid w:val="008A63C7"/>
    <w:pPr>
      <w:spacing w:after="100" w:line="259" w:lineRule="auto"/>
      <w:ind w:left="660"/>
      <w:jc w:val="left"/>
    </w:pPr>
    <w:rPr>
      <w:rFonts w:asciiTheme="minorHAnsi" w:eastAsiaTheme="minorEastAsia" w:hAnsiTheme="minorHAnsi"/>
      <w:sz w:val="22"/>
      <w:szCs w:val="22"/>
    </w:rPr>
  </w:style>
  <w:style w:type="paragraph" w:styleId="TJ5">
    <w:name w:val="toc 5"/>
    <w:basedOn w:val="Norml"/>
    <w:next w:val="Norml"/>
    <w:autoRedefine/>
    <w:uiPriority w:val="39"/>
    <w:unhideWhenUsed/>
    <w:locked/>
    <w:rsid w:val="008A63C7"/>
    <w:pPr>
      <w:spacing w:after="100" w:line="259" w:lineRule="auto"/>
      <w:ind w:left="880"/>
      <w:jc w:val="left"/>
    </w:pPr>
    <w:rPr>
      <w:rFonts w:asciiTheme="minorHAnsi" w:eastAsiaTheme="minorEastAsia" w:hAnsiTheme="minorHAnsi"/>
      <w:sz w:val="22"/>
      <w:szCs w:val="22"/>
    </w:rPr>
  </w:style>
  <w:style w:type="paragraph" w:styleId="TJ6">
    <w:name w:val="toc 6"/>
    <w:basedOn w:val="Norml"/>
    <w:next w:val="Norml"/>
    <w:autoRedefine/>
    <w:uiPriority w:val="39"/>
    <w:unhideWhenUsed/>
    <w:locked/>
    <w:rsid w:val="008A63C7"/>
    <w:pPr>
      <w:spacing w:after="100" w:line="259" w:lineRule="auto"/>
      <w:ind w:left="1100"/>
      <w:jc w:val="left"/>
    </w:pPr>
    <w:rPr>
      <w:rFonts w:asciiTheme="minorHAnsi" w:eastAsiaTheme="minorEastAsia" w:hAnsiTheme="minorHAnsi"/>
      <w:sz w:val="22"/>
      <w:szCs w:val="22"/>
    </w:rPr>
  </w:style>
  <w:style w:type="character" w:styleId="Feloldatlanmegemlts">
    <w:name w:val="Unresolved Mention"/>
    <w:basedOn w:val="Bekezdsalapbettpusa"/>
    <w:uiPriority w:val="99"/>
    <w:semiHidden/>
    <w:unhideWhenUsed/>
    <w:rsid w:val="008A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83">
      <w:bodyDiv w:val="1"/>
      <w:marLeft w:val="0"/>
      <w:marRight w:val="0"/>
      <w:marTop w:val="0"/>
      <w:marBottom w:val="0"/>
      <w:divBdr>
        <w:top w:val="none" w:sz="0" w:space="0" w:color="auto"/>
        <w:left w:val="none" w:sz="0" w:space="0" w:color="auto"/>
        <w:bottom w:val="none" w:sz="0" w:space="0" w:color="auto"/>
        <w:right w:val="none" w:sz="0" w:space="0" w:color="auto"/>
      </w:divBdr>
    </w:div>
    <w:div w:id="6904151">
      <w:bodyDiv w:val="1"/>
      <w:marLeft w:val="0"/>
      <w:marRight w:val="0"/>
      <w:marTop w:val="0"/>
      <w:marBottom w:val="0"/>
      <w:divBdr>
        <w:top w:val="none" w:sz="0" w:space="0" w:color="auto"/>
        <w:left w:val="none" w:sz="0" w:space="0" w:color="auto"/>
        <w:bottom w:val="none" w:sz="0" w:space="0" w:color="auto"/>
        <w:right w:val="none" w:sz="0" w:space="0" w:color="auto"/>
      </w:divBdr>
    </w:div>
    <w:div w:id="61679408">
      <w:bodyDiv w:val="1"/>
      <w:marLeft w:val="0"/>
      <w:marRight w:val="0"/>
      <w:marTop w:val="0"/>
      <w:marBottom w:val="0"/>
      <w:divBdr>
        <w:top w:val="none" w:sz="0" w:space="0" w:color="auto"/>
        <w:left w:val="none" w:sz="0" w:space="0" w:color="auto"/>
        <w:bottom w:val="none" w:sz="0" w:space="0" w:color="auto"/>
        <w:right w:val="none" w:sz="0" w:space="0" w:color="auto"/>
      </w:divBdr>
    </w:div>
    <w:div w:id="82773555">
      <w:bodyDiv w:val="1"/>
      <w:marLeft w:val="0"/>
      <w:marRight w:val="0"/>
      <w:marTop w:val="0"/>
      <w:marBottom w:val="0"/>
      <w:divBdr>
        <w:top w:val="none" w:sz="0" w:space="0" w:color="auto"/>
        <w:left w:val="none" w:sz="0" w:space="0" w:color="auto"/>
        <w:bottom w:val="none" w:sz="0" w:space="0" w:color="auto"/>
        <w:right w:val="none" w:sz="0" w:space="0" w:color="auto"/>
      </w:divBdr>
    </w:div>
    <w:div w:id="134614257">
      <w:bodyDiv w:val="1"/>
      <w:marLeft w:val="0"/>
      <w:marRight w:val="0"/>
      <w:marTop w:val="0"/>
      <w:marBottom w:val="0"/>
      <w:divBdr>
        <w:top w:val="none" w:sz="0" w:space="0" w:color="auto"/>
        <w:left w:val="none" w:sz="0" w:space="0" w:color="auto"/>
        <w:bottom w:val="none" w:sz="0" w:space="0" w:color="auto"/>
        <w:right w:val="none" w:sz="0" w:space="0" w:color="auto"/>
      </w:divBdr>
    </w:div>
    <w:div w:id="138156185">
      <w:bodyDiv w:val="1"/>
      <w:marLeft w:val="0"/>
      <w:marRight w:val="0"/>
      <w:marTop w:val="0"/>
      <w:marBottom w:val="0"/>
      <w:divBdr>
        <w:top w:val="none" w:sz="0" w:space="0" w:color="auto"/>
        <w:left w:val="none" w:sz="0" w:space="0" w:color="auto"/>
        <w:bottom w:val="none" w:sz="0" w:space="0" w:color="auto"/>
        <w:right w:val="none" w:sz="0" w:space="0" w:color="auto"/>
      </w:divBdr>
    </w:div>
    <w:div w:id="156532633">
      <w:bodyDiv w:val="1"/>
      <w:marLeft w:val="0"/>
      <w:marRight w:val="0"/>
      <w:marTop w:val="0"/>
      <w:marBottom w:val="0"/>
      <w:divBdr>
        <w:top w:val="none" w:sz="0" w:space="0" w:color="auto"/>
        <w:left w:val="none" w:sz="0" w:space="0" w:color="auto"/>
        <w:bottom w:val="none" w:sz="0" w:space="0" w:color="auto"/>
        <w:right w:val="none" w:sz="0" w:space="0" w:color="auto"/>
      </w:divBdr>
    </w:div>
    <w:div w:id="227150830">
      <w:bodyDiv w:val="1"/>
      <w:marLeft w:val="0"/>
      <w:marRight w:val="0"/>
      <w:marTop w:val="0"/>
      <w:marBottom w:val="0"/>
      <w:divBdr>
        <w:top w:val="none" w:sz="0" w:space="0" w:color="auto"/>
        <w:left w:val="none" w:sz="0" w:space="0" w:color="auto"/>
        <w:bottom w:val="none" w:sz="0" w:space="0" w:color="auto"/>
        <w:right w:val="none" w:sz="0" w:space="0" w:color="auto"/>
      </w:divBdr>
    </w:div>
    <w:div w:id="228273690">
      <w:bodyDiv w:val="1"/>
      <w:marLeft w:val="0"/>
      <w:marRight w:val="0"/>
      <w:marTop w:val="0"/>
      <w:marBottom w:val="0"/>
      <w:divBdr>
        <w:top w:val="none" w:sz="0" w:space="0" w:color="auto"/>
        <w:left w:val="none" w:sz="0" w:space="0" w:color="auto"/>
        <w:bottom w:val="none" w:sz="0" w:space="0" w:color="auto"/>
        <w:right w:val="none" w:sz="0" w:space="0" w:color="auto"/>
      </w:divBdr>
    </w:div>
    <w:div w:id="248659655">
      <w:bodyDiv w:val="1"/>
      <w:marLeft w:val="0"/>
      <w:marRight w:val="0"/>
      <w:marTop w:val="0"/>
      <w:marBottom w:val="0"/>
      <w:divBdr>
        <w:top w:val="none" w:sz="0" w:space="0" w:color="auto"/>
        <w:left w:val="none" w:sz="0" w:space="0" w:color="auto"/>
        <w:bottom w:val="none" w:sz="0" w:space="0" w:color="auto"/>
        <w:right w:val="none" w:sz="0" w:space="0" w:color="auto"/>
      </w:divBdr>
    </w:div>
    <w:div w:id="272517335">
      <w:bodyDiv w:val="1"/>
      <w:marLeft w:val="0"/>
      <w:marRight w:val="0"/>
      <w:marTop w:val="0"/>
      <w:marBottom w:val="0"/>
      <w:divBdr>
        <w:top w:val="none" w:sz="0" w:space="0" w:color="auto"/>
        <w:left w:val="none" w:sz="0" w:space="0" w:color="auto"/>
        <w:bottom w:val="none" w:sz="0" w:space="0" w:color="auto"/>
        <w:right w:val="none" w:sz="0" w:space="0" w:color="auto"/>
      </w:divBdr>
    </w:div>
    <w:div w:id="277760394">
      <w:bodyDiv w:val="1"/>
      <w:marLeft w:val="0"/>
      <w:marRight w:val="0"/>
      <w:marTop w:val="0"/>
      <w:marBottom w:val="0"/>
      <w:divBdr>
        <w:top w:val="none" w:sz="0" w:space="0" w:color="auto"/>
        <w:left w:val="none" w:sz="0" w:space="0" w:color="auto"/>
        <w:bottom w:val="none" w:sz="0" w:space="0" w:color="auto"/>
        <w:right w:val="none" w:sz="0" w:space="0" w:color="auto"/>
      </w:divBdr>
    </w:div>
    <w:div w:id="281347495">
      <w:bodyDiv w:val="1"/>
      <w:marLeft w:val="0"/>
      <w:marRight w:val="0"/>
      <w:marTop w:val="0"/>
      <w:marBottom w:val="0"/>
      <w:divBdr>
        <w:top w:val="none" w:sz="0" w:space="0" w:color="auto"/>
        <w:left w:val="none" w:sz="0" w:space="0" w:color="auto"/>
        <w:bottom w:val="none" w:sz="0" w:space="0" w:color="auto"/>
        <w:right w:val="none" w:sz="0" w:space="0" w:color="auto"/>
      </w:divBdr>
    </w:div>
    <w:div w:id="432559318">
      <w:bodyDiv w:val="1"/>
      <w:marLeft w:val="0"/>
      <w:marRight w:val="0"/>
      <w:marTop w:val="0"/>
      <w:marBottom w:val="0"/>
      <w:divBdr>
        <w:top w:val="none" w:sz="0" w:space="0" w:color="auto"/>
        <w:left w:val="none" w:sz="0" w:space="0" w:color="auto"/>
        <w:bottom w:val="none" w:sz="0" w:space="0" w:color="auto"/>
        <w:right w:val="none" w:sz="0" w:space="0" w:color="auto"/>
      </w:divBdr>
    </w:div>
    <w:div w:id="432674769">
      <w:bodyDiv w:val="1"/>
      <w:marLeft w:val="0"/>
      <w:marRight w:val="0"/>
      <w:marTop w:val="0"/>
      <w:marBottom w:val="0"/>
      <w:divBdr>
        <w:top w:val="none" w:sz="0" w:space="0" w:color="auto"/>
        <w:left w:val="none" w:sz="0" w:space="0" w:color="auto"/>
        <w:bottom w:val="none" w:sz="0" w:space="0" w:color="auto"/>
        <w:right w:val="none" w:sz="0" w:space="0" w:color="auto"/>
      </w:divBdr>
    </w:div>
    <w:div w:id="465634479">
      <w:bodyDiv w:val="1"/>
      <w:marLeft w:val="0"/>
      <w:marRight w:val="0"/>
      <w:marTop w:val="0"/>
      <w:marBottom w:val="0"/>
      <w:divBdr>
        <w:top w:val="none" w:sz="0" w:space="0" w:color="auto"/>
        <w:left w:val="none" w:sz="0" w:space="0" w:color="auto"/>
        <w:bottom w:val="none" w:sz="0" w:space="0" w:color="auto"/>
        <w:right w:val="none" w:sz="0" w:space="0" w:color="auto"/>
      </w:divBdr>
    </w:div>
    <w:div w:id="471095092">
      <w:bodyDiv w:val="1"/>
      <w:marLeft w:val="0"/>
      <w:marRight w:val="0"/>
      <w:marTop w:val="0"/>
      <w:marBottom w:val="0"/>
      <w:divBdr>
        <w:top w:val="none" w:sz="0" w:space="0" w:color="auto"/>
        <w:left w:val="none" w:sz="0" w:space="0" w:color="auto"/>
        <w:bottom w:val="none" w:sz="0" w:space="0" w:color="auto"/>
        <w:right w:val="none" w:sz="0" w:space="0" w:color="auto"/>
      </w:divBdr>
    </w:div>
    <w:div w:id="480465340">
      <w:bodyDiv w:val="1"/>
      <w:marLeft w:val="0"/>
      <w:marRight w:val="0"/>
      <w:marTop w:val="0"/>
      <w:marBottom w:val="0"/>
      <w:divBdr>
        <w:top w:val="none" w:sz="0" w:space="0" w:color="auto"/>
        <w:left w:val="none" w:sz="0" w:space="0" w:color="auto"/>
        <w:bottom w:val="none" w:sz="0" w:space="0" w:color="auto"/>
        <w:right w:val="none" w:sz="0" w:space="0" w:color="auto"/>
      </w:divBdr>
    </w:div>
    <w:div w:id="483741622">
      <w:bodyDiv w:val="1"/>
      <w:marLeft w:val="0"/>
      <w:marRight w:val="0"/>
      <w:marTop w:val="0"/>
      <w:marBottom w:val="0"/>
      <w:divBdr>
        <w:top w:val="none" w:sz="0" w:space="0" w:color="auto"/>
        <w:left w:val="none" w:sz="0" w:space="0" w:color="auto"/>
        <w:bottom w:val="none" w:sz="0" w:space="0" w:color="auto"/>
        <w:right w:val="none" w:sz="0" w:space="0" w:color="auto"/>
      </w:divBdr>
    </w:div>
    <w:div w:id="509563873">
      <w:bodyDiv w:val="1"/>
      <w:marLeft w:val="0"/>
      <w:marRight w:val="0"/>
      <w:marTop w:val="0"/>
      <w:marBottom w:val="0"/>
      <w:divBdr>
        <w:top w:val="none" w:sz="0" w:space="0" w:color="auto"/>
        <w:left w:val="none" w:sz="0" w:space="0" w:color="auto"/>
        <w:bottom w:val="none" w:sz="0" w:space="0" w:color="auto"/>
        <w:right w:val="none" w:sz="0" w:space="0" w:color="auto"/>
      </w:divBdr>
    </w:div>
    <w:div w:id="522324816">
      <w:bodyDiv w:val="1"/>
      <w:marLeft w:val="0"/>
      <w:marRight w:val="0"/>
      <w:marTop w:val="0"/>
      <w:marBottom w:val="0"/>
      <w:divBdr>
        <w:top w:val="none" w:sz="0" w:space="0" w:color="auto"/>
        <w:left w:val="none" w:sz="0" w:space="0" w:color="auto"/>
        <w:bottom w:val="none" w:sz="0" w:space="0" w:color="auto"/>
        <w:right w:val="none" w:sz="0" w:space="0" w:color="auto"/>
      </w:divBdr>
    </w:div>
    <w:div w:id="536313052">
      <w:bodyDiv w:val="1"/>
      <w:marLeft w:val="0"/>
      <w:marRight w:val="0"/>
      <w:marTop w:val="0"/>
      <w:marBottom w:val="0"/>
      <w:divBdr>
        <w:top w:val="none" w:sz="0" w:space="0" w:color="auto"/>
        <w:left w:val="none" w:sz="0" w:space="0" w:color="auto"/>
        <w:bottom w:val="none" w:sz="0" w:space="0" w:color="auto"/>
        <w:right w:val="none" w:sz="0" w:space="0" w:color="auto"/>
      </w:divBdr>
    </w:div>
    <w:div w:id="544297624">
      <w:bodyDiv w:val="1"/>
      <w:marLeft w:val="0"/>
      <w:marRight w:val="0"/>
      <w:marTop w:val="0"/>
      <w:marBottom w:val="0"/>
      <w:divBdr>
        <w:top w:val="none" w:sz="0" w:space="0" w:color="auto"/>
        <w:left w:val="none" w:sz="0" w:space="0" w:color="auto"/>
        <w:bottom w:val="none" w:sz="0" w:space="0" w:color="auto"/>
        <w:right w:val="none" w:sz="0" w:space="0" w:color="auto"/>
      </w:divBdr>
    </w:div>
    <w:div w:id="555776815">
      <w:bodyDiv w:val="1"/>
      <w:marLeft w:val="0"/>
      <w:marRight w:val="0"/>
      <w:marTop w:val="0"/>
      <w:marBottom w:val="0"/>
      <w:divBdr>
        <w:top w:val="none" w:sz="0" w:space="0" w:color="auto"/>
        <w:left w:val="none" w:sz="0" w:space="0" w:color="auto"/>
        <w:bottom w:val="none" w:sz="0" w:space="0" w:color="auto"/>
        <w:right w:val="none" w:sz="0" w:space="0" w:color="auto"/>
      </w:divBdr>
    </w:div>
    <w:div w:id="608977216">
      <w:bodyDiv w:val="1"/>
      <w:marLeft w:val="0"/>
      <w:marRight w:val="0"/>
      <w:marTop w:val="0"/>
      <w:marBottom w:val="0"/>
      <w:divBdr>
        <w:top w:val="none" w:sz="0" w:space="0" w:color="auto"/>
        <w:left w:val="none" w:sz="0" w:space="0" w:color="auto"/>
        <w:bottom w:val="none" w:sz="0" w:space="0" w:color="auto"/>
        <w:right w:val="none" w:sz="0" w:space="0" w:color="auto"/>
      </w:divBdr>
    </w:div>
    <w:div w:id="623655005">
      <w:bodyDiv w:val="1"/>
      <w:marLeft w:val="0"/>
      <w:marRight w:val="0"/>
      <w:marTop w:val="0"/>
      <w:marBottom w:val="0"/>
      <w:divBdr>
        <w:top w:val="none" w:sz="0" w:space="0" w:color="auto"/>
        <w:left w:val="none" w:sz="0" w:space="0" w:color="auto"/>
        <w:bottom w:val="none" w:sz="0" w:space="0" w:color="auto"/>
        <w:right w:val="none" w:sz="0" w:space="0" w:color="auto"/>
      </w:divBdr>
    </w:div>
    <w:div w:id="631181178">
      <w:bodyDiv w:val="1"/>
      <w:marLeft w:val="0"/>
      <w:marRight w:val="0"/>
      <w:marTop w:val="0"/>
      <w:marBottom w:val="0"/>
      <w:divBdr>
        <w:top w:val="none" w:sz="0" w:space="0" w:color="auto"/>
        <w:left w:val="none" w:sz="0" w:space="0" w:color="auto"/>
        <w:bottom w:val="none" w:sz="0" w:space="0" w:color="auto"/>
        <w:right w:val="none" w:sz="0" w:space="0" w:color="auto"/>
      </w:divBdr>
    </w:div>
    <w:div w:id="634916357">
      <w:bodyDiv w:val="1"/>
      <w:marLeft w:val="0"/>
      <w:marRight w:val="0"/>
      <w:marTop w:val="0"/>
      <w:marBottom w:val="0"/>
      <w:divBdr>
        <w:top w:val="none" w:sz="0" w:space="0" w:color="auto"/>
        <w:left w:val="none" w:sz="0" w:space="0" w:color="auto"/>
        <w:bottom w:val="none" w:sz="0" w:space="0" w:color="auto"/>
        <w:right w:val="none" w:sz="0" w:space="0" w:color="auto"/>
      </w:divBdr>
    </w:div>
    <w:div w:id="665207876">
      <w:bodyDiv w:val="1"/>
      <w:marLeft w:val="0"/>
      <w:marRight w:val="0"/>
      <w:marTop w:val="0"/>
      <w:marBottom w:val="0"/>
      <w:divBdr>
        <w:top w:val="none" w:sz="0" w:space="0" w:color="auto"/>
        <w:left w:val="none" w:sz="0" w:space="0" w:color="auto"/>
        <w:bottom w:val="none" w:sz="0" w:space="0" w:color="auto"/>
        <w:right w:val="none" w:sz="0" w:space="0" w:color="auto"/>
      </w:divBdr>
    </w:div>
    <w:div w:id="670645879">
      <w:bodyDiv w:val="1"/>
      <w:marLeft w:val="0"/>
      <w:marRight w:val="0"/>
      <w:marTop w:val="0"/>
      <w:marBottom w:val="0"/>
      <w:divBdr>
        <w:top w:val="none" w:sz="0" w:space="0" w:color="auto"/>
        <w:left w:val="none" w:sz="0" w:space="0" w:color="auto"/>
        <w:bottom w:val="none" w:sz="0" w:space="0" w:color="auto"/>
        <w:right w:val="none" w:sz="0" w:space="0" w:color="auto"/>
      </w:divBdr>
    </w:div>
    <w:div w:id="710809014">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22755495">
      <w:bodyDiv w:val="1"/>
      <w:marLeft w:val="0"/>
      <w:marRight w:val="0"/>
      <w:marTop w:val="0"/>
      <w:marBottom w:val="0"/>
      <w:divBdr>
        <w:top w:val="none" w:sz="0" w:space="0" w:color="auto"/>
        <w:left w:val="none" w:sz="0" w:space="0" w:color="auto"/>
        <w:bottom w:val="none" w:sz="0" w:space="0" w:color="auto"/>
        <w:right w:val="none" w:sz="0" w:space="0" w:color="auto"/>
      </w:divBdr>
    </w:div>
    <w:div w:id="723481919">
      <w:bodyDiv w:val="1"/>
      <w:marLeft w:val="0"/>
      <w:marRight w:val="0"/>
      <w:marTop w:val="0"/>
      <w:marBottom w:val="0"/>
      <w:divBdr>
        <w:top w:val="none" w:sz="0" w:space="0" w:color="auto"/>
        <w:left w:val="none" w:sz="0" w:space="0" w:color="auto"/>
        <w:bottom w:val="none" w:sz="0" w:space="0" w:color="auto"/>
        <w:right w:val="none" w:sz="0" w:space="0" w:color="auto"/>
      </w:divBdr>
    </w:div>
    <w:div w:id="723600081">
      <w:bodyDiv w:val="1"/>
      <w:marLeft w:val="0"/>
      <w:marRight w:val="0"/>
      <w:marTop w:val="0"/>
      <w:marBottom w:val="0"/>
      <w:divBdr>
        <w:top w:val="none" w:sz="0" w:space="0" w:color="auto"/>
        <w:left w:val="none" w:sz="0" w:space="0" w:color="auto"/>
        <w:bottom w:val="none" w:sz="0" w:space="0" w:color="auto"/>
        <w:right w:val="none" w:sz="0" w:space="0" w:color="auto"/>
      </w:divBdr>
    </w:div>
    <w:div w:id="753169181">
      <w:bodyDiv w:val="1"/>
      <w:marLeft w:val="0"/>
      <w:marRight w:val="0"/>
      <w:marTop w:val="0"/>
      <w:marBottom w:val="0"/>
      <w:divBdr>
        <w:top w:val="none" w:sz="0" w:space="0" w:color="auto"/>
        <w:left w:val="none" w:sz="0" w:space="0" w:color="auto"/>
        <w:bottom w:val="none" w:sz="0" w:space="0" w:color="auto"/>
        <w:right w:val="none" w:sz="0" w:space="0" w:color="auto"/>
      </w:divBdr>
    </w:div>
    <w:div w:id="767386900">
      <w:bodyDiv w:val="1"/>
      <w:marLeft w:val="0"/>
      <w:marRight w:val="0"/>
      <w:marTop w:val="0"/>
      <w:marBottom w:val="0"/>
      <w:divBdr>
        <w:top w:val="none" w:sz="0" w:space="0" w:color="auto"/>
        <w:left w:val="none" w:sz="0" w:space="0" w:color="auto"/>
        <w:bottom w:val="none" w:sz="0" w:space="0" w:color="auto"/>
        <w:right w:val="none" w:sz="0" w:space="0" w:color="auto"/>
      </w:divBdr>
    </w:div>
    <w:div w:id="815726700">
      <w:bodyDiv w:val="1"/>
      <w:marLeft w:val="0"/>
      <w:marRight w:val="0"/>
      <w:marTop w:val="0"/>
      <w:marBottom w:val="0"/>
      <w:divBdr>
        <w:top w:val="none" w:sz="0" w:space="0" w:color="auto"/>
        <w:left w:val="none" w:sz="0" w:space="0" w:color="auto"/>
        <w:bottom w:val="none" w:sz="0" w:space="0" w:color="auto"/>
        <w:right w:val="none" w:sz="0" w:space="0" w:color="auto"/>
      </w:divBdr>
    </w:div>
    <w:div w:id="820775383">
      <w:bodyDiv w:val="1"/>
      <w:marLeft w:val="0"/>
      <w:marRight w:val="0"/>
      <w:marTop w:val="0"/>
      <w:marBottom w:val="0"/>
      <w:divBdr>
        <w:top w:val="none" w:sz="0" w:space="0" w:color="auto"/>
        <w:left w:val="none" w:sz="0" w:space="0" w:color="auto"/>
        <w:bottom w:val="none" w:sz="0" w:space="0" w:color="auto"/>
        <w:right w:val="none" w:sz="0" w:space="0" w:color="auto"/>
      </w:divBdr>
    </w:div>
    <w:div w:id="869028367">
      <w:bodyDiv w:val="1"/>
      <w:marLeft w:val="0"/>
      <w:marRight w:val="0"/>
      <w:marTop w:val="0"/>
      <w:marBottom w:val="0"/>
      <w:divBdr>
        <w:top w:val="none" w:sz="0" w:space="0" w:color="auto"/>
        <w:left w:val="none" w:sz="0" w:space="0" w:color="auto"/>
        <w:bottom w:val="none" w:sz="0" w:space="0" w:color="auto"/>
        <w:right w:val="none" w:sz="0" w:space="0" w:color="auto"/>
      </w:divBdr>
    </w:div>
    <w:div w:id="870992443">
      <w:bodyDiv w:val="1"/>
      <w:marLeft w:val="0"/>
      <w:marRight w:val="0"/>
      <w:marTop w:val="0"/>
      <w:marBottom w:val="0"/>
      <w:divBdr>
        <w:top w:val="none" w:sz="0" w:space="0" w:color="auto"/>
        <w:left w:val="none" w:sz="0" w:space="0" w:color="auto"/>
        <w:bottom w:val="none" w:sz="0" w:space="0" w:color="auto"/>
        <w:right w:val="none" w:sz="0" w:space="0" w:color="auto"/>
      </w:divBdr>
    </w:div>
    <w:div w:id="952057811">
      <w:bodyDiv w:val="1"/>
      <w:marLeft w:val="0"/>
      <w:marRight w:val="0"/>
      <w:marTop w:val="0"/>
      <w:marBottom w:val="0"/>
      <w:divBdr>
        <w:top w:val="none" w:sz="0" w:space="0" w:color="auto"/>
        <w:left w:val="none" w:sz="0" w:space="0" w:color="auto"/>
        <w:bottom w:val="none" w:sz="0" w:space="0" w:color="auto"/>
        <w:right w:val="none" w:sz="0" w:space="0" w:color="auto"/>
      </w:divBdr>
    </w:div>
    <w:div w:id="972292894">
      <w:bodyDiv w:val="1"/>
      <w:marLeft w:val="0"/>
      <w:marRight w:val="0"/>
      <w:marTop w:val="0"/>
      <w:marBottom w:val="0"/>
      <w:divBdr>
        <w:top w:val="none" w:sz="0" w:space="0" w:color="auto"/>
        <w:left w:val="none" w:sz="0" w:space="0" w:color="auto"/>
        <w:bottom w:val="none" w:sz="0" w:space="0" w:color="auto"/>
        <w:right w:val="none" w:sz="0" w:space="0" w:color="auto"/>
      </w:divBdr>
    </w:div>
    <w:div w:id="1041439681">
      <w:bodyDiv w:val="1"/>
      <w:marLeft w:val="0"/>
      <w:marRight w:val="0"/>
      <w:marTop w:val="0"/>
      <w:marBottom w:val="0"/>
      <w:divBdr>
        <w:top w:val="none" w:sz="0" w:space="0" w:color="auto"/>
        <w:left w:val="none" w:sz="0" w:space="0" w:color="auto"/>
        <w:bottom w:val="none" w:sz="0" w:space="0" w:color="auto"/>
        <w:right w:val="none" w:sz="0" w:space="0" w:color="auto"/>
      </w:divBdr>
    </w:div>
    <w:div w:id="1073161517">
      <w:bodyDiv w:val="1"/>
      <w:marLeft w:val="0"/>
      <w:marRight w:val="0"/>
      <w:marTop w:val="0"/>
      <w:marBottom w:val="0"/>
      <w:divBdr>
        <w:top w:val="none" w:sz="0" w:space="0" w:color="auto"/>
        <w:left w:val="none" w:sz="0" w:space="0" w:color="auto"/>
        <w:bottom w:val="none" w:sz="0" w:space="0" w:color="auto"/>
        <w:right w:val="none" w:sz="0" w:space="0" w:color="auto"/>
      </w:divBdr>
    </w:div>
    <w:div w:id="1075591931">
      <w:bodyDiv w:val="1"/>
      <w:marLeft w:val="0"/>
      <w:marRight w:val="0"/>
      <w:marTop w:val="0"/>
      <w:marBottom w:val="0"/>
      <w:divBdr>
        <w:top w:val="none" w:sz="0" w:space="0" w:color="auto"/>
        <w:left w:val="none" w:sz="0" w:space="0" w:color="auto"/>
        <w:bottom w:val="none" w:sz="0" w:space="0" w:color="auto"/>
        <w:right w:val="none" w:sz="0" w:space="0" w:color="auto"/>
      </w:divBdr>
    </w:div>
    <w:div w:id="1075661397">
      <w:bodyDiv w:val="1"/>
      <w:marLeft w:val="0"/>
      <w:marRight w:val="0"/>
      <w:marTop w:val="0"/>
      <w:marBottom w:val="0"/>
      <w:divBdr>
        <w:top w:val="none" w:sz="0" w:space="0" w:color="auto"/>
        <w:left w:val="none" w:sz="0" w:space="0" w:color="auto"/>
        <w:bottom w:val="none" w:sz="0" w:space="0" w:color="auto"/>
        <w:right w:val="none" w:sz="0" w:space="0" w:color="auto"/>
      </w:divBdr>
    </w:div>
    <w:div w:id="1089817012">
      <w:bodyDiv w:val="1"/>
      <w:marLeft w:val="0"/>
      <w:marRight w:val="0"/>
      <w:marTop w:val="0"/>
      <w:marBottom w:val="0"/>
      <w:divBdr>
        <w:top w:val="none" w:sz="0" w:space="0" w:color="auto"/>
        <w:left w:val="none" w:sz="0" w:space="0" w:color="auto"/>
        <w:bottom w:val="none" w:sz="0" w:space="0" w:color="auto"/>
        <w:right w:val="none" w:sz="0" w:space="0" w:color="auto"/>
      </w:divBdr>
    </w:div>
    <w:div w:id="1096631514">
      <w:bodyDiv w:val="1"/>
      <w:marLeft w:val="0"/>
      <w:marRight w:val="0"/>
      <w:marTop w:val="0"/>
      <w:marBottom w:val="0"/>
      <w:divBdr>
        <w:top w:val="none" w:sz="0" w:space="0" w:color="auto"/>
        <w:left w:val="none" w:sz="0" w:space="0" w:color="auto"/>
        <w:bottom w:val="none" w:sz="0" w:space="0" w:color="auto"/>
        <w:right w:val="none" w:sz="0" w:space="0" w:color="auto"/>
      </w:divBdr>
    </w:div>
    <w:div w:id="1109006466">
      <w:bodyDiv w:val="1"/>
      <w:marLeft w:val="0"/>
      <w:marRight w:val="0"/>
      <w:marTop w:val="0"/>
      <w:marBottom w:val="0"/>
      <w:divBdr>
        <w:top w:val="none" w:sz="0" w:space="0" w:color="auto"/>
        <w:left w:val="none" w:sz="0" w:space="0" w:color="auto"/>
        <w:bottom w:val="none" w:sz="0" w:space="0" w:color="auto"/>
        <w:right w:val="none" w:sz="0" w:space="0" w:color="auto"/>
      </w:divBdr>
    </w:div>
    <w:div w:id="1136988426">
      <w:bodyDiv w:val="1"/>
      <w:marLeft w:val="0"/>
      <w:marRight w:val="0"/>
      <w:marTop w:val="0"/>
      <w:marBottom w:val="0"/>
      <w:divBdr>
        <w:top w:val="none" w:sz="0" w:space="0" w:color="auto"/>
        <w:left w:val="none" w:sz="0" w:space="0" w:color="auto"/>
        <w:bottom w:val="none" w:sz="0" w:space="0" w:color="auto"/>
        <w:right w:val="none" w:sz="0" w:space="0" w:color="auto"/>
      </w:divBdr>
    </w:div>
    <w:div w:id="1175413704">
      <w:bodyDiv w:val="1"/>
      <w:marLeft w:val="0"/>
      <w:marRight w:val="0"/>
      <w:marTop w:val="0"/>
      <w:marBottom w:val="0"/>
      <w:divBdr>
        <w:top w:val="none" w:sz="0" w:space="0" w:color="auto"/>
        <w:left w:val="none" w:sz="0" w:space="0" w:color="auto"/>
        <w:bottom w:val="none" w:sz="0" w:space="0" w:color="auto"/>
        <w:right w:val="none" w:sz="0" w:space="0" w:color="auto"/>
      </w:divBdr>
    </w:div>
    <w:div w:id="1180462114">
      <w:bodyDiv w:val="1"/>
      <w:marLeft w:val="0"/>
      <w:marRight w:val="0"/>
      <w:marTop w:val="0"/>
      <w:marBottom w:val="0"/>
      <w:divBdr>
        <w:top w:val="none" w:sz="0" w:space="0" w:color="auto"/>
        <w:left w:val="none" w:sz="0" w:space="0" w:color="auto"/>
        <w:bottom w:val="none" w:sz="0" w:space="0" w:color="auto"/>
        <w:right w:val="none" w:sz="0" w:space="0" w:color="auto"/>
      </w:divBdr>
    </w:div>
    <w:div w:id="1182547670">
      <w:bodyDiv w:val="1"/>
      <w:marLeft w:val="0"/>
      <w:marRight w:val="0"/>
      <w:marTop w:val="0"/>
      <w:marBottom w:val="0"/>
      <w:divBdr>
        <w:top w:val="none" w:sz="0" w:space="0" w:color="auto"/>
        <w:left w:val="none" w:sz="0" w:space="0" w:color="auto"/>
        <w:bottom w:val="none" w:sz="0" w:space="0" w:color="auto"/>
        <w:right w:val="none" w:sz="0" w:space="0" w:color="auto"/>
      </w:divBdr>
    </w:div>
    <w:div w:id="1187140631">
      <w:bodyDiv w:val="1"/>
      <w:marLeft w:val="0"/>
      <w:marRight w:val="0"/>
      <w:marTop w:val="0"/>
      <w:marBottom w:val="0"/>
      <w:divBdr>
        <w:top w:val="none" w:sz="0" w:space="0" w:color="auto"/>
        <w:left w:val="none" w:sz="0" w:space="0" w:color="auto"/>
        <w:bottom w:val="none" w:sz="0" w:space="0" w:color="auto"/>
        <w:right w:val="none" w:sz="0" w:space="0" w:color="auto"/>
      </w:divBdr>
    </w:div>
    <w:div w:id="1239827387">
      <w:bodyDiv w:val="1"/>
      <w:marLeft w:val="0"/>
      <w:marRight w:val="0"/>
      <w:marTop w:val="0"/>
      <w:marBottom w:val="0"/>
      <w:divBdr>
        <w:top w:val="none" w:sz="0" w:space="0" w:color="auto"/>
        <w:left w:val="none" w:sz="0" w:space="0" w:color="auto"/>
        <w:bottom w:val="none" w:sz="0" w:space="0" w:color="auto"/>
        <w:right w:val="none" w:sz="0" w:space="0" w:color="auto"/>
      </w:divBdr>
    </w:div>
    <w:div w:id="1267271171">
      <w:bodyDiv w:val="1"/>
      <w:marLeft w:val="0"/>
      <w:marRight w:val="0"/>
      <w:marTop w:val="0"/>
      <w:marBottom w:val="0"/>
      <w:divBdr>
        <w:top w:val="none" w:sz="0" w:space="0" w:color="auto"/>
        <w:left w:val="none" w:sz="0" w:space="0" w:color="auto"/>
        <w:bottom w:val="none" w:sz="0" w:space="0" w:color="auto"/>
        <w:right w:val="none" w:sz="0" w:space="0" w:color="auto"/>
      </w:divBdr>
    </w:div>
    <w:div w:id="1276866487">
      <w:bodyDiv w:val="1"/>
      <w:marLeft w:val="0"/>
      <w:marRight w:val="0"/>
      <w:marTop w:val="0"/>
      <w:marBottom w:val="0"/>
      <w:divBdr>
        <w:top w:val="none" w:sz="0" w:space="0" w:color="auto"/>
        <w:left w:val="none" w:sz="0" w:space="0" w:color="auto"/>
        <w:bottom w:val="none" w:sz="0" w:space="0" w:color="auto"/>
        <w:right w:val="none" w:sz="0" w:space="0" w:color="auto"/>
      </w:divBdr>
    </w:div>
    <w:div w:id="1291671382">
      <w:bodyDiv w:val="1"/>
      <w:marLeft w:val="0"/>
      <w:marRight w:val="0"/>
      <w:marTop w:val="0"/>
      <w:marBottom w:val="0"/>
      <w:divBdr>
        <w:top w:val="none" w:sz="0" w:space="0" w:color="auto"/>
        <w:left w:val="none" w:sz="0" w:space="0" w:color="auto"/>
        <w:bottom w:val="none" w:sz="0" w:space="0" w:color="auto"/>
        <w:right w:val="none" w:sz="0" w:space="0" w:color="auto"/>
      </w:divBdr>
    </w:div>
    <w:div w:id="1303198457">
      <w:bodyDiv w:val="1"/>
      <w:marLeft w:val="0"/>
      <w:marRight w:val="0"/>
      <w:marTop w:val="0"/>
      <w:marBottom w:val="0"/>
      <w:divBdr>
        <w:top w:val="none" w:sz="0" w:space="0" w:color="auto"/>
        <w:left w:val="none" w:sz="0" w:space="0" w:color="auto"/>
        <w:bottom w:val="none" w:sz="0" w:space="0" w:color="auto"/>
        <w:right w:val="none" w:sz="0" w:space="0" w:color="auto"/>
      </w:divBdr>
    </w:div>
    <w:div w:id="1330988360">
      <w:bodyDiv w:val="1"/>
      <w:marLeft w:val="0"/>
      <w:marRight w:val="0"/>
      <w:marTop w:val="0"/>
      <w:marBottom w:val="0"/>
      <w:divBdr>
        <w:top w:val="none" w:sz="0" w:space="0" w:color="auto"/>
        <w:left w:val="none" w:sz="0" w:space="0" w:color="auto"/>
        <w:bottom w:val="none" w:sz="0" w:space="0" w:color="auto"/>
        <w:right w:val="none" w:sz="0" w:space="0" w:color="auto"/>
      </w:divBdr>
    </w:div>
    <w:div w:id="1341351153">
      <w:bodyDiv w:val="1"/>
      <w:marLeft w:val="0"/>
      <w:marRight w:val="0"/>
      <w:marTop w:val="0"/>
      <w:marBottom w:val="0"/>
      <w:divBdr>
        <w:top w:val="none" w:sz="0" w:space="0" w:color="auto"/>
        <w:left w:val="none" w:sz="0" w:space="0" w:color="auto"/>
        <w:bottom w:val="none" w:sz="0" w:space="0" w:color="auto"/>
        <w:right w:val="none" w:sz="0" w:space="0" w:color="auto"/>
      </w:divBdr>
    </w:div>
    <w:div w:id="1364359158">
      <w:bodyDiv w:val="1"/>
      <w:marLeft w:val="0"/>
      <w:marRight w:val="0"/>
      <w:marTop w:val="0"/>
      <w:marBottom w:val="0"/>
      <w:divBdr>
        <w:top w:val="none" w:sz="0" w:space="0" w:color="auto"/>
        <w:left w:val="none" w:sz="0" w:space="0" w:color="auto"/>
        <w:bottom w:val="none" w:sz="0" w:space="0" w:color="auto"/>
        <w:right w:val="none" w:sz="0" w:space="0" w:color="auto"/>
      </w:divBdr>
    </w:div>
    <w:div w:id="1370909378">
      <w:bodyDiv w:val="1"/>
      <w:marLeft w:val="0"/>
      <w:marRight w:val="0"/>
      <w:marTop w:val="0"/>
      <w:marBottom w:val="0"/>
      <w:divBdr>
        <w:top w:val="none" w:sz="0" w:space="0" w:color="auto"/>
        <w:left w:val="none" w:sz="0" w:space="0" w:color="auto"/>
        <w:bottom w:val="none" w:sz="0" w:space="0" w:color="auto"/>
        <w:right w:val="none" w:sz="0" w:space="0" w:color="auto"/>
      </w:divBdr>
    </w:div>
    <w:div w:id="1388843061">
      <w:bodyDiv w:val="1"/>
      <w:marLeft w:val="0"/>
      <w:marRight w:val="0"/>
      <w:marTop w:val="0"/>
      <w:marBottom w:val="0"/>
      <w:divBdr>
        <w:top w:val="none" w:sz="0" w:space="0" w:color="auto"/>
        <w:left w:val="none" w:sz="0" w:space="0" w:color="auto"/>
        <w:bottom w:val="none" w:sz="0" w:space="0" w:color="auto"/>
        <w:right w:val="none" w:sz="0" w:space="0" w:color="auto"/>
      </w:divBdr>
    </w:div>
    <w:div w:id="1417825769">
      <w:bodyDiv w:val="1"/>
      <w:marLeft w:val="0"/>
      <w:marRight w:val="0"/>
      <w:marTop w:val="0"/>
      <w:marBottom w:val="0"/>
      <w:divBdr>
        <w:top w:val="none" w:sz="0" w:space="0" w:color="auto"/>
        <w:left w:val="none" w:sz="0" w:space="0" w:color="auto"/>
        <w:bottom w:val="none" w:sz="0" w:space="0" w:color="auto"/>
        <w:right w:val="none" w:sz="0" w:space="0" w:color="auto"/>
      </w:divBdr>
    </w:div>
    <w:div w:id="1418677205">
      <w:bodyDiv w:val="1"/>
      <w:marLeft w:val="0"/>
      <w:marRight w:val="0"/>
      <w:marTop w:val="0"/>
      <w:marBottom w:val="0"/>
      <w:divBdr>
        <w:top w:val="none" w:sz="0" w:space="0" w:color="auto"/>
        <w:left w:val="none" w:sz="0" w:space="0" w:color="auto"/>
        <w:bottom w:val="none" w:sz="0" w:space="0" w:color="auto"/>
        <w:right w:val="none" w:sz="0" w:space="0" w:color="auto"/>
      </w:divBdr>
    </w:div>
    <w:div w:id="1431776987">
      <w:bodyDiv w:val="1"/>
      <w:marLeft w:val="0"/>
      <w:marRight w:val="0"/>
      <w:marTop w:val="0"/>
      <w:marBottom w:val="0"/>
      <w:divBdr>
        <w:top w:val="none" w:sz="0" w:space="0" w:color="auto"/>
        <w:left w:val="none" w:sz="0" w:space="0" w:color="auto"/>
        <w:bottom w:val="none" w:sz="0" w:space="0" w:color="auto"/>
        <w:right w:val="none" w:sz="0" w:space="0" w:color="auto"/>
      </w:divBdr>
    </w:div>
    <w:div w:id="1473790628">
      <w:bodyDiv w:val="1"/>
      <w:marLeft w:val="0"/>
      <w:marRight w:val="0"/>
      <w:marTop w:val="0"/>
      <w:marBottom w:val="0"/>
      <w:divBdr>
        <w:top w:val="none" w:sz="0" w:space="0" w:color="auto"/>
        <w:left w:val="none" w:sz="0" w:space="0" w:color="auto"/>
        <w:bottom w:val="none" w:sz="0" w:space="0" w:color="auto"/>
        <w:right w:val="none" w:sz="0" w:space="0" w:color="auto"/>
      </w:divBdr>
    </w:div>
    <w:div w:id="1500190890">
      <w:bodyDiv w:val="1"/>
      <w:marLeft w:val="0"/>
      <w:marRight w:val="0"/>
      <w:marTop w:val="0"/>
      <w:marBottom w:val="0"/>
      <w:divBdr>
        <w:top w:val="none" w:sz="0" w:space="0" w:color="auto"/>
        <w:left w:val="none" w:sz="0" w:space="0" w:color="auto"/>
        <w:bottom w:val="none" w:sz="0" w:space="0" w:color="auto"/>
        <w:right w:val="none" w:sz="0" w:space="0" w:color="auto"/>
      </w:divBdr>
    </w:div>
    <w:div w:id="1515801094">
      <w:bodyDiv w:val="1"/>
      <w:marLeft w:val="0"/>
      <w:marRight w:val="0"/>
      <w:marTop w:val="0"/>
      <w:marBottom w:val="0"/>
      <w:divBdr>
        <w:top w:val="none" w:sz="0" w:space="0" w:color="auto"/>
        <w:left w:val="none" w:sz="0" w:space="0" w:color="auto"/>
        <w:bottom w:val="none" w:sz="0" w:space="0" w:color="auto"/>
        <w:right w:val="none" w:sz="0" w:space="0" w:color="auto"/>
      </w:divBdr>
    </w:div>
    <w:div w:id="1526215986">
      <w:bodyDiv w:val="1"/>
      <w:marLeft w:val="0"/>
      <w:marRight w:val="0"/>
      <w:marTop w:val="0"/>
      <w:marBottom w:val="0"/>
      <w:divBdr>
        <w:top w:val="none" w:sz="0" w:space="0" w:color="auto"/>
        <w:left w:val="none" w:sz="0" w:space="0" w:color="auto"/>
        <w:bottom w:val="none" w:sz="0" w:space="0" w:color="auto"/>
        <w:right w:val="none" w:sz="0" w:space="0" w:color="auto"/>
      </w:divBdr>
    </w:div>
    <w:div w:id="1574510980">
      <w:bodyDiv w:val="1"/>
      <w:marLeft w:val="0"/>
      <w:marRight w:val="0"/>
      <w:marTop w:val="0"/>
      <w:marBottom w:val="0"/>
      <w:divBdr>
        <w:top w:val="none" w:sz="0" w:space="0" w:color="auto"/>
        <w:left w:val="none" w:sz="0" w:space="0" w:color="auto"/>
        <w:bottom w:val="none" w:sz="0" w:space="0" w:color="auto"/>
        <w:right w:val="none" w:sz="0" w:space="0" w:color="auto"/>
      </w:divBdr>
    </w:div>
    <w:div w:id="1641181370">
      <w:bodyDiv w:val="1"/>
      <w:marLeft w:val="0"/>
      <w:marRight w:val="0"/>
      <w:marTop w:val="0"/>
      <w:marBottom w:val="0"/>
      <w:divBdr>
        <w:top w:val="none" w:sz="0" w:space="0" w:color="auto"/>
        <w:left w:val="none" w:sz="0" w:space="0" w:color="auto"/>
        <w:bottom w:val="none" w:sz="0" w:space="0" w:color="auto"/>
        <w:right w:val="none" w:sz="0" w:space="0" w:color="auto"/>
      </w:divBdr>
    </w:div>
    <w:div w:id="1651445508">
      <w:bodyDiv w:val="1"/>
      <w:marLeft w:val="0"/>
      <w:marRight w:val="0"/>
      <w:marTop w:val="0"/>
      <w:marBottom w:val="0"/>
      <w:divBdr>
        <w:top w:val="none" w:sz="0" w:space="0" w:color="auto"/>
        <w:left w:val="none" w:sz="0" w:space="0" w:color="auto"/>
        <w:bottom w:val="none" w:sz="0" w:space="0" w:color="auto"/>
        <w:right w:val="none" w:sz="0" w:space="0" w:color="auto"/>
      </w:divBdr>
    </w:div>
    <w:div w:id="1663115873">
      <w:bodyDiv w:val="1"/>
      <w:marLeft w:val="0"/>
      <w:marRight w:val="0"/>
      <w:marTop w:val="0"/>
      <w:marBottom w:val="0"/>
      <w:divBdr>
        <w:top w:val="none" w:sz="0" w:space="0" w:color="auto"/>
        <w:left w:val="none" w:sz="0" w:space="0" w:color="auto"/>
        <w:bottom w:val="none" w:sz="0" w:space="0" w:color="auto"/>
        <w:right w:val="none" w:sz="0" w:space="0" w:color="auto"/>
      </w:divBdr>
    </w:div>
    <w:div w:id="1671131265">
      <w:bodyDiv w:val="1"/>
      <w:marLeft w:val="0"/>
      <w:marRight w:val="0"/>
      <w:marTop w:val="0"/>
      <w:marBottom w:val="0"/>
      <w:divBdr>
        <w:top w:val="none" w:sz="0" w:space="0" w:color="auto"/>
        <w:left w:val="none" w:sz="0" w:space="0" w:color="auto"/>
        <w:bottom w:val="none" w:sz="0" w:space="0" w:color="auto"/>
        <w:right w:val="none" w:sz="0" w:space="0" w:color="auto"/>
      </w:divBdr>
    </w:div>
    <w:div w:id="1681001702">
      <w:bodyDiv w:val="1"/>
      <w:marLeft w:val="0"/>
      <w:marRight w:val="0"/>
      <w:marTop w:val="0"/>
      <w:marBottom w:val="0"/>
      <w:divBdr>
        <w:top w:val="none" w:sz="0" w:space="0" w:color="auto"/>
        <w:left w:val="none" w:sz="0" w:space="0" w:color="auto"/>
        <w:bottom w:val="none" w:sz="0" w:space="0" w:color="auto"/>
        <w:right w:val="none" w:sz="0" w:space="0" w:color="auto"/>
      </w:divBdr>
    </w:div>
    <w:div w:id="1709143547">
      <w:bodyDiv w:val="1"/>
      <w:marLeft w:val="0"/>
      <w:marRight w:val="0"/>
      <w:marTop w:val="0"/>
      <w:marBottom w:val="0"/>
      <w:divBdr>
        <w:top w:val="none" w:sz="0" w:space="0" w:color="auto"/>
        <w:left w:val="none" w:sz="0" w:space="0" w:color="auto"/>
        <w:bottom w:val="none" w:sz="0" w:space="0" w:color="auto"/>
        <w:right w:val="none" w:sz="0" w:space="0" w:color="auto"/>
      </w:divBdr>
    </w:div>
    <w:div w:id="1713186278">
      <w:bodyDiv w:val="1"/>
      <w:marLeft w:val="0"/>
      <w:marRight w:val="0"/>
      <w:marTop w:val="0"/>
      <w:marBottom w:val="0"/>
      <w:divBdr>
        <w:top w:val="none" w:sz="0" w:space="0" w:color="auto"/>
        <w:left w:val="none" w:sz="0" w:space="0" w:color="auto"/>
        <w:bottom w:val="none" w:sz="0" w:space="0" w:color="auto"/>
        <w:right w:val="none" w:sz="0" w:space="0" w:color="auto"/>
      </w:divBdr>
    </w:div>
    <w:div w:id="1731882301">
      <w:bodyDiv w:val="1"/>
      <w:marLeft w:val="0"/>
      <w:marRight w:val="0"/>
      <w:marTop w:val="0"/>
      <w:marBottom w:val="0"/>
      <w:divBdr>
        <w:top w:val="none" w:sz="0" w:space="0" w:color="auto"/>
        <w:left w:val="none" w:sz="0" w:space="0" w:color="auto"/>
        <w:bottom w:val="none" w:sz="0" w:space="0" w:color="auto"/>
        <w:right w:val="none" w:sz="0" w:space="0" w:color="auto"/>
      </w:divBdr>
    </w:div>
    <w:div w:id="1771004194">
      <w:bodyDiv w:val="1"/>
      <w:marLeft w:val="0"/>
      <w:marRight w:val="0"/>
      <w:marTop w:val="0"/>
      <w:marBottom w:val="0"/>
      <w:divBdr>
        <w:top w:val="none" w:sz="0" w:space="0" w:color="auto"/>
        <w:left w:val="none" w:sz="0" w:space="0" w:color="auto"/>
        <w:bottom w:val="none" w:sz="0" w:space="0" w:color="auto"/>
        <w:right w:val="none" w:sz="0" w:space="0" w:color="auto"/>
      </w:divBdr>
    </w:div>
    <w:div w:id="1781949011">
      <w:bodyDiv w:val="1"/>
      <w:marLeft w:val="0"/>
      <w:marRight w:val="0"/>
      <w:marTop w:val="0"/>
      <w:marBottom w:val="0"/>
      <w:divBdr>
        <w:top w:val="none" w:sz="0" w:space="0" w:color="auto"/>
        <w:left w:val="none" w:sz="0" w:space="0" w:color="auto"/>
        <w:bottom w:val="none" w:sz="0" w:space="0" w:color="auto"/>
        <w:right w:val="none" w:sz="0" w:space="0" w:color="auto"/>
      </w:divBdr>
    </w:div>
    <w:div w:id="1782458166">
      <w:bodyDiv w:val="1"/>
      <w:marLeft w:val="0"/>
      <w:marRight w:val="0"/>
      <w:marTop w:val="0"/>
      <w:marBottom w:val="0"/>
      <w:divBdr>
        <w:top w:val="none" w:sz="0" w:space="0" w:color="auto"/>
        <w:left w:val="none" w:sz="0" w:space="0" w:color="auto"/>
        <w:bottom w:val="none" w:sz="0" w:space="0" w:color="auto"/>
        <w:right w:val="none" w:sz="0" w:space="0" w:color="auto"/>
      </w:divBdr>
    </w:div>
    <w:div w:id="1789355738">
      <w:bodyDiv w:val="1"/>
      <w:marLeft w:val="0"/>
      <w:marRight w:val="0"/>
      <w:marTop w:val="0"/>
      <w:marBottom w:val="0"/>
      <w:divBdr>
        <w:top w:val="none" w:sz="0" w:space="0" w:color="auto"/>
        <w:left w:val="none" w:sz="0" w:space="0" w:color="auto"/>
        <w:bottom w:val="none" w:sz="0" w:space="0" w:color="auto"/>
        <w:right w:val="none" w:sz="0" w:space="0" w:color="auto"/>
      </w:divBdr>
    </w:div>
    <w:div w:id="1829400370">
      <w:bodyDiv w:val="1"/>
      <w:marLeft w:val="0"/>
      <w:marRight w:val="0"/>
      <w:marTop w:val="0"/>
      <w:marBottom w:val="0"/>
      <w:divBdr>
        <w:top w:val="none" w:sz="0" w:space="0" w:color="auto"/>
        <w:left w:val="none" w:sz="0" w:space="0" w:color="auto"/>
        <w:bottom w:val="none" w:sz="0" w:space="0" w:color="auto"/>
        <w:right w:val="none" w:sz="0" w:space="0" w:color="auto"/>
      </w:divBdr>
    </w:div>
    <w:div w:id="1838156832">
      <w:bodyDiv w:val="1"/>
      <w:marLeft w:val="0"/>
      <w:marRight w:val="0"/>
      <w:marTop w:val="0"/>
      <w:marBottom w:val="0"/>
      <w:divBdr>
        <w:top w:val="none" w:sz="0" w:space="0" w:color="auto"/>
        <w:left w:val="none" w:sz="0" w:space="0" w:color="auto"/>
        <w:bottom w:val="none" w:sz="0" w:space="0" w:color="auto"/>
        <w:right w:val="none" w:sz="0" w:space="0" w:color="auto"/>
      </w:divBdr>
    </w:div>
    <w:div w:id="1853951181">
      <w:bodyDiv w:val="1"/>
      <w:marLeft w:val="0"/>
      <w:marRight w:val="0"/>
      <w:marTop w:val="0"/>
      <w:marBottom w:val="0"/>
      <w:divBdr>
        <w:top w:val="none" w:sz="0" w:space="0" w:color="auto"/>
        <w:left w:val="none" w:sz="0" w:space="0" w:color="auto"/>
        <w:bottom w:val="none" w:sz="0" w:space="0" w:color="auto"/>
        <w:right w:val="none" w:sz="0" w:space="0" w:color="auto"/>
      </w:divBdr>
    </w:div>
    <w:div w:id="1858889017">
      <w:bodyDiv w:val="1"/>
      <w:marLeft w:val="0"/>
      <w:marRight w:val="0"/>
      <w:marTop w:val="0"/>
      <w:marBottom w:val="0"/>
      <w:divBdr>
        <w:top w:val="none" w:sz="0" w:space="0" w:color="auto"/>
        <w:left w:val="none" w:sz="0" w:space="0" w:color="auto"/>
        <w:bottom w:val="none" w:sz="0" w:space="0" w:color="auto"/>
        <w:right w:val="none" w:sz="0" w:space="0" w:color="auto"/>
      </w:divBdr>
    </w:div>
    <w:div w:id="1862666288">
      <w:bodyDiv w:val="1"/>
      <w:marLeft w:val="0"/>
      <w:marRight w:val="0"/>
      <w:marTop w:val="0"/>
      <w:marBottom w:val="0"/>
      <w:divBdr>
        <w:top w:val="none" w:sz="0" w:space="0" w:color="auto"/>
        <w:left w:val="none" w:sz="0" w:space="0" w:color="auto"/>
        <w:bottom w:val="none" w:sz="0" w:space="0" w:color="auto"/>
        <w:right w:val="none" w:sz="0" w:space="0" w:color="auto"/>
      </w:divBdr>
    </w:div>
    <w:div w:id="1867405923">
      <w:bodyDiv w:val="1"/>
      <w:marLeft w:val="0"/>
      <w:marRight w:val="0"/>
      <w:marTop w:val="0"/>
      <w:marBottom w:val="0"/>
      <w:divBdr>
        <w:top w:val="none" w:sz="0" w:space="0" w:color="auto"/>
        <w:left w:val="none" w:sz="0" w:space="0" w:color="auto"/>
        <w:bottom w:val="none" w:sz="0" w:space="0" w:color="auto"/>
        <w:right w:val="none" w:sz="0" w:space="0" w:color="auto"/>
      </w:divBdr>
    </w:div>
    <w:div w:id="1924412411">
      <w:bodyDiv w:val="1"/>
      <w:marLeft w:val="0"/>
      <w:marRight w:val="0"/>
      <w:marTop w:val="0"/>
      <w:marBottom w:val="0"/>
      <w:divBdr>
        <w:top w:val="none" w:sz="0" w:space="0" w:color="auto"/>
        <w:left w:val="none" w:sz="0" w:space="0" w:color="auto"/>
        <w:bottom w:val="none" w:sz="0" w:space="0" w:color="auto"/>
        <w:right w:val="none" w:sz="0" w:space="0" w:color="auto"/>
      </w:divBdr>
    </w:div>
    <w:div w:id="1941987255">
      <w:bodyDiv w:val="1"/>
      <w:marLeft w:val="0"/>
      <w:marRight w:val="0"/>
      <w:marTop w:val="0"/>
      <w:marBottom w:val="0"/>
      <w:divBdr>
        <w:top w:val="none" w:sz="0" w:space="0" w:color="auto"/>
        <w:left w:val="none" w:sz="0" w:space="0" w:color="auto"/>
        <w:bottom w:val="none" w:sz="0" w:space="0" w:color="auto"/>
        <w:right w:val="none" w:sz="0" w:space="0" w:color="auto"/>
      </w:divBdr>
    </w:div>
    <w:div w:id="1968002950">
      <w:bodyDiv w:val="1"/>
      <w:marLeft w:val="0"/>
      <w:marRight w:val="0"/>
      <w:marTop w:val="0"/>
      <w:marBottom w:val="0"/>
      <w:divBdr>
        <w:top w:val="none" w:sz="0" w:space="0" w:color="auto"/>
        <w:left w:val="none" w:sz="0" w:space="0" w:color="auto"/>
        <w:bottom w:val="none" w:sz="0" w:space="0" w:color="auto"/>
        <w:right w:val="none" w:sz="0" w:space="0" w:color="auto"/>
      </w:divBdr>
      <w:divsChild>
        <w:div w:id="201789668">
          <w:marLeft w:val="0"/>
          <w:marRight w:val="0"/>
          <w:marTop w:val="0"/>
          <w:marBottom w:val="0"/>
          <w:divBdr>
            <w:top w:val="none" w:sz="0" w:space="0" w:color="auto"/>
            <w:left w:val="none" w:sz="0" w:space="0" w:color="auto"/>
            <w:bottom w:val="none" w:sz="0" w:space="0" w:color="auto"/>
            <w:right w:val="none" w:sz="0" w:space="0" w:color="auto"/>
          </w:divBdr>
          <w:divsChild>
            <w:div w:id="15865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9746">
      <w:bodyDiv w:val="1"/>
      <w:marLeft w:val="0"/>
      <w:marRight w:val="0"/>
      <w:marTop w:val="0"/>
      <w:marBottom w:val="0"/>
      <w:divBdr>
        <w:top w:val="none" w:sz="0" w:space="0" w:color="auto"/>
        <w:left w:val="none" w:sz="0" w:space="0" w:color="auto"/>
        <w:bottom w:val="none" w:sz="0" w:space="0" w:color="auto"/>
        <w:right w:val="none" w:sz="0" w:space="0" w:color="auto"/>
      </w:divBdr>
    </w:div>
    <w:div w:id="2006937197">
      <w:bodyDiv w:val="1"/>
      <w:marLeft w:val="0"/>
      <w:marRight w:val="0"/>
      <w:marTop w:val="0"/>
      <w:marBottom w:val="0"/>
      <w:divBdr>
        <w:top w:val="none" w:sz="0" w:space="0" w:color="auto"/>
        <w:left w:val="none" w:sz="0" w:space="0" w:color="auto"/>
        <w:bottom w:val="none" w:sz="0" w:space="0" w:color="auto"/>
        <w:right w:val="none" w:sz="0" w:space="0" w:color="auto"/>
      </w:divBdr>
    </w:div>
    <w:div w:id="2014145558">
      <w:bodyDiv w:val="1"/>
      <w:marLeft w:val="0"/>
      <w:marRight w:val="0"/>
      <w:marTop w:val="0"/>
      <w:marBottom w:val="0"/>
      <w:divBdr>
        <w:top w:val="none" w:sz="0" w:space="0" w:color="auto"/>
        <w:left w:val="none" w:sz="0" w:space="0" w:color="auto"/>
        <w:bottom w:val="none" w:sz="0" w:space="0" w:color="auto"/>
        <w:right w:val="none" w:sz="0" w:space="0" w:color="auto"/>
      </w:divBdr>
    </w:div>
    <w:div w:id="2089113800">
      <w:bodyDiv w:val="1"/>
      <w:marLeft w:val="0"/>
      <w:marRight w:val="0"/>
      <w:marTop w:val="0"/>
      <w:marBottom w:val="0"/>
      <w:divBdr>
        <w:top w:val="none" w:sz="0" w:space="0" w:color="auto"/>
        <w:left w:val="none" w:sz="0" w:space="0" w:color="auto"/>
        <w:bottom w:val="none" w:sz="0" w:space="0" w:color="auto"/>
        <w:right w:val="none" w:sz="0" w:space="0" w:color="auto"/>
      </w:divBdr>
    </w:div>
    <w:div w:id="2091197675">
      <w:bodyDiv w:val="1"/>
      <w:marLeft w:val="0"/>
      <w:marRight w:val="0"/>
      <w:marTop w:val="0"/>
      <w:marBottom w:val="0"/>
      <w:divBdr>
        <w:top w:val="none" w:sz="0" w:space="0" w:color="auto"/>
        <w:left w:val="none" w:sz="0" w:space="0" w:color="auto"/>
        <w:bottom w:val="none" w:sz="0" w:space="0" w:color="auto"/>
        <w:right w:val="none" w:sz="0" w:space="0" w:color="auto"/>
      </w:divBdr>
    </w:div>
    <w:div w:id="2100515534">
      <w:bodyDiv w:val="1"/>
      <w:marLeft w:val="0"/>
      <w:marRight w:val="0"/>
      <w:marTop w:val="0"/>
      <w:marBottom w:val="0"/>
      <w:divBdr>
        <w:top w:val="none" w:sz="0" w:space="0" w:color="auto"/>
        <w:left w:val="none" w:sz="0" w:space="0" w:color="auto"/>
        <w:bottom w:val="none" w:sz="0" w:space="0" w:color="auto"/>
        <w:right w:val="none" w:sz="0" w:space="0" w:color="auto"/>
      </w:divBdr>
    </w:div>
    <w:div w:id="2101872482">
      <w:bodyDiv w:val="1"/>
      <w:marLeft w:val="0"/>
      <w:marRight w:val="0"/>
      <w:marTop w:val="0"/>
      <w:marBottom w:val="0"/>
      <w:divBdr>
        <w:top w:val="none" w:sz="0" w:space="0" w:color="auto"/>
        <w:left w:val="none" w:sz="0" w:space="0" w:color="auto"/>
        <w:bottom w:val="none" w:sz="0" w:space="0" w:color="auto"/>
        <w:right w:val="none" w:sz="0" w:space="0" w:color="auto"/>
      </w:divBdr>
    </w:div>
    <w:div w:id="2121408124">
      <w:bodyDiv w:val="1"/>
      <w:marLeft w:val="0"/>
      <w:marRight w:val="0"/>
      <w:marTop w:val="0"/>
      <w:marBottom w:val="0"/>
      <w:divBdr>
        <w:top w:val="none" w:sz="0" w:space="0" w:color="auto"/>
        <w:left w:val="none" w:sz="0" w:space="0" w:color="auto"/>
        <w:bottom w:val="none" w:sz="0" w:space="0" w:color="auto"/>
        <w:right w:val="none" w:sz="0" w:space="0" w:color="auto"/>
      </w:divBdr>
    </w:div>
    <w:div w:id="2125995008">
      <w:bodyDiv w:val="1"/>
      <w:marLeft w:val="0"/>
      <w:marRight w:val="0"/>
      <w:marTop w:val="0"/>
      <w:marBottom w:val="0"/>
      <w:divBdr>
        <w:top w:val="none" w:sz="0" w:space="0" w:color="auto"/>
        <w:left w:val="none" w:sz="0" w:space="0" w:color="auto"/>
        <w:bottom w:val="none" w:sz="0" w:space="0" w:color="auto"/>
        <w:right w:val="none" w:sz="0" w:space="0" w:color="auto"/>
      </w:divBdr>
    </w:div>
    <w:div w:id="2129350370">
      <w:bodyDiv w:val="1"/>
      <w:marLeft w:val="0"/>
      <w:marRight w:val="0"/>
      <w:marTop w:val="0"/>
      <w:marBottom w:val="0"/>
      <w:divBdr>
        <w:top w:val="none" w:sz="0" w:space="0" w:color="auto"/>
        <w:left w:val="none" w:sz="0" w:space="0" w:color="auto"/>
        <w:bottom w:val="none" w:sz="0" w:space="0" w:color="auto"/>
        <w:right w:val="none" w:sz="0" w:space="0" w:color="auto"/>
      </w:divBdr>
    </w:div>
    <w:div w:id="2133088051">
      <w:bodyDiv w:val="1"/>
      <w:marLeft w:val="0"/>
      <w:marRight w:val="0"/>
      <w:marTop w:val="0"/>
      <w:marBottom w:val="0"/>
      <w:divBdr>
        <w:top w:val="none" w:sz="0" w:space="0" w:color="auto"/>
        <w:left w:val="none" w:sz="0" w:space="0" w:color="auto"/>
        <w:bottom w:val="none" w:sz="0" w:space="0" w:color="auto"/>
        <w:right w:val="none" w:sz="0" w:space="0" w:color="auto"/>
      </w:divBdr>
    </w:div>
    <w:div w:id="214711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8ADFD4D6783DB49A6EF974D5D9BEB36" ma:contentTypeVersion="0" ma:contentTypeDescription="Új dokumentum létrehozása." ma:contentTypeScope="" ma:versionID="ed1b709392becd3320cb93e8151ad519">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4156FC0-6D4B-42E8-BE43-D553F55D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D9E24A-9F26-4810-AAE9-F62025EE42F2}">
  <ds:schemaRefs>
    <ds:schemaRef ds:uri="http://schemas.microsoft.com/sharepoint/v3/contenttype/forms"/>
  </ds:schemaRefs>
</ds:datastoreItem>
</file>

<file path=customXml/itemProps3.xml><?xml version="1.0" encoding="utf-8"?>
<ds:datastoreItem xmlns:ds="http://schemas.openxmlformats.org/officeDocument/2006/customXml" ds:itemID="{0EAD5709-B12A-46E0-AD48-1BCEC0FA6A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683C4-74ED-40A4-BE89-A466F074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44</Pages>
  <Words>17237</Words>
  <Characters>118939</Characters>
  <Application>Microsoft Office Word</Application>
  <DocSecurity>0</DocSecurity>
  <Lines>991</Lines>
  <Paragraphs>271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Tornyi Zsuzsanna Katalin Dr.</dc:creator>
  <cp:keywords/>
  <dc:description/>
  <cp:lastModifiedBy>Ujváriné Fejes Renáta</cp:lastModifiedBy>
  <cp:revision>4</cp:revision>
  <cp:lastPrinted>2022-06-15T11:33:00Z</cp:lastPrinted>
  <dcterms:created xsi:type="dcterms:W3CDTF">2022-10-20T07:21:00Z</dcterms:created>
  <dcterms:modified xsi:type="dcterms:W3CDTF">2022-10-20T14:40:00Z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2026-04-27T10:16:26Z</vt:filetime>
  </property>
  <property fmtid="{D5CDD505-2E9C-101B-9397-08002B2CF9AE}" pid="3" name="Érvényességet beállító">
    <vt:lpwstr>tornyizs</vt:lpwstr>
  </property>
  <property fmtid="{D5CDD505-2E9C-101B-9397-08002B2CF9AE}" pid="4" name="Érvényességi idő első beállítása">
    <vt:filetime>2021-04-27T10:16:26Z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tornyizs@mnb.hu</vt:lpwstr>
  </property>
  <property fmtid="{D5CDD505-2E9C-101B-9397-08002B2CF9AE}" pid="8" name="MSIP_Label_b0d11092-50c9-4e74-84b5-b1af078dc3d0_SetDate">
    <vt:lpwstr>2021-04-27T10:26:29.1863223Z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65f5b61d-3761-4092-b55b-9b1cae2c65de</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ContentTypeId">
    <vt:lpwstr>0x01010038ADFD4D6783DB49A6EF974D5D9BEB36</vt:lpwstr>
  </property>
</Properties>
</file>