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CC26" w14:textId="266ADF09" w:rsidR="00EE798C" w:rsidRPr="00CD71D2" w:rsidRDefault="001107A7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en-GB"/>
        </w:rPr>
      </w:pPr>
      <w:r w:rsidRPr="00CD71D2">
        <w:rPr>
          <w:rFonts w:asciiTheme="minorHAnsi" w:hAnsiTheme="minorHAnsi" w:cstheme="minorHAnsi"/>
          <w:b/>
          <w:bCs/>
          <w:lang w:val="en-GB"/>
        </w:rPr>
        <w:t xml:space="preserve">Supervisory Disclosure Based on Point u) of Section 43(2) of Act </w:t>
      </w:r>
      <w:r w:rsidR="00EE798C" w:rsidRPr="00CD71D2">
        <w:rPr>
          <w:rFonts w:asciiTheme="minorHAnsi" w:hAnsiTheme="minorHAnsi" w:cstheme="minorHAnsi"/>
          <w:b/>
          <w:bCs/>
          <w:lang w:val="en-GB"/>
        </w:rPr>
        <w:t xml:space="preserve">CXXXIX </w:t>
      </w:r>
      <w:r w:rsidRPr="00CD71D2">
        <w:rPr>
          <w:rFonts w:asciiTheme="minorHAnsi" w:hAnsiTheme="minorHAnsi" w:cstheme="minorHAnsi"/>
          <w:b/>
          <w:bCs/>
          <w:lang w:val="en-GB"/>
        </w:rPr>
        <w:t>of 2013 on the Central Bank of Hungary</w:t>
      </w:r>
    </w:p>
    <w:p w14:paraId="57170788" w14:textId="5A386F9B" w:rsidR="00284C97" w:rsidRPr="00CD71D2" w:rsidRDefault="00284C97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i/>
          <w:iCs/>
          <w:lang w:val="en-GB"/>
        </w:rPr>
        <w:t>(</w:t>
      </w:r>
      <w:proofErr w:type="gramStart"/>
      <w:r w:rsidR="001107A7" w:rsidRPr="00CD71D2">
        <w:rPr>
          <w:rFonts w:asciiTheme="minorHAnsi" w:hAnsiTheme="minorHAnsi" w:cstheme="minorHAnsi"/>
          <w:i/>
          <w:iCs/>
          <w:lang w:val="en-GB"/>
        </w:rPr>
        <w:t>transposition</w:t>
      </w:r>
      <w:proofErr w:type="gramEnd"/>
      <w:r w:rsidR="001107A7" w:rsidRPr="00CD71D2">
        <w:rPr>
          <w:rFonts w:asciiTheme="minorHAnsi" w:hAnsiTheme="minorHAnsi" w:cstheme="minorHAnsi"/>
          <w:i/>
          <w:iCs/>
          <w:lang w:val="en-GB"/>
        </w:rPr>
        <w:t xml:space="preserve"> of Art. 51(2) of the </w:t>
      </w:r>
      <w:proofErr w:type="spellStart"/>
      <w:r w:rsidRPr="00CD71D2">
        <w:rPr>
          <w:rFonts w:asciiTheme="minorHAnsi" w:hAnsiTheme="minorHAnsi" w:cstheme="minorHAnsi"/>
          <w:i/>
          <w:iCs/>
          <w:lang w:val="en-GB"/>
        </w:rPr>
        <w:t>IORP</w:t>
      </w:r>
      <w:proofErr w:type="spellEnd"/>
      <w:r w:rsidRPr="00CD71D2">
        <w:rPr>
          <w:rFonts w:asciiTheme="minorHAnsi" w:hAnsiTheme="minorHAnsi" w:cstheme="minorHAnsi"/>
          <w:i/>
          <w:iCs/>
          <w:lang w:val="en-GB"/>
        </w:rPr>
        <w:t xml:space="preserve"> II </w:t>
      </w:r>
      <w:r w:rsidR="001107A7" w:rsidRPr="00CD71D2">
        <w:rPr>
          <w:rFonts w:asciiTheme="minorHAnsi" w:hAnsiTheme="minorHAnsi" w:cstheme="minorHAnsi"/>
          <w:i/>
          <w:iCs/>
          <w:lang w:val="en-GB"/>
        </w:rPr>
        <w:t>Directive</w:t>
      </w:r>
      <w:r w:rsidRPr="00CD71D2">
        <w:rPr>
          <w:rFonts w:asciiTheme="minorHAnsi" w:hAnsiTheme="minorHAnsi" w:cstheme="minorHAnsi"/>
          <w:i/>
          <w:iCs/>
          <w:lang w:val="en-GB"/>
        </w:rPr>
        <w:t>)</w:t>
      </w:r>
    </w:p>
    <w:p w14:paraId="5BB0854C" w14:textId="4DCCCE59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</w:pPr>
    </w:p>
    <w:p w14:paraId="40BB1CA3" w14:textId="1293A2E8" w:rsidR="00EE798C" w:rsidRPr="00CD71D2" w:rsidRDefault="001107A7" w:rsidP="001107A7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The Main Objective of Prudential Supervision 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of Institutions for </w:t>
      </w: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Occupational 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Retirement</w:t>
      </w: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 Provi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sion (</w:t>
      </w:r>
      <w:r w:rsidR="00CC6DB8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“</w:t>
      </w:r>
      <w:proofErr w:type="spellStart"/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IORPs</w:t>
      </w:r>
      <w:proofErr w:type="spellEnd"/>
      <w:r w:rsidR="00CC6DB8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”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)</w:t>
      </w:r>
    </w:p>
    <w:p w14:paraId="733D21AD" w14:textId="068BB7BC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39146590" w14:textId="14ADAF48" w:rsidR="00695C3B" w:rsidRPr="00CD71D2" w:rsidRDefault="001107A7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Objectives of Supe</w:t>
      </w:r>
      <w:r w:rsidR="006E1C5B"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r</w:t>
      </w: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vision</w:t>
      </w:r>
    </w:p>
    <w:p w14:paraId="3AAA9AE1" w14:textId="7E2A97DC" w:rsidR="00EE798C" w:rsidRPr="00CD71D2" w:rsidRDefault="006E1C5B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Without prejudice to its primary objective, the Central Bank of Hungary (Magyar Nemzeti Bank, “MNB”) maintain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the stability of the financial intermediary system, increase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its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resilience</w:t>
      </w:r>
      <w:proofErr w:type="gram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and ensure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its sustainable contribution to economic growth, 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while at the same time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support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ing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the economic policy of the Government and its policy related to environmental sustainability using the means at its disposal.</w:t>
      </w:r>
    </w:p>
    <w:p w14:paraId="60C70C20" w14:textId="70B1397B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59F708D6" w14:textId="0DC88056" w:rsidR="00695C3B" w:rsidRPr="00CD71D2" w:rsidRDefault="006E1C5B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Main Functions of Supervision</w:t>
      </w:r>
    </w:p>
    <w:p w14:paraId="6E79B647" w14:textId="4310C842" w:rsidR="006E1C5B" w:rsidRPr="00CD71D2" w:rsidRDefault="006E1C5B" w:rsidP="006E1C5B">
      <w:pPr>
        <w:shd w:val="clear" w:color="auto" w:fill="FFFFFF"/>
        <w:spacing w:after="0" w:line="240" w:lineRule="auto"/>
        <w:rPr>
          <w:rFonts w:eastAsia="Times New Roman" w:cstheme="minorHAnsi"/>
          <w:lang w:val="en-GB"/>
        </w:rPr>
      </w:pPr>
      <w:r w:rsidRPr="00CD71D2">
        <w:rPr>
          <w:rFonts w:eastAsia="Times New Roman" w:cstheme="minorHAnsi"/>
          <w:lang w:val="en-GB"/>
        </w:rPr>
        <w:t>The MNB supervise</w:t>
      </w:r>
      <w:r w:rsidR="003F10DD">
        <w:rPr>
          <w:rFonts w:eastAsia="Times New Roman" w:cstheme="minorHAnsi"/>
          <w:lang w:val="en-GB"/>
        </w:rPr>
        <w:t>s</w:t>
      </w:r>
      <w:r w:rsidRPr="00CD71D2">
        <w:rPr>
          <w:rFonts w:eastAsia="Times New Roman" w:cstheme="minorHAnsi"/>
          <w:lang w:val="en-GB"/>
        </w:rPr>
        <w:t xml:space="preserve"> the financial intermediary system with a view to:</w:t>
      </w:r>
    </w:p>
    <w:p w14:paraId="4E52C0F2" w14:textId="27DD56D9" w:rsidR="006E1C5B" w:rsidRPr="00CD71D2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lang w:val="en-GB"/>
        </w:rPr>
      </w:pPr>
      <w:r w:rsidRPr="00CD71D2">
        <w:rPr>
          <w:rFonts w:eastAsia="Times New Roman" w:cstheme="minorHAnsi"/>
          <w:lang w:val="en-GB"/>
        </w:rPr>
        <w:t xml:space="preserve">ensuring the smooth, transparent and efficient functioning of the financial intermediary </w:t>
      </w:r>
      <w:proofErr w:type="gramStart"/>
      <w:r w:rsidRPr="00CD71D2">
        <w:rPr>
          <w:rFonts w:eastAsia="Times New Roman" w:cstheme="minorHAnsi"/>
          <w:lang w:val="en-GB"/>
        </w:rPr>
        <w:t>system;</w:t>
      </w:r>
      <w:proofErr w:type="gramEnd"/>
    </w:p>
    <w:p w14:paraId="57C0E731" w14:textId="5C63B99B" w:rsidR="006E1C5B" w:rsidRPr="00CD71D2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lang w:val="en-GB"/>
        </w:rPr>
      </w:pPr>
      <w:r w:rsidRPr="00CD71D2">
        <w:rPr>
          <w:rFonts w:eastAsia="Times New Roman" w:cstheme="minorHAnsi"/>
          <w:lang w:val="en-GB"/>
        </w:rPr>
        <w:t xml:space="preserve">facilitating the prudent operation of the persons and organizations comprising the financial intermediary system and overseeing the prudent exercise of owners’ </w:t>
      </w:r>
      <w:proofErr w:type="gramStart"/>
      <w:r w:rsidRPr="00CD71D2">
        <w:rPr>
          <w:rFonts w:eastAsia="Times New Roman" w:cstheme="minorHAnsi"/>
          <w:lang w:val="en-GB"/>
        </w:rPr>
        <w:t>rights;</w:t>
      </w:r>
      <w:proofErr w:type="gramEnd"/>
    </w:p>
    <w:p w14:paraId="1E72367E" w14:textId="4BFA583C" w:rsidR="006E1C5B" w:rsidRPr="00CD71D2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lang w:val="en-GB"/>
        </w:rPr>
      </w:pPr>
      <w:r w:rsidRPr="00CD71D2">
        <w:rPr>
          <w:rFonts w:eastAsia="Times New Roman" w:cstheme="minorHAnsi"/>
          <w:lang w:val="en-GB"/>
        </w:rPr>
        <w:t xml:space="preserve">discovering undesirable business and economic risks threatening individual financial organizations or individual sectors of financial organizations, mitigating or eliminating existing individual or sector-related risks, and taking preventive measures with a view to ensuring the prudent operation of individual financial </w:t>
      </w:r>
      <w:proofErr w:type="gramStart"/>
      <w:r w:rsidRPr="00CD71D2">
        <w:rPr>
          <w:rFonts w:eastAsia="Times New Roman" w:cstheme="minorHAnsi"/>
          <w:lang w:val="en-GB"/>
        </w:rPr>
        <w:t>organizations;</w:t>
      </w:r>
      <w:proofErr w:type="gramEnd"/>
    </w:p>
    <w:p w14:paraId="1C0E3B34" w14:textId="01B53486" w:rsidR="006E1C5B" w:rsidRPr="00CD71D2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lang w:val="en-GB"/>
        </w:rPr>
      </w:pPr>
      <w:r w:rsidRPr="00CD71D2">
        <w:rPr>
          <w:rFonts w:eastAsia="Times New Roman" w:cstheme="minorHAnsi"/>
          <w:lang w:val="en-GB"/>
        </w:rPr>
        <w:t>protecting the interests of parties using the services rendered by financial organizations and strengthening public confidence in the financial intermediary system.</w:t>
      </w:r>
    </w:p>
    <w:p w14:paraId="53089C9E" w14:textId="4C25C1C1" w:rsidR="006E1C5B" w:rsidRPr="00CD71D2" w:rsidRDefault="006E1C5B" w:rsidP="006E1C5B">
      <w:pPr>
        <w:shd w:val="clear" w:color="auto" w:fill="FFFFFF"/>
        <w:spacing w:after="0" w:line="240" w:lineRule="auto"/>
        <w:rPr>
          <w:rFonts w:eastAsia="Times New Roman" w:cstheme="minorHAnsi"/>
          <w:lang w:val="en-GB"/>
        </w:rPr>
      </w:pPr>
      <w:r w:rsidRPr="00CD71D2">
        <w:rPr>
          <w:rFonts w:eastAsia="Times New Roman" w:cstheme="minorHAnsi"/>
          <w:lang w:val="en-GB"/>
        </w:rPr>
        <w:t>For further details</w:t>
      </w:r>
      <w:r w:rsidR="003F10DD">
        <w:rPr>
          <w:rFonts w:eastAsia="Times New Roman" w:cstheme="minorHAnsi"/>
          <w:lang w:val="en-GB"/>
        </w:rPr>
        <w:t>,</w:t>
      </w:r>
      <w:r w:rsidRPr="00CD71D2">
        <w:rPr>
          <w:rFonts w:eastAsia="Times New Roman" w:cstheme="minorHAnsi"/>
          <w:lang w:val="en-GB"/>
        </w:rPr>
        <w:t xml:space="preserve"> please see Chapter V, Part Two of Act CXXXIX of 2013 on the Central Bank of Hungary (</w:t>
      </w:r>
      <w:r w:rsidR="003F10DD">
        <w:rPr>
          <w:rFonts w:eastAsia="Times New Roman" w:cstheme="minorHAnsi"/>
          <w:lang w:val="en-GB"/>
        </w:rPr>
        <w:t>“</w:t>
      </w:r>
      <w:r w:rsidRPr="00CD71D2">
        <w:rPr>
          <w:rFonts w:eastAsia="Times New Roman" w:cstheme="minorHAnsi"/>
          <w:lang w:val="en-GB"/>
        </w:rPr>
        <w:t xml:space="preserve">MNB </w:t>
      </w:r>
      <w:r w:rsidR="003F10DD">
        <w:rPr>
          <w:rFonts w:eastAsia="Times New Roman" w:cstheme="minorHAnsi"/>
          <w:lang w:val="en-GB"/>
        </w:rPr>
        <w:t>Act</w:t>
      </w:r>
      <w:r w:rsidRPr="00CD71D2">
        <w:rPr>
          <w:rFonts w:eastAsia="Times New Roman" w:cstheme="minorHAnsi"/>
          <w:lang w:val="en-GB"/>
        </w:rPr>
        <w:t>”).</w:t>
      </w:r>
    </w:p>
    <w:p w14:paraId="1CD582E6" w14:textId="7E670B73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836C40B" w14:textId="1AE10A22" w:rsidR="00212865" w:rsidRPr="00CD71D2" w:rsidRDefault="00212865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Main Areas of Ongoing or Planned Supervisory Activities</w:t>
      </w:r>
    </w:p>
    <w:p w14:paraId="02AA478E" w14:textId="788098BB" w:rsidR="00212865" w:rsidRPr="00CD71D2" w:rsidRDefault="00212865" w:rsidP="00212865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Priority aspects of the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lang w:val="en-GB"/>
        </w:rPr>
        <w:t>MNB's</w:t>
      </w:r>
      <w:proofErr w:type="spellEnd"/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supervisory activities in 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2023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regarding </w:t>
      </w:r>
      <w:r w:rsidR="003F10DD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pension fund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proofErr w:type="spellStart"/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IORP</w:t>
      </w:r>
      <w:proofErr w:type="spellEnd"/>
      <w:r w:rsidR="00DF7B89"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sector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5987D379" w14:textId="6E304298" w:rsidR="00212865" w:rsidRPr="00CD71D2" w:rsidRDefault="00212865" w:rsidP="00212865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>xamining the long-term sustainability of the operations of the fund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, with particular attention to the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ability to respond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to external environmental impacts and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86FAA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the level of resources available for operations </w:t>
      </w:r>
      <w:r w:rsidR="003F10DD">
        <w:rPr>
          <w:rFonts w:asciiTheme="minorHAnsi" w:hAnsiTheme="minorHAnsi" w:cstheme="minorHAnsi"/>
          <w:sz w:val="22"/>
          <w:szCs w:val="22"/>
          <w:lang w:val="en-GB"/>
        </w:rPr>
        <w:t xml:space="preserve">in accordance with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lang w:val="en-GB"/>
        </w:rPr>
        <w:t>MNB's</w:t>
      </w:r>
      <w:proofErr w:type="spellEnd"/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 prudential </w:t>
      </w:r>
      <w:proofErr w:type="gramStart"/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expectations</w:t>
      </w:r>
      <w:r w:rsidR="003F10DD"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14:paraId="4AC8AE56" w14:textId="74D415CB" w:rsidR="00212865" w:rsidRPr="00CD71D2" w:rsidRDefault="00212865" w:rsidP="00212865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2. 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ntegration of environmental sustainability into the investments and operations of the </w:t>
      </w:r>
      <w:proofErr w:type="gramStart"/>
      <w:r w:rsidRPr="00CD71D2">
        <w:rPr>
          <w:rFonts w:asciiTheme="minorHAnsi" w:hAnsiTheme="minorHAnsi" w:cstheme="minorHAnsi"/>
          <w:sz w:val="22"/>
          <w:szCs w:val="22"/>
          <w:lang w:val="en-GB"/>
        </w:rPr>
        <w:t>fund</w:t>
      </w:r>
      <w:r w:rsidR="00784E71" w:rsidRPr="00CD71D2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3F10DD"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14:paraId="0FD500DF" w14:textId="4D80C2C6" w:rsidR="00212865" w:rsidRPr="00CD71D2" w:rsidRDefault="00212865" w:rsidP="00212865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lang w:val="en-GB"/>
        </w:rPr>
        <w:t xml:space="preserve">3. Exploring the use of artificial </w:t>
      </w:r>
      <w:proofErr w:type="gramStart"/>
      <w:r w:rsidRPr="00CD71D2">
        <w:rPr>
          <w:rFonts w:asciiTheme="minorHAnsi" w:hAnsiTheme="minorHAnsi" w:cstheme="minorHAnsi"/>
          <w:sz w:val="22"/>
          <w:szCs w:val="22"/>
          <w:lang w:val="en-GB"/>
        </w:rPr>
        <w:t>intelligence</w:t>
      </w:r>
      <w:r w:rsidR="003F10DD"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14:paraId="798F2680" w14:textId="7646F6C3" w:rsidR="00212865" w:rsidRPr="00CD71D2" w:rsidRDefault="00212865" w:rsidP="00212865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lang w:val="en-GB"/>
        </w:rPr>
        <w:t>4. Use of cloud services</w:t>
      </w:r>
      <w:r w:rsidR="003F10D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FD5CCA6" w14:textId="21BD3EBE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41CB139" w14:textId="77777777" w:rsidR="00784E71" w:rsidRPr="00CD71D2" w:rsidRDefault="00784E71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BD1AB12" w14:textId="52BF5353" w:rsidR="00EE798C" w:rsidRPr="00CD71D2" w:rsidRDefault="00784E71" w:rsidP="001107A7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Information on Supervisory Review Process</w:t>
      </w:r>
    </w:p>
    <w:p w14:paraId="2591B0F7" w14:textId="178401AA" w:rsidR="00E01449" w:rsidRPr="00CD71D2" w:rsidRDefault="00E01449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14:paraId="0D7E76BB" w14:textId="4AA4910A" w:rsidR="00CC6DB8" w:rsidRPr="00CD71D2" w:rsidRDefault="00CC6DB8" w:rsidP="004A7A80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Approach of the Supervisory Review Process</w:t>
      </w:r>
    </w:p>
    <w:p w14:paraId="69E644EE" w14:textId="5895F586" w:rsidR="00CC6DB8" w:rsidRPr="00CD71D2" w:rsidRDefault="00CC6DB8" w:rsidP="004A7A80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The MNB applies a risk-based, forward-looking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,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proportionate supervisory approach in its supervisory reviews. The aim is to ensure that supervisory processes and practices in the supervisory review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lead</w:t>
      </w:r>
      <w:proofErr w:type="gram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to consistent outcomes. Measures are taken on a case-by-case basis,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with 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consider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ation of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the specific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aspects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the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concerned, domestic market conditions and other supervisory priorities. In this context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,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the MNB ensures</w:t>
      </w:r>
    </w:p>
    <w:p w14:paraId="3D4B112C" w14:textId="23277865" w:rsidR="00CC6DB8" w:rsidRPr="00CD71D2" w:rsidRDefault="00CC6DB8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that the supervisory review is composed of three sub-processes: risk assessment framework, detailed review and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measures;</w:t>
      </w:r>
      <w:proofErr w:type="gramEnd"/>
    </w:p>
    <w:p w14:paraId="0FE215E6" w14:textId="33E7ED6F" w:rsidR="00CC6DB8" w:rsidRPr="00CD71D2" w:rsidRDefault="00CC6DB8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consistency of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</w:t>
      </w:r>
      <w:r w:rsidR="004A7A80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;</w:t>
      </w:r>
      <w:proofErr w:type="gramEnd"/>
    </w:p>
    <w:p w14:paraId="66753FCF" w14:textId="474818B0" w:rsidR="004A7A80" w:rsidRPr="00CD71D2" w:rsidRDefault="004A7A80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application of the proportionality principle in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review;</w:t>
      </w:r>
      <w:proofErr w:type="gramEnd"/>
    </w:p>
    <w:p w14:paraId="373B40E9" w14:textId="13087A4A" w:rsidR="004A7A80" w:rsidRPr="00CD71D2" w:rsidRDefault="004A7A80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supervisory assessment at all stages of the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review;</w:t>
      </w:r>
      <w:proofErr w:type="gramEnd"/>
    </w:p>
    <w:p w14:paraId="16D3A71C" w14:textId="3E0A47D6" w:rsidR="004A7A80" w:rsidRPr="00CD71D2" w:rsidRDefault="004A7A80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appropriate and continuous communication between the MNB and the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IORP's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staff throughout the supervisory review.</w:t>
      </w:r>
    </w:p>
    <w:p w14:paraId="51FAFAB6" w14:textId="6D8639D1" w:rsidR="00A70935" w:rsidRPr="00CD71D2" w:rsidRDefault="00A70935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51650ACD" w14:textId="1A00AB07" w:rsidR="00EF2F1C" w:rsidRPr="00CD71D2" w:rsidRDefault="004A7A80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Frequency of </w:t>
      </w:r>
      <w:r w:rsidR="00C4348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the </w:t>
      </w: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Supervisory Review Process</w:t>
      </w:r>
    </w:p>
    <w:p w14:paraId="515D3F24" w14:textId="0BF8F345" w:rsidR="00E01449" w:rsidRPr="00CD71D2" w:rsidRDefault="004A7A80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lastRenderedPageBreak/>
        <w:t xml:space="preserve">Based on Section 64(2) of the MNB Act, the </w:t>
      </w:r>
      <w:r w:rsidR="00E01449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MNB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conducts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comprehensive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</w:t>
      </w:r>
      <w:r w:rsidR="00C43487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at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IORPs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at least every five years.</w:t>
      </w:r>
    </w:p>
    <w:p w14:paraId="5F155B52" w14:textId="46DE7EED" w:rsidR="00E01449" w:rsidRPr="00CD71D2" w:rsidRDefault="00E01449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0357BD8F" w14:textId="23BA0525" w:rsidR="00EF2F1C" w:rsidRPr="00CD71D2" w:rsidRDefault="00B30508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Main Legal Acts Defining the Content Criteria </w:t>
      </w:r>
      <w:r w:rsidR="00C43487"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for the </w:t>
      </w: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Supervisory Review Process</w:t>
      </w:r>
    </w:p>
    <w:p w14:paraId="381D837A" w14:textId="3A687261" w:rsidR="00EF2F1C" w:rsidRPr="00CD71D2" w:rsidRDefault="00EF2F1C" w:rsidP="00451BA2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="00B30508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ct CXXXIX of </w:t>
      </w:r>
      <w:r w:rsidR="00927CEF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2013</w:t>
      </w:r>
      <w:r w:rsidR="00B30508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on the Central Bank of Hungary</w:t>
      </w:r>
    </w:p>
    <w:p w14:paraId="5F49B45D" w14:textId="4A681CB6" w:rsidR="00EF2F1C" w:rsidRPr="00CD71D2" w:rsidRDefault="00B30508" w:rsidP="00FE5182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 CXVII of 2007 on Occupational Retirement Pension and Institutions for Occupational Retirement Provision</w:t>
      </w:r>
    </w:p>
    <w:p w14:paraId="299933D8" w14:textId="53778965" w:rsidR="00EF2F1C" w:rsidRPr="00CD71D2" w:rsidRDefault="00B30508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</w:t>
      </w:r>
      <w:r w:rsidR="00FB5E1B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LXXXVIII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2014 on the Business of Insurance</w:t>
      </w:r>
    </w:p>
    <w:p w14:paraId="7566BA0F" w14:textId="1627FDC0" w:rsidR="00EF2F1C" w:rsidRPr="00CD71D2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="00B30508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ct C of 2000 on Accounting</w:t>
      </w:r>
    </w:p>
    <w:p w14:paraId="173E7E8D" w14:textId="0C008645" w:rsidR="00B30508" w:rsidRPr="00CD71D2" w:rsidRDefault="00B30508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 LIII of 2017 on the Prevention and Combating of Money Laundering and Terrorist Financing</w:t>
      </w:r>
    </w:p>
    <w:p w14:paraId="7E6E208D" w14:textId="392B0D3E" w:rsidR="00EF2F1C" w:rsidRPr="00CD71D2" w:rsidRDefault="00B30508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 XLVII of 2008 on the Prohibition of Unfair Business-to-Consumer Commercial Practices</w:t>
      </w:r>
    </w:p>
    <w:p w14:paraId="61E3C1F3" w14:textId="49772BBD" w:rsidR="00EF2F1C" w:rsidRPr="00CD71D2" w:rsidRDefault="001C21AB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Government Decree No. 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4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61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/2015. (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X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II. 2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9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.)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on the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C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alculation of the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olvency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equirements of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nstitutions for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O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ccupational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etirement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P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rovision</w:t>
      </w:r>
    </w:p>
    <w:p w14:paraId="63B8C3EB" w14:textId="3FF72EE5" w:rsidR="00CB462D" w:rsidRPr="00CD71D2" w:rsidRDefault="00CB462D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Government Decree No. 399/2007. (XII.27.) on the </w:t>
      </w:r>
      <w:r w:rsidR="00654B1A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Specificities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nnual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eporting and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ccounting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O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bligation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Institutions for Occupational Retirement Provision</w:t>
      </w:r>
    </w:p>
    <w:p w14:paraId="3FCB4C20" w14:textId="11E8A19C" w:rsidR="00CB462D" w:rsidRPr="00CD71D2" w:rsidRDefault="00CB462D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MNB Decree No. 54/2022. (XII. 2.) on </w:t>
      </w:r>
      <w:r w:rsidR="00654B1A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D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ata to be </w:t>
      </w:r>
      <w:r w:rsidR="00654B1A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P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rovided to the Central Bank Information System by the Pension Funds and Institutions for Occupational Retirement Provision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as Data Reporting Obligations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Primarily for the Purpose of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Fulfilling the Central Bank of Hungary’s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Supervisory Tasks</w:t>
      </w:r>
    </w:p>
    <w:p w14:paraId="36FFA1EB" w14:textId="58B07B56" w:rsidR="00EF2F1C" w:rsidRPr="00CD71D2" w:rsidRDefault="00CE4FC0" w:rsidP="00EF2F1C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above Acts are available in English </w:t>
      </w:r>
      <w:hyperlink r:id="rId8" w:history="1">
        <w:r w:rsidRPr="00CD71D2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  <w:lang w:val="en-GB"/>
          </w:rPr>
          <w:t>HERE</w:t>
        </w:r>
      </w:hyperlink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, while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</w:t>
      </w:r>
      <w:hyperlink r:id="rId9" w:history="1">
        <w:r w:rsidRPr="00CD71D2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  <w:lang w:val="en-GB"/>
          </w:rPr>
          <w:t>Government Decrees</w:t>
        </w:r>
      </w:hyperlink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and </w:t>
      </w:r>
      <w:hyperlink r:id="rId10" w:history="1">
        <w:r w:rsidRPr="00CD71D2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  <w:lang w:val="en-GB"/>
          </w:rPr>
          <w:t>MNB Decree</w:t>
        </w:r>
      </w:hyperlink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are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only available in Hungarian. </w:t>
      </w:r>
    </w:p>
    <w:p w14:paraId="054B87A4" w14:textId="77777777" w:rsidR="00927CEF" w:rsidRPr="00CD71D2" w:rsidRDefault="00927CEF" w:rsidP="00EF2F1C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1CCE0C5E" w14:textId="663338C5" w:rsidR="00A70935" w:rsidRPr="00CD71D2" w:rsidRDefault="00CD71D2" w:rsidP="001107A7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Aggregate Statistical Data on Key Aspects of the Application of the Prudential Regulations (Requirements) and Related Analysis</w:t>
      </w:r>
    </w:p>
    <w:p w14:paraId="01B9DAA1" w14:textId="78167074" w:rsidR="00CD71D2" w:rsidRPr="00CD71D2" w:rsidRDefault="00CD71D2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MNB (as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home authority) currently supervises one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in the Hungarian market</w:t>
      </w:r>
      <w:r w:rsidR="00F86FAA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;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statistical data on its operations cannot be disclosed due to the protection of individual data, confidential occupational pension information and business secret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.</w:t>
      </w:r>
    </w:p>
    <w:sectPr w:rsidR="00CD71D2" w:rsidRPr="00CD71D2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620E" w14:textId="77777777" w:rsidR="006F2007" w:rsidRDefault="006F2007">
      <w:r>
        <w:separator/>
      </w:r>
    </w:p>
  </w:endnote>
  <w:endnote w:type="continuationSeparator" w:id="0">
    <w:p w14:paraId="2828210C" w14:textId="77777777" w:rsidR="006F2007" w:rsidRDefault="006F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74A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98A9" w14:textId="77777777" w:rsidR="006F2007" w:rsidRDefault="006F2007">
      <w:r>
        <w:separator/>
      </w:r>
    </w:p>
  </w:footnote>
  <w:footnote w:type="continuationSeparator" w:id="0">
    <w:p w14:paraId="6D2E2446" w14:textId="77777777" w:rsidR="006F2007" w:rsidRDefault="006F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B0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F82"/>
    <w:multiLevelType w:val="hybridMultilevel"/>
    <w:tmpl w:val="ACA4B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C2F"/>
    <w:multiLevelType w:val="hybridMultilevel"/>
    <w:tmpl w:val="79C4D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5E04"/>
    <w:multiLevelType w:val="hybridMultilevel"/>
    <w:tmpl w:val="08BA4A3E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F51D3"/>
    <w:multiLevelType w:val="hybridMultilevel"/>
    <w:tmpl w:val="240E9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C26CC"/>
    <w:multiLevelType w:val="hybridMultilevel"/>
    <w:tmpl w:val="32FE8E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1156"/>
    <w:multiLevelType w:val="hybridMultilevel"/>
    <w:tmpl w:val="636A4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A2608"/>
    <w:multiLevelType w:val="hybridMultilevel"/>
    <w:tmpl w:val="AC1065DA"/>
    <w:lvl w:ilvl="0" w:tplc="C4D48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3047">
    <w:abstractNumId w:val="6"/>
  </w:num>
  <w:num w:numId="2" w16cid:durableId="1092092391">
    <w:abstractNumId w:val="4"/>
  </w:num>
  <w:num w:numId="3" w16cid:durableId="1203976338">
    <w:abstractNumId w:val="7"/>
  </w:num>
  <w:num w:numId="4" w16cid:durableId="1636518456">
    <w:abstractNumId w:val="0"/>
  </w:num>
  <w:num w:numId="5" w16cid:durableId="660158953">
    <w:abstractNumId w:val="1"/>
  </w:num>
  <w:num w:numId="6" w16cid:durableId="1468007386">
    <w:abstractNumId w:val="9"/>
  </w:num>
  <w:num w:numId="7" w16cid:durableId="72892750">
    <w:abstractNumId w:val="5"/>
  </w:num>
  <w:num w:numId="8" w16cid:durableId="805271828">
    <w:abstractNumId w:val="14"/>
  </w:num>
  <w:num w:numId="9" w16cid:durableId="2107730850">
    <w:abstractNumId w:val="9"/>
    <w:lvlOverride w:ilvl="0">
      <w:startOverride w:val="1"/>
    </w:lvlOverride>
  </w:num>
  <w:num w:numId="10" w16cid:durableId="112867720">
    <w:abstractNumId w:val="15"/>
  </w:num>
  <w:num w:numId="11" w16cid:durableId="1440636637">
    <w:abstractNumId w:val="10"/>
  </w:num>
  <w:num w:numId="12" w16cid:durableId="392315738">
    <w:abstractNumId w:val="8"/>
  </w:num>
  <w:num w:numId="13" w16cid:durableId="1432510896">
    <w:abstractNumId w:val="7"/>
  </w:num>
  <w:num w:numId="14" w16cid:durableId="1524201610">
    <w:abstractNumId w:val="7"/>
  </w:num>
  <w:num w:numId="15" w16cid:durableId="1775978983">
    <w:abstractNumId w:val="7"/>
  </w:num>
  <w:num w:numId="16" w16cid:durableId="1801191730">
    <w:abstractNumId w:val="7"/>
  </w:num>
  <w:num w:numId="17" w16cid:durableId="981347512">
    <w:abstractNumId w:val="7"/>
  </w:num>
  <w:num w:numId="18" w16cid:durableId="1465781133">
    <w:abstractNumId w:val="7"/>
  </w:num>
  <w:num w:numId="19" w16cid:durableId="758066558">
    <w:abstractNumId w:val="16"/>
  </w:num>
  <w:num w:numId="20" w16cid:durableId="1034307608">
    <w:abstractNumId w:val="2"/>
  </w:num>
  <w:num w:numId="21" w16cid:durableId="610361109">
    <w:abstractNumId w:val="17"/>
  </w:num>
  <w:num w:numId="22" w16cid:durableId="909002851">
    <w:abstractNumId w:val="3"/>
  </w:num>
  <w:num w:numId="23" w16cid:durableId="557670031">
    <w:abstractNumId w:val="11"/>
  </w:num>
  <w:num w:numId="24" w16cid:durableId="846333077">
    <w:abstractNumId w:val="13"/>
  </w:num>
  <w:num w:numId="25" w16cid:durableId="64631870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C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7A7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505"/>
    <w:rsid w:val="00166F6C"/>
    <w:rsid w:val="001747F6"/>
    <w:rsid w:val="001808BF"/>
    <w:rsid w:val="0018359E"/>
    <w:rsid w:val="0018619A"/>
    <w:rsid w:val="001870A7"/>
    <w:rsid w:val="00191259"/>
    <w:rsid w:val="00197350"/>
    <w:rsid w:val="001A2BAA"/>
    <w:rsid w:val="001B3486"/>
    <w:rsid w:val="001C0FAA"/>
    <w:rsid w:val="001C21AB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2865"/>
    <w:rsid w:val="00214230"/>
    <w:rsid w:val="0021484C"/>
    <w:rsid w:val="0022056B"/>
    <w:rsid w:val="0022764E"/>
    <w:rsid w:val="002304A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4C97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0DD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1BA2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A7A80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3DDB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54B1A"/>
    <w:rsid w:val="0067570F"/>
    <w:rsid w:val="00681108"/>
    <w:rsid w:val="00690C97"/>
    <w:rsid w:val="0069441B"/>
    <w:rsid w:val="00695C3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1C5B"/>
    <w:rsid w:val="006E45F8"/>
    <w:rsid w:val="006E5F78"/>
    <w:rsid w:val="006F0376"/>
    <w:rsid w:val="006F2007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4E71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0161"/>
    <w:rsid w:val="008512C4"/>
    <w:rsid w:val="008528A0"/>
    <w:rsid w:val="00860131"/>
    <w:rsid w:val="00860860"/>
    <w:rsid w:val="00864147"/>
    <w:rsid w:val="00864468"/>
    <w:rsid w:val="00866547"/>
    <w:rsid w:val="00866E71"/>
    <w:rsid w:val="0087509E"/>
    <w:rsid w:val="00887CD5"/>
    <w:rsid w:val="008935BD"/>
    <w:rsid w:val="008936DF"/>
    <w:rsid w:val="008A1BF7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27CEF"/>
    <w:rsid w:val="00930F98"/>
    <w:rsid w:val="00933E50"/>
    <w:rsid w:val="00934193"/>
    <w:rsid w:val="00934F6E"/>
    <w:rsid w:val="00937336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0935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0198"/>
    <w:rsid w:val="00B250ED"/>
    <w:rsid w:val="00B25C26"/>
    <w:rsid w:val="00B261BA"/>
    <w:rsid w:val="00B30508"/>
    <w:rsid w:val="00B3064A"/>
    <w:rsid w:val="00B3473A"/>
    <w:rsid w:val="00B36061"/>
    <w:rsid w:val="00B36A9C"/>
    <w:rsid w:val="00B37787"/>
    <w:rsid w:val="00B41202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487"/>
    <w:rsid w:val="00C43AC5"/>
    <w:rsid w:val="00C522BD"/>
    <w:rsid w:val="00C63F2A"/>
    <w:rsid w:val="00C64F11"/>
    <w:rsid w:val="00C72FB8"/>
    <w:rsid w:val="00C907C0"/>
    <w:rsid w:val="00C93837"/>
    <w:rsid w:val="00CA398B"/>
    <w:rsid w:val="00CB462D"/>
    <w:rsid w:val="00CC4CB1"/>
    <w:rsid w:val="00CC6DB8"/>
    <w:rsid w:val="00CD36BC"/>
    <w:rsid w:val="00CD6E8D"/>
    <w:rsid w:val="00CD71D2"/>
    <w:rsid w:val="00CD724F"/>
    <w:rsid w:val="00CE188C"/>
    <w:rsid w:val="00CE4FC0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DF7B89"/>
    <w:rsid w:val="00E01449"/>
    <w:rsid w:val="00E11F2F"/>
    <w:rsid w:val="00E1256F"/>
    <w:rsid w:val="00E13A3A"/>
    <w:rsid w:val="00E14CD2"/>
    <w:rsid w:val="00E301AE"/>
    <w:rsid w:val="00E315BC"/>
    <w:rsid w:val="00E33610"/>
    <w:rsid w:val="00E33ADE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798C"/>
    <w:rsid w:val="00EF2F1C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86FAA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B5E1B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E95FF"/>
  <w15:chartTrackingRefBased/>
  <w15:docId w15:val="{3D184B23-CA17-42ED-B4AC-37E9B4B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9E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87509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87509E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87509E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87509E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87509E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87509E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509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509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509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87509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87509E"/>
  </w:style>
  <w:style w:type="table" w:customStyle="1" w:styleId="tblzat-mtrix">
    <w:name w:val="táblázat - mátrix"/>
    <w:basedOn w:val="Normltblzat"/>
    <w:uiPriority w:val="2"/>
    <w:qFormat/>
    <w:rsid w:val="0087509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87509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7509E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87509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87509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87509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509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87509E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0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750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509E"/>
  </w:style>
  <w:style w:type="paragraph" w:styleId="llb">
    <w:name w:val="footer"/>
    <w:basedOn w:val="Norml"/>
    <w:link w:val="llbChar"/>
    <w:uiPriority w:val="99"/>
    <w:semiHidden/>
    <w:unhideWhenUsed/>
    <w:rsid w:val="008750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7509E"/>
  </w:style>
  <w:style w:type="paragraph" w:customStyle="1" w:styleId="Szmozs">
    <w:name w:val="Számozás"/>
    <w:basedOn w:val="Norml"/>
    <w:uiPriority w:val="4"/>
    <w:qFormat/>
    <w:rsid w:val="0087509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87509E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87509E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87509E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87509E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87509E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87509E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87509E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87509E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87509E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509E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509E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509E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7509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87509E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87509E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87509E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87509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87509E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7509E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87509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87509E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87509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7509E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7509E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87509E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87509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87509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87509E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87509E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87509E"/>
  </w:style>
  <w:style w:type="character" w:styleId="Finomhivatkozs">
    <w:name w:val="Subtle Reference"/>
    <w:basedOn w:val="Bekezdsalapbettpusa"/>
    <w:uiPriority w:val="31"/>
    <w:rsid w:val="0087509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87509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7509E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87509E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87509E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87509E"/>
  </w:style>
  <w:style w:type="paragraph" w:styleId="Alcm">
    <w:name w:val="Subtitle"/>
    <w:basedOn w:val="Norml"/>
    <w:next w:val="Norml"/>
    <w:link w:val="AlcmChar"/>
    <w:uiPriority w:val="11"/>
    <w:rsid w:val="0087509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7509E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87509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87509E"/>
  </w:style>
  <w:style w:type="paragraph" w:customStyle="1" w:styleId="Erskiemels1">
    <w:name w:val="Erős kiemelés1"/>
    <w:basedOn w:val="Norml"/>
    <w:link w:val="ErskiemelsChar"/>
    <w:uiPriority w:val="5"/>
    <w:qFormat/>
    <w:rsid w:val="0087509E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87509E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87509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87509E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87509E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7509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87509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87509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87509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87509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87509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7509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87509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87509E"/>
  </w:style>
  <w:style w:type="character" w:styleId="Kiemels2">
    <w:name w:val="Strong"/>
    <w:basedOn w:val="Bekezdsalapbettpusa"/>
    <w:uiPriority w:val="22"/>
    <w:rsid w:val="0087509E"/>
    <w:rPr>
      <w:b/>
      <w:bCs/>
    </w:rPr>
  </w:style>
  <w:style w:type="character" w:styleId="Kiemels">
    <w:name w:val="Emphasis"/>
    <w:basedOn w:val="Bekezdsalapbettpusa"/>
    <w:uiPriority w:val="6"/>
    <w:qFormat/>
    <w:rsid w:val="0087509E"/>
    <w:rPr>
      <w:i/>
      <w:iCs/>
    </w:rPr>
  </w:style>
  <w:style w:type="paragraph" w:styleId="Nincstrkz">
    <w:name w:val="No Spacing"/>
    <w:basedOn w:val="Norml"/>
    <w:uiPriority w:val="1"/>
    <w:rsid w:val="0087509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87509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87509E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87509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509E"/>
    <w:rPr>
      <w:b/>
      <w:i/>
    </w:rPr>
  </w:style>
  <w:style w:type="character" w:styleId="Erskiemels">
    <w:name w:val="Intense Emphasis"/>
    <w:basedOn w:val="Bekezdsalapbettpusa"/>
    <w:uiPriority w:val="21"/>
    <w:rsid w:val="0087509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87509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7509E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87509E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87509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87509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87509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87509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87509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87509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87509E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87509E"/>
  </w:style>
  <w:style w:type="paragraph" w:customStyle="1" w:styleId="ENNormalBox">
    <w:name w:val="EN_Normal_Box"/>
    <w:basedOn w:val="Norml"/>
    <w:uiPriority w:val="1"/>
    <w:qFormat/>
    <w:rsid w:val="0087509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87509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87509E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87509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87509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87509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87509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87509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87509E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87509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87509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87509E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87509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87509E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87509E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87509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87509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87509E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87509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87509E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87509E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87509E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87509E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87509E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87509E"/>
    <w:rPr>
      <w:b w:val="0"/>
      <w:caps w:val="0"/>
      <w:sz w:val="52"/>
    </w:rPr>
  </w:style>
  <w:style w:type="paragraph" w:customStyle="1" w:styleId="doc-ti">
    <w:name w:val="doc-ti"/>
    <w:basedOn w:val="Norml"/>
    <w:rsid w:val="00E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1B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1BF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8A1BF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1B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1BF7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1107A7"/>
    <w:rPr>
      <w:b/>
      <w:i/>
    </w:rPr>
  </w:style>
  <w:style w:type="paragraph" w:styleId="Vltozat">
    <w:name w:val="Revision"/>
    <w:hidden/>
    <w:uiPriority w:val="99"/>
    <w:semiHidden/>
    <w:rsid w:val="00887CD5"/>
  </w:style>
  <w:style w:type="character" w:styleId="Feloldatlanmegemlts">
    <w:name w:val="Unresolved Mention"/>
    <w:basedOn w:val="Bekezdsalapbettpusa"/>
    <w:uiPriority w:val="99"/>
    <w:semiHidden/>
    <w:unhideWhenUsed/>
    <w:rsid w:val="0085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en/supervision/regulation/legisl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nb.hu/felugyelet/szabalyozas/jogszabalyok/mnb-rendele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nb.hu/felugyelet/szabalyozas/jogszabalyok/egyeb-magyar-jogszabaly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719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Szenthelyi Dávid Miklós</dc:creator>
  <cp:keywords/>
  <dc:description/>
  <cp:lastModifiedBy>Szabályozási főosztály</cp:lastModifiedBy>
  <cp:revision>5</cp:revision>
  <cp:lastPrinted>1900-12-31T23:00:00Z</cp:lastPrinted>
  <dcterms:created xsi:type="dcterms:W3CDTF">2023-01-25T09:32:00Z</dcterms:created>
  <dcterms:modified xsi:type="dcterms:W3CDTF">2023-01-25T11:35:00Z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2028-01-23T13:53:52Z</vt:filetime>
  </property>
  <property fmtid="{D5CDD505-2E9C-101B-9397-08002B2CF9AE}" pid="3" name="Érvényességet beállító">
    <vt:lpwstr>molnara</vt:lpwstr>
  </property>
  <property fmtid="{D5CDD505-2E9C-101B-9397-08002B2CF9AE}" pid="4" name="Érvényességi idő első beállítása">
    <vt:filetime>2023-01-23T13:53:52Z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molnara@mnb.hu</vt:lpwstr>
  </property>
  <property fmtid="{D5CDD505-2E9C-101B-9397-08002B2CF9AE}" pid="8" name="MSIP_Label_b0d11092-50c9-4e74-84b5-b1af078dc3d0_SetDate">
    <vt:lpwstr>2023-01-23T13:54:59.4980731Z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ce045d95-48fc-4989-943d-a322af754f59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