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E8DC8" w14:textId="77777777" w:rsidR="00C3015E" w:rsidRPr="000B64C5" w:rsidRDefault="00C3015E" w:rsidP="00CD4B22">
      <w:pPr>
        <w:widowControl w:val="0"/>
        <w:spacing w:before="10" w:after="0" w:line="100" w:lineRule="exact"/>
        <w:rPr>
          <w:rFonts w:eastAsia="Calibri" w:cs="Times New Roman"/>
          <w:sz w:val="10"/>
          <w:szCs w:val="10"/>
          <w:lang w:val="en-GB"/>
        </w:rPr>
      </w:pPr>
    </w:p>
    <w:p w14:paraId="3D52050D" w14:textId="77777777" w:rsidR="00C3015E" w:rsidRPr="000B64C5" w:rsidRDefault="00C3015E" w:rsidP="00CD4B22">
      <w:pPr>
        <w:widowControl w:val="0"/>
        <w:spacing w:after="200"/>
        <w:jc w:val="center"/>
        <w:rPr>
          <w:rFonts w:eastAsia="Calibri" w:cs="Times New Roman"/>
          <w:lang w:val="en-GB"/>
        </w:rPr>
      </w:pPr>
      <w:bookmarkStart w:id="0" w:name="_Hlk3463209"/>
      <w:r w:rsidRPr="000B64C5">
        <w:rPr>
          <w:rFonts w:eastAsia="Calibri" w:cs="Times New Roman"/>
          <w:noProof/>
          <w:lang w:val="en-GB"/>
        </w:rPr>
        <w:drawing>
          <wp:inline distT="0" distB="0" distL="0" distR="0" wp14:anchorId="2B6633E2" wp14:editId="0AE12C83">
            <wp:extent cx="927100" cy="927100"/>
            <wp:effectExtent l="0" t="0" r="0" b="0"/>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7100" cy="927100"/>
                    </a:xfrm>
                    <a:prstGeom prst="rect">
                      <a:avLst/>
                    </a:prstGeom>
                    <a:noFill/>
                    <a:ln>
                      <a:noFill/>
                    </a:ln>
                  </pic:spPr>
                </pic:pic>
              </a:graphicData>
            </a:graphic>
          </wp:inline>
        </w:drawing>
      </w:r>
    </w:p>
    <w:p w14:paraId="0E98A3EF" w14:textId="77777777" w:rsidR="00C3015E" w:rsidRPr="000B64C5" w:rsidRDefault="00C3015E" w:rsidP="00CD4B22">
      <w:pPr>
        <w:widowControl w:val="0"/>
        <w:spacing w:after="200"/>
        <w:rPr>
          <w:rFonts w:eastAsia="Calibri" w:cs="Times New Roman"/>
          <w:lang w:val="en-GB"/>
        </w:rPr>
      </w:pPr>
    </w:p>
    <w:p w14:paraId="10D5C3FF" w14:textId="77777777" w:rsidR="00C3015E" w:rsidRPr="000B64C5" w:rsidRDefault="00C3015E" w:rsidP="00CD4B22">
      <w:pPr>
        <w:widowControl w:val="0"/>
        <w:spacing w:after="200"/>
        <w:rPr>
          <w:rFonts w:eastAsia="Calibri" w:cs="Times New Roman"/>
          <w:lang w:val="en-GB"/>
        </w:rPr>
      </w:pPr>
    </w:p>
    <w:p w14:paraId="73CCBBA4" w14:textId="77777777" w:rsidR="00C3015E" w:rsidRPr="000B64C5" w:rsidRDefault="00C3015E" w:rsidP="00CD4B22">
      <w:pPr>
        <w:widowControl w:val="0"/>
        <w:spacing w:after="200"/>
        <w:rPr>
          <w:rFonts w:eastAsia="Calibri" w:cs="Times New Roman"/>
          <w:lang w:val="en-GB"/>
        </w:rPr>
      </w:pPr>
    </w:p>
    <w:p w14:paraId="104770A7" w14:textId="77777777" w:rsidR="00C3015E" w:rsidRPr="000B64C5" w:rsidRDefault="00C3015E" w:rsidP="00CD4B22">
      <w:pPr>
        <w:widowControl w:val="0"/>
        <w:spacing w:after="200"/>
        <w:rPr>
          <w:rFonts w:eastAsia="Calibri" w:cs="Times New Roman"/>
          <w:lang w:val="en-GB"/>
        </w:rPr>
      </w:pPr>
    </w:p>
    <w:p w14:paraId="1FB963B4" w14:textId="77777777" w:rsidR="00C3015E" w:rsidRPr="000B64C5" w:rsidRDefault="00C3015E" w:rsidP="00CD4B22">
      <w:pPr>
        <w:widowControl w:val="0"/>
        <w:spacing w:after="200"/>
        <w:rPr>
          <w:rFonts w:eastAsia="Calibri" w:cs="Times New Roman"/>
          <w:lang w:val="en-GB"/>
        </w:rPr>
      </w:pPr>
    </w:p>
    <w:p w14:paraId="2632AA3D" w14:textId="77777777" w:rsidR="00C3015E" w:rsidRPr="000B64C5" w:rsidRDefault="00C3015E" w:rsidP="00CD4B22">
      <w:pPr>
        <w:widowControl w:val="0"/>
        <w:spacing w:after="200"/>
        <w:jc w:val="center"/>
        <w:rPr>
          <w:rFonts w:eastAsia="Calibri" w:cs="Calibri"/>
          <w:b/>
          <w:spacing w:val="20"/>
          <w:sz w:val="28"/>
          <w:szCs w:val="28"/>
          <w:lang w:val="en-GB"/>
        </w:rPr>
      </w:pPr>
      <w:r w:rsidRPr="000B64C5">
        <w:rPr>
          <w:rFonts w:eastAsia="Calibri" w:cs="Calibri"/>
          <w:b/>
          <w:bCs/>
          <w:sz w:val="28"/>
          <w:szCs w:val="28"/>
          <w:lang w:val="en-GB"/>
        </w:rPr>
        <w:t>INFORMATION</w:t>
      </w:r>
    </w:p>
    <w:p w14:paraId="00B9A255" w14:textId="77777777" w:rsidR="00C3015E" w:rsidRPr="000B64C5" w:rsidRDefault="00C3015E" w:rsidP="00CD4B22">
      <w:pPr>
        <w:widowControl w:val="0"/>
        <w:spacing w:after="200"/>
        <w:jc w:val="center"/>
        <w:rPr>
          <w:rFonts w:eastAsia="Calibri" w:cs="Times New Roman"/>
          <w:b/>
          <w:sz w:val="28"/>
          <w:szCs w:val="28"/>
          <w:lang w:val="en-GB"/>
        </w:rPr>
      </w:pPr>
      <w:r w:rsidRPr="000B64C5">
        <w:rPr>
          <w:rFonts w:eastAsia="Calibri" w:cs="Times New Roman"/>
          <w:b/>
          <w:bCs/>
          <w:sz w:val="28"/>
          <w:szCs w:val="28"/>
          <w:lang w:val="en-GB"/>
        </w:rPr>
        <w:t>on the conditions of providing services in the territory of Hungary</w:t>
      </w:r>
    </w:p>
    <w:p w14:paraId="6C9544E2" w14:textId="77777777" w:rsidR="00C3015E" w:rsidRPr="000B64C5" w:rsidRDefault="00C3015E" w:rsidP="00CD4B22">
      <w:pPr>
        <w:widowControl w:val="0"/>
        <w:spacing w:after="200"/>
        <w:jc w:val="center"/>
        <w:rPr>
          <w:rFonts w:eastAsia="Calibri" w:cs="Times New Roman"/>
          <w:lang w:val="en-GB"/>
        </w:rPr>
      </w:pPr>
    </w:p>
    <w:p w14:paraId="3580802C" w14:textId="77777777" w:rsidR="00C3015E" w:rsidRPr="000B64C5" w:rsidRDefault="00C3015E" w:rsidP="00CD4B22">
      <w:pPr>
        <w:widowControl w:val="0"/>
        <w:spacing w:after="200"/>
        <w:jc w:val="center"/>
        <w:rPr>
          <w:rFonts w:eastAsia="Calibri" w:cs="Times New Roman"/>
          <w:lang w:val="en-GB"/>
        </w:rPr>
      </w:pPr>
    </w:p>
    <w:p w14:paraId="1DC1F6EC" w14:textId="77777777" w:rsidR="00C3015E" w:rsidRPr="000B64C5" w:rsidRDefault="00C3015E" w:rsidP="00CD4B22">
      <w:pPr>
        <w:widowControl w:val="0"/>
        <w:spacing w:after="200"/>
        <w:jc w:val="center"/>
        <w:rPr>
          <w:rFonts w:eastAsia="Calibri" w:cs="Times New Roman"/>
          <w:lang w:val="en-GB"/>
        </w:rPr>
      </w:pPr>
    </w:p>
    <w:p w14:paraId="352A7488" w14:textId="77777777" w:rsidR="00C3015E" w:rsidRPr="000B64C5" w:rsidRDefault="00C3015E" w:rsidP="00CD4B22">
      <w:pPr>
        <w:widowControl w:val="0"/>
        <w:spacing w:after="200"/>
        <w:jc w:val="center"/>
        <w:rPr>
          <w:rFonts w:eastAsia="Calibri" w:cs="Times New Roman"/>
          <w:lang w:val="en-GB"/>
        </w:rPr>
      </w:pPr>
    </w:p>
    <w:p w14:paraId="38C5531C" w14:textId="77777777" w:rsidR="00C3015E" w:rsidRPr="000B64C5" w:rsidRDefault="00C3015E" w:rsidP="00CD4B22">
      <w:pPr>
        <w:widowControl w:val="0"/>
        <w:spacing w:after="200"/>
        <w:jc w:val="center"/>
        <w:rPr>
          <w:rFonts w:eastAsia="Calibri" w:cs="Times New Roman"/>
          <w:lang w:val="en-GB"/>
        </w:rPr>
      </w:pPr>
    </w:p>
    <w:p w14:paraId="05121A83" w14:textId="77777777" w:rsidR="00C3015E" w:rsidRPr="000B64C5" w:rsidRDefault="00C3015E" w:rsidP="00CD4B22">
      <w:pPr>
        <w:widowControl w:val="0"/>
        <w:spacing w:after="200"/>
        <w:jc w:val="center"/>
        <w:rPr>
          <w:rFonts w:eastAsia="Calibri" w:cs="Times New Roman"/>
          <w:lang w:val="en-GB"/>
        </w:rPr>
      </w:pPr>
    </w:p>
    <w:p w14:paraId="228FD60E" w14:textId="77777777" w:rsidR="00C3015E" w:rsidRPr="000B64C5" w:rsidRDefault="00C3015E" w:rsidP="00CD4B22">
      <w:pPr>
        <w:widowControl w:val="0"/>
        <w:spacing w:after="200"/>
        <w:jc w:val="center"/>
        <w:rPr>
          <w:rFonts w:eastAsia="Calibri" w:cs="Times New Roman"/>
          <w:lang w:val="en-GB"/>
        </w:rPr>
      </w:pPr>
    </w:p>
    <w:p w14:paraId="03138EFD" w14:textId="77777777" w:rsidR="00C3015E" w:rsidRPr="000B64C5" w:rsidRDefault="00C3015E" w:rsidP="00CD4B22">
      <w:pPr>
        <w:widowControl w:val="0"/>
        <w:spacing w:after="200"/>
        <w:jc w:val="center"/>
        <w:rPr>
          <w:rFonts w:eastAsia="Calibri" w:cs="Times New Roman"/>
          <w:lang w:val="en-GB"/>
        </w:rPr>
      </w:pPr>
    </w:p>
    <w:p w14:paraId="2061205B" w14:textId="77777777" w:rsidR="00C3015E" w:rsidRPr="000B64C5" w:rsidRDefault="00C3015E" w:rsidP="00CD4B22">
      <w:pPr>
        <w:widowControl w:val="0"/>
        <w:spacing w:after="200"/>
        <w:jc w:val="center"/>
        <w:rPr>
          <w:rFonts w:eastAsia="Calibri" w:cs="Times New Roman"/>
          <w:lang w:val="en-GB"/>
        </w:rPr>
      </w:pPr>
    </w:p>
    <w:p w14:paraId="49230F7D" w14:textId="77777777" w:rsidR="00C3015E" w:rsidRPr="000B64C5" w:rsidRDefault="00C3015E" w:rsidP="00CD4B22">
      <w:pPr>
        <w:widowControl w:val="0"/>
        <w:spacing w:after="200"/>
        <w:rPr>
          <w:rFonts w:eastAsia="Calibri" w:cs="Times New Roman"/>
          <w:lang w:val="en-GB"/>
        </w:rPr>
      </w:pPr>
    </w:p>
    <w:p w14:paraId="61160361" w14:textId="77777777" w:rsidR="00C3015E" w:rsidRPr="000B64C5" w:rsidRDefault="00C3015E" w:rsidP="00CD4B22">
      <w:pPr>
        <w:widowControl w:val="0"/>
        <w:spacing w:after="200"/>
        <w:rPr>
          <w:rFonts w:eastAsia="Calibri" w:cs="Times New Roman"/>
          <w:lang w:val="en-GB"/>
        </w:rPr>
      </w:pPr>
    </w:p>
    <w:p w14:paraId="248C7954" w14:textId="77777777" w:rsidR="00C3015E" w:rsidRPr="000B64C5" w:rsidRDefault="00C3015E" w:rsidP="00CD4B22">
      <w:pPr>
        <w:widowControl w:val="0"/>
        <w:spacing w:after="200"/>
        <w:rPr>
          <w:rFonts w:eastAsia="Calibri" w:cs="Times New Roman"/>
          <w:lang w:val="en-GB"/>
        </w:rPr>
      </w:pPr>
    </w:p>
    <w:p w14:paraId="3C17643B" w14:textId="77777777" w:rsidR="00C3015E" w:rsidRPr="000B64C5" w:rsidRDefault="00C3015E" w:rsidP="00CD4B22">
      <w:pPr>
        <w:widowControl w:val="0"/>
        <w:spacing w:after="200"/>
        <w:rPr>
          <w:rFonts w:eastAsia="Calibri" w:cs="Times New Roman"/>
          <w:lang w:val="en-GB"/>
        </w:rPr>
      </w:pPr>
    </w:p>
    <w:p w14:paraId="686D07AB" w14:textId="77777777" w:rsidR="00C3015E" w:rsidRPr="000B64C5" w:rsidRDefault="00C3015E" w:rsidP="00CD4B22">
      <w:pPr>
        <w:widowControl w:val="0"/>
        <w:spacing w:after="200"/>
        <w:jc w:val="center"/>
        <w:rPr>
          <w:rFonts w:eastAsia="Calibri" w:cs="Times New Roman"/>
          <w:lang w:val="en-GB"/>
        </w:rPr>
      </w:pPr>
    </w:p>
    <w:p w14:paraId="39CC1BF7" w14:textId="182C170A" w:rsidR="00C3015E" w:rsidRPr="000B64C5" w:rsidRDefault="00C3015E" w:rsidP="00CD4B22">
      <w:pPr>
        <w:widowControl w:val="0"/>
        <w:spacing w:after="200"/>
        <w:jc w:val="center"/>
        <w:rPr>
          <w:rFonts w:eastAsia="Calibri" w:cs="Times New Roman"/>
          <w:b/>
          <w:sz w:val="28"/>
          <w:szCs w:val="28"/>
          <w:lang w:val="en-GB"/>
        </w:rPr>
      </w:pPr>
      <w:r w:rsidRPr="000B64C5">
        <w:rPr>
          <w:rFonts w:eastAsia="Calibri" w:cs="Times New Roman"/>
          <w:b/>
          <w:bCs/>
          <w:sz w:val="28"/>
          <w:szCs w:val="28"/>
          <w:lang w:val="en-GB"/>
        </w:rPr>
        <w:t>2023</w:t>
      </w:r>
    </w:p>
    <w:bookmarkEnd w:id="0"/>
    <w:p w14:paraId="16A90C75" w14:textId="3D6522A4" w:rsidR="00C3015E" w:rsidRPr="000B64C5" w:rsidRDefault="0008111D" w:rsidP="0008111D">
      <w:pPr>
        <w:spacing w:after="0" w:line="240" w:lineRule="auto"/>
        <w:jc w:val="left"/>
        <w:rPr>
          <w:rFonts w:ascii="Arial" w:eastAsia="Arial" w:hAnsi="Arial" w:cs="Arial"/>
          <w:b/>
          <w:bCs/>
          <w:w w:val="107"/>
          <w:sz w:val="17"/>
          <w:szCs w:val="17"/>
          <w:lang w:val="en-GB"/>
        </w:rPr>
      </w:pPr>
      <w:r>
        <w:rPr>
          <w:rFonts w:ascii="Arial" w:eastAsia="Arial" w:hAnsi="Arial" w:cs="Arial"/>
          <w:b/>
          <w:bCs/>
          <w:w w:val="107"/>
          <w:sz w:val="17"/>
          <w:szCs w:val="17"/>
          <w:lang w:val="en-GB"/>
        </w:rPr>
        <w:br w:type="page"/>
      </w:r>
    </w:p>
    <w:p w14:paraId="6E4FB2A7" w14:textId="77777777" w:rsidR="00C3015E" w:rsidRPr="000B64C5" w:rsidRDefault="00C3015E" w:rsidP="0008111D">
      <w:pPr>
        <w:widowControl w:val="0"/>
        <w:spacing w:before="56" w:after="0" w:line="240" w:lineRule="auto"/>
        <w:ind w:left="3377"/>
        <w:rPr>
          <w:rFonts w:eastAsia="Calibri" w:cs="Calibri"/>
          <w:b/>
          <w:spacing w:val="-1"/>
          <w:lang w:val="en-GB"/>
        </w:rPr>
      </w:pPr>
      <w:r w:rsidRPr="000B64C5">
        <w:rPr>
          <w:rFonts w:eastAsia="Calibri" w:cs="Calibri"/>
          <w:b/>
          <w:bCs/>
          <w:lang w:val="en-GB"/>
        </w:rPr>
        <w:lastRenderedPageBreak/>
        <w:t>BRIEFLY ABOUT THIS GUIDE</w:t>
      </w:r>
    </w:p>
    <w:p w14:paraId="02859BD2" w14:textId="77777777" w:rsidR="00C3015E" w:rsidRPr="000B64C5" w:rsidRDefault="00C3015E" w:rsidP="00CD4B22">
      <w:pPr>
        <w:widowControl w:val="0"/>
        <w:spacing w:before="6" w:after="0" w:line="240" w:lineRule="exact"/>
        <w:rPr>
          <w:rFonts w:eastAsia="Calibri" w:cs="Times New Roman"/>
          <w:sz w:val="24"/>
          <w:szCs w:val="24"/>
          <w:lang w:val="en-GB"/>
        </w:rPr>
      </w:pPr>
    </w:p>
    <w:p w14:paraId="5AB7712C"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This guide on the relevant legal provisions is for financial organisations with registered office in a member state (</w:t>
      </w:r>
      <w:r w:rsidRPr="000B64C5">
        <w:rPr>
          <w:rFonts w:eastAsia="Calibri" w:cs="Calibri"/>
          <w:b/>
          <w:bCs/>
          <w:lang w:val="en-GB"/>
        </w:rPr>
        <w:t>EEA state</w:t>
      </w:r>
      <w:r w:rsidRPr="000B64C5">
        <w:rPr>
          <w:rFonts w:eastAsia="Calibri" w:cs="Calibri"/>
          <w:lang w:val="en-GB"/>
        </w:rPr>
        <w:t>) of the European Economic Area (</w:t>
      </w:r>
      <w:r w:rsidRPr="000B64C5">
        <w:rPr>
          <w:rFonts w:eastAsia="Calibri" w:cs="Calibri"/>
          <w:b/>
          <w:bCs/>
          <w:lang w:val="en-GB"/>
        </w:rPr>
        <w:t>EEA</w:t>
      </w:r>
      <w:r w:rsidRPr="000B64C5">
        <w:rPr>
          <w:rFonts w:eastAsia="Calibri" w:cs="Calibri"/>
          <w:lang w:val="en-GB"/>
        </w:rPr>
        <w:t>) intending to operate in Hungary in the form of a branch office or by providing cross-border services. In accordance with the applicable laws, the purpose of this guide is to inform new market entrants on the terms and conditions applicable to providing services in Hungary, make them familiar with the local legal environment and to make it easier for them to apply the law.</w:t>
      </w:r>
    </w:p>
    <w:p w14:paraId="4A7D936E" w14:textId="77777777" w:rsidR="00C3015E" w:rsidRPr="000B64C5" w:rsidRDefault="00C3015E" w:rsidP="00CD4B22">
      <w:pPr>
        <w:widowControl w:val="0"/>
        <w:spacing w:before="12" w:after="0" w:line="240" w:lineRule="exact"/>
        <w:rPr>
          <w:rFonts w:eastAsia="Calibri" w:cs="Times New Roman"/>
          <w:sz w:val="24"/>
          <w:szCs w:val="24"/>
          <w:lang w:val="en-GB"/>
        </w:rPr>
      </w:pPr>
    </w:p>
    <w:p w14:paraId="4E8DC9C3" w14:textId="77777777" w:rsidR="00C3015E" w:rsidRPr="000B64C5" w:rsidRDefault="00C3015E" w:rsidP="00CD4B22">
      <w:pPr>
        <w:widowControl w:val="0"/>
        <w:spacing w:after="0" w:line="228" w:lineRule="auto"/>
        <w:ind w:left="116"/>
        <w:rPr>
          <w:rFonts w:eastAsia="Calibri" w:cs="Calibri"/>
          <w:lang w:val="en-GB"/>
        </w:rPr>
      </w:pPr>
      <w:r w:rsidRPr="000B64C5">
        <w:rPr>
          <w:rFonts w:eastAsia="Calibri" w:cs="Calibri"/>
          <w:lang w:val="en-GB"/>
        </w:rPr>
        <w:t>From 1 October 2013, the Magyar Nemzeti Bank (</w:t>
      </w:r>
      <w:r w:rsidRPr="000B64C5">
        <w:rPr>
          <w:rFonts w:eastAsia="Calibri" w:cs="Calibri"/>
          <w:b/>
          <w:bCs/>
          <w:lang w:val="en-GB"/>
        </w:rPr>
        <w:t>MNB</w:t>
      </w:r>
      <w:r w:rsidRPr="000B64C5">
        <w:rPr>
          <w:rFonts w:eastAsia="Calibri" w:cs="Calibri"/>
          <w:lang w:val="en-GB"/>
        </w:rPr>
        <w:t>), within the scope of its duties specified in Article 4 (9) of Act CXXXIX of 2013 on the Magyar Nemzeti Bank (</w:t>
      </w:r>
      <w:r w:rsidRPr="000B64C5">
        <w:rPr>
          <w:rFonts w:eastAsia="Calibri" w:cs="Calibri"/>
          <w:sz w:val="13"/>
          <w:szCs w:val="13"/>
          <w:lang w:val="en-GB"/>
        </w:rPr>
        <w:t>MNB Act</w:t>
      </w:r>
      <w:r w:rsidRPr="000B64C5">
        <w:rPr>
          <w:rFonts w:eastAsia="Calibri" w:cs="Calibri"/>
          <w:lang w:val="en-GB"/>
        </w:rPr>
        <w:t>), performs the supervision of the organisations, persons and activities falling within the Acts</w:t>
      </w:r>
      <w:r w:rsidRPr="000B64C5">
        <w:rPr>
          <w:rFonts w:eastAsia="Calibri" w:cs="Calibri"/>
          <w:vertAlign w:val="superscript"/>
          <w:lang w:val="en-GB"/>
        </w:rPr>
        <w:footnoteReference w:id="2"/>
      </w:r>
      <w:r w:rsidRPr="000B64C5">
        <w:rPr>
          <w:rFonts w:eastAsia="Calibri" w:cs="Calibri"/>
          <w:sz w:val="13"/>
          <w:szCs w:val="13"/>
          <w:lang w:val="en-GB"/>
        </w:rPr>
        <w:t xml:space="preserve"> </w:t>
      </w:r>
      <w:r w:rsidRPr="000B64C5">
        <w:rPr>
          <w:rFonts w:eastAsia="Calibri" w:cs="Calibri"/>
          <w:lang w:val="en-GB"/>
        </w:rPr>
        <w:t>specified in Article 39(1) of the MNB Act.</w:t>
      </w:r>
    </w:p>
    <w:p w14:paraId="30821FC6" w14:textId="77777777" w:rsidR="00C3015E" w:rsidRPr="000B64C5" w:rsidRDefault="00C3015E" w:rsidP="00CD4B22">
      <w:pPr>
        <w:widowControl w:val="0"/>
        <w:spacing w:before="8" w:after="0" w:line="240" w:lineRule="exact"/>
        <w:rPr>
          <w:rFonts w:eastAsia="Calibri" w:cs="Times New Roman"/>
          <w:sz w:val="24"/>
          <w:szCs w:val="24"/>
          <w:lang w:val="en-GB"/>
        </w:rPr>
      </w:pPr>
    </w:p>
    <w:p w14:paraId="0B09B1EB" w14:textId="77777777" w:rsidR="0090599C" w:rsidRPr="000B64C5" w:rsidRDefault="0090599C" w:rsidP="00CD4B22">
      <w:pPr>
        <w:widowControl w:val="0"/>
        <w:spacing w:after="0" w:line="240" w:lineRule="auto"/>
        <w:ind w:left="116"/>
        <w:rPr>
          <w:rFonts w:eastAsia="Calibri" w:cs="Calibri"/>
          <w:b/>
          <w:bCs/>
          <w:lang w:val="en-GB"/>
        </w:rPr>
      </w:pPr>
      <w:r w:rsidRPr="000B64C5">
        <w:rPr>
          <w:rFonts w:eastAsia="Calibri" w:cs="Calibri"/>
          <w:b/>
          <w:bCs/>
          <w:lang w:val="en-GB"/>
        </w:rPr>
        <w:t>Structure of the guide</w:t>
      </w:r>
    </w:p>
    <w:p w14:paraId="0DFB46B0" w14:textId="77777777" w:rsidR="0090599C" w:rsidRPr="000B64C5" w:rsidRDefault="0090599C" w:rsidP="00CD4B22">
      <w:pPr>
        <w:widowControl w:val="0"/>
        <w:spacing w:after="0" w:line="240" w:lineRule="auto"/>
        <w:ind w:left="116"/>
        <w:rPr>
          <w:rFonts w:eastAsia="Calibri" w:cs="Calibri"/>
          <w:b/>
          <w:bCs/>
          <w:lang w:val="en-GB"/>
        </w:rPr>
      </w:pPr>
    </w:p>
    <w:p w14:paraId="7BD377E5"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 xml:space="preserve">The </w:t>
      </w:r>
      <w:r w:rsidRPr="000B64C5">
        <w:rPr>
          <w:rFonts w:eastAsia="Calibri" w:cs="Calibri"/>
          <w:b/>
          <w:bCs/>
          <w:lang w:val="en-GB"/>
        </w:rPr>
        <w:t>first part of this guide</w:t>
      </w:r>
      <w:r w:rsidRPr="000B64C5">
        <w:rPr>
          <w:rFonts w:eastAsia="Calibri" w:cs="Calibri"/>
          <w:lang w:val="en-GB"/>
        </w:rPr>
        <w:t xml:space="preserve"> lists the laws and other standards for the actors of the financial market, which any institution wishing to provide services in Hungary must pay special attention to. It should be noted that the recommendations issued by the MNB — and prior to 1 October 2013, by the Hungarian Financial Supervisory Authority (</w:t>
      </w:r>
      <w:proofErr w:type="spellStart"/>
      <w:r w:rsidRPr="000B64C5">
        <w:rPr>
          <w:rFonts w:eastAsia="Calibri" w:cs="Calibri"/>
          <w:b/>
          <w:bCs/>
          <w:lang w:val="en-GB"/>
        </w:rPr>
        <w:t>HFSA</w:t>
      </w:r>
      <w:proofErr w:type="spellEnd"/>
      <w:r w:rsidRPr="000B64C5">
        <w:rPr>
          <w:rFonts w:eastAsia="Calibri" w:cs="Calibri"/>
          <w:lang w:val="en-GB"/>
        </w:rPr>
        <w:t>) — and being in force at present as well, have no binding force, and thus the MNB may not impose any sanction for the departure from those. The main purpose of recommendations is to inform the public of the supervisory expectations that the MNB deems justified to adhere to. They are intended to present good practices that the individual institutions may depart from to a positive direction, and implement practices and internal regulations that best suit their specific risks, organisational structure and service profile.</w:t>
      </w:r>
    </w:p>
    <w:p w14:paraId="7AAB819A" w14:textId="77777777" w:rsidR="00C3015E" w:rsidRPr="000B64C5" w:rsidRDefault="00C3015E" w:rsidP="00CD4B22">
      <w:pPr>
        <w:widowControl w:val="0"/>
        <w:spacing w:before="6" w:after="0" w:line="240" w:lineRule="exact"/>
        <w:rPr>
          <w:rFonts w:eastAsia="Calibri" w:cs="Times New Roman"/>
          <w:sz w:val="24"/>
          <w:szCs w:val="24"/>
          <w:lang w:val="en-GB"/>
        </w:rPr>
      </w:pPr>
    </w:p>
    <w:p w14:paraId="2097E310" w14:textId="77777777" w:rsidR="00C3015E" w:rsidRPr="000B64C5" w:rsidRDefault="00C3015E" w:rsidP="00CD4B22">
      <w:pPr>
        <w:widowControl w:val="0"/>
        <w:spacing w:after="0" w:line="239" w:lineRule="auto"/>
        <w:ind w:left="116"/>
        <w:rPr>
          <w:rFonts w:eastAsia="Calibri" w:cs="Calibri"/>
          <w:lang w:val="en-GB"/>
        </w:rPr>
      </w:pPr>
      <w:r w:rsidRPr="000B64C5">
        <w:rPr>
          <w:rFonts w:eastAsia="Calibri" w:cs="Calibri"/>
          <w:lang w:val="en-GB"/>
        </w:rPr>
        <w:t>For the sake of clarity, laws and other norms are grouped by type in this document; however, such categorisation should not be construed as an order of importance, since branch offices and cross-border service providers must comply with all norms that govern their activity.</w:t>
      </w:r>
    </w:p>
    <w:p w14:paraId="7DEEA8DC" w14:textId="77777777" w:rsidR="00C3015E" w:rsidRPr="000B64C5" w:rsidRDefault="00C3015E" w:rsidP="00CD4B22">
      <w:pPr>
        <w:widowControl w:val="0"/>
        <w:spacing w:before="3" w:after="0" w:line="240" w:lineRule="exact"/>
        <w:rPr>
          <w:rFonts w:eastAsia="Calibri" w:cs="Times New Roman"/>
          <w:sz w:val="24"/>
          <w:szCs w:val="24"/>
          <w:lang w:val="en-GB"/>
        </w:rPr>
      </w:pPr>
    </w:p>
    <w:p w14:paraId="47D10E23"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After the general listing, the guide specifies the laws that are of special significance for the sector, individual organisations and their services.</w:t>
      </w:r>
    </w:p>
    <w:p w14:paraId="3A182543" w14:textId="77777777" w:rsidR="00C3015E" w:rsidRPr="000B64C5" w:rsidRDefault="00C3015E" w:rsidP="00CD4B22">
      <w:pPr>
        <w:widowControl w:val="0"/>
        <w:spacing w:before="2" w:after="0" w:line="240" w:lineRule="exact"/>
        <w:rPr>
          <w:rFonts w:eastAsia="Calibri" w:cs="Times New Roman"/>
          <w:sz w:val="24"/>
          <w:szCs w:val="24"/>
          <w:lang w:val="en-GB"/>
        </w:rPr>
      </w:pPr>
    </w:p>
    <w:p w14:paraId="4B5A5F4B" w14:textId="77777777" w:rsidR="00C3015E" w:rsidRPr="000B64C5" w:rsidRDefault="00C3015E" w:rsidP="00CD4B22">
      <w:pPr>
        <w:widowControl w:val="0"/>
        <w:spacing w:after="0" w:line="242" w:lineRule="exact"/>
        <w:ind w:left="116"/>
        <w:rPr>
          <w:rFonts w:eastAsia="Calibri" w:cs="Calibri"/>
          <w:lang w:val="en-GB"/>
        </w:rPr>
      </w:pPr>
      <w:r w:rsidRPr="000B64C5">
        <w:rPr>
          <w:rFonts w:eastAsia="Calibri" w:cs="Calibri"/>
          <w:lang w:val="en-GB"/>
        </w:rPr>
        <w:t>In addition to the laws that define the basic rules of activities, this guide also mentions rules that determine the legal environment for services from a criminal and civil law aspects and presents the basics of consumer protection.</w:t>
      </w:r>
    </w:p>
    <w:p w14:paraId="6506A5EC" w14:textId="77777777" w:rsidR="00C3015E" w:rsidRPr="000B64C5" w:rsidRDefault="00C3015E" w:rsidP="00CD4B22">
      <w:pPr>
        <w:widowControl w:val="0"/>
        <w:spacing w:before="11" w:after="0" w:line="240" w:lineRule="exact"/>
        <w:rPr>
          <w:rFonts w:eastAsia="Calibri" w:cs="Times New Roman"/>
          <w:sz w:val="24"/>
          <w:szCs w:val="24"/>
          <w:lang w:val="en-GB"/>
        </w:rPr>
      </w:pPr>
    </w:p>
    <w:p w14:paraId="2D44F061" w14:textId="460411F6" w:rsidR="002B2ABE" w:rsidRPr="000B64C5" w:rsidRDefault="00C3015E" w:rsidP="00CD4B22">
      <w:pPr>
        <w:widowControl w:val="0"/>
        <w:spacing w:after="0" w:line="240" w:lineRule="auto"/>
        <w:ind w:left="116"/>
        <w:rPr>
          <w:rFonts w:eastAsia="Calibri" w:cs="Calibri"/>
          <w:lang w:val="en-GB"/>
        </w:rPr>
      </w:pPr>
      <w:r w:rsidRPr="000B64C5">
        <w:rPr>
          <w:rFonts w:eastAsia="Calibri"/>
          <w:lang w:val="en-GB"/>
        </w:rPr>
        <w:t xml:space="preserve">The guide calls the attention to Act LIII of 2017 on the Prevention and Combating of Money Laundering and Terrorist </w:t>
      </w:r>
      <w:r w:rsidRPr="000B64C5">
        <w:rPr>
          <w:rFonts w:eastAsia="Calibri"/>
          <w:lang w:val="en-GB"/>
        </w:rPr>
        <w:lastRenderedPageBreak/>
        <w:t>Financing (</w:t>
      </w:r>
      <w:r w:rsidRPr="000B64C5">
        <w:rPr>
          <w:rFonts w:eastAsia="Calibri"/>
          <w:b/>
          <w:bCs/>
          <w:lang w:val="en-GB"/>
        </w:rPr>
        <w:t>Anti-money Laundering Act</w:t>
      </w:r>
      <w:r w:rsidRPr="000B64C5">
        <w:rPr>
          <w:rFonts w:eastAsia="Calibri"/>
          <w:lang w:val="en-GB"/>
        </w:rPr>
        <w:t>), in connection with the provisions of which it should be noted that those fully consider the requirements set forth in</w:t>
      </w:r>
      <w:r w:rsidRPr="000B64C5">
        <w:rPr>
          <w:rFonts w:eastAsia="Calibri"/>
          <w:shd w:val="clear" w:color="auto" w:fill="FFFFFF"/>
          <w:lang w:val="en-GB"/>
        </w:rPr>
        <w:t xml:space="preserve"> Directive (EU) 2015/849 of the European Parliament and of the Council of 20 May 2015 on the prevention of the use of the financial system for the purposes of money laundering or terrorist financing, amending Regulation (EU) No 648/2012 of the European Parliament and of the Council, and repealing Directive 2005/60/EC of the European Parliament and of the Council and Commission Directive 2006/70/EC</w:t>
      </w:r>
      <w:r w:rsidRPr="000B64C5">
        <w:rPr>
          <w:rStyle w:val="Lbjegyzet-hivatkozs"/>
          <w:rFonts w:eastAsia="Calibri" w:cs="Calibri"/>
          <w:lang w:val="en-GB"/>
        </w:rPr>
        <w:footnoteReference w:id="3"/>
      </w:r>
      <w:r w:rsidRPr="000B64C5">
        <w:rPr>
          <w:rFonts w:eastAsia="Calibri"/>
          <w:lang w:val="en-GB"/>
        </w:rPr>
        <w:t>. In view of the fact that the MNB’s supervisory duties performed for the prevention of money laundering and terrorist financing have been supplemented with the supervision of the obligations of service providers overseen by the MNB stemming from Act XLIII of 2021 on the Establishment and Operation of the Data Reporting Background for the Identification Tasks of Financial and Other Service Providers (</w:t>
      </w:r>
      <w:r w:rsidRPr="000B64C5">
        <w:rPr>
          <w:rFonts w:eastAsia="Calibri"/>
          <w:b/>
          <w:bCs/>
          <w:lang w:val="en-GB"/>
        </w:rPr>
        <w:t>Identification Tasks Act</w:t>
      </w:r>
      <w:r w:rsidRPr="000B64C5">
        <w:rPr>
          <w:rFonts w:eastAsia="Calibri"/>
          <w:lang w:val="en-GB"/>
        </w:rPr>
        <w:t>), the guide also touches upon the obligations of the service provider acting within its capacity as specified in point 3 of Section 12 of the Identification Tasks Act.</w:t>
      </w:r>
    </w:p>
    <w:p w14:paraId="7BA520DE" w14:textId="73824F2F" w:rsidR="00C3015E" w:rsidRPr="000B64C5" w:rsidRDefault="00C3015E" w:rsidP="00CD4B22">
      <w:pPr>
        <w:widowControl w:val="0"/>
        <w:spacing w:before="6" w:after="0" w:line="240" w:lineRule="exact"/>
        <w:rPr>
          <w:rFonts w:eastAsia="Calibri" w:cs="Times New Roman"/>
          <w:sz w:val="24"/>
          <w:szCs w:val="24"/>
          <w:lang w:val="en-GB"/>
        </w:rPr>
      </w:pPr>
    </w:p>
    <w:p w14:paraId="08EAEE12"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 xml:space="preserve">Similarly, the provisions related to money laundering, included in the prevailing Criminal Code (until 30 June 2013, Sections 303–303/C of Act IV of 1978 on the Criminal Code, and from 1 July 2013 Section 399-402 of Act C of 2012) also take into consideration the expectations developed in the assessment practices of the organisations of the member states, operating on the principle of mutual assessment (FATF, Council of Europe </w:t>
      </w:r>
      <w:proofErr w:type="spellStart"/>
      <w:r w:rsidRPr="000B64C5">
        <w:rPr>
          <w:rFonts w:eastAsia="Calibri" w:cs="Calibri"/>
          <w:lang w:val="en-GB"/>
        </w:rPr>
        <w:t>Moneyval</w:t>
      </w:r>
      <w:proofErr w:type="spellEnd"/>
      <w:r w:rsidRPr="000B64C5">
        <w:rPr>
          <w:rFonts w:eastAsia="Calibri" w:cs="Calibri"/>
          <w:lang w:val="en-GB"/>
        </w:rPr>
        <w:t xml:space="preserve"> PC-R-EV), investigating the measures taken against money laundering by the countries participating in the Convention on Laundering, Search, Seizure and Confiscation of the Proceeds from Crime, signed in Strasbourg on 8 November 1990.</w:t>
      </w:r>
    </w:p>
    <w:p w14:paraId="37BBE11C" w14:textId="77777777" w:rsidR="00C3015E" w:rsidRPr="000B64C5" w:rsidRDefault="00C3015E" w:rsidP="00CD4B22">
      <w:pPr>
        <w:widowControl w:val="0"/>
        <w:spacing w:before="3" w:after="0" w:line="240" w:lineRule="exact"/>
        <w:rPr>
          <w:rFonts w:eastAsia="Calibri" w:cs="Times New Roman"/>
          <w:sz w:val="24"/>
          <w:szCs w:val="24"/>
          <w:lang w:val="en-GB"/>
        </w:rPr>
      </w:pPr>
    </w:p>
    <w:p w14:paraId="3DB7CE55"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It should be emphasised that financial organisations are required to prepare internal rules concerning the fulfilment of responsibilities set out in the aforementioned laws. These internal rules are subject to approval by the MNB, in its capacity as supervisory authority. The MNB developed sample rules to assist the drafting of these documents. These samples are available on the MNB’s website, grouped by institution type.</w:t>
      </w:r>
    </w:p>
    <w:p w14:paraId="4F736094" w14:textId="77777777" w:rsidR="00C3015E" w:rsidRPr="000B64C5" w:rsidRDefault="00C3015E" w:rsidP="00CD4B22">
      <w:pPr>
        <w:widowControl w:val="0"/>
        <w:spacing w:before="2" w:after="0" w:line="240" w:lineRule="exact"/>
        <w:rPr>
          <w:rFonts w:eastAsia="Calibri" w:cs="Times New Roman"/>
          <w:sz w:val="24"/>
          <w:szCs w:val="24"/>
          <w:lang w:val="en-GB"/>
        </w:rPr>
      </w:pPr>
    </w:p>
    <w:p w14:paraId="184CF578"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Proceeding from general to specific, this document identifies specific sections in key laws that are indispensable to be familiar with for organisations engaged in financial services. Such provisions are the most important regulations pertaining to the activity concerned and thus special attention must be paid to compliance with them.</w:t>
      </w:r>
    </w:p>
    <w:p w14:paraId="5B71BF0E" w14:textId="77777777" w:rsidR="00C3015E" w:rsidRPr="000B64C5" w:rsidRDefault="00C3015E" w:rsidP="00CD4B22">
      <w:pPr>
        <w:widowControl w:val="0"/>
        <w:spacing w:before="5" w:after="0" w:line="240" w:lineRule="exact"/>
        <w:rPr>
          <w:rFonts w:eastAsia="Calibri" w:cs="Times New Roman"/>
          <w:sz w:val="24"/>
          <w:szCs w:val="24"/>
          <w:lang w:val="en-GB"/>
        </w:rPr>
      </w:pPr>
    </w:p>
    <w:p w14:paraId="35BB5A59"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 xml:space="preserve">The </w:t>
      </w:r>
      <w:r w:rsidRPr="000B64C5">
        <w:rPr>
          <w:rFonts w:eastAsia="Calibri" w:cs="Calibri"/>
          <w:b/>
          <w:bCs/>
          <w:lang w:val="en-GB"/>
        </w:rPr>
        <w:t xml:space="preserve">second part of this guide </w:t>
      </w:r>
      <w:r w:rsidRPr="000B64C5">
        <w:rPr>
          <w:rFonts w:eastAsia="Calibri" w:cs="Calibri"/>
          <w:lang w:val="en-GB"/>
        </w:rPr>
        <w:t>briefly outlines the most important rules pertaining to the establishment and operation of branch offices, the range of internal regulations to be prepared by them, the supervision of the operations performed in Hungary through branches or in the form cross-border services, the reporting, licensing and data supply obligations to the MNB, and presents key information on deposit insurance and the central credit information system.</w:t>
      </w:r>
    </w:p>
    <w:p w14:paraId="6F85CF23" w14:textId="77777777" w:rsidR="00C3015E" w:rsidRPr="000B64C5" w:rsidRDefault="00C3015E" w:rsidP="00CD4B22">
      <w:pPr>
        <w:widowControl w:val="0"/>
        <w:spacing w:before="3" w:after="0" w:line="240" w:lineRule="exact"/>
        <w:rPr>
          <w:rFonts w:eastAsia="Calibri" w:cs="Times New Roman"/>
          <w:sz w:val="24"/>
          <w:szCs w:val="24"/>
          <w:lang w:val="en-GB"/>
        </w:rPr>
      </w:pPr>
    </w:p>
    <w:p w14:paraId="7B686480"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 xml:space="preserve">The </w:t>
      </w:r>
      <w:r w:rsidRPr="000B64C5">
        <w:rPr>
          <w:rFonts w:eastAsia="Calibri" w:cs="Calibri"/>
          <w:b/>
          <w:bCs/>
          <w:lang w:val="en-GB"/>
        </w:rPr>
        <w:t>third part of this guide</w:t>
      </w:r>
      <w:r w:rsidRPr="000B64C5">
        <w:rPr>
          <w:rFonts w:eastAsia="Calibri" w:cs="Calibri"/>
          <w:lang w:val="en-GB"/>
        </w:rPr>
        <w:t xml:space="preserve"> – considering that the consumer protection regulations bear special importance in respect of the financial organisations operating as branch offices or in the form of cross-border services – specifies the legal provisions that qualify as consumer protection regulations. First it presents the general consumer protection regulations that apply to financial market services and thus to all financial subsectors, then the sector</w:t>
      </w:r>
      <w:r w:rsidRPr="000B64C5">
        <w:rPr>
          <w:rFonts w:eastAsia="Calibri" w:cs="Calibri"/>
          <w:lang w:val="en-GB"/>
        </w:rPr>
        <w:noBreakHyphen/>
        <w:t>specific rules. Consumer protection regulations are presented with indication of the legal provision and the section therein that contains the consumer protection requirement.</w:t>
      </w:r>
    </w:p>
    <w:p w14:paraId="6EE48D31" w14:textId="77777777" w:rsidR="00C3015E" w:rsidRPr="000B64C5" w:rsidRDefault="00C3015E" w:rsidP="00CD4B22">
      <w:pPr>
        <w:widowControl w:val="0"/>
        <w:spacing w:before="5" w:after="0" w:line="240" w:lineRule="exact"/>
        <w:rPr>
          <w:rFonts w:eastAsia="Calibri" w:cs="Times New Roman"/>
          <w:sz w:val="24"/>
          <w:szCs w:val="24"/>
          <w:lang w:val="en-GB"/>
        </w:rPr>
      </w:pPr>
    </w:p>
    <w:p w14:paraId="51097308" w14:textId="44497FB7"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Article 81(1) of the MNB Act defines consumer protection regulations when specifying the MNB’s consumer protection control competence, according to which:</w:t>
      </w:r>
    </w:p>
    <w:p w14:paraId="5FC6AB20" w14:textId="77777777" w:rsidR="00046FBD" w:rsidRPr="000B64C5" w:rsidRDefault="00C3015E" w:rsidP="00CD4B22">
      <w:pPr>
        <w:widowControl w:val="0"/>
        <w:numPr>
          <w:ilvl w:val="0"/>
          <w:numId w:val="12"/>
        </w:numPr>
        <w:spacing w:after="0" w:line="242" w:lineRule="exact"/>
        <w:ind w:left="567"/>
        <w:contextualSpacing/>
        <w:rPr>
          <w:rFonts w:eastAsia="Calibri" w:cs="Calibri"/>
          <w:lang w:val="en-GB"/>
        </w:rPr>
      </w:pPr>
      <w:r w:rsidRPr="000B64C5">
        <w:rPr>
          <w:rFonts w:eastAsia="Calibri" w:cs="Calibri"/>
          <w:lang w:val="en-GB"/>
        </w:rPr>
        <w:t xml:space="preserve">the acts referred to in Article 39 laying down requirements concerning the conduct of the persons and entities covered by the acts defined in Article 39 of the MNB Act in respect of consumers using their services as well as the provisions of regulations adopted for the implementation of these acts, and </w:t>
      </w:r>
    </w:p>
    <w:p w14:paraId="728ED8D6" w14:textId="45016042" w:rsidR="00C3015E" w:rsidRPr="000B64C5" w:rsidRDefault="00C3015E" w:rsidP="00CD4B22">
      <w:pPr>
        <w:widowControl w:val="0"/>
        <w:spacing w:after="0" w:line="242" w:lineRule="exact"/>
        <w:ind w:left="567"/>
        <w:contextualSpacing/>
        <w:rPr>
          <w:rFonts w:eastAsia="Calibri" w:cs="Calibri"/>
          <w:spacing w:val="24"/>
          <w:lang w:val="en-GB"/>
        </w:rPr>
      </w:pPr>
      <w:r w:rsidRPr="000B64C5">
        <w:rPr>
          <w:rFonts w:eastAsia="Calibri" w:cs="Calibri"/>
          <w:lang w:val="en-GB"/>
        </w:rPr>
        <w:t xml:space="preserve"> the provisions prescribed in the European Union’s directly applicable legislative act of general scope, and</w:t>
      </w:r>
    </w:p>
    <w:p w14:paraId="6D218F43" w14:textId="77777777" w:rsidR="00C3015E" w:rsidRPr="000B64C5" w:rsidRDefault="00C3015E" w:rsidP="00CD4B22">
      <w:pPr>
        <w:widowControl w:val="0"/>
        <w:numPr>
          <w:ilvl w:val="0"/>
          <w:numId w:val="12"/>
        </w:numPr>
        <w:spacing w:after="0" w:line="240" w:lineRule="auto"/>
        <w:ind w:left="567"/>
        <w:contextualSpacing/>
        <w:rPr>
          <w:rFonts w:eastAsia="Calibri" w:cs="Calibri"/>
          <w:lang w:val="en-GB"/>
        </w:rPr>
      </w:pPr>
      <w:r w:rsidRPr="000B64C5">
        <w:rPr>
          <w:rFonts w:eastAsia="Calibri" w:cs="Calibri"/>
          <w:lang w:val="en-GB"/>
        </w:rPr>
        <w:t>the provisions of Act XLVII of 2008 on the Prohibition of Unfair Business-to-Consumer Commercial Practices (</w:t>
      </w:r>
      <w:r w:rsidRPr="000B64C5">
        <w:rPr>
          <w:rFonts w:eastAsia="Calibri" w:cs="Calibri"/>
          <w:b/>
          <w:bCs/>
          <w:lang w:val="en-GB"/>
        </w:rPr>
        <w:t>Unfair B2C Commercial Practices Act</w:t>
      </w:r>
      <w:r w:rsidRPr="000B64C5">
        <w:rPr>
          <w:rFonts w:eastAsia="Calibri" w:cs="Calibri"/>
          <w:lang w:val="en-GB"/>
        </w:rPr>
        <w:t>),</w:t>
      </w:r>
    </w:p>
    <w:p w14:paraId="3B81F18E" w14:textId="77777777" w:rsidR="00C3015E" w:rsidRPr="000B64C5" w:rsidRDefault="00C3015E" w:rsidP="00CD4B22">
      <w:pPr>
        <w:widowControl w:val="0"/>
        <w:numPr>
          <w:ilvl w:val="0"/>
          <w:numId w:val="12"/>
        </w:numPr>
        <w:spacing w:after="0" w:line="240" w:lineRule="auto"/>
        <w:ind w:left="567"/>
        <w:contextualSpacing/>
        <w:rPr>
          <w:rFonts w:eastAsia="Calibri" w:cs="Calibri"/>
          <w:lang w:val="en-GB"/>
        </w:rPr>
      </w:pPr>
      <w:r w:rsidRPr="000B64C5">
        <w:rPr>
          <w:rFonts w:eastAsia="Calibri" w:cs="Calibri"/>
          <w:lang w:val="en-GB"/>
        </w:rPr>
        <w:t>the provisions of Act XLVIII of 2008 on the Basic Requirements and Certain Restrictions of Commercial Advertising Activities (</w:t>
      </w:r>
      <w:r w:rsidRPr="000B64C5">
        <w:rPr>
          <w:rFonts w:eastAsia="Calibri" w:cs="Calibri"/>
          <w:b/>
          <w:bCs/>
          <w:lang w:val="en-GB"/>
        </w:rPr>
        <w:t>Commercial Advertising Act</w:t>
      </w:r>
      <w:r w:rsidRPr="000B64C5">
        <w:rPr>
          <w:rFonts w:eastAsia="Calibri" w:cs="Calibri"/>
          <w:lang w:val="en-GB"/>
        </w:rPr>
        <w:t>), and</w:t>
      </w:r>
    </w:p>
    <w:p w14:paraId="031CA3F0" w14:textId="77777777" w:rsidR="00C3015E" w:rsidRPr="000B64C5" w:rsidRDefault="00C3015E" w:rsidP="00CD4B22">
      <w:pPr>
        <w:widowControl w:val="0"/>
        <w:numPr>
          <w:ilvl w:val="0"/>
          <w:numId w:val="12"/>
        </w:numPr>
        <w:spacing w:after="0" w:line="240" w:lineRule="auto"/>
        <w:ind w:left="567"/>
        <w:contextualSpacing/>
        <w:rPr>
          <w:rFonts w:eastAsia="Calibri" w:cs="Calibri"/>
          <w:lang w:val="en-GB"/>
        </w:rPr>
      </w:pPr>
      <w:r w:rsidRPr="000B64C5">
        <w:rPr>
          <w:rFonts w:eastAsia="Calibri" w:cs="Calibri"/>
          <w:lang w:val="en-GB"/>
        </w:rPr>
        <w:t xml:space="preserve">the provisions of Act CVIII of 2001 on Certain Issues of Electronic Commerce Services and Information Society </w:t>
      </w:r>
      <w:r w:rsidRPr="000B64C5">
        <w:rPr>
          <w:rFonts w:eastAsia="Calibri" w:cs="Calibri"/>
          <w:lang w:val="en-GB"/>
        </w:rPr>
        <w:lastRenderedPageBreak/>
        <w:t>Services (</w:t>
      </w:r>
      <w:r w:rsidRPr="000B64C5">
        <w:rPr>
          <w:rFonts w:eastAsia="Calibri" w:cs="Calibri"/>
          <w:b/>
          <w:bCs/>
          <w:lang w:val="en-GB"/>
        </w:rPr>
        <w:t>Electronic Commerce Act</w:t>
      </w:r>
      <w:r w:rsidRPr="000B64C5">
        <w:rPr>
          <w:rFonts w:eastAsia="Calibri" w:cs="Calibri"/>
          <w:lang w:val="en-GB"/>
        </w:rPr>
        <w:t>).</w:t>
      </w:r>
    </w:p>
    <w:p w14:paraId="7CC9EF5F" w14:textId="77777777" w:rsidR="00A35C67" w:rsidRPr="000B64C5" w:rsidRDefault="00A35C67" w:rsidP="00CD4B22">
      <w:pPr>
        <w:widowControl w:val="0"/>
        <w:spacing w:before="14" w:after="0" w:line="260" w:lineRule="exact"/>
        <w:rPr>
          <w:rFonts w:eastAsia="Calibri" w:cs="Times New Roman"/>
          <w:sz w:val="26"/>
          <w:szCs w:val="26"/>
          <w:lang w:val="en-GB"/>
        </w:rPr>
      </w:pPr>
      <w:r w:rsidRPr="000B64C5">
        <w:rPr>
          <w:rFonts w:eastAsia="Calibri" w:cs="Times New Roman"/>
          <w:sz w:val="26"/>
          <w:szCs w:val="26"/>
          <w:lang w:val="en-GB"/>
        </w:rPr>
        <w:t xml:space="preserve"> </w:t>
      </w:r>
    </w:p>
    <w:p w14:paraId="69F110C3" w14:textId="46102D5C"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The MNB Act does not specify each and every sector-specific legal provision that includes consumer protection regulations. When seeking to identify these provisions, one must take into consideration the requirements of the Acts falling within the MNB’s competence, which lay down rules of “conduct” and procedure for the behaviour of financial service providers when dealing with their natural person customers acting for purposes outside their trade, business or profession. Therefore, all provisions that outline how financial service providers are required to do business with consumers qualify as consumer protection regulations. In this respect, consumer protection regulations include various requirements related to providing information to consumers, e.g. the requirements presented in the terms and conditions, or those specifying the procedures of institutions related to customers that qualify as consumers (including requirements on the provision of financial services), along with the restrictive regulations related to interest rates, charges and fees to be applied in respect of the customers. In addition, provisions of the Unfair B2C Commercial Practices Act, the Commercial Advertising Act and the Electronic Commerce Act, mentioned above, also qualify as consumer protection regulations along with the provision setting out obligations related to financial consumer disputes.</w:t>
      </w:r>
    </w:p>
    <w:p w14:paraId="601D0658" w14:textId="77777777" w:rsidR="00C3015E" w:rsidRPr="000B64C5" w:rsidRDefault="00C3015E" w:rsidP="00CD4B22">
      <w:pPr>
        <w:widowControl w:val="0"/>
        <w:spacing w:after="0" w:line="242" w:lineRule="exact"/>
        <w:ind w:left="116"/>
        <w:rPr>
          <w:rFonts w:eastAsia="Calibri" w:cs="Calibri"/>
          <w:lang w:val="en-GB"/>
        </w:rPr>
      </w:pPr>
    </w:p>
    <w:p w14:paraId="54894153" w14:textId="64A5C4DA" w:rsidR="00C3015E" w:rsidRPr="000B64C5" w:rsidRDefault="00C3015E" w:rsidP="00CD4B22">
      <w:pPr>
        <w:widowControl w:val="0"/>
        <w:spacing w:before="6" w:after="0" w:line="239" w:lineRule="auto"/>
        <w:ind w:left="116"/>
        <w:rPr>
          <w:rFonts w:eastAsia="Calibri" w:cs="Calibri"/>
          <w:lang w:val="en-GB"/>
        </w:rPr>
      </w:pPr>
      <w:r w:rsidRPr="000B64C5">
        <w:rPr>
          <w:rFonts w:eastAsia="Calibri" w:cs="Calibri"/>
          <w:lang w:val="en-GB"/>
        </w:rPr>
        <w:t>The MNB verifies compliance with the obligations related to consumer protection and financial consumer legal disputes within the framework of consumer protection verification procedures, and takes actions upon breaching those. It should be noted that the MNB’s competence does not extend to the determination of the conclusion, validity, legal consequences and termination of the contract, or the breach of contract and the legal consequences thereof.</w:t>
      </w:r>
    </w:p>
    <w:p w14:paraId="309BE173" w14:textId="77777777" w:rsidR="00C3015E" w:rsidRPr="000B64C5" w:rsidRDefault="00C3015E" w:rsidP="00CD4B22">
      <w:pPr>
        <w:widowControl w:val="0"/>
        <w:spacing w:before="6" w:after="0" w:line="240" w:lineRule="exact"/>
        <w:rPr>
          <w:rFonts w:eastAsia="Calibri" w:cs="Times New Roman"/>
          <w:sz w:val="24"/>
          <w:szCs w:val="24"/>
          <w:lang w:val="en-GB"/>
        </w:rPr>
      </w:pPr>
    </w:p>
    <w:p w14:paraId="6724B983"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b/>
          <w:bCs/>
          <w:lang w:val="en-GB"/>
        </w:rPr>
        <w:t>Financial Arbitration Board</w:t>
      </w:r>
    </w:p>
    <w:p w14:paraId="06EDD466" w14:textId="77777777" w:rsidR="00C3015E" w:rsidRPr="000B64C5" w:rsidRDefault="00C3015E" w:rsidP="00CD4B22">
      <w:pPr>
        <w:widowControl w:val="0"/>
        <w:spacing w:before="3" w:after="0" w:line="240" w:lineRule="exact"/>
        <w:rPr>
          <w:rFonts w:eastAsia="Calibri" w:cs="Times New Roman"/>
          <w:sz w:val="24"/>
          <w:szCs w:val="24"/>
          <w:lang w:val="en-GB"/>
        </w:rPr>
      </w:pPr>
    </w:p>
    <w:p w14:paraId="6CF9FF8E" w14:textId="1D694661" w:rsidR="00C3015E" w:rsidRPr="000B64C5" w:rsidRDefault="00C3015E" w:rsidP="00CD4B22">
      <w:pPr>
        <w:widowControl w:val="0"/>
        <w:spacing w:after="0" w:line="240" w:lineRule="auto"/>
        <w:ind w:left="116"/>
        <w:rPr>
          <w:rFonts w:eastAsia="Calibri" w:cs="Calibri"/>
          <w:spacing w:val="6"/>
          <w:lang w:val="en-GB"/>
        </w:rPr>
      </w:pPr>
      <w:r w:rsidRPr="000B64C5">
        <w:rPr>
          <w:rFonts w:eastAsia="Calibri" w:cs="Calibri"/>
          <w:lang w:val="en-GB"/>
        </w:rPr>
        <w:t>The Financial Arbitration Board (</w:t>
      </w:r>
      <w:r w:rsidRPr="000B64C5">
        <w:rPr>
          <w:rFonts w:eastAsia="Calibri" w:cs="Calibri"/>
          <w:b/>
          <w:bCs/>
          <w:lang w:val="en-GB"/>
        </w:rPr>
        <w:t>FAB</w:t>
      </w:r>
      <w:r w:rsidRPr="000B64C5">
        <w:rPr>
          <w:rFonts w:eastAsia="Calibri" w:cs="Calibri"/>
          <w:lang w:val="en-GB"/>
        </w:rPr>
        <w:t>) is an out-of-court, alternative financial dispute resolution forum operated by the MNB. FAB is engaged in the out-of-court settlement of disputes (</w:t>
      </w:r>
      <w:r w:rsidRPr="000B64C5">
        <w:rPr>
          <w:rFonts w:eastAsia="Calibri" w:cs="Calibri"/>
          <w:b/>
          <w:bCs/>
          <w:lang w:val="en-GB"/>
        </w:rPr>
        <w:t>financial consumer dispute)</w:t>
      </w:r>
      <w:r w:rsidRPr="000B64C5">
        <w:rPr>
          <w:rFonts w:eastAsia="Calibri" w:cs="Calibri"/>
          <w:lang w:val="en-GB"/>
        </w:rPr>
        <w:t xml:space="preserve"> between the consumer and the organisations and persons specified in Article 39 of the MNB Act (</w:t>
      </w:r>
      <w:r w:rsidRPr="000B64C5">
        <w:rPr>
          <w:rFonts w:eastAsia="Calibri" w:cs="Calibri"/>
          <w:b/>
          <w:bCs/>
          <w:lang w:val="en-GB"/>
        </w:rPr>
        <w:t>financial service provider</w:t>
      </w:r>
      <w:r w:rsidRPr="000B64C5">
        <w:rPr>
          <w:rFonts w:eastAsia="Calibri" w:cs="Calibri"/>
          <w:lang w:val="en-GB"/>
        </w:rPr>
        <w:t>), concerning the establishment and fulfilment of the legal relationship related to the use of services</w:t>
      </w:r>
      <w:r w:rsidRPr="000B64C5">
        <w:rPr>
          <w:rFonts w:eastAsia="Calibri" w:cs="Calibri"/>
          <w:b/>
          <w:bCs/>
          <w:lang w:val="en-GB"/>
        </w:rPr>
        <w:t>.</w:t>
      </w:r>
      <w:r w:rsidRPr="000B64C5">
        <w:rPr>
          <w:rFonts w:eastAsia="Calibri" w:cs="Calibri"/>
          <w:lang w:val="en-GB"/>
        </w:rPr>
        <w:t xml:space="preserve"> FAB primarily attempts to mediate a compromise, failing which – with the exception of equity petitions – it passes a resolution on the matter in order to enforce consumers’ rights in a simple, fast, effective and cost-efficient manner.</w:t>
      </w:r>
    </w:p>
    <w:p w14:paraId="4DCDD4C2" w14:textId="77777777" w:rsidR="00C3015E" w:rsidRPr="000B64C5" w:rsidRDefault="00C3015E" w:rsidP="00CD4B22">
      <w:pPr>
        <w:widowControl w:val="0"/>
        <w:spacing w:before="5" w:after="0" w:line="240" w:lineRule="exact"/>
        <w:rPr>
          <w:rFonts w:eastAsia="Calibri" w:cs="Times New Roman"/>
          <w:sz w:val="24"/>
          <w:szCs w:val="24"/>
          <w:lang w:val="en-GB"/>
        </w:rPr>
      </w:pPr>
    </w:p>
    <w:p w14:paraId="6C67FF26"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b/>
          <w:bCs/>
          <w:lang w:val="en-GB"/>
        </w:rPr>
        <w:t>Procedure followed by the FAB</w:t>
      </w:r>
    </w:p>
    <w:p w14:paraId="6CB44B7D" w14:textId="77777777" w:rsidR="00C3015E" w:rsidRPr="000B64C5" w:rsidRDefault="00C3015E" w:rsidP="00CD4B22">
      <w:pPr>
        <w:widowControl w:val="0"/>
        <w:spacing w:before="3" w:after="0" w:line="240" w:lineRule="exact"/>
        <w:rPr>
          <w:rFonts w:eastAsia="Calibri" w:cs="Times New Roman"/>
          <w:sz w:val="24"/>
          <w:szCs w:val="24"/>
          <w:lang w:val="en-GB"/>
        </w:rPr>
      </w:pPr>
    </w:p>
    <w:p w14:paraId="0FC7E628" w14:textId="1014B045" w:rsidR="00CD4B22" w:rsidRDefault="00C3015E" w:rsidP="0008111D">
      <w:pPr>
        <w:spacing w:line="240" w:lineRule="auto"/>
        <w:ind w:left="142"/>
      </w:pPr>
      <w:r w:rsidRPr="000B64C5">
        <w:rPr>
          <w:rFonts w:eastAsia="Calibri" w:cs="Calibri"/>
          <w:lang w:val="en-GB"/>
        </w:rPr>
        <w:t xml:space="preserve">The provisions related to the procedures of FAB are set out in Chapter VIII of the MNB Act. </w:t>
      </w:r>
      <w:r w:rsidR="00CD4B22" w:rsidRPr="000B64C5">
        <w:rPr>
          <w:rFonts w:eastAsia="Calibri" w:cs="Calibri"/>
          <w:lang w:val="en-GB"/>
        </w:rPr>
        <w:t>When making a decision, the FAB – based on the deliberation of the FAB chair – proceeds in a three-member panel or with a single panel member depending on the complexity of the case, the required expertise and the amount the petitioner wishes to enforce.</w:t>
      </w:r>
    </w:p>
    <w:p w14:paraId="5BC0EFD2" w14:textId="02D533DF"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To ensure unbiased proceeding, the members must not be instructed in connection with their decision-making competence related financial consumer disputes. Proceedings before the FAB are not public unless both parties consent. Proceedings are initiated at the written request of a consumer, provided he has already attempted to settle the dispute directly with the financial service provider concerned, or lodged a petition for equitable treatment, which was not granted. If a financial service provider rejects the complaint, it is required to inform the consumer in writing that he is entitled to initiate FAB proceedings. Another important precondition of starting such proceedings is that there is no pending mediation, civil lawsuit or enforcement procedure.</w:t>
      </w:r>
    </w:p>
    <w:p w14:paraId="13BD3D68" w14:textId="77777777" w:rsidR="00C3015E" w:rsidRPr="000B64C5" w:rsidRDefault="00C3015E" w:rsidP="00CD4B22">
      <w:pPr>
        <w:widowControl w:val="0"/>
        <w:spacing w:before="3" w:after="0" w:line="240" w:lineRule="exact"/>
        <w:rPr>
          <w:rFonts w:eastAsia="Calibri" w:cs="Times New Roman"/>
          <w:sz w:val="24"/>
          <w:szCs w:val="24"/>
          <w:lang w:val="en-GB"/>
        </w:rPr>
      </w:pPr>
    </w:p>
    <w:p w14:paraId="5DE98AC2" w14:textId="0AAD7888"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In the course of the proceedings, the chair of the panel attempts to mediate a compromise between the parties. If the parties reach a compromise and it complies with the laws, the acting panel approves it by a resolution; otherwise – with the exception of petitions for equitable treatment – it continues the proceeding. If no compromise is reached and the claim is substantiated, the FAB passes a binding resolution or recommendation, depending on whether or not the service provider had acknowledged the decision of FAB as binding on it. The financial service providers may submit a written declaration of submission to FAB, in which it commits to submitting itself to the proceeding of the arbitration board and to the resolution passed in the proceeding. Since 1 January 2017, in the absence of a compromise, the panel may also pass a binding resolution if the financial service provider ha</w:t>
      </w:r>
      <w:r w:rsidR="00D532A4">
        <w:rPr>
          <w:rFonts w:eastAsia="Calibri" w:cs="Calibri"/>
          <w:lang w:val="en-GB"/>
        </w:rPr>
        <w:t>s</w:t>
      </w:r>
      <w:r w:rsidRPr="000B64C5">
        <w:rPr>
          <w:rFonts w:eastAsia="Calibri" w:cs="Calibri"/>
          <w:lang w:val="en-GB"/>
        </w:rPr>
        <w:t xml:space="preserve"> made no declaration of submission, but the petition is </w:t>
      </w:r>
      <w:r w:rsidR="0008111D" w:rsidRPr="000B64C5">
        <w:rPr>
          <w:rFonts w:eastAsia="Calibri" w:cs="Calibri"/>
          <w:lang w:val="en-GB"/>
        </w:rPr>
        <w:t>substantiated,</w:t>
      </w:r>
      <w:r w:rsidRPr="000B64C5">
        <w:rPr>
          <w:rFonts w:eastAsia="Calibri" w:cs="Calibri"/>
          <w:lang w:val="en-GB"/>
        </w:rPr>
        <w:t xml:space="preserve"> and the consumer’s claim does not exceed one million forint either in the petition or when the binding resolution is passed.</w:t>
      </w:r>
    </w:p>
    <w:p w14:paraId="637D155B" w14:textId="77777777" w:rsidR="00C3015E" w:rsidRPr="000B64C5" w:rsidRDefault="00C3015E" w:rsidP="00CD4B22">
      <w:pPr>
        <w:widowControl w:val="0"/>
        <w:spacing w:after="0" w:line="240" w:lineRule="auto"/>
        <w:rPr>
          <w:rFonts w:eastAsia="Calibri" w:cs="Calibri"/>
          <w:lang w:val="en-GB"/>
        </w:rPr>
      </w:pPr>
    </w:p>
    <w:p w14:paraId="50A93EF1"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lastRenderedPageBreak/>
        <w:t>The procedure of FAB is free of charge and no procedural fee or duty is imposed either on the consumer or on the financial service provider. The panel’s resolution or recommendation does not prejudice the consumer’s right to enforce the claim in court proceedings, if he or she is dissatisfied with FAB’s decision.</w:t>
      </w:r>
    </w:p>
    <w:p w14:paraId="07E07933" w14:textId="77777777" w:rsidR="00C3015E" w:rsidRPr="000B64C5" w:rsidRDefault="00C3015E" w:rsidP="00CD4B22">
      <w:pPr>
        <w:widowControl w:val="0"/>
        <w:spacing w:before="5" w:after="0" w:line="240" w:lineRule="exact"/>
        <w:rPr>
          <w:rFonts w:eastAsia="Calibri" w:cs="Times New Roman"/>
          <w:sz w:val="24"/>
          <w:szCs w:val="24"/>
          <w:lang w:val="en-GB"/>
        </w:rPr>
      </w:pPr>
    </w:p>
    <w:p w14:paraId="49963E3E"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b/>
          <w:bCs/>
          <w:lang w:val="en-GB"/>
        </w:rPr>
        <w:t>FAB procedures in cross-border financial disputes</w:t>
      </w:r>
    </w:p>
    <w:p w14:paraId="23DEAA84" w14:textId="77777777" w:rsidR="00C3015E" w:rsidRPr="000B64C5" w:rsidRDefault="00C3015E" w:rsidP="00CD4B22">
      <w:pPr>
        <w:widowControl w:val="0"/>
        <w:spacing w:before="3" w:after="0" w:line="240" w:lineRule="exact"/>
        <w:rPr>
          <w:rFonts w:eastAsia="Calibri" w:cs="Times New Roman"/>
          <w:sz w:val="24"/>
          <w:szCs w:val="24"/>
          <w:lang w:val="en-GB"/>
        </w:rPr>
      </w:pPr>
    </w:p>
    <w:p w14:paraId="30404333" w14:textId="77777777"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FAB performs the duties arising from Hungary’s participation in the European network of alternative financial dispute settlement forums (</w:t>
      </w:r>
      <w:r w:rsidRPr="000B64C5">
        <w:rPr>
          <w:rFonts w:eastAsia="Calibri" w:cs="Calibri"/>
          <w:b/>
          <w:bCs/>
          <w:lang w:val="en-GB"/>
        </w:rPr>
        <w:t>FIN</w:t>
      </w:r>
      <w:r w:rsidRPr="000B64C5">
        <w:rPr>
          <w:rFonts w:eastAsia="Calibri" w:cs="Calibri"/>
          <w:lang w:val="en-GB"/>
        </w:rPr>
        <w:noBreakHyphen/>
      </w:r>
      <w:r w:rsidRPr="000B64C5">
        <w:rPr>
          <w:rFonts w:eastAsia="Calibri" w:cs="Calibri"/>
          <w:b/>
          <w:bCs/>
          <w:lang w:val="en-GB"/>
        </w:rPr>
        <w:t>Net</w:t>
      </w:r>
      <w:r w:rsidRPr="000B64C5">
        <w:rPr>
          <w:rFonts w:eastAsia="Calibri" w:cs="Calibri"/>
          <w:lang w:val="en-GB"/>
        </w:rPr>
        <w:t>) since 1 July 2011. FIN-Net is a system operating in the EEA, functioning as an alternative dispute resolution network for cross-border disputes between consumers and financial service providers.</w:t>
      </w:r>
    </w:p>
    <w:p w14:paraId="2C5ECCAD" w14:textId="77777777" w:rsidR="00C3015E" w:rsidRPr="000B64C5" w:rsidRDefault="00C3015E" w:rsidP="00CD4B22">
      <w:pPr>
        <w:widowControl w:val="0"/>
        <w:spacing w:before="5" w:after="0" w:line="240" w:lineRule="exact"/>
        <w:rPr>
          <w:rFonts w:eastAsia="Calibri" w:cs="Times New Roman"/>
          <w:sz w:val="24"/>
          <w:szCs w:val="24"/>
          <w:lang w:val="en-GB"/>
        </w:rPr>
      </w:pPr>
    </w:p>
    <w:p w14:paraId="4BDED7D2" w14:textId="122988F4" w:rsidR="00C3015E" w:rsidRPr="000B64C5" w:rsidRDefault="00C3015E" w:rsidP="00CD4B22">
      <w:pPr>
        <w:widowControl w:val="0"/>
        <w:spacing w:after="0" w:line="240" w:lineRule="auto"/>
        <w:ind w:left="116"/>
        <w:rPr>
          <w:rFonts w:eastAsia="Calibri" w:cs="Calibri"/>
          <w:lang w:val="en-GB"/>
        </w:rPr>
      </w:pPr>
      <w:r w:rsidRPr="000B64C5">
        <w:rPr>
          <w:rFonts w:eastAsia="Calibri" w:cs="Calibri"/>
          <w:lang w:val="en-GB"/>
        </w:rPr>
        <w:t>One case of cross-border financial consumer disputes is when the consumer’s permanent or temporary place of residence is in Hungary and the financial service provider’s registered office, premises or place of abode is in a different EEA state. The other scenario is vice versa, when the consumer’s permanent or temporary place of residence is in another EEA state and the financial service provider is established in Hungary. In the first scenario, the FAB procedure can only be launched if the service provider has issued a declaration of submission in the dispute concerned. If the service provider refuses this, i.e. fails to make a declaration of submission, the FAB will not launch the proceedings and it informs the respective petitioner in writing about the forum he may resort to for remedy in the service provider’s country of residence.</w:t>
      </w:r>
    </w:p>
    <w:p w14:paraId="3F0A7E5D" w14:textId="77777777" w:rsidR="00C3015E" w:rsidRPr="000B64C5" w:rsidRDefault="00C3015E" w:rsidP="00CD4B22">
      <w:pPr>
        <w:widowControl w:val="0"/>
        <w:spacing w:after="0" w:line="240" w:lineRule="auto"/>
        <w:rPr>
          <w:rFonts w:eastAsia="Calibri" w:cs="Calibri"/>
          <w:lang w:val="en-GB"/>
        </w:rPr>
      </w:pPr>
    </w:p>
    <w:p w14:paraId="7C66CE56" w14:textId="1D0F5134" w:rsidR="00E533BA" w:rsidRPr="000B64C5" w:rsidRDefault="00C3015E" w:rsidP="00E533BA">
      <w:pPr>
        <w:widowControl w:val="0"/>
        <w:spacing w:after="0" w:line="240" w:lineRule="auto"/>
        <w:ind w:left="116"/>
        <w:rPr>
          <w:lang w:val="en-GB"/>
        </w:rPr>
      </w:pPr>
      <w:r w:rsidRPr="000B64C5">
        <w:rPr>
          <w:rFonts w:eastAsia="Calibri" w:cs="Calibri"/>
          <w:lang w:val="en-GB"/>
        </w:rPr>
        <w:t xml:space="preserve">Contrary to the domestic settlement procedures, cross-border procedures always take place in writing, but based on the consideration of the circumstances, the chair of the acting panel may initiate a hearing subject to the prior consent of both parties. Another special rule is that the chair of the FAB may, on the proposal of the chair of the acting panel, prolong the deadline of the procedure in justified cases on one occasion by 90 days per case. </w:t>
      </w:r>
      <w:r w:rsidR="00E533BA" w:rsidRPr="00E533BA">
        <w:rPr>
          <w:rFonts w:eastAsia="Calibri" w:cs="Calibri"/>
          <w:lang w:val="en-GB"/>
        </w:rPr>
        <w:t xml:space="preserve"> </w:t>
      </w:r>
      <w:r w:rsidR="00E533BA" w:rsidRPr="000B64C5">
        <w:rPr>
          <w:rFonts w:eastAsia="Calibri" w:cs="Calibri"/>
          <w:lang w:val="en-GB"/>
        </w:rPr>
        <w:t xml:space="preserve">As a general rule the language of the proceedings shall be English, but at the consumer’s request and choice – as long as he bears the relevant costs – it may also be the language of the contract. The acting panel shall adopt its decision in the language chosen, or in the absence of it, in English. </w:t>
      </w:r>
    </w:p>
    <w:p w14:paraId="2494B97A" w14:textId="0F06BEDD" w:rsidR="00C3015E" w:rsidRPr="0008111D" w:rsidRDefault="00C3015E" w:rsidP="00CD4B22">
      <w:pPr>
        <w:widowControl w:val="0"/>
        <w:spacing w:after="0" w:line="240" w:lineRule="auto"/>
        <w:ind w:left="116"/>
        <w:rPr>
          <w:rFonts w:eastAsia="Calibri" w:cs="Calibri"/>
          <w:lang w:val="en-GB"/>
        </w:rPr>
      </w:pPr>
    </w:p>
    <w:p w14:paraId="2B77BBA3" w14:textId="68062FFD" w:rsidR="00B944EB" w:rsidRPr="000B64C5" w:rsidRDefault="00B944EB" w:rsidP="00CD4B22">
      <w:pPr>
        <w:widowControl w:val="0"/>
        <w:spacing w:after="0" w:line="240" w:lineRule="auto"/>
        <w:ind w:left="116"/>
        <w:rPr>
          <w:lang w:val="en-GB"/>
        </w:rPr>
      </w:pPr>
    </w:p>
    <w:sectPr w:rsidR="00B944EB" w:rsidRPr="000B64C5" w:rsidSect="00CD6E8D">
      <w:headerReference w:type="default" r:id="rId12"/>
      <w:footerReference w:type="default" r:id="rId13"/>
      <w:pgSz w:w="11906" w:h="16838" w:code="9"/>
      <w:pgMar w:top="1418" w:right="1191" w:bottom="1418"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DA6DE" w14:textId="77777777" w:rsidR="00FF0B70" w:rsidRDefault="00FF0B70">
      <w:r>
        <w:separator/>
      </w:r>
    </w:p>
  </w:endnote>
  <w:endnote w:type="continuationSeparator" w:id="0">
    <w:p w14:paraId="1300476C" w14:textId="77777777" w:rsidR="00FF0B70" w:rsidRDefault="00FF0B70">
      <w:r>
        <w:continuationSeparator/>
      </w:r>
    </w:p>
  </w:endnote>
  <w:endnote w:type="continuationNotice" w:id="1">
    <w:p w14:paraId="557C004F" w14:textId="77777777" w:rsidR="00FF0B70" w:rsidRDefault="00FF0B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00EE" w14:textId="09E138D6" w:rsidR="009E3A57" w:rsidRPr="00AC6950" w:rsidRDefault="009E3A57" w:rsidP="00AC6950">
    <w:pPr>
      <w:tabs>
        <w:tab w:val="left" w:pos="8460"/>
      </w:tabs>
      <w:rPr>
        <w:sz w:val="18"/>
        <w:szCs w:val="18"/>
      </w:rPr>
    </w:pPr>
    <w:r>
      <w:rPr>
        <w:sz w:val="18"/>
        <w:szCs w:val="18"/>
        <w:lang w:val="en-GB"/>
      </w:rPr>
      <w:tab/>
    </w:r>
    <w:r>
      <w:rPr>
        <w:sz w:val="18"/>
        <w:szCs w:val="18"/>
        <w:lang w:val="en-GB"/>
      </w:rPr>
      <w:fldChar w:fldCharType="begin"/>
    </w:r>
    <w:r>
      <w:rPr>
        <w:sz w:val="18"/>
        <w:szCs w:val="18"/>
        <w:lang w:val="en-GB"/>
      </w:rPr>
      <w:instrText xml:space="preserve"> PAGE </w:instrText>
    </w:r>
    <w:r>
      <w:rPr>
        <w:sz w:val="18"/>
        <w:szCs w:val="18"/>
        <w:lang w:val="en-GB"/>
      </w:rPr>
      <w:fldChar w:fldCharType="separate"/>
    </w:r>
    <w:r>
      <w:rPr>
        <w:noProof/>
        <w:sz w:val="18"/>
        <w:szCs w:val="18"/>
        <w:lang w:val="en-GB"/>
      </w:rPr>
      <w:t>2</w:t>
    </w:r>
    <w:r>
      <w:rPr>
        <w:sz w:val="18"/>
        <w:szCs w:val="18"/>
        <w:lang w:val="en-GB"/>
      </w:rPr>
      <w:fldChar w:fldCharType="end"/>
    </w:r>
    <w:r>
      <w:rPr>
        <w:sz w:val="18"/>
        <w:szCs w:val="18"/>
        <w:lang w:val="en-GB"/>
      </w:rPr>
      <w:t>/</w:t>
    </w:r>
    <w:r>
      <w:rPr>
        <w:sz w:val="18"/>
        <w:szCs w:val="18"/>
        <w:lang w:val="en-GB"/>
      </w:rPr>
      <w:fldChar w:fldCharType="begin"/>
    </w:r>
    <w:r>
      <w:rPr>
        <w:sz w:val="18"/>
        <w:szCs w:val="18"/>
        <w:lang w:val="en-GB"/>
      </w:rPr>
      <w:instrText xml:space="preserve"> NUMPAGES </w:instrText>
    </w:r>
    <w:r>
      <w:rPr>
        <w:sz w:val="18"/>
        <w:szCs w:val="18"/>
        <w:lang w:val="en-GB"/>
      </w:rPr>
      <w:fldChar w:fldCharType="separate"/>
    </w:r>
    <w:r>
      <w:rPr>
        <w:noProof/>
        <w:sz w:val="18"/>
        <w:szCs w:val="18"/>
        <w:lang w:val="en-GB"/>
      </w:rPr>
      <w:t>2</w:t>
    </w:r>
    <w:r>
      <w:rPr>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02A" w14:textId="77777777" w:rsidR="00FF0B70" w:rsidRDefault="00FF0B70">
      <w:r>
        <w:separator/>
      </w:r>
    </w:p>
  </w:footnote>
  <w:footnote w:type="continuationSeparator" w:id="0">
    <w:p w14:paraId="571A0EA2" w14:textId="77777777" w:rsidR="00FF0B70" w:rsidRDefault="00FF0B70">
      <w:r>
        <w:continuationSeparator/>
      </w:r>
    </w:p>
  </w:footnote>
  <w:footnote w:type="continuationNotice" w:id="1">
    <w:p w14:paraId="0B65BF07" w14:textId="77777777" w:rsidR="00FF0B70" w:rsidRDefault="00FF0B70">
      <w:pPr>
        <w:spacing w:after="0" w:line="240" w:lineRule="auto"/>
      </w:pPr>
    </w:p>
  </w:footnote>
  <w:footnote w:id="2">
    <w:p w14:paraId="650EBBC4" w14:textId="77777777" w:rsidR="00C3015E" w:rsidRPr="0090599C" w:rsidRDefault="00C3015E" w:rsidP="00C3015E">
      <w:pPr>
        <w:pStyle w:val="Lbjegyzetszveg"/>
        <w:spacing w:after="0"/>
        <w:rPr>
          <w:color w:val="000000" w:themeColor="text1"/>
          <w:szCs w:val="16"/>
        </w:rPr>
      </w:pPr>
      <w:r>
        <w:rPr>
          <w:rStyle w:val="Lbjegyzet-hivatkozs"/>
          <w:color w:val="000000" w:themeColor="text1"/>
          <w:lang w:val="en-GB"/>
        </w:rPr>
        <w:footnoteRef/>
      </w:r>
      <w:r>
        <w:rPr>
          <w:color w:val="000000" w:themeColor="text1"/>
          <w:lang w:val="en-GB"/>
        </w:rPr>
        <w:t xml:space="preserve"> </w:t>
      </w:r>
      <w:r>
        <w:rPr>
          <w:color w:val="000000" w:themeColor="text1"/>
          <w:szCs w:val="16"/>
          <w:lang w:val="en-GB"/>
        </w:rPr>
        <w:t>Pursuant to Article 39(1) of the MNB Act, the MNB – unless the law provides otherwise – acting within its duties specified in Article 4 (9) of the MNB Act, performs the supervision of the entities and their activities stipulated in:</w:t>
      </w:r>
    </w:p>
    <w:p w14:paraId="01463456" w14:textId="1205BE8A" w:rsidR="00C3015E" w:rsidRPr="0090599C" w:rsidRDefault="00C3015E" w:rsidP="00C3015E">
      <w:pPr>
        <w:pStyle w:val="Lbjegyzetszveg"/>
        <w:spacing w:after="0"/>
        <w:rPr>
          <w:color w:val="000000" w:themeColor="text1"/>
          <w:szCs w:val="16"/>
        </w:rPr>
      </w:pPr>
      <w:r>
        <w:rPr>
          <w:color w:val="000000" w:themeColor="text1"/>
          <w:szCs w:val="16"/>
          <w:lang w:val="en-GB"/>
        </w:rPr>
        <w:t>a)the act on Voluntary Mutual Insurance Funds,</w:t>
      </w:r>
    </w:p>
    <w:p w14:paraId="7D526A74" w14:textId="77777777" w:rsidR="00C3015E" w:rsidRPr="0090599C" w:rsidRDefault="00C3015E" w:rsidP="00C3015E">
      <w:pPr>
        <w:pStyle w:val="Lbjegyzetszveg"/>
        <w:spacing w:after="0"/>
        <w:rPr>
          <w:color w:val="000000" w:themeColor="text1"/>
          <w:szCs w:val="16"/>
        </w:rPr>
      </w:pPr>
      <w:r>
        <w:rPr>
          <w:color w:val="000000" w:themeColor="text1"/>
          <w:szCs w:val="16"/>
          <w:lang w:val="en-GB"/>
        </w:rPr>
        <w:t>b) the Act on the Hungarian Export-Import Bank Plc and the Hungarian Export Credit Insurance Plc,</w:t>
      </w:r>
    </w:p>
    <w:p w14:paraId="5DCAF294" w14:textId="77777777" w:rsidR="00C3015E" w:rsidRPr="0090599C" w:rsidRDefault="00C3015E" w:rsidP="00C3015E">
      <w:pPr>
        <w:pStyle w:val="Lbjegyzetszveg"/>
        <w:spacing w:after="0"/>
        <w:rPr>
          <w:color w:val="000000" w:themeColor="text1"/>
          <w:szCs w:val="16"/>
        </w:rPr>
      </w:pPr>
      <w:r>
        <w:rPr>
          <w:color w:val="000000" w:themeColor="text1"/>
          <w:szCs w:val="16"/>
          <w:lang w:val="en-GB"/>
        </w:rPr>
        <w:t>c) the Act on Credit Institutions and Financial Enterprises,</w:t>
      </w:r>
    </w:p>
    <w:p w14:paraId="4DC908AF" w14:textId="77777777" w:rsidR="00C3015E" w:rsidRPr="0090599C" w:rsidRDefault="00C3015E" w:rsidP="00C3015E">
      <w:pPr>
        <w:pStyle w:val="Lbjegyzetszveg"/>
        <w:spacing w:after="0"/>
        <w:rPr>
          <w:color w:val="000000" w:themeColor="text1"/>
          <w:szCs w:val="16"/>
        </w:rPr>
      </w:pPr>
      <w:r>
        <w:rPr>
          <w:color w:val="000000" w:themeColor="text1"/>
          <w:szCs w:val="16"/>
          <w:lang w:val="en-GB"/>
        </w:rPr>
        <w:t>d) the Act on Building Societies,</w:t>
      </w:r>
    </w:p>
    <w:p w14:paraId="345EF126" w14:textId="77777777" w:rsidR="00C3015E" w:rsidRPr="0090599C" w:rsidRDefault="00C3015E" w:rsidP="00C3015E">
      <w:pPr>
        <w:pStyle w:val="Lbjegyzetszveg"/>
        <w:spacing w:after="0"/>
        <w:rPr>
          <w:color w:val="000000" w:themeColor="text1"/>
          <w:szCs w:val="16"/>
        </w:rPr>
      </w:pPr>
      <w:r>
        <w:rPr>
          <w:color w:val="000000" w:themeColor="text1"/>
          <w:szCs w:val="16"/>
          <w:lang w:val="en-GB"/>
        </w:rPr>
        <w:t>e) the Act on Mortgage Loan Companies and on Mortgage Bonds,</w:t>
      </w:r>
    </w:p>
    <w:p w14:paraId="395614E6" w14:textId="77777777" w:rsidR="00C3015E" w:rsidRPr="0090599C" w:rsidRDefault="00C3015E" w:rsidP="00C3015E">
      <w:pPr>
        <w:pStyle w:val="Lbjegyzetszveg"/>
        <w:spacing w:after="0"/>
        <w:rPr>
          <w:color w:val="000000" w:themeColor="text1"/>
          <w:szCs w:val="16"/>
        </w:rPr>
      </w:pPr>
      <w:r>
        <w:rPr>
          <w:color w:val="000000" w:themeColor="text1"/>
          <w:szCs w:val="16"/>
          <w:lang w:val="en-GB"/>
        </w:rPr>
        <w:t>f) the Act on Private Pensions and Private Pension Funds,</w:t>
      </w:r>
    </w:p>
    <w:p w14:paraId="366C8A15" w14:textId="77777777" w:rsidR="00C3015E" w:rsidRPr="0090599C" w:rsidRDefault="00C3015E" w:rsidP="00C3015E">
      <w:pPr>
        <w:pStyle w:val="Lbjegyzetszveg"/>
        <w:spacing w:after="0"/>
        <w:rPr>
          <w:color w:val="000000" w:themeColor="text1"/>
          <w:szCs w:val="16"/>
        </w:rPr>
      </w:pPr>
      <w:r>
        <w:rPr>
          <w:color w:val="000000" w:themeColor="text1"/>
          <w:szCs w:val="16"/>
          <w:lang w:val="en-GB"/>
        </w:rPr>
        <w:t>g) the Act on the Hungarian Development Bank Plc,</w:t>
      </w:r>
    </w:p>
    <w:p w14:paraId="7CFA08E3" w14:textId="77777777" w:rsidR="00C3015E" w:rsidRPr="0090599C" w:rsidRDefault="00C3015E" w:rsidP="00C3015E">
      <w:pPr>
        <w:pStyle w:val="Lbjegyzetszveg"/>
        <w:spacing w:after="0"/>
        <w:rPr>
          <w:color w:val="000000" w:themeColor="text1"/>
          <w:szCs w:val="16"/>
        </w:rPr>
      </w:pPr>
      <w:r>
        <w:rPr>
          <w:color w:val="000000" w:themeColor="text1"/>
          <w:szCs w:val="16"/>
          <w:lang w:val="en-GB"/>
        </w:rPr>
        <w:t>h) the Act on the Capital Markets,</w:t>
      </w:r>
    </w:p>
    <w:p w14:paraId="1F33F4B0" w14:textId="77777777" w:rsidR="00C3015E" w:rsidRPr="0090599C" w:rsidRDefault="00C3015E" w:rsidP="00C3015E">
      <w:pPr>
        <w:pStyle w:val="Lbjegyzetszveg"/>
        <w:spacing w:after="0"/>
        <w:rPr>
          <w:color w:val="000000" w:themeColor="text1"/>
          <w:szCs w:val="16"/>
        </w:rPr>
      </w:pPr>
      <w:r>
        <w:rPr>
          <w:color w:val="000000" w:themeColor="text1"/>
          <w:szCs w:val="16"/>
          <w:lang w:val="en-GB"/>
        </w:rPr>
        <w:t>i) the Act on Insurance Institutions and the Insurance Business,</w:t>
      </w:r>
    </w:p>
    <w:p w14:paraId="273EC01B" w14:textId="77777777" w:rsidR="00C3015E" w:rsidRPr="0090599C" w:rsidRDefault="00C3015E" w:rsidP="00C3015E">
      <w:pPr>
        <w:pStyle w:val="Lbjegyzetszveg"/>
        <w:spacing w:after="0"/>
        <w:rPr>
          <w:color w:val="000000" w:themeColor="text1"/>
          <w:szCs w:val="16"/>
        </w:rPr>
      </w:pPr>
      <w:r>
        <w:rPr>
          <w:color w:val="000000" w:themeColor="text1"/>
          <w:szCs w:val="16"/>
          <w:lang w:val="en-GB"/>
        </w:rPr>
        <w:t>j) the Act on Distance Marketing of Financial Sector Contracts;</w:t>
      </w:r>
    </w:p>
    <w:p w14:paraId="2D5CA02E" w14:textId="77777777" w:rsidR="00C3015E" w:rsidRPr="0090599C" w:rsidRDefault="00C3015E" w:rsidP="00C3015E">
      <w:pPr>
        <w:pStyle w:val="Lbjegyzetszveg"/>
        <w:spacing w:after="0"/>
        <w:rPr>
          <w:color w:val="000000" w:themeColor="text1"/>
          <w:szCs w:val="16"/>
        </w:rPr>
      </w:pPr>
      <w:r>
        <w:rPr>
          <w:color w:val="000000" w:themeColor="text1"/>
          <w:szCs w:val="16"/>
          <w:lang w:val="en-GB"/>
        </w:rPr>
        <w:t>k) the Act on Occupational Pension and the Related Institutions,</w:t>
      </w:r>
    </w:p>
    <w:p w14:paraId="5579CC6B" w14:textId="77777777" w:rsidR="00C3015E" w:rsidRPr="0090599C" w:rsidRDefault="00C3015E" w:rsidP="00C3015E">
      <w:pPr>
        <w:pStyle w:val="Lbjegyzetszveg"/>
        <w:spacing w:after="0"/>
        <w:rPr>
          <w:color w:val="000000" w:themeColor="text1"/>
          <w:szCs w:val="16"/>
        </w:rPr>
      </w:pPr>
      <w:r>
        <w:rPr>
          <w:color w:val="000000" w:themeColor="text1"/>
          <w:szCs w:val="16"/>
          <w:lang w:val="en-GB"/>
        </w:rPr>
        <w:t>l) the Act on Investment Firms and Commodity Dealers, and on the Regulations Governing their Activities,</w:t>
      </w:r>
    </w:p>
    <w:p w14:paraId="3CA3F831" w14:textId="77777777" w:rsidR="00C3015E" w:rsidRPr="0090599C" w:rsidRDefault="00C3015E" w:rsidP="00C3015E">
      <w:pPr>
        <w:pStyle w:val="Lbjegyzetszveg"/>
        <w:spacing w:after="0"/>
        <w:rPr>
          <w:color w:val="000000" w:themeColor="text1"/>
          <w:szCs w:val="16"/>
        </w:rPr>
      </w:pPr>
      <w:r>
        <w:rPr>
          <w:color w:val="000000" w:themeColor="text1"/>
          <w:szCs w:val="16"/>
          <w:lang w:val="en-GB"/>
        </w:rPr>
        <w:t>m) the Act on Collective Investment Trusts and their Managers, and on the Amendment of Certain Financial Regulations (Collective Investment Trust Act)</w:t>
      </w:r>
    </w:p>
    <w:p w14:paraId="7975490A" w14:textId="77777777" w:rsidR="00C3015E" w:rsidRPr="0090599C" w:rsidRDefault="00C3015E" w:rsidP="00C3015E">
      <w:pPr>
        <w:pStyle w:val="Lbjegyzetszveg"/>
        <w:spacing w:after="0"/>
        <w:rPr>
          <w:color w:val="000000" w:themeColor="text1"/>
          <w:szCs w:val="16"/>
        </w:rPr>
      </w:pPr>
      <w:r>
        <w:rPr>
          <w:color w:val="000000" w:themeColor="text1"/>
          <w:szCs w:val="16"/>
          <w:lang w:val="en-GB"/>
        </w:rPr>
        <w:t>n) the Act on Reinsurers,</w:t>
      </w:r>
    </w:p>
    <w:p w14:paraId="237FEB49" w14:textId="77777777" w:rsidR="00C3015E" w:rsidRPr="0090599C" w:rsidRDefault="00C3015E" w:rsidP="00C3015E">
      <w:pPr>
        <w:pStyle w:val="Lbjegyzetszveg"/>
        <w:spacing w:after="0"/>
        <w:rPr>
          <w:color w:val="000000" w:themeColor="text1"/>
          <w:szCs w:val="16"/>
        </w:rPr>
      </w:pPr>
      <w:r>
        <w:rPr>
          <w:color w:val="000000" w:themeColor="text1"/>
          <w:szCs w:val="16"/>
          <w:lang w:val="en-GB"/>
        </w:rPr>
        <w:t>o) the Act on Payment Services,</w:t>
      </w:r>
    </w:p>
    <w:p w14:paraId="7D7223A9" w14:textId="77777777" w:rsidR="00C3015E" w:rsidRPr="0090599C" w:rsidRDefault="00C3015E" w:rsidP="00C3015E">
      <w:pPr>
        <w:pStyle w:val="Lbjegyzetszveg"/>
        <w:spacing w:after="0"/>
        <w:rPr>
          <w:color w:val="000000" w:themeColor="text1"/>
          <w:szCs w:val="16"/>
        </w:rPr>
      </w:pPr>
      <w:r>
        <w:rPr>
          <w:color w:val="000000" w:themeColor="text1"/>
          <w:szCs w:val="16"/>
          <w:lang w:val="en-GB"/>
        </w:rPr>
        <w:t>p) the Act on Compulsory Motor Third Party Liability Insurance,</w:t>
      </w:r>
    </w:p>
    <w:p w14:paraId="1ECF09ED" w14:textId="77777777" w:rsidR="00C3015E" w:rsidRPr="0090599C" w:rsidRDefault="00C3015E" w:rsidP="00C3015E">
      <w:pPr>
        <w:pStyle w:val="Lbjegyzetszveg"/>
        <w:spacing w:after="0"/>
        <w:rPr>
          <w:color w:val="000000" w:themeColor="text1"/>
          <w:szCs w:val="16"/>
        </w:rPr>
      </w:pPr>
      <w:r>
        <w:rPr>
          <w:color w:val="000000" w:themeColor="text1"/>
          <w:szCs w:val="16"/>
          <w:lang w:val="en-GB"/>
        </w:rPr>
        <w:t>q) the Act on the Central Credit Information System,</w:t>
      </w:r>
    </w:p>
    <w:p w14:paraId="07BC8292" w14:textId="77777777" w:rsidR="00C3015E" w:rsidRPr="0090599C" w:rsidRDefault="00C3015E" w:rsidP="00C3015E">
      <w:pPr>
        <w:pStyle w:val="Lbjegyzetszveg"/>
        <w:spacing w:after="0"/>
        <w:rPr>
          <w:color w:val="000000" w:themeColor="text1"/>
          <w:szCs w:val="16"/>
        </w:rPr>
      </w:pPr>
      <w:r>
        <w:rPr>
          <w:color w:val="000000" w:themeColor="text1"/>
          <w:szCs w:val="16"/>
          <w:lang w:val="en-GB"/>
        </w:rPr>
        <w:t>r) the Act on Settlement Finality in Payment and Securities Settlement Systems, and</w:t>
      </w:r>
    </w:p>
    <w:p w14:paraId="65E9DABA" w14:textId="441D0186" w:rsidR="00C3015E" w:rsidRDefault="00C3015E" w:rsidP="00C3015E">
      <w:pPr>
        <w:pStyle w:val="Lbjegyzetszveg"/>
        <w:spacing w:after="0"/>
        <w:rPr>
          <w:color w:val="000000" w:themeColor="text1"/>
          <w:szCs w:val="16"/>
        </w:rPr>
      </w:pPr>
      <w:r>
        <w:rPr>
          <w:color w:val="000000" w:themeColor="text1"/>
          <w:szCs w:val="16"/>
          <w:lang w:val="en-GB"/>
        </w:rPr>
        <w:t>s) the Act on Payment Service Providers.</w:t>
      </w:r>
    </w:p>
    <w:p w14:paraId="27D05500" w14:textId="00CB34AF" w:rsidR="00BE67D4" w:rsidRPr="002614C5" w:rsidRDefault="00BE67D4" w:rsidP="00C3015E">
      <w:pPr>
        <w:pStyle w:val="Lbjegyzetszveg"/>
        <w:spacing w:after="0"/>
      </w:pPr>
    </w:p>
  </w:footnote>
  <w:footnote w:id="3">
    <w:p w14:paraId="720F8B5B" w14:textId="6C568AD5" w:rsidR="00A1766E" w:rsidRDefault="00A1766E" w:rsidP="00365A22">
      <w:pPr>
        <w:pStyle w:val="Lbjegyzetszveg"/>
        <w:spacing w:after="0" w:line="240" w:lineRule="auto"/>
      </w:pPr>
      <w:r>
        <w:rPr>
          <w:rStyle w:val="Lbjegyzet-hivatkozs"/>
          <w:color w:val="auto"/>
          <w:lang w:val="en-GB"/>
        </w:rPr>
        <w:footnoteRef/>
      </w:r>
      <w:r>
        <w:rPr>
          <w:lang w:val="en-GB"/>
        </w:rPr>
        <w:t xml:space="preserve"> </w:t>
      </w:r>
      <w:r>
        <w:rPr>
          <w:color w:val="auto"/>
          <w:szCs w:val="16"/>
          <w:lang w:val="en-GB"/>
        </w:rPr>
        <w:t xml:space="preserve">In accordance with Article 39 </w:t>
      </w:r>
      <w:r>
        <w:rPr>
          <w:color w:val="auto"/>
          <w:lang w:val="en-GB"/>
        </w:rPr>
        <w:t xml:space="preserve">(3) </w:t>
      </w:r>
      <w:r>
        <w:rPr>
          <w:color w:val="auto"/>
          <w:szCs w:val="16"/>
          <w:lang w:val="en-GB"/>
        </w:rPr>
        <w:t>of the MNB Act, the MNB shall – within the framework of its responsibilities set out</w:t>
      </w:r>
      <w:r>
        <w:rPr>
          <w:color w:val="auto"/>
          <w:lang w:val="en-GB"/>
        </w:rPr>
        <w:t xml:space="preserve"> in Article 4(9) of the same – perform, in respect of the service providers specified in Section 1(1)a)-e and m) of the AML Act, the supervisory tasks provided for in Act LII of 2017 on the Implementation of Financial and Proprietary Restrictive Measures ordered by the European Union and the UN Security Council, and in respect of the service providers acting within their capacity specified in point 12 of Section 3 of the Identification Tasks Act the supervisory duties defined in the Identification Tasks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26B8E" w14:textId="77777777" w:rsidR="009E3A57" w:rsidRPr="00AC6950" w:rsidRDefault="009E3A57"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42A3852"/>
    <w:multiLevelType w:val="hybridMultilevel"/>
    <w:tmpl w:val="BD90CEBE"/>
    <w:styleLink w:val="Hierarchikuslista1"/>
    <w:lvl w:ilvl="0" w:tplc="040E0017">
      <w:start w:val="1"/>
      <w:numFmt w:val="lowerLetter"/>
      <w:lvlText w:val="%1)"/>
      <w:lvlJc w:val="left"/>
      <w:pPr>
        <w:ind w:left="836" w:hanging="360"/>
      </w:pPr>
    </w:lvl>
    <w:lvl w:ilvl="1" w:tplc="040E0019">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abstractNum w:abstractNumId="4"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B677134"/>
    <w:multiLevelType w:val="hybridMultilevel"/>
    <w:tmpl w:val="7402CE92"/>
    <w:lvl w:ilvl="0" w:tplc="040E0017">
      <w:start w:val="1"/>
      <w:numFmt w:val="lowerLetter"/>
      <w:lvlText w:val="%1)"/>
      <w:lvlJc w:val="left"/>
      <w:pPr>
        <w:ind w:left="1353" w:hanging="360"/>
      </w:p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6"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7" w15:restartNumberingAfterBreak="0">
    <w:nsid w:val="2A721D9F"/>
    <w:multiLevelType w:val="multilevel"/>
    <w:tmpl w:val="55727B6C"/>
    <w:lvl w:ilvl="0">
      <w:start w:val="1"/>
      <w:numFmt w:val="decimal"/>
      <w:pStyle w:val="Cmsor1"/>
      <w:suff w:val="space"/>
      <w:lvlText w:val="%1."/>
      <w:lvlJc w:val="left"/>
      <w:pPr>
        <w:ind w:left="431" w:hanging="431"/>
      </w:pPr>
      <w:rPr>
        <w:rFonts w:hint="default"/>
      </w:rPr>
    </w:lvl>
    <w:lvl w:ilvl="1">
      <w:start w:val="1"/>
      <w:numFmt w:val="decimal"/>
      <w:pStyle w:val="Cmsor2"/>
      <w:suff w:val="space"/>
      <w:lvlText w:val="%1.%2."/>
      <w:lvlJc w:val="left"/>
      <w:pPr>
        <w:ind w:left="431" w:hanging="431"/>
      </w:pPr>
      <w:rPr>
        <w:rFonts w:hint="default"/>
      </w:rPr>
    </w:lvl>
    <w:lvl w:ilvl="2">
      <w:start w:val="1"/>
      <w:numFmt w:val="decimal"/>
      <w:pStyle w:val="Cmsor3"/>
      <w:suff w:val="space"/>
      <w:lvlText w:val="%1.%2.%3."/>
      <w:lvlJc w:val="left"/>
      <w:pPr>
        <w:ind w:left="431" w:hanging="431"/>
      </w:pPr>
      <w:rPr>
        <w:rFonts w:hint="default"/>
      </w:rPr>
    </w:lvl>
    <w:lvl w:ilvl="3">
      <w:start w:val="1"/>
      <w:numFmt w:val="decimal"/>
      <w:pStyle w:val="Cmsor4"/>
      <w:suff w:val="space"/>
      <w:lvlText w:val="%1.%2.%3.%4."/>
      <w:lvlJc w:val="left"/>
      <w:pPr>
        <w:ind w:left="431" w:hanging="431"/>
      </w:pPr>
      <w:rPr>
        <w:rFonts w:hint="default"/>
      </w:rPr>
    </w:lvl>
    <w:lvl w:ilvl="4">
      <w:start w:val="1"/>
      <w:numFmt w:val="decimal"/>
      <w:pStyle w:val="Cmsor5"/>
      <w:suff w:val="space"/>
      <w:lvlText w:val="%1.%2.%3.%4.%5."/>
      <w:lvlJc w:val="left"/>
      <w:pPr>
        <w:ind w:left="431" w:hanging="431"/>
      </w:pPr>
      <w:rPr>
        <w:rFonts w:hint="default"/>
      </w:rPr>
    </w:lvl>
    <w:lvl w:ilvl="5">
      <w:start w:val="1"/>
      <w:numFmt w:val="decimal"/>
      <w:pStyle w:val="Cmsor6"/>
      <w:suff w:val="space"/>
      <w:lvlText w:val="%1.%2.%3.%4.%5.%6."/>
      <w:lvlJc w:val="left"/>
      <w:pPr>
        <w:ind w:left="431" w:hanging="431"/>
      </w:pPr>
      <w:rPr>
        <w:rFonts w:hint="default"/>
      </w:rPr>
    </w:lvl>
    <w:lvl w:ilvl="6">
      <w:start w:val="1"/>
      <w:numFmt w:val="decimal"/>
      <w:pStyle w:val="Cmsor7"/>
      <w:lvlText w:val="%1.%2.%3.%4.%5.%6.%7."/>
      <w:lvlJc w:val="left"/>
      <w:pPr>
        <w:ind w:left="431" w:hanging="431"/>
      </w:pPr>
      <w:rPr>
        <w:rFonts w:hint="default"/>
      </w:rPr>
    </w:lvl>
    <w:lvl w:ilvl="7">
      <w:start w:val="1"/>
      <w:numFmt w:val="decimal"/>
      <w:pStyle w:val="Cmsor8"/>
      <w:lvlText w:val="%1.%2.%3.%4.%5.%6.%7.%8."/>
      <w:lvlJc w:val="left"/>
      <w:pPr>
        <w:ind w:left="431" w:hanging="431"/>
      </w:pPr>
      <w:rPr>
        <w:rFonts w:hint="default"/>
      </w:rPr>
    </w:lvl>
    <w:lvl w:ilvl="8">
      <w:start w:val="1"/>
      <w:numFmt w:val="decimal"/>
      <w:pStyle w:val="Cmsor9"/>
      <w:lvlText w:val="%1.%2.%3.%4.%5.%6.%7.%8.%9."/>
      <w:lvlJc w:val="left"/>
      <w:pPr>
        <w:ind w:left="431" w:hanging="431"/>
      </w:pPr>
      <w:rPr>
        <w:rFonts w:hint="default"/>
      </w:rPr>
    </w:lvl>
  </w:abstractNum>
  <w:abstractNum w:abstractNumId="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6C34901E">
      <w:start w:val="1"/>
      <w:numFmt w:val="bullet"/>
      <w:lvlText w:val=""/>
      <w:lvlJc w:val="left"/>
      <w:pPr>
        <w:ind w:left="2880" w:hanging="360"/>
      </w:pPr>
      <w:rPr>
        <w:rFonts w:ascii="Symbol" w:hAnsi="Symbol" w:cstheme="minorHAnsi" w:hint="default"/>
        <w:b/>
        <w:color w:val="0C2148"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AA782C4A">
      <w:start w:val="1"/>
      <w:numFmt w:val="bullet"/>
      <w:lvlText w:val=""/>
      <w:lvlJc w:val="left"/>
      <w:pPr>
        <w:ind w:left="2160" w:hanging="360"/>
      </w:pPr>
      <w:rPr>
        <w:rFonts w:ascii="Wingdings" w:hAnsi="Wingdings" w:cstheme="minorHAnsi" w:hint="default"/>
        <w:b/>
        <w:color w:val="F6A800" w:themeColor="accent5"/>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0"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0C2148" w:themeColor="text2"/>
        <w:sz w:val="24"/>
      </w:rPr>
    </w:lvl>
    <w:lvl w:ilvl="1" w:tplc="41420328">
      <w:start w:val="1"/>
      <w:numFmt w:val="bullet"/>
      <w:lvlText w:val="o"/>
      <w:lvlJc w:val="left"/>
      <w:pPr>
        <w:ind w:left="1440" w:hanging="360"/>
      </w:pPr>
      <w:rPr>
        <w:rFonts w:ascii="Courier New" w:hAnsi="Courier New" w:hint="default"/>
        <w:b/>
        <w:color w:val="0C2148" w:themeColor="text2"/>
        <w:sz w:val="24"/>
      </w:rPr>
    </w:lvl>
    <w:lvl w:ilvl="2" w:tplc="EA2C5BBE">
      <w:start w:val="1"/>
      <w:numFmt w:val="bulle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0C2148"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0C2148" w:themeColor="text2"/>
        <w:sz w:val="24"/>
      </w:rPr>
    </w:lvl>
    <w:lvl w:ilvl="1" w:tplc="1242D2E6">
      <w:start w:val="1"/>
      <w:numFmt w:val="bullet"/>
      <w:lvlText w:val="o"/>
      <w:lvlJc w:val="left"/>
      <w:pPr>
        <w:ind w:left="1440" w:hanging="360"/>
      </w:pPr>
      <w:rPr>
        <w:rFonts w:ascii="Courier New" w:hAnsi="Courier New" w:hint="default"/>
        <w:b/>
        <w:color w:val="F6A800"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0C2148" w:themeColor="text2"/>
        <w:sz w:val="24"/>
      </w:rPr>
    </w:lvl>
    <w:lvl w:ilvl="3" w:tplc="BA9A1B8A">
      <w:start w:val="1"/>
      <w:numFmt w:val="bullet"/>
      <w:lvlText w:val=""/>
      <w:lvlJc w:val="left"/>
      <w:pPr>
        <w:ind w:left="2880" w:hanging="360"/>
      </w:pPr>
      <w:rPr>
        <w:rFonts w:ascii="Symbol" w:hAnsi="Symbol" w:cstheme="minorHAnsi" w:hint="default"/>
        <w:b/>
        <w:color w:val="F6A800"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 w15:restartNumberingAfterBreak="0">
    <w:nsid w:val="7A206C90"/>
    <w:multiLevelType w:val="hybridMultilevel"/>
    <w:tmpl w:val="1AE2C44A"/>
    <w:styleLink w:val="Style11"/>
    <w:lvl w:ilvl="0" w:tplc="040E0017">
      <w:start w:val="1"/>
      <w:numFmt w:val="lowerLetter"/>
      <w:lvlText w:val="%1)"/>
      <w:lvlJc w:val="left"/>
      <w:pPr>
        <w:ind w:left="836" w:hanging="360"/>
      </w:pPr>
    </w:lvl>
    <w:lvl w:ilvl="1" w:tplc="040E0017">
      <w:start w:val="1"/>
      <w:numFmt w:val="lowerLetter"/>
      <w:lvlText w:val="%2)"/>
      <w:lvlJc w:val="left"/>
      <w:pPr>
        <w:ind w:left="1556" w:hanging="360"/>
      </w:pPr>
    </w:lvl>
    <w:lvl w:ilvl="2" w:tplc="040E001B" w:tentative="1">
      <w:start w:val="1"/>
      <w:numFmt w:val="lowerRoman"/>
      <w:lvlText w:val="%3."/>
      <w:lvlJc w:val="right"/>
      <w:pPr>
        <w:ind w:left="2276" w:hanging="180"/>
      </w:pPr>
    </w:lvl>
    <w:lvl w:ilvl="3" w:tplc="040E000F" w:tentative="1">
      <w:start w:val="1"/>
      <w:numFmt w:val="decimal"/>
      <w:lvlText w:val="%4."/>
      <w:lvlJc w:val="left"/>
      <w:pPr>
        <w:ind w:left="2996" w:hanging="360"/>
      </w:pPr>
    </w:lvl>
    <w:lvl w:ilvl="4" w:tplc="040E0019" w:tentative="1">
      <w:start w:val="1"/>
      <w:numFmt w:val="lowerLetter"/>
      <w:lvlText w:val="%5."/>
      <w:lvlJc w:val="left"/>
      <w:pPr>
        <w:ind w:left="3716" w:hanging="360"/>
      </w:pPr>
    </w:lvl>
    <w:lvl w:ilvl="5" w:tplc="040E001B" w:tentative="1">
      <w:start w:val="1"/>
      <w:numFmt w:val="lowerRoman"/>
      <w:lvlText w:val="%6."/>
      <w:lvlJc w:val="right"/>
      <w:pPr>
        <w:ind w:left="4436" w:hanging="180"/>
      </w:pPr>
    </w:lvl>
    <w:lvl w:ilvl="6" w:tplc="040E000F" w:tentative="1">
      <w:start w:val="1"/>
      <w:numFmt w:val="decimal"/>
      <w:lvlText w:val="%7."/>
      <w:lvlJc w:val="left"/>
      <w:pPr>
        <w:ind w:left="5156" w:hanging="360"/>
      </w:pPr>
    </w:lvl>
    <w:lvl w:ilvl="7" w:tplc="040E0019" w:tentative="1">
      <w:start w:val="1"/>
      <w:numFmt w:val="lowerLetter"/>
      <w:lvlText w:val="%8."/>
      <w:lvlJc w:val="left"/>
      <w:pPr>
        <w:ind w:left="5876" w:hanging="360"/>
      </w:pPr>
    </w:lvl>
    <w:lvl w:ilvl="8" w:tplc="040E001B" w:tentative="1">
      <w:start w:val="1"/>
      <w:numFmt w:val="lowerRoman"/>
      <w:lvlText w:val="%9."/>
      <w:lvlJc w:val="right"/>
      <w:pPr>
        <w:ind w:left="6596" w:hanging="180"/>
      </w:pPr>
    </w:lvl>
  </w:abstractNum>
  <w:num w:numId="1" w16cid:durableId="1977712630">
    <w:abstractNumId w:val="6"/>
  </w:num>
  <w:num w:numId="2" w16cid:durableId="646977575">
    <w:abstractNumId w:val="2"/>
  </w:num>
  <w:num w:numId="3" w16cid:durableId="1706327788">
    <w:abstractNumId w:val="0"/>
  </w:num>
  <w:num w:numId="4" w16cid:durableId="1157308762">
    <w:abstractNumId w:val="1"/>
  </w:num>
  <w:num w:numId="5" w16cid:durableId="938607478">
    <w:abstractNumId w:val="9"/>
  </w:num>
  <w:num w:numId="6" w16cid:durableId="751664666">
    <w:abstractNumId w:val="4"/>
  </w:num>
  <w:num w:numId="7" w16cid:durableId="8067309">
    <w:abstractNumId w:val="11"/>
  </w:num>
  <w:num w:numId="8" w16cid:durableId="2075201678">
    <w:abstractNumId w:val="12"/>
  </w:num>
  <w:num w:numId="9" w16cid:durableId="770399531">
    <w:abstractNumId w:val="7"/>
  </w:num>
  <w:num w:numId="10" w16cid:durableId="1480222298">
    <w:abstractNumId w:val="13"/>
  </w:num>
  <w:num w:numId="11" w16cid:durableId="40060511">
    <w:abstractNumId w:val="3"/>
  </w:num>
  <w:num w:numId="12" w16cid:durableId="1227686208">
    <w:abstractNumId w:val="5"/>
  </w:num>
  <w:num w:numId="13" w16cid:durableId="1406756573">
    <w:abstractNumId w:val="9"/>
    <w:lvlOverride w:ilvl="0">
      <w:startOverride w:val="1"/>
    </w:lvlOverride>
  </w:num>
  <w:num w:numId="14" w16cid:durableId="805776309">
    <w:abstractNumId w:val="10"/>
  </w:num>
  <w:num w:numId="15" w16cid:durableId="1570917230">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5E"/>
    <w:rsid w:val="00000A9F"/>
    <w:rsid w:val="0000120B"/>
    <w:rsid w:val="0000273C"/>
    <w:rsid w:val="000048B8"/>
    <w:rsid w:val="00017B1B"/>
    <w:rsid w:val="0002498B"/>
    <w:rsid w:val="000250E6"/>
    <w:rsid w:val="00027695"/>
    <w:rsid w:val="00027B62"/>
    <w:rsid w:val="00027FC1"/>
    <w:rsid w:val="00033357"/>
    <w:rsid w:val="00034E9D"/>
    <w:rsid w:val="00035697"/>
    <w:rsid w:val="00037DD8"/>
    <w:rsid w:val="00046FBD"/>
    <w:rsid w:val="0005577F"/>
    <w:rsid w:val="00060148"/>
    <w:rsid w:val="00063216"/>
    <w:rsid w:val="0006374F"/>
    <w:rsid w:val="00064546"/>
    <w:rsid w:val="000674BE"/>
    <w:rsid w:val="00067BE2"/>
    <w:rsid w:val="00067C0C"/>
    <w:rsid w:val="000741F9"/>
    <w:rsid w:val="000773AA"/>
    <w:rsid w:val="0008111D"/>
    <w:rsid w:val="0008131E"/>
    <w:rsid w:val="00081934"/>
    <w:rsid w:val="000831EC"/>
    <w:rsid w:val="00087E97"/>
    <w:rsid w:val="000904C4"/>
    <w:rsid w:val="000961C1"/>
    <w:rsid w:val="000A3A63"/>
    <w:rsid w:val="000A71F3"/>
    <w:rsid w:val="000B37D2"/>
    <w:rsid w:val="000B64C5"/>
    <w:rsid w:val="000C2918"/>
    <w:rsid w:val="000C3019"/>
    <w:rsid w:val="000C701E"/>
    <w:rsid w:val="000C701F"/>
    <w:rsid w:val="000D1C8B"/>
    <w:rsid w:val="000D1E44"/>
    <w:rsid w:val="000D40AE"/>
    <w:rsid w:val="000D4F61"/>
    <w:rsid w:val="000D5F26"/>
    <w:rsid w:val="000E2CBD"/>
    <w:rsid w:val="000E4EE3"/>
    <w:rsid w:val="000F005E"/>
    <w:rsid w:val="000F2858"/>
    <w:rsid w:val="000F2AE0"/>
    <w:rsid w:val="000F30B8"/>
    <w:rsid w:val="000F3BF2"/>
    <w:rsid w:val="000F68FE"/>
    <w:rsid w:val="00101654"/>
    <w:rsid w:val="0010447E"/>
    <w:rsid w:val="0010496C"/>
    <w:rsid w:val="00106D3E"/>
    <w:rsid w:val="00110868"/>
    <w:rsid w:val="00113C88"/>
    <w:rsid w:val="001255A4"/>
    <w:rsid w:val="00132260"/>
    <w:rsid w:val="00133A51"/>
    <w:rsid w:val="001356A6"/>
    <w:rsid w:val="001357D0"/>
    <w:rsid w:val="00136260"/>
    <w:rsid w:val="001421CC"/>
    <w:rsid w:val="00143691"/>
    <w:rsid w:val="00150045"/>
    <w:rsid w:val="00152DBF"/>
    <w:rsid w:val="001602D9"/>
    <w:rsid w:val="001615CD"/>
    <w:rsid w:val="00162C95"/>
    <w:rsid w:val="00166F6C"/>
    <w:rsid w:val="001747F6"/>
    <w:rsid w:val="001802DA"/>
    <w:rsid w:val="0018359E"/>
    <w:rsid w:val="0018619A"/>
    <w:rsid w:val="001870A7"/>
    <w:rsid w:val="00197350"/>
    <w:rsid w:val="001A2BAA"/>
    <w:rsid w:val="001B3486"/>
    <w:rsid w:val="001B3C77"/>
    <w:rsid w:val="001C0FAA"/>
    <w:rsid w:val="001C1A22"/>
    <w:rsid w:val="001C24F1"/>
    <w:rsid w:val="001C466F"/>
    <w:rsid w:val="001C5C33"/>
    <w:rsid w:val="001D0C03"/>
    <w:rsid w:val="001D4211"/>
    <w:rsid w:val="001D5999"/>
    <w:rsid w:val="001D59FD"/>
    <w:rsid w:val="001D60A8"/>
    <w:rsid w:val="001D7401"/>
    <w:rsid w:val="001E34FF"/>
    <w:rsid w:val="001E4231"/>
    <w:rsid w:val="001E621D"/>
    <w:rsid w:val="001F0E5D"/>
    <w:rsid w:val="001F1610"/>
    <w:rsid w:val="001F2F0D"/>
    <w:rsid w:val="001F5179"/>
    <w:rsid w:val="002012AD"/>
    <w:rsid w:val="00206642"/>
    <w:rsid w:val="00214230"/>
    <w:rsid w:val="0021484C"/>
    <w:rsid w:val="0022056B"/>
    <w:rsid w:val="0022764E"/>
    <w:rsid w:val="00240C97"/>
    <w:rsid w:val="0024525F"/>
    <w:rsid w:val="002522F1"/>
    <w:rsid w:val="002602F5"/>
    <w:rsid w:val="002611AE"/>
    <w:rsid w:val="0026180A"/>
    <w:rsid w:val="00270724"/>
    <w:rsid w:val="00271371"/>
    <w:rsid w:val="00273052"/>
    <w:rsid w:val="0027402D"/>
    <w:rsid w:val="002751D4"/>
    <w:rsid w:val="0027708E"/>
    <w:rsid w:val="002866DE"/>
    <w:rsid w:val="00287D15"/>
    <w:rsid w:val="00290D47"/>
    <w:rsid w:val="0029185C"/>
    <w:rsid w:val="00292177"/>
    <w:rsid w:val="002A3B0E"/>
    <w:rsid w:val="002B2ABE"/>
    <w:rsid w:val="002B3674"/>
    <w:rsid w:val="002B4D45"/>
    <w:rsid w:val="002B6B78"/>
    <w:rsid w:val="002B6D25"/>
    <w:rsid w:val="002B78E0"/>
    <w:rsid w:val="002C5B77"/>
    <w:rsid w:val="002C728F"/>
    <w:rsid w:val="002C7AB8"/>
    <w:rsid w:val="002C7D4D"/>
    <w:rsid w:val="002C7DD0"/>
    <w:rsid w:val="002D5E55"/>
    <w:rsid w:val="002F34ED"/>
    <w:rsid w:val="002F602F"/>
    <w:rsid w:val="00300EE3"/>
    <w:rsid w:val="00302136"/>
    <w:rsid w:val="00313246"/>
    <w:rsid w:val="00316D7C"/>
    <w:rsid w:val="0031723C"/>
    <w:rsid w:val="003231ED"/>
    <w:rsid w:val="003253D7"/>
    <w:rsid w:val="00327A74"/>
    <w:rsid w:val="003311D3"/>
    <w:rsid w:val="00331C64"/>
    <w:rsid w:val="00341BB5"/>
    <w:rsid w:val="00343614"/>
    <w:rsid w:val="0035153B"/>
    <w:rsid w:val="003524A6"/>
    <w:rsid w:val="003548F7"/>
    <w:rsid w:val="00365A22"/>
    <w:rsid w:val="003701D4"/>
    <w:rsid w:val="003704B1"/>
    <w:rsid w:val="003728FE"/>
    <w:rsid w:val="00373BD2"/>
    <w:rsid w:val="0037696F"/>
    <w:rsid w:val="00380643"/>
    <w:rsid w:val="003808E2"/>
    <w:rsid w:val="003824BF"/>
    <w:rsid w:val="003827F0"/>
    <w:rsid w:val="003862D0"/>
    <w:rsid w:val="00391B59"/>
    <w:rsid w:val="00395B14"/>
    <w:rsid w:val="00395D13"/>
    <w:rsid w:val="00397F34"/>
    <w:rsid w:val="003A178D"/>
    <w:rsid w:val="003B12B2"/>
    <w:rsid w:val="003B46BE"/>
    <w:rsid w:val="003C2F03"/>
    <w:rsid w:val="003C5699"/>
    <w:rsid w:val="003D04DD"/>
    <w:rsid w:val="003D52BC"/>
    <w:rsid w:val="003E711E"/>
    <w:rsid w:val="003F128A"/>
    <w:rsid w:val="00402E63"/>
    <w:rsid w:val="00410440"/>
    <w:rsid w:val="0041484F"/>
    <w:rsid w:val="00423D50"/>
    <w:rsid w:val="00431B1B"/>
    <w:rsid w:val="0043276D"/>
    <w:rsid w:val="004330EA"/>
    <w:rsid w:val="00434DC6"/>
    <w:rsid w:val="004413FF"/>
    <w:rsid w:val="00442ABF"/>
    <w:rsid w:val="004451FE"/>
    <w:rsid w:val="00453087"/>
    <w:rsid w:val="00455A38"/>
    <w:rsid w:val="00465939"/>
    <w:rsid w:val="0047029F"/>
    <w:rsid w:val="00471994"/>
    <w:rsid w:val="004729CE"/>
    <w:rsid w:val="00474131"/>
    <w:rsid w:val="0048183A"/>
    <w:rsid w:val="00491483"/>
    <w:rsid w:val="004919C2"/>
    <w:rsid w:val="004924CA"/>
    <w:rsid w:val="00494C89"/>
    <w:rsid w:val="004A58E3"/>
    <w:rsid w:val="004A5F09"/>
    <w:rsid w:val="004B1A68"/>
    <w:rsid w:val="004C46D7"/>
    <w:rsid w:val="004D270F"/>
    <w:rsid w:val="004D455D"/>
    <w:rsid w:val="004D7635"/>
    <w:rsid w:val="004E2BA2"/>
    <w:rsid w:val="004F1BAA"/>
    <w:rsid w:val="004F42D5"/>
    <w:rsid w:val="004F460E"/>
    <w:rsid w:val="004F5DD2"/>
    <w:rsid w:val="004F72B9"/>
    <w:rsid w:val="0050045B"/>
    <w:rsid w:val="00501172"/>
    <w:rsid w:val="00503984"/>
    <w:rsid w:val="00503A99"/>
    <w:rsid w:val="00504A60"/>
    <w:rsid w:val="0050657B"/>
    <w:rsid w:val="00513B1F"/>
    <w:rsid w:val="0051486A"/>
    <w:rsid w:val="005149CD"/>
    <w:rsid w:val="00516455"/>
    <w:rsid w:val="00517847"/>
    <w:rsid w:val="0052546E"/>
    <w:rsid w:val="0052584F"/>
    <w:rsid w:val="005312FD"/>
    <w:rsid w:val="00533F57"/>
    <w:rsid w:val="00544934"/>
    <w:rsid w:val="00557A68"/>
    <w:rsid w:val="00561175"/>
    <w:rsid w:val="00564394"/>
    <w:rsid w:val="005648EE"/>
    <w:rsid w:val="00571C3C"/>
    <w:rsid w:val="005763C5"/>
    <w:rsid w:val="0058196A"/>
    <w:rsid w:val="00581D24"/>
    <w:rsid w:val="0058459E"/>
    <w:rsid w:val="00586D4D"/>
    <w:rsid w:val="005A011E"/>
    <w:rsid w:val="005A3531"/>
    <w:rsid w:val="005A3DDE"/>
    <w:rsid w:val="005A788E"/>
    <w:rsid w:val="005B0A26"/>
    <w:rsid w:val="005C2A37"/>
    <w:rsid w:val="005C3F73"/>
    <w:rsid w:val="005C498A"/>
    <w:rsid w:val="005C5BB7"/>
    <w:rsid w:val="005D1A2C"/>
    <w:rsid w:val="005D3BEE"/>
    <w:rsid w:val="005D46DE"/>
    <w:rsid w:val="005F3818"/>
    <w:rsid w:val="005F3E3D"/>
    <w:rsid w:val="00602F0C"/>
    <w:rsid w:val="00603723"/>
    <w:rsid w:val="00610E45"/>
    <w:rsid w:val="00627BFA"/>
    <w:rsid w:val="006408B4"/>
    <w:rsid w:val="00642A07"/>
    <w:rsid w:val="00643529"/>
    <w:rsid w:val="00643CB4"/>
    <w:rsid w:val="00644BE4"/>
    <w:rsid w:val="00667E0C"/>
    <w:rsid w:val="0067570F"/>
    <w:rsid w:val="00677C82"/>
    <w:rsid w:val="00681108"/>
    <w:rsid w:val="00690C97"/>
    <w:rsid w:val="0069441B"/>
    <w:rsid w:val="006A54BA"/>
    <w:rsid w:val="006A66EB"/>
    <w:rsid w:val="006B0392"/>
    <w:rsid w:val="006B2726"/>
    <w:rsid w:val="006B4271"/>
    <w:rsid w:val="006C2C3D"/>
    <w:rsid w:val="006C4871"/>
    <w:rsid w:val="006C700F"/>
    <w:rsid w:val="006D0881"/>
    <w:rsid w:val="006D20CA"/>
    <w:rsid w:val="006D3867"/>
    <w:rsid w:val="006D7206"/>
    <w:rsid w:val="006E45F8"/>
    <w:rsid w:val="006E5F78"/>
    <w:rsid w:val="006F0376"/>
    <w:rsid w:val="006F39C8"/>
    <w:rsid w:val="006F5D02"/>
    <w:rsid w:val="006F6144"/>
    <w:rsid w:val="00702E90"/>
    <w:rsid w:val="00703E97"/>
    <w:rsid w:val="0070653D"/>
    <w:rsid w:val="00707C38"/>
    <w:rsid w:val="007236B8"/>
    <w:rsid w:val="0072398E"/>
    <w:rsid w:val="00732D87"/>
    <w:rsid w:val="00737016"/>
    <w:rsid w:val="00737660"/>
    <w:rsid w:val="007376E0"/>
    <w:rsid w:val="00744A1F"/>
    <w:rsid w:val="007454E3"/>
    <w:rsid w:val="00746D82"/>
    <w:rsid w:val="007474DD"/>
    <w:rsid w:val="00754A11"/>
    <w:rsid w:val="0076129E"/>
    <w:rsid w:val="00767D3F"/>
    <w:rsid w:val="00774306"/>
    <w:rsid w:val="007775B7"/>
    <w:rsid w:val="00782B80"/>
    <w:rsid w:val="00786EF4"/>
    <w:rsid w:val="0078795C"/>
    <w:rsid w:val="00791092"/>
    <w:rsid w:val="007913EE"/>
    <w:rsid w:val="00792C7B"/>
    <w:rsid w:val="007A2BE7"/>
    <w:rsid w:val="007B1174"/>
    <w:rsid w:val="007B39B9"/>
    <w:rsid w:val="007B7FC8"/>
    <w:rsid w:val="007C3918"/>
    <w:rsid w:val="007D67A3"/>
    <w:rsid w:val="007D7E92"/>
    <w:rsid w:val="007E0286"/>
    <w:rsid w:val="007F00B8"/>
    <w:rsid w:val="007F197C"/>
    <w:rsid w:val="007F1D57"/>
    <w:rsid w:val="007F33F5"/>
    <w:rsid w:val="007F7E59"/>
    <w:rsid w:val="00823B7E"/>
    <w:rsid w:val="00823FBB"/>
    <w:rsid w:val="008258FB"/>
    <w:rsid w:val="0083252A"/>
    <w:rsid w:val="008349B3"/>
    <w:rsid w:val="0083670C"/>
    <w:rsid w:val="008370C0"/>
    <w:rsid w:val="00840065"/>
    <w:rsid w:val="00844283"/>
    <w:rsid w:val="008443DB"/>
    <w:rsid w:val="0084582F"/>
    <w:rsid w:val="00847C0A"/>
    <w:rsid w:val="008512C4"/>
    <w:rsid w:val="008528A0"/>
    <w:rsid w:val="00857F9B"/>
    <w:rsid w:val="00860131"/>
    <w:rsid w:val="00860860"/>
    <w:rsid w:val="00864147"/>
    <w:rsid w:val="00864468"/>
    <w:rsid w:val="00866547"/>
    <w:rsid w:val="00866E71"/>
    <w:rsid w:val="008935BD"/>
    <w:rsid w:val="008936DF"/>
    <w:rsid w:val="008A1C40"/>
    <w:rsid w:val="008A6B91"/>
    <w:rsid w:val="008B61E3"/>
    <w:rsid w:val="008C474C"/>
    <w:rsid w:val="008C56D8"/>
    <w:rsid w:val="008D343F"/>
    <w:rsid w:val="008D6221"/>
    <w:rsid w:val="008E26F2"/>
    <w:rsid w:val="008E3579"/>
    <w:rsid w:val="008F2439"/>
    <w:rsid w:val="00903AC3"/>
    <w:rsid w:val="0090599C"/>
    <w:rsid w:val="009228DF"/>
    <w:rsid w:val="00923EC1"/>
    <w:rsid w:val="00925712"/>
    <w:rsid w:val="00926715"/>
    <w:rsid w:val="00926EA9"/>
    <w:rsid w:val="00930F98"/>
    <w:rsid w:val="00933E50"/>
    <w:rsid w:val="00934193"/>
    <w:rsid w:val="00934F6E"/>
    <w:rsid w:val="00937A0B"/>
    <w:rsid w:val="0094233D"/>
    <w:rsid w:val="00950ACA"/>
    <w:rsid w:val="00957F22"/>
    <w:rsid w:val="00961F15"/>
    <w:rsid w:val="00962FE4"/>
    <w:rsid w:val="009665AC"/>
    <w:rsid w:val="00967F4C"/>
    <w:rsid w:val="00976D99"/>
    <w:rsid w:val="00990B18"/>
    <w:rsid w:val="009A4F0C"/>
    <w:rsid w:val="009B2208"/>
    <w:rsid w:val="009B7F1B"/>
    <w:rsid w:val="009C09A6"/>
    <w:rsid w:val="009C6632"/>
    <w:rsid w:val="009D0800"/>
    <w:rsid w:val="009D1272"/>
    <w:rsid w:val="009D2629"/>
    <w:rsid w:val="009D3B3D"/>
    <w:rsid w:val="009D4156"/>
    <w:rsid w:val="009D6EDA"/>
    <w:rsid w:val="009E3A57"/>
    <w:rsid w:val="009E4444"/>
    <w:rsid w:val="009E7AC9"/>
    <w:rsid w:val="009F413A"/>
    <w:rsid w:val="00A00F2A"/>
    <w:rsid w:val="00A03212"/>
    <w:rsid w:val="00A16867"/>
    <w:rsid w:val="00A1766E"/>
    <w:rsid w:val="00A17909"/>
    <w:rsid w:val="00A2173F"/>
    <w:rsid w:val="00A244C7"/>
    <w:rsid w:val="00A26654"/>
    <w:rsid w:val="00A26ED3"/>
    <w:rsid w:val="00A3105B"/>
    <w:rsid w:val="00A34F95"/>
    <w:rsid w:val="00A35C67"/>
    <w:rsid w:val="00A44C60"/>
    <w:rsid w:val="00A5096A"/>
    <w:rsid w:val="00A52CD7"/>
    <w:rsid w:val="00A56BCD"/>
    <w:rsid w:val="00A57D44"/>
    <w:rsid w:val="00A60012"/>
    <w:rsid w:val="00A74805"/>
    <w:rsid w:val="00A77604"/>
    <w:rsid w:val="00A800A3"/>
    <w:rsid w:val="00A8495F"/>
    <w:rsid w:val="00A917E0"/>
    <w:rsid w:val="00A94C01"/>
    <w:rsid w:val="00AA7D28"/>
    <w:rsid w:val="00AB3E83"/>
    <w:rsid w:val="00AB5B26"/>
    <w:rsid w:val="00AB7DBF"/>
    <w:rsid w:val="00AC6950"/>
    <w:rsid w:val="00AD0ED2"/>
    <w:rsid w:val="00AE3CD1"/>
    <w:rsid w:val="00AE41D5"/>
    <w:rsid w:val="00AE4D73"/>
    <w:rsid w:val="00AF1C92"/>
    <w:rsid w:val="00AF48FF"/>
    <w:rsid w:val="00AF7B9B"/>
    <w:rsid w:val="00B06F8B"/>
    <w:rsid w:val="00B15880"/>
    <w:rsid w:val="00B1673D"/>
    <w:rsid w:val="00B250ED"/>
    <w:rsid w:val="00B25C26"/>
    <w:rsid w:val="00B261BA"/>
    <w:rsid w:val="00B3064A"/>
    <w:rsid w:val="00B3473A"/>
    <w:rsid w:val="00B36061"/>
    <w:rsid w:val="00B36A9C"/>
    <w:rsid w:val="00B37787"/>
    <w:rsid w:val="00B4230E"/>
    <w:rsid w:val="00B4506F"/>
    <w:rsid w:val="00B45D0C"/>
    <w:rsid w:val="00B46F92"/>
    <w:rsid w:val="00B4727E"/>
    <w:rsid w:val="00B51E64"/>
    <w:rsid w:val="00B52948"/>
    <w:rsid w:val="00B53C3B"/>
    <w:rsid w:val="00B54E70"/>
    <w:rsid w:val="00B55827"/>
    <w:rsid w:val="00B56865"/>
    <w:rsid w:val="00B602C9"/>
    <w:rsid w:val="00B62845"/>
    <w:rsid w:val="00B64835"/>
    <w:rsid w:val="00B66A7E"/>
    <w:rsid w:val="00B702D5"/>
    <w:rsid w:val="00B723C6"/>
    <w:rsid w:val="00B800CB"/>
    <w:rsid w:val="00B8074B"/>
    <w:rsid w:val="00B8101A"/>
    <w:rsid w:val="00B861AB"/>
    <w:rsid w:val="00B944EB"/>
    <w:rsid w:val="00BA2314"/>
    <w:rsid w:val="00BA2A45"/>
    <w:rsid w:val="00BB27C2"/>
    <w:rsid w:val="00BB5B14"/>
    <w:rsid w:val="00BB7D50"/>
    <w:rsid w:val="00BC689E"/>
    <w:rsid w:val="00BD0575"/>
    <w:rsid w:val="00BD12AC"/>
    <w:rsid w:val="00BD29BB"/>
    <w:rsid w:val="00BD75B8"/>
    <w:rsid w:val="00BE125E"/>
    <w:rsid w:val="00BE5440"/>
    <w:rsid w:val="00BE5843"/>
    <w:rsid w:val="00BE67D4"/>
    <w:rsid w:val="00BF0359"/>
    <w:rsid w:val="00BF3AF0"/>
    <w:rsid w:val="00C01E8F"/>
    <w:rsid w:val="00C0501F"/>
    <w:rsid w:val="00C06F2F"/>
    <w:rsid w:val="00C07885"/>
    <w:rsid w:val="00C136F8"/>
    <w:rsid w:val="00C146F6"/>
    <w:rsid w:val="00C1563C"/>
    <w:rsid w:val="00C17469"/>
    <w:rsid w:val="00C20799"/>
    <w:rsid w:val="00C22FB8"/>
    <w:rsid w:val="00C3015E"/>
    <w:rsid w:val="00C31F64"/>
    <w:rsid w:val="00C33EC4"/>
    <w:rsid w:val="00C43AC5"/>
    <w:rsid w:val="00C522BD"/>
    <w:rsid w:val="00C52D36"/>
    <w:rsid w:val="00C56752"/>
    <w:rsid w:val="00C63A61"/>
    <w:rsid w:val="00C63F2A"/>
    <w:rsid w:val="00C64F11"/>
    <w:rsid w:val="00C703EF"/>
    <w:rsid w:val="00C72FB8"/>
    <w:rsid w:val="00C75144"/>
    <w:rsid w:val="00C8130C"/>
    <w:rsid w:val="00C835CC"/>
    <w:rsid w:val="00C907C0"/>
    <w:rsid w:val="00C93837"/>
    <w:rsid w:val="00CA2C17"/>
    <w:rsid w:val="00CA398B"/>
    <w:rsid w:val="00CA4E41"/>
    <w:rsid w:val="00CA4FF4"/>
    <w:rsid w:val="00CA53B4"/>
    <w:rsid w:val="00CC4CB1"/>
    <w:rsid w:val="00CD36BC"/>
    <w:rsid w:val="00CD4B22"/>
    <w:rsid w:val="00CD6E8D"/>
    <w:rsid w:val="00CD724F"/>
    <w:rsid w:val="00CE188C"/>
    <w:rsid w:val="00CF148C"/>
    <w:rsid w:val="00D00D53"/>
    <w:rsid w:val="00D02170"/>
    <w:rsid w:val="00D03058"/>
    <w:rsid w:val="00D0775C"/>
    <w:rsid w:val="00D11D8B"/>
    <w:rsid w:val="00D144FA"/>
    <w:rsid w:val="00D21043"/>
    <w:rsid w:val="00D24380"/>
    <w:rsid w:val="00D265EF"/>
    <w:rsid w:val="00D2761D"/>
    <w:rsid w:val="00D32A9F"/>
    <w:rsid w:val="00D463F1"/>
    <w:rsid w:val="00D521FD"/>
    <w:rsid w:val="00D524BB"/>
    <w:rsid w:val="00D531F1"/>
    <w:rsid w:val="00D532A4"/>
    <w:rsid w:val="00D561C8"/>
    <w:rsid w:val="00D57CCE"/>
    <w:rsid w:val="00D65E8E"/>
    <w:rsid w:val="00D6703D"/>
    <w:rsid w:val="00D717DA"/>
    <w:rsid w:val="00D7659E"/>
    <w:rsid w:val="00D815CF"/>
    <w:rsid w:val="00D84BA5"/>
    <w:rsid w:val="00D946B0"/>
    <w:rsid w:val="00DA2679"/>
    <w:rsid w:val="00DA3039"/>
    <w:rsid w:val="00DA3ACC"/>
    <w:rsid w:val="00DA6B88"/>
    <w:rsid w:val="00DA73B6"/>
    <w:rsid w:val="00DB127D"/>
    <w:rsid w:val="00DB41F1"/>
    <w:rsid w:val="00DC5912"/>
    <w:rsid w:val="00DD62AD"/>
    <w:rsid w:val="00DD7153"/>
    <w:rsid w:val="00DF4F58"/>
    <w:rsid w:val="00DF78ED"/>
    <w:rsid w:val="00E010B5"/>
    <w:rsid w:val="00E11F2F"/>
    <w:rsid w:val="00E13A3A"/>
    <w:rsid w:val="00E14CD2"/>
    <w:rsid w:val="00E301AE"/>
    <w:rsid w:val="00E315BC"/>
    <w:rsid w:val="00E33610"/>
    <w:rsid w:val="00E35139"/>
    <w:rsid w:val="00E44555"/>
    <w:rsid w:val="00E4526A"/>
    <w:rsid w:val="00E50608"/>
    <w:rsid w:val="00E5165B"/>
    <w:rsid w:val="00E52ABA"/>
    <w:rsid w:val="00E5314F"/>
    <w:rsid w:val="00E533BA"/>
    <w:rsid w:val="00E63E2A"/>
    <w:rsid w:val="00E653E3"/>
    <w:rsid w:val="00E66AEE"/>
    <w:rsid w:val="00E70FF5"/>
    <w:rsid w:val="00E736A7"/>
    <w:rsid w:val="00E871E8"/>
    <w:rsid w:val="00E87C26"/>
    <w:rsid w:val="00EA2361"/>
    <w:rsid w:val="00EB11D4"/>
    <w:rsid w:val="00EB2886"/>
    <w:rsid w:val="00EB398E"/>
    <w:rsid w:val="00EC4096"/>
    <w:rsid w:val="00EC429C"/>
    <w:rsid w:val="00EC6A51"/>
    <w:rsid w:val="00EC79E7"/>
    <w:rsid w:val="00ED0199"/>
    <w:rsid w:val="00ED05AC"/>
    <w:rsid w:val="00ED10E2"/>
    <w:rsid w:val="00ED7D65"/>
    <w:rsid w:val="00EE4050"/>
    <w:rsid w:val="00EE4149"/>
    <w:rsid w:val="00F04867"/>
    <w:rsid w:val="00F04E3E"/>
    <w:rsid w:val="00F10771"/>
    <w:rsid w:val="00F132A2"/>
    <w:rsid w:val="00F205E5"/>
    <w:rsid w:val="00F25B8C"/>
    <w:rsid w:val="00F45825"/>
    <w:rsid w:val="00F46FB8"/>
    <w:rsid w:val="00F512A3"/>
    <w:rsid w:val="00F51AB4"/>
    <w:rsid w:val="00F523A8"/>
    <w:rsid w:val="00F54723"/>
    <w:rsid w:val="00F57359"/>
    <w:rsid w:val="00F57AF5"/>
    <w:rsid w:val="00F60A86"/>
    <w:rsid w:val="00F62B87"/>
    <w:rsid w:val="00F65208"/>
    <w:rsid w:val="00F67BE6"/>
    <w:rsid w:val="00F702E1"/>
    <w:rsid w:val="00F836DF"/>
    <w:rsid w:val="00F83726"/>
    <w:rsid w:val="00F8481F"/>
    <w:rsid w:val="00F86B33"/>
    <w:rsid w:val="00F91C17"/>
    <w:rsid w:val="00F949B1"/>
    <w:rsid w:val="00F958EE"/>
    <w:rsid w:val="00F96EEB"/>
    <w:rsid w:val="00F96F8A"/>
    <w:rsid w:val="00F9761F"/>
    <w:rsid w:val="00FA102C"/>
    <w:rsid w:val="00FB3124"/>
    <w:rsid w:val="00FB32EE"/>
    <w:rsid w:val="00FC5616"/>
    <w:rsid w:val="00FD328C"/>
    <w:rsid w:val="00FD7299"/>
    <w:rsid w:val="00FE2094"/>
    <w:rsid w:val="00FE2F8E"/>
    <w:rsid w:val="00FE764B"/>
    <w:rsid w:val="00FF0A29"/>
    <w:rsid w:val="00FF0B70"/>
  </w:rsids>
  <m:mathPr>
    <m:mathFont m:val="Cambria Math"/>
    <m:brkBin m:val="before"/>
    <m:brkBinSub m:val="--"/>
    <m:smallFrac m:val="0"/>
    <m:dispDef/>
    <m:lMargin m:val="0"/>
    <m:rMargin m:val="0"/>
    <m:defJc m:val="centerGroup"/>
    <m:wrapIndent m:val="1440"/>
    <m:intLim m:val="subSup"/>
    <m:naryLim m:val="undOvr"/>
  </m:mathPr>
  <w:themeFontLang w:val="hu-H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7875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8111D"/>
    <w:pPr>
      <w:spacing w:after="150" w:line="276" w:lineRule="auto"/>
      <w:jc w:val="both"/>
    </w:pPr>
  </w:style>
  <w:style w:type="paragraph" w:styleId="Cmsor1">
    <w:name w:val="heading 1"/>
    <w:basedOn w:val="Norml"/>
    <w:next w:val="Norml"/>
    <w:link w:val="Cmsor1Char"/>
    <w:qFormat/>
    <w:rsid w:val="0008111D"/>
    <w:pPr>
      <w:keepNext/>
      <w:keepLines/>
      <w:numPr>
        <w:numId w:val="9"/>
      </w:numPr>
      <w:spacing w:before="480" w:after="210"/>
      <w:jc w:val="left"/>
      <w:outlineLvl w:val="0"/>
    </w:pPr>
    <w:rPr>
      <w:rFonts w:eastAsiaTheme="majorEastAsia" w:cstheme="majorBidi"/>
      <w:b/>
      <w:bCs/>
      <w:caps/>
      <w:color w:val="0C2148" w:themeColor="text2"/>
      <w:sz w:val="24"/>
      <w:szCs w:val="42"/>
    </w:rPr>
  </w:style>
  <w:style w:type="paragraph" w:styleId="Cmsor2">
    <w:name w:val="heading 2"/>
    <w:basedOn w:val="Norml"/>
    <w:next w:val="Norml"/>
    <w:link w:val="Cmsor2Char"/>
    <w:unhideWhenUsed/>
    <w:qFormat/>
    <w:rsid w:val="0008111D"/>
    <w:pPr>
      <w:numPr>
        <w:ilvl w:val="1"/>
        <w:numId w:val="9"/>
      </w:numPr>
      <w:spacing w:before="210" w:after="75"/>
      <w:jc w:val="left"/>
      <w:outlineLvl w:val="1"/>
    </w:pPr>
    <w:rPr>
      <w:b/>
      <w:color w:val="0C2148" w:themeColor="text2"/>
      <w:sz w:val="24"/>
      <w:szCs w:val="38"/>
    </w:rPr>
  </w:style>
  <w:style w:type="paragraph" w:styleId="Cmsor3">
    <w:name w:val="heading 3"/>
    <w:basedOn w:val="Norml"/>
    <w:next w:val="Norml"/>
    <w:link w:val="Cmsor3Char"/>
    <w:unhideWhenUsed/>
    <w:qFormat/>
    <w:rsid w:val="0008111D"/>
    <w:pPr>
      <w:numPr>
        <w:ilvl w:val="2"/>
        <w:numId w:val="9"/>
      </w:numPr>
      <w:spacing w:before="75" w:after="75"/>
      <w:jc w:val="left"/>
      <w:outlineLvl w:val="2"/>
    </w:pPr>
    <w:rPr>
      <w:bCs/>
      <w:color w:val="0C2148" w:themeColor="text2"/>
      <w:szCs w:val="34"/>
    </w:rPr>
  </w:style>
  <w:style w:type="paragraph" w:styleId="Cmsor4">
    <w:name w:val="heading 4"/>
    <w:basedOn w:val="Norml"/>
    <w:next w:val="Norml"/>
    <w:link w:val="Cmsor4Char"/>
    <w:unhideWhenUsed/>
    <w:qFormat/>
    <w:rsid w:val="0008111D"/>
    <w:pPr>
      <w:numPr>
        <w:ilvl w:val="3"/>
        <w:numId w:val="9"/>
      </w:numPr>
      <w:spacing w:before="75" w:after="75"/>
      <w:jc w:val="left"/>
      <w:outlineLvl w:val="3"/>
    </w:pPr>
    <w:rPr>
      <w:iCs/>
      <w:color w:val="0C2148" w:themeColor="text2"/>
      <w:szCs w:val="30"/>
    </w:rPr>
  </w:style>
  <w:style w:type="paragraph" w:styleId="Cmsor5">
    <w:name w:val="heading 5"/>
    <w:basedOn w:val="Norml"/>
    <w:next w:val="Norml"/>
    <w:link w:val="Cmsor5Char"/>
    <w:unhideWhenUsed/>
    <w:qFormat/>
    <w:rsid w:val="0008111D"/>
    <w:pPr>
      <w:numPr>
        <w:ilvl w:val="4"/>
        <w:numId w:val="9"/>
      </w:numPr>
      <w:spacing w:before="75" w:after="75"/>
      <w:jc w:val="left"/>
      <w:outlineLvl w:val="4"/>
    </w:pPr>
    <w:rPr>
      <w:color w:val="0C2148" w:themeColor="text2"/>
      <w:szCs w:val="26"/>
    </w:rPr>
  </w:style>
  <w:style w:type="paragraph" w:styleId="Cmsor6">
    <w:name w:val="heading 6"/>
    <w:basedOn w:val="Norml"/>
    <w:next w:val="Norml"/>
    <w:link w:val="Cmsor6Char"/>
    <w:unhideWhenUsed/>
    <w:qFormat/>
    <w:rsid w:val="0008111D"/>
    <w:pPr>
      <w:numPr>
        <w:ilvl w:val="5"/>
        <w:numId w:val="9"/>
      </w:numPr>
      <w:spacing w:before="75" w:after="75"/>
      <w:jc w:val="left"/>
      <w:outlineLvl w:val="5"/>
    </w:pPr>
    <w:rPr>
      <w:color w:val="0C2148" w:themeColor="text2"/>
    </w:rPr>
  </w:style>
  <w:style w:type="paragraph" w:styleId="Cmsor7">
    <w:name w:val="heading 7"/>
    <w:basedOn w:val="Norml"/>
    <w:next w:val="Norml"/>
    <w:link w:val="Cmsor7Char"/>
    <w:uiPriority w:val="9"/>
    <w:semiHidden/>
    <w:unhideWhenUsed/>
    <w:qFormat/>
    <w:rsid w:val="0008111D"/>
    <w:pPr>
      <w:keepNext/>
      <w:keepLines/>
      <w:numPr>
        <w:ilvl w:val="6"/>
        <w:numId w:val="9"/>
      </w:numPr>
      <w:spacing w:before="200"/>
      <w:outlineLvl w:val="6"/>
    </w:pPr>
    <w:rPr>
      <w:rFonts w:eastAsiaTheme="majorEastAsia" w:cstheme="majorBidi"/>
      <w:i/>
      <w:iCs/>
      <w:color w:val="404040" w:themeColor="text1" w:themeTint="BF"/>
    </w:rPr>
  </w:style>
  <w:style w:type="paragraph" w:styleId="Cmsor8">
    <w:name w:val="heading 8"/>
    <w:basedOn w:val="Norml"/>
    <w:next w:val="Norml"/>
    <w:link w:val="Cmsor8Char"/>
    <w:uiPriority w:val="9"/>
    <w:semiHidden/>
    <w:unhideWhenUsed/>
    <w:qFormat/>
    <w:rsid w:val="0008111D"/>
    <w:pPr>
      <w:keepNext/>
      <w:keepLines/>
      <w:numPr>
        <w:ilvl w:val="7"/>
        <w:numId w:val="9"/>
      </w:numPr>
      <w:spacing w:before="200"/>
      <w:outlineLvl w:val="7"/>
    </w:pPr>
    <w:rPr>
      <w:rFonts w:eastAsiaTheme="majorEastAsia" w:cstheme="majorBidi"/>
      <w:color w:val="404040" w:themeColor="text1" w:themeTint="BF"/>
    </w:rPr>
  </w:style>
  <w:style w:type="paragraph" w:styleId="Cmsor9">
    <w:name w:val="heading 9"/>
    <w:basedOn w:val="Norml"/>
    <w:next w:val="Norml"/>
    <w:link w:val="Cmsor9Char"/>
    <w:uiPriority w:val="9"/>
    <w:semiHidden/>
    <w:unhideWhenUsed/>
    <w:qFormat/>
    <w:rsid w:val="0008111D"/>
    <w:pPr>
      <w:keepNext/>
      <w:keepLines/>
      <w:numPr>
        <w:ilvl w:val="8"/>
        <w:numId w:val="9"/>
      </w:numPr>
      <w:spacing w:before="200"/>
      <w:outlineLvl w:val="8"/>
    </w:pPr>
    <w:rPr>
      <w:rFonts w:eastAsiaTheme="majorEastAsia" w:cstheme="majorBidi"/>
      <w:i/>
      <w:iCs/>
      <w:color w:val="404040" w:themeColor="text1" w:themeTint="BF"/>
    </w:rPr>
  </w:style>
  <w:style w:type="character" w:default="1" w:styleId="Bekezdsalapbettpusa">
    <w:name w:val="Default Paragraph Font"/>
    <w:uiPriority w:val="1"/>
    <w:semiHidden/>
    <w:unhideWhenUsed/>
    <w:rsid w:val="0008111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rsid w:val="0008111D"/>
  </w:style>
  <w:style w:type="table" w:customStyle="1" w:styleId="tblzat-mtrix">
    <w:name w:val="táblázat - mátrix"/>
    <w:basedOn w:val="Normltblzat"/>
    <w:uiPriority w:val="2"/>
    <w:qFormat/>
    <w:rsid w:val="0008111D"/>
    <w:pPr>
      <w:contextualSpacing/>
    </w:pPr>
    <w:rPr>
      <w:rFonts w:asciiTheme="majorHAnsi" w:eastAsia="Calibri" w:hAnsiTheme="majorHAnsi"/>
    </w:rPr>
    <w:tblPr>
      <w:tblStyleRowBandSize w:val="1"/>
      <w:tblStyleColBandSize w:val="1"/>
      <w:tblBorders>
        <w:top w:val="single" w:sz="2" w:space="0" w:color="F6A800" w:themeColor="accent5"/>
        <w:left w:val="single" w:sz="2" w:space="0" w:color="F6A800" w:themeColor="accent5"/>
        <w:bottom w:val="single" w:sz="2" w:space="0" w:color="F6A800" w:themeColor="accent5"/>
        <w:right w:val="single" w:sz="2" w:space="0" w:color="F6A800" w:themeColor="accent5"/>
        <w:insideH w:val="single" w:sz="2" w:space="0" w:color="F6A800" w:themeColor="accent5"/>
        <w:insideV w:val="single" w:sz="2" w:space="0" w:color="F6A800"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E7E6E6" w:themeFill="background2"/>
      </w:tcPr>
    </w:tblStylePr>
    <w:tblStylePr w:type="firstCol">
      <w:pPr>
        <w:jc w:val="left"/>
      </w:pPr>
      <w:rPr>
        <w:rFonts w:asciiTheme="majorHAnsi" w:hAnsiTheme="majorHAnsi"/>
        <w:sz w:val="20"/>
      </w:rPr>
      <w:tblPr/>
      <w:tcPr>
        <w:shd w:val="clear" w:color="auto" w:fill="E7E6E6" w:themeFill="background2"/>
      </w:tcPr>
    </w:tblStylePr>
  </w:style>
  <w:style w:type="table" w:customStyle="1" w:styleId="tblzat-fejlces">
    <w:name w:val="táblázat - fejléces"/>
    <w:basedOn w:val="Normltblzat"/>
    <w:uiPriority w:val="1"/>
    <w:qFormat/>
    <w:rsid w:val="0008111D"/>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E7E6E6" w:themeFill="background2"/>
      </w:tcPr>
    </w:tblStylePr>
    <w:tblStylePr w:type="firstCol">
      <w:rPr>
        <w:rFonts w:asciiTheme="majorHAnsi" w:hAnsiTheme="majorHAnsi"/>
        <w:sz w:val="20"/>
      </w:rPr>
    </w:tblStylePr>
  </w:style>
  <w:style w:type="paragraph" w:styleId="Listaszerbekezds">
    <w:name w:val="List Paragraph"/>
    <w:basedOn w:val="Norml"/>
    <w:link w:val="ListaszerbekezdsChar"/>
    <w:uiPriority w:val="4"/>
    <w:qFormat/>
    <w:rsid w:val="0008111D"/>
    <w:pPr>
      <w:numPr>
        <w:numId w:val="13"/>
      </w:numPr>
      <w:contextualSpacing/>
    </w:pPr>
  </w:style>
  <w:style w:type="character" w:styleId="Hiperhivatkozs">
    <w:name w:val="Hyperlink"/>
    <w:basedOn w:val="Vgjegyzet-hivatkozs"/>
    <w:uiPriority w:val="99"/>
    <w:rsid w:val="0008111D"/>
    <w:rPr>
      <w:rFonts w:ascii="Calibri" w:hAnsi="Calibri"/>
      <w:color w:val="0000FF"/>
      <w:sz w:val="20"/>
      <w:u w:val="single"/>
      <w:vertAlign w:val="superscript"/>
    </w:rPr>
  </w:style>
  <w:style w:type="table" w:customStyle="1" w:styleId="tblzat-oldallces">
    <w:name w:val="táblázat - oldalléces"/>
    <w:basedOn w:val="Normltblzat"/>
    <w:uiPriority w:val="3"/>
    <w:qFormat/>
    <w:rsid w:val="0008111D"/>
    <w:pPr>
      <w:contextualSpacing/>
    </w:pPr>
    <w:rPr>
      <w:rFonts w:asciiTheme="majorHAnsi" w:eastAsia="Calibri" w:hAnsiTheme="majorHAnsi"/>
    </w:rPr>
    <w:tblPr>
      <w:tblStyleRowBandSize w:val="1"/>
      <w:tblStyleColBandSize w:val="1"/>
      <w:tblBorders>
        <w:top w:val="single" w:sz="4" w:space="0" w:color="F6A800" w:themeColor="accent5"/>
        <w:left w:val="single" w:sz="4" w:space="0" w:color="F6A800" w:themeColor="accent5"/>
        <w:bottom w:val="single" w:sz="4" w:space="0" w:color="F6A800" w:themeColor="accent5"/>
        <w:right w:val="single" w:sz="4" w:space="0" w:color="F6A800" w:themeColor="accent5"/>
        <w:insideH w:val="single" w:sz="4" w:space="0" w:color="F6A800" w:themeColor="accent5"/>
        <w:insideV w:val="single" w:sz="4" w:space="0" w:color="F6A800"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E7E6E6" w:themeFill="background2"/>
      </w:tcPr>
    </w:tblStylePr>
  </w:style>
  <w:style w:type="character" w:styleId="Vgjegyzet-hivatkozs">
    <w:name w:val="endnote reference"/>
    <w:basedOn w:val="Bekezdsalapbettpusa"/>
    <w:semiHidden/>
    <w:rsid w:val="0008111D"/>
    <w:rPr>
      <w:vertAlign w:val="superscript"/>
    </w:rPr>
  </w:style>
  <w:style w:type="paragraph" w:styleId="Buborkszveg">
    <w:name w:val="Balloon Text"/>
    <w:basedOn w:val="Norml"/>
    <w:link w:val="BuborkszvegChar"/>
    <w:uiPriority w:val="99"/>
    <w:semiHidden/>
    <w:unhideWhenUsed/>
    <w:rsid w:val="0008111D"/>
    <w:rPr>
      <w:rFonts w:ascii="Tahoma" w:hAnsi="Tahoma" w:cs="Tahoma"/>
      <w:sz w:val="16"/>
      <w:szCs w:val="16"/>
    </w:rPr>
  </w:style>
  <w:style w:type="paragraph" w:customStyle="1" w:styleId="Magyarzszveg">
    <w:name w:val="Magyarázó szöveg"/>
    <w:basedOn w:val="Norml"/>
    <w:next w:val="Norml"/>
    <w:uiPriority w:val="7"/>
    <w:rsid w:val="0008111D"/>
    <w:rPr>
      <w:color w:val="F6A800" w:themeColor="accent5"/>
      <w:sz w:val="18"/>
    </w:rPr>
  </w:style>
  <w:style w:type="character" w:customStyle="1" w:styleId="BuborkszvegChar">
    <w:name w:val="Buborékszöveg Char"/>
    <w:basedOn w:val="Bekezdsalapbettpusa"/>
    <w:link w:val="Buborkszveg"/>
    <w:uiPriority w:val="99"/>
    <w:semiHidden/>
    <w:rsid w:val="0008111D"/>
    <w:rPr>
      <w:rFonts w:ascii="Tahoma" w:hAnsi="Tahoma" w:cs="Tahoma"/>
      <w:sz w:val="16"/>
      <w:szCs w:val="16"/>
    </w:rPr>
  </w:style>
  <w:style w:type="paragraph" w:styleId="lfej">
    <w:name w:val="header"/>
    <w:basedOn w:val="Norml"/>
    <w:link w:val="lfejChar"/>
    <w:uiPriority w:val="99"/>
    <w:unhideWhenUsed/>
    <w:rsid w:val="0008111D"/>
    <w:pPr>
      <w:tabs>
        <w:tab w:val="center" w:pos="4536"/>
        <w:tab w:val="right" w:pos="9072"/>
      </w:tabs>
    </w:pPr>
  </w:style>
  <w:style w:type="character" w:customStyle="1" w:styleId="lfejChar">
    <w:name w:val="Élőfej Char"/>
    <w:basedOn w:val="Bekezdsalapbettpusa"/>
    <w:link w:val="lfej"/>
    <w:uiPriority w:val="99"/>
    <w:rsid w:val="0008111D"/>
  </w:style>
  <w:style w:type="paragraph" w:styleId="llb">
    <w:name w:val="footer"/>
    <w:basedOn w:val="Norml"/>
    <w:link w:val="llbChar"/>
    <w:uiPriority w:val="99"/>
    <w:unhideWhenUsed/>
    <w:rsid w:val="0008111D"/>
    <w:pPr>
      <w:tabs>
        <w:tab w:val="center" w:pos="4536"/>
        <w:tab w:val="right" w:pos="9072"/>
      </w:tabs>
    </w:pPr>
  </w:style>
  <w:style w:type="character" w:customStyle="1" w:styleId="llbChar">
    <w:name w:val="Élőláb Char"/>
    <w:basedOn w:val="Bekezdsalapbettpusa"/>
    <w:link w:val="llb"/>
    <w:uiPriority w:val="99"/>
    <w:rsid w:val="0008111D"/>
  </w:style>
  <w:style w:type="paragraph" w:customStyle="1" w:styleId="Szmozs">
    <w:name w:val="Számozás"/>
    <w:basedOn w:val="Norml"/>
    <w:uiPriority w:val="4"/>
    <w:qFormat/>
    <w:rsid w:val="0008111D"/>
    <w:pPr>
      <w:numPr>
        <w:numId w:val="3"/>
      </w:numPr>
      <w:spacing w:before="120"/>
      <w:contextualSpacing/>
    </w:pPr>
  </w:style>
  <w:style w:type="table" w:styleId="Rcsostblzat">
    <w:name w:val="Table Grid"/>
    <w:aliases w:val="Szegély nélküli"/>
    <w:basedOn w:val="Normltblzat"/>
    <w:uiPriority w:val="59"/>
    <w:rsid w:val="0008111D"/>
    <w:pPr>
      <w:contextualSpacing/>
    </w:pPr>
    <w:tblPr/>
    <w:tcPr>
      <w:vAlign w:val="center"/>
    </w:tcPr>
  </w:style>
  <w:style w:type="character" w:customStyle="1" w:styleId="Cmsor4Char">
    <w:name w:val="Címsor 4 Char"/>
    <w:basedOn w:val="Bekezdsalapbettpusa"/>
    <w:link w:val="Cmsor4"/>
    <w:rsid w:val="0008111D"/>
    <w:rPr>
      <w:iCs/>
      <w:color w:val="0C2148" w:themeColor="text2"/>
      <w:szCs w:val="30"/>
    </w:rPr>
  </w:style>
  <w:style w:type="character" w:customStyle="1" w:styleId="Cmsor5Char">
    <w:name w:val="Címsor 5 Char"/>
    <w:basedOn w:val="Bekezdsalapbettpusa"/>
    <w:link w:val="Cmsor5"/>
    <w:rsid w:val="0008111D"/>
    <w:rPr>
      <w:color w:val="0C2148" w:themeColor="text2"/>
      <w:szCs w:val="26"/>
    </w:rPr>
  </w:style>
  <w:style w:type="character" w:customStyle="1" w:styleId="Cmsor6Char">
    <w:name w:val="Címsor 6 Char"/>
    <w:basedOn w:val="Bekezdsalapbettpusa"/>
    <w:link w:val="Cmsor6"/>
    <w:rsid w:val="0008111D"/>
    <w:rPr>
      <w:color w:val="0C2148" w:themeColor="text2"/>
    </w:rPr>
  </w:style>
  <w:style w:type="character" w:customStyle="1" w:styleId="Cmsor1Char">
    <w:name w:val="Címsor 1 Char"/>
    <w:basedOn w:val="Bekezdsalapbettpusa"/>
    <w:link w:val="Cmsor1"/>
    <w:rsid w:val="0008111D"/>
    <w:rPr>
      <w:rFonts w:eastAsiaTheme="majorEastAsia" w:cstheme="majorBidi"/>
      <w:b/>
      <w:bCs/>
      <w:caps/>
      <w:color w:val="0C2148" w:themeColor="text2"/>
      <w:sz w:val="24"/>
      <w:szCs w:val="42"/>
    </w:rPr>
  </w:style>
  <w:style w:type="character" w:customStyle="1" w:styleId="Cmsor2Char">
    <w:name w:val="Címsor 2 Char"/>
    <w:basedOn w:val="Bekezdsalapbettpusa"/>
    <w:link w:val="Cmsor2"/>
    <w:rsid w:val="0008111D"/>
    <w:rPr>
      <w:b/>
      <w:color w:val="0C2148" w:themeColor="text2"/>
      <w:sz w:val="24"/>
      <w:szCs w:val="38"/>
    </w:rPr>
  </w:style>
  <w:style w:type="character" w:customStyle="1" w:styleId="Cmsor3Char">
    <w:name w:val="Címsor 3 Char"/>
    <w:basedOn w:val="Bekezdsalapbettpusa"/>
    <w:link w:val="Cmsor3"/>
    <w:rsid w:val="0008111D"/>
    <w:rPr>
      <w:bCs/>
      <w:color w:val="0C2148" w:themeColor="text2"/>
      <w:szCs w:val="34"/>
    </w:rPr>
  </w:style>
  <w:style w:type="paragraph" w:styleId="Cm">
    <w:name w:val="Title"/>
    <w:basedOn w:val="Norml"/>
    <w:next w:val="Norml"/>
    <w:link w:val="CmChar"/>
    <w:uiPriority w:val="3"/>
    <w:qFormat/>
    <w:rsid w:val="0008111D"/>
    <w:pPr>
      <w:spacing w:after="300"/>
      <w:contextualSpacing/>
    </w:pPr>
    <w:rPr>
      <w:rFonts w:eastAsiaTheme="majorEastAsia" w:cstheme="majorBidi"/>
      <w:caps/>
      <w:color w:val="0C2148" w:themeColor="text2"/>
      <w:spacing w:val="5"/>
      <w:kern w:val="28"/>
      <w:sz w:val="24"/>
      <w:szCs w:val="52"/>
    </w:rPr>
  </w:style>
  <w:style w:type="character" w:customStyle="1" w:styleId="CmChar">
    <w:name w:val="Cím Char"/>
    <w:basedOn w:val="Bekezdsalapbettpusa"/>
    <w:link w:val="Cm"/>
    <w:uiPriority w:val="3"/>
    <w:rsid w:val="0008111D"/>
    <w:rPr>
      <w:rFonts w:eastAsiaTheme="majorEastAsia" w:cstheme="majorBidi"/>
      <w:caps/>
      <w:color w:val="0C2148" w:themeColor="text2"/>
      <w:spacing w:val="5"/>
      <w:kern w:val="28"/>
      <w:sz w:val="24"/>
      <w:szCs w:val="52"/>
    </w:rPr>
  </w:style>
  <w:style w:type="character" w:customStyle="1" w:styleId="Cmsor7Char">
    <w:name w:val="Címsor 7 Char"/>
    <w:basedOn w:val="Bekezdsalapbettpusa"/>
    <w:link w:val="Cmsor7"/>
    <w:uiPriority w:val="9"/>
    <w:semiHidden/>
    <w:rsid w:val="0008111D"/>
    <w:rPr>
      <w:rFonts w:eastAsiaTheme="majorEastAsia" w:cstheme="majorBidi"/>
      <w:i/>
      <w:iCs/>
      <w:color w:val="404040" w:themeColor="text1" w:themeTint="BF"/>
    </w:rPr>
  </w:style>
  <w:style w:type="character" w:customStyle="1" w:styleId="Cmsor8Char">
    <w:name w:val="Címsor 8 Char"/>
    <w:basedOn w:val="Bekezdsalapbettpusa"/>
    <w:link w:val="Cmsor8"/>
    <w:uiPriority w:val="9"/>
    <w:semiHidden/>
    <w:rsid w:val="0008111D"/>
    <w:rPr>
      <w:rFonts w:eastAsiaTheme="majorEastAsia" w:cstheme="majorBidi"/>
      <w:color w:val="404040" w:themeColor="text1" w:themeTint="BF"/>
    </w:rPr>
  </w:style>
  <w:style w:type="character" w:customStyle="1" w:styleId="Cmsor9Char">
    <w:name w:val="Címsor 9 Char"/>
    <w:basedOn w:val="Bekezdsalapbettpusa"/>
    <w:link w:val="Cmsor9"/>
    <w:uiPriority w:val="9"/>
    <w:semiHidden/>
    <w:rsid w:val="0008111D"/>
    <w:rPr>
      <w:rFonts w:eastAsiaTheme="majorEastAsia" w:cstheme="majorBidi"/>
      <w:i/>
      <w:iCs/>
      <w:color w:val="404040" w:themeColor="text1" w:themeTint="BF"/>
    </w:rPr>
  </w:style>
  <w:style w:type="numbering" w:customStyle="1" w:styleId="Style1">
    <w:name w:val="Style1"/>
    <w:uiPriority w:val="99"/>
    <w:rsid w:val="0008111D"/>
    <w:pPr>
      <w:numPr>
        <w:numId w:val="1"/>
      </w:numPr>
    </w:pPr>
  </w:style>
  <w:style w:type="paragraph" w:styleId="TJ7">
    <w:name w:val="toc 7"/>
    <w:basedOn w:val="Norml"/>
    <w:next w:val="Norml"/>
    <w:autoRedefine/>
    <w:uiPriority w:val="99"/>
    <w:semiHidden/>
    <w:locked/>
    <w:rsid w:val="0008111D"/>
    <w:pPr>
      <w:spacing w:after="100"/>
      <w:ind w:left="1200"/>
    </w:pPr>
    <w:rPr>
      <w:color w:val="385623" w:themeColor="accent6" w:themeShade="80"/>
    </w:rPr>
  </w:style>
  <w:style w:type="paragraph" w:styleId="TJ8">
    <w:name w:val="toc 8"/>
    <w:basedOn w:val="Norml"/>
    <w:next w:val="Norml"/>
    <w:autoRedefine/>
    <w:uiPriority w:val="99"/>
    <w:semiHidden/>
    <w:locked/>
    <w:rsid w:val="0008111D"/>
    <w:pPr>
      <w:spacing w:after="100"/>
      <w:ind w:left="1400"/>
    </w:pPr>
    <w:rPr>
      <w:color w:val="385623" w:themeColor="accent6" w:themeShade="80"/>
    </w:rPr>
  </w:style>
  <w:style w:type="paragraph" w:styleId="TJ9">
    <w:name w:val="toc 9"/>
    <w:basedOn w:val="Norml"/>
    <w:next w:val="Norml"/>
    <w:autoRedefine/>
    <w:uiPriority w:val="99"/>
    <w:semiHidden/>
    <w:locked/>
    <w:rsid w:val="0008111D"/>
    <w:pPr>
      <w:spacing w:after="100"/>
      <w:ind w:left="1600"/>
    </w:pPr>
    <w:rPr>
      <w:color w:val="385623" w:themeColor="accent6" w:themeShade="80"/>
    </w:rPr>
  </w:style>
  <w:style w:type="table" w:customStyle="1" w:styleId="Calendar2">
    <w:name w:val="Calendar 2"/>
    <w:basedOn w:val="Normltblzat"/>
    <w:uiPriority w:val="99"/>
    <w:qFormat/>
    <w:rsid w:val="0008111D"/>
    <w:pPr>
      <w:jc w:val="center"/>
    </w:pPr>
    <w:rPr>
      <w:rFonts w:eastAsiaTheme="minorEastAsia"/>
      <w:szCs w:val="28"/>
      <w:lang w:val="en-US" w:eastAsia="en-US" w:bidi="en-US"/>
    </w:rPr>
    <w:tblPr>
      <w:tblBorders>
        <w:insideV w:val="single" w:sz="4" w:space="0" w:color="53CBFF" w:themeColor="accent1" w:themeTint="99"/>
      </w:tblBorders>
    </w:tblPr>
    <w:tblStylePr w:type="firstRow">
      <w:rPr>
        <w:rFonts w:asciiTheme="majorHAnsi" w:eastAsiaTheme="majorEastAsia" w:hAnsiTheme="majorHAnsi" w:cstheme="majorBidi"/>
        <w:caps/>
        <w:color w:val="009EE0" w:themeColor="accent1"/>
        <w:spacing w:val="20"/>
        <w:sz w:val="32"/>
        <w:szCs w:val="32"/>
      </w:rPr>
      <w:tblPr/>
      <w:tcPr>
        <w:tcBorders>
          <w:top w:val="nil"/>
          <w:left w:val="nil"/>
          <w:bottom w:val="nil"/>
          <w:right w:val="nil"/>
          <w:insideH w:val="nil"/>
          <w:insideV w:val="nil"/>
          <w:tl2br w:val="nil"/>
          <w:tr2bl w:val="nil"/>
        </w:tcBorders>
      </w:tcPr>
    </w:tblStylePr>
  </w:style>
  <w:style w:type="paragraph" w:styleId="Lbjegyzetszveg">
    <w:name w:val="footnote text"/>
    <w:basedOn w:val="Norml"/>
    <w:link w:val="LbjegyzetszvegChar"/>
    <w:uiPriority w:val="99"/>
    <w:unhideWhenUsed/>
    <w:qFormat/>
    <w:rsid w:val="0008111D"/>
    <w:rPr>
      <w:rFonts w:eastAsiaTheme="minorEastAsia"/>
      <w:color w:val="0C2148" w:themeColor="text2"/>
      <w:sz w:val="16"/>
    </w:rPr>
  </w:style>
  <w:style w:type="character" w:customStyle="1" w:styleId="LbjegyzetszvegChar">
    <w:name w:val="Lábjegyzetszöveg Char"/>
    <w:basedOn w:val="Bekezdsalapbettpusa"/>
    <w:link w:val="Lbjegyzetszveg"/>
    <w:uiPriority w:val="99"/>
    <w:rsid w:val="0008111D"/>
    <w:rPr>
      <w:rFonts w:eastAsiaTheme="minorEastAsia"/>
      <w:color w:val="0C2148" w:themeColor="text2"/>
      <w:sz w:val="16"/>
    </w:rPr>
  </w:style>
  <w:style w:type="character" w:styleId="Finomkiemels">
    <w:name w:val="Subtle Emphasis"/>
    <w:basedOn w:val="Bekezdsalapbettpusa"/>
    <w:uiPriority w:val="19"/>
    <w:qFormat/>
    <w:rsid w:val="0008111D"/>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Normltblzat"/>
    <w:uiPriority w:val="60"/>
    <w:rsid w:val="0008111D"/>
    <w:rPr>
      <w:rFonts w:eastAsiaTheme="minorEastAsia"/>
      <w:color w:val="0075A7" w:themeColor="accent1" w:themeShade="BF"/>
      <w:lang w:eastAsia="en-US"/>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styleId="Kpalrs">
    <w:name w:val="caption"/>
    <w:basedOn w:val="Norml"/>
    <w:next w:val="Norml"/>
    <w:uiPriority w:val="35"/>
    <w:unhideWhenUsed/>
    <w:qFormat/>
    <w:rsid w:val="0008111D"/>
    <w:pPr>
      <w:spacing w:after="200"/>
      <w:jc w:val="left"/>
    </w:pPr>
    <w:rPr>
      <w:b/>
      <w:bCs/>
      <w:color w:val="808080"/>
      <w:sz w:val="18"/>
      <w:szCs w:val="18"/>
    </w:rPr>
  </w:style>
  <w:style w:type="paragraph" w:styleId="Vgjegyzetszvege">
    <w:name w:val="endnote text"/>
    <w:basedOn w:val="Norml"/>
    <w:link w:val="VgjegyzetszvegeChar"/>
    <w:uiPriority w:val="99"/>
    <w:semiHidden/>
    <w:unhideWhenUsed/>
    <w:rsid w:val="0008111D"/>
    <w:rPr>
      <w:color w:val="385623" w:themeColor="accent6" w:themeShade="80"/>
    </w:rPr>
  </w:style>
  <w:style w:type="character" w:customStyle="1" w:styleId="VgjegyzetszvegeChar">
    <w:name w:val="Végjegyzet szövege Char"/>
    <w:basedOn w:val="Bekezdsalapbettpusa"/>
    <w:link w:val="Vgjegyzetszvege"/>
    <w:uiPriority w:val="99"/>
    <w:semiHidden/>
    <w:rsid w:val="0008111D"/>
    <w:rPr>
      <w:color w:val="385623" w:themeColor="accent6" w:themeShade="80"/>
    </w:rPr>
  </w:style>
  <w:style w:type="table" w:customStyle="1" w:styleId="Vilgosrnykols1jellszn1">
    <w:name w:val="Világos árnyékolás – 1. jelölőszín1"/>
    <w:basedOn w:val="Normltblzat"/>
    <w:uiPriority w:val="60"/>
    <w:rsid w:val="0008111D"/>
    <w:rPr>
      <w:color w:val="0075A7" w:themeColor="accent1" w:themeShade="BF"/>
    </w:rPr>
    <w:tblPr>
      <w:tblStyleRowBandSize w:val="1"/>
      <w:tblStyleColBandSize w:val="1"/>
      <w:tblBorders>
        <w:top w:val="single" w:sz="8" w:space="0" w:color="009EE0" w:themeColor="accent1"/>
        <w:bottom w:val="single" w:sz="8" w:space="0" w:color="009EE0" w:themeColor="accent1"/>
      </w:tblBorders>
    </w:tblPr>
    <w:tblStylePr w:type="fir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lastRow">
      <w:pPr>
        <w:spacing w:before="0" w:after="0" w:line="240" w:lineRule="auto"/>
      </w:pPr>
      <w:rPr>
        <w:b/>
        <w:bCs/>
      </w:rPr>
      <w:tblPr/>
      <w:tcPr>
        <w:tcBorders>
          <w:top w:val="single" w:sz="8" w:space="0" w:color="009EE0" w:themeColor="accent1"/>
          <w:left w:val="nil"/>
          <w:bottom w:val="single" w:sz="8" w:space="0" w:color="009E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paragraph" w:customStyle="1" w:styleId="Listaszerbekezds2">
    <w:name w:val="Listaszerű bekezdés 2"/>
    <w:basedOn w:val="Listaszerbekezds"/>
    <w:link w:val="Listaszerbekezds2Char"/>
    <w:uiPriority w:val="4"/>
    <w:qFormat/>
    <w:rsid w:val="0008111D"/>
    <w:pPr>
      <w:numPr>
        <w:numId w:val="4"/>
      </w:numPr>
    </w:pPr>
  </w:style>
  <w:style w:type="paragraph" w:customStyle="1" w:styleId="Tblaszvegstlus">
    <w:name w:val="Tábla szöveg stílus"/>
    <w:basedOn w:val="Norml"/>
    <w:link w:val="TblaszvegstlusChar"/>
    <w:uiPriority w:val="8"/>
    <w:qFormat/>
    <w:rsid w:val="0008111D"/>
  </w:style>
  <w:style w:type="character" w:customStyle="1" w:styleId="ListaszerbekezdsChar">
    <w:name w:val="Listaszerű bekezdés Char"/>
    <w:basedOn w:val="Bekezdsalapbettpusa"/>
    <w:link w:val="Listaszerbekezds"/>
    <w:uiPriority w:val="4"/>
    <w:rsid w:val="0008111D"/>
  </w:style>
  <w:style w:type="character" w:customStyle="1" w:styleId="Listaszerbekezds2Char">
    <w:name w:val="Listaszerű bekezdés 2 Char"/>
    <w:basedOn w:val="ListaszerbekezdsChar"/>
    <w:link w:val="Listaszerbekezds2"/>
    <w:uiPriority w:val="4"/>
    <w:rsid w:val="0008111D"/>
  </w:style>
  <w:style w:type="character" w:customStyle="1" w:styleId="TblaszvegstlusChar">
    <w:name w:val="Tábla szöveg stílus Char"/>
    <w:basedOn w:val="Bekezdsalapbettpusa"/>
    <w:link w:val="Tblaszvegstlus"/>
    <w:uiPriority w:val="8"/>
    <w:rsid w:val="0008111D"/>
  </w:style>
  <w:style w:type="character" w:styleId="Finomhivatkozs">
    <w:name w:val="Subtle Reference"/>
    <w:basedOn w:val="Bekezdsalapbettpusa"/>
    <w:uiPriority w:val="31"/>
    <w:rsid w:val="0008111D"/>
    <w:rPr>
      <w:sz w:val="24"/>
      <w:szCs w:val="24"/>
      <w:u w:val="single"/>
    </w:rPr>
  </w:style>
  <w:style w:type="character" w:styleId="Ershivatkozs">
    <w:name w:val="Intense Reference"/>
    <w:basedOn w:val="Bekezdsalapbettpusa"/>
    <w:uiPriority w:val="32"/>
    <w:rsid w:val="0008111D"/>
    <w:rPr>
      <w:b/>
      <w:sz w:val="24"/>
      <w:u w:val="single"/>
    </w:rPr>
  </w:style>
  <w:style w:type="paragraph" w:customStyle="1" w:styleId="Listaszerbekezds2szint">
    <w:name w:val="Listaszerű bekezdés 2. szint"/>
    <w:basedOn w:val="Listaszerbekezds"/>
    <w:link w:val="Listaszerbekezds2szintChar"/>
    <w:uiPriority w:val="4"/>
    <w:qFormat/>
    <w:rsid w:val="0008111D"/>
    <w:pPr>
      <w:numPr>
        <w:numId w:val="7"/>
      </w:numPr>
    </w:pPr>
  </w:style>
  <w:style w:type="paragraph" w:customStyle="1" w:styleId="Listaszerbekezds3szint">
    <w:name w:val="Listaszerű bekezdés 3. szint"/>
    <w:basedOn w:val="Listaszerbekezds"/>
    <w:link w:val="Listaszerbekezds3szintChar"/>
    <w:uiPriority w:val="4"/>
    <w:qFormat/>
    <w:rsid w:val="0008111D"/>
    <w:pPr>
      <w:numPr>
        <w:ilvl w:val="2"/>
        <w:numId w:val="8"/>
      </w:numPr>
    </w:pPr>
  </w:style>
  <w:style w:type="character" w:customStyle="1" w:styleId="Listaszerbekezds2szintChar">
    <w:name w:val="Listaszerű bekezdés 2. szint Char"/>
    <w:basedOn w:val="ListaszerbekezdsChar"/>
    <w:link w:val="Listaszerbekezds2szint"/>
    <w:uiPriority w:val="4"/>
    <w:rsid w:val="0008111D"/>
  </w:style>
  <w:style w:type="character" w:customStyle="1" w:styleId="Listaszerbekezds3szintChar">
    <w:name w:val="Listaszerű bekezdés 3. szint Char"/>
    <w:basedOn w:val="ListaszerbekezdsChar"/>
    <w:link w:val="Listaszerbekezds3szint"/>
    <w:uiPriority w:val="4"/>
    <w:rsid w:val="0008111D"/>
  </w:style>
  <w:style w:type="paragraph" w:styleId="Alcm">
    <w:name w:val="Subtitle"/>
    <w:basedOn w:val="Norml"/>
    <w:next w:val="Norml"/>
    <w:link w:val="AlcmChar"/>
    <w:uiPriority w:val="11"/>
    <w:rsid w:val="0008111D"/>
    <w:pPr>
      <w:spacing w:after="60"/>
      <w:jc w:val="center"/>
      <w:outlineLvl w:val="1"/>
    </w:pPr>
    <w:rPr>
      <w:rFonts w:eastAsiaTheme="majorEastAsia" w:cstheme="majorBidi"/>
    </w:rPr>
  </w:style>
  <w:style w:type="character" w:customStyle="1" w:styleId="AlcmChar">
    <w:name w:val="Alcím Char"/>
    <w:basedOn w:val="Bekezdsalapbettpusa"/>
    <w:link w:val="Alcm"/>
    <w:uiPriority w:val="11"/>
    <w:rsid w:val="0008111D"/>
    <w:rPr>
      <w:rFonts w:eastAsiaTheme="majorEastAsia" w:cstheme="majorBidi"/>
    </w:rPr>
  </w:style>
  <w:style w:type="paragraph" w:customStyle="1" w:styleId="Listabetvel">
    <w:name w:val="Lista betűvel"/>
    <w:basedOn w:val="Listaszerbekezds"/>
    <w:link w:val="ListabetvelChar"/>
    <w:uiPriority w:val="4"/>
    <w:qFormat/>
    <w:rsid w:val="0008111D"/>
    <w:pPr>
      <w:numPr>
        <w:numId w:val="6"/>
      </w:numPr>
    </w:pPr>
  </w:style>
  <w:style w:type="character" w:customStyle="1" w:styleId="ListabetvelChar">
    <w:name w:val="Lista betűvel Char"/>
    <w:basedOn w:val="ListaszerbekezdsChar"/>
    <w:link w:val="Listabetvel"/>
    <w:uiPriority w:val="4"/>
    <w:rsid w:val="0008111D"/>
  </w:style>
  <w:style w:type="paragraph" w:customStyle="1" w:styleId="Erskiemels1">
    <w:name w:val="Erős kiemelés1"/>
    <w:basedOn w:val="Norml"/>
    <w:link w:val="ErskiemelsChar"/>
    <w:uiPriority w:val="5"/>
    <w:qFormat/>
    <w:rsid w:val="0008111D"/>
    <w:rPr>
      <w:b/>
      <w:i/>
    </w:rPr>
  </w:style>
  <w:style w:type="character" w:customStyle="1" w:styleId="ErskiemelsChar">
    <w:name w:val="Erős kiemelés Char"/>
    <w:basedOn w:val="Bekezdsalapbettpusa"/>
    <w:link w:val="Erskiemels1"/>
    <w:uiPriority w:val="5"/>
    <w:rsid w:val="0008111D"/>
    <w:rPr>
      <w:b/>
      <w:i/>
    </w:rPr>
  </w:style>
  <w:style w:type="paragraph" w:customStyle="1" w:styleId="Bold">
    <w:name w:val="Bold"/>
    <w:basedOn w:val="Norml"/>
    <w:link w:val="BoldChar"/>
    <w:uiPriority w:val="6"/>
    <w:qFormat/>
    <w:rsid w:val="0008111D"/>
    <w:rPr>
      <w:b/>
    </w:rPr>
  </w:style>
  <w:style w:type="character" w:customStyle="1" w:styleId="BoldChar">
    <w:name w:val="Bold Char"/>
    <w:basedOn w:val="Bekezdsalapbettpusa"/>
    <w:link w:val="Bold"/>
    <w:uiPriority w:val="6"/>
    <w:rsid w:val="0008111D"/>
    <w:rPr>
      <w:b/>
    </w:rPr>
  </w:style>
  <w:style w:type="character" w:styleId="Mrltotthiperhivatkozs">
    <w:name w:val="FollowedHyperlink"/>
    <w:basedOn w:val="Bekezdsalapbettpusa"/>
    <w:uiPriority w:val="99"/>
    <w:semiHidden/>
    <w:unhideWhenUsed/>
    <w:rsid w:val="0008111D"/>
    <w:rPr>
      <w:color w:val="954F72" w:themeColor="followedHyperlink"/>
      <w:u w:val="single"/>
    </w:rPr>
  </w:style>
  <w:style w:type="paragraph" w:styleId="Tartalomjegyzkcmsora">
    <w:name w:val="TOC Heading"/>
    <w:basedOn w:val="Cmsor1"/>
    <w:next w:val="Norml"/>
    <w:uiPriority w:val="39"/>
    <w:unhideWhenUsed/>
    <w:qFormat/>
    <w:rsid w:val="0008111D"/>
    <w:pPr>
      <w:numPr>
        <w:numId w:val="0"/>
      </w:numPr>
      <w:spacing w:after="0"/>
      <w:outlineLvl w:val="9"/>
    </w:pPr>
    <w:rPr>
      <w:b w:val="0"/>
      <w:caps w:val="0"/>
      <w:szCs w:val="28"/>
    </w:rPr>
  </w:style>
  <w:style w:type="paragraph" w:styleId="TJ2">
    <w:name w:val="toc 2"/>
    <w:basedOn w:val="Norml"/>
    <w:next w:val="Norml"/>
    <w:autoRedefine/>
    <w:uiPriority w:val="39"/>
    <w:unhideWhenUsed/>
    <w:qFormat/>
    <w:locked/>
    <w:rsid w:val="0008111D"/>
    <w:pPr>
      <w:spacing w:after="100"/>
      <w:ind w:left="220"/>
      <w:jc w:val="left"/>
    </w:pPr>
    <w:rPr>
      <w:rFonts w:eastAsiaTheme="minorEastAsia"/>
    </w:rPr>
  </w:style>
  <w:style w:type="paragraph" w:styleId="TJ1">
    <w:name w:val="toc 1"/>
    <w:basedOn w:val="Norml"/>
    <w:next w:val="Norml"/>
    <w:autoRedefine/>
    <w:uiPriority w:val="39"/>
    <w:unhideWhenUsed/>
    <w:qFormat/>
    <w:locked/>
    <w:rsid w:val="0008111D"/>
    <w:pPr>
      <w:spacing w:after="100"/>
      <w:jc w:val="left"/>
    </w:pPr>
    <w:rPr>
      <w:rFonts w:eastAsiaTheme="minorEastAsia"/>
    </w:rPr>
  </w:style>
  <w:style w:type="paragraph" w:styleId="TJ3">
    <w:name w:val="toc 3"/>
    <w:basedOn w:val="Norml"/>
    <w:next w:val="Norml"/>
    <w:uiPriority w:val="39"/>
    <w:unhideWhenUsed/>
    <w:qFormat/>
    <w:locked/>
    <w:rsid w:val="0008111D"/>
    <w:pPr>
      <w:spacing w:after="100"/>
      <w:ind w:left="400"/>
    </w:pPr>
  </w:style>
  <w:style w:type="paragraph" w:customStyle="1" w:styleId="StyleTOC2Left015">
    <w:name w:val="Style TOC 2 + Left:  0.15&quot;"/>
    <w:basedOn w:val="TJ2"/>
    <w:rsid w:val="0008111D"/>
    <w:pPr>
      <w:ind w:left="216"/>
    </w:pPr>
    <w:rPr>
      <w:rFonts w:eastAsia="Times New Roman" w:cs="Times New Roman"/>
    </w:rPr>
  </w:style>
  <w:style w:type="paragraph" w:customStyle="1" w:styleId="StyleTOC3Left031">
    <w:name w:val="Style TOC 3 + Left:  0.31&quot;"/>
    <w:basedOn w:val="TJ3"/>
    <w:rsid w:val="0008111D"/>
    <w:pPr>
      <w:ind w:left="446"/>
    </w:pPr>
    <w:rPr>
      <w:rFonts w:eastAsia="Times New Roman" w:cs="Times New Roman"/>
    </w:rPr>
  </w:style>
  <w:style w:type="numbering" w:customStyle="1" w:styleId="Hierarchikuslista">
    <w:name w:val="Hierarchikus lista"/>
    <w:uiPriority w:val="99"/>
    <w:rsid w:val="0008111D"/>
    <w:pPr>
      <w:numPr>
        <w:numId w:val="2"/>
      </w:numPr>
    </w:pPr>
  </w:style>
  <w:style w:type="paragraph" w:customStyle="1" w:styleId="HierarchikusLista0">
    <w:name w:val="Hierarchikus Lista"/>
    <w:basedOn w:val="Listaszerbekezds"/>
    <w:link w:val="HierarchikusListaChar"/>
    <w:qFormat/>
    <w:rsid w:val="0008111D"/>
    <w:pPr>
      <w:numPr>
        <w:numId w:val="0"/>
      </w:numPr>
    </w:pPr>
  </w:style>
  <w:style w:type="character" w:customStyle="1" w:styleId="HierarchikusListaChar">
    <w:name w:val="Hierarchikus Lista Char"/>
    <w:basedOn w:val="ListaszerbekezdsChar"/>
    <w:link w:val="HierarchikusLista0"/>
    <w:rsid w:val="0008111D"/>
  </w:style>
  <w:style w:type="character" w:styleId="Kiemels2">
    <w:name w:val="Strong"/>
    <w:basedOn w:val="Bekezdsalapbettpusa"/>
    <w:uiPriority w:val="22"/>
    <w:rsid w:val="0008111D"/>
    <w:rPr>
      <w:b/>
      <w:bCs/>
    </w:rPr>
  </w:style>
  <w:style w:type="character" w:styleId="Kiemels">
    <w:name w:val="Emphasis"/>
    <w:basedOn w:val="Bekezdsalapbettpusa"/>
    <w:uiPriority w:val="6"/>
    <w:qFormat/>
    <w:rsid w:val="0008111D"/>
    <w:rPr>
      <w:i/>
      <w:iCs/>
    </w:rPr>
  </w:style>
  <w:style w:type="paragraph" w:styleId="Nincstrkz">
    <w:name w:val="No Spacing"/>
    <w:basedOn w:val="Norml"/>
    <w:uiPriority w:val="1"/>
    <w:rsid w:val="0008111D"/>
    <w:rPr>
      <w:szCs w:val="32"/>
    </w:rPr>
  </w:style>
  <w:style w:type="paragraph" w:styleId="Idzet">
    <w:name w:val="Quote"/>
    <w:basedOn w:val="Norml"/>
    <w:next w:val="Norml"/>
    <w:link w:val="IdzetChar"/>
    <w:uiPriority w:val="29"/>
    <w:rsid w:val="0008111D"/>
    <w:rPr>
      <w:i/>
    </w:rPr>
  </w:style>
  <w:style w:type="character" w:customStyle="1" w:styleId="IdzetChar">
    <w:name w:val="Idézet Char"/>
    <w:basedOn w:val="Bekezdsalapbettpusa"/>
    <w:link w:val="Idzet"/>
    <w:uiPriority w:val="29"/>
    <w:rsid w:val="0008111D"/>
    <w:rPr>
      <w:i/>
    </w:rPr>
  </w:style>
  <w:style w:type="paragraph" w:styleId="Kiemeltidzet">
    <w:name w:val="Intense Quote"/>
    <w:basedOn w:val="Norml"/>
    <w:next w:val="Norml"/>
    <w:link w:val="KiemeltidzetChar"/>
    <w:uiPriority w:val="30"/>
    <w:rsid w:val="0008111D"/>
    <w:pPr>
      <w:ind w:left="720" w:right="720"/>
    </w:pPr>
    <w:rPr>
      <w:b/>
      <w:i/>
    </w:rPr>
  </w:style>
  <w:style w:type="character" w:customStyle="1" w:styleId="KiemeltidzetChar">
    <w:name w:val="Kiemelt idézet Char"/>
    <w:basedOn w:val="Bekezdsalapbettpusa"/>
    <w:link w:val="Kiemeltidzet"/>
    <w:uiPriority w:val="30"/>
    <w:rsid w:val="0008111D"/>
    <w:rPr>
      <w:b/>
      <w:i/>
    </w:rPr>
  </w:style>
  <w:style w:type="character" w:styleId="Erskiemels">
    <w:name w:val="Intense Emphasis"/>
    <w:basedOn w:val="Bekezdsalapbettpusa"/>
    <w:uiPriority w:val="21"/>
    <w:rsid w:val="0008111D"/>
    <w:rPr>
      <w:b/>
      <w:i/>
      <w:sz w:val="24"/>
      <w:szCs w:val="24"/>
      <w:u w:val="single"/>
    </w:rPr>
  </w:style>
  <w:style w:type="character" w:styleId="Knyvcme">
    <w:name w:val="Book Title"/>
    <w:basedOn w:val="Bekezdsalapbettpusa"/>
    <w:uiPriority w:val="33"/>
    <w:rsid w:val="0008111D"/>
    <w:rPr>
      <w:rFonts w:ascii="Calibri" w:eastAsiaTheme="majorEastAsia" w:hAnsi="Calibri"/>
      <w:b/>
      <w:i/>
      <w:sz w:val="24"/>
      <w:szCs w:val="24"/>
    </w:rPr>
  </w:style>
  <w:style w:type="paragraph" w:customStyle="1" w:styleId="Szvegdobozstlus">
    <w:name w:val="Szövegdoboz stílus"/>
    <w:basedOn w:val="HierarchikusLista0"/>
    <w:qFormat/>
    <w:rsid w:val="0008111D"/>
    <w:rPr>
      <w:b/>
      <w:i/>
      <w:color w:val="009EE0"/>
    </w:rPr>
  </w:style>
  <w:style w:type="table" w:customStyle="1" w:styleId="Rcsos">
    <w:name w:val="Rácsos"/>
    <w:basedOn w:val="Normltblzat"/>
    <w:uiPriority w:val="99"/>
    <w:rsid w:val="0008111D"/>
    <w:rPr>
      <w:rFonts w:asciiTheme="majorHAnsi" w:hAnsiTheme="majorHAnsi"/>
      <w:color w:val="F6A800" w:themeColor="accent5"/>
    </w:rPr>
    <w:tblPr>
      <w:tblStyleRowBandSize w:val="1"/>
      <w:tblStyleColBandSize w:val="1"/>
      <w:tblBorders>
        <w:top w:val="single" w:sz="4" w:space="0" w:color="F6A800" w:themeColor="accent5"/>
        <w:left w:val="single" w:sz="4" w:space="0" w:color="F6A800" w:themeColor="accent5"/>
        <w:bottom w:val="single" w:sz="48" w:space="0" w:color="F6A800" w:themeColor="accent5"/>
        <w:right w:val="single" w:sz="4" w:space="0" w:color="F6A800" w:themeColor="accent5"/>
        <w:insideV w:val="single" w:sz="4" w:space="0" w:color="F6A800" w:themeColor="accent5"/>
      </w:tblBorders>
    </w:tblPr>
    <w:tcPr>
      <w:shd w:val="clear" w:color="auto" w:fill="auto"/>
      <w:tcMar>
        <w:top w:w="170" w:type="dxa"/>
      </w:tcMar>
      <w:vAlign w:val="center"/>
    </w:tcPr>
    <w:tblStylePr w:type="firstRow">
      <w:rPr>
        <w:rFonts w:asciiTheme="majorHAnsi" w:hAnsiTheme="majorHAnsi"/>
        <w:b w:val="0"/>
        <w:i w:val="0"/>
        <w:color w:val="F6A800" w:themeColor="accent5"/>
        <w:sz w:val="36"/>
      </w:rPr>
      <w:tblPr/>
      <w:tcPr>
        <w:tcBorders>
          <w:top w:val="single" w:sz="8" w:space="0" w:color="F6A800" w:themeColor="accent5"/>
          <w:left w:val="single" w:sz="8" w:space="0" w:color="F6A800" w:themeColor="accent5"/>
          <w:bottom w:val="single" w:sz="24" w:space="0" w:color="F6A800" w:themeColor="accent5"/>
          <w:right w:val="single" w:sz="8" w:space="0" w:color="F6A800" w:themeColor="accent5"/>
          <w:insideH w:val="nil"/>
          <w:insideV w:val="nil"/>
          <w:tl2br w:val="nil"/>
          <w:tr2bl w:val="nil"/>
        </w:tcBorders>
        <w:shd w:val="clear" w:color="auto" w:fill="E7E6E6" w:themeFill="background2"/>
      </w:tcPr>
    </w:tblStylePr>
    <w:tblStylePr w:type="band2Horz">
      <w:tblPr/>
      <w:tcPr>
        <w:shd w:val="clear" w:color="auto" w:fill="F0EFEF" w:themeFill="background2" w:themeFillTint="99"/>
      </w:tcPr>
    </w:tblStylePr>
  </w:style>
  <w:style w:type="paragraph" w:customStyle="1" w:styleId="ENBoxtitle">
    <w:name w:val="EN_Box_title"/>
    <w:basedOn w:val="Norml"/>
    <w:next w:val="Norml"/>
    <w:uiPriority w:val="1"/>
    <w:qFormat/>
    <w:rsid w:val="0008111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pPr>
    <w:rPr>
      <w:b/>
      <w:bCs/>
      <w:szCs w:val="18"/>
    </w:rPr>
  </w:style>
  <w:style w:type="paragraph" w:customStyle="1" w:styleId="ENCaption1Col">
    <w:name w:val="EN_Caption_1Col"/>
    <w:basedOn w:val="Norml"/>
    <w:next w:val="Norml"/>
    <w:uiPriority w:val="1"/>
    <w:qFormat/>
    <w:rsid w:val="0008111D"/>
    <w:pPr>
      <w:keepNext/>
      <w:spacing w:after="40"/>
      <w:jc w:val="center"/>
    </w:pPr>
    <w:rPr>
      <w:b/>
      <w:bCs/>
      <w:color w:val="808080"/>
      <w:szCs w:val="18"/>
    </w:rPr>
  </w:style>
  <w:style w:type="paragraph" w:customStyle="1" w:styleId="ENCaption2Col">
    <w:name w:val="EN_Caption_2Col"/>
    <w:basedOn w:val="Norml"/>
    <w:next w:val="Norml"/>
    <w:uiPriority w:val="1"/>
    <w:qFormat/>
    <w:rsid w:val="0008111D"/>
    <w:pPr>
      <w:keepNext/>
      <w:spacing w:after="40"/>
      <w:jc w:val="left"/>
    </w:pPr>
    <w:rPr>
      <w:b/>
      <w:bCs/>
      <w:color w:val="808080"/>
      <w:szCs w:val="18"/>
    </w:rPr>
  </w:style>
  <w:style w:type="paragraph" w:customStyle="1" w:styleId="ENCaptionBox">
    <w:name w:val="EN_Caption_Box"/>
    <w:basedOn w:val="Norml"/>
    <w:next w:val="Norml"/>
    <w:uiPriority w:val="1"/>
    <w:qFormat/>
    <w:rsid w:val="0008111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b/>
      <w:bCs/>
      <w:color w:val="808080"/>
      <w:szCs w:val="18"/>
    </w:rPr>
  </w:style>
  <w:style w:type="paragraph" w:customStyle="1" w:styleId="ENChapterTitle">
    <w:name w:val="EN_Chapter_Title"/>
    <w:basedOn w:val="Norml"/>
    <w:next w:val="Norml"/>
    <w:uiPriority w:val="1"/>
    <w:rsid w:val="0008111D"/>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l"/>
    <w:next w:val="Norml"/>
    <w:uiPriority w:val="1"/>
    <w:qFormat/>
    <w:rsid w:val="0008111D"/>
    <w:pPr>
      <w:keepNext/>
      <w:pageBreakBefore/>
      <w:spacing w:before="480" w:after="210"/>
      <w:ind w:left="227" w:hanging="227"/>
    </w:pPr>
    <w:rPr>
      <w:caps/>
      <w:color w:val="0C2148" w:themeColor="text2"/>
    </w:rPr>
  </w:style>
  <w:style w:type="paragraph" w:customStyle="1" w:styleId="ENFootnote">
    <w:name w:val="EN_Footnote"/>
    <w:basedOn w:val="Norml"/>
    <w:uiPriority w:val="1"/>
    <w:qFormat/>
    <w:rsid w:val="0008111D"/>
    <w:rPr>
      <w:rFonts w:eastAsiaTheme="minorEastAsia"/>
      <w:color w:val="808080"/>
      <w:sz w:val="18"/>
    </w:rPr>
  </w:style>
  <w:style w:type="paragraph" w:customStyle="1" w:styleId="ENNormal">
    <w:name w:val="EN_Normal"/>
    <w:basedOn w:val="Norml"/>
    <w:uiPriority w:val="1"/>
    <w:qFormat/>
    <w:rsid w:val="0008111D"/>
  </w:style>
  <w:style w:type="paragraph" w:customStyle="1" w:styleId="ENNormalBox">
    <w:name w:val="EN_Normal_Box"/>
    <w:basedOn w:val="Norml"/>
    <w:uiPriority w:val="1"/>
    <w:qFormat/>
    <w:rsid w:val="0008111D"/>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ENNote1Col">
    <w:name w:val="EN_Note_1Col"/>
    <w:basedOn w:val="Norml"/>
    <w:next w:val="ENNormal"/>
    <w:uiPriority w:val="1"/>
    <w:qFormat/>
    <w:rsid w:val="0008111D"/>
    <w:pPr>
      <w:keepLines/>
      <w:jc w:val="center"/>
    </w:pPr>
    <w:rPr>
      <w:color w:val="808080"/>
      <w:sz w:val="18"/>
    </w:rPr>
  </w:style>
  <w:style w:type="paragraph" w:customStyle="1" w:styleId="ENNote2Col">
    <w:name w:val="EN_Note_2Col"/>
    <w:basedOn w:val="Norml"/>
    <w:next w:val="ENNormal"/>
    <w:uiPriority w:val="1"/>
    <w:qFormat/>
    <w:rsid w:val="0008111D"/>
    <w:pPr>
      <w:keepLines/>
    </w:pPr>
    <w:rPr>
      <w:color w:val="808080"/>
      <w:sz w:val="18"/>
    </w:rPr>
  </w:style>
  <w:style w:type="paragraph" w:customStyle="1" w:styleId="ENNoteBox">
    <w:name w:val="EN_Note_Box"/>
    <w:basedOn w:val="Norml"/>
    <w:next w:val="ENNormalBox"/>
    <w:uiPriority w:val="1"/>
    <w:qFormat/>
    <w:rsid w:val="0008111D"/>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paragraph" w:customStyle="1" w:styleId="ENSectionTitle">
    <w:name w:val="EN_Section_Title"/>
    <w:basedOn w:val="Norml"/>
    <w:next w:val="ENNormal"/>
    <w:uiPriority w:val="1"/>
    <w:rsid w:val="0008111D"/>
    <w:pPr>
      <w:keepNext/>
      <w:numPr>
        <w:ilvl w:val="1"/>
        <w:numId w:val="1"/>
      </w:numPr>
      <w:spacing w:before="210" w:after="75"/>
      <w:jc w:val="left"/>
      <w:outlineLvl w:val="1"/>
    </w:pPr>
    <w:rPr>
      <w:b/>
      <w:color w:val="0C2148" w:themeColor="text2"/>
      <w:szCs w:val="38"/>
    </w:rPr>
  </w:style>
  <w:style w:type="paragraph" w:customStyle="1" w:styleId="ENSubsectionTitle">
    <w:name w:val="EN_Subsection_Title"/>
    <w:basedOn w:val="Norml"/>
    <w:next w:val="ENNormal"/>
    <w:uiPriority w:val="1"/>
    <w:rsid w:val="0008111D"/>
    <w:pPr>
      <w:keepNext/>
      <w:numPr>
        <w:ilvl w:val="2"/>
        <w:numId w:val="1"/>
      </w:numPr>
      <w:spacing w:before="75" w:after="75"/>
      <w:ind w:left="595" w:hanging="595"/>
      <w:jc w:val="left"/>
      <w:outlineLvl w:val="2"/>
    </w:pPr>
    <w:rPr>
      <w:bCs/>
      <w:color w:val="0C2148" w:themeColor="text2"/>
      <w:szCs w:val="34"/>
    </w:rPr>
  </w:style>
  <w:style w:type="paragraph" w:customStyle="1" w:styleId="HUBoxTitle">
    <w:name w:val="HU_Box_Title"/>
    <w:basedOn w:val="Kpalrs"/>
    <w:next w:val="Norml"/>
    <w:uiPriority w:val="1"/>
    <w:qFormat/>
    <w:rsid w:val="0008111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8CDCFF"/>
      <w:spacing w:after="40"/>
      <w:jc w:val="both"/>
    </w:pPr>
    <w:rPr>
      <w:color w:val="auto"/>
      <w:sz w:val="20"/>
    </w:rPr>
  </w:style>
  <w:style w:type="paragraph" w:customStyle="1" w:styleId="HUCaption1Col">
    <w:name w:val="HU_Caption_1Col"/>
    <w:basedOn w:val="Kpalrs"/>
    <w:next w:val="Norml"/>
    <w:uiPriority w:val="1"/>
    <w:qFormat/>
    <w:rsid w:val="0008111D"/>
    <w:pPr>
      <w:keepNext/>
      <w:spacing w:after="40"/>
      <w:jc w:val="center"/>
    </w:pPr>
    <w:rPr>
      <w:sz w:val="20"/>
    </w:rPr>
  </w:style>
  <w:style w:type="paragraph" w:customStyle="1" w:styleId="HUCaption2Col">
    <w:name w:val="HU_Caption_2Col"/>
    <w:basedOn w:val="Kpalrs"/>
    <w:next w:val="Norml"/>
    <w:uiPriority w:val="1"/>
    <w:qFormat/>
    <w:rsid w:val="0008111D"/>
    <w:pPr>
      <w:keepNext/>
      <w:spacing w:after="40"/>
    </w:pPr>
    <w:rPr>
      <w:sz w:val="20"/>
    </w:rPr>
  </w:style>
  <w:style w:type="paragraph" w:customStyle="1" w:styleId="HUCaptionBox">
    <w:name w:val="HU_Caption_Box"/>
    <w:basedOn w:val="Kpalrs"/>
    <w:next w:val="Norml"/>
    <w:uiPriority w:val="1"/>
    <w:qFormat/>
    <w:rsid w:val="0008111D"/>
    <w:pPr>
      <w:keepNext/>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spacing w:after="40"/>
      <w:jc w:val="center"/>
    </w:pPr>
    <w:rPr>
      <w:sz w:val="20"/>
    </w:rPr>
  </w:style>
  <w:style w:type="paragraph" w:customStyle="1" w:styleId="HUChapterTitle">
    <w:name w:val="HU_Chapter_Title"/>
    <w:basedOn w:val="Cmsor1"/>
    <w:next w:val="Norml"/>
    <w:link w:val="HUChapterTitleChar"/>
    <w:autoRedefine/>
    <w:uiPriority w:val="1"/>
    <w:rsid w:val="0008111D"/>
    <w:pPr>
      <w:keepLines w:val="0"/>
      <w:pageBreakBefore/>
      <w:ind w:left="227" w:hanging="227"/>
    </w:pPr>
    <w:rPr>
      <w:color w:val="0C2148"/>
    </w:rPr>
  </w:style>
  <w:style w:type="character" w:customStyle="1" w:styleId="HUChapterTitleChar">
    <w:name w:val="HU_Chapter_Title Char"/>
    <w:basedOn w:val="Cmsor1Char"/>
    <w:link w:val="HUChapterTitle"/>
    <w:uiPriority w:val="1"/>
    <w:rsid w:val="0008111D"/>
    <w:rPr>
      <w:rFonts w:eastAsiaTheme="majorEastAsia" w:cstheme="majorBidi"/>
      <w:b/>
      <w:bCs/>
      <w:caps/>
      <w:color w:val="0C2148"/>
      <w:sz w:val="24"/>
      <w:szCs w:val="42"/>
    </w:rPr>
  </w:style>
  <w:style w:type="paragraph" w:customStyle="1" w:styleId="HUChapterWithoutNumbering">
    <w:name w:val="HU_Chapter_Without_Numbering"/>
    <w:basedOn w:val="Norml"/>
    <w:next w:val="Norml"/>
    <w:link w:val="HUChapterWithoutNumberingChar"/>
    <w:uiPriority w:val="1"/>
    <w:qFormat/>
    <w:rsid w:val="0008111D"/>
    <w:pPr>
      <w:keepNext/>
      <w:pageBreakBefore/>
      <w:spacing w:before="480" w:after="210"/>
      <w:ind w:left="227" w:hanging="227"/>
    </w:pPr>
    <w:rPr>
      <w:caps/>
      <w:color w:val="0C2148" w:themeColor="text2"/>
    </w:rPr>
  </w:style>
  <w:style w:type="character" w:customStyle="1" w:styleId="HUChapterWithoutNumberingChar">
    <w:name w:val="HU_Chapter_Without_Numbering Char"/>
    <w:basedOn w:val="Bekezdsalapbettpusa"/>
    <w:link w:val="HUChapterWithoutNumbering"/>
    <w:uiPriority w:val="1"/>
    <w:rsid w:val="0008111D"/>
    <w:rPr>
      <w:caps/>
      <w:color w:val="0C2148" w:themeColor="text2"/>
    </w:rPr>
  </w:style>
  <w:style w:type="paragraph" w:customStyle="1" w:styleId="HUFootnote">
    <w:name w:val="HU_Footnote"/>
    <w:basedOn w:val="Lbjegyzetszveg"/>
    <w:uiPriority w:val="1"/>
    <w:qFormat/>
    <w:rsid w:val="0008111D"/>
    <w:rPr>
      <w:color w:val="808080"/>
      <w:sz w:val="18"/>
    </w:rPr>
  </w:style>
  <w:style w:type="paragraph" w:customStyle="1" w:styleId="HUNormalBox">
    <w:name w:val="HU_Normal_Box"/>
    <w:basedOn w:val="Norml"/>
    <w:uiPriority w:val="1"/>
    <w:qFormat/>
    <w:rsid w:val="0008111D"/>
    <w:pPr>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pPr>
  </w:style>
  <w:style w:type="paragraph" w:customStyle="1" w:styleId="HUNote1Col">
    <w:name w:val="HU_Note_1Col"/>
    <w:basedOn w:val="Norml"/>
    <w:next w:val="Norml"/>
    <w:uiPriority w:val="1"/>
    <w:qFormat/>
    <w:rsid w:val="0008111D"/>
    <w:pPr>
      <w:keepLines/>
      <w:jc w:val="center"/>
    </w:pPr>
    <w:rPr>
      <w:color w:val="808080"/>
      <w:sz w:val="18"/>
    </w:rPr>
  </w:style>
  <w:style w:type="paragraph" w:customStyle="1" w:styleId="HUNote2Col">
    <w:name w:val="HU_Note_2Col"/>
    <w:basedOn w:val="Norml"/>
    <w:next w:val="Norml"/>
    <w:uiPriority w:val="1"/>
    <w:qFormat/>
    <w:rsid w:val="0008111D"/>
    <w:pPr>
      <w:keepLines/>
    </w:pPr>
    <w:rPr>
      <w:color w:val="808080"/>
      <w:sz w:val="18"/>
    </w:rPr>
  </w:style>
  <w:style w:type="paragraph" w:customStyle="1" w:styleId="HUNoteBox">
    <w:name w:val="HU_Note_Box"/>
    <w:basedOn w:val="Norml"/>
    <w:next w:val="HUNormalBox"/>
    <w:link w:val="HUNoteBoxChar"/>
    <w:uiPriority w:val="1"/>
    <w:qFormat/>
    <w:rsid w:val="0008111D"/>
    <w:pPr>
      <w:keepLines/>
      <w:pBdr>
        <w:top w:val="single" w:sz="4" w:space="1" w:color="0C2148" w:themeColor="text2"/>
        <w:left w:val="single" w:sz="4" w:space="4" w:color="0C2148" w:themeColor="text2"/>
        <w:bottom w:val="single" w:sz="4" w:space="1" w:color="0C2148" w:themeColor="text2"/>
        <w:right w:val="single" w:sz="4" w:space="4" w:color="0C2148" w:themeColor="text2"/>
      </w:pBdr>
      <w:shd w:val="clear" w:color="auto" w:fill="C6EEFF"/>
      <w:jc w:val="center"/>
    </w:pPr>
    <w:rPr>
      <w:color w:val="808080"/>
      <w:sz w:val="18"/>
    </w:rPr>
  </w:style>
  <w:style w:type="character" w:customStyle="1" w:styleId="HUNoteBoxChar">
    <w:name w:val="HU_Note_Box Char"/>
    <w:basedOn w:val="Bekezdsalapbettpusa"/>
    <w:link w:val="HUNoteBox"/>
    <w:uiPriority w:val="1"/>
    <w:rsid w:val="0008111D"/>
    <w:rPr>
      <w:color w:val="808080"/>
      <w:sz w:val="18"/>
      <w:shd w:val="clear" w:color="auto" w:fill="C6EEFF"/>
    </w:rPr>
  </w:style>
  <w:style w:type="paragraph" w:customStyle="1" w:styleId="HUSectionTitle">
    <w:name w:val="HU_Section_Title"/>
    <w:basedOn w:val="Cmsor2"/>
    <w:next w:val="Norml"/>
    <w:link w:val="HUSectionTitleChar"/>
    <w:uiPriority w:val="1"/>
    <w:rsid w:val="0008111D"/>
    <w:pPr>
      <w:keepNext/>
    </w:pPr>
  </w:style>
  <w:style w:type="character" w:customStyle="1" w:styleId="HUSectionTitleChar">
    <w:name w:val="HU_Section_Title Char"/>
    <w:basedOn w:val="Cmsor2Char"/>
    <w:link w:val="HUSectionTitle"/>
    <w:uiPriority w:val="1"/>
    <w:rsid w:val="0008111D"/>
    <w:rPr>
      <w:b/>
      <w:color w:val="0C2148" w:themeColor="text2"/>
      <w:sz w:val="24"/>
      <w:szCs w:val="38"/>
    </w:rPr>
  </w:style>
  <w:style w:type="paragraph" w:customStyle="1" w:styleId="HUSubsectionTitle">
    <w:name w:val="HU_Subsection_Title"/>
    <w:basedOn w:val="Cmsor3"/>
    <w:next w:val="Norml"/>
    <w:link w:val="HUSubsectionTitleChar"/>
    <w:uiPriority w:val="1"/>
    <w:rsid w:val="0008111D"/>
    <w:pPr>
      <w:keepNext/>
      <w:ind w:left="595" w:hanging="595"/>
    </w:pPr>
  </w:style>
  <w:style w:type="character" w:customStyle="1" w:styleId="HUSubsectionTitleChar">
    <w:name w:val="HU_Subsection_Title Char"/>
    <w:basedOn w:val="Cmsor3Char"/>
    <w:link w:val="HUSubsectionTitle"/>
    <w:uiPriority w:val="1"/>
    <w:rsid w:val="0008111D"/>
    <w:rPr>
      <w:bCs/>
      <w:color w:val="0C2148" w:themeColor="text2"/>
      <w:szCs w:val="34"/>
    </w:rPr>
  </w:style>
  <w:style w:type="paragraph" w:customStyle="1" w:styleId="Heading1Kiadvny">
    <w:name w:val="Heading 1 Kiadvány"/>
    <w:basedOn w:val="Cmsor1"/>
    <w:qFormat/>
    <w:rsid w:val="0008111D"/>
    <w:rPr>
      <w:b w:val="0"/>
      <w:caps w:val="0"/>
      <w:sz w:val="52"/>
    </w:rPr>
  </w:style>
  <w:style w:type="numbering" w:customStyle="1" w:styleId="Nemlista1">
    <w:name w:val="Nem lista1"/>
    <w:next w:val="Nemlista"/>
    <w:uiPriority w:val="99"/>
    <w:semiHidden/>
    <w:unhideWhenUsed/>
    <w:rsid w:val="00C3015E"/>
  </w:style>
  <w:style w:type="character" w:styleId="Jegyzethivatkozs">
    <w:name w:val="annotation reference"/>
    <w:basedOn w:val="Bekezdsalapbettpusa"/>
    <w:uiPriority w:val="99"/>
    <w:semiHidden/>
    <w:unhideWhenUsed/>
    <w:rsid w:val="00C3015E"/>
    <w:rPr>
      <w:sz w:val="16"/>
      <w:szCs w:val="16"/>
    </w:rPr>
  </w:style>
  <w:style w:type="paragraph" w:styleId="Jegyzetszveg">
    <w:name w:val="annotation text"/>
    <w:basedOn w:val="Norml"/>
    <w:link w:val="JegyzetszvegChar"/>
    <w:uiPriority w:val="99"/>
    <w:unhideWhenUsed/>
    <w:rsid w:val="00C3015E"/>
    <w:pPr>
      <w:widowControl w:val="0"/>
      <w:spacing w:after="200" w:line="240" w:lineRule="auto"/>
    </w:pPr>
    <w:rPr>
      <w:lang w:val="en-US" w:eastAsia="en-US"/>
    </w:rPr>
  </w:style>
  <w:style w:type="character" w:customStyle="1" w:styleId="JegyzetszvegChar">
    <w:name w:val="Jegyzetszöveg Char"/>
    <w:basedOn w:val="Bekezdsalapbettpusa"/>
    <w:link w:val="Jegyzetszveg"/>
    <w:uiPriority w:val="99"/>
    <w:rsid w:val="00C3015E"/>
    <w:rPr>
      <w:lang w:val="en-US" w:eastAsia="en-US"/>
    </w:rPr>
  </w:style>
  <w:style w:type="paragraph" w:styleId="Megjegyzstrgya">
    <w:name w:val="annotation subject"/>
    <w:basedOn w:val="Jegyzetszveg"/>
    <w:next w:val="Jegyzetszveg"/>
    <w:link w:val="MegjegyzstrgyaChar"/>
    <w:uiPriority w:val="99"/>
    <w:semiHidden/>
    <w:unhideWhenUsed/>
    <w:rsid w:val="00C3015E"/>
    <w:rPr>
      <w:b/>
      <w:bCs/>
    </w:rPr>
  </w:style>
  <w:style w:type="character" w:customStyle="1" w:styleId="MegjegyzstrgyaChar">
    <w:name w:val="Megjegyzés tárgya Char"/>
    <w:basedOn w:val="JegyzetszvegChar"/>
    <w:link w:val="Megjegyzstrgya"/>
    <w:uiPriority w:val="99"/>
    <w:semiHidden/>
    <w:rsid w:val="00C3015E"/>
    <w:rPr>
      <w:b/>
      <w:bCs/>
      <w:lang w:val="en-US" w:eastAsia="en-US"/>
    </w:rPr>
  </w:style>
  <w:style w:type="character" w:styleId="Lbjegyzet-hivatkozs">
    <w:name w:val="footnote reference"/>
    <w:basedOn w:val="Bekezdsalapbettpusa"/>
    <w:uiPriority w:val="99"/>
    <w:semiHidden/>
    <w:unhideWhenUsed/>
    <w:rsid w:val="00C3015E"/>
    <w:rPr>
      <w:vertAlign w:val="superscript"/>
    </w:rPr>
  </w:style>
  <w:style w:type="table" w:customStyle="1" w:styleId="tblzat-mtrix1">
    <w:name w:val="táblázat - mátrix1"/>
    <w:basedOn w:val="Normltblzat"/>
    <w:uiPriority w:val="2"/>
    <w:qFormat/>
    <w:rsid w:val="00C3015E"/>
    <w:pPr>
      <w:contextualSpacing/>
    </w:pPr>
    <w:rPr>
      <w:rFonts w:ascii="Cambria" w:eastAsia="Calibri" w:hAnsi="Cambria"/>
    </w:rPr>
    <w:tblPr>
      <w:tblStyleRowBandSize w:val="1"/>
      <w:tblStyleColBandSize w:val="1"/>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CellMar>
        <w:top w:w="85" w:type="dxa"/>
      </w:tblCellMar>
    </w:tblPr>
    <w:tcPr>
      <w:shd w:val="clear" w:color="auto" w:fill="auto"/>
      <w:vAlign w:val="center"/>
    </w:tcPr>
    <w:tblStylePr w:type="firstRow">
      <w:rPr>
        <w:rFonts w:ascii="Cambria" w:hAnsi="Cambria"/>
        <w:sz w:val="20"/>
      </w:rPr>
      <w:tblPr/>
      <w:tcPr>
        <w:shd w:val="clear" w:color="auto" w:fill="EEECE1"/>
      </w:tcPr>
    </w:tblStylePr>
    <w:tblStylePr w:type="firstCol">
      <w:pPr>
        <w:jc w:val="left"/>
      </w:pPr>
      <w:rPr>
        <w:rFonts w:ascii="Cambria" w:hAnsi="Cambria"/>
        <w:sz w:val="20"/>
      </w:rPr>
      <w:tblPr/>
      <w:tcPr>
        <w:shd w:val="clear" w:color="auto" w:fill="EEECE1"/>
      </w:tcPr>
    </w:tblStylePr>
  </w:style>
  <w:style w:type="table" w:customStyle="1" w:styleId="tblzat-fejlces1">
    <w:name w:val="táblázat - fejléces1"/>
    <w:basedOn w:val="Normltblzat"/>
    <w:uiPriority w:val="1"/>
    <w:qFormat/>
    <w:rsid w:val="00C3015E"/>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Pr/>
      <w:tcPr>
        <w:shd w:val="clear" w:color="auto" w:fill="EEECE1"/>
      </w:tcPr>
    </w:tblStylePr>
    <w:tblStylePr w:type="firstCol">
      <w:rPr>
        <w:rFonts w:ascii="Cambria" w:hAnsi="Cambria"/>
        <w:sz w:val="20"/>
      </w:rPr>
    </w:tblStylePr>
  </w:style>
  <w:style w:type="table" w:customStyle="1" w:styleId="tblzat-oldallces1">
    <w:name w:val="táblázat - oldalléces1"/>
    <w:basedOn w:val="Normltblzat"/>
    <w:uiPriority w:val="3"/>
    <w:qFormat/>
    <w:rsid w:val="00C3015E"/>
    <w:pPr>
      <w:contextualSpacing/>
    </w:pPr>
    <w:rPr>
      <w:rFonts w:ascii="Cambria" w:eastAsia="Calibri" w:hAnsi="Cambria"/>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cPr>
      <w:shd w:val="clear" w:color="auto" w:fill="auto"/>
      <w:tcMar>
        <w:top w:w="85" w:type="dxa"/>
      </w:tcMar>
      <w:vAlign w:val="center"/>
    </w:tcPr>
    <w:tblStylePr w:type="firstRow">
      <w:rPr>
        <w:rFonts w:ascii="Cambria" w:hAnsi="Cambria"/>
        <w:sz w:val="20"/>
      </w:rPr>
    </w:tblStylePr>
    <w:tblStylePr w:type="firstCol">
      <w:rPr>
        <w:rFonts w:ascii="Cambria" w:hAnsi="Cambria"/>
        <w:sz w:val="20"/>
      </w:rPr>
      <w:tblPr/>
      <w:tcPr>
        <w:shd w:val="clear" w:color="auto" w:fill="EEECE1"/>
      </w:tcPr>
    </w:tblStylePr>
  </w:style>
  <w:style w:type="table" w:customStyle="1" w:styleId="Szeglynlkli1">
    <w:name w:val="Szegély nélküli1"/>
    <w:basedOn w:val="Normltblzat"/>
    <w:next w:val="Rcsostblzat"/>
    <w:uiPriority w:val="59"/>
    <w:rsid w:val="00C3015E"/>
    <w:pPr>
      <w:contextualSpacing/>
    </w:pPr>
    <w:tblPr/>
    <w:tcPr>
      <w:vAlign w:val="center"/>
    </w:tcPr>
  </w:style>
  <w:style w:type="numbering" w:customStyle="1" w:styleId="Style11">
    <w:name w:val="Style11"/>
    <w:uiPriority w:val="99"/>
    <w:rsid w:val="00C3015E"/>
    <w:pPr>
      <w:numPr>
        <w:numId w:val="10"/>
      </w:numPr>
    </w:pPr>
  </w:style>
  <w:style w:type="table" w:customStyle="1" w:styleId="Calendar21">
    <w:name w:val="Calendar 21"/>
    <w:basedOn w:val="Normltblzat"/>
    <w:uiPriority w:val="99"/>
    <w:qFormat/>
    <w:rsid w:val="00C3015E"/>
    <w:pPr>
      <w:jc w:val="center"/>
    </w:pPr>
    <w:rPr>
      <w:rFonts w:eastAsia="Times New Roman"/>
      <w:szCs w:val="28"/>
      <w:lang w:val="en-US" w:eastAsia="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table" w:customStyle="1" w:styleId="LightShading-Accent111">
    <w:name w:val="Light Shading - Accent 111"/>
    <w:basedOn w:val="Normltblzat"/>
    <w:uiPriority w:val="60"/>
    <w:rsid w:val="00C3015E"/>
    <w:rPr>
      <w:rFonts w:eastAsia="Times New Roman"/>
      <w:color w:val="365F91"/>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Vilgosrnykols1jellszn11">
    <w:name w:val="Világos árnyékolás – 1. jelölőszín11"/>
    <w:basedOn w:val="Normltblzat"/>
    <w:uiPriority w:val="60"/>
    <w:rsid w:val="00C3015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Hierarchikuslista1">
    <w:name w:val="Hierarchikus lista1"/>
    <w:uiPriority w:val="99"/>
    <w:rsid w:val="00C3015E"/>
    <w:pPr>
      <w:numPr>
        <w:numId w:val="11"/>
      </w:numPr>
    </w:pPr>
  </w:style>
  <w:style w:type="table" w:customStyle="1" w:styleId="Rcsos1">
    <w:name w:val="Rácsos1"/>
    <w:basedOn w:val="Normltblzat"/>
    <w:uiPriority w:val="99"/>
    <w:rsid w:val="00C3015E"/>
    <w:rPr>
      <w:rFonts w:ascii="Cambria" w:hAnsi="Cambria"/>
      <w:color w:val="4BACC6"/>
    </w:rPr>
    <w:tblPr>
      <w:tblStyleRowBandSize w:val="1"/>
      <w:tblStyleColBandSize w:val="1"/>
      <w:tblBorders>
        <w:top w:val="single" w:sz="4" w:space="0" w:color="4BACC6"/>
        <w:left w:val="single" w:sz="4" w:space="0" w:color="4BACC6"/>
        <w:bottom w:val="single" w:sz="48" w:space="0" w:color="4BACC6"/>
        <w:right w:val="single" w:sz="4" w:space="0" w:color="4BACC6"/>
        <w:insideV w:val="single" w:sz="4" w:space="0" w:color="4BACC6"/>
      </w:tblBorders>
    </w:tblPr>
    <w:tcPr>
      <w:shd w:val="clear" w:color="auto" w:fill="auto"/>
      <w:tcMar>
        <w:top w:w="170" w:type="dxa"/>
      </w:tcMar>
      <w:vAlign w:val="center"/>
    </w:tcPr>
    <w:tblStylePr w:type="firstRow">
      <w:rPr>
        <w:rFonts w:ascii="Cambria" w:hAnsi="Cambria"/>
        <w:b w:val="0"/>
        <w:i w:val="0"/>
        <w:color w:val="4BACC6"/>
        <w:sz w:val="36"/>
      </w:rPr>
      <w:tblPr/>
      <w:tcPr>
        <w:tcBorders>
          <w:top w:val="single" w:sz="8" w:space="0" w:color="4BACC6"/>
          <w:left w:val="single" w:sz="8" w:space="0" w:color="4BACC6"/>
          <w:bottom w:val="single" w:sz="24" w:space="0" w:color="4BACC6"/>
          <w:right w:val="single" w:sz="8" w:space="0" w:color="4BACC6"/>
          <w:insideH w:val="nil"/>
          <w:insideV w:val="nil"/>
          <w:tl2br w:val="nil"/>
          <w:tr2bl w:val="nil"/>
        </w:tcBorders>
        <w:shd w:val="clear" w:color="auto" w:fill="EEECE1"/>
      </w:tcPr>
    </w:tblStylePr>
    <w:tblStylePr w:type="band2Horz">
      <w:tblPr/>
      <w:tcPr>
        <w:shd w:val="clear" w:color="auto" w:fill="F4F3EC"/>
      </w:tcPr>
    </w:tblStylePr>
  </w:style>
  <w:style w:type="paragraph" w:customStyle="1" w:styleId="Erskiemels2">
    <w:name w:val="Erős kiemelés2"/>
    <w:basedOn w:val="Norml"/>
    <w:uiPriority w:val="5"/>
    <w:qFormat/>
    <w:rsid w:val="001615CD"/>
    <w:rPr>
      <w:b/>
      <w:i/>
    </w:rPr>
  </w:style>
  <w:style w:type="paragraph" w:customStyle="1" w:styleId="Erskiemels3">
    <w:name w:val="Erős kiemelés3"/>
    <w:basedOn w:val="Norml"/>
    <w:uiPriority w:val="5"/>
    <w:qFormat/>
    <w:rsid w:val="0090599C"/>
    <w:rPr>
      <w:b/>
      <w:i/>
    </w:rPr>
  </w:style>
  <w:style w:type="character" w:styleId="Feloldatlanmegemlts">
    <w:name w:val="Unresolved Mention"/>
    <w:basedOn w:val="Bekezdsalapbettpusa"/>
    <w:uiPriority w:val="99"/>
    <w:semiHidden/>
    <w:unhideWhenUsed/>
    <w:rsid w:val="00A35C67"/>
    <w:rPr>
      <w:color w:val="605E5C"/>
      <w:shd w:val="clear" w:color="auto" w:fill="E1DFDD"/>
    </w:rPr>
  </w:style>
  <w:style w:type="paragraph" w:styleId="Vltozat">
    <w:name w:val="Revision"/>
    <w:hidden/>
    <w:uiPriority w:val="99"/>
    <w:semiHidden/>
    <w:rsid w:val="008D343F"/>
  </w:style>
  <w:style w:type="paragraph" w:customStyle="1" w:styleId="Erskiemels4">
    <w:name w:val="Erős kiemelés4"/>
    <w:basedOn w:val="Norml"/>
    <w:uiPriority w:val="5"/>
    <w:qFormat/>
    <w:rsid w:val="00857F9B"/>
    <w:rPr>
      <w:b/>
      <w:i/>
    </w:rPr>
  </w:style>
  <w:style w:type="paragraph" w:customStyle="1" w:styleId="Erskiemels5">
    <w:name w:val="Erős kiemelés5"/>
    <w:basedOn w:val="Norml"/>
    <w:uiPriority w:val="5"/>
    <w:qFormat/>
    <w:rsid w:val="0078795C"/>
    <w:rPr>
      <w:b/>
      <w:i/>
    </w:rPr>
  </w:style>
  <w:style w:type="paragraph" w:customStyle="1" w:styleId="Erskiemels6">
    <w:name w:val="Erős kiemelés6"/>
    <w:basedOn w:val="Norml"/>
    <w:uiPriority w:val="5"/>
    <w:qFormat/>
    <w:rsid w:val="000773A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731270772">
      <w:bodyDiv w:val="1"/>
      <w:marLeft w:val="0"/>
      <w:marRight w:val="0"/>
      <w:marTop w:val="0"/>
      <w:marBottom w:val="0"/>
      <w:divBdr>
        <w:top w:val="none" w:sz="0" w:space="0" w:color="auto"/>
        <w:left w:val="none" w:sz="0" w:space="0" w:color="auto"/>
        <w:bottom w:val="none" w:sz="0" w:space="0" w:color="auto"/>
        <w:right w:val="none" w:sz="0" w:space="0" w:color="auto"/>
      </w:divBdr>
    </w:div>
    <w:div w:id="965047064">
      <w:bodyDiv w:val="1"/>
      <w:marLeft w:val="0"/>
      <w:marRight w:val="0"/>
      <w:marTop w:val="0"/>
      <w:marBottom w:val="0"/>
      <w:divBdr>
        <w:top w:val="none" w:sz="0" w:space="0" w:color="auto"/>
        <w:left w:val="none" w:sz="0" w:space="0" w:color="auto"/>
        <w:bottom w:val="none" w:sz="0" w:space="0" w:color="auto"/>
        <w:right w:val="none" w:sz="0" w:space="0" w:color="auto"/>
      </w:divBdr>
    </w:div>
    <w:div w:id="1184248126">
      <w:bodyDiv w:val="1"/>
      <w:marLeft w:val="0"/>
      <w:marRight w:val="0"/>
      <w:marTop w:val="0"/>
      <w:marBottom w:val="0"/>
      <w:divBdr>
        <w:top w:val="none" w:sz="0" w:space="0" w:color="auto"/>
        <w:left w:val="none" w:sz="0" w:space="0" w:color="auto"/>
        <w:bottom w:val="none" w:sz="0" w:space="0" w:color="auto"/>
        <w:right w:val="none" w:sz="0" w:space="0" w:color="auto"/>
      </w:divBdr>
      <w:divsChild>
        <w:div w:id="84807469">
          <w:marLeft w:val="0"/>
          <w:marRight w:val="0"/>
          <w:marTop w:val="0"/>
          <w:marBottom w:val="0"/>
          <w:divBdr>
            <w:top w:val="none" w:sz="0" w:space="0" w:color="auto"/>
            <w:left w:val="none" w:sz="0" w:space="0" w:color="auto"/>
            <w:bottom w:val="none" w:sz="0" w:space="0" w:color="auto"/>
            <w:right w:val="none" w:sz="0" w:space="0" w:color="auto"/>
          </w:divBdr>
          <w:divsChild>
            <w:div w:id="1259948417">
              <w:marLeft w:val="0"/>
              <w:marRight w:val="0"/>
              <w:marTop w:val="0"/>
              <w:marBottom w:val="0"/>
              <w:divBdr>
                <w:top w:val="none" w:sz="0" w:space="0" w:color="auto"/>
                <w:left w:val="none" w:sz="0" w:space="0" w:color="auto"/>
                <w:bottom w:val="none" w:sz="0" w:space="0" w:color="auto"/>
                <w:right w:val="none" w:sz="0" w:space="0" w:color="auto"/>
              </w:divBdr>
              <w:divsChild>
                <w:div w:id="970476351">
                  <w:marLeft w:val="0"/>
                  <w:marRight w:val="0"/>
                  <w:marTop w:val="0"/>
                  <w:marBottom w:val="0"/>
                  <w:divBdr>
                    <w:top w:val="none" w:sz="0" w:space="0" w:color="auto"/>
                    <w:left w:val="none" w:sz="0" w:space="0" w:color="auto"/>
                    <w:bottom w:val="none" w:sz="0" w:space="0" w:color="auto"/>
                    <w:right w:val="none" w:sz="0" w:space="0" w:color="auto"/>
                  </w:divBdr>
                  <w:divsChild>
                    <w:div w:id="1391346307">
                      <w:marLeft w:val="0"/>
                      <w:marRight w:val="0"/>
                      <w:marTop w:val="0"/>
                      <w:marBottom w:val="0"/>
                      <w:divBdr>
                        <w:top w:val="none" w:sz="0" w:space="0" w:color="auto"/>
                        <w:left w:val="none" w:sz="0" w:space="0" w:color="auto"/>
                        <w:bottom w:val="none" w:sz="0" w:space="0" w:color="auto"/>
                        <w:right w:val="none" w:sz="0" w:space="0" w:color="auto"/>
                      </w:divBdr>
                      <w:divsChild>
                        <w:div w:id="118766198">
                          <w:marLeft w:val="0"/>
                          <w:marRight w:val="0"/>
                          <w:marTop w:val="0"/>
                          <w:marBottom w:val="0"/>
                          <w:divBdr>
                            <w:top w:val="none" w:sz="0" w:space="0" w:color="auto"/>
                            <w:left w:val="none" w:sz="0" w:space="0" w:color="auto"/>
                            <w:bottom w:val="none" w:sz="0" w:space="0" w:color="auto"/>
                            <w:right w:val="none" w:sz="0" w:space="0" w:color="auto"/>
                          </w:divBdr>
                          <w:divsChild>
                            <w:div w:id="2050952109">
                              <w:marLeft w:val="0"/>
                              <w:marRight w:val="0"/>
                              <w:marTop w:val="0"/>
                              <w:marBottom w:val="0"/>
                              <w:divBdr>
                                <w:top w:val="none" w:sz="0" w:space="0" w:color="auto"/>
                                <w:left w:val="none" w:sz="0" w:space="0" w:color="auto"/>
                                <w:bottom w:val="none" w:sz="0" w:space="0" w:color="auto"/>
                                <w:right w:val="none" w:sz="0" w:space="0" w:color="auto"/>
                              </w:divBdr>
                              <w:divsChild>
                                <w:div w:id="601842148">
                                  <w:marLeft w:val="0"/>
                                  <w:marRight w:val="0"/>
                                  <w:marTop w:val="0"/>
                                  <w:marBottom w:val="0"/>
                                  <w:divBdr>
                                    <w:top w:val="none" w:sz="0" w:space="0" w:color="auto"/>
                                    <w:left w:val="none" w:sz="0" w:space="0" w:color="auto"/>
                                    <w:bottom w:val="none" w:sz="0" w:space="0" w:color="auto"/>
                                    <w:right w:val="none" w:sz="0" w:space="0" w:color="auto"/>
                                  </w:divBdr>
                                  <w:divsChild>
                                    <w:div w:id="259725955">
                                      <w:marLeft w:val="0"/>
                                      <w:marRight w:val="0"/>
                                      <w:marTop w:val="0"/>
                                      <w:marBottom w:val="0"/>
                                      <w:divBdr>
                                        <w:top w:val="none" w:sz="0" w:space="0" w:color="auto"/>
                                        <w:left w:val="none" w:sz="0" w:space="0" w:color="auto"/>
                                        <w:bottom w:val="none" w:sz="0" w:space="0" w:color="auto"/>
                                        <w:right w:val="none" w:sz="0" w:space="0" w:color="auto"/>
                                      </w:divBdr>
                                      <w:divsChild>
                                        <w:div w:id="1377394665">
                                          <w:marLeft w:val="0"/>
                                          <w:marRight w:val="0"/>
                                          <w:marTop w:val="0"/>
                                          <w:marBottom w:val="0"/>
                                          <w:divBdr>
                                            <w:top w:val="none" w:sz="0" w:space="0" w:color="auto"/>
                                            <w:left w:val="none" w:sz="0" w:space="0" w:color="auto"/>
                                            <w:bottom w:val="none" w:sz="0" w:space="0" w:color="auto"/>
                                            <w:right w:val="none" w:sz="0" w:space="0" w:color="auto"/>
                                          </w:divBdr>
                                          <w:divsChild>
                                            <w:div w:id="1286153554">
                                              <w:marLeft w:val="0"/>
                                              <w:marRight w:val="0"/>
                                              <w:marTop w:val="0"/>
                                              <w:marBottom w:val="0"/>
                                              <w:divBdr>
                                                <w:top w:val="none" w:sz="0" w:space="0" w:color="auto"/>
                                                <w:left w:val="none" w:sz="0" w:space="0" w:color="auto"/>
                                                <w:bottom w:val="none" w:sz="0" w:space="0" w:color="auto"/>
                                                <w:right w:val="none" w:sz="0" w:space="0" w:color="auto"/>
                                              </w:divBdr>
                                              <w:divsChild>
                                                <w:div w:id="236017372">
                                                  <w:marLeft w:val="0"/>
                                                  <w:marRight w:val="0"/>
                                                  <w:marTop w:val="0"/>
                                                  <w:marBottom w:val="0"/>
                                                  <w:divBdr>
                                                    <w:top w:val="none" w:sz="0" w:space="0" w:color="auto"/>
                                                    <w:left w:val="none" w:sz="0" w:space="0" w:color="auto"/>
                                                    <w:bottom w:val="none" w:sz="0" w:space="0" w:color="auto"/>
                                                    <w:right w:val="none" w:sz="0" w:space="0" w:color="auto"/>
                                                  </w:divBdr>
                                                  <w:divsChild>
                                                    <w:div w:id="694311002">
                                                      <w:marLeft w:val="0"/>
                                                      <w:marRight w:val="0"/>
                                                      <w:marTop w:val="0"/>
                                                      <w:marBottom w:val="0"/>
                                                      <w:divBdr>
                                                        <w:top w:val="none" w:sz="0" w:space="0" w:color="auto"/>
                                                        <w:left w:val="none" w:sz="0" w:space="0" w:color="auto"/>
                                                        <w:bottom w:val="none" w:sz="0" w:space="0" w:color="auto"/>
                                                        <w:right w:val="none" w:sz="0" w:space="0" w:color="auto"/>
                                                      </w:divBdr>
                                                      <w:divsChild>
                                                        <w:div w:id="1901406228">
                                                          <w:marLeft w:val="0"/>
                                                          <w:marRight w:val="0"/>
                                                          <w:marTop w:val="0"/>
                                                          <w:marBottom w:val="0"/>
                                                          <w:divBdr>
                                                            <w:top w:val="none" w:sz="0" w:space="0" w:color="auto"/>
                                                            <w:left w:val="none" w:sz="0" w:space="0" w:color="auto"/>
                                                            <w:bottom w:val="none" w:sz="0" w:space="0" w:color="auto"/>
                                                            <w:right w:val="none" w:sz="0" w:space="0" w:color="auto"/>
                                                          </w:divBdr>
                                                          <w:divsChild>
                                                            <w:div w:id="1043864861">
                                                              <w:marLeft w:val="0"/>
                                                              <w:marRight w:val="0"/>
                                                              <w:marTop w:val="0"/>
                                                              <w:marBottom w:val="0"/>
                                                              <w:divBdr>
                                                                <w:top w:val="none" w:sz="0" w:space="0" w:color="auto"/>
                                                                <w:left w:val="none" w:sz="0" w:space="0" w:color="auto"/>
                                                                <w:bottom w:val="none" w:sz="0" w:space="0" w:color="auto"/>
                                                                <w:right w:val="none" w:sz="0" w:space="0" w:color="auto"/>
                                                              </w:divBdr>
                                                              <w:divsChild>
                                                                <w:div w:id="478689">
                                                                  <w:marLeft w:val="0"/>
                                                                  <w:marRight w:val="0"/>
                                                                  <w:marTop w:val="0"/>
                                                                  <w:marBottom w:val="0"/>
                                                                  <w:divBdr>
                                                                    <w:top w:val="none" w:sz="0" w:space="0" w:color="auto"/>
                                                                    <w:left w:val="none" w:sz="0" w:space="0" w:color="auto"/>
                                                                    <w:bottom w:val="none" w:sz="0" w:space="0" w:color="auto"/>
                                                                    <w:right w:val="none" w:sz="0" w:space="0" w:color="auto"/>
                                                                  </w:divBdr>
                                                                  <w:divsChild>
                                                                    <w:div w:id="828522410">
                                                                      <w:marLeft w:val="0"/>
                                                                      <w:marRight w:val="0"/>
                                                                      <w:marTop w:val="0"/>
                                                                      <w:marBottom w:val="0"/>
                                                                      <w:divBdr>
                                                                        <w:top w:val="none" w:sz="0" w:space="0" w:color="auto"/>
                                                                        <w:left w:val="none" w:sz="0" w:space="0" w:color="auto"/>
                                                                        <w:bottom w:val="none" w:sz="0" w:space="0" w:color="auto"/>
                                                                        <w:right w:val="none" w:sz="0" w:space="0" w:color="auto"/>
                                                                      </w:divBdr>
                                                                      <w:divsChild>
                                                                        <w:div w:id="6406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8694441">
      <w:bodyDiv w:val="1"/>
      <w:marLeft w:val="0"/>
      <w:marRight w:val="0"/>
      <w:marTop w:val="0"/>
      <w:marBottom w:val="0"/>
      <w:divBdr>
        <w:top w:val="none" w:sz="0" w:space="0" w:color="auto"/>
        <w:left w:val="none" w:sz="0" w:space="0" w:color="auto"/>
        <w:bottom w:val="none" w:sz="0" w:space="0" w:color="auto"/>
        <w:right w:val="none" w:sz="0" w:space="0" w:color="auto"/>
      </w:divBdr>
      <w:divsChild>
        <w:div w:id="1782647651">
          <w:marLeft w:val="0"/>
          <w:marRight w:val="0"/>
          <w:marTop w:val="0"/>
          <w:marBottom w:val="0"/>
          <w:divBdr>
            <w:top w:val="none" w:sz="0" w:space="0" w:color="auto"/>
            <w:left w:val="none" w:sz="0" w:space="0" w:color="auto"/>
            <w:bottom w:val="none" w:sz="0" w:space="0" w:color="auto"/>
            <w:right w:val="none" w:sz="0" w:space="0" w:color="auto"/>
          </w:divBdr>
          <w:divsChild>
            <w:div w:id="963511175">
              <w:marLeft w:val="0"/>
              <w:marRight w:val="0"/>
              <w:marTop w:val="0"/>
              <w:marBottom w:val="0"/>
              <w:divBdr>
                <w:top w:val="none" w:sz="0" w:space="0" w:color="auto"/>
                <w:left w:val="none" w:sz="0" w:space="0" w:color="auto"/>
                <w:bottom w:val="none" w:sz="0" w:space="0" w:color="auto"/>
                <w:right w:val="none" w:sz="0" w:space="0" w:color="auto"/>
              </w:divBdr>
              <w:divsChild>
                <w:div w:id="1055395439">
                  <w:marLeft w:val="0"/>
                  <w:marRight w:val="0"/>
                  <w:marTop w:val="0"/>
                  <w:marBottom w:val="0"/>
                  <w:divBdr>
                    <w:top w:val="none" w:sz="0" w:space="0" w:color="auto"/>
                    <w:left w:val="none" w:sz="0" w:space="0" w:color="auto"/>
                    <w:bottom w:val="none" w:sz="0" w:space="0" w:color="auto"/>
                    <w:right w:val="none" w:sz="0" w:space="0" w:color="auto"/>
                  </w:divBdr>
                  <w:divsChild>
                    <w:div w:id="762380957">
                      <w:marLeft w:val="0"/>
                      <w:marRight w:val="0"/>
                      <w:marTop w:val="0"/>
                      <w:marBottom w:val="0"/>
                      <w:divBdr>
                        <w:top w:val="none" w:sz="0" w:space="0" w:color="auto"/>
                        <w:left w:val="none" w:sz="0" w:space="0" w:color="auto"/>
                        <w:bottom w:val="none" w:sz="0" w:space="0" w:color="auto"/>
                        <w:right w:val="none" w:sz="0" w:space="0" w:color="auto"/>
                      </w:divBdr>
                      <w:divsChild>
                        <w:div w:id="1764644854">
                          <w:marLeft w:val="0"/>
                          <w:marRight w:val="0"/>
                          <w:marTop w:val="0"/>
                          <w:marBottom w:val="0"/>
                          <w:divBdr>
                            <w:top w:val="none" w:sz="0" w:space="0" w:color="auto"/>
                            <w:left w:val="none" w:sz="0" w:space="0" w:color="auto"/>
                            <w:bottom w:val="none" w:sz="0" w:space="0" w:color="auto"/>
                            <w:right w:val="none" w:sz="0" w:space="0" w:color="auto"/>
                          </w:divBdr>
                          <w:divsChild>
                            <w:div w:id="1232303265">
                              <w:marLeft w:val="0"/>
                              <w:marRight w:val="0"/>
                              <w:marTop w:val="0"/>
                              <w:marBottom w:val="0"/>
                              <w:divBdr>
                                <w:top w:val="none" w:sz="0" w:space="0" w:color="auto"/>
                                <w:left w:val="none" w:sz="0" w:space="0" w:color="auto"/>
                                <w:bottom w:val="none" w:sz="0" w:space="0" w:color="auto"/>
                                <w:right w:val="none" w:sz="0" w:space="0" w:color="auto"/>
                              </w:divBdr>
                              <w:divsChild>
                                <w:div w:id="1175724263">
                                  <w:marLeft w:val="0"/>
                                  <w:marRight w:val="0"/>
                                  <w:marTop w:val="0"/>
                                  <w:marBottom w:val="0"/>
                                  <w:divBdr>
                                    <w:top w:val="none" w:sz="0" w:space="0" w:color="auto"/>
                                    <w:left w:val="none" w:sz="0" w:space="0" w:color="auto"/>
                                    <w:bottom w:val="none" w:sz="0" w:space="0" w:color="auto"/>
                                    <w:right w:val="none" w:sz="0" w:space="0" w:color="auto"/>
                                  </w:divBdr>
                                  <w:divsChild>
                                    <w:div w:id="1335497871">
                                      <w:marLeft w:val="0"/>
                                      <w:marRight w:val="0"/>
                                      <w:marTop w:val="0"/>
                                      <w:marBottom w:val="0"/>
                                      <w:divBdr>
                                        <w:top w:val="none" w:sz="0" w:space="0" w:color="auto"/>
                                        <w:left w:val="none" w:sz="0" w:space="0" w:color="auto"/>
                                        <w:bottom w:val="none" w:sz="0" w:space="0" w:color="auto"/>
                                        <w:right w:val="none" w:sz="0" w:space="0" w:color="auto"/>
                                      </w:divBdr>
                                      <w:divsChild>
                                        <w:div w:id="104272966">
                                          <w:marLeft w:val="0"/>
                                          <w:marRight w:val="0"/>
                                          <w:marTop w:val="0"/>
                                          <w:marBottom w:val="0"/>
                                          <w:divBdr>
                                            <w:top w:val="none" w:sz="0" w:space="0" w:color="auto"/>
                                            <w:left w:val="none" w:sz="0" w:space="0" w:color="auto"/>
                                            <w:bottom w:val="none" w:sz="0" w:space="0" w:color="auto"/>
                                            <w:right w:val="none" w:sz="0" w:space="0" w:color="auto"/>
                                          </w:divBdr>
                                          <w:divsChild>
                                            <w:div w:id="572931093">
                                              <w:marLeft w:val="0"/>
                                              <w:marRight w:val="0"/>
                                              <w:marTop w:val="0"/>
                                              <w:marBottom w:val="0"/>
                                              <w:divBdr>
                                                <w:top w:val="none" w:sz="0" w:space="0" w:color="auto"/>
                                                <w:left w:val="none" w:sz="0" w:space="0" w:color="auto"/>
                                                <w:bottom w:val="none" w:sz="0" w:space="0" w:color="auto"/>
                                                <w:right w:val="none" w:sz="0" w:space="0" w:color="auto"/>
                                              </w:divBdr>
                                              <w:divsChild>
                                                <w:div w:id="1482455363">
                                                  <w:marLeft w:val="0"/>
                                                  <w:marRight w:val="0"/>
                                                  <w:marTop w:val="0"/>
                                                  <w:marBottom w:val="0"/>
                                                  <w:divBdr>
                                                    <w:top w:val="none" w:sz="0" w:space="0" w:color="auto"/>
                                                    <w:left w:val="none" w:sz="0" w:space="0" w:color="auto"/>
                                                    <w:bottom w:val="none" w:sz="0" w:space="0" w:color="auto"/>
                                                    <w:right w:val="none" w:sz="0" w:space="0" w:color="auto"/>
                                                  </w:divBdr>
                                                  <w:divsChild>
                                                    <w:div w:id="1351688106">
                                                      <w:marLeft w:val="0"/>
                                                      <w:marRight w:val="0"/>
                                                      <w:marTop w:val="0"/>
                                                      <w:marBottom w:val="0"/>
                                                      <w:divBdr>
                                                        <w:top w:val="none" w:sz="0" w:space="0" w:color="auto"/>
                                                        <w:left w:val="none" w:sz="0" w:space="0" w:color="auto"/>
                                                        <w:bottom w:val="none" w:sz="0" w:space="0" w:color="auto"/>
                                                        <w:right w:val="none" w:sz="0" w:space="0" w:color="auto"/>
                                                      </w:divBdr>
                                                      <w:divsChild>
                                                        <w:div w:id="1806386867">
                                                          <w:marLeft w:val="0"/>
                                                          <w:marRight w:val="0"/>
                                                          <w:marTop w:val="0"/>
                                                          <w:marBottom w:val="0"/>
                                                          <w:divBdr>
                                                            <w:top w:val="none" w:sz="0" w:space="0" w:color="auto"/>
                                                            <w:left w:val="none" w:sz="0" w:space="0" w:color="auto"/>
                                                            <w:bottom w:val="none" w:sz="0" w:space="0" w:color="auto"/>
                                                            <w:right w:val="none" w:sz="0" w:space="0" w:color="auto"/>
                                                          </w:divBdr>
                                                          <w:divsChild>
                                                            <w:div w:id="478115257">
                                                              <w:marLeft w:val="0"/>
                                                              <w:marRight w:val="0"/>
                                                              <w:marTop w:val="0"/>
                                                              <w:marBottom w:val="0"/>
                                                              <w:divBdr>
                                                                <w:top w:val="none" w:sz="0" w:space="0" w:color="auto"/>
                                                                <w:left w:val="none" w:sz="0" w:space="0" w:color="auto"/>
                                                                <w:bottom w:val="none" w:sz="0" w:space="0" w:color="auto"/>
                                                                <w:right w:val="none" w:sz="0" w:space="0" w:color="auto"/>
                                                              </w:divBdr>
                                                              <w:divsChild>
                                                                <w:div w:id="1428386958">
                                                                  <w:marLeft w:val="0"/>
                                                                  <w:marRight w:val="0"/>
                                                                  <w:marTop w:val="0"/>
                                                                  <w:marBottom w:val="0"/>
                                                                  <w:divBdr>
                                                                    <w:top w:val="none" w:sz="0" w:space="0" w:color="auto"/>
                                                                    <w:left w:val="none" w:sz="0" w:space="0" w:color="auto"/>
                                                                    <w:bottom w:val="none" w:sz="0" w:space="0" w:color="auto"/>
                                                                    <w:right w:val="none" w:sz="0" w:space="0" w:color="auto"/>
                                                                  </w:divBdr>
                                                                  <w:divsChild>
                                                                    <w:div w:id="37244552">
                                                                      <w:marLeft w:val="0"/>
                                                                      <w:marRight w:val="0"/>
                                                                      <w:marTop w:val="0"/>
                                                                      <w:marBottom w:val="0"/>
                                                                      <w:divBdr>
                                                                        <w:top w:val="none" w:sz="0" w:space="0" w:color="auto"/>
                                                                        <w:left w:val="none" w:sz="0" w:space="0" w:color="auto"/>
                                                                        <w:bottom w:val="none" w:sz="0" w:space="0" w:color="auto"/>
                                                                        <w:right w:val="none" w:sz="0" w:space="0" w:color="auto"/>
                                                                      </w:divBdr>
                                                                      <w:divsChild>
                                                                        <w:div w:id="66165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315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NB téma">
  <a:themeElements>
    <a:clrScheme name="MNB új séma">
      <a:dk1>
        <a:sysClr val="windowText" lastClr="000000"/>
      </a:dk1>
      <a:lt1>
        <a:sysClr val="window" lastClr="FFFFFF"/>
      </a:lt1>
      <a:dk2>
        <a:srgbClr val="0C2148"/>
      </a:dk2>
      <a:lt2>
        <a:srgbClr val="E7E6E6"/>
      </a:lt2>
      <a:accent1>
        <a:srgbClr val="009EE0"/>
      </a:accent1>
      <a:accent2>
        <a:srgbClr val="48A0AE"/>
      </a:accent2>
      <a:accent3>
        <a:srgbClr val="DA0000"/>
      </a:accent3>
      <a:accent4>
        <a:srgbClr val="E57200"/>
      </a:accent4>
      <a:accent5>
        <a:srgbClr val="F6A800"/>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F283CA36AE705543AB484A6F8EEB55F3" ma:contentTypeVersion="0" ma:contentTypeDescription="Új dokumentum létrehozása." ma:contentTypeScope="" ma:versionID="75807702e6454e24e4dfd829e9e8dc4e">
  <xsd:schema xmlns:xsd="http://www.w3.org/2001/XMLSchema" xmlns:xs="http://www.w3.org/2001/XMLSchema" xmlns:p="http://schemas.microsoft.com/office/2006/metadata/properties" targetNamespace="http://schemas.microsoft.com/office/2006/metadata/properties" ma:root="true" ma:fieldsID="08dee037046ad32af3116d3be75d37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Props1.xml><?xml version="1.0" encoding="utf-8"?>
<ds:datastoreItem xmlns:ds="http://schemas.openxmlformats.org/officeDocument/2006/customXml" ds:itemID="{24F4A00A-8A4D-4A92-9E25-6234CB71E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FC7442-5321-43B1-8EC4-49083E46AE3B}">
  <ds:schemaRefs>
    <ds:schemaRef ds:uri="http://schemas.microsoft.com/sharepoint/v3/contenttype/forms"/>
  </ds:schemaRefs>
</ds:datastoreItem>
</file>

<file path=customXml/itemProps3.xml><?xml version="1.0" encoding="utf-8"?>
<ds:datastoreItem xmlns:ds="http://schemas.openxmlformats.org/officeDocument/2006/customXml" ds:itemID="{F0D173DC-CFBD-4667-8C9D-99D0415FD0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6B5C4D-D02D-47D5-8CE8-6941CEBB5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2231</Words>
  <Characters>12241</Characters>
  <Application>Microsoft Office Word</Application>
  <DocSecurity>0</DocSecurity>
  <Lines>102</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2023-06-03T17:43:00Z</dcterms:created>
  <dcterms:modified xsi:type="dcterms:W3CDTF">2023-06-19T15:02:00Z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bakaib@mnb.hu</vt:lpwstr>
  </property>
  <property fmtid="{D5CDD505-2E9C-101B-9397-08002B2CF9AE}" pid="6" name="MSIP_Label_b0d11092-50c9-4e74-84b5-b1af078dc3d0_SetDate">
    <vt:lpwstr>2019-06-25T10:22:26.4198180+02:00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2025-12-15T14:34:41Z</vt:filetime>
  </property>
  <property fmtid="{D5CDD505-2E9C-101B-9397-08002B2CF9AE}" pid="12" name="Érvényességet beállító">
    <vt:lpwstr>bodnarm</vt:lpwstr>
  </property>
  <property fmtid="{D5CDD505-2E9C-101B-9397-08002B2CF9AE}" pid="13" name="Érvényességi idő első beállítása">
    <vt:filetime>2020-12-15T14:34:41Z</vt:filetime>
  </property>
  <property fmtid="{D5CDD505-2E9C-101B-9397-08002B2CF9AE}" pid="14" name="ContentTypeId">
    <vt:lpwstr>0x010100F283CA36AE705543AB484A6F8EEB55F3</vt:lpwstr>
  </property>
</Properties>
</file>