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D8F9" w14:textId="77777777" w:rsidR="00BA3919" w:rsidRPr="00DA50DC" w:rsidRDefault="00BA3919" w:rsidP="00815060">
      <w:pPr>
        <w:pStyle w:val="Default"/>
        <w:spacing w:line="276" w:lineRule="auto"/>
        <w:jc w:val="both"/>
        <w:rPr>
          <w:b/>
          <w:bCs/>
          <w:sz w:val="23"/>
          <w:szCs w:val="23"/>
          <w:lang w:val="en-GB"/>
        </w:rPr>
      </w:pPr>
      <w:r w:rsidRPr="00DA50DC">
        <w:rPr>
          <w:b/>
          <w:bCs/>
          <w:sz w:val="23"/>
          <w:szCs w:val="23"/>
          <w:lang w:val="en-GB"/>
        </w:rPr>
        <w:t xml:space="preserve">Annex 11: </w:t>
      </w:r>
    </w:p>
    <w:p w14:paraId="1D13D8FA" w14:textId="77777777" w:rsidR="00BA3919" w:rsidRPr="00DA50DC" w:rsidRDefault="00BA3919" w:rsidP="001A7B57">
      <w:pPr>
        <w:pStyle w:val="Default"/>
        <w:spacing w:line="276" w:lineRule="auto"/>
        <w:jc w:val="both"/>
        <w:rPr>
          <w:b/>
          <w:bCs/>
          <w:sz w:val="23"/>
          <w:szCs w:val="23"/>
          <w:lang w:val="en-GB"/>
        </w:rPr>
      </w:pPr>
    </w:p>
    <w:p w14:paraId="1D13D8FB" w14:textId="77777777" w:rsidR="00BA3919" w:rsidRPr="00DA50DC" w:rsidRDefault="00BA3919" w:rsidP="001A7B57">
      <w:pPr>
        <w:pStyle w:val="Default"/>
        <w:spacing w:line="276" w:lineRule="auto"/>
        <w:jc w:val="both"/>
        <w:rPr>
          <w:b/>
          <w:bCs/>
          <w:sz w:val="23"/>
          <w:szCs w:val="23"/>
          <w:lang w:val="en-GB"/>
        </w:rPr>
      </w:pPr>
      <w:r w:rsidRPr="00DA50DC">
        <w:rPr>
          <w:b/>
          <w:bCs/>
          <w:sz w:val="23"/>
          <w:szCs w:val="23"/>
          <w:lang w:val="en-GB"/>
        </w:rPr>
        <w:t xml:space="preserve">Information on unstable funds that are prioritised in the context of the supervisory review process and on the related liquidity requirements </w:t>
      </w:r>
    </w:p>
    <w:p w14:paraId="1D13D8FC" w14:textId="77777777" w:rsidR="00BA3919" w:rsidRPr="00DA50DC" w:rsidRDefault="00BA3919" w:rsidP="001A7B57">
      <w:pPr>
        <w:pStyle w:val="Default"/>
        <w:spacing w:line="276" w:lineRule="auto"/>
        <w:jc w:val="both"/>
        <w:rPr>
          <w:sz w:val="23"/>
          <w:szCs w:val="23"/>
          <w:lang w:val="en-GB"/>
        </w:rPr>
      </w:pPr>
    </w:p>
    <w:p w14:paraId="1D13D8FD" w14:textId="014D7D86" w:rsidR="00BA3919" w:rsidRPr="00DA50DC" w:rsidRDefault="00BA3919" w:rsidP="000809FC">
      <w:pPr>
        <w:ind w:left="360"/>
        <w:rPr>
          <w:sz w:val="23"/>
          <w:szCs w:val="23"/>
          <w:lang w:val="en-GB"/>
        </w:rPr>
      </w:pPr>
      <w:r w:rsidRPr="00DA50DC">
        <w:rPr>
          <w:sz w:val="23"/>
          <w:szCs w:val="23"/>
          <w:lang w:val="en-GB"/>
        </w:rPr>
        <w:t>Annex 11 forms part of the methodological manual entitled “The Internal Capital Adequacy Assessment Process (ICAAP), the Internal Liquidity Adequacy Assessment Process (</w:t>
      </w:r>
      <w:proofErr w:type="spellStart"/>
      <w:r w:rsidRPr="00DA50DC">
        <w:rPr>
          <w:sz w:val="23"/>
          <w:szCs w:val="23"/>
          <w:lang w:val="en-GB"/>
        </w:rPr>
        <w:t>ILAAP</w:t>
      </w:r>
      <w:proofErr w:type="spellEnd"/>
      <w:r w:rsidRPr="00DA50DC">
        <w:rPr>
          <w:sz w:val="23"/>
          <w:szCs w:val="23"/>
          <w:lang w:val="en-GB"/>
        </w:rPr>
        <w:t xml:space="preserve">) and their supervisory review, and the Business Model Analysis (BMA)” (hereinafter referred to as the “ICAAP, </w:t>
      </w:r>
      <w:proofErr w:type="spellStart"/>
      <w:r w:rsidRPr="00DA50DC">
        <w:rPr>
          <w:sz w:val="23"/>
          <w:szCs w:val="23"/>
          <w:lang w:val="en-GB"/>
        </w:rPr>
        <w:t>ILAAP</w:t>
      </w:r>
      <w:proofErr w:type="spellEnd"/>
      <w:r w:rsidRPr="00DA50DC">
        <w:rPr>
          <w:sz w:val="23"/>
          <w:szCs w:val="23"/>
          <w:lang w:val="en-GB"/>
        </w:rPr>
        <w:t xml:space="preserve"> and BMA Review Manual”), and it provides an overview of the portfolios that are high-risk from the aspect of liquidity</w:t>
      </w:r>
      <w:r w:rsidRPr="00DA50DC">
        <w:rPr>
          <w:rStyle w:val="Lbjegyzet-hivatkozs"/>
          <w:sz w:val="23"/>
          <w:szCs w:val="23"/>
          <w:lang w:val="en-GB"/>
        </w:rPr>
        <w:footnoteReference w:id="2"/>
      </w:r>
      <w:r w:rsidRPr="00DA50DC">
        <w:rPr>
          <w:sz w:val="23"/>
          <w:szCs w:val="23"/>
          <w:lang w:val="en-GB"/>
        </w:rPr>
        <w:t xml:space="preserve"> for which the MNB imposes </w:t>
      </w:r>
      <w:r w:rsidR="00A22AB0">
        <w:rPr>
          <w:sz w:val="23"/>
          <w:szCs w:val="23"/>
          <w:lang w:val="en-GB"/>
        </w:rPr>
        <w:t>extra</w:t>
      </w:r>
      <w:r w:rsidR="00A22AB0" w:rsidRPr="00DA50DC">
        <w:rPr>
          <w:sz w:val="23"/>
          <w:szCs w:val="23"/>
          <w:lang w:val="en-GB"/>
        </w:rPr>
        <w:t xml:space="preserve"> </w:t>
      </w:r>
      <w:r w:rsidRPr="00DA50DC">
        <w:rPr>
          <w:sz w:val="23"/>
          <w:szCs w:val="23"/>
          <w:lang w:val="en-GB"/>
        </w:rPr>
        <w:t xml:space="preserve">buffers when assessing </w:t>
      </w:r>
      <w:r w:rsidR="00A22AB0">
        <w:rPr>
          <w:sz w:val="23"/>
          <w:szCs w:val="23"/>
          <w:lang w:val="en-GB"/>
        </w:rPr>
        <w:t xml:space="preserve">the </w:t>
      </w:r>
      <w:proofErr w:type="spellStart"/>
      <w:r w:rsidR="00A22AB0">
        <w:rPr>
          <w:sz w:val="23"/>
          <w:szCs w:val="23"/>
          <w:lang w:val="en-GB"/>
        </w:rPr>
        <w:t>instutions</w:t>
      </w:r>
      <w:proofErr w:type="spellEnd"/>
      <w:r w:rsidR="00A22AB0">
        <w:rPr>
          <w:sz w:val="23"/>
          <w:szCs w:val="23"/>
          <w:lang w:val="en-GB"/>
        </w:rPr>
        <w:t>’</w:t>
      </w:r>
      <w:r w:rsidR="00A22AB0" w:rsidRPr="00DA50DC">
        <w:rPr>
          <w:sz w:val="23"/>
          <w:szCs w:val="23"/>
          <w:lang w:val="en-GB"/>
        </w:rPr>
        <w:t xml:space="preserve"> </w:t>
      </w:r>
      <w:r w:rsidRPr="00DA50DC">
        <w:rPr>
          <w:sz w:val="23"/>
          <w:szCs w:val="23"/>
          <w:lang w:val="en-GB"/>
        </w:rPr>
        <w:t>risk</w:t>
      </w:r>
      <w:r w:rsidR="00A22AB0">
        <w:rPr>
          <w:sz w:val="23"/>
          <w:szCs w:val="23"/>
          <w:lang w:val="en-GB"/>
        </w:rPr>
        <w:t>s</w:t>
      </w:r>
      <w:r w:rsidRPr="00DA50DC">
        <w:rPr>
          <w:sz w:val="23"/>
          <w:szCs w:val="23"/>
          <w:lang w:val="en-GB"/>
        </w:rPr>
        <w:t>, and which are closely monitored by the MNB. The unstable portfolios disclosed herein are annually reviewed by the MNB.</w:t>
      </w:r>
    </w:p>
    <w:p w14:paraId="1D13D8FE" w14:textId="77777777" w:rsidR="00BA3919" w:rsidRPr="00DA50DC" w:rsidRDefault="00BA3919" w:rsidP="000809FC">
      <w:pPr>
        <w:pStyle w:val="Default"/>
        <w:spacing w:line="276" w:lineRule="auto"/>
        <w:jc w:val="both"/>
        <w:rPr>
          <w:lang w:val="en-GB"/>
        </w:rPr>
      </w:pPr>
    </w:p>
    <w:p w14:paraId="1D13D8FF" w14:textId="384E0CAE" w:rsidR="00BA3919" w:rsidRPr="00DA50DC" w:rsidRDefault="00BA3919" w:rsidP="000809FC">
      <w:pPr>
        <w:ind w:left="360"/>
        <w:rPr>
          <w:sz w:val="23"/>
          <w:szCs w:val="23"/>
          <w:lang w:val="en-GB"/>
        </w:rPr>
      </w:pPr>
      <w:r w:rsidRPr="00DA50DC">
        <w:rPr>
          <w:sz w:val="23"/>
          <w:szCs w:val="23"/>
          <w:lang w:val="en-GB"/>
        </w:rPr>
        <w:t xml:space="preserve">This Information Notice discloses the portfolios which represent risks that give rise to </w:t>
      </w:r>
      <w:proofErr w:type="gramStart"/>
      <w:r w:rsidRPr="00DA50DC">
        <w:rPr>
          <w:sz w:val="23"/>
          <w:szCs w:val="23"/>
          <w:lang w:val="en-GB"/>
        </w:rPr>
        <w:t>particular supervisory</w:t>
      </w:r>
      <w:proofErr w:type="gramEnd"/>
      <w:r w:rsidRPr="00DA50DC">
        <w:rPr>
          <w:sz w:val="23"/>
          <w:szCs w:val="23"/>
          <w:lang w:val="en-GB"/>
        </w:rPr>
        <w:t xml:space="preserve"> concerns for the Hungarian market, based on analytical and supervisory information. Therefore, it is expected and justified that the institutions concerned ensure additional liquidity to manage these risks. </w:t>
      </w:r>
      <w:proofErr w:type="gramStart"/>
      <w:r w:rsidRPr="00DA50DC">
        <w:rPr>
          <w:sz w:val="23"/>
          <w:szCs w:val="23"/>
          <w:lang w:val="en-GB"/>
        </w:rPr>
        <w:t>As a general rule</w:t>
      </w:r>
      <w:proofErr w:type="gramEnd"/>
      <w:r w:rsidRPr="00DA50DC">
        <w:rPr>
          <w:sz w:val="23"/>
          <w:szCs w:val="23"/>
          <w:lang w:val="en-GB"/>
        </w:rPr>
        <w:t xml:space="preserve">, Magyar </w:t>
      </w:r>
      <w:proofErr w:type="spellStart"/>
      <w:r w:rsidRPr="00DA50DC">
        <w:rPr>
          <w:sz w:val="23"/>
          <w:szCs w:val="23"/>
          <w:lang w:val="en-GB"/>
        </w:rPr>
        <w:t>Nemzeti</w:t>
      </w:r>
      <w:proofErr w:type="spellEnd"/>
      <w:r w:rsidRPr="00DA50DC">
        <w:rPr>
          <w:sz w:val="23"/>
          <w:szCs w:val="23"/>
          <w:lang w:val="en-GB"/>
        </w:rPr>
        <w:t xml:space="preserve"> Bank (MNB) specifies the surplus requirement for the </w:t>
      </w:r>
      <w:proofErr w:type="spellStart"/>
      <w:r w:rsidRPr="00DA50DC">
        <w:rPr>
          <w:sz w:val="23"/>
          <w:szCs w:val="23"/>
          <w:lang w:val="en-GB"/>
        </w:rPr>
        <w:t>LCR</w:t>
      </w:r>
      <w:proofErr w:type="spellEnd"/>
      <w:r w:rsidRPr="00DA50DC">
        <w:rPr>
          <w:sz w:val="23"/>
          <w:szCs w:val="23"/>
          <w:lang w:val="en-GB"/>
        </w:rPr>
        <w:t xml:space="preserve"> indicator as the difference between the level required for unstable portfolios and the applicable Pillar 1 requirement as additional outflow, which can be reduced with the amounts excluded due to the inflow limit. Following dialogue with the </w:t>
      </w:r>
      <w:proofErr w:type="spellStart"/>
      <w:r w:rsidRPr="00DA50DC">
        <w:rPr>
          <w:sz w:val="23"/>
          <w:szCs w:val="23"/>
          <w:lang w:val="en-GB"/>
        </w:rPr>
        <w:t>ILAAP</w:t>
      </w:r>
      <w:proofErr w:type="spellEnd"/>
      <w:r w:rsidRPr="00DA50DC">
        <w:rPr>
          <w:sz w:val="23"/>
          <w:szCs w:val="23"/>
          <w:lang w:val="en-GB"/>
        </w:rPr>
        <w:t xml:space="preserve">, the institution may provide collateral for the outflow using other amounts not taken into consideration (e.g. credit </w:t>
      </w:r>
      <w:r w:rsidR="00A22AB0">
        <w:rPr>
          <w:sz w:val="23"/>
          <w:szCs w:val="23"/>
          <w:lang w:val="en-GB"/>
        </w:rPr>
        <w:t>lines</w:t>
      </w:r>
      <w:r w:rsidRPr="00DA50DC">
        <w:rPr>
          <w:sz w:val="23"/>
          <w:szCs w:val="23"/>
          <w:lang w:val="en-GB"/>
        </w:rPr>
        <w:t xml:space="preserve">). The MNB uses the following formula to determine the </w:t>
      </w:r>
      <w:proofErr w:type="spellStart"/>
      <w:r w:rsidRPr="00DA50DC">
        <w:rPr>
          <w:sz w:val="23"/>
          <w:szCs w:val="23"/>
          <w:lang w:val="en-GB"/>
        </w:rPr>
        <w:t>LCR</w:t>
      </w:r>
      <w:proofErr w:type="spellEnd"/>
      <w:r w:rsidRPr="00DA50DC">
        <w:rPr>
          <w:sz w:val="23"/>
          <w:szCs w:val="23"/>
          <w:lang w:val="en-GB"/>
        </w:rPr>
        <w:t xml:space="preserve"> indicator adjusted with the surplus requirement:</w:t>
      </w:r>
    </w:p>
    <w:p w14:paraId="1D13D900" w14:textId="77777777" w:rsidR="00BA3919" w:rsidRPr="00DA50DC" w:rsidRDefault="00BA3919" w:rsidP="00355D51">
      <w:pPr>
        <w:jc w:val="center"/>
        <w:rPr>
          <w:lang w:val="en-GB"/>
        </w:rPr>
      </w:pPr>
      <w:proofErr w:type="spellStart"/>
      <w:r w:rsidRPr="00DA50DC">
        <w:rPr>
          <w:lang w:val="en-GB"/>
        </w:rPr>
        <w:t>LCR</w:t>
      </w:r>
      <w:proofErr w:type="spellEnd"/>
      <w:r w:rsidRPr="00DA50DC">
        <w:rPr>
          <w:lang w:val="en-GB"/>
        </w:rPr>
        <w:t xml:space="preserve"> II = </w:t>
      </w:r>
      <w:proofErr w:type="spellStart"/>
      <w:r w:rsidRPr="00DA50DC">
        <w:rPr>
          <w:lang w:val="en-GB"/>
        </w:rPr>
        <w:t>HQLA</w:t>
      </w:r>
      <w:proofErr w:type="spellEnd"/>
      <w:r w:rsidRPr="00DA50DC">
        <w:rPr>
          <w:lang w:val="en-GB"/>
        </w:rPr>
        <w:t>/[OUT-</w:t>
      </w:r>
      <w:proofErr w:type="gramStart"/>
      <w:r w:rsidRPr="00DA50DC">
        <w:rPr>
          <w:lang w:val="en-GB"/>
        </w:rPr>
        <w:t>min(</w:t>
      </w:r>
      <w:proofErr w:type="spellStart"/>
      <w:proofErr w:type="gramEnd"/>
      <w:r w:rsidRPr="00DA50DC">
        <w:rPr>
          <w:lang w:val="en-GB"/>
        </w:rPr>
        <w:t>IN;OUT</w:t>
      </w:r>
      <w:proofErr w:type="spellEnd"/>
      <w:r w:rsidRPr="00DA50DC">
        <w:rPr>
          <w:lang w:val="en-GB"/>
        </w:rPr>
        <w:t>*0.75)+max(</w:t>
      </w:r>
      <w:proofErr w:type="spellStart"/>
      <w:r w:rsidRPr="00DA50DC">
        <w:rPr>
          <w:lang w:val="en-GB"/>
        </w:rPr>
        <w:t>ILAAP</w:t>
      </w:r>
      <w:proofErr w:type="spellEnd"/>
      <w:r w:rsidRPr="00DA50DC">
        <w:rPr>
          <w:lang w:val="en-GB"/>
        </w:rPr>
        <w:t>-max{IN-OUT*0.75;0};0)]</w:t>
      </w:r>
    </w:p>
    <w:p w14:paraId="1D13D901" w14:textId="6F7A0C6C" w:rsidR="00BA3919" w:rsidRPr="00DA50DC" w:rsidRDefault="00BA3919" w:rsidP="00355D51">
      <w:pPr>
        <w:ind w:left="426"/>
        <w:rPr>
          <w:lang w:val="en-GB"/>
        </w:rPr>
      </w:pPr>
      <w:proofErr w:type="spellStart"/>
      <w:r w:rsidRPr="00DA50DC">
        <w:rPr>
          <w:lang w:val="en-GB"/>
        </w:rPr>
        <w:t>ILAAP</w:t>
      </w:r>
      <w:proofErr w:type="spellEnd"/>
      <w:r w:rsidRPr="00DA50DC">
        <w:rPr>
          <w:lang w:val="en-GB"/>
        </w:rPr>
        <w:t xml:space="preserve">: surplus requirements determined </w:t>
      </w:r>
      <w:r w:rsidR="00A22AB0">
        <w:rPr>
          <w:lang w:val="en-GB"/>
        </w:rPr>
        <w:t>as</w:t>
      </w:r>
      <w:r w:rsidR="00A22AB0" w:rsidRPr="00DA50DC">
        <w:rPr>
          <w:lang w:val="en-GB"/>
        </w:rPr>
        <w:t xml:space="preserve"> </w:t>
      </w:r>
      <w:r w:rsidRPr="00DA50DC">
        <w:rPr>
          <w:lang w:val="en-GB"/>
        </w:rPr>
        <w:t>outflow</w:t>
      </w:r>
    </w:p>
    <w:p w14:paraId="1D13D902" w14:textId="77777777" w:rsidR="00BA3919" w:rsidRPr="00DA50DC" w:rsidRDefault="00BA3919" w:rsidP="000809FC">
      <w:pPr>
        <w:ind w:left="360"/>
        <w:rPr>
          <w:sz w:val="23"/>
          <w:szCs w:val="23"/>
          <w:lang w:val="en-GB"/>
        </w:rPr>
      </w:pPr>
    </w:p>
    <w:p w14:paraId="1D13D903" w14:textId="77777777" w:rsidR="00BA3919" w:rsidRPr="00DA50DC" w:rsidRDefault="00BA3919" w:rsidP="000809FC">
      <w:pPr>
        <w:ind w:left="360"/>
        <w:rPr>
          <w:sz w:val="23"/>
          <w:szCs w:val="23"/>
          <w:lang w:val="en-GB"/>
        </w:rPr>
      </w:pPr>
      <w:r w:rsidRPr="00DA50DC">
        <w:rPr>
          <w:sz w:val="23"/>
          <w:szCs w:val="23"/>
          <w:lang w:val="en-GB"/>
        </w:rPr>
        <w:t>Any deviations from the above methodology are indicated in the given portfolio. If no methodology is specified in the given portfolio, the institution shall determine the surplus requirement according to its own risk assessment. The MNB expects the institutions to demonstrate how they manage their unstable portfolios under Pillar 1 and Pillar 2 for all portfolios.</w:t>
      </w:r>
    </w:p>
    <w:p w14:paraId="1D13D904" w14:textId="77777777" w:rsidR="00BA3919" w:rsidRPr="00DA50DC" w:rsidRDefault="00BA3919" w:rsidP="000809FC">
      <w:pPr>
        <w:ind w:left="360"/>
        <w:rPr>
          <w:sz w:val="23"/>
          <w:szCs w:val="23"/>
          <w:lang w:val="en-GB"/>
        </w:rPr>
      </w:pPr>
      <w:r w:rsidRPr="00DA50DC">
        <w:rPr>
          <w:sz w:val="23"/>
          <w:szCs w:val="23"/>
          <w:lang w:val="en-GB"/>
        </w:rPr>
        <w:t>The MNB expects the institution itself to also assess the risks of the portfolio in the information and, if necessary, set aside a liquidity buffer in Pillar 2 that is greater than that specified in the information notice.</w:t>
      </w:r>
    </w:p>
    <w:p w14:paraId="1D13D905" w14:textId="77777777" w:rsidR="00BA3919" w:rsidRPr="00DA50DC" w:rsidRDefault="00BA3919" w:rsidP="000809FC">
      <w:pPr>
        <w:pStyle w:val="Default"/>
        <w:spacing w:line="276" w:lineRule="auto"/>
        <w:jc w:val="both"/>
        <w:rPr>
          <w:lang w:val="en-GB"/>
        </w:rPr>
      </w:pPr>
    </w:p>
    <w:p w14:paraId="1D13D906" w14:textId="77777777" w:rsidR="00BA3919" w:rsidRPr="00DA50DC" w:rsidRDefault="00BA3919" w:rsidP="000809FC">
      <w:pPr>
        <w:pStyle w:val="Default"/>
        <w:spacing w:line="276" w:lineRule="auto"/>
        <w:ind w:left="360"/>
        <w:jc w:val="both"/>
        <w:rPr>
          <w:sz w:val="23"/>
          <w:szCs w:val="23"/>
          <w:lang w:val="en-GB"/>
        </w:rPr>
      </w:pPr>
      <w:r w:rsidRPr="00DA50DC">
        <w:rPr>
          <w:sz w:val="23"/>
          <w:szCs w:val="23"/>
          <w:lang w:val="en-GB"/>
        </w:rPr>
        <w:t xml:space="preserve">The level of the imposed requirement depends on the given institution’s risk management standards and the sophistication of the methodology used. If the institution under review </w:t>
      </w:r>
      <w:proofErr w:type="gramStart"/>
      <w:r w:rsidRPr="00DA50DC">
        <w:rPr>
          <w:sz w:val="23"/>
          <w:szCs w:val="23"/>
          <w:lang w:val="en-GB"/>
        </w:rPr>
        <w:t>is able to</w:t>
      </w:r>
      <w:proofErr w:type="gramEnd"/>
      <w:r w:rsidRPr="00DA50DC">
        <w:rPr>
          <w:sz w:val="23"/>
          <w:szCs w:val="23"/>
          <w:lang w:val="en-GB"/>
        </w:rPr>
        <w:t xml:space="preserve"> provide sufficient evidence of the adequacy of the model it uses or the practices it has </w:t>
      </w:r>
      <w:r w:rsidRPr="00DA50DC">
        <w:rPr>
          <w:sz w:val="23"/>
          <w:szCs w:val="23"/>
          <w:lang w:val="en-GB"/>
        </w:rPr>
        <w:lastRenderedPageBreak/>
        <w:t>established, the MNB may decide to deviate from this Information Notice for certain unstable portfolios. According to point 1 of this Annex, the 100 per cent outflow requirement applicable to large deposits is not subject to consideration. When determining the surplus requirement, the MNB takes systemic liquidity risk into account as well.</w:t>
      </w:r>
    </w:p>
    <w:p w14:paraId="1D13D907" w14:textId="77777777" w:rsidR="00BA3919" w:rsidRPr="00DA50DC" w:rsidRDefault="00BA3919" w:rsidP="000809FC">
      <w:pPr>
        <w:ind w:left="360"/>
        <w:rPr>
          <w:sz w:val="23"/>
          <w:szCs w:val="23"/>
          <w:lang w:val="en-GB"/>
        </w:rPr>
      </w:pPr>
      <w:r w:rsidRPr="00DA50DC">
        <w:rPr>
          <w:sz w:val="23"/>
          <w:szCs w:val="23"/>
          <w:lang w:val="en-GB"/>
        </w:rPr>
        <w:t>The MNB applies the requirements uniformly to all relevant market participants based on the principles of competitive neutrality and equal treatment. This also means that it also expects the various financial and capital market participants not subject to consolidated supervision in Hungary (including branches of foreign institutions operating in Hungary) to operate in compliance with the following conditions, which it also enforces through other supervisory measures and international cooperation.</w:t>
      </w:r>
    </w:p>
    <w:p w14:paraId="1D13D908" w14:textId="77777777" w:rsidR="00BA3919" w:rsidRPr="00DA50DC" w:rsidRDefault="00BA3919" w:rsidP="000809FC">
      <w:pPr>
        <w:pStyle w:val="Default"/>
        <w:spacing w:line="276" w:lineRule="auto"/>
        <w:ind w:left="360"/>
        <w:jc w:val="both"/>
        <w:rPr>
          <w:sz w:val="23"/>
          <w:szCs w:val="23"/>
          <w:lang w:val="en-GB"/>
        </w:rPr>
      </w:pPr>
      <w:r w:rsidRPr="00DA50DC">
        <w:rPr>
          <w:sz w:val="23"/>
          <w:szCs w:val="23"/>
          <w:lang w:val="en-GB"/>
        </w:rPr>
        <w:t xml:space="preserve">Compliance with the additional liquidity requirement for unstable portfolios is checked by the MNB during its annual </w:t>
      </w:r>
      <w:proofErr w:type="spellStart"/>
      <w:r w:rsidRPr="00DA50DC">
        <w:rPr>
          <w:sz w:val="23"/>
          <w:szCs w:val="23"/>
          <w:lang w:val="en-GB"/>
        </w:rPr>
        <w:t>ILAAP</w:t>
      </w:r>
      <w:proofErr w:type="spellEnd"/>
      <w:r w:rsidRPr="00DA50DC">
        <w:rPr>
          <w:sz w:val="23"/>
          <w:szCs w:val="23"/>
          <w:lang w:val="en-GB"/>
        </w:rPr>
        <w:t xml:space="preserve"> reviews, using the data request form entitled “Data disclosure request for the review of unstable funds” provided on its website. The form must be completed for the date specified in the inspection, for the given level of inspection (individual/consolidated). In case of a consolidated </w:t>
      </w:r>
      <w:proofErr w:type="spellStart"/>
      <w:r w:rsidRPr="00DA50DC">
        <w:rPr>
          <w:sz w:val="23"/>
          <w:szCs w:val="23"/>
          <w:lang w:val="en-GB"/>
        </w:rPr>
        <w:t>ILAAP</w:t>
      </w:r>
      <w:proofErr w:type="spellEnd"/>
      <w:r w:rsidRPr="00DA50DC">
        <w:rPr>
          <w:sz w:val="23"/>
          <w:szCs w:val="23"/>
          <w:lang w:val="en-GB"/>
        </w:rPr>
        <w:t xml:space="preserve"> review, deviations from this Information Notice may be possible for the portfolios of foreign subsidiaries, if justified by the local circumstances. Exposures that are considered risky from several aspects have to be included in each portfolio concerned, and according to the regulations applying to the given portfolio, additional liquidity has to be set for each risk </w:t>
      </w:r>
      <w:proofErr w:type="gramStart"/>
      <w:r w:rsidRPr="00DA50DC">
        <w:rPr>
          <w:sz w:val="23"/>
          <w:szCs w:val="23"/>
          <w:lang w:val="en-GB"/>
        </w:rPr>
        <w:t>separately;</w:t>
      </w:r>
      <w:proofErr w:type="gramEnd"/>
      <w:r w:rsidRPr="00DA50DC">
        <w:rPr>
          <w:sz w:val="23"/>
          <w:szCs w:val="23"/>
          <w:lang w:val="en-GB"/>
        </w:rPr>
        <w:t xml:space="preserve"> however, the 100 per cent Pillar 1 and 2 outflow value for each transaction forms an upper limit. The terms used in this Information Notice (e.g. retail deposit) shall have the meanings specified in Commission Delegated Regulation (EU) 2015/61 (Delegated Regulation).</w:t>
      </w:r>
    </w:p>
    <w:p w14:paraId="1D13D909" w14:textId="77777777" w:rsidR="00BA3919" w:rsidRPr="00DA50DC" w:rsidRDefault="00BA3919" w:rsidP="001A7B57">
      <w:pPr>
        <w:pStyle w:val="Default"/>
        <w:spacing w:line="276" w:lineRule="auto"/>
        <w:jc w:val="both"/>
        <w:rPr>
          <w:sz w:val="23"/>
          <w:szCs w:val="23"/>
          <w:lang w:val="en-GB"/>
        </w:rPr>
      </w:pPr>
    </w:p>
    <w:p w14:paraId="1D13D90A" w14:textId="77777777" w:rsidR="00BA3919" w:rsidRPr="00DA50DC" w:rsidRDefault="00BA3919">
      <w:pPr>
        <w:rPr>
          <w:b/>
          <w:bCs/>
          <w:i/>
          <w:iCs/>
          <w:sz w:val="23"/>
          <w:szCs w:val="23"/>
          <w:lang w:val="en-GB"/>
        </w:rPr>
      </w:pPr>
      <w:r w:rsidRPr="00DA50DC">
        <w:rPr>
          <w:b/>
          <w:bCs/>
          <w:i/>
          <w:iCs/>
          <w:sz w:val="23"/>
          <w:szCs w:val="23"/>
          <w:lang w:val="en-GB"/>
        </w:rPr>
        <w:t xml:space="preserve">List of risks subject to high priority treatment by the MNB that may arise at the institutions subject to the </w:t>
      </w:r>
      <w:proofErr w:type="spellStart"/>
      <w:r w:rsidRPr="00DA50DC">
        <w:rPr>
          <w:b/>
          <w:bCs/>
          <w:i/>
          <w:iCs/>
          <w:sz w:val="23"/>
          <w:szCs w:val="23"/>
          <w:lang w:val="en-GB"/>
        </w:rPr>
        <w:t>CRD</w:t>
      </w:r>
      <w:proofErr w:type="spellEnd"/>
      <w:r w:rsidRPr="00DA50DC">
        <w:rPr>
          <w:b/>
          <w:bCs/>
          <w:i/>
          <w:iCs/>
          <w:sz w:val="23"/>
          <w:szCs w:val="23"/>
          <w:lang w:val="en-GB"/>
        </w:rPr>
        <w:t>/CRR:</w:t>
      </w:r>
    </w:p>
    <w:p w14:paraId="1D13D90B" w14:textId="77777777" w:rsidR="00BA3919" w:rsidRPr="00DA50DC" w:rsidRDefault="00BA3919" w:rsidP="001C26F8">
      <w:pPr>
        <w:pStyle w:val="Cmsor1"/>
        <w:jc w:val="both"/>
        <w:rPr>
          <w:lang w:val="en-GB"/>
        </w:rPr>
      </w:pPr>
      <w:r w:rsidRPr="00DA50DC">
        <w:rPr>
          <w:lang w:val="en-GB"/>
        </w:rPr>
        <w:t>Large depositors</w:t>
      </w:r>
    </w:p>
    <w:p w14:paraId="1D13D90C" w14:textId="77777777" w:rsidR="00BA3919" w:rsidRPr="00DA50DC" w:rsidRDefault="00BA3919" w:rsidP="000809FC">
      <w:pPr>
        <w:ind w:left="360"/>
        <w:rPr>
          <w:b/>
          <w:sz w:val="23"/>
          <w:szCs w:val="23"/>
          <w:lang w:val="en-GB"/>
        </w:rPr>
      </w:pPr>
      <w:r w:rsidRPr="00DA50DC">
        <w:rPr>
          <w:sz w:val="23"/>
          <w:szCs w:val="23"/>
          <w:lang w:val="en-GB"/>
        </w:rPr>
        <w:t xml:space="preserve">The traditional liquidity risk management of commercial banks is based on having many, independent sight deposits or short-term deposits form a stable basis at the portfolio level, allowing the institution to use those to finance long-term investments. Legal requirements assume that granularity is ensured when the household or corporate deposit portfolio is taken into consideration. Depositor concentration thus means an additional risk as compared to the legal requirement. Due to the better bargaining power of large depositors, it is professionally justified to take early withdrawal options into account. </w:t>
      </w:r>
      <w:r w:rsidRPr="00DA50DC">
        <w:rPr>
          <w:b/>
          <w:bCs/>
          <w:sz w:val="23"/>
          <w:szCs w:val="23"/>
          <w:lang w:val="en-GB"/>
        </w:rPr>
        <w:t xml:space="preserve">When calculating the </w:t>
      </w:r>
      <w:proofErr w:type="spellStart"/>
      <w:r w:rsidRPr="00DA50DC">
        <w:rPr>
          <w:b/>
          <w:bCs/>
          <w:sz w:val="23"/>
          <w:szCs w:val="23"/>
          <w:lang w:val="en-GB"/>
        </w:rPr>
        <w:t>LCR</w:t>
      </w:r>
      <w:proofErr w:type="spellEnd"/>
      <w:r w:rsidRPr="00DA50DC">
        <w:rPr>
          <w:b/>
          <w:bCs/>
          <w:sz w:val="23"/>
          <w:szCs w:val="23"/>
          <w:lang w:val="en-GB"/>
        </w:rPr>
        <w:t xml:space="preserve"> indicator, the MNB requires institutions to calculate a 100 per cent outflow for large depositors’ holdings that exceed the limit together with the first pillar.</w:t>
      </w:r>
    </w:p>
    <w:p w14:paraId="1D13D90D" w14:textId="77777777" w:rsidR="00BA3919" w:rsidRPr="00DA50DC" w:rsidRDefault="00BA3919" w:rsidP="000809FC">
      <w:pPr>
        <w:ind w:left="360"/>
        <w:rPr>
          <w:sz w:val="23"/>
          <w:szCs w:val="23"/>
          <w:lang w:val="en-GB"/>
        </w:rPr>
      </w:pPr>
      <w:r w:rsidRPr="00DA50DC">
        <w:rPr>
          <w:sz w:val="23"/>
          <w:szCs w:val="23"/>
          <w:lang w:val="en-GB"/>
        </w:rPr>
        <w:t>The surplus outflow shall be reported in the cell ‘C_76.</w:t>
      </w:r>
      <w:proofErr w:type="gramStart"/>
      <w:r w:rsidRPr="00DA50DC">
        <w:rPr>
          <w:sz w:val="23"/>
          <w:szCs w:val="23"/>
          <w:lang w:val="en-GB"/>
        </w:rPr>
        <w:t>00.A</w:t>
      </w:r>
      <w:proofErr w:type="gramEnd"/>
      <w:r w:rsidRPr="00DA50DC">
        <w:rPr>
          <w:sz w:val="23"/>
          <w:szCs w:val="23"/>
          <w:lang w:val="en-GB"/>
        </w:rPr>
        <w:t>380</w:t>
      </w:r>
      <w:r w:rsidRPr="00DA50DC">
        <w:rPr>
          <w:sz w:val="23"/>
          <w:szCs w:val="23"/>
          <w:lang w:val="en-GB"/>
        </w:rPr>
        <w:tab/>
        <w:t xml:space="preserve">1.5.1.__Requirement pursuant to Pillar II of Article 105 of the </w:t>
      </w:r>
      <w:proofErr w:type="spellStart"/>
      <w:r w:rsidRPr="00DA50DC">
        <w:rPr>
          <w:sz w:val="23"/>
          <w:szCs w:val="23"/>
          <w:lang w:val="en-GB"/>
        </w:rPr>
        <w:t>CRD</w:t>
      </w:r>
      <w:proofErr w:type="spellEnd"/>
      <w:r w:rsidRPr="00DA50DC">
        <w:rPr>
          <w:sz w:val="23"/>
          <w:szCs w:val="23"/>
          <w:lang w:val="en-GB"/>
        </w:rPr>
        <w:t>’ without taking into account the reduction by the amount that exceeds the inflow limit. It does not have to be reported in table ‘C_76.</w:t>
      </w:r>
      <w:proofErr w:type="gramStart"/>
      <w:r w:rsidRPr="00DA50DC">
        <w:rPr>
          <w:sz w:val="23"/>
          <w:szCs w:val="23"/>
          <w:lang w:val="en-GB"/>
        </w:rPr>
        <w:t>00.W</w:t>
      </w:r>
      <w:proofErr w:type="gramEnd"/>
      <w:r w:rsidRPr="00DA50DC">
        <w:rPr>
          <w:sz w:val="23"/>
          <w:szCs w:val="23"/>
          <w:lang w:val="en-GB"/>
        </w:rPr>
        <w:t>’.</w:t>
      </w:r>
    </w:p>
    <w:p w14:paraId="1D13D90E" w14:textId="77777777" w:rsidR="00BA3919" w:rsidRPr="00DA50DC" w:rsidRDefault="00BA3919" w:rsidP="000809FC">
      <w:pPr>
        <w:ind w:left="360"/>
        <w:rPr>
          <w:sz w:val="23"/>
          <w:szCs w:val="23"/>
          <w:lang w:val="en-GB"/>
        </w:rPr>
      </w:pPr>
      <w:r w:rsidRPr="00DA50DC">
        <w:rPr>
          <w:sz w:val="23"/>
          <w:szCs w:val="23"/>
          <w:lang w:val="en-GB"/>
        </w:rPr>
        <w:t>As large depositor concentrations are especially manifest in the case of smaller institutions, the principle of proportionality is not applicable.</w:t>
      </w:r>
    </w:p>
    <w:p w14:paraId="1D13D90F" w14:textId="77777777" w:rsidR="00BA3919" w:rsidRPr="00DA50DC" w:rsidRDefault="00BA3919" w:rsidP="000809FC">
      <w:pPr>
        <w:ind w:left="360"/>
        <w:rPr>
          <w:sz w:val="23"/>
          <w:szCs w:val="23"/>
          <w:u w:val="single"/>
          <w:lang w:val="en-GB"/>
        </w:rPr>
      </w:pPr>
      <w:r w:rsidRPr="00DA50DC">
        <w:rPr>
          <w:sz w:val="23"/>
          <w:szCs w:val="23"/>
          <w:u w:val="single"/>
          <w:lang w:val="en-GB"/>
        </w:rPr>
        <w:lastRenderedPageBreak/>
        <w:t>Methodology guide</w:t>
      </w:r>
    </w:p>
    <w:p w14:paraId="1D13D910" w14:textId="77777777" w:rsidR="00BA3919" w:rsidRPr="00DA50DC" w:rsidRDefault="00BA3919" w:rsidP="000809FC">
      <w:pPr>
        <w:ind w:left="360"/>
        <w:rPr>
          <w:sz w:val="23"/>
          <w:szCs w:val="23"/>
          <w:lang w:val="en-GB"/>
        </w:rPr>
      </w:pPr>
      <w:r w:rsidRPr="00DA50DC">
        <w:rPr>
          <w:sz w:val="23"/>
          <w:szCs w:val="23"/>
          <w:lang w:val="en-GB"/>
        </w:rPr>
        <w:t>Large depositor: customer groups shall be handled in consolidation</w:t>
      </w:r>
      <w:r w:rsidRPr="00DA50DC">
        <w:rPr>
          <w:rStyle w:val="Lbjegyzet-hivatkozs"/>
          <w:sz w:val="23"/>
          <w:szCs w:val="23"/>
          <w:lang w:val="en-GB"/>
        </w:rPr>
        <w:footnoteReference w:id="3"/>
      </w:r>
      <w:r w:rsidRPr="00DA50DC">
        <w:rPr>
          <w:sz w:val="23"/>
          <w:szCs w:val="23"/>
          <w:lang w:val="en-GB"/>
        </w:rPr>
        <w:t xml:space="preserve">, but the institutions in the same management group as the data provider do not have to be </w:t>
      </w:r>
      <w:proofErr w:type="gramStart"/>
      <w:r w:rsidRPr="00DA50DC">
        <w:rPr>
          <w:sz w:val="23"/>
          <w:szCs w:val="23"/>
          <w:lang w:val="en-GB"/>
        </w:rPr>
        <w:t>taken into account</w:t>
      </w:r>
      <w:proofErr w:type="gramEnd"/>
      <w:r w:rsidRPr="00DA50DC">
        <w:rPr>
          <w:sz w:val="23"/>
          <w:szCs w:val="23"/>
          <w:lang w:val="en-GB"/>
        </w:rPr>
        <w:t xml:space="preserve"> (parent, subsidiary, sister, funds managed by an own fund manager); with the exception of banks, all other types of customers.</w:t>
      </w:r>
    </w:p>
    <w:p w14:paraId="1D13D911" w14:textId="77777777" w:rsidR="00BA3919" w:rsidRPr="00DA50DC" w:rsidRDefault="00BA3919" w:rsidP="000809FC">
      <w:pPr>
        <w:ind w:left="360"/>
        <w:rPr>
          <w:sz w:val="23"/>
          <w:szCs w:val="23"/>
          <w:lang w:val="en-GB"/>
        </w:rPr>
      </w:pPr>
      <w:r w:rsidRPr="00DA50DC">
        <w:rPr>
          <w:sz w:val="23"/>
          <w:szCs w:val="23"/>
          <w:lang w:val="en-GB"/>
        </w:rPr>
        <w:t>Deposit: According to the 10GA definition, funds obtained in repo transactions, loans taken and security deposits may be excluded</w:t>
      </w:r>
      <w:r w:rsidRPr="00DA50DC">
        <w:rPr>
          <w:rStyle w:val="Lbjegyzet-hivatkozs"/>
          <w:sz w:val="23"/>
          <w:szCs w:val="23"/>
          <w:lang w:val="en-GB"/>
        </w:rPr>
        <w:footnoteReference w:id="4"/>
      </w:r>
      <w:r w:rsidRPr="00DA50DC">
        <w:rPr>
          <w:sz w:val="23"/>
          <w:szCs w:val="23"/>
          <w:lang w:val="en-GB"/>
        </w:rPr>
        <w:t>; no additional funds may be excluded citing other deposit or other reasons.</w:t>
      </w:r>
    </w:p>
    <w:p w14:paraId="1D13D912" w14:textId="77777777" w:rsidR="00BA3919" w:rsidRPr="00DA50DC" w:rsidRDefault="00BA3919" w:rsidP="000809FC">
      <w:pPr>
        <w:ind w:left="360"/>
        <w:rPr>
          <w:sz w:val="23"/>
          <w:szCs w:val="23"/>
          <w:lang w:val="en-GB"/>
        </w:rPr>
      </w:pPr>
      <w:r w:rsidRPr="00DA50DC">
        <w:rPr>
          <w:sz w:val="23"/>
          <w:szCs w:val="23"/>
          <w:lang w:val="en-GB"/>
        </w:rPr>
        <w:t>Limit: 1 per cent of the deposit portfolio; Table M01, Book value of deposits except banks 673-(675+676+689+694).</w:t>
      </w:r>
    </w:p>
    <w:p w14:paraId="1D13D913" w14:textId="77777777" w:rsidR="00BA3919" w:rsidRPr="00DA50DC" w:rsidRDefault="00BA3919" w:rsidP="000809FC">
      <w:pPr>
        <w:ind w:left="360"/>
        <w:rPr>
          <w:sz w:val="23"/>
          <w:szCs w:val="23"/>
          <w:lang w:val="en-GB"/>
        </w:rPr>
      </w:pPr>
      <w:r w:rsidRPr="00DA50DC">
        <w:rPr>
          <w:sz w:val="23"/>
          <w:szCs w:val="23"/>
          <w:lang w:val="en-GB"/>
        </w:rPr>
        <w:t xml:space="preserve">Excess outflow: applicable to the part of deposits that exceed the limit; the surplus should increase the outflow already recognised in </w:t>
      </w:r>
      <w:proofErr w:type="spellStart"/>
      <w:r w:rsidRPr="00DA50DC">
        <w:rPr>
          <w:sz w:val="23"/>
          <w:szCs w:val="23"/>
          <w:lang w:val="en-GB"/>
        </w:rPr>
        <w:t>LCR</w:t>
      </w:r>
      <w:proofErr w:type="spellEnd"/>
      <w:r w:rsidRPr="00DA50DC">
        <w:rPr>
          <w:sz w:val="23"/>
          <w:szCs w:val="23"/>
          <w:lang w:val="en-GB"/>
        </w:rPr>
        <w:t xml:space="preserve"> to 100 per cent. For deposits of various outflows, the surplus must be determined compared to the average outflow rate of deposits that exceed the limit, </w:t>
      </w:r>
      <w:proofErr w:type="gramStart"/>
      <w:r w:rsidRPr="00DA50DC">
        <w:rPr>
          <w:sz w:val="23"/>
          <w:szCs w:val="23"/>
          <w:lang w:val="en-GB"/>
        </w:rPr>
        <w:t>assuming that</w:t>
      </w:r>
      <w:proofErr w:type="gramEnd"/>
      <w:r w:rsidRPr="00DA50DC">
        <w:rPr>
          <w:sz w:val="23"/>
          <w:szCs w:val="23"/>
          <w:lang w:val="en-GB"/>
        </w:rPr>
        <w:t xml:space="preserve"> the deposits with the highest outflow weight will end up above the limit</w:t>
      </w:r>
      <w:r w:rsidRPr="00DA50DC">
        <w:rPr>
          <w:rStyle w:val="Lbjegyzet-hivatkozs"/>
          <w:sz w:val="23"/>
          <w:szCs w:val="23"/>
          <w:lang w:val="en-GB"/>
        </w:rPr>
        <w:footnoteReference w:id="5"/>
      </w:r>
      <w:r w:rsidRPr="00DA50DC">
        <w:rPr>
          <w:sz w:val="23"/>
          <w:szCs w:val="23"/>
          <w:lang w:val="en-GB"/>
        </w:rPr>
        <w:t>.</w:t>
      </w:r>
    </w:p>
    <w:p w14:paraId="1D13D914" w14:textId="77777777" w:rsidR="00BA3919" w:rsidRPr="00DA50DC" w:rsidRDefault="00BA3919" w:rsidP="000809FC">
      <w:pPr>
        <w:ind w:left="360"/>
        <w:rPr>
          <w:sz w:val="23"/>
          <w:szCs w:val="23"/>
          <w:lang w:val="en-GB"/>
        </w:rPr>
      </w:pPr>
      <w:r w:rsidRPr="00DA50DC">
        <w:rPr>
          <w:sz w:val="23"/>
          <w:szCs w:val="23"/>
          <w:lang w:val="en-GB"/>
        </w:rPr>
        <w:t>Although the surplus must be specified without a breakdown by currency, the general requirement related to the currency composition of the liquidity buffer is applicable.</w:t>
      </w:r>
    </w:p>
    <w:p w14:paraId="1D13D915" w14:textId="77777777" w:rsidR="00BA3919" w:rsidRPr="00DA50DC" w:rsidRDefault="00BA3919" w:rsidP="000809FC">
      <w:pPr>
        <w:ind w:left="360"/>
        <w:rPr>
          <w:sz w:val="23"/>
          <w:szCs w:val="23"/>
          <w:lang w:val="en-GB"/>
        </w:rPr>
      </w:pPr>
      <w:r w:rsidRPr="00DA50DC">
        <w:rPr>
          <w:sz w:val="23"/>
          <w:szCs w:val="23"/>
          <w:lang w:val="en-GB"/>
        </w:rPr>
        <w:t xml:space="preserve">The surplus requirements also apply to the </w:t>
      </w:r>
      <w:proofErr w:type="spellStart"/>
      <w:r w:rsidRPr="00DA50DC">
        <w:rPr>
          <w:sz w:val="23"/>
          <w:szCs w:val="23"/>
          <w:lang w:val="en-GB"/>
        </w:rPr>
        <w:t>NSFR</w:t>
      </w:r>
      <w:proofErr w:type="spellEnd"/>
      <w:r w:rsidRPr="00DA50DC">
        <w:rPr>
          <w:sz w:val="23"/>
          <w:szCs w:val="23"/>
          <w:lang w:val="en-GB"/>
        </w:rPr>
        <w:t xml:space="preserve">, with the difference that the part of the deposits that exceed the limit may not provide stable funding. Due to the different weights of </w:t>
      </w:r>
      <w:proofErr w:type="spellStart"/>
      <w:r w:rsidRPr="00DA50DC">
        <w:rPr>
          <w:sz w:val="23"/>
          <w:szCs w:val="23"/>
          <w:lang w:val="en-GB"/>
        </w:rPr>
        <w:t>LCR</w:t>
      </w:r>
      <w:proofErr w:type="spellEnd"/>
      <w:r w:rsidRPr="00DA50DC">
        <w:rPr>
          <w:sz w:val="23"/>
          <w:szCs w:val="23"/>
          <w:lang w:val="en-GB"/>
        </w:rPr>
        <w:t xml:space="preserve"> and </w:t>
      </w:r>
      <w:proofErr w:type="spellStart"/>
      <w:r w:rsidRPr="00DA50DC">
        <w:rPr>
          <w:sz w:val="23"/>
          <w:szCs w:val="23"/>
          <w:lang w:val="en-GB"/>
        </w:rPr>
        <w:t>NSFR</w:t>
      </w:r>
      <w:proofErr w:type="spellEnd"/>
      <w:r w:rsidRPr="00DA50DC">
        <w:rPr>
          <w:sz w:val="23"/>
          <w:szCs w:val="23"/>
          <w:lang w:val="en-GB"/>
        </w:rPr>
        <w:t xml:space="preserve">, the two surplus requirements are not identical. The quantification of the </w:t>
      </w:r>
      <w:proofErr w:type="spellStart"/>
      <w:r w:rsidRPr="00DA50DC">
        <w:rPr>
          <w:sz w:val="23"/>
          <w:szCs w:val="23"/>
          <w:lang w:val="en-GB"/>
        </w:rPr>
        <w:t>NSFR</w:t>
      </w:r>
      <w:proofErr w:type="spellEnd"/>
      <w:r w:rsidRPr="00DA50DC">
        <w:rPr>
          <w:sz w:val="23"/>
          <w:szCs w:val="23"/>
          <w:lang w:val="en-GB"/>
        </w:rPr>
        <w:t xml:space="preserve"> surplus requirement has no impact on regular data reporting. The measurement and implementation thereof by the bank </w:t>
      </w:r>
      <w:proofErr w:type="gramStart"/>
      <w:r w:rsidRPr="00DA50DC">
        <w:rPr>
          <w:sz w:val="23"/>
          <w:szCs w:val="23"/>
          <w:lang w:val="en-GB"/>
        </w:rPr>
        <w:t>is</w:t>
      </w:r>
      <w:proofErr w:type="gramEnd"/>
      <w:r w:rsidRPr="00DA50DC">
        <w:rPr>
          <w:sz w:val="23"/>
          <w:szCs w:val="23"/>
          <w:lang w:val="en-GB"/>
        </w:rPr>
        <w:t xml:space="preserve"> expected from the </w:t>
      </w:r>
      <w:proofErr w:type="spellStart"/>
      <w:r w:rsidRPr="00DA50DC">
        <w:rPr>
          <w:sz w:val="23"/>
          <w:szCs w:val="23"/>
          <w:lang w:val="en-GB"/>
        </w:rPr>
        <w:t>NSFR’s</w:t>
      </w:r>
      <w:proofErr w:type="spellEnd"/>
      <w:r w:rsidRPr="00DA50DC">
        <w:rPr>
          <w:sz w:val="23"/>
          <w:szCs w:val="23"/>
          <w:lang w:val="en-GB"/>
        </w:rPr>
        <w:t xml:space="preserve"> entry into force. The MNB will verify compliance by estimation based on 10GA and during the inspections.</w:t>
      </w:r>
    </w:p>
    <w:p w14:paraId="28A0322C" w14:textId="3EB7432B" w:rsidR="0069567D" w:rsidRPr="00DA50DC" w:rsidRDefault="00293EB3" w:rsidP="000809FC">
      <w:pPr>
        <w:ind w:left="360"/>
        <w:rPr>
          <w:sz w:val="23"/>
          <w:szCs w:val="23"/>
          <w:lang w:val="en-GB"/>
        </w:rPr>
      </w:pPr>
      <w:r w:rsidRPr="00DA50DC">
        <w:rPr>
          <w:sz w:val="23"/>
          <w:szCs w:val="23"/>
          <w:lang w:val="en-GB"/>
        </w:rPr>
        <w:t xml:space="preserve">Deposit holders close to the 1 percent ratio can also cause deposit concentration. If the (customer) concentration of a credit institution’s source of funding exceeds the market average and there are no mitigating circumstances that would tangibly reduce the risks (e.g. parent bank credit </w:t>
      </w:r>
      <w:r w:rsidR="00A22AB0">
        <w:rPr>
          <w:sz w:val="23"/>
          <w:szCs w:val="23"/>
          <w:lang w:val="en-GB"/>
        </w:rPr>
        <w:t>line</w:t>
      </w:r>
      <w:r w:rsidRPr="00DA50DC">
        <w:rPr>
          <w:sz w:val="23"/>
          <w:szCs w:val="23"/>
          <w:lang w:val="en-GB"/>
        </w:rPr>
        <w:t xml:space="preserve">), the MNB may, in addition to the above, set a unique liquidity surplus requirement to be formed in the Pillar 2 </w:t>
      </w:r>
      <w:proofErr w:type="spellStart"/>
      <w:r w:rsidRPr="00DA50DC">
        <w:rPr>
          <w:sz w:val="23"/>
          <w:szCs w:val="23"/>
          <w:lang w:val="en-GB"/>
        </w:rPr>
        <w:t>LCR</w:t>
      </w:r>
      <w:proofErr w:type="spellEnd"/>
      <w:r w:rsidRPr="00DA50DC">
        <w:rPr>
          <w:sz w:val="23"/>
          <w:szCs w:val="23"/>
          <w:lang w:val="en-GB"/>
        </w:rPr>
        <w:t xml:space="preserve"> (the Pillar 2 requirements cannot result in outflow of more than 100 per cent at the transaction level when taken together with Pillar 1 requirements).</w:t>
      </w:r>
    </w:p>
    <w:p w14:paraId="1D13D916" w14:textId="77777777" w:rsidR="00BA3919" w:rsidRPr="00DA50DC" w:rsidRDefault="00BA3919" w:rsidP="001C26F8">
      <w:pPr>
        <w:pStyle w:val="Cmsor1"/>
        <w:jc w:val="both"/>
        <w:rPr>
          <w:lang w:val="en-GB"/>
        </w:rPr>
      </w:pPr>
      <w:r w:rsidRPr="00DA50DC">
        <w:rPr>
          <w:lang w:val="en-GB"/>
        </w:rPr>
        <w:lastRenderedPageBreak/>
        <w:t>Redeemable deposits</w:t>
      </w:r>
    </w:p>
    <w:p w14:paraId="1D13D917" w14:textId="0B46ECE1" w:rsidR="00BA3919" w:rsidRPr="00DA50DC" w:rsidRDefault="00BA3919" w:rsidP="000809FC">
      <w:pPr>
        <w:ind w:left="360"/>
        <w:rPr>
          <w:sz w:val="23"/>
          <w:szCs w:val="23"/>
          <w:lang w:val="en-GB"/>
        </w:rPr>
      </w:pPr>
      <w:r w:rsidRPr="00DA50DC">
        <w:rPr>
          <w:sz w:val="23"/>
          <w:szCs w:val="23"/>
          <w:lang w:val="en-GB"/>
        </w:rPr>
        <w:t xml:space="preserve">The MNB is of the opinion that in a </w:t>
      </w:r>
      <w:proofErr w:type="gramStart"/>
      <w:r w:rsidRPr="00DA50DC">
        <w:rPr>
          <w:sz w:val="23"/>
          <w:szCs w:val="23"/>
          <w:lang w:val="en-GB"/>
        </w:rPr>
        <w:t>low interest rate</w:t>
      </w:r>
      <w:proofErr w:type="gramEnd"/>
      <w:r w:rsidRPr="00DA50DC">
        <w:rPr>
          <w:sz w:val="23"/>
          <w:szCs w:val="23"/>
          <w:lang w:val="en-GB"/>
        </w:rPr>
        <w:t xml:space="preserve"> environment the loss of the accrued interest on fixed deposits which may be withdrawn early is not an adequate incentive to wait until the maturity of the deposit, and thus residual liquidity risk appears compared to the </w:t>
      </w:r>
      <w:proofErr w:type="spellStart"/>
      <w:r w:rsidRPr="00DA50DC">
        <w:rPr>
          <w:sz w:val="23"/>
          <w:szCs w:val="23"/>
          <w:lang w:val="en-GB"/>
        </w:rPr>
        <w:t>LCR</w:t>
      </w:r>
      <w:proofErr w:type="spellEnd"/>
      <w:r w:rsidRPr="00DA50DC">
        <w:rPr>
          <w:sz w:val="23"/>
          <w:szCs w:val="23"/>
          <w:lang w:val="en-GB"/>
        </w:rPr>
        <w:t xml:space="preserve"> regulation (Article 25 (4) (b) of Delegated Regulation).</w:t>
      </w:r>
    </w:p>
    <w:p w14:paraId="1D13D918" w14:textId="77777777" w:rsidR="00BA3919" w:rsidRPr="00DA50DC" w:rsidRDefault="00BA3919" w:rsidP="000809FC">
      <w:pPr>
        <w:ind w:left="360"/>
        <w:rPr>
          <w:sz w:val="23"/>
          <w:szCs w:val="23"/>
          <w:lang w:val="en-GB"/>
        </w:rPr>
      </w:pPr>
      <w:r w:rsidRPr="00DA50DC">
        <w:rPr>
          <w:sz w:val="23"/>
          <w:szCs w:val="23"/>
          <w:lang w:val="en-GB"/>
        </w:rPr>
        <w:t>The MNB prescribes no automatic surplus requirement for this portfolio. On the other hand, institutions are expected to assess, in legal terms, the possibility of early withdrawal of retail term deposits, to analyse the actual early withdrawals in statistical terms, and, if necessary, to quantify excess outflow and form the respective collateral.</w:t>
      </w:r>
    </w:p>
    <w:p w14:paraId="1D13D919" w14:textId="77777777" w:rsidR="00BA3919" w:rsidRPr="00DA50DC" w:rsidRDefault="00BA3919" w:rsidP="000809FC">
      <w:pPr>
        <w:ind w:left="360"/>
        <w:rPr>
          <w:lang w:val="en-GB"/>
        </w:rPr>
      </w:pPr>
      <w:r w:rsidRPr="00DA50DC">
        <w:rPr>
          <w:sz w:val="23"/>
          <w:szCs w:val="23"/>
          <w:lang w:val="en-GB"/>
        </w:rPr>
        <w:t xml:space="preserve">Affected indicators: </w:t>
      </w:r>
      <w:proofErr w:type="spellStart"/>
      <w:r w:rsidRPr="00DA50DC">
        <w:rPr>
          <w:sz w:val="23"/>
          <w:szCs w:val="23"/>
          <w:lang w:val="en-GB"/>
        </w:rPr>
        <w:t>LCR</w:t>
      </w:r>
      <w:proofErr w:type="spellEnd"/>
      <w:r w:rsidRPr="00DA50DC">
        <w:rPr>
          <w:sz w:val="23"/>
          <w:szCs w:val="23"/>
          <w:lang w:val="en-GB"/>
        </w:rPr>
        <w:t>, stress tests</w:t>
      </w:r>
    </w:p>
    <w:p w14:paraId="1D13D91A" w14:textId="5AC2E313" w:rsidR="00BA3919" w:rsidRPr="00DA50DC" w:rsidRDefault="0071200A" w:rsidP="001C26F8">
      <w:pPr>
        <w:pStyle w:val="Cmsor1"/>
        <w:jc w:val="both"/>
        <w:rPr>
          <w:lang w:val="en-GB"/>
        </w:rPr>
      </w:pPr>
      <w:r w:rsidRPr="00DA50DC">
        <w:rPr>
          <w:lang w:val="en-GB"/>
        </w:rPr>
        <w:t>C</w:t>
      </w:r>
      <w:r>
        <w:rPr>
          <w:lang w:val="en-GB"/>
        </w:rPr>
        <w:t>allable</w:t>
      </w:r>
      <w:r w:rsidRPr="00DA50DC">
        <w:rPr>
          <w:lang w:val="en-GB"/>
        </w:rPr>
        <w:t xml:space="preserve"> </w:t>
      </w:r>
      <w:r w:rsidR="00BA3919" w:rsidRPr="00DA50DC">
        <w:rPr>
          <w:lang w:val="en-GB"/>
        </w:rPr>
        <w:t>deposits</w:t>
      </w:r>
    </w:p>
    <w:p w14:paraId="1D13D91B" w14:textId="344062E3" w:rsidR="00BA3919" w:rsidRPr="00DA50DC" w:rsidRDefault="00BA3919" w:rsidP="000809FC">
      <w:pPr>
        <w:ind w:left="360"/>
        <w:rPr>
          <w:sz w:val="23"/>
          <w:szCs w:val="23"/>
          <w:lang w:val="en-GB"/>
        </w:rPr>
      </w:pPr>
      <w:r w:rsidRPr="00DA50DC">
        <w:rPr>
          <w:sz w:val="23"/>
          <w:szCs w:val="23"/>
          <w:lang w:val="en-GB"/>
        </w:rPr>
        <w:t xml:space="preserve">The MNB is of the view that in the Hungarian market a major part of </w:t>
      </w:r>
      <w:r w:rsidR="0071200A">
        <w:rPr>
          <w:sz w:val="23"/>
          <w:szCs w:val="23"/>
          <w:lang w:val="en-GB"/>
        </w:rPr>
        <w:t>callable</w:t>
      </w:r>
      <w:r w:rsidR="0071200A" w:rsidRPr="00DA50DC">
        <w:rPr>
          <w:sz w:val="23"/>
          <w:szCs w:val="23"/>
          <w:lang w:val="en-GB"/>
        </w:rPr>
        <w:t xml:space="preserve"> </w:t>
      </w:r>
      <w:r w:rsidRPr="00DA50DC">
        <w:rPr>
          <w:sz w:val="23"/>
          <w:szCs w:val="23"/>
          <w:lang w:val="en-GB"/>
        </w:rPr>
        <w:t xml:space="preserve">deposits are disposed over only after the expiry of the notice period, and thus these deposits represent higher risk than reflected in the </w:t>
      </w:r>
      <w:proofErr w:type="spellStart"/>
      <w:r w:rsidRPr="00DA50DC">
        <w:rPr>
          <w:sz w:val="23"/>
          <w:szCs w:val="23"/>
          <w:lang w:val="en-GB"/>
        </w:rPr>
        <w:t>LCR</w:t>
      </w:r>
      <w:proofErr w:type="spellEnd"/>
      <w:r w:rsidRPr="00DA50DC">
        <w:rPr>
          <w:sz w:val="23"/>
          <w:szCs w:val="23"/>
          <w:lang w:val="en-GB"/>
        </w:rPr>
        <w:t xml:space="preserve"> regulation (Article 25 (4) (b) second paragraph of the Delegated Regulation (an outflow rate of 100 per cent is applied only when the payment is made to another credit institution). The </w:t>
      </w:r>
      <w:proofErr w:type="gramStart"/>
      <w:r w:rsidRPr="00DA50DC">
        <w:rPr>
          <w:sz w:val="23"/>
          <w:szCs w:val="23"/>
          <w:lang w:val="en-GB"/>
        </w:rPr>
        <w:t>aforementioned regulation</w:t>
      </w:r>
      <w:proofErr w:type="gramEnd"/>
      <w:r w:rsidRPr="00DA50DC">
        <w:rPr>
          <w:sz w:val="23"/>
          <w:szCs w:val="23"/>
          <w:lang w:val="en-GB"/>
        </w:rPr>
        <w:t xml:space="preserve"> contains no provision on the higher outflow rate of </w:t>
      </w:r>
      <w:r w:rsidR="0071200A">
        <w:rPr>
          <w:sz w:val="23"/>
          <w:szCs w:val="23"/>
          <w:lang w:val="en-GB"/>
        </w:rPr>
        <w:t>callable</w:t>
      </w:r>
      <w:r w:rsidR="0071200A" w:rsidRPr="00DA50DC">
        <w:rPr>
          <w:sz w:val="23"/>
          <w:szCs w:val="23"/>
          <w:lang w:val="en-GB"/>
        </w:rPr>
        <w:t xml:space="preserve"> </w:t>
      </w:r>
      <w:r w:rsidRPr="00DA50DC">
        <w:rPr>
          <w:sz w:val="23"/>
          <w:szCs w:val="23"/>
          <w:lang w:val="en-GB"/>
        </w:rPr>
        <w:t xml:space="preserve">non-retail deposits. </w:t>
      </w:r>
    </w:p>
    <w:p w14:paraId="1D13D91C" w14:textId="77777777" w:rsidR="00BA3919" w:rsidRPr="00DA50DC" w:rsidRDefault="00BA3919" w:rsidP="000809FC">
      <w:pPr>
        <w:ind w:left="360"/>
        <w:rPr>
          <w:sz w:val="23"/>
          <w:szCs w:val="23"/>
          <w:lang w:val="en-GB"/>
        </w:rPr>
      </w:pPr>
      <w:r w:rsidRPr="00DA50DC">
        <w:rPr>
          <w:sz w:val="23"/>
          <w:szCs w:val="23"/>
          <w:lang w:val="en-GB"/>
        </w:rPr>
        <w:t>The MNB prescribes no automatic surplus requirement for this portfolio. On the other hand, institutions are expected to examine, in statistical terms, the average balance of their deposits that are in the notice period and the stability of these deposits also. If the effect is material, they must quantify the excess outflow and form the respective collateral.</w:t>
      </w:r>
    </w:p>
    <w:p w14:paraId="1D13D91D" w14:textId="77777777" w:rsidR="00BA3919" w:rsidRPr="00DA50DC" w:rsidRDefault="00BA3919" w:rsidP="000809FC">
      <w:pPr>
        <w:ind w:left="360"/>
        <w:rPr>
          <w:sz w:val="23"/>
          <w:szCs w:val="23"/>
          <w:lang w:val="en-GB"/>
        </w:rPr>
      </w:pPr>
      <w:r w:rsidRPr="00DA50DC">
        <w:rPr>
          <w:sz w:val="23"/>
          <w:szCs w:val="23"/>
          <w:lang w:val="en-GB"/>
        </w:rPr>
        <w:t xml:space="preserve">Affected indicators: </w:t>
      </w:r>
      <w:proofErr w:type="spellStart"/>
      <w:r w:rsidRPr="00DA50DC">
        <w:rPr>
          <w:sz w:val="23"/>
          <w:szCs w:val="23"/>
          <w:lang w:val="en-GB"/>
        </w:rPr>
        <w:t>LCR</w:t>
      </w:r>
      <w:proofErr w:type="spellEnd"/>
    </w:p>
    <w:p w14:paraId="1D13D91E" w14:textId="7B80767F" w:rsidR="00BA3919" w:rsidRPr="00DA50DC" w:rsidRDefault="00BA3919" w:rsidP="004328F3">
      <w:pPr>
        <w:pStyle w:val="Cmsor1"/>
        <w:jc w:val="both"/>
        <w:rPr>
          <w:lang w:val="en-GB"/>
        </w:rPr>
      </w:pPr>
      <w:r w:rsidRPr="00DA50DC">
        <w:rPr>
          <w:lang w:val="en-GB"/>
        </w:rPr>
        <w:t xml:space="preserve">Deposits redeemable </w:t>
      </w:r>
      <w:r w:rsidR="0071200A">
        <w:rPr>
          <w:lang w:val="en-GB"/>
        </w:rPr>
        <w:t>with</w:t>
      </w:r>
      <w:r w:rsidR="0071200A" w:rsidRPr="00DA50DC">
        <w:rPr>
          <w:lang w:val="en-GB"/>
        </w:rPr>
        <w:t xml:space="preserve"> </w:t>
      </w:r>
      <w:r w:rsidRPr="00DA50DC">
        <w:rPr>
          <w:lang w:val="en-GB"/>
        </w:rPr>
        <w:t>31–60 days notice</w:t>
      </w:r>
      <w:r w:rsidR="0071200A">
        <w:rPr>
          <w:lang w:val="en-GB"/>
        </w:rPr>
        <w:t xml:space="preserve"> period</w:t>
      </w:r>
    </w:p>
    <w:p w14:paraId="1D13D91F" w14:textId="74D1C932" w:rsidR="00BA3919" w:rsidRPr="00DA50DC" w:rsidRDefault="00BA3919" w:rsidP="000809FC">
      <w:pPr>
        <w:ind w:left="360"/>
        <w:rPr>
          <w:sz w:val="23"/>
          <w:szCs w:val="23"/>
          <w:lang w:val="en-GB"/>
        </w:rPr>
      </w:pPr>
      <w:r w:rsidRPr="00DA50DC">
        <w:rPr>
          <w:sz w:val="23"/>
          <w:szCs w:val="23"/>
          <w:lang w:val="en-GB"/>
        </w:rPr>
        <w:t xml:space="preserve">The MNB considered deposits redeemable </w:t>
      </w:r>
      <w:r w:rsidR="0071200A">
        <w:rPr>
          <w:sz w:val="23"/>
          <w:szCs w:val="23"/>
          <w:lang w:val="en-GB"/>
        </w:rPr>
        <w:t>within</w:t>
      </w:r>
      <w:r w:rsidR="0071200A" w:rsidRPr="00DA50DC">
        <w:rPr>
          <w:sz w:val="23"/>
          <w:szCs w:val="23"/>
          <w:lang w:val="en-GB"/>
        </w:rPr>
        <w:t xml:space="preserve"> </w:t>
      </w:r>
      <w:r w:rsidRPr="00DA50DC">
        <w:rPr>
          <w:sz w:val="23"/>
          <w:szCs w:val="23"/>
          <w:lang w:val="en-GB"/>
        </w:rPr>
        <w:t xml:space="preserve">31 </w:t>
      </w:r>
      <w:proofErr w:type="spellStart"/>
      <w:r w:rsidRPr="00DA50DC">
        <w:rPr>
          <w:sz w:val="23"/>
          <w:szCs w:val="23"/>
          <w:lang w:val="en-GB"/>
        </w:rPr>
        <w:t>days notice</w:t>
      </w:r>
      <w:proofErr w:type="spellEnd"/>
      <w:r w:rsidRPr="00DA50DC">
        <w:rPr>
          <w:sz w:val="23"/>
          <w:szCs w:val="23"/>
          <w:lang w:val="en-GB"/>
        </w:rPr>
        <w:t xml:space="preserve"> </w:t>
      </w:r>
      <w:r w:rsidR="0071200A">
        <w:rPr>
          <w:sz w:val="23"/>
          <w:szCs w:val="23"/>
          <w:lang w:val="en-GB"/>
        </w:rPr>
        <w:t xml:space="preserve">period </w:t>
      </w:r>
      <w:r w:rsidRPr="00DA50DC">
        <w:rPr>
          <w:sz w:val="23"/>
          <w:szCs w:val="23"/>
          <w:lang w:val="en-GB"/>
        </w:rPr>
        <w:t xml:space="preserve">to be a risk. This kind of redemption clause improves the </w:t>
      </w:r>
      <w:proofErr w:type="spellStart"/>
      <w:r w:rsidRPr="00DA50DC">
        <w:rPr>
          <w:sz w:val="23"/>
          <w:szCs w:val="23"/>
          <w:lang w:val="en-GB"/>
        </w:rPr>
        <w:t>LCR</w:t>
      </w:r>
      <w:proofErr w:type="spellEnd"/>
      <w:r w:rsidRPr="00DA50DC">
        <w:rPr>
          <w:sz w:val="23"/>
          <w:szCs w:val="23"/>
          <w:lang w:val="en-GB"/>
        </w:rPr>
        <w:t xml:space="preserve">, but it involves major operational risk. On the one hand, the </w:t>
      </w:r>
      <w:proofErr w:type="spellStart"/>
      <w:r w:rsidRPr="00DA50DC">
        <w:rPr>
          <w:sz w:val="23"/>
          <w:szCs w:val="23"/>
          <w:lang w:val="en-GB"/>
        </w:rPr>
        <w:t>LCR</w:t>
      </w:r>
      <w:proofErr w:type="spellEnd"/>
      <w:r w:rsidRPr="00DA50DC">
        <w:rPr>
          <w:sz w:val="23"/>
          <w:szCs w:val="23"/>
          <w:lang w:val="en-GB"/>
        </w:rPr>
        <w:t xml:space="preserve"> must be satisfied permanently, not only on the reference date of the month-end official data reporting. This raises the risk that if the deposit is cancelled, the institution’s liquidity position deteriorates within a few days. If the institution verifies its </w:t>
      </w:r>
      <w:proofErr w:type="spellStart"/>
      <w:r w:rsidRPr="00DA50DC">
        <w:rPr>
          <w:sz w:val="23"/>
          <w:szCs w:val="23"/>
          <w:lang w:val="en-GB"/>
        </w:rPr>
        <w:t>LCR</w:t>
      </w:r>
      <w:proofErr w:type="spellEnd"/>
      <w:r w:rsidRPr="00DA50DC">
        <w:rPr>
          <w:sz w:val="23"/>
          <w:szCs w:val="23"/>
          <w:lang w:val="en-GB"/>
        </w:rPr>
        <w:t xml:space="preserve"> compliance rarely or with a delay (i.e. only a few days before the deadline for the submission of the </w:t>
      </w:r>
      <w:proofErr w:type="spellStart"/>
      <w:r w:rsidRPr="00DA50DC">
        <w:rPr>
          <w:sz w:val="23"/>
          <w:szCs w:val="23"/>
          <w:lang w:val="en-GB"/>
        </w:rPr>
        <w:t>LCR</w:t>
      </w:r>
      <w:proofErr w:type="spellEnd"/>
      <w:r w:rsidRPr="00DA50DC">
        <w:rPr>
          <w:sz w:val="23"/>
          <w:szCs w:val="23"/>
          <w:lang w:val="en-GB"/>
        </w:rPr>
        <w:t xml:space="preserve"> report), it further increases the risk of violating the regulation.</w:t>
      </w:r>
    </w:p>
    <w:p w14:paraId="1D13D920" w14:textId="0D3F67AF" w:rsidR="00BA3919" w:rsidRPr="00DA50DC" w:rsidRDefault="00BA3919" w:rsidP="002246C1">
      <w:pPr>
        <w:ind w:left="360"/>
        <w:rPr>
          <w:sz w:val="23"/>
          <w:szCs w:val="23"/>
          <w:lang w:val="en-GB"/>
        </w:rPr>
      </w:pPr>
      <w:r w:rsidRPr="00DA50DC">
        <w:rPr>
          <w:sz w:val="23"/>
          <w:szCs w:val="23"/>
          <w:lang w:val="en-GB"/>
        </w:rPr>
        <w:t xml:space="preserve">The MNB requires institutions to assess the balance of their deposits redeemable </w:t>
      </w:r>
      <w:r w:rsidR="0071200A">
        <w:rPr>
          <w:sz w:val="23"/>
          <w:szCs w:val="23"/>
          <w:lang w:val="en-GB"/>
        </w:rPr>
        <w:t>within</w:t>
      </w:r>
      <w:r w:rsidR="0071200A" w:rsidRPr="00DA50DC">
        <w:rPr>
          <w:sz w:val="23"/>
          <w:szCs w:val="23"/>
          <w:lang w:val="en-GB"/>
        </w:rPr>
        <w:t xml:space="preserve"> </w:t>
      </w:r>
      <w:r w:rsidRPr="00DA50DC">
        <w:rPr>
          <w:sz w:val="23"/>
          <w:szCs w:val="23"/>
          <w:lang w:val="en-GB"/>
        </w:rPr>
        <w:t xml:space="preserve">31-60 </w:t>
      </w:r>
      <w:r w:rsidR="0071200A">
        <w:rPr>
          <w:sz w:val="23"/>
          <w:szCs w:val="23"/>
          <w:lang w:val="en-GB"/>
        </w:rPr>
        <w:t>notice period</w:t>
      </w:r>
      <w:r w:rsidRPr="00DA50DC">
        <w:rPr>
          <w:sz w:val="23"/>
          <w:szCs w:val="23"/>
          <w:lang w:val="en-GB"/>
        </w:rPr>
        <w:t xml:space="preserve">, and to review their internal processes as to when the area in charge of liquidity management notices the cancellation of these deposits, and whether this ensures permanent compliance with the </w:t>
      </w:r>
      <w:proofErr w:type="spellStart"/>
      <w:r w:rsidRPr="00DA50DC">
        <w:rPr>
          <w:sz w:val="23"/>
          <w:szCs w:val="23"/>
          <w:lang w:val="en-GB"/>
        </w:rPr>
        <w:t>LCR</w:t>
      </w:r>
      <w:proofErr w:type="spellEnd"/>
      <w:r w:rsidRPr="00DA50DC">
        <w:rPr>
          <w:sz w:val="23"/>
          <w:szCs w:val="23"/>
          <w:lang w:val="en-GB"/>
        </w:rPr>
        <w:t xml:space="preserve"> requirements. The analysis shall extend to the rate of risk, such as analysing past outflows, expected outflow in case of stress and other related factors (e.g. for funds, the identification of underlying investors, possible decisions by the institution and their impact on </w:t>
      </w:r>
      <w:r w:rsidRPr="00DA50DC">
        <w:rPr>
          <w:sz w:val="23"/>
          <w:szCs w:val="23"/>
          <w:lang w:val="en-GB"/>
        </w:rPr>
        <w:lastRenderedPageBreak/>
        <w:t xml:space="preserve">reputation). The institution is required to quantify the size of the surplus puffer under Pillar 2. In absence of the above analysis, the outflow for the deposits shall be calculated (under Pillar 2) as if they could be withdrawn within 30 days. Due to unique factors, the MNB does not define a uniform methodology, though it checks bank calculations as part of </w:t>
      </w:r>
      <w:proofErr w:type="spellStart"/>
      <w:r w:rsidRPr="00DA50DC">
        <w:rPr>
          <w:sz w:val="23"/>
          <w:szCs w:val="23"/>
          <w:lang w:val="en-GB"/>
        </w:rPr>
        <w:t>ILAAP</w:t>
      </w:r>
      <w:proofErr w:type="spellEnd"/>
      <w:r w:rsidRPr="00DA50DC">
        <w:rPr>
          <w:sz w:val="23"/>
          <w:szCs w:val="23"/>
          <w:lang w:val="en-GB"/>
        </w:rPr>
        <w:t xml:space="preserve"> inspections.</w:t>
      </w:r>
    </w:p>
    <w:p w14:paraId="1D13D921" w14:textId="5D31CEA3" w:rsidR="00BA3919" w:rsidRPr="00DA50DC" w:rsidRDefault="00BA3919" w:rsidP="001C26F8">
      <w:pPr>
        <w:pStyle w:val="Cmsor1"/>
        <w:jc w:val="both"/>
        <w:rPr>
          <w:lang w:val="en-GB"/>
        </w:rPr>
      </w:pPr>
      <w:r w:rsidRPr="00DA50DC">
        <w:rPr>
          <w:lang w:val="en-GB"/>
        </w:rPr>
        <w:t>Failure to record credit facilities, potential outflows from loan contracts already concluded</w:t>
      </w:r>
    </w:p>
    <w:p w14:paraId="1D13D922" w14:textId="77777777" w:rsidR="00BA3919" w:rsidRPr="00DA50DC" w:rsidRDefault="00BA3919" w:rsidP="000809FC">
      <w:pPr>
        <w:ind w:left="360"/>
        <w:rPr>
          <w:sz w:val="23"/>
          <w:szCs w:val="23"/>
          <w:lang w:val="en-GB"/>
        </w:rPr>
      </w:pPr>
      <w:r w:rsidRPr="00DA50DC">
        <w:rPr>
          <w:sz w:val="23"/>
          <w:szCs w:val="23"/>
          <w:lang w:val="en-GB"/>
        </w:rPr>
        <w:t>The MNB considered the delayed recording of credit facilities to be a risk. At several institutions, the loan contract is recorded only upon disbursement rather than when the contract is signed. Such delay represents a shortcoming both for the credit risk and the liquidity position.</w:t>
      </w:r>
    </w:p>
    <w:p w14:paraId="1D13D923" w14:textId="77777777" w:rsidR="00BA3919" w:rsidRPr="00DA50DC" w:rsidRDefault="00BA3919" w:rsidP="000809FC">
      <w:pPr>
        <w:ind w:left="360"/>
        <w:rPr>
          <w:sz w:val="23"/>
          <w:szCs w:val="23"/>
          <w:lang w:val="en-GB"/>
        </w:rPr>
      </w:pPr>
      <w:r w:rsidRPr="00DA50DC">
        <w:rPr>
          <w:sz w:val="23"/>
          <w:szCs w:val="23"/>
          <w:lang w:val="en-GB"/>
        </w:rPr>
        <w:t>The MNB prescribes no automatic surplus requirement for this portfolio, but it expects institutions to estimate the average balance of the non-recorded credit facilities, and determine the surplus outflow and form the collateral therefor in accordance with Article 23 of the Delegated Regulation and the related MNB Q&amp;A.</w:t>
      </w:r>
      <w:r w:rsidRPr="00DA50DC">
        <w:rPr>
          <w:rStyle w:val="Lbjegyzet-hivatkozs"/>
          <w:sz w:val="23"/>
          <w:szCs w:val="23"/>
          <w:lang w:val="en-GB"/>
        </w:rPr>
        <w:footnoteReference w:id="6"/>
      </w:r>
    </w:p>
    <w:p w14:paraId="6D947248" w14:textId="2D60CD58" w:rsidR="00DB6731" w:rsidRPr="00DA50DC" w:rsidRDefault="00DB6731" w:rsidP="000809FC">
      <w:pPr>
        <w:ind w:left="360"/>
        <w:rPr>
          <w:lang w:val="en-GB"/>
        </w:rPr>
      </w:pPr>
      <w:r w:rsidRPr="00DA50DC">
        <w:rPr>
          <w:sz w:val="23"/>
          <w:szCs w:val="23"/>
          <w:lang w:val="en-GB"/>
        </w:rPr>
        <w:t xml:space="preserve">The MNB furthermore requires that, pursuant to Article 23 of the Delegated Regulation, institutions’ </w:t>
      </w:r>
      <w:proofErr w:type="spellStart"/>
      <w:r w:rsidRPr="00DA50DC">
        <w:rPr>
          <w:sz w:val="23"/>
          <w:szCs w:val="23"/>
          <w:lang w:val="en-GB"/>
        </w:rPr>
        <w:t>LCR</w:t>
      </w:r>
      <w:proofErr w:type="spellEnd"/>
      <w:r w:rsidRPr="00DA50DC">
        <w:rPr>
          <w:sz w:val="23"/>
          <w:szCs w:val="23"/>
          <w:lang w:val="en-GB"/>
        </w:rPr>
        <w:t xml:space="preserve"> calculations take into consideration the outflows potentially occurring in the coming 30 days in relation to loan contracts already concluded, especially mortgage loans already concluded but not yet drawn down and loans extended to inter-bank partners but not yet drawn down, and claims. </w:t>
      </w:r>
    </w:p>
    <w:p w14:paraId="1D13D924" w14:textId="77777777" w:rsidR="00BA3919" w:rsidRPr="00DA50DC" w:rsidRDefault="00BA3919" w:rsidP="00250402">
      <w:pPr>
        <w:pStyle w:val="Cmsor1"/>
        <w:jc w:val="both"/>
        <w:rPr>
          <w:lang w:val="en-GB"/>
        </w:rPr>
      </w:pPr>
      <w:bookmarkStart w:id="0" w:name="_Hlk53501444"/>
      <w:r w:rsidRPr="00DA50DC">
        <w:rPr>
          <w:lang w:val="en-GB"/>
        </w:rPr>
        <w:t>Individually priced deposits</w:t>
      </w:r>
    </w:p>
    <w:p w14:paraId="1D13D925" w14:textId="77777777" w:rsidR="00BA3919" w:rsidRPr="00DA50DC" w:rsidRDefault="00BA3919" w:rsidP="00250402">
      <w:pPr>
        <w:ind w:left="360"/>
        <w:rPr>
          <w:sz w:val="23"/>
          <w:szCs w:val="23"/>
          <w:lang w:val="en-GB"/>
        </w:rPr>
      </w:pPr>
      <w:r w:rsidRPr="00DA50DC">
        <w:rPr>
          <w:sz w:val="23"/>
          <w:szCs w:val="23"/>
          <w:lang w:val="en-GB"/>
        </w:rPr>
        <w:t xml:space="preserve">Certain large corporations have their own liquidity management practice, the behaviour of which tends to resemble that of a financial enterprise. Individually priced deposits expiring within 30 days are regarded as particularly high risk. These deposits must be </w:t>
      </w:r>
      <w:proofErr w:type="gramStart"/>
      <w:r w:rsidRPr="00DA50DC">
        <w:rPr>
          <w:sz w:val="23"/>
          <w:szCs w:val="23"/>
          <w:lang w:val="en-GB"/>
        </w:rPr>
        <w:t>monitored</w:t>
      </w:r>
      <w:proofErr w:type="gramEnd"/>
      <w:r w:rsidRPr="00DA50DC">
        <w:rPr>
          <w:sz w:val="23"/>
          <w:szCs w:val="23"/>
          <w:lang w:val="en-GB"/>
        </w:rPr>
        <w:t xml:space="preserve"> and it must be assessed whether the statutory outflow of 40 per cent reflects the risk of deposit withdrawal. It is an additional risk factor if the company has presumably requested an interest rate quote from several banks and has chosen the respective bank based on the results when placing the deposit, or when there is no, or only a negligible, connection with the company (e.g. account turnover). The institution is required to define the respective portfolio as accurately as possible. During the inspections, the MNB asks for detailing the objectively definable individually priced deposits maturing within 30 days.</w:t>
      </w:r>
    </w:p>
    <w:p w14:paraId="1D13D926" w14:textId="2EEDB3DE" w:rsidR="00BA3919" w:rsidRPr="00DA50DC" w:rsidRDefault="00BA3919" w:rsidP="0077134C">
      <w:pPr>
        <w:pStyle w:val="Cmsor1"/>
        <w:jc w:val="both"/>
        <w:rPr>
          <w:lang w:val="en-GB"/>
        </w:rPr>
      </w:pPr>
      <w:bookmarkStart w:id="1" w:name="_Hlk54955236"/>
      <w:r w:rsidRPr="00DA50DC">
        <w:rPr>
          <w:lang w:val="en-GB"/>
        </w:rPr>
        <w:lastRenderedPageBreak/>
        <w:t>Fiduciary deposits</w:t>
      </w:r>
    </w:p>
    <w:bookmarkEnd w:id="1"/>
    <w:p w14:paraId="1D13D927" w14:textId="77777777" w:rsidR="00BA3919" w:rsidRPr="00DA50DC" w:rsidRDefault="00BA3919" w:rsidP="0077134C">
      <w:pPr>
        <w:ind w:left="360"/>
        <w:rPr>
          <w:sz w:val="23"/>
          <w:szCs w:val="23"/>
          <w:lang w:val="en-GB"/>
        </w:rPr>
      </w:pPr>
      <w:r w:rsidRPr="00DA50DC">
        <w:rPr>
          <w:sz w:val="23"/>
          <w:szCs w:val="23"/>
          <w:lang w:val="en-GB"/>
        </w:rPr>
        <w:t xml:space="preserve">When a third party places a deposit with the institution as a trustee (under an agency contract), the characteristics thereof may differ from the behaviour of the “original depositor” and rather resemble a financial customer. </w:t>
      </w:r>
    </w:p>
    <w:p w14:paraId="1D13D928" w14:textId="77777777" w:rsidR="00BA3919" w:rsidRPr="00DA50DC" w:rsidRDefault="00BA3919" w:rsidP="0077134C">
      <w:pPr>
        <w:ind w:left="360"/>
        <w:rPr>
          <w:sz w:val="23"/>
          <w:szCs w:val="23"/>
          <w:lang w:val="en-GB"/>
        </w:rPr>
      </w:pPr>
      <w:r w:rsidRPr="00DA50DC">
        <w:rPr>
          <w:sz w:val="23"/>
          <w:szCs w:val="23"/>
          <w:lang w:val="en-GB"/>
        </w:rPr>
        <w:t>Institutions are expected to identify these – and, in absence of a precise definition, similar – deposit portfolios and assess their stability.</w:t>
      </w:r>
    </w:p>
    <w:p w14:paraId="1D13D929" w14:textId="77777777" w:rsidR="00BA3919" w:rsidRPr="00DA50DC" w:rsidRDefault="00BA3919" w:rsidP="002246C1">
      <w:pPr>
        <w:ind w:left="360"/>
        <w:rPr>
          <w:sz w:val="23"/>
          <w:szCs w:val="23"/>
          <w:lang w:val="en-GB"/>
        </w:rPr>
      </w:pPr>
      <w:r w:rsidRPr="00DA50DC">
        <w:rPr>
          <w:sz w:val="23"/>
          <w:szCs w:val="23"/>
          <w:lang w:val="en-GB"/>
        </w:rPr>
        <w:t>It should be noted that based on Article 27 (6) of the Delegated Regulation, deposit brokers are excluded from the operational relationship.</w:t>
      </w:r>
    </w:p>
    <w:p w14:paraId="1D13D92C" w14:textId="77777777" w:rsidR="00BA3919" w:rsidRPr="00DA50DC" w:rsidRDefault="00BA3919" w:rsidP="00250402">
      <w:pPr>
        <w:pStyle w:val="Cmsor1"/>
        <w:jc w:val="both"/>
        <w:rPr>
          <w:lang w:val="en-GB"/>
        </w:rPr>
      </w:pPr>
      <w:proofErr w:type="spellStart"/>
      <w:r w:rsidRPr="00DA50DC">
        <w:rPr>
          <w:lang w:val="en-GB"/>
        </w:rPr>
        <w:t>LCR</w:t>
      </w:r>
      <w:proofErr w:type="spellEnd"/>
      <w:r w:rsidRPr="00DA50DC">
        <w:rPr>
          <w:lang w:val="en-GB"/>
        </w:rPr>
        <w:t xml:space="preserve"> consolidation group</w:t>
      </w:r>
    </w:p>
    <w:p w14:paraId="1D13D92D" w14:textId="77777777" w:rsidR="00BA3919" w:rsidRPr="00DA50DC" w:rsidRDefault="00BA3919" w:rsidP="006240A7">
      <w:pPr>
        <w:ind w:left="360"/>
        <w:rPr>
          <w:sz w:val="23"/>
          <w:szCs w:val="23"/>
          <w:lang w:val="en-GB"/>
        </w:rPr>
      </w:pPr>
      <w:r w:rsidRPr="00DA50DC">
        <w:rPr>
          <w:sz w:val="23"/>
          <w:szCs w:val="23"/>
          <w:lang w:val="en-GB"/>
        </w:rPr>
        <w:t xml:space="preserve">When calculating group </w:t>
      </w:r>
      <w:proofErr w:type="spellStart"/>
      <w:r w:rsidRPr="00DA50DC">
        <w:rPr>
          <w:sz w:val="23"/>
          <w:szCs w:val="23"/>
          <w:lang w:val="en-GB"/>
        </w:rPr>
        <w:t>LCR</w:t>
      </w:r>
      <w:proofErr w:type="spellEnd"/>
      <w:r w:rsidRPr="00DA50DC">
        <w:rPr>
          <w:sz w:val="23"/>
          <w:szCs w:val="23"/>
          <w:lang w:val="en-GB"/>
        </w:rPr>
        <w:t xml:space="preserve"> the institution should make efforts to take into consideration all enterprises subject to consolidated supervision. The MNB accepts if this is performed not comprehensively, based on the principle of proportionality (e.g. with estimations, omissions). However, institutions are expected to assess the potential effect of the estimations regularly.</w:t>
      </w:r>
    </w:p>
    <w:p w14:paraId="1D13D92E" w14:textId="77777777" w:rsidR="00BA3919" w:rsidRPr="00DA50DC" w:rsidRDefault="00BA3919" w:rsidP="00250402">
      <w:pPr>
        <w:pStyle w:val="Cmsor1"/>
        <w:jc w:val="both"/>
        <w:rPr>
          <w:lang w:val="en-GB"/>
        </w:rPr>
      </w:pPr>
      <w:r w:rsidRPr="00DA50DC">
        <w:rPr>
          <w:lang w:val="en-GB"/>
        </w:rPr>
        <w:t>Step-in risk</w:t>
      </w:r>
    </w:p>
    <w:p w14:paraId="1D13D92F" w14:textId="77777777" w:rsidR="00BA3919" w:rsidRPr="00DA50DC" w:rsidRDefault="00BA3919" w:rsidP="007930B5">
      <w:pPr>
        <w:ind w:left="360"/>
        <w:rPr>
          <w:sz w:val="21"/>
          <w:szCs w:val="21"/>
          <w:lang w:val="en-GB"/>
        </w:rPr>
      </w:pPr>
      <w:r w:rsidRPr="00DA50DC">
        <w:rPr>
          <w:sz w:val="23"/>
          <w:szCs w:val="23"/>
          <w:lang w:val="en-GB"/>
        </w:rPr>
        <w:t xml:space="preserve">It represents a liquidity risk that the bank provides liquidity assistance to certain entities not belonging to the prudential </w:t>
      </w:r>
      <w:proofErr w:type="gramStart"/>
      <w:r w:rsidRPr="00DA50DC">
        <w:rPr>
          <w:sz w:val="23"/>
          <w:szCs w:val="23"/>
          <w:lang w:val="en-GB"/>
        </w:rPr>
        <w:t>consolidation, but</w:t>
      </w:r>
      <w:proofErr w:type="gramEnd"/>
      <w:r w:rsidRPr="00DA50DC">
        <w:rPr>
          <w:sz w:val="23"/>
          <w:szCs w:val="23"/>
          <w:lang w:val="en-GB"/>
        </w:rPr>
        <w:t xml:space="preserve"> belonging to the banking group in the broad sense. With a view to avoiding reputational risks impacting the entire group, loans may be provided without any legal </w:t>
      </w:r>
      <w:proofErr w:type="gramStart"/>
      <w:r w:rsidRPr="00DA50DC">
        <w:rPr>
          <w:sz w:val="23"/>
          <w:szCs w:val="23"/>
          <w:lang w:val="en-GB"/>
        </w:rPr>
        <w:t>obligation</w:t>
      </w:r>
      <w:proofErr w:type="gramEnd"/>
      <w:r w:rsidRPr="00DA50DC">
        <w:rPr>
          <w:sz w:val="23"/>
          <w:szCs w:val="23"/>
          <w:lang w:val="en-GB"/>
        </w:rPr>
        <w:t xml:space="preserve"> or the bank may waive the exercise of its options to terminate contracts unilaterally. Such significant clientele includes investment funds managed by own asset manager, particularly when the name of the fund contains the bank’s name. The bank should assess the liquidity risks inherent in a run on the funds. When assessing the liquidity of the fund’s assets, a 30-day </w:t>
      </w:r>
      <w:proofErr w:type="spellStart"/>
      <w:r w:rsidRPr="00DA50DC">
        <w:rPr>
          <w:sz w:val="23"/>
          <w:szCs w:val="23"/>
          <w:lang w:val="en-GB"/>
        </w:rPr>
        <w:t>LCR</w:t>
      </w:r>
      <w:proofErr w:type="spellEnd"/>
      <w:r w:rsidRPr="00DA50DC">
        <w:rPr>
          <w:sz w:val="23"/>
          <w:szCs w:val="23"/>
          <w:lang w:val="en-GB"/>
        </w:rPr>
        <w:t xml:space="preserve"> horizon should be taken into consideration. As the price risk of liquid assets is borne by the investor, it is not necessary to apply </w:t>
      </w:r>
      <w:proofErr w:type="spellStart"/>
      <w:r w:rsidRPr="00DA50DC">
        <w:rPr>
          <w:sz w:val="23"/>
          <w:szCs w:val="23"/>
          <w:lang w:val="en-GB"/>
        </w:rPr>
        <w:t>LCR</w:t>
      </w:r>
      <w:proofErr w:type="spellEnd"/>
      <w:r w:rsidRPr="00DA50DC">
        <w:rPr>
          <w:sz w:val="23"/>
          <w:szCs w:val="23"/>
          <w:lang w:val="en-GB"/>
        </w:rPr>
        <w:t xml:space="preserve"> haircuts. When estimating outflow, investors should be regarded as depositors without deposit insurance. Closed-end funds and investment fund shares with a redemption period of T+31 days or longer may be considered as risk-mitigating factors; however, it should be kept in mind that the bank may also provide liquidity assistance by purchasing the mutual fund shares from the customer or by subscribing new ones. T</w:t>
      </w:r>
      <w:r w:rsidRPr="00DA50DC">
        <w:rPr>
          <w:sz w:val="21"/>
          <w:szCs w:val="21"/>
          <w:lang w:val="en-GB"/>
        </w:rPr>
        <w:t>he surplus of one fund must not be used for covering the deficit of the other.</w:t>
      </w:r>
    </w:p>
    <w:p w14:paraId="1D13D930" w14:textId="77777777" w:rsidR="00BA3919" w:rsidRPr="00DA50DC" w:rsidRDefault="00BA3919" w:rsidP="00D2669F">
      <w:pPr>
        <w:pStyle w:val="Cmsor1"/>
        <w:jc w:val="both"/>
        <w:rPr>
          <w:lang w:val="en-GB"/>
        </w:rPr>
      </w:pPr>
      <w:r w:rsidRPr="00DA50DC">
        <w:rPr>
          <w:lang w:val="en-GB"/>
        </w:rPr>
        <w:t>Maturity mismatch</w:t>
      </w:r>
    </w:p>
    <w:p w14:paraId="1D13D931" w14:textId="77777777" w:rsidR="00BA3919" w:rsidRPr="00DA50DC" w:rsidRDefault="00BA3919" w:rsidP="00D2669F">
      <w:pPr>
        <w:ind w:left="360"/>
        <w:rPr>
          <w:sz w:val="23"/>
          <w:szCs w:val="23"/>
          <w:lang w:val="en-GB"/>
        </w:rPr>
      </w:pPr>
      <w:r w:rsidRPr="00DA50DC">
        <w:rPr>
          <w:sz w:val="23"/>
          <w:szCs w:val="23"/>
          <w:lang w:val="en-GB"/>
        </w:rPr>
        <w:t xml:space="preserve">The MNB expands the set of indicators used for the assessment and monitoring of liquidity and funding risks with maturity mismatch. The risk is attached to the entire balance sheet rather than to individual portfolios. </w:t>
      </w:r>
    </w:p>
    <w:p w14:paraId="1D13D932" w14:textId="77777777" w:rsidR="00BA3919" w:rsidRPr="00DA50DC" w:rsidRDefault="00BA3919" w:rsidP="00D2669F">
      <w:pPr>
        <w:ind w:left="360"/>
        <w:rPr>
          <w:sz w:val="23"/>
          <w:szCs w:val="23"/>
          <w:lang w:val="en-GB"/>
        </w:rPr>
      </w:pPr>
      <w:r w:rsidRPr="00DA50DC">
        <w:rPr>
          <w:sz w:val="23"/>
          <w:szCs w:val="23"/>
          <w:lang w:val="en-GB"/>
        </w:rPr>
        <w:t xml:space="preserve">The calculations use the data from the C_66 maturity match table. The data quality and the models used for the reallocation will be inspected during the </w:t>
      </w:r>
      <w:proofErr w:type="spellStart"/>
      <w:r w:rsidRPr="00DA50DC">
        <w:rPr>
          <w:sz w:val="23"/>
          <w:szCs w:val="23"/>
          <w:lang w:val="en-GB"/>
        </w:rPr>
        <w:t>ILAAP</w:t>
      </w:r>
      <w:proofErr w:type="spellEnd"/>
      <w:r w:rsidRPr="00DA50DC">
        <w:rPr>
          <w:sz w:val="23"/>
          <w:szCs w:val="23"/>
          <w:lang w:val="en-GB"/>
        </w:rPr>
        <w:t xml:space="preserve"> inspections.</w:t>
      </w:r>
    </w:p>
    <w:p w14:paraId="1D13D933" w14:textId="77777777" w:rsidR="00BA3919" w:rsidRPr="00DA50DC" w:rsidRDefault="00BA3919" w:rsidP="00D2669F">
      <w:pPr>
        <w:ind w:left="360"/>
        <w:rPr>
          <w:sz w:val="23"/>
          <w:szCs w:val="23"/>
          <w:lang w:val="en-GB"/>
        </w:rPr>
      </w:pPr>
      <w:r w:rsidRPr="00DA50DC">
        <w:rPr>
          <w:sz w:val="23"/>
          <w:szCs w:val="23"/>
          <w:lang w:val="en-GB"/>
        </w:rPr>
        <w:lastRenderedPageBreak/>
        <w:t>Institutions are expected to perform measurement (and manage them by limits) based on their own methodology.</w:t>
      </w:r>
      <w:r w:rsidRPr="00DA50DC">
        <w:rPr>
          <w:rStyle w:val="Lbjegyzet-hivatkozs"/>
          <w:sz w:val="23"/>
          <w:szCs w:val="23"/>
          <w:lang w:val="en-GB"/>
        </w:rPr>
        <w:footnoteReference w:id="7"/>
      </w:r>
      <w:r w:rsidRPr="00DA50DC">
        <w:rPr>
          <w:sz w:val="23"/>
          <w:szCs w:val="23"/>
          <w:lang w:val="en-GB"/>
        </w:rPr>
        <w:t xml:space="preserve"> However, it is necessary to verify the data quality of C_66 and to explain the key differences between the institution’s own and the </w:t>
      </w:r>
      <w:proofErr w:type="spellStart"/>
      <w:r w:rsidRPr="00DA50DC">
        <w:rPr>
          <w:sz w:val="23"/>
          <w:szCs w:val="23"/>
          <w:lang w:val="en-GB"/>
        </w:rPr>
        <w:t>MNB’s</w:t>
      </w:r>
      <w:proofErr w:type="spellEnd"/>
      <w:r w:rsidRPr="00DA50DC">
        <w:rPr>
          <w:sz w:val="23"/>
          <w:szCs w:val="23"/>
          <w:lang w:val="en-GB"/>
        </w:rPr>
        <w:t xml:space="preserve"> methodology.</w:t>
      </w:r>
    </w:p>
    <w:p w14:paraId="1D13D934" w14:textId="77777777" w:rsidR="00BA3919" w:rsidRPr="00DA50DC" w:rsidRDefault="00BA3919" w:rsidP="00D2669F">
      <w:pPr>
        <w:ind w:left="360"/>
        <w:rPr>
          <w:sz w:val="23"/>
          <w:szCs w:val="23"/>
          <w:lang w:val="en-GB"/>
        </w:rPr>
      </w:pPr>
      <w:r w:rsidRPr="00DA50DC">
        <w:rPr>
          <w:sz w:val="23"/>
          <w:szCs w:val="23"/>
          <w:lang w:val="en-GB"/>
        </w:rPr>
        <w:t>Description of the indicator used by the MNB:</w:t>
      </w:r>
    </w:p>
    <w:p w14:paraId="1D13D935" w14:textId="77777777" w:rsidR="00BA3919" w:rsidRPr="00DA50DC" w:rsidRDefault="00BA3919" w:rsidP="00D2669F">
      <w:pPr>
        <w:pStyle w:val="Listaszerbekezds"/>
        <w:numPr>
          <w:ilvl w:val="0"/>
          <w:numId w:val="35"/>
        </w:numPr>
        <w:rPr>
          <w:sz w:val="23"/>
          <w:szCs w:val="23"/>
          <w:lang w:val="en-GB"/>
        </w:rPr>
      </w:pPr>
      <w:r w:rsidRPr="00DA50DC">
        <w:rPr>
          <w:sz w:val="23"/>
          <w:szCs w:val="23"/>
          <w:lang w:val="en-GB"/>
        </w:rPr>
        <w:t>The initial balancing capacity is decreased by the reallocated outflows, increased by reallocated inflows, amended by the change in balancing capacity and decreased by the reallocated credit line drawdowns. The minimum values are taken on the horizons of 1–30 days; 1–12 months and 1–5 years. Accordingly, the maturity mismatch indicates 3 values in accordance with the 3 assessed horizons.</w:t>
      </w:r>
    </w:p>
    <w:p w14:paraId="1D13D936" w14:textId="77777777" w:rsidR="00BA3919" w:rsidRPr="00DA50DC" w:rsidRDefault="00BA3919" w:rsidP="00D2669F">
      <w:pPr>
        <w:ind w:left="360"/>
        <w:rPr>
          <w:sz w:val="23"/>
          <w:szCs w:val="23"/>
          <w:lang w:val="en-GB"/>
        </w:rPr>
      </w:pPr>
    </w:p>
    <w:p w14:paraId="1D13D937" w14:textId="77777777" w:rsidR="00BA3919" w:rsidRPr="00DA50DC" w:rsidRDefault="00BA3919" w:rsidP="00D2669F">
      <w:pPr>
        <w:pStyle w:val="Listaszerbekezds"/>
        <w:numPr>
          <w:ilvl w:val="0"/>
          <w:numId w:val="35"/>
        </w:numPr>
        <w:rPr>
          <w:sz w:val="23"/>
          <w:szCs w:val="23"/>
          <w:lang w:val="en-GB"/>
        </w:rPr>
      </w:pPr>
      <w:r w:rsidRPr="00DA50DC">
        <w:rPr>
          <w:sz w:val="23"/>
          <w:szCs w:val="23"/>
          <w:lang w:val="en-GB"/>
        </w:rPr>
        <w:t>C_66.01b1080;1 - C_66.01.a0380;O - (C_66.01.c1270;[O+1] - C_66.01.a0260;O) + C_66.01.a0700;O + (C_66.01.c1280;[O+1] - C_66.01.a0590;O) + C_66.01.a1070;O + C_66.01.c1290;O , where ‘O’ denotes the residual maturity columns, the cells of which are to be added from 1 to T, thereby obtaining the cumulated maturity mismatch calculated until T. The indicator is calculated for each maturity (from (T=1 to 21), after which the minimum value for the terms of 1–30 days (T=1–10), 1-12 months (T=11–18) and 1–5 years (T=19–20) is taken.  (O is the index used for the cumulation, T is the horizon over which cumulation is performed.)</w:t>
      </w:r>
    </w:p>
    <w:p w14:paraId="1D13D938" w14:textId="77777777" w:rsidR="00BA3919" w:rsidRPr="00DA50DC" w:rsidRDefault="00452D58" w:rsidP="00D2669F">
      <w:pPr>
        <w:pStyle w:val="Listaszerbekezds"/>
        <w:numPr>
          <w:ilvl w:val="0"/>
          <w:numId w:val="35"/>
        </w:numPr>
        <w:tabs>
          <w:tab w:val="left" w:pos="1693"/>
        </w:tabs>
        <w:rPr>
          <w:sz w:val="28"/>
          <w:szCs w:val="28"/>
          <w:lang w:val="en-GB"/>
        </w:rPr>
      </w:pPr>
      <m:oMath>
        <m:sSub>
          <m:sSubPr>
            <m:ctrlPr>
              <w:rPr>
                <w:rFonts w:ascii="Cambria Math" w:hAnsi="Cambria Math"/>
                <w:sz w:val="18"/>
                <w:szCs w:val="18"/>
                <w:lang w:val="en-GB"/>
              </w:rPr>
            </m:ctrlPr>
          </m:sSubPr>
          <m:e>
            <m:r>
              <w:rPr>
                <w:rFonts w:ascii="Cambria Math" w:hAnsi="Cambria Math"/>
                <w:sz w:val="18"/>
                <w:szCs w:val="18"/>
                <w:lang w:val="en-GB"/>
              </w:rPr>
              <m:t>min</m:t>
            </m:r>
          </m:e>
          <m:sub>
            <m:r>
              <w:rPr>
                <w:rFonts w:ascii="Cambria Math" w:hAnsi="Cambria Math"/>
                <w:sz w:val="18"/>
                <w:szCs w:val="18"/>
                <w:lang w:val="en-GB"/>
              </w:rPr>
              <m:t>T</m:t>
            </m:r>
            <m:d>
              <m:dPr>
                <m:begChr m:val="{"/>
                <m:endChr m:val=""/>
                <m:ctrlPr>
                  <w:rPr>
                    <w:rFonts w:ascii="Cambria Math" w:hAnsi="Cambria Math"/>
                    <w:i/>
                    <w:sz w:val="18"/>
                    <w:szCs w:val="18"/>
                    <w:lang w:val="en-GB"/>
                  </w:rPr>
                </m:ctrlPr>
              </m:dPr>
              <m:e>
                <m:eqArr>
                  <m:eqArrPr>
                    <m:ctrlPr>
                      <w:rPr>
                        <w:rFonts w:ascii="Cambria Math" w:hAnsi="Cambria Math"/>
                        <w:i/>
                        <w:sz w:val="18"/>
                        <w:szCs w:val="18"/>
                        <w:lang w:val="en-GB"/>
                      </w:rPr>
                    </m:ctrlPr>
                  </m:eqArrPr>
                  <m:e>
                    <m:r>
                      <w:rPr>
                        <w:rFonts w:ascii="Cambria Math" w:hAnsi="Cambria Math"/>
                        <w:sz w:val="18"/>
                        <w:szCs w:val="18"/>
                        <w:lang w:val="en-GB"/>
                      </w:rPr>
                      <m:t>1,…,10</m:t>
                    </m:r>
                  </m:e>
                  <m:e>
                    <m:r>
                      <w:rPr>
                        <w:rFonts w:ascii="Cambria Math" w:hAnsi="Cambria Math"/>
                        <w:sz w:val="18"/>
                        <w:szCs w:val="18"/>
                        <w:lang w:val="en-GB"/>
                      </w:rPr>
                      <m:t>11,…,18</m:t>
                    </m:r>
                  </m:e>
                  <m:e>
                    <m:r>
                      <w:rPr>
                        <w:rFonts w:ascii="Cambria Math" w:hAnsi="Cambria Math"/>
                        <w:sz w:val="18"/>
                        <w:szCs w:val="18"/>
                        <w:lang w:val="en-GB"/>
                      </w:rPr>
                      <m:t>19,20</m:t>
                    </m:r>
                  </m:e>
                </m:eqArr>
              </m:e>
            </m:d>
          </m:sub>
        </m:sSub>
        <m:r>
          <m:rPr>
            <m:sty m:val="p"/>
          </m:rPr>
          <w:rPr>
            <w:rFonts w:ascii="Cambria Math" w:hAnsi="Cambria Math"/>
            <w:sz w:val="18"/>
            <w:szCs w:val="18"/>
            <w:lang w:val="en-GB"/>
          </w:rPr>
          <m:t>⁡</m:t>
        </m:r>
        <m:r>
          <w:rPr>
            <w:rFonts w:ascii="Cambria Math" w:hAnsi="Cambria Math"/>
            <w:sz w:val="18"/>
            <w:szCs w:val="18"/>
            <w:lang w:val="en-GB"/>
          </w:rPr>
          <m:t>[</m:t>
        </m:r>
        <m:r>
          <m:rPr>
            <m:sty m:val="p"/>
          </m:rPr>
          <w:rPr>
            <w:rFonts w:ascii="Cambria Math" w:hAnsi="Cambria Math"/>
            <w:sz w:val="18"/>
            <w:szCs w:val="18"/>
            <w:lang w:val="en-GB"/>
          </w:rPr>
          <m:t>C_66.01b1080;1 +</m:t>
        </m:r>
        <m:nary>
          <m:naryPr>
            <m:chr m:val="∑"/>
            <m:limLoc m:val="undOvr"/>
            <m:supHide m:val="1"/>
            <m:ctrlPr>
              <w:rPr>
                <w:rFonts w:ascii="Cambria Math" w:hAnsi="Cambria Math"/>
                <w:i/>
                <w:sz w:val="18"/>
                <w:szCs w:val="18"/>
                <w:lang w:val="en-GB"/>
              </w:rPr>
            </m:ctrlPr>
          </m:naryPr>
          <m:sub>
            <m:r>
              <w:rPr>
                <w:rFonts w:ascii="Cambria Math" w:hAnsi="Cambria Math"/>
                <w:sz w:val="18"/>
                <w:szCs w:val="18"/>
                <w:lang w:val="en-GB"/>
              </w:rPr>
              <m:t>O=1,…,T</m:t>
            </m:r>
          </m:sub>
          <m:sup/>
          <m:e>
            <m:r>
              <m:rPr>
                <m:sty m:val="p"/>
              </m:rPr>
              <w:rPr>
                <w:rFonts w:ascii="Cambria Math" w:hAnsi="Cambria Math"/>
                <w:sz w:val="18"/>
                <w:szCs w:val="18"/>
                <w:lang w:val="en-GB"/>
              </w:rPr>
              <m:t>{- C_66.01.a0380;O - (</m:t>
            </m:r>
            <m:r>
              <m:rPr>
                <m:sty m:val="p"/>
              </m:rPr>
              <w:rPr>
                <w:rFonts w:ascii="Cambria Math" w:hAnsi="Cambria Math"/>
                <w:color w:val="000000"/>
                <w:sz w:val="18"/>
                <w:szCs w:val="18"/>
                <w:lang w:val="en-GB"/>
              </w:rPr>
              <m:t xml:space="preserve">C_66.01.c1270;[O+1] - C_66.01.a0260;O) </m:t>
            </m:r>
            <m:r>
              <m:rPr>
                <m:sty m:val="p"/>
              </m:rPr>
              <w:rPr>
                <w:rFonts w:ascii="Cambria Math" w:hAnsi="Cambria Math"/>
                <w:sz w:val="18"/>
                <w:szCs w:val="18"/>
                <w:lang w:val="en-GB"/>
              </w:rPr>
              <m:t xml:space="preserve">+ C_66.01.a0700;O + (C_66.01.c1280;[O+1] - </m:t>
            </m:r>
            <m:r>
              <m:rPr>
                <m:sty m:val="p"/>
              </m:rPr>
              <w:rPr>
                <w:rFonts w:ascii="Cambria Math" w:hAnsi="Cambria Math"/>
                <w:color w:val="000000"/>
                <w:sz w:val="18"/>
                <w:szCs w:val="18"/>
                <w:lang w:val="en-GB"/>
              </w:rPr>
              <m:t>C_66.01.a0590;O</m:t>
            </m:r>
            <m:r>
              <m:rPr>
                <m:sty m:val="p"/>
              </m:rPr>
              <w:rPr>
                <w:rFonts w:ascii="Cambria Math" w:hAnsi="Cambria Math"/>
                <w:sz w:val="18"/>
                <w:szCs w:val="18"/>
                <w:lang w:val="en-GB"/>
              </w:rPr>
              <m:t xml:space="preserve">) + </m:t>
            </m:r>
            <m:r>
              <m:rPr>
                <m:sty m:val="p"/>
              </m:rPr>
              <w:rPr>
                <w:rFonts w:ascii="Cambria Math" w:hAnsi="Cambria Math"/>
                <w:color w:val="000000"/>
                <w:sz w:val="18"/>
                <w:szCs w:val="18"/>
                <w:lang w:val="en-GB"/>
              </w:rPr>
              <m:t>C_66.01.a1070;O + C_66.01.c1290;O}]</m:t>
            </m:r>
          </m:e>
        </m:nary>
      </m:oMath>
    </w:p>
    <w:bookmarkEnd w:id="0"/>
    <w:p w14:paraId="431B5B48" w14:textId="77777777" w:rsidR="0069567D" w:rsidRPr="00DA50DC" w:rsidRDefault="0069567D" w:rsidP="0069567D">
      <w:pPr>
        <w:pStyle w:val="Cmsor1"/>
        <w:jc w:val="both"/>
        <w:rPr>
          <w:lang w:val="en-GB"/>
        </w:rPr>
      </w:pPr>
      <w:r w:rsidRPr="00DA50DC">
        <w:rPr>
          <w:lang w:val="en-GB"/>
        </w:rPr>
        <w:t>Deposits collected through deposit brokers</w:t>
      </w:r>
    </w:p>
    <w:p w14:paraId="0B89A703" w14:textId="77777777" w:rsidR="0069567D" w:rsidRPr="00DA50DC" w:rsidRDefault="0069567D" w:rsidP="0069567D">
      <w:pPr>
        <w:ind w:left="360"/>
        <w:rPr>
          <w:sz w:val="23"/>
          <w:szCs w:val="23"/>
          <w:lang w:val="en-GB"/>
        </w:rPr>
      </w:pPr>
      <w:r w:rsidRPr="00DA50DC">
        <w:rPr>
          <w:sz w:val="23"/>
          <w:szCs w:val="23"/>
          <w:lang w:val="en-GB"/>
        </w:rPr>
        <w:t>As deposits collected through deposit brokers pose a greater risk, they are expected to be identified and their behaviour monitored.</w:t>
      </w:r>
    </w:p>
    <w:p w14:paraId="3AD8C700" w14:textId="77777777" w:rsidR="0069567D" w:rsidRPr="00DA50DC" w:rsidRDefault="0069567D" w:rsidP="0069567D">
      <w:pPr>
        <w:pStyle w:val="Listaszerbekezds"/>
        <w:numPr>
          <w:ilvl w:val="0"/>
          <w:numId w:val="36"/>
        </w:numPr>
        <w:rPr>
          <w:sz w:val="23"/>
          <w:szCs w:val="23"/>
          <w:lang w:val="en-GB"/>
        </w:rPr>
      </w:pPr>
      <w:r w:rsidRPr="00DA50DC">
        <w:rPr>
          <w:sz w:val="23"/>
          <w:szCs w:val="23"/>
          <w:lang w:val="en-GB"/>
        </w:rPr>
        <w:t>Deposits collected through actual agents. Deposits are generally not collected through agents, though they do occur, for example in the form of deposit accounts related to borrowing. Institutions shall strive to identify the portfolio. At least that portfolio shall be monitored where agents receive portfolio remuneration.</w:t>
      </w:r>
    </w:p>
    <w:p w14:paraId="73379A6F" w14:textId="0BBAFB7D" w:rsidR="0069567D" w:rsidRPr="00DA50DC" w:rsidRDefault="0069567D" w:rsidP="00820E27">
      <w:pPr>
        <w:pStyle w:val="Listaszerbekezds"/>
        <w:numPr>
          <w:ilvl w:val="0"/>
          <w:numId w:val="36"/>
        </w:numPr>
        <w:rPr>
          <w:sz w:val="23"/>
          <w:szCs w:val="23"/>
          <w:lang w:val="en-GB"/>
        </w:rPr>
      </w:pPr>
      <w:r w:rsidRPr="00DA50DC">
        <w:rPr>
          <w:sz w:val="23"/>
          <w:szCs w:val="23"/>
          <w:lang w:val="en-GB"/>
        </w:rPr>
        <w:t xml:space="preserve">Though difficulties may arise in the identification of deposits arriving via deposit collection / interest comparison / online platforms, the institution shall strive to do so. At the very least, the effectiveness of deposit campaigns also </w:t>
      </w:r>
      <w:proofErr w:type="gramStart"/>
      <w:r w:rsidRPr="00DA50DC">
        <w:rPr>
          <w:sz w:val="23"/>
          <w:szCs w:val="23"/>
          <w:lang w:val="en-GB"/>
        </w:rPr>
        <w:t>have</w:t>
      </w:r>
      <w:proofErr w:type="gramEnd"/>
      <w:r w:rsidRPr="00DA50DC">
        <w:rPr>
          <w:sz w:val="23"/>
          <w:szCs w:val="23"/>
          <w:lang w:val="en-GB"/>
        </w:rPr>
        <w:t xml:space="preserve"> to be used in liquidity risk management.</w:t>
      </w:r>
    </w:p>
    <w:p w14:paraId="1F067085" w14:textId="77777777" w:rsidR="00820E27" w:rsidRPr="00DA50DC" w:rsidRDefault="00820E27" w:rsidP="00820E27">
      <w:pPr>
        <w:pStyle w:val="Cmsor1"/>
        <w:jc w:val="both"/>
        <w:rPr>
          <w:lang w:val="en-GB"/>
        </w:rPr>
      </w:pPr>
      <w:r w:rsidRPr="00DA50DC">
        <w:rPr>
          <w:lang w:val="en-GB"/>
        </w:rPr>
        <w:lastRenderedPageBreak/>
        <w:t>Interbank limits</w:t>
      </w:r>
    </w:p>
    <w:p w14:paraId="5EFDCF1C" w14:textId="77777777" w:rsidR="00536002" w:rsidRPr="00DA50DC" w:rsidRDefault="00536002" w:rsidP="00536002">
      <w:pPr>
        <w:ind w:left="360"/>
        <w:rPr>
          <w:sz w:val="23"/>
          <w:szCs w:val="23"/>
          <w:lang w:val="en-GB"/>
        </w:rPr>
      </w:pPr>
      <w:r w:rsidRPr="00DA50DC">
        <w:rPr>
          <w:sz w:val="23"/>
          <w:szCs w:val="23"/>
          <w:lang w:val="en-GB"/>
        </w:rPr>
        <w:t xml:space="preserve">The MNB has identified as a risk those credit lines provided to interbank partners which are not formalised (i.e. not covered by the </w:t>
      </w:r>
      <w:proofErr w:type="spellStart"/>
      <w:r w:rsidRPr="00DA50DC">
        <w:rPr>
          <w:sz w:val="23"/>
          <w:szCs w:val="23"/>
          <w:lang w:val="en-GB"/>
        </w:rPr>
        <w:t>LCR</w:t>
      </w:r>
      <w:proofErr w:type="spellEnd"/>
      <w:r w:rsidRPr="00DA50DC">
        <w:rPr>
          <w:sz w:val="23"/>
          <w:szCs w:val="23"/>
          <w:lang w:val="en-GB"/>
        </w:rPr>
        <w:t xml:space="preserve"> Delegated Regulation in the default case) and whose use by the partner does not require a credit decision by the Bank’s risk management. These are typically linked to current accounts (e.g. </w:t>
      </w:r>
      <w:proofErr w:type="spellStart"/>
      <w:r w:rsidRPr="00DA50DC">
        <w:rPr>
          <w:sz w:val="23"/>
          <w:szCs w:val="23"/>
          <w:lang w:val="en-GB"/>
        </w:rPr>
        <w:t>overloro</w:t>
      </w:r>
      <w:proofErr w:type="spellEnd"/>
      <w:r w:rsidRPr="00DA50DC">
        <w:rPr>
          <w:sz w:val="23"/>
          <w:szCs w:val="23"/>
          <w:lang w:val="en-GB"/>
        </w:rPr>
        <w:t xml:space="preserve">, but CLS credit lines are also included here). Use is typically intraday and therefore does not appear in daily/monthly reports, though it reduces the intraday liquidity that the institution can </w:t>
      </w:r>
      <w:proofErr w:type="gramStart"/>
      <w:r w:rsidRPr="00DA50DC">
        <w:rPr>
          <w:sz w:val="23"/>
          <w:szCs w:val="23"/>
          <w:lang w:val="en-GB"/>
        </w:rPr>
        <w:t>actually realise</w:t>
      </w:r>
      <w:proofErr w:type="gramEnd"/>
      <w:r w:rsidRPr="00DA50DC">
        <w:rPr>
          <w:sz w:val="23"/>
          <w:szCs w:val="23"/>
          <w:lang w:val="en-GB"/>
        </w:rPr>
        <w:t xml:space="preserve">. Institutions are required to assess the size of liquidity risk that possible overnight credit exposures pose and, where necessary, to report this in Pillar I under the heading ‘Other products and </w:t>
      </w:r>
      <w:proofErr w:type="gramStart"/>
      <w:r w:rsidRPr="00DA50DC">
        <w:rPr>
          <w:sz w:val="23"/>
          <w:szCs w:val="23"/>
          <w:lang w:val="en-GB"/>
        </w:rPr>
        <w:t>services’</w:t>
      </w:r>
      <w:proofErr w:type="gramEnd"/>
      <w:r w:rsidRPr="00DA50DC">
        <w:rPr>
          <w:sz w:val="23"/>
          <w:szCs w:val="23"/>
          <w:lang w:val="en-GB"/>
        </w:rPr>
        <w:t xml:space="preserve">. Furthermore, the institution shall endeavour to ensure that its systems are capable of recording intraday use (frequency, maximum amount, etc.). It then uses these data for liquidity management (directly appearing as a credit limit in the </w:t>
      </w:r>
      <w:proofErr w:type="spellStart"/>
      <w:r w:rsidRPr="00DA50DC">
        <w:rPr>
          <w:sz w:val="23"/>
          <w:szCs w:val="23"/>
          <w:lang w:val="en-GB"/>
        </w:rPr>
        <w:t>LCR</w:t>
      </w:r>
      <w:proofErr w:type="spellEnd"/>
      <w:r w:rsidRPr="00DA50DC">
        <w:rPr>
          <w:sz w:val="23"/>
          <w:szCs w:val="23"/>
          <w:lang w:val="en-GB"/>
        </w:rPr>
        <w:t xml:space="preserve"> or indirectly when determining the intraday liquidity requirement).</w:t>
      </w:r>
    </w:p>
    <w:p w14:paraId="39C9EF49" w14:textId="3D8FF7E3" w:rsidR="00DD72E2" w:rsidRPr="00DA50DC" w:rsidRDefault="00DD72E2" w:rsidP="009E441F">
      <w:pPr>
        <w:pStyle w:val="Cmsor1"/>
        <w:jc w:val="both"/>
        <w:rPr>
          <w:lang w:val="en-GB"/>
        </w:rPr>
      </w:pPr>
      <w:r w:rsidRPr="00DA50DC">
        <w:rPr>
          <w:lang w:val="en-GB"/>
        </w:rPr>
        <w:t>Owner deposits</w:t>
      </w:r>
    </w:p>
    <w:p w14:paraId="1D13D939" w14:textId="19C84A68" w:rsidR="00BA3919" w:rsidRPr="00DA50DC" w:rsidRDefault="00C1521C" w:rsidP="00820E27">
      <w:pPr>
        <w:ind w:left="360"/>
        <w:rPr>
          <w:sz w:val="23"/>
          <w:szCs w:val="23"/>
          <w:lang w:val="en-GB"/>
        </w:rPr>
      </w:pPr>
      <w:r w:rsidRPr="00DA50DC">
        <w:rPr>
          <w:sz w:val="23"/>
          <w:szCs w:val="23"/>
          <w:lang w:val="en-GB"/>
        </w:rPr>
        <w:t xml:space="preserve">Institutions shall regularly (at least every half year) assess the size of owner deposits and evaluate their role in the funding structure. Substantial reliance on owner deposits may indicate, on the one hand, that investor confidence in the institutions is low and it is not able to finance itself from the market using customer deposits; on the other, such deposits are considered a less stable source in stress scenarios. Consequently, the MNB expects these deposits to be not given any beneficiary weighting in the </w:t>
      </w:r>
      <w:proofErr w:type="spellStart"/>
      <w:r w:rsidRPr="00DA50DC">
        <w:rPr>
          <w:sz w:val="23"/>
          <w:szCs w:val="23"/>
          <w:lang w:val="en-GB"/>
        </w:rPr>
        <w:t>LCR</w:t>
      </w:r>
      <w:proofErr w:type="spellEnd"/>
      <w:r w:rsidRPr="00DA50DC">
        <w:rPr>
          <w:sz w:val="23"/>
          <w:szCs w:val="23"/>
          <w:lang w:val="en-GB"/>
        </w:rPr>
        <w:t xml:space="preserve"> calculation – the Bank assesses the expected outflow of these deposits conservatively. </w:t>
      </w:r>
    </w:p>
    <w:sectPr w:rsidR="00BA3919" w:rsidRPr="00DA50DC"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60AC" w14:textId="77777777" w:rsidR="00BB02D6" w:rsidRDefault="00BB02D6">
      <w:pPr>
        <w:spacing w:after="0" w:line="240" w:lineRule="auto"/>
      </w:pPr>
      <w:r>
        <w:separator/>
      </w:r>
    </w:p>
  </w:endnote>
  <w:endnote w:type="continuationSeparator" w:id="0">
    <w:p w14:paraId="07D732A8" w14:textId="77777777" w:rsidR="00BB02D6" w:rsidRDefault="00BB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charset w:val="80"/>
    <w:family w:val="swiss"/>
    <w:pitch w:val="variable"/>
    <w:sig w:usb0="E00002FF" w:usb1="6AC7FFFF"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D93E" w14:textId="77777777" w:rsidR="00BA3919" w:rsidRPr="00DA50DC" w:rsidRDefault="00BA3919" w:rsidP="00AC6950">
    <w:pPr>
      <w:tabs>
        <w:tab w:val="left" w:pos="8460"/>
      </w:tabs>
      <w:rPr>
        <w:sz w:val="18"/>
        <w:szCs w:val="18"/>
        <w:lang w:val="en-GB"/>
      </w:rPr>
    </w:pPr>
    <w:r w:rsidRPr="00DA50DC">
      <w:rPr>
        <w:sz w:val="18"/>
        <w:szCs w:val="18"/>
        <w:lang w:val="en-GB"/>
      </w:rPr>
      <w:tab/>
    </w:r>
    <w:r w:rsidRPr="00DA50DC">
      <w:rPr>
        <w:sz w:val="18"/>
        <w:szCs w:val="18"/>
        <w:lang w:val="en-GB"/>
      </w:rPr>
      <w:fldChar w:fldCharType="begin"/>
    </w:r>
    <w:r w:rsidRPr="00DA50DC">
      <w:rPr>
        <w:sz w:val="18"/>
        <w:szCs w:val="18"/>
        <w:lang w:val="en-GB"/>
      </w:rPr>
      <w:instrText xml:space="preserve"> PAGE </w:instrText>
    </w:r>
    <w:r w:rsidRPr="00DA50DC">
      <w:rPr>
        <w:sz w:val="18"/>
        <w:szCs w:val="18"/>
        <w:lang w:val="en-GB"/>
      </w:rPr>
      <w:fldChar w:fldCharType="separate"/>
    </w:r>
    <w:r w:rsidRPr="00DA50DC">
      <w:rPr>
        <w:noProof/>
        <w:sz w:val="18"/>
        <w:szCs w:val="18"/>
        <w:lang w:val="en-GB"/>
      </w:rPr>
      <w:t>2</w:t>
    </w:r>
    <w:r w:rsidRPr="00DA50DC">
      <w:rPr>
        <w:sz w:val="18"/>
        <w:szCs w:val="18"/>
        <w:lang w:val="en-GB"/>
      </w:rPr>
      <w:fldChar w:fldCharType="end"/>
    </w:r>
    <w:r w:rsidRPr="00DA50DC">
      <w:rPr>
        <w:sz w:val="18"/>
        <w:szCs w:val="18"/>
        <w:lang w:val="en-GB"/>
      </w:rPr>
      <w:t>/</w:t>
    </w:r>
    <w:r w:rsidRPr="00DA50DC">
      <w:rPr>
        <w:sz w:val="18"/>
        <w:szCs w:val="18"/>
        <w:lang w:val="en-GB"/>
      </w:rPr>
      <w:fldChar w:fldCharType="begin"/>
    </w:r>
    <w:r w:rsidRPr="00DA50DC">
      <w:rPr>
        <w:sz w:val="18"/>
        <w:szCs w:val="18"/>
        <w:lang w:val="en-GB"/>
      </w:rPr>
      <w:instrText xml:space="preserve"> NUMPAGES </w:instrText>
    </w:r>
    <w:r w:rsidRPr="00DA50DC">
      <w:rPr>
        <w:sz w:val="18"/>
        <w:szCs w:val="18"/>
        <w:lang w:val="en-GB"/>
      </w:rPr>
      <w:fldChar w:fldCharType="separate"/>
    </w:r>
    <w:r w:rsidRPr="00DA50DC">
      <w:rPr>
        <w:noProof/>
        <w:sz w:val="18"/>
        <w:szCs w:val="18"/>
        <w:lang w:val="en-GB"/>
      </w:rPr>
      <w:t>2</w:t>
    </w:r>
    <w:r w:rsidRPr="00DA50DC">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9E61" w14:textId="77777777" w:rsidR="00BB02D6" w:rsidRDefault="00BB02D6">
      <w:r>
        <w:separator/>
      </w:r>
    </w:p>
  </w:footnote>
  <w:footnote w:type="continuationSeparator" w:id="0">
    <w:p w14:paraId="33D25FE3" w14:textId="77777777" w:rsidR="00BB02D6" w:rsidRDefault="00BB02D6">
      <w:r>
        <w:continuationSeparator/>
      </w:r>
    </w:p>
  </w:footnote>
  <w:footnote w:type="continuationNotice" w:id="1">
    <w:p w14:paraId="4F887459" w14:textId="77777777" w:rsidR="00BB02D6" w:rsidRDefault="00BB02D6">
      <w:pPr>
        <w:spacing w:after="0" w:line="240" w:lineRule="auto"/>
      </w:pPr>
    </w:p>
  </w:footnote>
  <w:footnote w:id="2">
    <w:p w14:paraId="1D13D93F" w14:textId="77777777" w:rsidR="00BA3919" w:rsidRPr="00DA50DC" w:rsidRDefault="00BA3919">
      <w:pPr>
        <w:pStyle w:val="Lbjegyzetszveg"/>
        <w:rPr>
          <w:color w:val="auto"/>
          <w:lang w:val="en-GB"/>
        </w:rPr>
      </w:pPr>
      <w:r w:rsidRPr="00DA50DC">
        <w:rPr>
          <w:rStyle w:val="Lbjegyzet-hivatkozs"/>
          <w:color w:val="auto"/>
          <w:lang w:val="en-GB"/>
        </w:rPr>
        <w:footnoteRef/>
      </w:r>
      <w:r w:rsidRPr="00DA50DC">
        <w:rPr>
          <w:color w:val="auto"/>
          <w:lang w:val="en-GB"/>
        </w:rPr>
        <w:t xml:space="preserve"> Liquidity surplus risk can primarily be identified in the case of funds but can also relate to instruments and off-balance sheet items.</w:t>
      </w:r>
    </w:p>
  </w:footnote>
  <w:footnote w:id="3">
    <w:p w14:paraId="1D13D940" w14:textId="77777777" w:rsidR="00BA3919" w:rsidRPr="00DA50DC" w:rsidRDefault="00BA3919">
      <w:pPr>
        <w:pStyle w:val="Lbjegyzetszveg"/>
        <w:rPr>
          <w:color w:val="auto"/>
          <w:lang w:val="en-GB"/>
        </w:rPr>
      </w:pPr>
      <w:r w:rsidRPr="00DA50DC">
        <w:rPr>
          <w:rStyle w:val="Lbjegyzet-hivatkozs"/>
          <w:color w:val="auto"/>
          <w:lang w:val="en-GB"/>
        </w:rPr>
        <w:footnoteRef/>
      </w:r>
      <w:r w:rsidRPr="00DA50DC">
        <w:rPr>
          <w:color w:val="auto"/>
          <w:lang w:val="en-GB"/>
        </w:rPr>
        <w:t xml:space="preserve"> In the case of large depositors and customers close to the limit, the customer group shall be identified with greater detail (shared private individuals in management according to </w:t>
      </w:r>
      <w:proofErr w:type="spellStart"/>
      <w:r w:rsidRPr="00DA50DC">
        <w:rPr>
          <w:color w:val="auto"/>
          <w:lang w:val="en-GB"/>
        </w:rPr>
        <w:t>Opten</w:t>
      </w:r>
      <w:proofErr w:type="spellEnd"/>
      <w:r w:rsidRPr="00DA50DC">
        <w:rPr>
          <w:color w:val="auto"/>
          <w:lang w:val="en-GB"/>
        </w:rPr>
        <w:t>, etc.)</w:t>
      </w:r>
    </w:p>
  </w:footnote>
  <w:footnote w:id="4">
    <w:p w14:paraId="1D13D941" w14:textId="77777777" w:rsidR="00BA3919" w:rsidRPr="00DA50DC" w:rsidRDefault="00BA3919">
      <w:pPr>
        <w:pStyle w:val="Lbjegyzetszveg"/>
        <w:rPr>
          <w:color w:val="auto"/>
          <w:lang w:val="en-GB"/>
        </w:rPr>
      </w:pPr>
      <w:r w:rsidRPr="00DA50DC">
        <w:rPr>
          <w:rStyle w:val="Lbjegyzet-hivatkozs"/>
          <w:color w:val="auto"/>
          <w:lang w:val="en-GB"/>
        </w:rPr>
        <w:footnoteRef/>
      </w:r>
      <w:r w:rsidRPr="00DA50DC">
        <w:rPr>
          <w:color w:val="auto"/>
          <w:lang w:val="en-GB"/>
        </w:rPr>
        <w:t xml:space="preserve"> It is not necessary to take into consideration bonds issued, and they are not included in 10GA either.</w:t>
      </w:r>
    </w:p>
  </w:footnote>
  <w:footnote w:id="5">
    <w:p w14:paraId="1D13D942" w14:textId="77777777" w:rsidR="00BA3919" w:rsidRPr="00DA50DC" w:rsidRDefault="00BA3919">
      <w:pPr>
        <w:pStyle w:val="Lbjegyzetszveg"/>
        <w:rPr>
          <w:color w:val="auto"/>
          <w:lang w:val="en-GB"/>
        </w:rPr>
      </w:pPr>
      <w:r w:rsidRPr="00DA50DC">
        <w:rPr>
          <w:rStyle w:val="Lbjegyzet-hivatkozs"/>
          <w:color w:val="auto"/>
          <w:lang w:val="en-GB"/>
        </w:rPr>
        <w:footnoteRef/>
      </w:r>
      <w:r w:rsidRPr="00DA50DC">
        <w:rPr>
          <w:color w:val="auto"/>
          <w:lang w:val="en-GB"/>
        </w:rPr>
        <w:t xml:space="preserve"> If a company classified as large depositor has 40 HUF operational deposits, of which 30 are covered by deposit insurance, </w:t>
      </w:r>
      <w:proofErr w:type="gramStart"/>
      <w:r w:rsidRPr="00DA50DC">
        <w:rPr>
          <w:color w:val="auto"/>
          <w:lang w:val="en-GB"/>
        </w:rPr>
        <w:t>and also</w:t>
      </w:r>
      <w:proofErr w:type="gramEnd"/>
      <w:r w:rsidRPr="00DA50DC">
        <w:rPr>
          <w:color w:val="auto"/>
          <w:lang w:val="en-GB"/>
        </w:rPr>
        <w:t xml:space="preserve"> has 100 other HUF deposits, and the limit is 35, surplus outflow must be calculated for the part exceeding the limit, i.e. for 40+100-35=105 deposits. The parts of the deposits with the highest outflow factors shall be considered as exceeding the limit, i.e. the 100 other deposits and 5 of the operational deposits not covered by deposit insurance. The average outflow rate under Pillar 1 is (5x25%+100x40%)</w:t>
      </w:r>
      <w:proofErr w:type="gramStart"/>
      <w:r w:rsidRPr="00DA50DC">
        <w:rPr>
          <w:color w:val="auto"/>
          <w:lang w:val="en-GB"/>
        </w:rPr>
        <w:t>/(</w:t>
      </w:r>
      <w:proofErr w:type="gramEnd"/>
      <w:r w:rsidRPr="00DA50DC">
        <w:rPr>
          <w:color w:val="auto"/>
          <w:lang w:val="en-GB"/>
        </w:rPr>
        <w:t>5+100)=39.3%, and thus the nominal value of the surplus is 105x(1-39.3%)=63.75.</w:t>
      </w:r>
    </w:p>
  </w:footnote>
  <w:footnote w:id="6">
    <w:p w14:paraId="1D13D943" w14:textId="77777777" w:rsidR="00BA3919" w:rsidRPr="00DA50DC" w:rsidRDefault="00BA3919">
      <w:pPr>
        <w:pStyle w:val="Lbjegyzetszveg"/>
        <w:rPr>
          <w:lang w:val="en-GB"/>
        </w:rPr>
      </w:pPr>
      <w:r w:rsidRPr="00DA50DC">
        <w:rPr>
          <w:rStyle w:val="Lbjegyzet-hivatkozs"/>
          <w:lang w:val="en-GB"/>
        </w:rPr>
        <w:footnoteRef/>
      </w:r>
      <w:r w:rsidRPr="00DA50DC">
        <w:rPr>
          <w:lang w:val="en-GB"/>
        </w:rPr>
        <w:t xml:space="preserve"> </w:t>
      </w:r>
      <w:hyperlink r:id="rId1" w:history="1">
        <w:r w:rsidRPr="00DA50DC">
          <w:rPr>
            <w:rStyle w:val="Hiperhivatkozs"/>
            <w:sz w:val="16"/>
            <w:vertAlign w:val="baseline"/>
            <w:lang w:val="en-GB"/>
          </w:rPr>
          <w:t>https://www.mnb.hu/letoltes/6-2017-egyeb-termekekhez-es-szolgaltatasokhoz-kapcsolodo-kiaramlasok.pdf</w:t>
        </w:r>
      </w:hyperlink>
    </w:p>
  </w:footnote>
  <w:footnote w:id="7">
    <w:p w14:paraId="1D13D944" w14:textId="77777777" w:rsidR="00BA3919" w:rsidRPr="00DA50DC" w:rsidRDefault="00BA3919" w:rsidP="00D2669F">
      <w:pPr>
        <w:pStyle w:val="Lbjegyzetszveg"/>
        <w:rPr>
          <w:lang w:val="en-GB"/>
        </w:rPr>
      </w:pPr>
      <w:r w:rsidRPr="00DA50DC">
        <w:rPr>
          <w:rStyle w:val="Lbjegyzet-hivatkozs"/>
          <w:lang w:val="en-GB"/>
        </w:rPr>
        <w:footnoteRef/>
      </w:r>
      <w:r w:rsidRPr="00DA50DC">
        <w:rPr>
          <w:lang w:val="en-GB"/>
        </w:rPr>
        <w:t xml:space="preserve"> This includes but is not limited to, e.g. aggregated and currency breakdown, maturity (short-term/long term), contractual/reallocated/stress outflow, volume limit/time limit (time-to-wall).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D93D" w14:textId="77777777" w:rsidR="00BA3919" w:rsidRPr="00AC6950" w:rsidRDefault="00BA3919"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6BA"/>
    <w:multiLevelType w:val="hybridMultilevel"/>
    <w:tmpl w:val="C4B6EF6E"/>
    <w:lvl w:ilvl="0" w:tplc="B9BAC96A">
      <w:start w:val="1"/>
      <w:numFmt w:val="decimal"/>
      <w:lvlText w:val="%1."/>
      <w:lvlJc w:val="left"/>
      <w:pPr>
        <w:ind w:left="1429" w:hanging="360"/>
      </w:pPr>
      <w:rPr>
        <w:sz w:val="20"/>
        <w:szCs w:val="20"/>
      </w:rPr>
    </w:lvl>
    <w:lvl w:ilvl="1" w:tplc="6DA4CB6C">
      <w:start w:val="1"/>
      <w:numFmt w:val="bullet"/>
      <w:lvlText w:val="o"/>
      <w:lvlJc w:val="left"/>
      <w:pPr>
        <w:ind w:left="2149" w:hanging="360"/>
      </w:pPr>
      <w:rPr>
        <w:rFonts w:ascii="Courier New" w:hAnsi="Courier New" w:cs="Courier New" w:hint="default"/>
      </w:rPr>
    </w:lvl>
    <w:lvl w:ilvl="2" w:tplc="A3B86F6A">
      <w:start w:val="1"/>
      <w:numFmt w:val="bullet"/>
      <w:lvlText w:val=""/>
      <w:lvlJc w:val="left"/>
      <w:pPr>
        <w:ind w:left="2869" w:hanging="360"/>
      </w:pPr>
      <w:rPr>
        <w:rFonts w:ascii="Wingdings" w:hAnsi="Wingdings" w:hint="default"/>
      </w:rPr>
    </w:lvl>
    <w:lvl w:ilvl="3" w:tplc="B8728408">
      <w:start w:val="1"/>
      <w:numFmt w:val="bullet"/>
      <w:lvlText w:val=""/>
      <w:lvlJc w:val="left"/>
      <w:pPr>
        <w:ind w:left="3589" w:hanging="360"/>
      </w:pPr>
      <w:rPr>
        <w:rFonts w:ascii="Symbol" w:hAnsi="Symbol" w:hint="default"/>
      </w:rPr>
    </w:lvl>
    <w:lvl w:ilvl="4" w:tplc="BF06D2A6">
      <w:start w:val="1"/>
      <w:numFmt w:val="bullet"/>
      <w:lvlText w:val="o"/>
      <w:lvlJc w:val="left"/>
      <w:pPr>
        <w:ind w:left="4309" w:hanging="360"/>
      </w:pPr>
      <w:rPr>
        <w:rFonts w:ascii="Courier New" w:hAnsi="Courier New" w:cs="Courier New" w:hint="default"/>
      </w:rPr>
    </w:lvl>
    <w:lvl w:ilvl="5" w:tplc="B8A4E740">
      <w:start w:val="1"/>
      <w:numFmt w:val="bullet"/>
      <w:lvlText w:val=""/>
      <w:lvlJc w:val="left"/>
      <w:pPr>
        <w:ind w:left="5029" w:hanging="360"/>
      </w:pPr>
      <w:rPr>
        <w:rFonts w:ascii="Wingdings" w:hAnsi="Wingdings" w:hint="default"/>
      </w:rPr>
    </w:lvl>
    <w:lvl w:ilvl="6" w:tplc="1116E8E2">
      <w:start w:val="1"/>
      <w:numFmt w:val="bullet"/>
      <w:lvlText w:val=""/>
      <w:lvlJc w:val="left"/>
      <w:pPr>
        <w:ind w:left="5749" w:hanging="360"/>
      </w:pPr>
      <w:rPr>
        <w:rFonts w:ascii="Symbol" w:hAnsi="Symbol" w:hint="default"/>
      </w:rPr>
    </w:lvl>
    <w:lvl w:ilvl="7" w:tplc="DF402E84">
      <w:start w:val="1"/>
      <w:numFmt w:val="bullet"/>
      <w:lvlText w:val="o"/>
      <w:lvlJc w:val="left"/>
      <w:pPr>
        <w:ind w:left="6469" w:hanging="360"/>
      </w:pPr>
      <w:rPr>
        <w:rFonts w:ascii="Courier New" w:hAnsi="Courier New" w:cs="Courier New" w:hint="default"/>
      </w:rPr>
    </w:lvl>
    <w:lvl w:ilvl="8" w:tplc="029EE466">
      <w:start w:val="1"/>
      <w:numFmt w:val="bullet"/>
      <w:lvlText w:val=""/>
      <w:lvlJc w:val="left"/>
      <w:pPr>
        <w:ind w:left="7189" w:hanging="360"/>
      </w:pPr>
      <w:rPr>
        <w:rFonts w:ascii="Wingdings" w:hAnsi="Wingdings" w:hint="default"/>
      </w:r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253ED1"/>
    <w:multiLevelType w:val="hybridMultilevel"/>
    <w:tmpl w:val="0E4AA50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1F345343"/>
    <w:multiLevelType w:val="hybridMultilevel"/>
    <w:tmpl w:val="D8A600EE"/>
    <w:lvl w:ilvl="0" w:tplc="77CEB0F8">
      <w:start w:val="1"/>
      <w:numFmt w:val="bullet"/>
      <w:lvlText w:val=""/>
      <w:lvlJc w:val="left"/>
      <w:pPr>
        <w:ind w:left="720" w:hanging="360"/>
      </w:pPr>
      <w:rPr>
        <w:rFonts w:ascii="Symbol" w:hAnsi="Symbol" w:hint="default"/>
      </w:rPr>
    </w:lvl>
    <w:lvl w:ilvl="1" w:tplc="AB263CFC">
      <w:start w:val="1"/>
      <w:numFmt w:val="bullet"/>
      <w:lvlText w:val="o"/>
      <w:lvlJc w:val="left"/>
      <w:pPr>
        <w:ind w:left="1440" w:hanging="360"/>
      </w:pPr>
      <w:rPr>
        <w:rFonts w:ascii="Courier New" w:hAnsi="Courier New" w:cs="Courier New" w:hint="default"/>
      </w:rPr>
    </w:lvl>
    <w:lvl w:ilvl="2" w:tplc="112047B0">
      <w:start w:val="1"/>
      <w:numFmt w:val="bullet"/>
      <w:lvlText w:val=""/>
      <w:lvlJc w:val="left"/>
      <w:pPr>
        <w:ind w:left="2160" w:hanging="360"/>
      </w:pPr>
      <w:rPr>
        <w:rFonts w:ascii="Wingdings" w:hAnsi="Wingdings" w:hint="default"/>
      </w:rPr>
    </w:lvl>
    <w:lvl w:ilvl="3" w:tplc="8DF47672">
      <w:start w:val="1"/>
      <w:numFmt w:val="bullet"/>
      <w:lvlText w:val=""/>
      <w:lvlJc w:val="left"/>
      <w:pPr>
        <w:ind w:left="2880" w:hanging="360"/>
      </w:pPr>
      <w:rPr>
        <w:rFonts w:ascii="Symbol" w:hAnsi="Symbol" w:hint="default"/>
      </w:rPr>
    </w:lvl>
    <w:lvl w:ilvl="4" w:tplc="8ED035E6">
      <w:start w:val="1"/>
      <w:numFmt w:val="bullet"/>
      <w:lvlText w:val="o"/>
      <w:lvlJc w:val="left"/>
      <w:pPr>
        <w:ind w:left="3600" w:hanging="360"/>
      </w:pPr>
      <w:rPr>
        <w:rFonts w:ascii="Courier New" w:hAnsi="Courier New" w:cs="Courier New" w:hint="default"/>
      </w:rPr>
    </w:lvl>
    <w:lvl w:ilvl="5" w:tplc="2E8645A0">
      <w:start w:val="1"/>
      <w:numFmt w:val="bullet"/>
      <w:lvlText w:val=""/>
      <w:lvlJc w:val="left"/>
      <w:pPr>
        <w:ind w:left="4320" w:hanging="360"/>
      </w:pPr>
      <w:rPr>
        <w:rFonts w:ascii="Wingdings" w:hAnsi="Wingdings" w:hint="default"/>
      </w:rPr>
    </w:lvl>
    <w:lvl w:ilvl="6" w:tplc="75326CBA">
      <w:start w:val="1"/>
      <w:numFmt w:val="bullet"/>
      <w:lvlText w:val=""/>
      <w:lvlJc w:val="left"/>
      <w:pPr>
        <w:ind w:left="5040" w:hanging="360"/>
      </w:pPr>
      <w:rPr>
        <w:rFonts w:ascii="Symbol" w:hAnsi="Symbol" w:hint="default"/>
      </w:rPr>
    </w:lvl>
    <w:lvl w:ilvl="7" w:tplc="BE8EC2CC">
      <w:start w:val="1"/>
      <w:numFmt w:val="bullet"/>
      <w:lvlText w:val="o"/>
      <w:lvlJc w:val="left"/>
      <w:pPr>
        <w:ind w:left="5760" w:hanging="360"/>
      </w:pPr>
      <w:rPr>
        <w:rFonts w:ascii="Courier New" w:hAnsi="Courier New" w:cs="Courier New" w:hint="default"/>
      </w:rPr>
    </w:lvl>
    <w:lvl w:ilvl="8" w:tplc="983CD280">
      <w:start w:val="1"/>
      <w:numFmt w:val="bullet"/>
      <w:lvlText w:val=""/>
      <w:lvlJc w:val="left"/>
      <w:pPr>
        <w:ind w:left="6480" w:hanging="360"/>
      </w:pPr>
      <w:rPr>
        <w:rFonts w:ascii="Wingdings" w:hAnsi="Wingdings" w:hint="default"/>
      </w:rPr>
    </w:lvl>
  </w:abstractNum>
  <w:abstractNum w:abstractNumId="8"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9"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93B3BF9"/>
    <w:multiLevelType w:val="hybridMultilevel"/>
    <w:tmpl w:val="87CE830E"/>
    <w:lvl w:ilvl="0" w:tplc="52DE7C8E">
      <w:start w:val="1"/>
      <w:numFmt w:val="decimal"/>
      <w:lvlText w:val="%1."/>
      <w:lvlJc w:val="left"/>
      <w:pPr>
        <w:ind w:left="720" w:hanging="360"/>
      </w:pPr>
      <w:rPr>
        <w:sz w:val="22"/>
        <w:szCs w:val="22"/>
      </w:rPr>
    </w:lvl>
    <w:lvl w:ilvl="1" w:tplc="D45A3EDC" w:tentative="1">
      <w:start w:val="1"/>
      <w:numFmt w:val="lowerLetter"/>
      <w:lvlText w:val="%2."/>
      <w:lvlJc w:val="left"/>
      <w:pPr>
        <w:ind w:left="1440" w:hanging="360"/>
      </w:pPr>
    </w:lvl>
    <w:lvl w:ilvl="2" w:tplc="FE081988" w:tentative="1">
      <w:start w:val="1"/>
      <w:numFmt w:val="lowerRoman"/>
      <w:lvlText w:val="%3."/>
      <w:lvlJc w:val="right"/>
      <w:pPr>
        <w:ind w:left="2160" w:hanging="180"/>
      </w:pPr>
    </w:lvl>
    <w:lvl w:ilvl="3" w:tplc="C8586786" w:tentative="1">
      <w:start w:val="1"/>
      <w:numFmt w:val="decimal"/>
      <w:lvlText w:val="%4."/>
      <w:lvlJc w:val="left"/>
      <w:pPr>
        <w:ind w:left="2880" w:hanging="360"/>
      </w:pPr>
    </w:lvl>
    <w:lvl w:ilvl="4" w:tplc="F93AAE94" w:tentative="1">
      <w:start w:val="1"/>
      <w:numFmt w:val="lowerLetter"/>
      <w:lvlText w:val="%5."/>
      <w:lvlJc w:val="left"/>
      <w:pPr>
        <w:ind w:left="3600" w:hanging="360"/>
      </w:pPr>
    </w:lvl>
    <w:lvl w:ilvl="5" w:tplc="E5EC363E" w:tentative="1">
      <w:start w:val="1"/>
      <w:numFmt w:val="lowerRoman"/>
      <w:lvlText w:val="%6."/>
      <w:lvlJc w:val="right"/>
      <w:pPr>
        <w:ind w:left="4320" w:hanging="180"/>
      </w:pPr>
    </w:lvl>
    <w:lvl w:ilvl="6" w:tplc="6B225174" w:tentative="1">
      <w:start w:val="1"/>
      <w:numFmt w:val="decimal"/>
      <w:lvlText w:val="%7."/>
      <w:lvlJc w:val="left"/>
      <w:pPr>
        <w:ind w:left="5040" w:hanging="360"/>
      </w:pPr>
    </w:lvl>
    <w:lvl w:ilvl="7" w:tplc="5BFE9A68" w:tentative="1">
      <w:start w:val="1"/>
      <w:numFmt w:val="lowerLetter"/>
      <w:lvlText w:val="%8."/>
      <w:lvlJc w:val="left"/>
      <w:pPr>
        <w:ind w:left="5760" w:hanging="360"/>
      </w:pPr>
    </w:lvl>
    <w:lvl w:ilvl="8" w:tplc="260E56B6" w:tentative="1">
      <w:start w:val="1"/>
      <w:numFmt w:val="lowerRoman"/>
      <w:lvlText w:val="%9."/>
      <w:lvlJc w:val="right"/>
      <w:pPr>
        <w:ind w:left="6480" w:hanging="180"/>
      </w:pPr>
    </w:lvl>
  </w:abstractNum>
  <w:abstractNum w:abstractNumId="11"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C0F30CE"/>
    <w:multiLevelType w:val="hybridMultilevel"/>
    <w:tmpl w:val="3CE239C0"/>
    <w:lvl w:ilvl="0" w:tplc="013CBEE2">
      <w:start w:val="2012"/>
      <w:numFmt w:val="bullet"/>
      <w:lvlText w:val="–"/>
      <w:lvlJc w:val="left"/>
      <w:pPr>
        <w:ind w:left="720" w:hanging="360"/>
      </w:pPr>
      <w:rPr>
        <w:rFonts w:ascii="Calibri" w:eastAsia="Calibri" w:hAnsi="Calibri" w:cs="Times New Roman" w:hint="default"/>
      </w:rPr>
    </w:lvl>
    <w:lvl w:ilvl="1" w:tplc="91DE84C4">
      <w:numFmt w:val="bullet"/>
      <w:lvlText w:val="-"/>
      <w:lvlJc w:val="left"/>
      <w:pPr>
        <w:ind w:left="1440" w:hanging="360"/>
      </w:pPr>
      <w:rPr>
        <w:rFonts w:ascii="Calibri" w:eastAsia="Calibri" w:hAnsi="Calibri" w:cs="Times New Roman" w:hint="default"/>
      </w:rPr>
    </w:lvl>
    <w:lvl w:ilvl="2" w:tplc="B8DC5044">
      <w:start w:val="1"/>
      <w:numFmt w:val="bullet"/>
      <w:lvlText w:val=""/>
      <w:lvlJc w:val="left"/>
      <w:pPr>
        <w:ind w:left="2160" w:hanging="360"/>
      </w:pPr>
      <w:rPr>
        <w:rFonts w:ascii="Wingdings" w:hAnsi="Wingdings" w:hint="default"/>
      </w:rPr>
    </w:lvl>
    <w:lvl w:ilvl="3" w:tplc="C80E6C4C" w:tentative="1">
      <w:start w:val="1"/>
      <w:numFmt w:val="bullet"/>
      <w:lvlText w:val=""/>
      <w:lvlJc w:val="left"/>
      <w:pPr>
        <w:ind w:left="2880" w:hanging="360"/>
      </w:pPr>
      <w:rPr>
        <w:rFonts w:ascii="Symbol" w:hAnsi="Symbol" w:hint="default"/>
      </w:rPr>
    </w:lvl>
    <w:lvl w:ilvl="4" w:tplc="05D2A4A8" w:tentative="1">
      <w:start w:val="1"/>
      <w:numFmt w:val="bullet"/>
      <w:lvlText w:val="o"/>
      <w:lvlJc w:val="left"/>
      <w:pPr>
        <w:ind w:left="3600" w:hanging="360"/>
      </w:pPr>
      <w:rPr>
        <w:rFonts w:ascii="Courier New" w:hAnsi="Courier New" w:cs="Courier New" w:hint="default"/>
      </w:rPr>
    </w:lvl>
    <w:lvl w:ilvl="5" w:tplc="37FC1D68" w:tentative="1">
      <w:start w:val="1"/>
      <w:numFmt w:val="bullet"/>
      <w:lvlText w:val=""/>
      <w:lvlJc w:val="left"/>
      <w:pPr>
        <w:ind w:left="4320" w:hanging="360"/>
      </w:pPr>
      <w:rPr>
        <w:rFonts w:ascii="Wingdings" w:hAnsi="Wingdings" w:hint="default"/>
      </w:rPr>
    </w:lvl>
    <w:lvl w:ilvl="6" w:tplc="92266272" w:tentative="1">
      <w:start w:val="1"/>
      <w:numFmt w:val="bullet"/>
      <w:lvlText w:val=""/>
      <w:lvlJc w:val="left"/>
      <w:pPr>
        <w:ind w:left="5040" w:hanging="360"/>
      </w:pPr>
      <w:rPr>
        <w:rFonts w:ascii="Symbol" w:hAnsi="Symbol" w:hint="default"/>
      </w:rPr>
    </w:lvl>
    <w:lvl w:ilvl="7" w:tplc="41A4B95E" w:tentative="1">
      <w:start w:val="1"/>
      <w:numFmt w:val="bullet"/>
      <w:lvlText w:val="o"/>
      <w:lvlJc w:val="left"/>
      <w:pPr>
        <w:ind w:left="5760" w:hanging="360"/>
      </w:pPr>
      <w:rPr>
        <w:rFonts w:ascii="Courier New" w:hAnsi="Courier New" w:cs="Courier New" w:hint="default"/>
      </w:rPr>
    </w:lvl>
    <w:lvl w:ilvl="8" w:tplc="C96E1B26" w:tentative="1">
      <w:start w:val="1"/>
      <w:numFmt w:val="bullet"/>
      <w:lvlText w:val=""/>
      <w:lvlJc w:val="left"/>
      <w:pPr>
        <w:ind w:left="6480" w:hanging="360"/>
      </w:pPr>
      <w:rPr>
        <w:rFonts w:ascii="Wingdings" w:hAnsi="Wingdings" w:hint="default"/>
      </w:rPr>
    </w:lvl>
  </w:abstractNum>
  <w:abstractNum w:abstractNumId="14" w15:restartNumberingAfterBreak="0">
    <w:nsid w:val="54726852"/>
    <w:multiLevelType w:val="hybridMultilevel"/>
    <w:tmpl w:val="CB760136"/>
    <w:lvl w:ilvl="0" w:tplc="6A7C6D4A">
      <w:start w:val="1"/>
      <w:numFmt w:val="decimal"/>
      <w:lvlText w:val="%1."/>
      <w:lvlJc w:val="left"/>
      <w:pPr>
        <w:ind w:left="720" w:hanging="360"/>
      </w:pPr>
    </w:lvl>
    <w:lvl w:ilvl="1" w:tplc="21725472" w:tentative="1">
      <w:start w:val="1"/>
      <w:numFmt w:val="lowerLetter"/>
      <w:lvlText w:val="%2."/>
      <w:lvlJc w:val="left"/>
      <w:pPr>
        <w:ind w:left="1440" w:hanging="360"/>
      </w:pPr>
    </w:lvl>
    <w:lvl w:ilvl="2" w:tplc="F940B1E6" w:tentative="1">
      <w:start w:val="1"/>
      <w:numFmt w:val="lowerRoman"/>
      <w:lvlText w:val="%3."/>
      <w:lvlJc w:val="right"/>
      <w:pPr>
        <w:ind w:left="2160" w:hanging="180"/>
      </w:pPr>
    </w:lvl>
    <w:lvl w:ilvl="3" w:tplc="6130D7FE" w:tentative="1">
      <w:start w:val="1"/>
      <w:numFmt w:val="decimal"/>
      <w:lvlText w:val="%4."/>
      <w:lvlJc w:val="left"/>
      <w:pPr>
        <w:ind w:left="2880" w:hanging="360"/>
      </w:pPr>
    </w:lvl>
    <w:lvl w:ilvl="4" w:tplc="D3E46854" w:tentative="1">
      <w:start w:val="1"/>
      <w:numFmt w:val="lowerLetter"/>
      <w:lvlText w:val="%5."/>
      <w:lvlJc w:val="left"/>
      <w:pPr>
        <w:ind w:left="3600" w:hanging="360"/>
      </w:pPr>
    </w:lvl>
    <w:lvl w:ilvl="5" w:tplc="BF36F1CC" w:tentative="1">
      <w:start w:val="1"/>
      <w:numFmt w:val="lowerRoman"/>
      <w:lvlText w:val="%6."/>
      <w:lvlJc w:val="right"/>
      <w:pPr>
        <w:ind w:left="4320" w:hanging="180"/>
      </w:pPr>
    </w:lvl>
    <w:lvl w:ilvl="6" w:tplc="E6C2607C" w:tentative="1">
      <w:start w:val="1"/>
      <w:numFmt w:val="decimal"/>
      <w:lvlText w:val="%7."/>
      <w:lvlJc w:val="left"/>
      <w:pPr>
        <w:ind w:left="5040" w:hanging="360"/>
      </w:pPr>
    </w:lvl>
    <w:lvl w:ilvl="7" w:tplc="EBD85E14" w:tentative="1">
      <w:start w:val="1"/>
      <w:numFmt w:val="lowerLetter"/>
      <w:lvlText w:val="%8."/>
      <w:lvlJc w:val="left"/>
      <w:pPr>
        <w:ind w:left="5760" w:hanging="360"/>
      </w:pPr>
    </w:lvl>
    <w:lvl w:ilvl="8" w:tplc="BB3A4FFC" w:tentative="1">
      <w:start w:val="1"/>
      <w:numFmt w:val="lowerRoman"/>
      <w:lvlText w:val="%9."/>
      <w:lvlJc w:val="right"/>
      <w:pPr>
        <w:ind w:left="6480" w:hanging="180"/>
      </w:pPr>
    </w:lvl>
  </w:abstractNum>
  <w:abstractNum w:abstractNumId="15" w15:restartNumberingAfterBreak="0">
    <w:nsid w:val="58BE26CC"/>
    <w:multiLevelType w:val="hybridMultilevel"/>
    <w:tmpl w:val="8B2C7E86"/>
    <w:lvl w:ilvl="0" w:tplc="C116E72A">
      <w:start w:val="1"/>
      <w:numFmt w:val="bullet"/>
      <w:lvlText w:val=""/>
      <w:lvlJc w:val="left"/>
      <w:pPr>
        <w:ind w:left="1080" w:hanging="360"/>
      </w:pPr>
      <w:rPr>
        <w:rFonts w:ascii="Symbol" w:hAnsi="Symbol" w:hint="default"/>
      </w:rPr>
    </w:lvl>
    <w:lvl w:ilvl="1" w:tplc="F10E5E4A" w:tentative="1">
      <w:start w:val="1"/>
      <w:numFmt w:val="bullet"/>
      <w:lvlText w:val="o"/>
      <w:lvlJc w:val="left"/>
      <w:pPr>
        <w:ind w:left="1800" w:hanging="360"/>
      </w:pPr>
      <w:rPr>
        <w:rFonts w:ascii="Courier New" w:hAnsi="Courier New" w:cs="Courier New" w:hint="default"/>
      </w:rPr>
    </w:lvl>
    <w:lvl w:ilvl="2" w:tplc="CBA89E48" w:tentative="1">
      <w:start w:val="1"/>
      <w:numFmt w:val="bullet"/>
      <w:lvlText w:val=""/>
      <w:lvlJc w:val="left"/>
      <w:pPr>
        <w:ind w:left="2520" w:hanging="360"/>
      </w:pPr>
      <w:rPr>
        <w:rFonts w:ascii="Wingdings" w:hAnsi="Wingdings" w:hint="default"/>
      </w:rPr>
    </w:lvl>
    <w:lvl w:ilvl="3" w:tplc="C7EC6506" w:tentative="1">
      <w:start w:val="1"/>
      <w:numFmt w:val="bullet"/>
      <w:lvlText w:val=""/>
      <w:lvlJc w:val="left"/>
      <w:pPr>
        <w:ind w:left="3240" w:hanging="360"/>
      </w:pPr>
      <w:rPr>
        <w:rFonts w:ascii="Symbol" w:hAnsi="Symbol" w:hint="default"/>
      </w:rPr>
    </w:lvl>
    <w:lvl w:ilvl="4" w:tplc="278EE31A" w:tentative="1">
      <w:start w:val="1"/>
      <w:numFmt w:val="bullet"/>
      <w:lvlText w:val="o"/>
      <w:lvlJc w:val="left"/>
      <w:pPr>
        <w:ind w:left="3960" w:hanging="360"/>
      </w:pPr>
      <w:rPr>
        <w:rFonts w:ascii="Courier New" w:hAnsi="Courier New" w:cs="Courier New" w:hint="default"/>
      </w:rPr>
    </w:lvl>
    <w:lvl w:ilvl="5" w:tplc="FFB2FA04" w:tentative="1">
      <w:start w:val="1"/>
      <w:numFmt w:val="bullet"/>
      <w:lvlText w:val=""/>
      <w:lvlJc w:val="left"/>
      <w:pPr>
        <w:ind w:left="4680" w:hanging="360"/>
      </w:pPr>
      <w:rPr>
        <w:rFonts w:ascii="Wingdings" w:hAnsi="Wingdings" w:hint="default"/>
      </w:rPr>
    </w:lvl>
    <w:lvl w:ilvl="6" w:tplc="30D0115A" w:tentative="1">
      <w:start w:val="1"/>
      <w:numFmt w:val="bullet"/>
      <w:lvlText w:val=""/>
      <w:lvlJc w:val="left"/>
      <w:pPr>
        <w:ind w:left="5400" w:hanging="360"/>
      </w:pPr>
      <w:rPr>
        <w:rFonts w:ascii="Symbol" w:hAnsi="Symbol" w:hint="default"/>
      </w:rPr>
    </w:lvl>
    <w:lvl w:ilvl="7" w:tplc="FAF8C6D8" w:tentative="1">
      <w:start w:val="1"/>
      <w:numFmt w:val="bullet"/>
      <w:lvlText w:val="o"/>
      <w:lvlJc w:val="left"/>
      <w:pPr>
        <w:ind w:left="6120" w:hanging="360"/>
      </w:pPr>
      <w:rPr>
        <w:rFonts w:ascii="Courier New" w:hAnsi="Courier New" w:cs="Courier New" w:hint="default"/>
      </w:rPr>
    </w:lvl>
    <w:lvl w:ilvl="8" w:tplc="D96C9248" w:tentative="1">
      <w:start w:val="1"/>
      <w:numFmt w:val="bullet"/>
      <w:lvlText w:val=""/>
      <w:lvlJc w:val="left"/>
      <w:pPr>
        <w:ind w:left="6840" w:hanging="360"/>
      </w:pPr>
      <w:rPr>
        <w:rFonts w:ascii="Wingdings" w:hAnsi="Wingdings" w:hint="default"/>
      </w:rPr>
    </w:lvl>
  </w:abstractNum>
  <w:abstractNum w:abstractNumId="16" w15:restartNumberingAfterBreak="0">
    <w:nsid w:val="6466656B"/>
    <w:multiLevelType w:val="hybridMultilevel"/>
    <w:tmpl w:val="303027B6"/>
    <w:lvl w:ilvl="0" w:tplc="BCB2754A">
      <w:start w:val="1"/>
      <w:numFmt w:val="decimal"/>
      <w:lvlText w:val="%1."/>
      <w:lvlJc w:val="left"/>
      <w:pPr>
        <w:ind w:left="720" w:hanging="360"/>
      </w:pPr>
    </w:lvl>
    <w:lvl w:ilvl="1" w:tplc="0BECCF0A" w:tentative="1">
      <w:start w:val="1"/>
      <w:numFmt w:val="lowerLetter"/>
      <w:lvlText w:val="%2."/>
      <w:lvlJc w:val="left"/>
      <w:pPr>
        <w:ind w:left="1440" w:hanging="360"/>
      </w:pPr>
    </w:lvl>
    <w:lvl w:ilvl="2" w:tplc="27763AB0" w:tentative="1">
      <w:start w:val="1"/>
      <w:numFmt w:val="lowerRoman"/>
      <w:lvlText w:val="%3."/>
      <w:lvlJc w:val="right"/>
      <w:pPr>
        <w:ind w:left="2160" w:hanging="180"/>
      </w:pPr>
    </w:lvl>
    <w:lvl w:ilvl="3" w:tplc="D8C81214" w:tentative="1">
      <w:start w:val="1"/>
      <w:numFmt w:val="decimal"/>
      <w:lvlText w:val="%4."/>
      <w:lvlJc w:val="left"/>
      <w:pPr>
        <w:ind w:left="2880" w:hanging="360"/>
      </w:pPr>
    </w:lvl>
    <w:lvl w:ilvl="4" w:tplc="E2F2EF48" w:tentative="1">
      <w:start w:val="1"/>
      <w:numFmt w:val="lowerLetter"/>
      <w:lvlText w:val="%5."/>
      <w:lvlJc w:val="left"/>
      <w:pPr>
        <w:ind w:left="3600" w:hanging="360"/>
      </w:pPr>
    </w:lvl>
    <w:lvl w:ilvl="5" w:tplc="63423170" w:tentative="1">
      <w:start w:val="1"/>
      <w:numFmt w:val="lowerRoman"/>
      <w:lvlText w:val="%6."/>
      <w:lvlJc w:val="right"/>
      <w:pPr>
        <w:ind w:left="4320" w:hanging="180"/>
      </w:pPr>
    </w:lvl>
    <w:lvl w:ilvl="6" w:tplc="E5D49BB0" w:tentative="1">
      <w:start w:val="1"/>
      <w:numFmt w:val="decimal"/>
      <w:lvlText w:val="%7."/>
      <w:lvlJc w:val="left"/>
      <w:pPr>
        <w:ind w:left="5040" w:hanging="360"/>
      </w:pPr>
    </w:lvl>
    <w:lvl w:ilvl="7" w:tplc="57023976" w:tentative="1">
      <w:start w:val="1"/>
      <w:numFmt w:val="lowerLetter"/>
      <w:lvlText w:val="%8."/>
      <w:lvlJc w:val="left"/>
      <w:pPr>
        <w:ind w:left="5760" w:hanging="360"/>
      </w:pPr>
    </w:lvl>
    <w:lvl w:ilvl="8" w:tplc="E0A83A36" w:tentative="1">
      <w:start w:val="1"/>
      <w:numFmt w:val="lowerRoman"/>
      <w:lvlText w:val="%9."/>
      <w:lvlJc w:val="right"/>
      <w:pPr>
        <w:ind w:left="6480" w:hanging="180"/>
      </w:pPr>
    </w:lvl>
  </w:abstractNum>
  <w:abstractNum w:abstractNumId="17" w15:restartNumberingAfterBreak="0">
    <w:nsid w:val="6D8976FB"/>
    <w:multiLevelType w:val="hybridMultilevel"/>
    <w:tmpl w:val="AF70EF36"/>
    <w:lvl w:ilvl="0" w:tplc="DE9A7414">
      <w:start w:val="1"/>
      <w:numFmt w:val="bullet"/>
      <w:lvlText w:val=""/>
      <w:lvlJc w:val="left"/>
      <w:pPr>
        <w:ind w:left="1080" w:hanging="360"/>
      </w:pPr>
      <w:rPr>
        <w:rFonts w:ascii="Symbol" w:hAnsi="Symbol" w:hint="default"/>
      </w:rPr>
    </w:lvl>
    <w:lvl w:ilvl="1" w:tplc="B67078BC" w:tentative="1">
      <w:start w:val="1"/>
      <w:numFmt w:val="bullet"/>
      <w:lvlText w:val="o"/>
      <w:lvlJc w:val="left"/>
      <w:pPr>
        <w:ind w:left="1800" w:hanging="360"/>
      </w:pPr>
      <w:rPr>
        <w:rFonts w:ascii="Courier New" w:hAnsi="Courier New" w:cs="Courier New" w:hint="default"/>
      </w:rPr>
    </w:lvl>
    <w:lvl w:ilvl="2" w:tplc="5B3A5B7E" w:tentative="1">
      <w:start w:val="1"/>
      <w:numFmt w:val="bullet"/>
      <w:lvlText w:val=""/>
      <w:lvlJc w:val="left"/>
      <w:pPr>
        <w:ind w:left="2520" w:hanging="360"/>
      </w:pPr>
      <w:rPr>
        <w:rFonts w:ascii="Wingdings" w:hAnsi="Wingdings" w:hint="default"/>
      </w:rPr>
    </w:lvl>
    <w:lvl w:ilvl="3" w:tplc="54B89B72" w:tentative="1">
      <w:start w:val="1"/>
      <w:numFmt w:val="bullet"/>
      <w:lvlText w:val=""/>
      <w:lvlJc w:val="left"/>
      <w:pPr>
        <w:ind w:left="3240" w:hanging="360"/>
      </w:pPr>
      <w:rPr>
        <w:rFonts w:ascii="Symbol" w:hAnsi="Symbol" w:hint="default"/>
      </w:rPr>
    </w:lvl>
    <w:lvl w:ilvl="4" w:tplc="D0B41CEC" w:tentative="1">
      <w:start w:val="1"/>
      <w:numFmt w:val="bullet"/>
      <w:lvlText w:val="o"/>
      <w:lvlJc w:val="left"/>
      <w:pPr>
        <w:ind w:left="3960" w:hanging="360"/>
      </w:pPr>
      <w:rPr>
        <w:rFonts w:ascii="Courier New" w:hAnsi="Courier New" w:cs="Courier New" w:hint="default"/>
      </w:rPr>
    </w:lvl>
    <w:lvl w:ilvl="5" w:tplc="F9F2624A" w:tentative="1">
      <w:start w:val="1"/>
      <w:numFmt w:val="bullet"/>
      <w:lvlText w:val=""/>
      <w:lvlJc w:val="left"/>
      <w:pPr>
        <w:ind w:left="4680" w:hanging="360"/>
      </w:pPr>
      <w:rPr>
        <w:rFonts w:ascii="Wingdings" w:hAnsi="Wingdings" w:hint="default"/>
      </w:rPr>
    </w:lvl>
    <w:lvl w:ilvl="6" w:tplc="12720B34" w:tentative="1">
      <w:start w:val="1"/>
      <w:numFmt w:val="bullet"/>
      <w:lvlText w:val=""/>
      <w:lvlJc w:val="left"/>
      <w:pPr>
        <w:ind w:left="5400" w:hanging="360"/>
      </w:pPr>
      <w:rPr>
        <w:rFonts w:ascii="Symbol" w:hAnsi="Symbol" w:hint="default"/>
      </w:rPr>
    </w:lvl>
    <w:lvl w:ilvl="7" w:tplc="352A0F38" w:tentative="1">
      <w:start w:val="1"/>
      <w:numFmt w:val="bullet"/>
      <w:lvlText w:val="o"/>
      <w:lvlJc w:val="left"/>
      <w:pPr>
        <w:ind w:left="6120" w:hanging="360"/>
      </w:pPr>
      <w:rPr>
        <w:rFonts w:ascii="Courier New" w:hAnsi="Courier New" w:cs="Courier New" w:hint="default"/>
      </w:rPr>
    </w:lvl>
    <w:lvl w:ilvl="8" w:tplc="348C4FBE" w:tentative="1">
      <w:start w:val="1"/>
      <w:numFmt w:val="bullet"/>
      <w:lvlText w:val=""/>
      <w:lvlJc w:val="left"/>
      <w:pPr>
        <w:ind w:left="6840" w:hanging="360"/>
      </w:pPr>
      <w:rPr>
        <w:rFonts w:ascii="Wingdings" w:hAnsi="Wingdings" w:hint="default"/>
      </w:rPr>
    </w:lvl>
  </w:abstractNum>
  <w:abstractNum w:abstractNumId="18"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275558881">
    <w:abstractNumId w:val="6"/>
  </w:num>
  <w:num w:numId="2" w16cid:durableId="1855652846">
    <w:abstractNumId w:val="3"/>
  </w:num>
  <w:num w:numId="3" w16cid:durableId="1639604725">
    <w:abstractNumId w:val="8"/>
  </w:num>
  <w:num w:numId="4" w16cid:durableId="1419791332">
    <w:abstractNumId w:val="1"/>
  </w:num>
  <w:num w:numId="5" w16cid:durableId="416249105">
    <w:abstractNumId w:val="2"/>
  </w:num>
  <w:num w:numId="6" w16cid:durableId="761226361">
    <w:abstractNumId w:val="11"/>
  </w:num>
  <w:num w:numId="7" w16cid:durableId="1264656324">
    <w:abstractNumId w:val="4"/>
  </w:num>
  <w:num w:numId="8" w16cid:durableId="1611619483">
    <w:abstractNumId w:val="18"/>
  </w:num>
  <w:num w:numId="9" w16cid:durableId="2096247414">
    <w:abstractNumId w:val="11"/>
    <w:lvlOverride w:ilvl="0">
      <w:startOverride w:val="1"/>
    </w:lvlOverride>
  </w:num>
  <w:num w:numId="10" w16cid:durableId="758914530">
    <w:abstractNumId w:val="19"/>
  </w:num>
  <w:num w:numId="11" w16cid:durableId="425659825">
    <w:abstractNumId w:val="12"/>
  </w:num>
  <w:num w:numId="12" w16cid:durableId="666903762">
    <w:abstractNumId w:val="9"/>
  </w:num>
  <w:num w:numId="13" w16cid:durableId="610936983">
    <w:abstractNumId w:val="8"/>
  </w:num>
  <w:num w:numId="14" w16cid:durableId="271938641">
    <w:abstractNumId w:val="8"/>
  </w:num>
  <w:num w:numId="15" w16cid:durableId="479350991">
    <w:abstractNumId w:val="8"/>
  </w:num>
  <w:num w:numId="16" w16cid:durableId="309868315">
    <w:abstractNumId w:val="8"/>
  </w:num>
  <w:num w:numId="17" w16cid:durableId="1405224928">
    <w:abstractNumId w:val="8"/>
  </w:num>
  <w:num w:numId="18" w16cid:durableId="2048988067">
    <w:abstractNumId w:val="8"/>
  </w:num>
  <w:num w:numId="19" w16cid:durableId="534395070">
    <w:abstractNumId w:val="13"/>
  </w:num>
  <w:num w:numId="20" w16cid:durableId="922030125">
    <w:abstractNumId w:val="10"/>
  </w:num>
  <w:num w:numId="21" w16cid:durableId="133958140">
    <w:abstractNumId w:val="14"/>
  </w:num>
  <w:num w:numId="22" w16cid:durableId="1716002728">
    <w:abstractNumId w:val="16"/>
  </w:num>
  <w:num w:numId="23" w16cid:durableId="1163469149">
    <w:abstractNumId w:val="11"/>
    <w:lvlOverride w:ilvl="0">
      <w:startOverride w:val="1"/>
    </w:lvlOverride>
  </w:num>
  <w:num w:numId="24" w16cid:durableId="317615947">
    <w:abstractNumId w:val="11"/>
    <w:lvlOverride w:ilvl="0">
      <w:startOverride w:val="1"/>
    </w:lvlOverride>
  </w:num>
  <w:num w:numId="25" w16cid:durableId="1475222285">
    <w:abstractNumId w:val="11"/>
    <w:lvlOverride w:ilvl="0">
      <w:startOverride w:val="1"/>
    </w:lvlOverride>
  </w:num>
  <w:num w:numId="26" w16cid:durableId="884030044">
    <w:abstractNumId w:val="11"/>
    <w:lvlOverride w:ilvl="0">
      <w:startOverride w:val="1"/>
    </w:lvlOverride>
  </w:num>
  <w:num w:numId="27" w16cid:durableId="677970498">
    <w:abstractNumId w:val="11"/>
    <w:lvlOverride w:ilvl="0">
      <w:startOverride w:val="1"/>
    </w:lvlOverride>
  </w:num>
  <w:num w:numId="28" w16cid:durableId="549148147">
    <w:abstractNumId w:val="11"/>
    <w:lvlOverride w:ilvl="0">
      <w:startOverride w:val="1"/>
    </w:lvlOverride>
  </w:num>
  <w:num w:numId="29" w16cid:durableId="386029106">
    <w:abstractNumId w:val="0"/>
    <w:lvlOverride w:ilvl="0">
      <w:startOverride w:val="1"/>
    </w:lvlOverride>
    <w:lvlOverride w:ilvl="1"/>
    <w:lvlOverride w:ilvl="2"/>
    <w:lvlOverride w:ilvl="3"/>
    <w:lvlOverride w:ilvl="4"/>
    <w:lvlOverride w:ilvl="5"/>
    <w:lvlOverride w:ilvl="6"/>
    <w:lvlOverride w:ilvl="7"/>
    <w:lvlOverride w:ilvl="8"/>
  </w:num>
  <w:num w:numId="30" w16cid:durableId="615448792">
    <w:abstractNumId w:val="7"/>
  </w:num>
  <w:num w:numId="31" w16cid:durableId="1793940521">
    <w:abstractNumId w:val="11"/>
    <w:lvlOverride w:ilvl="0">
      <w:startOverride w:val="1"/>
    </w:lvlOverride>
  </w:num>
  <w:num w:numId="32" w16cid:durableId="2020307716">
    <w:abstractNumId w:val="8"/>
  </w:num>
  <w:num w:numId="33" w16cid:durableId="1733577510">
    <w:abstractNumId w:val="0"/>
  </w:num>
  <w:num w:numId="34" w16cid:durableId="518083591">
    <w:abstractNumId w:val="17"/>
  </w:num>
  <w:num w:numId="35" w16cid:durableId="2112314734">
    <w:abstractNumId w:val="15"/>
  </w:num>
  <w:num w:numId="36" w16cid:durableId="1539471007">
    <w:abstractNumId w:val="5"/>
  </w:num>
  <w:num w:numId="37" w16cid:durableId="1394697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19"/>
    <w:rsid w:val="00054DE7"/>
    <w:rsid w:val="00187157"/>
    <w:rsid w:val="00293EB3"/>
    <w:rsid w:val="002E1AF8"/>
    <w:rsid w:val="00322BBE"/>
    <w:rsid w:val="003926D9"/>
    <w:rsid w:val="00452D58"/>
    <w:rsid w:val="00536002"/>
    <w:rsid w:val="00644AC2"/>
    <w:rsid w:val="0069567D"/>
    <w:rsid w:val="006A4704"/>
    <w:rsid w:val="006A7764"/>
    <w:rsid w:val="0071200A"/>
    <w:rsid w:val="007B4741"/>
    <w:rsid w:val="007F11F3"/>
    <w:rsid w:val="00820E27"/>
    <w:rsid w:val="0084307D"/>
    <w:rsid w:val="00903987"/>
    <w:rsid w:val="009E441F"/>
    <w:rsid w:val="00A22AB0"/>
    <w:rsid w:val="00AA25CE"/>
    <w:rsid w:val="00AB0B81"/>
    <w:rsid w:val="00B137D2"/>
    <w:rsid w:val="00BA3919"/>
    <w:rsid w:val="00BB02D6"/>
    <w:rsid w:val="00BE6F61"/>
    <w:rsid w:val="00C1521C"/>
    <w:rsid w:val="00C849C0"/>
    <w:rsid w:val="00C8565A"/>
    <w:rsid w:val="00DA50DC"/>
    <w:rsid w:val="00DB6731"/>
    <w:rsid w:val="00DD72E2"/>
    <w:rsid w:val="00E052A1"/>
    <w:rsid w:val="00EC46C1"/>
    <w:rsid w:val="00EF0090"/>
    <w:rsid w:val="00FA20A7"/>
    <w:rsid w:val="00FA373D"/>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3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
    <w:name w:val="Normal"/>
    <w:qFormat/>
    <w:rsid w:val="00452D58"/>
    <w:pPr>
      <w:spacing w:after="150" w:line="276" w:lineRule="auto"/>
      <w:jc w:val="both"/>
    </w:pPr>
  </w:style>
  <w:style w:type="paragraph" w:styleId="Cmsor1">
    <w:name w:val="heading 1"/>
    <w:basedOn w:val="Norml"/>
    <w:next w:val="Norml"/>
    <w:link w:val="Cmsor1Char"/>
    <w:qFormat/>
    <w:rsid w:val="00452D58"/>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Cmsor2">
    <w:name w:val="heading 2"/>
    <w:basedOn w:val="Norml"/>
    <w:next w:val="Norml"/>
    <w:link w:val="Cmsor2Char"/>
    <w:unhideWhenUsed/>
    <w:qFormat/>
    <w:rsid w:val="00452D58"/>
    <w:pPr>
      <w:numPr>
        <w:ilvl w:val="1"/>
        <w:numId w:val="3"/>
      </w:numPr>
      <w:spacing w:before="210" w:after="75"/>
      <w:jc w:val="left"/>
      <w:outlineLvl w:val="1"/>
    </w:pPr>
    <w:rPr>
      <w:b/>
      <w:color w:val="0C2148" w:themeColor="text2"/>
      <w:sz w:val="24"/>
      <w:szCs w:val="38"/>
    </w:rPr>
  </w:style>
  <w:style w:type="paragraph" w:styleId="Cmsor3">
    <w:name w:val="heading 3"/>
    <w:basedOn w:val="Norml"/>
    <w:next w:val="Norml"/>
    <w:link w:val="Cmsor3Char"/>
    <w:unhideWhenUsed/>
    <w:qFormat/>
    <w:rsid w:val="00452D58"/>
    <w:pPr>
      <w:numPr>
        <w:ilvl w:val="2"/>
        <w:numId w:val="3"/>
      </w:numPr>
      <w:spacing w:before="75" w:after="75"/>
      <w:jc w:val="left"/>
      <w:outlineLvl w:val="2"/>
    </w:pPr>
    <w:rPr>
      <w:bCs/>
      <w:color w:val="0C2148" w:themeColor="text2"/>
      <w:szCs w:val="34"/>
    </w:rPr>
  </w:style>
  <w:style w:type="paragraph" w:styleId="Cmsor4">
    <w:name w:val="heading 4"/>
    <w:basedOn w:val="Norml"/>
    <w:next w:val="Norml"/>
    <w:link w:val="Cmsor4Char"/>
    <w:unhideWhenUsed/>
    <w:qFormat/>
    <w:rsid w:val="00452D58"/>
    <w:pPr>
      <w:numPr>
        <w:ilvl w:val="3"/>
        <w:numId w:val="3"/>
      </w:numPr>
      <w:spacing w:before="75" w:after="75"/>
      <w:jc w:val="left"/>
      <w:outlineLvl w:val="3"/>
    </w:pPr>
    <w:rPr>
      <w:iCs/>
      <w:color w:val="0C2148" w:themeColor="text2"/>
      <w:szCs w:val="30"/>
    </w:rPr>
  </w:style>
  <w:style w:type="paragraph" w:styleId="Cmsor5">
    <w:name w:val="heading 5"/>
    <w:basedOn w:val="Norml"/>
    <w:next w:val="Norml"/>
    <w:link w:val="Cmsor5Char"/>
    <w:unhideWhenUsed/>
    <w:qFormat/>
    <w:rsid w:val="00452D58"/>
    <w:pPr>
      <w:numPr>
        <w:ilvl w:val="4"/>
        <w:numId w:val="3"/>
      </w:numPr>
      <w:spacing w:before="75" w:after="75"/>
      <w:jc w:val="left"/>
      <w:outlineLvl w:val="4"/>
    </w:pPr>
    <w:rPr>
      <w:color w:val="0C2148" w:themeColor="text2"/>
      <w:szCs w:val="26"/>
    </w:rPr>
  </w:style>
  <w:style w:type="paragraph" w:styleId="Cmsor6">
    <w:name w:val="heading 6"/>
    <w:basedOn w:val="Norml"/>
    <w:next w:val="Norml"/>
    <w:link w:val="Cmsor6Char"/>
    <w:unhideWhenUsed/>
    <w:qFormat/>
    <w:rsid w:val="00452D58"/>
    <w:pPr>
      <w:numPr>
        <w:ilvl w:val="5"/>
        <w:numId w:val="3"/>
      </w:numPr>
      <w:spacing w:before="75" w:after="75"/>
      <w:jc w:val="left"/>
      <w:outlineLvl w:val="5"/>
    </w:pPr>
    <w:rPr>
      <w:color w:val="0C2148" w:themeColor="text2"/>
    </w:rPr>
  </w:style>
  <w:style w:type="paragraph" w:styleId="Cmsor7">
    <w:name w:val="heading 7"/>
    <w:basedOn w:val="Norml"/>
    <w:next w:val="Norml"/>
    <w:link w:val="Cmsor7Char"/>
    <w:uiPriority w:val="9"/>
    <w:semiHidden/>
    <w:unhideWhenUsed/>
    <w:qFormat/>
    <w:rsid w:val="00452D58"/>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452D58"/>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452D58"/>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452D58"/>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452D58"/>
  </w:style>
  <w:style w:type="table" w:customStyle="1" w:styleId="tblzat-mtrix">
    <w:name w:val="táblázat - mátrix"/>
    <w:basedOn w:val="Normltblzat"/>
    <w:uiPriority w:val="2"/>
    <w:qFormat/>
    <w:rsid w:val="00452D58"/>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452D58"/>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452D58"/>
    <w:pPr>
      <w:numPr>
        <w:numId w:val="9"/>
      </w:numPr>
      <w:contextualSpacing/>
    </w:pPr>
  </w:style>
  <w:style w:type="character" w:styleId="Hiperhivatkozs">
    <w:name w:val="Hyperlink"/>
    <w:basedOn w:val="Vgjegyzet-hivatkozs"/>
    <w:uiPriority w:val="99"/>
    <w:rsid w:val="00452D58"/>
    <w:rPr>
      <w:rFonts w:ascii="Calibri" w:hAnsi="Calibri"/>
      <w:color w:val="0000FF"/>
      <w:sz w:val="20"/>
      <w:u w:val="single"/>
      <w:vertAlign w:val="superscript"/>
    </w:rPr>
  </w:style>
  <w:style w:type="table" w:customStyle="1" w:styleId="tblzat-oldallces">
    <w:name w:val="táblázat - oldalléces"/>
    <w:basedOn w:val="Normltblzat"/>
    <w:uiPriority w:val="3"/>
    <w:qFormat/>
    <w:rsid w:val="00452D58"/>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452D58"/>
    <w:rPr>
      <w:vertAlign w:val="superscript"/>
    </w:rPr>
  </w:style>
  <w:style w:type="paragraph" w:styleId="Buborkszveg">
    <w:name w:val="Balloon Text"/>
    <w:basedOn w:val="Norml"/>
    <w:link w:val="BuborkszvegChar"/>
    <w:uiPriority w:val="99"/>
    <w:semiHidden/>
    <w:unhideWhenUsed/>
    <w:rsid w:val="00452D58"/>
    <w:rPr>
      <w:rFonts w:ascii="Tahoma" w:hAnsi="Tahoma" w:cs="Tahoma"/>
      <w:sz w:val="16"/>
      <w:szCs w:val="16"/>
    </w:rPr>
  </w:style>
  <w:style w:type="paragraph" w:customStyle="1" w:styleId="Magyarzszveg">
    <w:name w:val="Magyarázó szöveg"/>
    <w:basedOn w:val="Norml"/>
    <w:next w:val="Norml"/>
    <w:uiPriority w:val="7"/>
    <w:rsid w:val="00452D58"/>
    <w:rPr>
      <w:color w:val="F6A800" w:themeColor="accent5"/>
      <w:sz w:val="18"/>
    </w:rPr>
  </w:style>
  <w:style w:type="character" w:customStyle="1" w:styleId="BuborkszvegChar">
    <w:name w:val="Buborékszöveg Char"/>
    <w:basedOn w:val="Bekezdsalapbettpusa"/>
    <w:link w:val="Buborkszveg"/>
    <w:uiPriority w:val="99"/>
    <w:semiHidden/>
    <w:rsid w:val="00452D58"/>
    <w:rPr>
      <w:rFonts w:ascii="Tahoma" w:hAnsi="Tahoma" w:cs="Tahoma"/>
      <w:sz w:val="16"/>
      <w:szCs w:val="16"/>
    </w:rPr>
  </w:style>
  <w:style w:type="paragraph" w:styleId="lfej">
    <w:name w:val="header"/>
    <w:basedOn w:val="Norml"/>
    <w:link w:val="lfejChar"/>
    <w:uiPriority w:val="99"/>
    <w:unhideWhenUsed/>
    <w:rsid w:val="00452D58"/>
    <w:pPr>
      <w:tabs>
        <w:tab w:val="center" w:pos="4536"/>
        <w:tab w:val="right" w:pos="9072"/>
      </w:tabs>
    </w:pPr>
  </w:style>
  <w:style w:type="character" w:customStyle="1" w:styleId="lfejChar">
    <w:name w:val="Élőfej Char"/>
    <w:basedOn w:val="Bekezdsalapbettpusa"/>
    <w:link w:val="lfej"/>
    <w:uiPriority w:val="99"/>
    <w:rsid w:val="00452D58"/>
  </w:style>
  <w:style w:type="paragraph" w:styleId="llb">
    <w:name w:val="footer"/>
    <w:basedOn w:val="Norml"/>
    <w:link w:val="llbChar"/>
    <w:uiPriority w:val="99"/>
    <w:unhideWhenUsed/>
    <w:rsid w:val="00452D58"/>
    <w:pPr>
      <w:tabs>
        <w:tab w:val="center" w:pos="4536"/>
        <w:tab w:val="right" w:pos="9072"/>
      </w:tabs>
    </w:pPr>
  </w:style>
  <w:style w:type="character" w:customStyle="1" w:styleId="llbChar">
    <w:name w:val="Élőláb Char"/>
    <w:basedOn w:val="Bekezdsalapbettpusa"/>
    <w:link w:val="llb"/>
    <w:uiPriority w:val="99"/>
    <w:rsid w:val="00452D58"/>
  </w:style>
  <w:style w:type="paragraph" w:customStyle="1" w:styleId="Szmozs">
    <w:name w:val="Számozás"/>
    <w:basedOn w:val="Norml"/>
    <w:uiPriority w:val="4"/>
    <w:qFormat/>
    <w:rsid w:val="00452D58"/>
    <w:pPr>
      <w:numPr>
        <w:numId w:val="4"/>
      </w:numPr>
      <w:spacing w:before="120"/>
      <w:contextualSpacing/>
    </w:pPr>
  </w:style>
  <w:style w:type="table" w:styleId="Rcsostblzat">
    <w:name w:val="Table Grid"/>
    <w:aliases w:val="Szegély nélküli"/>
    <w:basedOn w:val="Normltblzat"/>
    <w:uiPriority w:val="59"/>
    <w:rsid w:val="00452D58"/>
    <w:pPr>
      <w:contextualSpacing/>
    </w:pPr>
    <w:tblPr/>
    <w:tcPr>
      <w:vAlign w:val="center"/>
    </w:tcPr>
  </w:style>
  <w:style w:type="character" w:customStyle="1" w:styleId="Cmsor4Char">
    <w:name w:val="Címsor 4 Char"/>
    <w:basedOn w:val="Bekezdsalapbettpusa"/>
    <w:link w:val="Cmsor4"/>
    <w:rsid w:val="00452D58"/>
    <w:rPr>
      <w:iCs/>
      <w:color w:val="0C2148" w:themeColor="text2"/>
      <w:szCs w:val="30"/>
    </w:rPr>
  </w:style>
  <w:style w:type="character" w:customStyle="1" w:styleId="Cmsor5Char">
    <w:name w:val="Címsor 5 Char"/>
    <w:basedOn w:val="Bekezdsalapbettpusa"/>
    <w:link w:val="Cmsor5"/>
    <w:rsid w:val="00452D58"/>
    <w:rPr>
      <w:color w:val="0C2148" w:themeColor="text2"/>
      <w:szCs w:val="26"/>
    </w:rPr>
  </w:style>
  <w:style w:type="character" w:customStyle="1" w:styleId="Cmsor6Char">
    <w:name w:val="Címsor 6 Char"/>
    <w:basedOn w:val="Bekezdsalapbettpusa"/>
    <w:link w:val="Cmsor6"/>
    <w:rsid w:val="00452D58"/>
    <w:rPr>
      <w:color w:val="0C2148" w:themeColor="text2"/>
    </w:rPr>
  </w:style>
  <w:style w:type="character" w:customStyle="1" w:styleId="Cmsor1Char">
    <w:name w:val="Címsor 1 Char"/>
    <w:basedOn w:val="Bekezdsalapbettpusa"/>
    <w:link w:val="Cmsor1"/>
    <w:rsid w:val="00452D58"/>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452D58"/>
    <w:rPr>
      <w:b/>
      <w:color w:val="0C2148" w:themeColor="text2"/>
      <w:sz w:val="24"/>
      <w:szCs w:val="38"/>
    </w:rPr>
  </w:style>
  <w:style w:type="character" w:customStyle="1" w:styleId="Cmsor3Char">
    <w:name w:val="Címsor 3 Char"/>
    <w:basedOn w:val="Bekezdsalapbettpusa"/>
    <w:link w:val="Cmsor3"/>
    <w:rsid w:val="00452D58"/>
    <w:rPr>
      <w:bCs/>
      <w:color w:val="0C2148" w:themeColor="text2"/>
      <w:szCs w:val="34"/>
    </w:rPr>
  </w:style>
  <w:style w:type="paragraph" w:styleId="Cm">
    <w:name w:val="Title"/>
    <w:basedOn w:val="Norml"/>
    <w:next w:val="Norml"/>
    <w:link w:val="CmChar"/>
    <w:uiPriority w:val="3"/>
    <w:qFormat/>
    <w:rsid w:val="00452D58"/>
    <w:pPr>
      <w:spacing w:after="300"/>
      <w:contextualSpacing/>
    </w:pPr>
    <w:rPr>
      <w:rFonts w:eastAsiaTheme="majorEastAsia" w:cstheme="majorBidi"/>
      <w:caps/>
      <w:color w:val="0C2148" w:themeColor="text2"/>
      <w:spacing w:val="5"/>
      <w:kern w:val="28"/>
      <w:sz w:val="24"/>
      <w:szCs w:val="52"/>
    </w:rPr>
  </w:style>
  <w:style w:type="character" w:customStyle="1" w:styleId="CmChar">
    <w:name w:val="Cím Char"/>
    <w:basedOn w:val="Bekezdsalapbettpusa"/>
    <w:link w:val="Cm"/>
    <w:uiPriority w:val="3"/>
    <w:rsid w:val="00452D58"/>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452D58"/>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452D58"/>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452D58"/>
    <w:rPr>
      <w:rFonts w:eastAsiaTheme="majorEastAsia" w:cstheme="majorBidi"/>
      <w:i/>
      <w:iCs/>
      <w:color w:val="404040" w:themeColor="text1" w:themeTint="BF"/>
    </w:rPr>
  </w:style>
  <w:style w:type="numbering" w:customStyle="1" w:styleId="Style1">
    <w:name w:val="Style1"/>
    <w:uiPriority w:val="99"/>
    <w:rsid w:val="00452D58"/>
    <w:pPr>
      <w:numPr>
        <w:numId w:val="1"/>
      </w:numPr>
    </w:pPr>
  </w:style>
  <w:style w:type="paragraph" w:styleId="TJ7">
    <w:name w:val="toc 7"/>
    <w:basedOn w:val="Norml"/>
    <w:next w:val="Norml"/>
    <w:autoRedefine/>
    <w:uiPriority w:val="99"/>
    <w:semiHidden/>
    <w:locked/>
    <w:rsid w:val="00452D58"/>
    <w:pPr>
      <w:spacing w:after="100"/>
      <w:ind w:left="1200"/>
    </w:pPr>
    <w:rPr>
      <w:color w:val="385623" w:themeColor="accent6" w:themeShade="80"/>
    </w:rPr>
  </w:style>
  <w:style w:type="paragraph" w:styleId="TJ8">
    <w:name w:val="toc 8"/>
    <w:basedOn w:val="Norml"/>
    <w:next w:val="Norml"/>
    <w:autoRedefine/>
    <w:uiPriority w:val="99"/>
    <w:semiHidden/>
    <w:locked/>
    <w:rsid w:val="00452D58"/>
    <w:pPr>
      <w:spacing w:after="100"/>
      <w:ind w:left="1400"/>
    </w:pPr>
    <w:rPr>
      <w:color w:val="385623" w:themeColor="accent6" w:themeShade="80"/>
    </w:rPr>
  </w:style>
  <w:style w:type="paragraph" w:styleId="TJ9">
    <w:name w:val="toc 9"/>
    <w:basedOn w:val="Norml"/>
    <w:next w:val="Norml"/>
    <w:autoRedefine/>
    <w:uiPriority w:val="99"/>
    <w:semiHidden/>
    <w:locked/>
    <w:rsid w:val="00452D58"/>
    <w:pPr>
      <w:spacing w:after="100"/>
      <w:ind w:left="1600"/>
    </w:pPr>
    <w:rPr>
      <w:color w:val="385623" w:themeColor="accent6" w:themeShade="80"/>
    </w:rPr>
  </w:style>
  <w:style w:type="table" w:customStyle="1" w:styleId="Calendar2">
    <w:name w:val="Calendar 2"/>
    <w:basedOn w:val="Normltblzat"/>
    <w:uiPriority w:val="99"/>
    <w:qFormat/>
    <w:rsid w:val="00452D58"/>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452D58"/>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452D58"/>
    <w:rPr>
      <w:rFonts w:eastAsiaTheme="minorEastAsia"/>
      <w:color w:val="0C2148" w:themeColor="text2"/>
      <w:sz w:val="16"/>
    </w:rPr>
  </w:style>
  <w:style w:type="character" w:styleId="Finomkiemels">
    <w:name w:val="Subtle Emphasis"/>
    <w:basedOn w:val="Bekezdsalapbettpusa"/>
    <w:uiPriority w:val="19"/>
    <w:qFormat/>
    <w:rsid w:val="00452D58"/>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452D58"/>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452D58"/>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452D58"/>
    <w:rPr>
      <w:color w:val="385623" w:themeColor="accent6" w:themeShade="80"/>
    </w:rPr>
  </w:style>
  <w:style w:type="character" w:customStyle="1" w:styleId="VgjegyzetszvegeChar">
    <w:name w:val="Végjegyzet szövege Char"/>
    <w:basedOn w:val="Bekezdsalapbettpusa"/>
    <w:link w:val="Vgjegyzetszvege"/>
    <w:uiPriority w:val="99"/>
    <w:semiHidden/>
    <w:rsid w:val="00452D58"/>
    <w:rPr>
      <w:color w:val="385623" w:themeColor="accent6" w:themeShade="80"/>
    </w:rPr>
  </w:style>
  <w:style w:type="table" w:customStyle="1" w:styleId="Vilgosrnykols1jellszn1">
    <w:name w:val="Világos árnyékolás – 1. jelölőszín1"/>
    <w:basedOn w:val="Normltblzat"/>
    <w:uiPriority w:val="60"/>
    <w:rsid w:val="00452D58"/>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452D58"/>
    <w:pPr>
      <w:numPr>
        <w:numId w:val="5"/>
      </w:numPr>
    </w:pPr>
  </w:style>
  <w:style w:type="paragraph" w:customStyle="1" w:styleId="Tblaszvegstlus">
    <w:name w:val="Tábla szöveg stílus"/>
    <w:basedOn w:val="Norml"/>
    <w:link w:val="TblaszvegstlusChar"/>
    <w:uiPriority w:val="8"/>
    <w:qFormat/>
    <w:rsid w:val="00452D58"/>
  </w:style>
  <w:style w:type="character" w:customStyle="1" w:styleId="ListaszerbekezdsChar">
    <w:name w:val="Listaszerű bekezdés Char"/>
    <w:basedOn w:val="Bekezdsalapbettpusa"/>
    <w:link w:val="Listaszerbekezds"/>
    <w:uiPriority w:val="4"/>
    <w:rsid w:val="00452D58"/>
  </w:style>
  <w:style w:type="character" w:customStyle="1" w:styleId="Listaszerbekezds2Char">
    <w:name w:val="Listaszerű bekezdés 2 Char"/>
    <w:basedOn w:val="ListaszerbekezdsChar"/>
    <w:link w:val="Listaszerbekezds2"/>
    <w:uiPriority w:val="4"/>
    <w:rsid w:val="00452D58"/>
  </w:style>
  <w:style w:type="character" w:customStyle="1" w:styleId="TblaszvegstlusChar">
    <w:name w:val="Tábla szöveg stílus Char"/>
    <w:basedOn w:val="Bekezdsalapbettpusa"/>
    <w:link w:val="Tblaszvegstlus"/>
    <w:uiPriority w:val="8"/>
    <w:rsid w:val="00452D58"/>
  </w:style>
  <w:style w:type="character" w:styleId="Finomhivatkozs">
    <w:name w:val="Subtle Reference"/>
    <w:basedOn w:val="Bekezdsalapbettpusa"/>
    <w:uiPriority w:val="31"/>
    <w:rsid w:val="00452D58"/>
    <w:rPr>
      <w:sz w:val="24"/>
      <w:szCs w:val="24"/>
      <w:u w:val="single"/>
    </w:rPr>
  </w:style>
  <w:style w:type="character" w:styleId="Ershivatkozs">
    <w:name w:val="Intense Reference"/>
    <w:basedOn w:val="Bekezdsalapbettpusa"/>
    <w:uiPriority w:val="32"/>
    <w:rsid w:val="00452D58"/>
    <w:rPr>
      <w:b/>
      <w:sz w:val="24"/>
      <w:u w:val="single"/>
    </w:rPr>
  </w:style>
  <w:style w:type="paragraph" w:customStyle="1" w:styleId="Listaszerbekezds2szint">
    <w:name w:val="Listaszerű bekezdés 2. szint"/>
    <w:basedOn w:val="Listaszerbekezds"/>
    <w:link w:val="Listaszerbekezds2szintChar"/>
    <w:uiPriority w:val="4"/>
    <w:qFormat/>
    <w:rsid w:val="00452D58"/>
    <w:pPr>
      <w:numPr>
        <w:numId w:val="8"/>
      </w:numPr>
    </w:pPr>
  </w:style>
  <w:style w:type="paragraph" w:customStyle="1" w:styleId="Listaszerbekezds3szint">
    <w:name w:val="Listaszerű bekezdés 3. szint"/>
    <w:basedOn w:val="Listaszerbekezds"/>
    <w:link w:val="Listaszerbekezds3szintChar"/>
    <w:uiPriority w:val="4"/>
    <w:qFormat/>
    <w:rsid w:val="00452D58"/>
    <w:pPr>
      <w:numPr>
        <w:ilvl w:val="2"/>
        <w:numId w:val="10"/>
      </w:numPr>
    </w:pPr>
  </w:style>
  <w:style w:type="character" w:customStyle="1" w:styleId="Listaszerbekezds2szintChar">
    <w:name w:val="Listaszerű bekezdés 2. szint Char"/>
    <w:basedOn w:val="ListaszerbekezdsChar"/>
    <w:link w:val="Listaszerbekezds2szint"/>
    <w:uiPriority w:val="4"/>
    <w:rsid w:val="00452D58"/>
  </w:style>
  <w:style w:type="character" w:customStyle="1" w:styleId="Listaszerbekezds3szintChar">
    <w:name w:val="Listaszerű bekezdés 3. szint Char"/>
    <w:basedOn w:val="ListaszerbekezdsChar"/>
    <w:link w:val="Listaszerbekezds3szint"/>
    <w:uiPriority w:val="4"/>
    <w:rsid w:val="00452D58"/>
  </w:style>
  <w:style w:type="paragraph" w:styleId="Alcm">
    <w:name w:val="Subtitle"/>
    <w:basedOn w:val="Norml"/>
    <w:next w:val="Norml"/>
    <w:link w:val="AlcmChar"/>
    <w:uiPriority w:val="11"/>
    <w:rsid w:val="00452D58"/>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452D58"/>
    <w:rPr>
      <w:rFonts w:eastAsiaTheme="majorEastAsia" w:cstheme="majorBidi"/>
    </w:rPr>
  </w:style>
  <w:style w:type="paragraph" w:customStyle="1" w:styleId="Listabetvel">
    <w:name w:val="Lista betűvel"/>
    <w:basedOn w:val="Listaszerbekezds"/>
    <w:link w:val="ListabetvelChar"/>
    <w:uiPriority w:val="4"/>
    <w:qFormat/>
    <w:rsid w:val="00452D58"/>
    <w:pPr>
      <w:numPr>
        <w:numId w:val="7"/>
      </w:numPr>
    </w:pPr>
  </w:style>
  <w:style w:type="character" w:customStyle="1" w:styleId="ListabetvelChar">
    <w:name w:val="Lista betűvel Char"/>
    <w:basedOn w:val="ListaszerbekezdsChar"/>
    <w:link w:val="Listabetvel"/>
    <w:uiPriority w:val="4"/>
    <w:rsid w:val="00452D58"/>
  </w:style>
  <w:style w:type="paragraph" w:customStyle="1" w:styleId="Erskiemels1">
    <w:name w:val="Erős kiemelés1"/>
    <w:basedOn w:val="Norml"/>
    <w:link w:val="ErskiemelsChar"/>
    <w:uiPriority w:val="5"/>
    <w:qFormat/>
    <w:rsid w:val="00452D58"/>
    <w:rPr>
      <w:b/>
      <w:i/>
    </w:rPr>
  </w:style>
  <w:style w:type="character" w:customStyle="1" w:styleId="ErskiemelsChar">
    <w:name w:val="Erős kiemelés Char"/>
    <w:basedOn w:val="Bekezdsalapbettpusa"/>
    <w:link w:val="Erskiemels1"/>
    <w:uiPriority w:val="5"/>
    <w:rsid w:val="00452D58"/>
    <w:rPr>
      <w:b/>
      <w:i/>
    </w:rPr>
  </w:style>
  <w:style w:type="paragraph" w:customStyle="1" w:styleId="Bold">
    <w:name w:val="Bold"/>
    <w:basedOn w:val="Norml"/>
    <w:link w:val="BoldChar"/>
    <w:uiPriority w:val="6"/>
    <w:qFormat/>
    <w:rsid w:val="00452D58"/>
    <w:rPr>
      <w:b/>
    </w:rPr>
  </w:style>
  <w:style w:type="character" w:customStyle="1" w:styleId="BoldChar">
    <w:name w:val="Bold Char"/>
    <w:basedOn w:val="Bekezdsalapbettpusa"/>
    <w:link w:val="Bold"/>
    <w:uiPriority w:val="6"/>
    <w:rsid w:val="00452D58"/>
    <w:rPr>
      <w:b/>
    </w:rPr>
  </w:style>
  <w:style w:type="character" w:styleId="Mrltotthiperhivatkozs">
    <w:name w:val="FollowedHyperlink"/>
    <w:basedOn w:val="Bekezdsalapbettpusa"/>
    <w:uiPriority w:val="99"/>
    <w:semiHidden/>
    <w:unhideWhenUsed/>
    <w:rsid w:val="00452D58"/>
    <w:rPr>
      <w:color w:val="954F72" w:themeColor="followedHyperlink"/>
      <w:u w:val="single"/>
    </w:rPr>
  </w:style>
  <w:style w:type="paragraph" w:styleId="Tartalomjegyzkcmsora">
    <w:name w:val="TOC Heading"/>
    <w:basedOn w:val="Cmsor1"/>
    <w:next w:val="Norml"/>
    <w:uiPriority w:val="39"/>
    <w:unhideWhenUsed/>
    <w:qFormat/>
    <w:rsid w:val="00452D58"/>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452D58"/>
    <w:pPr>
      <w:spacing w:after="100"/>
      <w:ind w:left="220"/>
      <w:jc w:val="left"/>
    </w:pPr>
    <w:rPr>
      <w:rFonts w:eastAsiaTheme="minorEastAsia"/>
    </w:rPr>
  </w:style>
  <w:style w:type="paragraph" w:styleId="TJ1">
    <w:name w:val="toc 1"/>
    <w:basedOn w:val="Norml"/>
    <w:next w:val="Norml"/>
    <w:autoRedefine/>
    <w:uiPriority w:val="39"/>
    <w:unhideWhenUsed/>
    <w:qFormat/>
    <w:locked/>
    <w:rsid w:val="00452D58"/>
    <w:pPr>
      <w:spacing w:after="100"/>
      <w:jc w:val="left"/>
    </w:pPr>
    <w:rPr>
      <w:rFonts w:eastAsiaTheme="minorEastAsia"/>
    </w:rPr>
  </w:style>
  <w:style w:type="paragraph" w:styleId="TJ3">
    <w:name w:val="toc 3"/>
    <w:basedOn w:val="Norml"/>
    <w:next w:val="Norml"/>
    <w:uiPriority w:val="39"/>
    <w:unhideWhenUsed/>
    <w:qFormat/>
    <w:locked/>
    <w:rsid w:val="00452D58"/>
    <w:pPr>
      <w:spacing w:after="100"/>
      <w:ind w:left="400"/>
    </w:pPr>
  </w:style>
  <w:style w:type="paragraph" w:customStyle="1" w:styleId="StyleTOC2Left015">
    <w:name w:val="Style TOC 2 + Left:  0.15&quot;"/>
    <w:basedOn w:val="TJ2"/>
    <w:rsid w:val="00452D58"/>
    <w:pPr>
      <w:ind w:left="216"/>
    </w:pPr>
    <w:rPr>
      <w:rFonts w:eastAsia="Times New Roman" w:cs="Times New Roman"/>
    </w:rPr>
  </w:style>
  <w:style w:type="paragraph" w:customStyle="1" w:styleId="StyleTOC3Left031">
    <w:name w:val="Style TOC 3 + Left:  0.31&quot;"/>
    <w:basedOn w:val="TJ3"/>
    <w:rsid w:val="00452D58"/>
    <w:pPr>
      <w:ind w:left="446"/>
    </w:pPr>
    <w:rPr>
      <w:rFonts w:eastAsia="Times New Roman" w:cs="Times New Roman"/>
    </w:rPr>
  </w:style>
  <w:style w:type="numbering" w:customStyle="1" w:styleId="Hierarchikuslista">
    <w:name w:val="Hierarchikus lista"/>
    <w:uiPriority w:val="99"/>
    <w:rsid w:val="00452D58"/>
    <w:pPr>
      <w:numPr>
        <w:numId w:val="2"/>
      </w:numPr>
    </w:pPr>
  </w:style>
  <w:style w:type="paragraph" w:customStyle="1" w:styleId="HierarchikusLista0">
    <w:name w:val="Hierarchikus Lista"/>
    <w:basedOn w:val="Listaszerbekezds"/>
    <w:link w:val="HierarchikusListaChar"/>
    <w:qFormat/>
    <w:rsid w:val="00452D58"/>
    <w:pPr>
      <w:numPr>
        <w:numId w:val="0"/>
      </w:numPr>
    </w:pPr>
  </w:style>
  <w:style w:type="character" w:customStyle="1" w:styleId="HierarchikusListaChar">
    <w:name w:val="Hierarchikus Lista Char"/>
    <w:basedOn w:val="ListaszerbekezdsChar"/>
    <w:link w:val="HierarchikusLista0"/>
    <w:rsid w:val="00452D58"/>
  </w:style>
  <w:style w:type="character" w:styleId="Kiemels2">
    <w:name w:val="Strong"/>
    <w:basedOn w:val="Bekezdsalapbettpusa"/>
    <w:uiPriority w:val="22"/>
    <w:rsid w:val="00452D58"/>
    <w:rPr>
      <w:b/>
      <w:bCs/>
    </w:rPr>
  </w:style>
  <w:style w:type="character" w:styleId="Kiemels">
    <w:name w:val="Emphasis"/>
    <w:basedOn w:val="Bekezdsalapbettpusa"/>
    <w:uiPriority w:val="6"/>
    <w:qFormat/>
    <w:rsid w:val="00452D58"/>
    <w:rPr>
      <w:i/>
      <w:iCs/>
    </w:rPr>
  </w:style>
  <w:style w:type="paragraph" w:styleId="Nincstrkz">
    <w:name w:val="No Spacing"/>
    <w:basedOn w:val="Norml"/>
    <w:uiPriority w:val="1"/>
    <w:rsid w:val="00452D58"/>
    <w:rPr>
      <w:szCs w:val="32"/>
    </w:rPr>
  </w:style>
  <w:style w:type="paragraph" w:styleId="Idzet">
    <w:name w:val="Quote"/>
    <w:basedOn w:val="Norml"/>
    <w:next w:val="Norml"/>
    <w:link w:val="IdzetChar"/>
    <w:uiPriority w:val="29"/>
    <w:rsid w:val="00452D58"/>
    <w:rPr>
      <w:i/>
    </w:rPr>
  </w:style>
  <w:style w:type="character" w:customStyle="1" w:styleId="IdzetChar">
    <w:name w:val="Idézet Char"/>
    <w:basedOn w:val="Bekezdsalapbettpusa"/>
    <w:link w:val="Idzet"/>
    <w:uiPriority w:val="29"/>
    <w:rsid w:val="00452D58"/>
    <w:rPr>
      <w:i/>
    </w:rPr>
  </w:style>
  <w:style w:type="paragraph" w:styleId="Kiemeltidzet">
    <w:name w:val="Intense Quote"/>
    <w:basedOn w:val="Norml"/>
    <w:next w:val="Norml"/>
    <w:link w:val="KiemeltidzetChar"/>
    <w:uiPriority w:val="30"/>
    <w:rsid w:val="00452D58"/>
    <w:pPr>
      <w:ind w:left="720" w:right="720"/>
    </w:pPr>
    <w:rPr>
      <w:b/>
      <w:i/>
    </w:rPr>
  </w:style>
  <w:style w:type="character" w:customStyle="1" w:styleId="KiemeltidzetChar">
    <w:name w:val="Kiemelt idézet Char"/>
    <w:basedOn w:val="Bekezdsalapbettpusa"/>
    <w:link w:val="Kiemeltidzet"/>
    <w:uiPriority w:val="30"/>
    <w:rsid w:val="00452D58"/>
    <w:rPr>
      <w:b/>
      <w:i/>
    </w:rPr>
  </w:style>
  <w:style w:type="character" w:styleId="Erskiemels">
    <w:name w:val="Intense Emphasis"/>
    <w:basedOn w:val="Bekezdsalapbettpusa"/>
    <w:uiPriority w:val="21"/>
    <w:rsid w:val="00452D58"/>
    <w:rPr>
      <w:b/>
      <w:i/>
      <w:sz w:val="24"/>
      <w:szCs w:val="24"/>
      <w:u w:val="single"/>
    </w:rPr>
  </w:style>
  <w:style w:type="character" w:styleId="Knyvcme">
    <w:name w:val="Book Title"/>
    <w:basedOn w:val="Bekezdsalapbettpusa"/>
    <w:uiPriority w:val="33"/>
    <w:rsid w:val="00452D58"/>
    <w:rPr>
      <w:rFonts w:ascii="Calibri" w:eastAsiaTheme="majorEastAsia" w:hAnsi="Calibri"/>
      <w:b/>
      <w:i/>
      <w:sz w:val="24"/>
      <w:szCs w:val="24"/>
    </w:rPr>
  </w:style>
  <w:style w:type="paragraph" w:customStyle="1" w:styleId="Szvegdobozstlus">
    <w:name w:val="Szövegdoboz stílus"/>
    <w:basedOn w:val="HierarchikusLista0"/>
    <w:qFormat/>
    <w:rsid w:val="00452D58"/>
    <w:rPr>
      <w:b/>
      <w:i/>
      <w:color w:val="009EE0"/>
    </w:rPr>
  </w:style>
  <w:style w:type="table" w:customStyle="1" w:styleId="Rcsos">
    <w:name w:val="Rácsos"/>
    <w:basedOn w:val="Normltblzat"/>
    <w:uiPriority w:val="99"/>
    <w:rsid w:val="00452D58"/>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452D5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452D58"/>
    <w:pPr>
      <w:keepNext/>
      <w:spacing w:after="40"/>
      <w:jc w:val="center"/>
    </w:pPr>
    <w:rPr>
      <w:b/>
      <w:bCs/>
      <w:color w:val="808080"/>
      <w:szCs w:val="18"/>
    </w:rPr>
  </w:style>
  <w:style w:type="paragraph" w:customStyle="1" w:styleId="ENCaption2Col">
    <w:name w:val="EN_Caption_2Col"/>
    <w:basedOn w:val="Norml"/>
    <w:next w:val="Norml"/>
    <w:uiPriority w:val="1"/>
    <w:qFormat/>
    <w:rsid w:val="00452D58"/>
    <w:pPr>
      <w:keepNext/>
      <w:spacing w:after="40"/>
      <w:jc w:val="left"/>
    </w:pPr>
    <w:rPr>
      <w:b/>
      <w:bCs/>
      <w:color w:val="808080"/>
      <w:szCs w:val="18"/>
    </w:rPr>
  </w:style>
  <w:style w:type="paragraph" w:customStyle="1" w:styleId="ENCaptionBox">
    <w:name w:val="EN_Caption_Box"/>
    <w:basedOn w:val="Norml"/>
    <w:next w:val="Norml"/>
    <w:uiPriority w:val="1"/>
    <w:qFormat/>
    <w:rsid w:val="00452D5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452D58"/>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452D58"/>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452D58"/>
    <w:rPr>
      <w:rFonts w:eastAsiaTheme="minorEastAsia"/>
      <w:color w:val="808080"/>
      <w:sz w:val="18"/>
    </w:rPr>
  </w:style>
  <w:style w:type="paragraph" w:customStyle="1" w:styleId="ENNormal">
    <w:name w:val="EN_Normal"/>
    <w:basedOn w:val="Norml"/>
    <w:uiPriority w:val="1"/>
    <w:qFormat/>
    <w:rsid w:val="00452D58"/>
  </w:style>
  <w:style w:type="paragraph" w:customStyle="1" w:styleId="ENNormalBox">
    <w:name w:val="EN_Normal_Box"/>
    <w:basedOn w:val="Norml"/>
    <w:uiPriority w:val="1"/>
    <w:qFormat/>
    <w:rsid w:val="00452D58"/>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452D58"/>
    <w:pPr>
      <w:keepLines/>
      <w:jc w:val="center"/>
    </w:pPr>
    <w:rPr>
      <w:color w:val="808080"/>
      <w:sz w:val="18"/>
    </w:rPr>
  </w:style>
  <w:style w:type="paragraph" w:customStyle="1" w:styleId="ENNote2Col">
    <w:name w:val="EN_Note_2Col"/>
    <w:basedOn w:val="Norml"/>
    <w:next w:val="ENNormal"/>
    <w:uiPriority w:val="1"/>
    <w:qFormat/>
    <w:rsid w:val="00452D58"/>
    <w:pPr>
      <w:keepLines/>
    </w:pPr>
    <w:rPr>
      <w:color w:val="808080"/>
      <w:sz w:val="18"/>
    </w:rPr>
  </w:style>
  <w:style w:type="paragraph" w:customStyle="1" w:styleId="ENNoteBox">
    <w:name w:val="EN_Note_Box"/>
    <w:basedOn w:val="Norml"/>
    <w:next w:val="ENNormalBox"/>
    <w:uiPriority w:val="1"/>
    <w:qFormat/>
    <w:rsid w:val="00452D58"/>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452D58"/>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l"/>
    <w:next w:val="ENNormal"/>
    <w:uiPriority w:val="1"/>
    <w:rsid w:val="00452D58"/>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Kpalrs"/>
    <w:next w:val="Norml"/>
    <w:uiPriority w:val="1"/>
    <w:qFormat/>
    <w:rsid w:val="00452D5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452D58"/>
    <w:pPr>
      <w:keepNext/>
      <w:spacing w:after="40"/>
      <w:jc w:val="center"/>
    </w:pPr>
    <w:rPr>
      <w:sz w:val="20"/>
    </w:rPr>
  </w:style>
  <w:style w:type="paragraph" w:customStyle="1" w:styleId="HUCaption2Col">
    <w:name w:val="HU_Caption_2Col"/>
    <w:basedOn w:val="Kpalrs"/>
    <w:next w:val="Norml"/>
    <w:uiPriority w:val="1"/>
    <w:qFormat/>
    <w:rsid w:val="00452D58"/>
    <w:pPr>
      <w:keepNext/>
      <w:spacing w:after="40"/>
    </w:pPr>
    <w:rPr>
      <w:sz w:val="20"/>
    </w:rPr>
  </w:style>
  <w:style w:type="paragraph" w:customStyle="1" w:styleId="HUCaptionBox">
    <w:name w:val="HU_Caption_Box"/>
    <w:basedOn w:val="Kpalrs"/>
    <w:next w:val="Norml"/>
    <w:uiPriority w:val="1"/>
    <w:qFormat/>
    <w:rsid w:val="00452D5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452D58"/>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452D58"/>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452D58"/>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452D58"/>
    <w:rPr>
      <w:caps/>
      <w:color w:val="0C2148" w:themeColor="text2"/>
    </w:rPr>
  </w:style>
  <w:style w:type="paragraph" w:customStyle="1" w:styleId="HUFootnote">
    <w:name w:val="HU_Footnote"/>
    <w:basedOn w:val="Lbjegyzetszveg"/>
    <w:uiPriority w:val="1"/>
    <w:qFormat/>
    <w:rsid w:val="00452D58"/>
    <w:rPr>
      <w:color w:val="808080"/>
      <w:sz w:val="18"/>
    </w:rPr>
  </w:style>
  <w:style w:type="paragraph" w:customStyle="1" w:styleId="HUNormalBox">
    <w:name w:val="HU_Normal_Box"/>
    <w:basedOn w:val="Norml"/>
    <w:uiPriority w:val="1"/>
    <w:qFormat/>
    <w:rsid w:val="00452D58"/>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452D58"/>
    <w:pPr>
      <w:keepLines/>
      <w:jc w:val="center"/>
    </w:pPr>
    <w:rPr>
      <w:color w:val="808080"/>
      <w:sz w:val="18"/>
    </w:rPr>
  </w:style>
  <w:style w:type="paragraph" w:customStyle="1" w:styleId="HUNote2Col">
    <w:name w:val="HU_Note_2Col"/>
    <w:basedOn w:val="Norml"/>
    <w:next w:val="Norml"/>
    <w:uiPriority w:val="1"/>
    <w:qFormat/>
    <w:rsid w:val="00452D58"/>
    <w:pPr>
      <w:keepLines/>
    </w:pPr>
    <w:rPr>
      <w:color w:val="808080"/>
      <w:sz w:val="18"/>
    </w:rPr>
  </w:style>
  <w:style w:type="paragraph" w:customStyle="1" w:styleId="HUNoteBox">
    <w:name w:val="HU_Note_Box"/>
    <w:basedOn w:val="Norml"/>
    <w:next w:val="HUNormalBox"/>
    <w:link w:val="HUNoteBoxChar"/>
    <w:uiPriority w:val="1"/>
    <w:qFormat/>
    <w:rsid w:val="00452D58"/>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452D58"/>
    <w:rPr>
      <w:color w:val="808080"/>
      <w:sz w:val="18"/>
      <w:shd w:val="clear" w:color="auto" w:fill="C6EEFF"/>
    </w:rPr>
  </w:style>
  <w:style w:type="paragraph" w:customStyle="1" w:styleId="HUSectionTitle">
    <w:name w:val="HU_Section_Title"/>
    <w:basedOn w:val="Cmsor2"/>
    <w:next w:val="Norml"/>
    <w:link w:val="HUSectionTitleChar"/>
    <w:uiPriority w:val="1"/>
    <w:rsid w:val="00452D58"/>
    <w:pPr>
      <w:keepNext/>
    </w:pPr>
  </w:style>
  <w:style w:type="character" w:customStyle="1" w:styleId="HUSectionTitleChar">
    <w:name w:val="HU_Section_Title Char"/>
    <w:basedOn w:val="Cmsor2Char"/>
    <w:link w:val="HUSectionTitle"/>
    <w:uiPriority w:val="1"/>
    <w:rsid w:val="00452D58"/>
    <w:rPr>
      <w:b/>
      <w:color w:val="0C2148" w:themeColor="text2"/>
      <w:sz w:val="24"/>
      <w:szCs w:val="38"/>
    </w:rPr>
  </w:style>
  <w:style w:type="paragraph" w:customStyle="1" w:styleId="HUSubsectionTitle">
    <w:name w:val="HU_Subsection_Title"/>
    <w:basedOn w:val="Cmsor3"/>
    <w:next w:val="Norml"/>
    <w:link w:val="HUSubsectionTitleChar"/>
    <w:uiPriority w:val="1"/>
    <w:rsid w:val="00452D58"/>
    <w:pPr>
      <w:keepNext/>
      <w:ind w:left="595" w:hanging="595"/>
    </w:pPr>
  </w:style>
  <w:style w:type="character" w:customStyle="1" w:styleId="HUSubsectionTitleChar">
    <w:name w:val="HU_Subsection_Title Char"/>
    <w:basedOn w:val="Cmsor3Char"/>
    <w:link w:val="HUSubsectionTitle"/>
    <w:uiPriority w:val="1"/>
    <w:rsid w:val="00452D58"/>
    <w:rPr>
      <w:bCs/>
      <w:color w:val="0C2148" w:themeColor="text2"/>
      <w:szCs w:val="34"/>
    </w:rPr>
  </w:style>
  <w:style w:type="paragraph" w:customStyle="1" w:styleId="Heading1Kiadvny">
    <w:name w:val="Heading 1 Kiadvány"/>
    <w:basedOn w:val="Cmsor1"/>
    <w:qFormat/>
    <w:rsid w:val="00452D58"/>
    <w:rPr>
      <w:b w:val="0"/>
      <w:caps w:val="0"/>
      <w:sz w:val="52"/>
    </w:rPr>
  </w:style>
  <w:style w:type="paragraph" w:customStyle="1" w:styleId="Default">
    <w:name w:val="Default"/>
    <w:rsid w:val="006056FC"/>
    <w:pPr>
      <w:autoSpaceDE w:val="0"/>
      <w:autoSpaceDN w:val="0"/>
      <w:adjustRightInd w:val="0"/>
    </w:pPr>
    <w:rPr>
      <w:rFonts w:cs="Calibri"/>
      <w:color w:val="000000"/>
      <w:sz w:val="24"/>
      <w:szCs w:val="24"/>
    </w:rPr>
  </w:style>
  <w:style w:type="character" w:styleId="Jegyzethivatkozs">
    <w:name w:val="annotation reference"/>
    <w:basedOn w:val="Bekezdsalapbettpusa"/>
    <w:unhideWhenUsed/>
    <w:rsid w:val="00605265"/>
    <w:rPr>
      <w:sz w:val="16"/>
      <w:szCs w:val="16"/>
    </w:rPr>
  </w:style>
  <w:style w:type="paragraph" w:styleId="Jegyzetszveg">
    <w:name w:val="annotation text"/>
    <w:basedOn w:val="Norml"/>
    <w:link w:val="JegyzetszvegChar"/>
    <w:unhideWhenUsed/>
    <w:rsid w:val="00605265"/>
    <w:pPr>
      <w:spacing w:line="240" w:lineRule="auto"/>
    </w:pPr>
  </w:style>
  <w:style w:type="character" w:customStyle="1" w:styleId="JegyzetszvegChar">
    <w:name w:val="Jegyzetszöveg Char"/>
    <w:basedOn w:val="Bekezdsalapbettpusa"/>
    <w:link w:val="Jegyzetszveg"/>
    <w:rsid w:val="00605265"/>
  </w:style>
  <w:style w:type="paragraph" w:styleId="Megjegyzstrgya">
    <w:name w:val="annotation subject"/>
    <w:basedOn w:val="Jegyzetszveg"/>
    <w:next w:val="Jegyzetszveg"/>
    <w:link w:val="MegjegyzstrgyaChar"/>
    <w:uiPriority w:val="99"/>
    <w:semiHidden/>
    <w:unhideWhenUsed/>
    <w:rsid w:val="00605265"/>
    <w:rPr>
      <w:b/>
      <w:bCs/>
    </w:rPr>
  </w:style>
  <w:style w:type="character" w:customStyle="1" w:styleId="MegjegyzstrgyaChar">
    <w:name w:val="Megjegyzés tárgya Char"/>
    <w:basedOn w:val="JegyzetszvegChar"/>
    <w:link w:val="Megjegyzstrgya"/>
    <w:uiPriority w:val="99"/>
    <w:semiHidden/>
    <w:rsid w:val="00605265"/>
    <w:rPr>
      <w:b/>
      <w:bCs/>
    </w:rPr>
  </w:style>
  <w:style w:type="character" w:styleId="Lbjegyzet-hivatkozs">
    <w:name w:val="footnote reference"/>
    <w:basedOn w:val="Bekezdsalapbettpusa"/>
    <w:uiPriority w:val="99"/>
    <w:semiHidden/>
    <w:unhideWhenUsed/>
    <w:rsid w:val="00F20238"/>
    <w:rPr>
      <w:vertAlign w:val="superscript"/>
    </w:rPr>
  </w:style>
  <w:style w:type="paragraph" w:styleId="Vltozat">
    <w:name w:val="Revision"/>
    <w:hidden/>
    <w:uiPriority w:val="99"/>
    <w:semiHidden/>
    <w:rsid w:val="00E6515A"/>
  </w:style>
  <w:style w:type="character" w:customStyle="1" w:styleId="Feloldatlanmegemlts1">
    <w:name w:val="Feloldatlan megemlítés1"/>
    <w:basedOn w:val="Bekezdsalapbettpusa"/>
    <w:uiPriority w:val="99"/>
    <w:semiHidden/>
    <w:unhideWhenUsed/>
    <w:rsid w:val="00AF74BD"/>
    <w:rPr>
      <w:color w:val="605E5C"/>
      <w:shd w:val="clear" w:color="auto" w:fill="E1DFDD"/>
    </w:rPr>
  </w:style>
  <w:style w:type="paragraph" w:customStyle="1" w:styleId="Erskiemels2">
    <w:name w:val="Erős kiemelés2"/>
    <w:basedOn w:val="Norml"/>
    <w:uiPriority w:val="5"/>
    <w:qFormat/>
    <w:rsid w:val="00F50967"/>
    <w:rPr>
      <w:b/>
      <w:i/>
    </w:rPr>
  </w:style>
  <w:style w:type="paragraph" w:customStyle="1" w:styleId="Erskiemels3">
    <w:name w:val="Erős kiemelés3"/>
    <w:basedOn w:val="Norml"/>
    <w:uiPriority w:val="5"/>
    <w:qFormat/>
    <w:rsid w:val="00F14BD2"/>
    <w:rPr>
      <w:b/>
      <w:i/>
    </w:rPr>
  </w:style>
  <w:style w:type="paragraph" w:customStyle="1" w:styleId="Erskiemels4">
    <w:name w:val="Erős kiemelés4"/>
    <w:basedOn w:val="Norml"/>
    <w:uiPriority w:val="5"/>
    <w:qFormat/>
    <w:rsid w:val="001775C9"/>
    <w:rPr>
      <w:b/>
      <w:i/>
    </w:rPr>
  </w:style>
  <w:style w:type="paragraph" w:customStyle="1" w:styleId="Erskiemels5">
    <w:name w:val="Erős kiemelés5"/>
    <w:basedOn w:val="Norml"/>
    <w:uiPriority w:val="5"/>
    <w:qFormat/>
    <w:rsid w:val="00676CEE"/>
    <w:rPr>
      <w:b/>
      <w:i/>
    </w:rPr>
  </w:style>
  <w:style w:type="paragraph" w:customStyle="1" w:styleId="Erskiemels6">
    <w:name w:val="Erős kiemelés6"/>
    <w:basedOn w:val="Norml"/>
    <w:uiPriority w:val="5"/>
    <w:qFormat/>
    <w:rsid w:val="009D6FCF"/>
    <w:rPr>
      <w:b/>
      <w:i/>
    </w:rPr>
  </w:style>
  <w:style w:type="paragraph" w:customStyle="1" w:styleId="Erskiemels7">
    <w:name w:val="Erős kiemelés7"/>
    <w:basedOn w:val="Norml"/>
    <w:uiPriority w:val="5"/>
    <w:qFormat/>
    <w:rsid w:val="002533D8"/>
    <w:rPr>
      <w:b/>
      <w:i/>
    </w:rPr>
  </w:style>
  <w:style w:type="paragraph" w:customStyle="1" w:styleId="Erskiemels8">
    <w:name w:val="Erős kiemelés8"/>
    <w:basedOn w:val="Norml"/>
    <w:uiPriority w:val="5"/>
    <w:qFormat/>
    <w:rsid w:val="00D17B3B"/>
    <w:rPr>
      <w:b/>
      <w:i/>
    </w:rPr>
  </w:style>
  <w:style w:type="paragraph" w:customStyle="1" w:styleId="Erskiemels9">
    <w:name w:val="Erős kiemelés9"/>
    <w:basedOn w:val="Norml"/>
    <w:uiPriority w:val="5"/>
    <w:qFormat/>
    <w:rsid w:val="00021C72"/>
    <w:rPr>
      <w:b/>
      <w:i/>
    </w:rPr>
  </w:style>
  <w:style w:type="paragraph" w:customStyle="1" w:styleId="Erskiemels10">
    <w:name w:val="Erős kiemelés10"/>
    <w:basedOn w:val="Norml"/>
    <w:uiPriority w:val="5"/>
    <w:qFormat/>
    <w:rsid w:val="00355D51"/>
    <w:rPr>
      <w:b/>
      <w:i/>
    </w:rPr>
  </w:style>
  <w:style w:type="paragraph" w:customStyle="1" w:styleId="Erskiemels11">
    <w:name w:val="Erős kiemelés11"/>
    <w:basedOn w:val="Norml"/>
    <w:uiPriority w:val="5"/>
    <w:qFormat/>
    <w:rsid w:val="00DD72E2"/>
    <w:rPr>
      <w:b/>
      <w:i/>
    </w:rPr>
  </w:style>
  <w:style w:type="paragraph" w:customStyle="1" w:styleId="Erskiemels12">
    <w:name w:val="Erős kiemelés12"/>
    <w:basedOn w:val="Norml"/>
    <w:uiPriority w:val="5"/>
    <w:qFormat/>
    <w:rsid w:val="00A22AB0"/>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nb.hu/letoltes/6-2017-egyeb-termekekhez-es-szolgaltatasokhoz-kapcsolodo-kiaramlasok.pdf" TargetMode="Externa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2CC9E54B-00E0-478B-AEE0-43F9F8FF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3119</Words>
  <Characters>17127</Characters>
  <Application>Microsoft Office Word</Application>
  <DocSecurity>0</DocSecurity>
  <Lines>142</Lines>
  <Paragraphs>40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2026-01-20T08:39:00Z</dcterms:created>
  <dcterms:modified xsi:type="dcterms:W3CDTF">2026-03-17T08:30:00Z</dcterms:modified>
</cp:coreProperties>
</file>