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448D8" w14:textId="1AF46071" w:rsidR="00877B03" w:rsidRPr="00221C4D" w:rsidRDefault="00877B03" w:rsidP="00877B03">
      <w:pPr>
        <w:pageBreakBefore/>
        <w:rPr>
          <w:rFonts w:asciiTheme="minorHAnsi" w:hAnsiTheme="minorHAnsi"/>
          <w:b/>
          <w:bCs/>
          <w:sz w:val="24"/>
          <w:szCs w:val="24"/>
        </w:rPr>
      </w:pPr>
      <w:r w:rsidRPr="00221C4D">
        <w:rPr>
          <w:rFonts w:asciiTheme="minorHAnsi" w:hAnsiTheme="minorHAnsi"/>
          <w:b/>
          <w:bCs/>
          <w:sz w:val="24"/>
          <w:szCs w:val="24"/>
        </w:rPr>
        <w:t>14. számú melléklet</w:t>
      </w:r>
      <w:r w:rsidR="0004482A" w:rsidRPr="00221C4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Pr="00221C4D">
        <w:rPr>
          <w:rFonts w:asciiTheme="minorHAnsi" w:hAnsiTheme="minorHAnsi"/>
          <w:b/>
          <w:bCs/>
          <w:sz w:val="24"/>
          <w:szCs w:val="24"/>
        </w:rPr>
        <w:t>A zöld vállalati és önkormányzati tőkekövetelmény-kedvezményhez elfogadott kitettségek</w:t>
      </w:r>
    </w:p>
    <w:p w14:paraId="119B42CA" w14:textId="77777777" w:rsidR="00877B03" w:rsidRPr="00221C4D" w:rsidRDefault="00877B03" w:rsidP="00877B03">
      <w:pPr>
        <w:rPr>
          <w:rFonts w:asciiTheme="minorHAnsi" w:hAnsiTheme="minorHAnsi"/>
          <w:b/>
          <w:bCs/>
          <w:sz w:val="24"/>
          <w:szCs w:val="24"/>
        </w:rPr>
      </w:pPr>
      <w:r w:rsidRPr="00221C4D">
        <w:rPr>
          <w:rFonts w:asciiTheme="minorHAnsi" w:hAnsiTheme="minorHAnsi"/>
          <w:b/>
          <w:bCs/>
          <w:sz w:val="24"/>
          <w:szCs w:val="24"/>
        </w:rPr>
        <w:t>1) Olyan beruházási vagy projekthitel- vagy kötvénykitettség, mely megújuló energiatermelést finanszíroz</w:t>
      </w:r>
    </w:p>
    <w:p w14:paraId="0C5DFB54" w14:textId="77777777" w:rsidR="00877B03" w:rsidRPr="00221C4D" w:rsidRDefault="00877B03" w:rsidP="00877B03">
      <w:pPr>
        <w:rPr>
          <w:rFonts w:asciiTheme="minorHAnsi" w:hAnsiTheme="minorHAnsi"/>
          <w:sz w:val="24"/>
          <w:szCs w:val="24"/>
        </w:rPr>
      </w:pPr>
      <w:r w:rsidRPr="00221C4D">
        <w:rPr>
          <w:rFonts w:asciiTheme="minorHAnsi" w:hAnsiTheme="minorHAnsi"/>
          <w:sz w:val="24"/>
          <w:szCs w:val="24"/>
        </w:rPr>
        <w:t>E pont alkalmazásában – a vonatkozó EU-irányelvnek megfelelően</w:t>
      </w:r>
      <w:r w:rsidRPr="00221C4D">
        <w:rPr>
          <w:rStyle w:val="Lbjegyzet-hivatkozs"/>
          <w:rFonts w:asciiTheme="minorHAnsi" w:hAnsiTheme="minorHAnsi"/>
          <w:sz w:val="24"/>
          <w:szCs w:val="24"/>
        </w:rPr>
        <w:footnoteReference w:id="1"/>
      </w:r>
      <w:r w:rsidRPr="00221C4D">
        <w:rPr>
          <w:rFonts w:asciiTheme="minorHAnsi" w:hAnsiTheme="minorHAnsi"/>
          <w:sz w:val="24"/>
          <w:szCs w:val="24"/>
        </w:rPr>
        <w:t xml:space="preserve"> – megújuló energia a nem fosszilis megújuló energiaforrásokból származó energia, nevezetesen szélenergia, napenergia (naphő és fotovoltaikus napenergia) és geotermikus energia, környezeti energia, árapály-, hullám- és az óceánból nyert egyéb energia, vízenergia, biomassza, hulladéklerakó helyeken és szennyvíztisztító telepeken keletkező gázok, továbbá biogázok energiája. </w:t>
      </w:r>
    </w:p>
    <w:p w14:paraId="0C7F84FC" w14:textId="2F00A528" w:rsidR="00877B03" w:rsidRDefault="00877B03" w:rsidP="00877B03">
      <w:pPr>
        <w:rPr>
          <w:rFonts w:asciiTheme="minorHAnsi" w:eastAsia="Calibri" w:hAnsiTheme="minorHAnsi" w:cs="Calibri"/>
          <w:bCs/>
          <w:sz w:val="24"/>
          <w:szCs w:val="24"/>
          <w:lang w:eastAsia="en-US"/>
        </w:rPr>
      </w:pPr>
      <w:r w:rsidRPr="00221C4D">
        <w:rPr>
          <w:rFonts w:asciiTheme="minorHAnsi" w:eastAsia="Calibri" w:hAnsiTheme="minorHAnsi" w:cs="Calibri"/>
          <w:bCs/>
          <w:sz w:val="24"/>
          <w:szCs w:val="24"/>
          <w:lang w:eastAsia="en-US"/>
        </w:rPr>
        <w:t>A zöld flag alkalmazhatóságára az EU Taxonómia Rendelete és annak technikai melléklete az irányadó</w:t>
      </w:r>
      <w:r w:rsidRPr="00221C4D">
        <w:rPr>
          <w:rStyle w:val="Lbjegyzet-hivatkozs"/>
          <w:rFonts w:asciiTheme="minorHAnsi" w:eastAsia="Calibri" w:hAnsiTheme="minorHAnsi" w:cs="Calibri"/>
          <w:bCs/>
          <w:sz w:val="24"/>
          <w:szCs w:val="24"/>
          <w:lang w:eastAsia="en-US"/>
        </w:rPr>
        <w:footnoteReference w:id="2"/>
      </w:r>
      <w:r w:rsidRPr="00221C4D">
        <w:rPr>
          <w:rFonts w:asciiTheme="minorHAnsi" w:eastAsia="Calibri" w:hAnsiTheme="minorHAnsi" w:cs="Calibri"/>
          <w:bCs/>
          <w:sz w:val="24"/>
          <w:szCs w:val="24"/>
          <w:lang w:eastAsia="en-US"/>
        </w:rPr>
        <w:t>. Az MNB értelmezése szerint a napenergia és a szélenergia automatikusan Taxonómiának megfelelő technológiának számít, a többi technológia esetében a környezetvédelmi engedélyt és a műszaki szakértői jelentést tekintjük a Taxonómiában szereplő ún. DNSH kritériumoknak</w:t>
      </w:r>
      <w:r w:rsidRPr="00221C4D">
        <w:rPr>
          <w:rStyle w:val="Lbjegyzet-hivatkozs"/>
          <w:rFonts w:asciiTheme="minorHAnsi" w:eastAsia="Calibri" w:hAnsiTheme="minorHAnsi" w:cs="Calibri"/>
          <w:bCs/>
          <w:sz w:val="24"/>
          <w:szCs w:val="24"/>
          <w:lang w:eastAsia="en-US"/>
        </w:rPr>
        <w:footnoteReference w:id="3"/>
      </w:r>
      <w:r w:rsidRPr="00221C4D">
        <w:rPr>
          <w:rFonts w:asciiTheme="minorHAnsi" w:eastAsia="Calibri" w:hAnsiTheme="minorHAnsi" w:cs="Calibri"/>
          <w:bCs/>
          <w:sz w:val="24"/>
          <w:szCs w:val="24"/>
          <w:lang w:eastAsia="en-US"/>
        </w:rPr>
        <w:t xml:space="preserve"> való megfelelés biztosítására. </w:t>
      </w:r>
    </w:p>
    <w:p w14:paraId="7454EDBF" w14:textId="6888A617" w:rsidR="00FA467E" w:rsidRPr="00BC0D0C" w:rsidRDefault="00FA467E" w:rsidP="00FA467E">
      <w:pPr>
        <w:rPr>
          <w:rFonts w:asciiTheme="minorHAnsi" w:eastAsia="Calibri" w:hAnsiTheme="minorHAnsi" w:cs="Calibri"/>
          <w:bCs/>
          <w:sz w:val="24"/>
          <w:szCs w:val="24"/>
          <w:lang w:eastAsia="en-US"/>
        </w:rPr>
      </w:pPr>
      <w:r w:rsidRPr="00BC0D0C">
        <w:rPr>
          <w:rFonts w:asciiTheme="minorHAnsi" w:eastAsia="Calibri" w:hAnsiTheme="minorHAnsi" w:cs="Calibri"/>
          <w:bCs/>
          <w:sz w:val="24"/>
          <w:szCs w:val="24"/>
          <w:lang w:eastAsia="en-US"/>
        </w:rPr>
        <w:t xml:space="preserve">A naperőmű projekttársaságok üzletrész vásárlására nyújtott hitelek is részesülhetnek a zöld vállalati tőkekedvezményben, a következő feltételek </w:t>
      </w:r>
      <w:r>
        <w:rPr>
          <w:rFonts w:asciiTheme="minorHAnsi" w:eastAsia="Calibri" w:hAnsiTheme="minorHAnsi" w:cs="Calibri"/>
          <w:bCs/>
          <w:sz w:val="24"/>
          <w:szCs w:val="24"/>
          <w:lang w:eastAsia="en-US"/>
        </w:rPr>
        <w:t>együttes teljesítése esetén</w:t>
      </w:r>
      <w:r w:rsidRPr="00BC0D0C">
        <w:rPr>
          <w:rFonts w:asciiTheme="minorHAnsi" w:eastAsia="Calibri" w:hAnsiTheme="minorHAnsi" w:cs="Calibri"/>
          <w:bCs/>
          <w:sz w:val="24"/>
          <w:szCs w:val="24"/>
          <w:lang w:eastAsia="en-US"/>
        </w:rPr>
        <w:t>:</w:t>
      </w:r>
    </w:p>
    <w:p w14:paraId="7931BB22" w14:textId="357CFD54" w:rsidR="00FA467E" w:rsidRPr="00BC0D0C" w:rsidRDefault="00FA467E" w:rsidP="00FA467E">
      <w:pPr>
        <w:pStyle w:val="Listaszerbekezds"/>
        <w:numPr>
          <w:ilvl w:val="0"/>
          <w:numId w:val="20"/>
        </w:numPr>
        <w:rPr>
          <w:rFonts w:asciiTheme="minorHAnsi" w:eastAsia="Calibri" w:hAnsiTheme="minorHAnsi" w:cs="Calibri"/>
          <w:bCs/>
          <w:sz w:val="24"/>
          <w:szCs w:val="24"/>
          <w:lang w:eastAsia="en-US"/>
        </w:rPr>
      </w:pPr>
      <w:r w:rsidRPr="00BC0D0C">
        <w:rPr>
          <w:rFonts w:asciiTheme="minorHAnsi" w:eastAsia="Calibri" w:hAnsiTheme="minorHAnsi" w:cs="Calibri"/>
          <w:bCs/>
          <w:sz w:val="24"/>
          <w:szCs w:val="24"/>
          <w:lang w:eastAsia="en-US"/>
        </w:rPr>
        <w:t>az üzletrész vásárlási hitel hitelkiváltással valósul meg: a projekttársaságban</w:t>
      </w:r>
      <w:r>
        <w:rPr>
          <w:rFonts w:asciiTheme="minorHAnsi" w:eastAsia="Calibri" w:hAnsiTheme="minorHAnsi" w:cs="Calibri"/>
          <w:bCs/>
          <w:sz w:val="24"/>
          <w:szCs w:val="24"/>
          <w:lang w:eastAsia="en-US"/>
        </w:rPr>
        <w:t xml:space="preserve"> </w:t>
      </w:r>
      <w:r w:rsidRPr="00BC0D0C">
        <w:rPr>
          <w:rFonts w:asciiTheme="minorHAnsi" w:eastAsia="Calibri" w:hAnsiTheme="minorHAnsi" w:cs="Calibri"/>
          <w:bCs/>
          <w:sz w:val="24"/>
          <w:szCs w:val="24"/>
          <w:lang w:eastAsia="en-US"/>
        </w:rPr>
        <w:t>minden más korábban keletkezett hitel vagy lízing kötelezettségvállalás kerüljön visszafizetésre</w:t>
      </w:r>
    </w:p>
    <w:p w14:paraId="46CCAE05" w14:textId="4FC4786F" w:rsidR="00FA467E" w:rsidRPr="00FA467E" w:rsidRDefault="00FA467E" w:rsidP="00877B03">
      <w:pPr>
        <w:pStyle w:val="Listaszerbekezds"/>
        <w:numPr>
          <w:ilvl w:val="0"/>
          <w:numId w:val="20"/>
        </w:numPr>
        <w:rPr>
          <w:rFonts w:asciiTheme="minorHAnsi" w:eastAsia="Calibri" w:hAnsiTheme="minorHAnsi" w:cs="Calibri"/>
          <w:bCs/>
          <w:sz w:val="24"/>
          <w:szCs w:val="24"/>
          <w:lang w:eastAsia="en-US"/>
        </w:rPr>
      </w:pPr>
      <w:r w:rsidRPr="00BC0D0C">
        <w:rPr>
          <w:rFonts w:asciiTheme="minorHAnsi" w:eastAsia="Calibri" w:hAnsiTheme="minorHAnsi" w:cs="Calibri"/>
          <w:bCs/>
          <w:sz w:val="24"/>
          <w:szCs w:val="24"/>
          <w:lang w:eastAsia="en-US"/>
        </w:rPr>
        <w:t>a hitel futamideje nem haladhatja meg a projekt megtérülési idejét: a megtérülési idő azt az időtartamot jelenti, ami elégséges a kivitelezéshez felvett projekthitel (vagy annak kiváltására felhasznált hitel/kölcsön) visszafizetésére, valamint az önerő (alternatív kamatláb és időérték számítása nélküli) összegének megtérülésére</w:t>
      </w:r>
      <w:r>
        <w:rPr>
          <w:rFonts w:asciiTheme="minorHAnsi" w:eastAsia="Calibri" w:hAnsiTheme="minorHAnsi" w:cs="Calibri"/>
          <w:bCs/>
          <w:sz w:val="24"/>
          <w:szCs w:val="24"/>
          <w:lang w:eastAsia="en-US"/>
        </w:rPr>
        <w:t>.</w:t>
      </w:r>
    </w:p>
    <w:p w14:paraId="131D6542" w14:textId="77777777" w:rsidR="00877B03" w:rsidRPr="00221C4D" w:rsidRDefault="00877B03" w:rsidP="00877B03">
      <w:pPr>
        <w:rPr>
          <w:rFonts w:asciiTheme="minorHAnsi" w:hAnsiTheme="minorHAnsi"/>
          <w:sz w:val="24"/>
          <w:szCs w:val="24"/>
        </w:rPr>
      </w:pPr>
      <w:r w:rsidRPr="00221C4D">
        <w:rPr>
          <w:rFonts w:asciiTheme="minorHAnsi" w:hAnsiTheme="minorHAnsi"/>
          <w:sz w:val="24"/>
          <w:szCs w:val="24"/>
        </w:rPr>
        <w:t xml:space="preserve">A beruházási hitel esetében, ha a beruházás KÁT/METÁR-on keresztül valósul meg, akkor a Zöld Arányszámot 100%-nak kell jelenteni. Megújuló energiatermelési projekt hitel esetében szintén </w:t>
      </w:r>
      <w:r w:rsidRPr="00221C4D">
        <w:rPr>
          <w:sz w:val="24"/>
          <w:szCs w:val="24"/>
        </w:rPr>
        <w:t xml:space="preserve">a kitettség teljes összegére érvényesíthető </w:t>
      </w:r>
      <w:r w:rsidRPr="00221C4D">
        <w:rPr>
          <w:rFonts w:asciiTheme="minorHAnsi" w:hAnsiTheme="minorHAnsi"/>
          <w:sz w:val="24"/>
          <w:szCs w:val="24"/>
        </w:rPr>
        <w:t>a kedvezmény (a Zöld Arányszám automatikusan 100%-nak jelentendő), mivel vélelmezhetően ez esetben is a teljes hitelösszeg ténylegesen a megújuló energiatermelést finanszírozza.</w:t>
      </w:r>
    </w:p>
    <w:p w14:paraId="69C240CF" w14:textId="1A744888" w:rsidR="00877B03" w:rsidRPr="00221C4D" w:rsidRDefault="00877B03" w:rsidP="00877B03">
      <w:pPr>
        <w:rPr>
          <w:rFonts w:asciiTheme="minorHAnsi" w:hAnsiTheme="minorHAnsi"/>
          <w:sz w:val="24"/>
          <w:szCs w:val="24"/>
        </w:rPr>
      </w:pPr>
      <w:r w:rsidRPr="00221C4D">
        <w:rPr>
          <w:rFonts w:asciiTheme="minorHAnsi" w:hAnsiTheme="minorHAnsi"/>
          <w:sz w:val="24"/>
          <w:szCs w:val="24"/>
        </w:rPr>
        <w:t xml:space="preserve">Minden más esetben a Zöld Arányszám arányosan (számlákkal igazolva) határozandó meg a hitelintézet által, mely arányszám azt fejezi ki, hogy a hitel- vagy kötvénykitettség mekkora részére alkalmazható a kedvezmény. Ezen százalékos arányszámot az ICAAP analitikában és a negyedéves önkéntes adatszolgáltatásban is fel kell tüntetni. A hitelcélt igazoló számlákkal kapcsolatos elvárás, hogy azok az engedélyeztetés, tervezés és kivitelezés költségeihez kapcsolódjanak, azok </w:t>
      </w:r>
      <w:r w:rsidRPr="00221C4D">
        <w:rPr>
          <w:rFonts w:asciiTheme="minorHAnsi" w:hAnsiTheme="minorHAnsi"/>
          <w:sz w:val="24"/>
          <w:szCs w:val="24"/>
        </w:rPr>
        <w:lastRenderedPageBreak/>
        <w:t xml:space="preserve">teljesítését műszaki szakértő igazolja vagy a bank ellenőrzi a forrásfelhasználást a folyósítási feltételek ellenőrzésekor, vagy az utólagos hitelmonitoring keretében. </w:t>
      </w:r>
    </w:p>
    <w:p w14:paraId="5C3D2901" w14:textId="77777777" w:rsidR="00877B03" w:rsidRPr="00221C4D" w:rsidRDefault="00877B03" w:rsidP="00877B03">
      <w:pPr>
        <w:rPr>
          <w:rFonts w:asciiTheme="minorHAnsi" w:hAnsiTheme="minorHAnsi"/>
          <w:b/>
          <w:bCs/>
          <w:sz w:val="24"/>
          <w:szCs w:val="24"/>
        </w:rPr>
      </w:pPr>
      <w:r w:rsidRPr="00221C4D">
        <w:rPr>
          <w:rFonts w:asciiTheme="minorHAnsi" w:hAnsiTheme="minorHAnsi"/>
          <w:b/>
          <w:bCs/>
          <w:sz w:val="24"/>
          <w:szCs w:val="24"/>
        </w:rPr>
        <w:t>2) Zöld kötvény kitettség</w:t>
      </w:r>
    </w:p>
    <w:p w14:paraId="315AE31B" w14:textId="77777777" w:rsidR="00877B03" w:rsidRPr="00221C4D" w:rsidRDefault="00877B03" w:rsidP="00877B03">
      <w:pPr>
        <w:rPr>
          <w:sz w:val="24"/>
          <w:szCs w:val="24"/>
        </w:rPr>
      </w:pPr>
      <w:r w:rsidRPr="00221C4D">
        <w:rPr>
          <w:rFonts w:asciiTheme="minorHAnsi" w:hAnsiTheme="minorHAnsi"/>
          <w:sz w:val="24"/>
          <w:szCs w:val="24"/>
        </w:rPr>
        <w:t>A Green Bond Principles-nek</w:t>
      </w:r>
      <w:r w:rsidRPr="00221C4D">
        <w:rPr>
          <w:rStyle w:val="Lbjegyzet-hivatkozs"/>
          <w:rFonts w:asciiTheme="minorHAnsi" w:hAnsiTheme="minorHAnsi"/>
          <w:sz w:val="24"/>
          <w:szCs w:val="24"/>
        </w:rPr>
        <w:footnoteReference w:id="4"/>
      </w:r>
      <w:r w:rsidRPr="00221C4D">
        <w:rPr>
          <w:rFonts w:asciiTheme="minorHAnsi" w:hAnsiTheme="minorHAnsi"/>
          <w:sz w:val="24"/>
          <w:szCs w:val="24"/>
        </w:rPr>
        <w:t xml:space="preserve"> vagy a Climate Bonds Standards</w:t>
      </w:r>
      <w:r w:rsidRPr="00221C4D">
        <w:rPr>
          <w:rStyle w:val="Lbjegyzet-hivatkozs"/>
          <w:rFonts w:asciiTheme="minorHAnsi" w:hAnsiTheme="minorHAnsi"/>
          <w:sz w:val="24"/>
          <w:szCs w:val="24"/>
        </w:rPr>
        <w:footnoteReference w:id="5"/>
      </w:r>
      <w:r w:rsidRPr="00221C4D">
        <w:rPr>
          <w:rFonts w:asciiTheme="minorHAnsi" w:hAnsiTheme="minorHAnsi"/>
          <w:sz w:val="24"/>
          <w:szCs w:val="24"/>
        </w:rPr>
        <w:t xml:space="preserve">-nek megfelelő, vállalati, önkormányzati kibocsátású zöld kötvény vásárlásából származó kitettség, mely sztenderdeknek való megfelelést külső felülvizsgálat (external review) igazolja </w:t>
      </w:r>
      <w:r w:rsidRPr="00221C4D">
        <w:rPr>
          <w:sz w:val="24"/>
          <w:szCs w:val="24"/>
        </w:rPr>
        <w:t>az ICMA által publikált „</w:t>
      </w:r>
      <w:r w:rsidRPr="00221C4D">
        <w:rPr>
          <w:i/>
          <w:iCs/>
          <w:sz w:val="24"/>
          <w:szCs w:val="24"/>
        </w:rPr>
        <w:t>Iránymutatások a zöld, társadalmi és fenntarthatósági kötvények külső felülvizsgálatához</w:t>
      </w:r>
      <w:r w:rsidRPr="00221C4D">
        <w:rPr>
          <w:sz w:val="24"/>
          <w:szCs w:val="24"/>
        </w:rPr>
        <w:t>” című dokumentumban foglalt valamely módon</w:t>
      </w:r>
      <w:r w:rsidRPr="00221C4D">
        <w:rPr>
          <w:rStyle w:val="Lbjegyzet-hivatkozs"/>
          <w:sz w:val="24"/>
          <w:szCs w:val="24"/>
        </w:rPr>
        <w:footnoteReference w:id="6"/>
      </w:r>
      <w:r w:rsidRPr="00221C4D">
        <w:rPr>
          <w:sz w:val="24"/>
          <w:szCs w:val="24"/>
        </w:rPr>
        <w:t>, az ICMA</w:t>
      </w:r>
      <w:r w:rsidRPr="00221C4D">
        <w:rPr>
          <w:rStyle w:val="Lbjegyzet-hivatkozs"/>
          <w:sz w:val="24"/>
          <w:szCs w:val="24"/>
        </w:rPr>
        <w:footnoteReference w:id="7"/>
      </w:r>
      <w:r w:rsidRPr="00221C4D">
        <w:rPr>
          <w:sz w:val="24"/>
          <w:szCs w:val="24"/>
        </w:rPr>
        <w:t xml:space="preserve"> és a CBI</w:t>
      </w:r>
      <w:r w:rsidRPr="00221C4D">
        <w:rPr>
          <w:rStyle w:val="Lbjegyzet-hivatkozs"/>
          <w:sz w:val="24"/>
          <w:szCs w:val="24"/>
        </w:rPr>
        <w:footnoteReference w:id="8"/>
      </w:r>
      <w:r w:rsidRPr="00221C4D">
        <w:rPr>
          <w:sz w:val="24"/>
          <w:szCs w:val="24"/>
        </w:rPr>
        <w:t xml:space="preserve"> hivatalos weboldalán listázott külső felülvizsgálatot végző, jóváhagyott szolgáltatók (ideértve ezek magyarországi irodáit is) valamelyike által.</w:t>
      </w:r>
    </w:p>
    <w:p w14:paraId="06C75130" w14:textId="77777777" w:rsidR="00877B03" w:rsidRPr="00221C4D" w:rsidRDefault="00877B03" w:rsidP="00877B03">
      <w:pPr>
        <w:rPr>
          <w:rFonts w:asciiTheme="minorHAnsi" w:hAnsiTheme="minorHAnsi"/>
          <w:sz w:val="24"/>
          <w:szCs w:val="24"/>
        </w:rPr>
      </w:pPr>
      <w:r w:rsidRPr="00221C4D">
        <w:rPr>
          <w:sz w:val="24"/>
          <w:szCs w:val="24"/>
        </w:rPr>
        <w:t>A Zöld Arányszám a zöld kötvény kitettségek esetében automatikusan 100%.</w:t>
      </w:r>
    </w:p>
    <w:p w14:paraId="278251C4" w14:textId="77777777" w:rsidR="00877B03" w:rsidRPr="00221C4D" w:rsidRDefault="00877B03" w:rsidP="00877B03">
      <w:pPr>
        <w:rPr>
          <w:i/>
          <w:iCs/>
          <w:sz w:val="24"/>
          <w:szCs w:val="24"/>
        </w:rPr>
      </w:pPr>
      <w:r w:rsidRPr="00221C4D">
        <w:rPr>
          <w:i/>
          <w:iCs/>
          <w:sz w:val="24"/>
          <w:szCs w:val="24"/>
        </w:rPr>
        <w:t xml:space="preserve">(A Mellékletben szereplő elfogadott kitettségek listája a későbbi felülvizsgálatok során várhatóan bővülhet az EU Taxonómia figyelembevételével.) </w:t>
      </w:r>
    </w:p>
    <w:p w14:paraId="4D878FF0" w14:textId="77777777" w:rsidR="00877B03" w:rsidRPr="00221C4D" w:rsidRDefault="00877B03" w:rsidP="00877B03">
      <w:pPr>
        <w:rPr>
          <w:rFonts w:asciiTheme="minorHAnsi" w:hAnsiTheme="minorHAnsi"/>
          <w:b/>
          <w:bCs/>
          <w:sz w:val="24"/>
          <w:szCs w:val="24"/>
        </w:rPr>
      </w:pPr>
      <w:r w:rsidRPr="00221C4D">
        <w:rPr>
          <w:rFonts w:asciiTheme="minorHAnsi" w:hAnsiTheme="minorHAnsi"/>
          <w:b/>
          <w:bCs/>
          <w:sz w:val="24"/>
          <w:szCs w:val="24"/>
        </w:rPr>
        <w:t>3) Fiktív gyakorlati számpéldák</w:t>
      </w:r>
    </w:p>
    <w:p w14:paraId="64A9CBD1" w14:textId="77777777" w:rsidR="00877B03" w:rsidRPr="00221C4D" w:rsidRDefault="00877B03" w:rsidP="00877B03">
      <w:pPr>
        <w:pStyle w:val="Listaszerbekezds"/>
        <w:numPr>
          <w:ilvl w:val="0"/>
          <w:numId w:val="19"/>
        </w:numPr>
        <w:rPr>
          <w:i/>
          <w:iCs/>
          <w:sz w:val="24"/>
          <w:szCs w:val="24"/>
        </w:rPr>
      </w:pPr>
      <w:r w:rsidRPr="00221C4D">
        <w:rPr>
          <w:i/>
          <w:iCs/>
          <w:sz w:val="24"/>
          <w:szCs w:val="24"/>
        </w:rPr>
        <w:t>Kedvezmény kiszámításának módja és hatása a TSCR rátára</w:t>
      </w:r>
    </w:p>
    <w:p w14:paraId="60FD04C3" w14:textId="77777777" w:rsidR="00877B03" w:rsidRPr="00221C4D" w:rsidRDefault="00877B03" w:rsidP="00877B03">
      <w:pPr>
        <w:rPr>
          <w:rFonts w:ascii="Arial" w:hAnsi="Arial" w:cs="Arial"/>
          <w:sz w:val="24"/>
          <w:szCs w:val="24"/>
        </w:rPr>
      </w:pPr>
      <w:r w:rsidRPr="00221C4D">
        <w:rPr>
          <w:noProof/>
          <w:sz w:val="24"/>
          <w:szCs w:val="24"/>
        </w:rPr>
        <w:drawing>
          <wp:inline distT="0" distB="0" distL="0" distR="0" wp14:anchorId="203F6ABA" wp14:editId="3BEE2395">
            <wp:extent cx="4444531" cy="2958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976" cy="295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CA5FF" w14:textId="77777777" w:rsidR="00877B03" w:rsidRPr="00221C4D" w:rsidRDefault="00877B03" w:rsidP="00877B03">
      <w:pPr>
        <w:pStyle w:val="Listaszerbekezds"/>
        <w:numPr>
          <w:ilvl w:val="0"/>
          <w:numId w:val="19"/>
        </w:numPr>
        <w:rPr>
          <w:i/>
          <w:iCs/>
          <w:sz w:val="24"/>
          <w:szCs w:val="24"/>
        </w:rPr>
      </w:pPr>
      <w:r w:rsidRPr="00221C4D">
        <w:rPr>
          <w:i/>
          <w:iCs/>
          <w:sz w:val="24"/>
          <w:szCs w:val="24"/>
        </w:rPr>
        <w:t>A kedvezmény érvényesítésével kapcsolatos kalkulációk</w:t>
      </w:r>
    </w:p>
    <w:p w14:paraId="2B691CD3" w14:textId="77777777" w:rsidR="00877B03" w:rsidRPr="00221C4D" w:rsidRDefault="00877B03" w:rsidP="00877B03">
      <w:pPr>
        <w:rPr>
          <w:i/>
          <w:iCs/>
          <w:sz w:val="24"/>
          <w:szCs w:val="24"/>
        </w:rPr>
      </w:pPr>
      <w:r w:rsidRPr="00221C4D">
        <w:rPr>
          <w:i/>
          <w:iCs/>
          <w:sz w:val="24"/>
          <w:szCs w:val="24"/>
        </w:rPr>
        <w:t>Az alábbi példa azt szemlélteti, hogy egy 60%-ban zöld beruházás mekkora kedvezményben részesülhet adott paraméterekkel.</w:t>
      </w:r>
    </w:p>
    <w:p w14:paraId="7A83A7C9" w14:textId="77777777" w:rsidR="00877B03" w:rsidRPr="00221C4D" w:rsidRDefault="00877B03" w:rsidP="00877B03">
      <w:pPr>
        <w:rPr>
          <w:rFonts w:ascii="Arial" w:hAnsi="Arial" w:cs="Arial"/>
          <w:sz w:val="24"/>
          <w:szCs w:val="24"/>
        </w:rPr>
      </w:pPr>
      <w:r w:rsidRPr="00221C4D">
        <w:rPr>
          <w:noProof/>
          <w:sz w:val="24"/>
          <w:szCs w:val="24"/>
        </w:rPr>
        <w:lastRenderedPageBreak/>
        <w:drawing>
          <wp:inline distT="0" distB="0" distL="0" distR="0" wp14:anchorId="39D7E5F1" wp14:editId="2A9D2E16">
            <wp:extent cx="4444365" cy="9401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97" cy="94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C1C2" w14:textId="77777777" w:rsidR="00877B03" w:rsidRPr="00221C4D" w:rsidRDefault="00877B03" w:rsidP="00877B03">
      <w:pPr>
        <w:rPr>
          <w:rFonts w:ascii="Arial" w:hAnsi="Arial" w:cs="Arial"/>
          <w:i/>
          <w:iCs/>
          <w:sz w:val="24"/>
          <w:szCs w:val="24"/>
        </w:rPr>
      </w:pPr>
      <w:r w:rsidRPr="00221C4D">
        <w:rPr>
          <w:rFonts w:ascii="Arial" w:hAnsi="Arial" w:cs="Arial"/>
          <w:i/>
          <w:iCs/>
          <w:sz w:val="24"/>
          <w:szCs w:val="24"/>
        </w:rPr>
        <w:t>Abban az esetben, ha a pénzügyi szervezetnek a fentebb említett egyetlen zöld hitele van (azaz a hitelportfoliónak csupán 0.3%-a zöld), akkor az ICAAP felülvizsgálat során az alábbi módon kerül kiszámításra a kedvezmény.</w:t>
      </w:r>
    </w:p>
    <w:p w14:paraId="5BBDED24" w14:textId="77777777" w:rsidR="00877B03" w:rsidRPr="00221C4D" w:rsidRDefault="00877B03" w:rsidP="00877B03">
      <w:pPr>
        <w:rPr>
          <w:i/>
          <w:iCs/>
          <w:sz w:val="24"/>
          <w:szCs w:val="24"/>
        </w:rPr>
      </w:pPr>
      <w:r w:rsidRPr="00221C4D">
        <w:rPr>
          <w:noProof/>
          <w:sz w:val="24"/>
          <w:szCs w:val="24"/>
        </w:rPr>
        <w:drawing>
          <wp:inline distT="0" distB="0" distL="0" distR="0" wp14:anchorId="6AFDCC2B" wp14:editId="258E8715">
            <wp:extent cx="4444365" cy="9401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806" cy="94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7E622" w14:textId="77777777" w:rsidR="00B944EB" w:rsidRPr="00221C4D" w:rsidRDefault="00B944EB" w:rsidP="00B944EB">
      <w:pPr>
        <w:rPr>
          <w:sz w:val="24"/>
          <w:szCs w:val="24"/>
        </w:rPr>
      </w:pPr>
    </w:p>
    <w:sectPr w:rsidR="00B944EB" w:rsidRPr="00221C4D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18E35" w14:textId="77777777" w:rsidR="00877B03" w:rsidRDefault="00877B03">
      <w:r>
        <w:separator/>
      </w:r>
    </w:p>
  </w:endnote>
  <w:endnote w:type="continuationSeparator" w:id="0">
    <w:p w14:paraId="3A605271" w14:textId="77777777" w:rsidR="00877B03" w:rsidRDefault="0087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CF24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4649F" w14:textId="77777777" w:rsidR="00877B03" w:rsidRDefault="00877B03">
      <w:r>
        <w:separator/>
      </w:r>
    </w:p>
  </w:footnote>
  <w:footnote w:type="continuationSeparator" w:id="0">
    <w:p w14:paraId="21282896" w14:textId="77777777" w:rsidR="00877B03" w:rsidRDefault="00877B03">
      <w:r>
        <w:continuationSeparator/>
      </w:r>
    </w:p>
  </w:footnote>
  <w:footnote w:id="1">
    <w:p w14:paraId="67E0F509" w14:textId="77777777" w:rsidR="00877B03" w:rsidRPr="00C91F30" w:rsidRDefault="00877B03" w:rsidP="0004482A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</w:t>
      </w:r>
      <w:r w:rsidRPr="00A2530F">
        <w:t>AZ EURÓPAI PARLAMENT ÉS A TANÁCS (EU) 2018/2001 IRÁNYELVE (2018. december 11.) a megújuló energiaforrásokból előállított energia használatának előmozdításáról</w:t>
      </w:r>
    </w:p>
  </w:footnote>
  <w:footnote w:id="2">
    <w:p w14:paraId="3C255441" w14:textId="77777777" w:rsidR="00877B03" w:rsidRDefault="00877B03" w:rsidP="0004482A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</w:t>
      </w:r>
      <w:hyperlink r:id="rId1" w:history="1">
        <w:r>
          <w:rPr>
            <w:rStyle w:val="Hiperhivatkozs"/>
          </w:rPr>
          <w:t>https://ec.europa.eu/info/business-economy-euro/banking-and-finance/sustainable-finance/eu-taxonomy-sustainable-activities_en</w:t>
        </w:r>
      </w:hyperlink>
    </w:p>
  </w:footnote>
  <w:footnote w:id="3">
    <w:p w14:paraId="7F1E105C" w14:textId="77777777" w:rsidR="00877B03" w:rsidRDefault="00877B03" w:rsidP="0004482A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DNSH („Do No Significant Harm”), azaz a</w:t>
      </w:r>
      <w:r w:rsidRPr="00164956">
        <w:t xml:space="preserve"> jelentős károkozás elkerülését célzó elv</w:t>
      </w:r>
      <w:r>
        <w:t xml:space="preserve"> kritériumai. A </w:t>
      </w:r>
      <w:r w:rsidRPr="001012B3">
        <w:t xml:space="preserve">2020/852 </w:t>
      </w:r>
      <w:r>
        <w:t>„taxonómia” rendelet 3. cikke határozza meg, hogy</w:t>
      </w:r>
      <w:r w:rsidRPr="000356E1">
        <w:t xml:space="preserve"> egy gazdasági tevékenység környezeti szempontból </w:t>
      </w:r>
      <w:r>
        <w:t>milyen esetben</w:t>
      </w:r>
      <w:r w:rsidRPr="000356E1">
        <w:t xml:space="preserve"> minősül fenntarthatónak</w:t>
      </w:r>
      <w:r>
        <w:t>. Ennek a cikknek a b) pontja értelmében ennek alapfeltétele, hogy a</w:t>
      </w:r>
      <w:r w:rsidRPr="000356E1">
        <w:t xml:space="preserve"> gazdasági tevékenység ne sért</w:t>
      </w:r>
      <w:r>
        <w:t>se</w:t>
      </w:r>
      <w:r w:rsidRPr="000356E1">
        <w:t xml:space="preserve"> jelentősen </w:t>
      </w:r>
      <w:r>
        <w:t xml:space="preserve">egyik </w:t>
      </w:r>
      <w:r w:rsidRPr="000356E1">
        <w:t>környezeti célkitűzést sem</w:t>
      </w:r>
      <w:r>
        <w:t>. Ennek részletei továbbá a rendelet 17. cikkében és a taxonómia jelentés technikai mellékletében találhatóak.</w:t>
      </w:r>
    </w:p>
  </w:footnote>
  <w:footnote w:id="4">
    <w:p w14:paraId="3F6695F4" w14:textId="77777777" w:rsidR="00877B03" w:rsidRPr="00C91F30" w:rsidRDefault="00877B03" w:rsidP="0004482A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773D66">
          <w:rPr>
            <w:rStyle w:val="Hiperhivatkozs"/>
          </w:rPr>
          <w:t>https://www.icmagroup.org/green-social-and-sustainability-bonds/green-bond-principles-gbp/</w:t>
        </w:r>
      </w:hyperlink>
      <w:r>
        <w:t xml:space="preserve"> </w:t>
      </w:r>
    </w:p>
  </w:footnote>
  <w:footnote w:id="5">
    <w:p w14:paraId="5D938748" w14:textId="77777777" w:rsidR="00877B03" w:rsidRPr="00C91F30" w:rsidRDefault="00877B03" w:rsidP="0004482A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</w:t>
      </w:r>
      <w:r w:rsidRPr="008877D7">
        <w:t>https://www.climatebonds.net/standard</w:t>
      </w:r>
    </w:p>
  </w:footnote>
  <w:footnote w:id="6">
    <w:p w14:paraId="7FB9C698" w14:textId="77777777" w:rsidR="00877B03" w:rsidRDefault="00877B03" w:rsidP="0004482A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</w:t>
      </w:r>
      <w:hyperlink r:id="rId3" w:history="1">
        <w:r>
          <w:rPr>
            <w:rStyle w:val="Hiperhivatkozs"/>
          </w:rPr>
          <w:t>https://www.icmagroup.org/assets/documents/Regulatory/Green-Bonds/June-2020/External-Review-GuidelinesJune-2020-090620.pdf</w:t>
        </w:r>
      </w:hyperlink>
    </w:p>
  </w:footnote>
  <w:footnote w:id="7">
    <w:p w14:paraId="1504B593" w14:textId="77777777" w:rsidR="00877B03" w:rsidRDefault="00877B03" w:rsidP="0004482A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</w:t>
      </w:r>
      <w:hyperlink r:id="rId4" w:history="1">
        <w:r>
          <w:rPr>
            <w:rStyle w:val="Hiperhivatkozs"/>
          </w:rPr>
          <w:t>https://www.icmagroup.org/green-social-and-sustainability-bonds/external-reviews/</w:t>
        </w:r>
      </w:hyperlink>
    </w:p>
  </w:footnote>
  <w:footnote w:id="8">
    <w:p w14:paraId="70B681B8" w14:textId="77777777" w:rsidR="00877B03" w:rsidRDefault="00877B03" w:rsidP="00877B03">
      <w:pPr>
        <w:pStyle w:val="Lbjegyzetszveg"/>
        <w:spacing w:after="0"/>
      </w:pPr>
      <w:r>
        <w:rPr>
          <w:rStyle w:val="Lbjegyzet-hivatkozs"/>
        </w:rPr>
        <w:footnoteRef/>
      </w:r>
      <w:r>
        <w:t xml:space="preserve"> </w:t>
      </w:r>
      <w:hyperlink r:id="rId5" w:history="1">
        <w:r>
          <w:rPr>
            <w:rStyle w:val="Hiperhivatkozs"/>
          </w:rPr>
          <w:t>https://www.climatebonds.net/certification/approved-verifiers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9A1EA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E2C"/>
    <w:multiLevelType w:val="hybridMultilevel"/>
    <w:tmpl w:val="6CE03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38F"/>
    <w:multiLevelType w:val="hybridMultilevel"/>
    <w:tmpl w:val="B34CDB88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9"/>
    <w:lvlOverride w:ilvl="0">
      <w:startOverride w:val="1"/>
    </w:lvlOverride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0"/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03"/>
    <w:rsid w:val="0000273C"/>
    <w:rsid w:val="00017B1B"/>
    <w:rsid w:val="0002498B"/>
    <w:rsid w:val="000250E6"/>
    <w:rsid w:val="00027695"/>
    <w:rsid w:val="00027B62"/>
    <w:rsid w:val="00033357"/>
    <w:rsid w:val="00035697"/>
    <w:rsid w:val="0004482A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1C4D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7B03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467E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C939C8"/>
  <w15:chartTrackingRefBased/>
  <w15:docId w15:val="{9E4D2F11-E1C4-4660-A8F3-F0BAA72C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467E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FA467E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FA467E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FA467E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FA467E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FA467E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FA467E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A467E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A467E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A467E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FA467E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FA467E"/>
  </w:style>
  <w:style w:type="table" w:customStyle="1" w:styleId="tblzat-mtrix">
    <w:name w:val="táblázat - mátrix"/>
    <w:basedOn w:val="Normltblzat"/>
    <w:uiPriority w:val="2"/>
    <w:qFormat/>
    <w:rsid w:val="00FA467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FA467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FA467E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FA467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FA467E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FA467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467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FA467E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467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A46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A467E"/>
  </w:style>
  <w:style w:type="paragraph" w:styleId="llb">
    <w:name w:val="footer"/>
    <w:basedOn w:val="Norml"/>
    <w:link w:val="llbChar"/>
    <w:uiPriority w:val="99"/>
    <w:semiHidden/>
    <w:unhideWhenUsed/>
    <w:rsid w:val="00FA46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A467E"/>
  </w:style>
  <w:style w:type="paragraph" w:customStyle="1" w:styleId="Szmozs">
    <w:name w:val="Számozás"/>
    <w:basedOn w:val="Norml"/>
    <w:uiPriority w:val="4"/>
    <w:qFormat/>
    <w:rsid w:val="00FA467E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FA467E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FA467E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FA467E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FA467E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FA467E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FA467E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FA467E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FA467E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FA467E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A467E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A467E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A467E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FA467E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FA467E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FA467E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FA467E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FA467E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,Lábjegyzet szöveg"/>
    <w:basedOn w:val="Norml"/>
    <w:link w:val="LbjegyzetszvegChar"/>
    <w:uiPriority w:val="99"/>
    <w:unhideWhenUsed/>
    <w:qFormat/>
    <w:rsid w:val="00FA467E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basedOn w:val="Bekezdsalapbettpusa"/>
    <w:link w:val="Lbjegyzetszveg"/>
    <w:uiPriority w:val="99"/>
    <w:rsid w:val="00FA467E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FA467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FA467E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FA467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467E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467E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FA467E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FA467E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FA467E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FA467E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FA467E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FA467E"/>
  </w:style>
  <w:style w:type="character" w:styleId="Finomhivatkozs">
    <w:name w:val="Subtle Reference"/>
    <w:basedOn w:val="Bekezdsalapbettpusa"/>
    <w:uiPriority w:val="31"/>
    <w:rsid w:val="00FA467E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FA467E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FA467E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FA467E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FA467E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FA467E"/>
  </w:style>
  <w:style w:type="paragraph" w:styleId="Alcm">
    <w:name w:val="Subtitle"/>
    <w:basedOn w:val="Norml"/>
    <w:next w:val="Norml"/>
    <w:link w:val="AlcmChar"/>
    <w:uiPriority w:val="11"/>
    <w:rsid w:val="00FA467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FA467E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FA467E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FA467E"/>
  </w:style>
  <w:style w:type="paragraph" w:customStyle="1" w:styleId="Erskiemels1">
    <w:name w:val="Erős kiemelés1"/>
    <w:basedOn w:val="Norml"/>
    <w:link w:val="ErskiemelsChar"/>
    <w:uiPriority w:val="5"/>
    <w:qFormat/>
    <w:rsid w:val="00FA467E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FA467E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FA467E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FA467E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FA467E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A467E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FA467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FA467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FA467E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FA467E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FA467E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FA467E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FA467E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FA467E"/>
  </w:style>
  <w:style w:type="character" w:styleId="Kiemels2">
    <w:name w:val="Strong"/>
    <w:basedOn w:val="Bekezdsalapbettpusa"/>
    <w:uiPriority w:val="22"/>
    <w:rsid w:val="00FA467E"/>
    <w:rPr>
      <w:b/>
      <w:bCs/>
    </w:rPr>
  </w:style>
  <w:style w:type="character" w:styleId="Kiemels">
    <w:name w:val="Emphasis"/>
    <w:basedOn w:val="Bekezdsalapbettpusa"/>
    <w:uiPriority w:val="6"/>
    <w:qFormat/>
    <w:rsid w:val="00FA467E"/>
    <w:rPr>
      <w:i/>
      <w:iCs/>
    </w:rPr>
  </w:style>
  <w:style w:type="paragraph" w:styleId="Nincstrkz">
    <w:name w:val="No Spacing"/>
    <w:basedOn w:val="Norml"/>
    <w:uiPriority w:val="1"/>
    <w:rsid w:val="00FA467E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FA467E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FA467E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FA467E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A467E"/>
    <w:rPr>
      <w:b/>
      <w:i/>
    </w:rPr>
  </w:style>
  <w:style w:type="character" w:styleId="Erskiemels">
    <w:name w:val="Intense Emphasis"/>
    <w:basedOn w:val="Bekezdsalapbettpusa"/>
    <w:uiPriority w:val="21"/>
    <w:rsid w:val="00FA467E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FA467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FA467E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FA467E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FA467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FA467E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FA467E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FA467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FA467E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FA467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FA467E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FA467E"/>
  </w:style>
  <w:style w:type="paragraph" w:customStyle="1" w:styleId="ENNormalBox">
    <w:name w:val="EN_Normal_Box"/>
    <w:basedOn w:val="Norml"/>
    <w:uiPriority w:val="1"/>
    <w:qFormat/>
    <w:rsid w:val="00FA467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FA467E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FA467E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FA467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FA467E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FA467E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FA467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FA467E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FA467E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FA467E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FA467E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FA467E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FA467E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FA467E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FA467E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FA467E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FA467E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FA467E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FA467E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FA467E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FA467E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FA467E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FA467E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FA467E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FA467E"/>
    <w:rPr>
      <w:b w:val="0"/>
      <w:caps w:val="0"/>
      <w:sz w:val="52"/>
    </w:rPr>
  </w:style>
  <w:style w:type="character" w:styleId="Lbjegyzet-hivatkozs">
    <w:name w:val="footnote reference"/>
    <w:aliases w:val="Footnote Reference Number,Footnote Reference_LVL6,Footnote Reference_LVL61,Footnote Reference_LVL62,Footnote Reference_LVL63,Footnote Reference_LVL64, Char1,Char1,Lábjegyzet hivatkozás,Footnote reference number,Footnote symbol"/>
    <w:uiPriority w:val="99"/>
    <w:qFormat/>
    <w:rsid w:val="00877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magroup.org/assets/documents/Regulatory/Green-Bonds/June-2020/External-Review-GuidelinesJune-2020-090620.pdf" TargetMode="External"/><Relationship Id="rId2" Type="http://schemas.openxmlformats.org/officeDocument/2006/relationships/hyperlink" Target="https://www.icmagroup.org/green-social-and-sustainability-bonds/green-bond-principles-gbp/" TargetMode="External"/><Relationship Id="rId1" Type="http://schemas.openxmlformats.org/officeDocument/2006/relationships/hyperlink" Target="https://ec.europa.eu/info/business-economy-euro/banking-and-finance/sustainable-finance/eu-taxonomy-sustainable-activities_en" TargetMode="External"/><Relationship Id="rId5" Type="http://schemas.openxmlformats.org/officeDocument/2006/relationships/hyperlink" Target="https://www.climatebonds.net/certification/approved-verifiers" TargetMode="External"/><Relationship Id="rId4" Type="http://schemas.openxmlformats.org/officeDocument/2006/relationships/hyperlink" Target="https://www.icmagroup.org/green-social-and-sustainability-bonds/external-reviews/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493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Beáta</dc:creator>
  <cp:keywords/>
  <dc:description/>
  <cp:lastModifiedBy>Vida Beáta</cp:lastModifiedBy>
  <cp:revision>4</cp:revision>
  <cp:lastPrinted>1900-12-31T23:00:00Z</cp:lastPrinted>
  <dcterms:created xsi:type="dcterms:W3CDTF">2020-11-09T12:31:00Z</dcterms:created>
  <dcterms:modified xsi:type="dcterms:W3CDTF">2020-12-10T16:07:00Z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2025-11-09T12:31:03Z</vt:filetime>
  </property>
  <property fmtid="{D5CDD505-2E9C-101B-9397-08002B2CF9AE}" pid="3" name="Érvényességet beállító">
    <vt:lpwstr>vidab</vt:lpwstr>
  </property>
  <property fmtid="{D5CDD505-2E9C-101B-9397-08002B2CF9AE}" pid="4" name="Érvényességi idő első beállítása">
    <vt:filetime>2020-11-09T12:31:03Z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vidab@mnb.hu</vt:lpwstr>
  </property>
  <property fmtid="{D5CDD505-2E9C-101B-9397-08002B2CF9AE}" pid="8" name="MSIP_Label_b0d11092-50c9-4e74-84b5-b1af078dc3d0_SetDate">
    <vt:lpwstr>2020-11-09T12:31:44.6148228Z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785caf57-1806-4e94-82ba-19372d4913cd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