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9CB0" w14:textId="2A8DC225" w:rsidR="00FC249F" w:rsidRPr="00031298" w:rsidRDefault="00FC249F" w:rsidP="00FC249F">
      <w:pPr>
        <w:autoSpaceDE w:val="0"/>
        <w:autoSpaceDN w:val="0"/>
        <w:adjustRightInd w:val="0"/>
        <w:spacing w:after="0"/>
        <w:rPr>
          <w:rFonts w:eastAsia="Calibri" w:cs="Calibri"/>
          <w:b/>
          <w:bCs/>
          <w:color w:val="000000"/>
          <w:sz w:val="23"/>
          <w:szCs w:val="23"/>
          <w:lang w:val="en-GB"/>
        </w:rPr>
      </w:pPr>
      <w:r w:rsidRPr="00031298">
        <w:rPr>
          <w:rFonts w:eastAsia="Calibri" w:cs="Calibri"/>
          <w:b/>
          <w:bCs/>
          <w:color w:val="000000"/>
          <w:sz w:val="23"/>
          <w:szCs w:val="23"/>
          <w:lang w:val="en-GB"/>
        </w:rPr>
        <w:t xml:space="preserve">Annex 16: </w:t>
      </w:r>
    </w:p>
    <w:p w14:paraId="10F3F4D3" w14:textId="77777777" w:rsidR="00FC249F" w:rsidRPr="00031298" w:rsidRDefault="00FC249F" w:rsidP="00F0443A">
      <w:pPr>
        <w:jc w:val="center"/>
        <w:rPr>
          <w:b/>
          <w:sz w:val="36"/>
          <w:szCs w:val="36"/>
          <w:lang w:val="en-GB"/>
        </w:rPr>
      </w:pPr>
    </w:p>
    <w:p w14:paraId="3D876FF7" w14:textId="14AECCD0" w:rsidR="0018619A" w:rsidRPr="00031298" w:rsidRDefault="00946626" w:rsidP="00F0443A">
      <w:pPr>
        <w:jc w:val="center"/>
        <w:rPr>
          <w:b/>
          <w:sz w:val="50"/>
          <w:szCs w:val="50"/>
          <w:lang w:val="en-GB"/>
        </w:rPr>
      </w:pPr>
      <w:r w:rsidRPr="00031298">
        <w:rPr>
          <w:b/>
          <w:bCs/>
          <w:sz w:val="50"/>
          <w:szCs w:val="50"/>
          <w:lang w:val="en-GB"/>
        </w:rPr>
        <w:t>Supervisory Liquidity Stress Test</w:t>
      </w:r>
    </w:p>
    <w:p w14:paraId="0FDF2BA1" w14:textId="77777777" w:rsidR="00002C97" w:rsidRPr="00031298" w:rsidRDefault="00002C97" w:rsidP="00F0443A">
      <w:pPr>
        <w:jc w:val="center"/>
        <w:rPr>
          <w:b/>
          <w:sz w:val="28"/>
          <w:szCs w:val="50"/>
          <w:lang w:val="en-GB"/>
        </w:rPr>
      </w:pPr>
      <w:r w:rsidRPr="00031298">
        <w:rPr>
          <w:b/>
          <w:bCs/>
          <w:sz w:val="28"/>
          <w:szCs w:val="50"/>
          <w:lang w:val="en-GB"/>
        </w:rPr>
        <w:t>Calculation Guide</w:t>
      </w:r>
    </w:p>
    <w:p w14:paraId="7F996B3E" w14:textId="74EF7337" w:rsidR="00946626" w:rsidRPr="00031298" w:rsidRDefault="00946626" w:rsidP="0018619A">
      <w:pPr>
        <w:rPr>
          <w:sz w:val="22"/>
          <w:lang w:val="en-GB"/>
        </w:rPr>
      </w:pPr>
      <w:r w:rsidRPr="00031298">
        <w:rPr>
          <w:sz w:val="22"/>
          <w:lang w:val="en-GB"/>
        </w:rPr>
        <w:t>The method of calculating the Supervisory Liquidity Stress Test (</w:t>
      </w:r>
      <w:proofErr w:type="spellStart"/>
      <w:r w:rsidRPr="00031298">
        <w:rPr>
          <w:sz w:val="22"/>
          <w:lang w:val="en-GB"/>
        </w:rPr>
        <w:t>FLST</w:t>
      </w:r>
      <w:proofErr w:type="spellEnd"/>
      <w:r w:rsidRPr="00031298">
        <w:rPr>
          <w:sz w:val="22"/>
          <w:lang w:val="en-GB"/>
        </w:rPr>
        <w:t>) is the same as that used to calculate the Liquidity Coverage Ratio (</w:t>
      </w:r>
      <w:proofErr w:type="spellStart"/>
      <w:r w:rsidRPr="00031298">
        <w:rPr>
          <w:sz w:val="22"/>
          <w:lang w:val="en-GB"/>
        </w:rPr>
        <w:t>LCR</w:t>
      </w:r>
      <w:proofErr w:type="spellEnd"/>
      <w:r w:rsidRPr="00031298">
        <w:rPr>
          <w:sz w:val="22"/>
          <w:lang w:val="en-GB"/>
        </w:rPr>
        <w:t>), with the exceptions and modifications listed below.</w:t>
      </w:r>
    </w:p>
    <w:p w14:paraId="3BB42CB9" w14:textId="5B061126" w:rsidR="00946626" w:rsidRPr="00031298" w:rsidRDefault="002D3422" w:rsidP="00F0443A">
      <w:pPr>
        <w:pStyle w:val="Cmsor2"/>
        <w:keepNext/>
        <w:numPr>
          <w:ilvl w:val="0"/>
          <w:numId w:val="0"/>
        </w:numPr>
        <w:ind w:left="431" w:hanging="431"/>
        <w:rPr>
          <w:color w:val="auto"/>
          <w:sz w:val="28"/>
          <w:szCs w:val="30"/>
          <w:lang w:val="en-GB"/>
        </w:rPr>
      </w:pPr>
      <w:r w:rsidRPr="00031298">
        <w:rPr>
          <w:bCs/>
          <w:color w:val="auto"/>
          <w:sz w:val="28"/>
          <w:szCs w:val="30"/>
          <w:lang w:val="en-GB"/>
        </w:rPr>
        <w:t>Valuation of liquid assets</w:t>
      </w:r>
    </w:p>
    <w:p w14:paraId="02BF8F3B" w14:textId="18DA44A3" w:rsidR="00281CDA" w:rsidRPr="00031298" w:rsidRDefault="002D3422" w:rsidP="00002C97">
      <w:pPr>
        <w:rPr>
          <w:sz w:val="22"/>
          <w:lang w:val="en-GB"/>
        </w:rPr>
      </w:pPr>
      <w:r w:rsidRPr="00031298">
        <w:rPr>
          <w:b/>
          <w:bCs/>
          <w:sz w:val="22"/>
          <w:lang w:val="en-GB"/>
        </w:rPr>
        <w:t>When valuing liquid assets, a market stress must be assumed.</w:t>
      </w:r>
      <w:r w:rsidRPr="00031298">
        <w:rPr>
          <w:sz w:val="22"/>
          <w:lang w:val="en-GB"/>
        </w:rPr>
        <w:t xml:space="preserve"> The </w:t>
      </w:r>
      <w:r w:rsidR="00D5152F">
        <w:rPr>
          <w:sz w:val="22"/>
          <w:lang w:val="en-GB"/>
        </w:rPr>
        <w:t>unencumbered</w:t>
      </w:r>
      <w:r w:rsidR="00D5152F" w:rsidRPr="00031298">
        <w:rPr>
          <w:sz w:val="22"/>
          <w:lang w:val="en-GB"/>
        </w:rPr>
        <w:t xml:space="preserve"> </w:t>
      </w:r>
      <w:r w:rsidR="00D5152F">
        <w:rPr>
          <w:sz w:val="22"/>
          <w:lang w:val="en-GB"/>
        </w:rPr>
        <w:t>assets</w:t>
      </w:r>
      <w:r w:rsidR="00D5152F" w:rsidRPr="00031298">
        <w:rPr>
          <w:sz w:val="22"/>
          <w:lang w:val="en-GB"/>
        </w:rPr>
        <w:t xml:space="preserve"> </w:t>
      </w:r>
      <w:r w:rsidRPr="00031298">
        <w:rPr>
          <w:sz w:val="22"/>
          <w:lang w:val="en-GB"/>
        </w:rPr>
        <w:t xml:space="preserve">must be </w:t>
      </w:r>
      <w:proofErr w:type="gramStart"/>
      <w:r w:rsidRPr="00031298">
        <w:rPr>
          <w:sz w:val="22"/>
          <w:lang w:val="en-GB"/>
        </w:rPr>
        <w:t>taken into account</w:t>
      </w:r>
      <w:proofErr w:type="gramEnd"/>
      <w:r w:rsidRPr="00031298">
        <w:rPr>
          <w:sz w:val="22"/>
          <w:lang w:val="en-GB"/>
        </w:rPr>
        <w:t xml:space="preserve"> at stressed acceptance values. The haircut values for stressed acceptance values are contained in Tables 1–3. In the case of </w:t>
      </w:r>
      <w:r w:rsidR="00D5152F">
        <w:rPr>
          <w:sz w:val="22"/>
          <w:lang w:val="en-GB"/>
        </w:rPr>
        <w:t>mobilized</w:t>
      </w:r>
      <w:r w:rsidR="00D5152F" w:rsidRPr="00031298">
        <w:rPr>
          <w:sz w:val="22"/>
          <w:lang w:val="en-GB"/>
        </w:rPr>
        <w:t xml:space="preserve"> </w:t>
      </w:r>
      <w:r w:rsidRPr="00031298">
        <w:rPr>
          <w:sz w:val="22"/>
          <w:lang w:val="en-GB"/>
        </w:rPr>
        <w:t xml:space="preserve">and encumbered </w:t>
      </w:r>
      <w:r w:rsidR="00D5152F">
        <w:rPr>
          <w:sz w:val="22"/>
          <w:lang w:val="en-GB"/>
        </w:rPr>
        <w:t>assets</w:t>
      </w:r>
      <w:r w:rsidRPr="00031298">
        <w:rPr>
          <w:sz w:val="22"/>
          <w:lang w:val="en-GB"/>
        </w:rPr>
        <w:t xml:space="preserve">, additional liquidity </w:t>
      </w:r>
      <w:r w:rsidR="00D5152F">
        <w:rPr>
          <w:sz w:val="22"/>
          <w:lang w:val="en-GB"/>
        </w:rPr>
        <w:t>requirement</w:t>
      </w:r>
      <w:r w:rsidR="00D5152F" w:rsidRPr="00031298">
        <w:rPr>
          <w:sz w:val="22"/>
          <w:lang w:val="en-GB"/>
        </w:rPr>
        <w:t xml:space="preserve"> </w:t>
      </w:r>
      <w:r w:rsidRPr="00031298">
        <w:rPr>
          <w:sz w:val="22"/>
          <w:lang w:val="en-GB"/>
        </w:rPr>
        <w:t xml:space="preserve">must be assumed due to the expected devaluation of </w:t>
      </w:r>
      <w:r w:rsidR="00D5152F">
        <w:rPr>
          <w:sz w:val="22"/>
          <w:lang w:val="en-GB"/>
        </w:rPr>
        <w:t>mobilized</w:t>
      </w:r>
      <w:r w:rsidR="00D5152F" w:rsidRPr="00031298">
        <w:rPr>
          <w:sz w:val="22"/>
          <w:lang w:val="en-GB"/>
        </w:rPr>
        <w:t xml:space="preserve"> </w:t>
      </w:r>
      <w:r w:rsidR="00D5152F">
        <w:rPr>
          <w:sz w:val="22"/>
          <w:lang w:val="en-GB"/>
        </w:rPr>
        <w:t>assets</w:t>
      </w:r>
      <w:r w:rsidRPr="00031298">
        <w:rPr>
          <w:sz w:val="22"/>
          <w:lang w:val="en-GB"/>
        </w:rPr>
        <w:t xml:space="preserve">, which shall be quantified as the difference between the normal acceptance value and the stressed acceptance value. The unencumbered </w:t>
      </w:r>
      <w:r w:rsidR="00D5152F">
        <w:rPr>
          <w:sz w:val="22"/>
          <w:lang w:val="en-GB"/>
        </w:rPr>
        <w:t>part</w:t>
      </w:r>
      <w:r w:rsidR="00D5152F" w:rsidRPr="00031298">
        <w:rPr>
          <w:sz w:val="22"/>
          <w:lang w:val="en-GB"/>
        </w:rPr>
        <w:t xml:space="preserve"> </w:t>
      </w:r>
      <w:r w:rsidRPr="00031298">
        <w:rPr>
          <w:sz w:val="22"/>
          <w:lang w:val="en-GB"/>
        </w:rPr>
        <w:t xml:space="preserve">of the </w:t>
      </w:r>
      <w:r w:rsidR="00D5152F">
        <w:rPr>
          <w:sz w:val="22"/>
          <w:lang w:val="en-GB"/>
        </w:rPr>
        <w:t>mobilized assets</w:t>
      </w:r>
      <w:r w:rsidRPr="00031298">
        <w:rPr>
          <w:sz w:val="22"/>
          <w:lang w:val="en-GB"/>
        </w:rPr>
        <w:t xml:space="preserve"> may be </w:t>
      </w:r>
      <w:proofErr w:type="gramStart"/>
      <w:r w:rsidRPr="00031298">
        <w:rPr>
          <w:sz w:val="22"/>
          <w:lang w:val="en-GB"/>
        </w:rPr>
        <w:t>taken into account</w:t>
      </w:r>
      <w:proofErr w:type="gramEnd"/>
      <w:r w:rsidRPr="00031298">
        <w:rPr>
          <w:sz w:val="22"/>
          <w:lang w:val="en-GB"/>
        </w:rPr>
        <w:t xml:space="preserve"> at the stressed acceptance value (similar to the </w:t>
      </w:r>
      <w:r w:rsidR="000D37FD">
        <w:rPr>
          <w:sz w:val="22"/>
          <w:lang w:val="en-GB"/>
        </w:rPr>
        <w:t>unencumbered assets</w:t>
      </w:r>
      <w:r w:rsidRPr="00031298">
        <w:rPr>
          <w:sz w:val="22"/>
          <w:lang w:val="en-GB"/>
        </w:rPr>
        <w:t>).</w:t>
      </w:r>
    </w:p>
    <w:p w14:paraId="3F60CC11" w14:textId="2155C8DF" w:rsidR="00281CDA" w:rsidRPr="00031298" w:rsidRDefault="00281CDA" w:rsidP="00002C97">
      <w:pPr>
        <w:rPr>
          <w:sz w:val="22"/>
          <w:lang w:val="en-GB"/>
        </w:rPr>
      </w:pPr>
      <w:r w:rsidRPr="00031298">
        <w:rPr>
          <w:sz w:val="22"/>
          <w:lang w:val="en-GB"/>
        </w:rPr>
        <w:t xml:space="preserve">For Level 1 assets that are not accepted by the MNB but are </w:t>
      </w:r>
      <w:proofErr w:type="spellStart"/>
      <w:r w:rsidRPr="00031298">
        <w:rPr>
          <w:sz w:val="22"/>
          <w:lang w:val="en-GB"/>
        </w:rPr>
        <w:t>LCR</w:t>
      </w:r>
      <w:proofErr w:type="spellEnd"/>
      <w:r w:rsidRPr="00031298">
        <w:rPr>
          <w:sz w:val="22"/>
          <w:lang w:val="en-GB"/>
        </w:rPr>
        <w:t xml:space="preserve">-eligible, stressed haircuts according to class L4 in Table 1 shall be applied. For assets below Level 1, the haircut rates according to the </w:t>
      </w:r>
      <w:proofErr w:type="spellStart"/>
      <w:r w:rsidRPr="00031298">
        <w:rPr>
          <w:sz w:val="22"/>
          <w:lang w:val="en-GB"/>
        </w:rPr>
        <w:t>LCR</w:t>
      </w:r>
      <w:proofErr w:type="spellEnd"/>
      <w:r w:rsidRPr="00031298">
        <w:rPr>
          <w:sz w:val="22"/>
          <w:lang w:val="en-GB"/>
        </w:rPr>
        <w:t xml:space="preserve"> shall be </w:t>
      </w:r>
      <w:proofErr w:type="gramStart"/>
      <w:r w:rsidRPr="00031298">
        <w:rPr>
          <w:sz w:val="22"/>
          <w:lang w:val="en-GB"/>
        </w:rPr>
        <w:t>taken into account</w:t>
      </w:r>
      <w:proofErr w:type="gramEnd"/>
      <w:r w:rsidRPr="00031298">
        <w:rPr>
          <w:sz w:val="22"/>
          <w:lang w:val="en-GB"/>
        </w:rPr>
        <w:t xml:space="preserve">; therefore, further stressing of the </w:t>
      </w:r>
      <w:proofErr w:type="spellStart"/>
      <w:r w:rsidRPr="00031298">
        <w:rPr>
          <w:sz w:val="22"/>
          <w:lang w:val="en-GB"/>
        </w:rPr>
        <w:t>LCR</w:t>
      </w:r>
      <w:proofErr w:type="spellEnd"/>
      <w:r w:rsidRPr="00031298">
        <w:rPr>
          <w:sz w:val="22"/>
          <w:lang w:val="en-GB"/>
        </w:rPr>
        <w:t xml:space="preserve"> values is not necessary in this case. An exception to the above </w:t>
      </w:r>
      <w:proofErr w:type="gramStart"/>
      <w:r w:rsidRPr="00031298">
        <w:rPr>
          <w:sz w:val="22"/>
          <w:lang w:val="en-GB"/>
        </w:rPr>
        <w:t>are</w:t>
      </w:r>
      <w:proofErr w:type="gramEnd"/>
      <w:r w:rsidRPr="00031298">
        <w:rPr>
          <w:sz w:val="22"/>
          <w:lang w:val="en-GB"/>
        </w:rPr>
        <w:t xml:space="preserve"> foreign government securities, where a distinction must be made between issuers with </w:t>
      </w:r>
      <w:r w:rsidR="003E5A06">
        <w:rPr>
          <w:sz w:val="22"/>
          <w:lang w:val="en-GB"/>
        </w:rPr>
        <w:t xml:space="preserve">investment-grade and non-investment-grade </w:t>
      </w:r>
      <w:r w:rsidRPr="00031298">
        <w:rPr>
          <w:sz w:val="22"/>
          <w:lang w:val="en-GB"/>
        </w:rPr>
        <w:t>sovereign credit rating following a one credit quality step (</w:t>
      </w:r>
      <w:proofErr w:type="spellStart"/>
      <w:r w:rsidRPr="00031298">
        <w:rPr>
          <w:sz w:val="22"/>
          <w:lang w:val="en-GB"/>
        </w:rPr>
        <w:t>CQS</w:t>
      </w:r>
      <w:proofErr w:type="spellEnd"/>
      <w:r w:rsidRPr="00031298">
        <w:rPr>
          <w:sz w:val="22"/>
          <w:lang w:val="en-GB"/>
        </w:rPr>
        <w:t>) downgrade. In the former case, the haircut according to asset class L1 (L4 in the case of variable interest rates) in Table 1 shall be applied, while in the latter case, the haircut according to Table 3 shall be applied.</w:t>
      </w:r>
      <w:r w:rsidRPr="00031298">
        <w:rPr>
          <w:rStyle w:val="Lbjegyzet-hivatkozs"/>
          <w:sz w:val="22"/>
          <w:lang w:val="en-GB"/>
        </w:rPr>
        <w:footnoteReference w:id="2"/>
      </w:r>
    </w:p>
    <w:p w14:paraId="0A249126" w14:textId="0B8C8B77" w:rsidR="00F0443A" w:rsidRPr="00031298" w:rsidRDefault="00F657AD" w:rsidP="00002C97">
      <w:pPr>
        <w:rPr>
          <w:sz w:val="22"/>
          <w:lang w:val="en-GB"/>
        </w:rPr>
      </w:pPr>
      <w:r w:rsidRPr="00031298">
        <w:rPr>
          <w:sz w:val="22"/>
          <w:lang w:val="en-GB"/>
        </w:rPr>
        <w:t xml:space="preserve">When determining haircuts, the </w:t>
      </w:r>
      <w:proofErr w:type="spellStart"/>
      <w:r w:rsidRPr="00031298">
        <w:rPr>
          <w:sz w:val="22"/>
          <w:lang w:val="en-GB"/>
        </w:rPr>
        <w:t>MNB’s</w:t>
      </w:r>
      <w:proofErr w:type="spellEnd"/>
      <w:r w:rsidRPr="00031298">
        <w:rPr>
          <w:sz w:val="22"/>
          <w:lang w:val="en-GB"/>
        </w:rPr>
        <w:t xml:space="preserve"> practice of applying an additional haircut of 1 percentage point in the case of denominations other than euro and forint shall be taken into account. No revaluation shall be calculated for negative balances arising from repo transactions. If the haircut rate determined in accordance with the </w:t>
      </w:r>
      <w:proofErr w:type="spellStart"/>
      <w:r w:rsidRPr="00031298">
        <w:rPr>
          <w:sz w:val="22"/>
          <w:lang w:val="en-GB"/>
        </w:rPr>
        <w:t>FLST</w:t>
      </w:r>
      <w:proofErr w:type="spellEnd"/>
      <w:r w:rsidRPr="00031298">
        <w:rPr>
          <w:sz w:val="22"/>
          <w:lang w:val="en-GB"/>
        </w:rPr>
        <w:t xml:space="preserve"> based on the above rules is lower than the haircut rate based on the </w:t>
      </w:r>
      <w:proofErr w:type="spellStart"/>
      <w:r w:rsidRPr="00031298">
        <w:rPr>
          <w:sz w:val="22"/>
          <w:lang w:val="en-GB"/>
        </w:rPr>
        <w:t>LCR</w:t>
      </w:r>
      <w:proofErr w:type="spellEnd"/>
      <w:r w:rsidRPr="00031298">
        <w:rPr>
          <w:sz w:val="22"/>
          <w:lang w:val="en-GB"/>
        </w:rPr>
        <w:t xml:space="preserve">, the haircut rate based on the </w:t>
      </w:r>
      <w:proofErr w:type="spellStart"/>
      <w:r w:rsidRPr="00031298">
        <w:rPr>
          <w:sz w:val="22"/>
          <w:lang w:val="en-GB"/>
        </w:rPr>
        <w:t>LCR</w:t>
      </w:r>
      <w:proofErr w:type="spellEnd"/>
      <w:r w:rsidRPr="00031298">
        <w:rPr>
          <w:sz w:val="22"/>
          <w:lang w:val="en-GB"/>
        </w:rPr>
        <w:t xml:space="preserve"> shall be taken into account as a floor in the calculations.</w:t>
      </w:r>
    </w:p>
    <w:p w14:paraId="37E10D69" w14:textId="15DB1C72" w:rsidR="00002C97" w:rsidRPr="00031298" w:rsidRDefault="00002C97" w:rsidP="00002C97">
      <w:pPr>
        <w:pStyle w:val="Kpalrs"/>
        <w:keepNext/>
        <w:jc w:val="center"/>
        <w:rPr>
          <w:color w:val="auto"/>
          <w:sz w:val="22"/>
          <w:lang w:val="en-GB"/>
        </w:rPr>
      </w:pPr>
      <w:r w:rsidRPr="00031298">
        <w:rPr>
          <w:color w:val="auto"/>
          <w:sz w:val="22"/>
          <w:lang w:val="en-GB"/>
        </w:rPr>
        <w:t>Table 1: Stressed haircut table</w:t>
      </w:r>
    </w:p>
    <w:tbl>
      <w:tblPr>
        <w:tblW w:w="10327" w:type="dxa"/>
        <w:jc w:val="center"/>
        <w:tblCellMar>
          <w:left w:w="70" w:type="dxa"/>
          <w:right w:w="70" w:type="dxa"/>
        </w:tblCellMar>
        <w:tblLook w:val="04A0" w:firstRow="1" w:lastRow="0" w:firstColumn="1" w:lastColumn="0" w:noHBand="0" w:noVBand="1"/>
      </w:tblPr>
      <w:tblGrid>
        <w:gridCol w:w="704"/>
        <w:gridCol w:w="489"/>
        <w:gridCol w:w="504"/>
        <w:gridCol w:w="489"/>
        <w:gridCol w:w="489"/>
        <w:gridCol w:w="442"/>
        <w:gridCol w:w="489"/>
        <w:gridCol w:w="489"/>
        <w:gridCol w:w="441"/>
        <w:gridCol w:w="489"/>
        <w:gridCol w:w="489"/>
        <w:gridCol w:w="418"/>
        <w:gridCol w:w="489"/>
        <w:gridCol w:w="489"/>
        <w:gridCol w:w="489"/>
        <w:gridCol w:w="489"/>
        <w:gridCol w:w="489"/>
        <w:gridCol w:w="489"/>
        <w:gridCol w:w="499"/>
        <w:gridCol w:w="489"/>
        <w:gridCol w:w="489"/>
      </w:tblGrid>
      <w:tr w:rsidR="0067086E" w:rsidRPr="00031298" w14:paraId="2A25FECE" w14:textId="77777777" w:rsidTr="0067086E">
        <w:trPr>
          <w:trHeight w:val="19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73E467B5"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Maturity (years)</w:t>
            </w:r>
          </w:p>
        </w:tc>
        <w:tc>
          <w:tcPr>
            <w:tcW w:w="99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1C6B90F4"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L1</w:t>
            </w:r>
          </w:p>
        </w:tc>
        <w:tc>
          <w:tcPr>
            <w:tcW w:w="1418"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5A4A067"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L2</w:t>
            </w:r>
          </w:p>
        </w:tc>
        <w:tc>
          <w:tcPr>
            <w:tcW w:w="1417"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77AA7F5C"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L3</w:t>
            </w:r>
          </w:p>
        </w:tc>
        <w:tc>
          <w:tcPr>
            <w:tcW w:w="13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2E4D47F"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L4</w:t>
            </w:r>
          </w:p>
        </w:tc>
        <w:tc>
          <w:tcPr>
            <w:tcW w:w="4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B8F183"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L5</w:t>
            </w:r>
          </w:p>
        </w:tc>
        <w:tc>
          <w:tcPr>
            <w:tcW w:w="1464"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75162593"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L6</w:t>
            </w:r>
          </w:p>
        </w:tc>
        <w:tc>
          <w:tcPr>
            <w:tcW w:w="1475"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DAC6353"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L7</w:t>
            </w:r>
          </w:p>
        </w:tc>
        <w:tc>
          <w:tcPr>
            <w:tcW w:w="4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6B48CA"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L8</w:t>
            </w:r>
          </w:p>
        </w:tc>
        <w:tc>
          <w:tcPr>
            <w:tcW w:w="4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D41491"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L9</w:t>
            </w:r>
          </w:p>
        </w:tc>
      </w:tr>
      <w:tr w:rsidR="0067086E" w:rsidRPr="00031298" w14:paraId="49109965" w14:textId="77777777" w:rsidTr="0067086E">
        <w:trPr>
          <w:trHeight w:val="19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EACEFB1" w14:textId="77777777" w:rsidR="00266B17" w:rsidRPr="00031298" w:rsidRDefault="00266B17" w:rsidP="00266B17">
            <w:pPr>
              <w:spacing w:after="0" w:line="240" w:lineRule="auto"/>
              <w:rPr>
                <w:rFonts w:eastAsia="Times New Roman" w:cs="Calibri"/>
                <w:color w:val="000000"/>
                <w:sz w:val="14"/>
                <w:szCs w:val="14"/>
                <w:lang w:val="en-GB"/>
              </w:rPr>
            </w:pPr>
          </w:p>
        </w:tc>
        <w:tc>
          <w:tcPr>
            <w:tcW w:w="488" w:type="dxa"/>
            <w:tcBorders>
              <w:top w:val="nil"/>
              <w:left w:val="nil"/>
              <w:bottom w:val="single" w:sz="4" w:space="0" w:color="auto"/>
              <w:right w:val="single" w:sz="4" w:space="0" w:color="auto"/>
            </w:tcBorders>
            <w:shd w:val="clear" w:color="000000" w:fill="D9D9D9"/>
            <w:noWrap/>
            <w:vAlign w:val="center"/>
            <w:hideMark/>
          </w:tcPr>
          <w:p w14:paraId="1B741E63"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504" w:type="dxa"/>
            <w:tcBorders>
              <w:top w:val="nil"/>
              <w:left w:val="nil"/>
              <w:bottom w:val="single" w:sz="4" w:space="0" w:color="auto"/>
              <w:right w:val="single" w:sz="4" w:space="0" w:color="auto"/>
            </w:tcBorders>
            <w:shd w:val="clear" w:color="000000" w:fill="D9D9D9"/>
            <w:noWrap/>
            <w:vAlign w:val="center"/>
            <w:hideMark/>
          </w:tcPr>
          <w:p w14:paraId="50BE8193"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88" w:type="dxa"/>
            <w:tcBorders>
              <w:top w:val="nil"/>
              <w:left w:val="nil"/>
              <w:bottom w:val="single" w:sz="4" w:space="0" w:color="auto"/>
              <w:right w:val="single" w:sz="4" w:space="0" w:color="auto"/>
            </w:tcBorders>
            <w:shd w:val="clear" w:color="000000" w:fill="D9D9D9"/>
            <w:noWrap/>
            <w:vAlign w:val="center"/>
            <w:hideMark/>
          </w:tcPr>
          <w:p w14:paraId="377DB46D"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6C7F9322"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42" w:type="dxa"/>
            <w:tcBorders>
              <w:top w:val="nil"/>
              <w:left w:val="nil"/>
              <w:bottom w:val="single" w:sz="4" w:space="0" w:color="auto"/>
              <w:right w:val="single" w:sz="4" w:space="0" w:color="auto"/>
            </w:tcBorders>
            <w:shd w:val="clear" w:color="000000" w:fill="D9D9D9"/>
            <w:noWrap/>
            <w:vAlign w:val="center"/>
            <w:hideMark/>
          </w:tcPr>
          <w:p w14:paraId="753C81E0"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tcBorders>
              <w:top w:val="nil"/>
              <w:left w:val="nil"/>
              <w:bottom w:val="single" w:sz="4" w:space="0" w:color="auto"/>
              <w:right w:val="single" w:sz="4" w:space="0" w:color="auto"/>
            </w:tcBorders>
            <w:shd w:val="clear" w:color="000000" w:fill="D9D9D9"/>
            <w:noWrap/>
            <w:vAlign w:val="center"/>
            <w:hideMark/>
          </w:tcPr>
          <w:p w14:paraId="2D4F5866"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57FF1BCB"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41" w:type="dxa"/>
            <w:tcBorders>
              <w:top w:val="nil"/>
              <w:left w:val="nil"/>
              <w:bottom w:val="single" w:sz="4" w:space="0" w:color="auto"/>
              <w:right w:val="single" w:sz="4" w:space="0" w:color="auto"/>
            </w:tcBorders>
            <w:shd w:val="clear" w:color="000000" w:fill="D9D9D9"/>
            <w:noWrap/>
            <w:vAlign w:val="center"/>
            <w:hideMark/>
          </w:tcPr>
          <w:p w14:paraId="70DA134F"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tcBorders>
              <w:top w:val="nil"/>
              <w:left w:val="nil"/>
              <w:bottom w:val="single" w:sz="4" w:space="0" w:color="auto"/>
              <w:right w:val="single" w:sz="4" w:space="0" w:color="auto"/>
            </w:tcBorders>
            <w:shd w:val="clear" w:color="000000" w:fill="D9D9D9"/>
            <w:noWrap/>
            <w:vAlign w:val="center"/>
            <w:hideMark/>
          </w:tcPr>
          <w:p w14:paraId="7923B25C"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697E6C94"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17" w:type="dxa"/>
            <w:tcBorders>
              <w:top w:val="nil"/>
              <w:left w:val="nil"/>
              <w:bottom w:val="single" w:sz="4" w:space="0" w:color="auto"/>
              <w:right w:val="single" w:sz="4" w:space="0" w:color="auto"/>
            </w:tcBorders>
            <w:shd w:val="clear" w:color="000000" w:fill="D9D9D9"/>
            <w:noWrap/>
            <w:vAlign w:val="center"/>
            <w:hideMark/>
          </w:tcPr>
          <w:p w14:paraId="32185F08"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vMerge/>
            <w:tcBorders>
              <w:top w:val="single" w:sz="4" w:space="0" w:color="auto"/>
              <w:left w:val="single" w:sz="4" w:space="0" w:color="auto"/>
              <w:bottom w:val="single" w:sz="4" w:space="0" w:color="auto"/>
              <w:right w:val="single" w:sz="4" w:space="0" w:color="auto"/>
            </w:tcBorders>
            <w:vAlign w:val="center"/>
            <w:hideMark/>
          </w:tcPr>
          <w:p w14:paraId="6C0273A5" w14:textId="77777777" w:rsidR="00266B17" w:rsidRPr="00031298" w:rsidRDefault="00266B17" w:rsidP="00266B17">
            <w:pPr>
              <w:spacing w:after="0" w:line="240" w:lineRule="auto"/>
              <w:rPr>
                <w:rFonts w:eastAsia="Times New Roman" w:cs="Calibri"/>
                <w:color w:val="000000"/>
                <w:sz w:val="14"/>
                <w:szCs w:val="14"/>
                <w:lang w:val="en-GB"/>
              </w:rPr>
            </w:pPr>
          </w:p>
        </w:tc>
        <w:tc>
          <w:tcPr>
            <w:tcW w:w="488" w:type="dxa"/>
            <w:tcBorders>
              <w:top w:val="nil"/>
              <w:left w:val="nil"/>
              <w:bottom w:val="single" w:sz="4" w:space="0" w:color="auto"/>
              <w:right w:val="single" w:sz="4" w:space="0" w:color="auto"/>
            </w:tcBorders>
            <w:shd w:val="clear" w:color="000000" w:fill="D9D9D9"/>
            <w:noWrap/>
            <w:vAlign w:val="center"/>
            <w:hideMark/>
          </w:tcPr>
          <w:p w14:paraId="351B748F"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79534FE9"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88" w:type="dxa"/>
            <w:tcBorders>
              <w:top w:val="nil"/>
              <w:left w:val="nil"/>
              <w:bottom w:val="single" w:sz="4" w:space="0" w:color="auto"/>
              <w:right w:val="single" w:sz="4" w:space="0" w:color="auto"/>
            </w:tcBorders>
            <w:shd w:val="clear" w:color="000000" w:fill="D9D9D9"/>
            <w:noWrap/>
            <w:vAlign w:val="center"/>
            <w:hideMark/>
          </w:tcPr>
          <w:p w14:paraId="0C2DA62B"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tcBorders>
              <w:top w:val="nil"/>
              <w:left w:val="nil"/>
              <w:bottom w:val="single" w:sz="4" w:space="0" w:color="auto"/>
              <w:right w:val="single" w:sz="4" w:space="0" w:color="auto"/>
            </w:tcBorders>
            <w:shd w:val="clear" w:color="000000" w:fill="D9D9D9"/>
            <w:noWrap/>
            <w:vAlign w:val="center"/>
            <w:hideMark/>
          </w:tcPr>
          <w:p w14:paraId="4E4C714C"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65A35ADB"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99" w:type="dxa"/>
            <w:tcBorders>
              <w:top w:val="nil"/>
              <w:left w:val="nil"/>
              <w:bottom w:val="single" w:sz="4" w:space="0" w:color="auto"/>
              <w:right w:val="single" w:sz="4" w:space="0" w:color="auto"/>
            </w:tcBorders>
            <w:shd w:val="clear" w:color="000000" w:fill="D9D9D9"/>
            <w:noWrap/>
            <w:vAlign w:val="center"/>
            <w:hideMark/>
          </w:tcPr>
          <w:p w14:paraId="46E17320" w14:textId="77777777" w:rsidR="00266B17" w:rsidRPr="00031298" w:rsidRDefault="00266B17" w:rsidP="00266B17">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vMerge/>
            <w:tcBorders>
              <w:top w:val="single" w:sz="4" w:space="0" w:color="auto"/>
              <w:left w:val="single" w:sz="4" w:space="0" w:color="auto"/>
              <w:bottom w:val="single" w:sz="4" w:space="0" w:color="auto"/>
              <w:right w:val="single" w:sz="4" w:space="0" w:color="auto"/>
            </w:tcBorders>
            <w:vAlign w:val="center"/>
            <w:hideMark/>
          </w:tcPr>
          <w:p w14:paraId="520A7E39" w14:textId="77777777" w:rsidR="00266B17" w:rsidRPr="00031298" w:rsidRDefault="00266B17" w:rsidP="00266B17">
            <w:pPr>
              <w:spacing w:after="0" w:line="240" w:lineRule="auto"/>
              <w:rPr>
                <w:rFonts w:eastAsia="Times New Roman" w:cs="Calibri"/>
                <w:color w:val="000000"/>
                <w:sz w:val="14"/>
                <w:szCs w:val="14"/>
                <w:lang w:val="en-GB"/>
              </w:rPr>
            </w:pPr>
          </w:p>
        </w:tc>
        <w:tc>
          <w:tcPr>
            <w:tcW w:w="488" w:type="dxa"/>
            <w:vMerge/>
            <w:tcBorders>
              <w:top w:val="single" w:sz="4" w:space="0" w:color="auto"/>
              <w:left w:val="single" w:sz="4" w:space="0" w:color="auto"/>
              <w:bottom w:val="single" w:sz="4" w:space="0" w:color="auto"/>
              <w:right w:val="single" w:sz="4" w:space="0" w:color="auto"/>
            </w:tcBorders>
            <w:vAlign w:val="center"/>
            <w:hideMark/>
          </w:tcPr>
          <w:p w14:paraId="77992440" w14:textId="77777777" w:rsidR="00266B17" w:rsidRPr="00031298" w:rsidRDefault="00266B17" w:rsidP="00266B17">
            <w:pPr>
              <w:spacing w:after="0" w:line="240" w:lineRule="auto"/>
              <w:rPr>
                <w:rFonts w:eastAsia="Times New Roman" w:cs="Calibri"/>
                <w:color w:val="000000"/>
                <w:sz w:val="14"/>
                <w:szCs w:val="14"/>
                <w:lang w:val="en-GB"/>
              </w:rPr>
            </w:pPr>
          </w:p>
        </w:tc>
      </w:tr>
      <w:tr w:rsidR="0067086E" w:rsidRPr="00031298" w14:paraId="6E69DB1C" w14:textId="77777777" w:rsidTr="0067086E">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1CD99222" w14:textId="77777777" w:rsidR="00266B17" w:rsidRPr="00031298" w:rsidRDefault="00266B17" w:rsidP="00266B17">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0–0.5</w:t>
            </w:r>
          </w:p>
        </w:tc>
        <w:tc>
          <w:tcPr>
            <w:tcW w:w="488" w:type="dxa"/>
            <w:tcBorders>
              <w:top w:val="nil"/>
              <w:left w:val="nil"/>
              <w:bottom w:val="single" w:sz="4" w:space="0" w:color="auto"/>
              <w:right w:val="single" w:sz="4" w:space="0" w:color="auto"/>
            </w:tcBorders>
            <w:noWrap/>
            <w:vAlign w:val="bottom"/>
            <w:hideMark/>
          </w:tcPr>
          <w:p w14:paraId="61C7DF0B"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w:t>
            </w:r>
          </w:p>
        </w:tc>
        <w:tc>
          <w:tcPr>
            <w:tcW w:w="504" w:type="dxa"/>
            <w:tcBorders>
              <w:top w:val="nil"/>
              <w:left w:val="nil"/>
              <w:bottom w:val="single" w:sz="4" w:space="0" w:color="auto"/>
              <w:right w:val="single" w:sz="4" w:space="0" w:color="auto"/>
            </w:tcBorders>
            <w:noWrap/>
            <w:vAlign w:val="bottom"/>
            <w:hideMark/>
          </w:tcPr>
          <w:p w14:paraId="4BC487C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w:t>
            </w:r>
          </w:p>
        </w:tc>
        <w:tc>
          <w:tcPr>
            <w:tcW w:w="488" w:type="dxa"/>
            <w:tcBorders>
              <w:top w:val="nil"/>
              <w:left w:val="nil"/>
              <w:bottom w:val="single" w:sz="4" w:space="0" w:color="auto"/>
              <w:right w:val="single" w:sz="4" w:space="0" w:color="auto"/>
            </w:tcBorders>
            <w:noWrap/>
            <w:vAlign w:val="bottom"/>
            <w:hideMark/>
          </w:tcPr>
          <w:p w14:paraId="4D99D4E1"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2.9%</w:t>
            </w:r>
          </w:p>
        </w:tc>
        <w:tc>
          <w:tcPr>
            <w:tcW w:w="488" w:type="dxa"/>
            <w:tcBorders>
              <w:top w:val="nil"/>
              <w:left w:val="nil"/>
              <w:bottom w:val="single" w:sz="4" w:space="0" w:color="auto"/>
              <w:right w:val="single" w:sz="4" w:space="0" w:color="auto"/>
            </w:tcBorders>
            <w:noWrap/>
            <w:vAlign w:val="bottom"/>
            <w:hideMark/>
          </w:tcPr>
          <w:p w14:paraId="218891AF"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2.9%</w:t>
            </w:r>
          </w:p>
        </w:tc>
        <w:tc>
          <w:tcPr>
            <w:tcW w:w="442" w:type="dxa"/>
            <w:tcBorders>
              <w:top w:val="nil"/>
              <w:left w:val="nil"/>
              <w:bottom w:val="single" w:sz="4" w:space="0" w:color="auto"/>
              <w:right w:val="single" w:sz="4" w:space="0" w:color="auto"/>
            </w:tcBorders>
            <w:noWrap/>
            <w:vAlign w:val="bottom"/>
            <w:hideMark/>
          </w:tcPr>
          <w:p w14:paraId="0F49A72A"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179EBFC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3.4%</w:t>
            </w:r>
          </w:p>
        </w:tc>
        <w:tc>
          <w:tcPr>
            <w:tcW w:w="488" w:type="dxa"/>
            <w:tcBorders>
              <w:top w:val="nil"/>
              <w:left w:val="nil"/>
              <w:bottom w:val="single" w:sz="4" w:space="0" w:color="auto"/>
              <w:right w:val="single" w:sz="4" w:space="0" w:color="auto"/>
            </w:tcBorders>
            <w:noWrap/>
            <w:vAlign w:val="bottom"/>
            <w:hideMark/>
          </w:tcPr>
          <w:p w14:paraId="402F7CF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3.4%</w:t>
            </w:r>
          </w:p>
        </w:tc>
        <w:tc>
          <w:tcPr>
            <w:tcW w:w="441" w:type="dxa"/>
            <w:tcBorders>
              <w:top w:val="nil"/>
              <w:left w:val="nil"/>
              <w:bottom w:val="single" w:sz="4" w:space="0" w:color="auto"/>
              <w:right w:val="single" w:sz="4" w:space="0" w:color="auto"/>
            </w:tcBorders>
            <w:noWrap/>
            <w:vAlign w:val="bottom"/>
            <w:hideMark/>
          </w:tcPr>
          <w:p w14:paraId="78D9395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407987E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2.9%</w:t>
            </w:r>
          </w:p>
        </w:tc>
        <w:tc>
          <w:tcPr>
            <w:tcW w:w="488" w:type="dxa"/>
            <w:tcBorders>
              <w:top w:val="nil"/>
              <w:left w:val="nil"/>
              <w:bottom w:val="single" w:sz="4" w:space="0" w:color="auto"/>
              <w:right w:val="single" w:sz="4" w:space="0" w:color="auto"/>
            </w:tcBorders>
            <w:noWrap/>
            <w:vAlign w:val="bottom"/>
            <w:hideMark/>
          </w:tcPr>
          <w:p w14:paraId="115EDBD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2.9%</w:t>
            </w:r>
          </w:p>
        </w:tc>
        <w:tc>
          <w:tcPr>
            <w:tcW w:w="417" w:type="dxa"/>
            <w:tcBorders>
              <w:top w:val="nil"/>
              <w:left w:val="nil"/>
              <w:bottom w:val="single" w:sz="4" w:space="0" w:color="auto"/>
              <w:right w:val="single" w:sz="4" w:space="0" w:color="auto"/>
            </w:tcBorders>
            <w:noWrap/>
            <w:vAlign w:val="bottom"/>
            <w:hideMark/>
          </w:tcPr>
          <w:p w14:paraId="7F23BE4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1947DCC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40.5%</w:t>
            </w:r>
          </w:p>
        </w:tc>
        <w:tc>
          <w:tcPr>
            <w:tcW w:w="488" w:type="dxa"/>
            <w:tcBorders>
              <w:top w:val="nil"/>
              <w:left w:val="nil"/>
              <w:bottom w:val="single" w:sz="4" w:space="0" w:color="auto"/>
              <w:right w:val="single" w:sz="4" w:space="0" w:color="auto"/>
            </w:tcBorders>
            <w:noWrap/>
            <w:vAlign w:val="bottom"/>
            <w:hideMark/>
          </w:tcPr>
          <w:p w14:paraId="74EE55B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6.8%</w:t>
            </w:r>
          </w:p>
        </w:tc>
        <w:tc>
          <w:tcPr>
            <w:tcW w:w="488" w:type="dxa"/>
            <w:tcBorders>
              <w:top w:val="nil"/>
              <w:left w:val="nil"/>
              <w:bottom w:val="single" w:sz="4" w:space="0" w:color="auto"/>
              <w:right w:val="single" w:sz="4" w:space="0" w:color="auto"/>
            </w:tcBorders>
            <w:noWrap/>
            <w:vAlign w:val="bottom"/>
            <w:hideMark/>
          </w:tcPr>
          <w:p w14:paraId="765A9AD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6.8%</w:t>
            </w:r>
          </w:p>
        </w:tc>
        <w:tc>
          <w:tcPr>
            <w:tcW w:w="488" w:type="dxa"/>
            <w:tcBorders>
              <w:top w:val="nil"/>
              <w:left w:val="nil"/>
              <w:bottom w:val="single" w:sz="4" w:space="0" w:color="auto"/>
              <w:right w:val="single" w:sz="4" w:space="0" w:color="auto"/>
            </w:tcBorders>
            <w:noWrap/>
            <w:vAlign w:val="bottom"/>
            <w:hideMark/>
          </w:tcPr>
          <w:p w14:paraId="0CF298F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6.8%</w:t>
            </w:r>
          </w:p>
        </w:tc>
        <w:tc>
          <w:tcPr>
            <w:tcW w:w="488" w:type="dxa"/>
            <w:tcBorders>
              <w:top w:val="nil"/>
              <w:left w:val="nil"/>
              <w:bottom w:val="single" w:sz="4" w:space="0" w:color="auto"/>
              <w:right w:val="single" w:sz="4" w:space="0" w:color="auto"/>
            </w:tcBorders>
            <w:noWrap/>
            <w:vAlign w:val="bottom"/>
            <w:hideMark/>
          </w:tcPr>
          <w:p w14:paraId="51E2655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6.8%</w:t>
            </w:r>
          </w:p>
        </w:tc>
        <w:tc>
          <w:tcPr>
            <w:tcW w:w="488" w:type="dxa"/>
            <w:tcBorders>
              <w:top w:val="nil"/>
              <w:left w:val="nil"/>
              <w:bottom w:val="single" w:sz="4" w:space="0" w:color="auto"/>
              <w:right w:val="single" w:sz="4" w:space="0" w:color="auto"/>
            </w:tcBorders>
            <w:noWrap/>
            <w:vAlign w:val="bottom"/>
            <w:hideMark/>
          </w:tcPr>
          <w:p w14:paraId="755683E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6.8%</w:t>
            </w:r>
          </w:p>
        </w:tc>
        <w:tc>
          <w:tcPr>
            <w:tcW w:w="499" w:type="dxa"/>
            <w:tcBorders>
              <w:top w:val="nil"/>
              <w:left w:val="nil"/>
              <w:bottom w:val="single" w:sz="4" w:space="0" w:color="auto"/>
              <w:right w:val="single" w:sz="4" w:space="0" w:color="auto"/>
            </w:tcBorders>
            <w:noWrap/>
            <w:vAlign w:val="bottom"/>
            <w:hideMark/>
          </w:tcPr>
          <w:p w14:paraId="130E67AC"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6.8%</w:t>
            </w:r>
          </w:p>
        </w:tc>
        <w:tc>
          <w:tcPr>
            <w:tcW w:w="488" w:type="dxa"/>
            <w:tcBorders>
              <w:top w:val="nil"/>
              <w:left w:val="nil"/>
              <w:bottom w:val="single" w:sz="4" w:space="0" w:color="auto"/>
              <w:right w:val="single" w:sz="4" w:space="0" w:color="auto"/>
            </w:tcBorders>
            <w:noWrap/>
            <w:vAlign w:val="bottom"/>
            <w:hideMark/>
          </w:tcPr>
          <w:p w14:paraId="2AABDA9F"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4.4%</w:t>
            </w:r>
          </w:p>
        </w:tc>
        <w:tc>
          <w:tcPr>
            <w:tcW w:w="488" w:type="dxa"/>
            <w:tcBorders>
              <w:top w:val="nil"/>
              <w:left w:val="nil"/>
              <w:bottom w:val="single" w:sz="4" w:space="0" w:color="auto"/>
              <w:right w:val="single" w:sz="4" w:space="0" w:color="auto"/>
            </w:tcBorders>
            <w:noWrap/>
            <w:vAlign w:val="bottom"/>
            <w:hideMark/>
          </w:tcPr>
          <w:p w14:paraId="1DEED4E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10.8%</w:t>
            </w:r>
          </w:p>
        </w:tc>
      </w:tr>
      <w:tr w:rsidR="0067086E" w:rsidRPr="00031298" w14:paraId="5BE65829" w14:textId="77777777" w:rsidTr="0067086E">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6E07A86C" w14:textId="77777777" w:rsidR="00266B17" w:rsidRPr="00031298" w:rsidRDefault="00266B17" w:rsidP="00266B17">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0.5–1</w:t>
            </w:r>
          </w:p>
        </w:tc>
        <w:tc>
          <w:tcPr>
            <w:tcW w:w="488" w:type="dxa"/>
            <w:tcBorders>
              <w:top w:val="nil"/>
              <w:left w:val="nil"/>
              <w:bottom w:val="single" w:sz="4" w:space="0" w:color="auto"/>
              <w:right w:val="single" w:sz="4" w:space="0" w:color="auto"/>
            </w:tcBorders>
            <w:noWrap/>
            <w:vAlign w:val="bottom"/>
            <w:hideMark/>
          </w:tcPr>
          <w:p w14:paraId="36D51CC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2.3%</w:t>
            </w:r>
          </w:p>
        </w:tc>
        <w:tc>
          <w:tcPr>
            <w:tcW w:w="504" w:type="dxa"/>
            <w:tcBorders>
              <w:top w:val="nil"/>
              <w:left w:val="nil"/>
              <w:bottom w:val="single" w:sz="4" w:space="0" w:color="auto"/>
              <w:right w:val="single" w:sz="4" w:space="0" w:color="auto"/>
            </w:tcBorders>
            <w:noWrap/>
            <w:vAlign w:val="bottom"/>
            <w:hideMark/>
          </w:tcPr>
          <w:p w14:paraId="28BD437A"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2.3%</w:t>
            </w:r>
          </w:p>
        </w:tc>
        <w:tc>
          <w:tcPr>
            <w:tcW w:w="488" w:type="dxa"/>
            <w:tcBorders>
              <w:top w:val="nil"/>
              <w:left w:val="nil"/>
              <w:bottom w:val="single" w:sz="4" w:space="0" w:color="auto"/>
              <w:right w:val="single" w:sz="4" w:space="0" w:color="auto"/>
            </w:tcBorders>
            <w:noWrap/>
            <w:vAlign w:val="bottom"/>
            <w:hideMark/>
          </w:tcPr>
          <w:p w14:paraId="7FD2629A"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451DB27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42" w:type="dxa"/>
            <w:tcBorders>
              <w:top w:val="nil"/>
              <w:left w:val="nil"/>
              <w:bottom w:val="single" w:sz="4" w:space="0" w:color="auto"/>
              <w:right w:val="single" w:sz="4" w:space="0" w:color="auto"/>
            </w:tcBorders>
            <w:noWrap/>
            <w:vAlign w:val="bottom"/>
            <w:hideMark/>
          </w:tcPr>
          <w:p w14:paraId="1F55720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2C05343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5EB1E7F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41" w:type="dxa"/>
            <w:tcBorders>
              <w:top w:val="nil"/>
              <w:left w:val="nil"/>
              <w:bottom w:val="single" w:sz="4" w:space="0" w:color="auto"/>
              <w:right w:val="single" w:sz="4" w:space="0" w:color="auto"/>
            </w:tcBorders>
            <w:noWrap/>
            <w:vAlign w:val="bottom"/>
            <w:hideMark/>
          </w:tcPr>
          <w:p w14:paraId="6A1DE15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175A1621"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760FB5D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17" w:type="dxa"/>
            <w:tcBorders>
              <w:top w:val="nil"/>
              <w:left w:val="nil"/>
              <w:bottom w:val="single" w:sz="4" w:space="0" w:color="auto"/>
              <w:right w:val="single" w:sz="4" w:space="0" w:color="auto"/>
            </w:tcBorders>
            <w:noWrap/>
            <w:vAlign w:val="bottom"/>
            <w:hideMark/>
          </w:tcPr>
          <w:p w14:paraId="53BF1E3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65F7179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40.5%</w:t>
            </w:r>
          </w:p>
        </w:tc>
        <w:tc>
          <w:tcPr>
            <w:tcW w:w="488" w:type="dxa"/>
            <w:tcBorders>
              <w:top w:val="nil"/>
              <w:left w:val="nil"/>
              <w:bottom w:val="single" w:sz="4" w:space="0" w:color="auto"/>
              <w:right w:val="single" w:sz="4" w:space="0" w:color="auto"/>
            </w:tcBorders>
            <w:noWrap/>
            <w:vAlign w:val="bottom"/>
            <w:hideMark/>
          </w:tcPr>
          <w:p w14:paraId="53510679"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88" w:type="dxa"/>
            <w:tcBorders>
              <w:top w:val="nil"/>
              <w:left w:val="nil"/>
              <w:bottom w:val="single" w:sz="4" w:space="0" w:color="auto"/>
              <w:right w:val="single" w:sz="4" w:space="0" w:color="auto"/>
            </w:tcBorders>
            <w:noWrap/>
            <w:vAlign w:val="bottom"/>
            <w:hideMark/>
          </w:tcPr>
          <w:p w14:paraId="66722B25"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88" w:type="dxa"/>
            <w:tcBorders>
              <w:top w:val="nil"/>
              <w:left w:val="nil"/>
              <w:bottom w:val="single" w:sz="4" w:space="0" w:color="auto"/>
              <w:right w:val="single" w:sz="4" w:space="0" w:color="auto"/>
            </w:tcBorders>
            <w:noWrap/>
            <w:vAlign w:val="bottom"/>
            <w:hideMark/>
          </w:tcPr>
          <w:p w14:paraId="44EE067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88" w:type="dxa"/>
            <w:tcBorders>
              <w:top w:val="nil"/>
              <w:left w:val="nil"/>
              <w:bottom w:val="single" w:sz="4" w:space="0" w:color="auto"/>
              <w:right w:val="single" w:sz="4" w:space="0" w:color="auto"/>
            </w:tcBorders>
            <w:noWrap/>
            <w:vAlign w:val="bottom"/>
            <w:hideMark/>
          </w:tcPr>
          <w:p w14:paraId="7A7A6C1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88" w:type="dxa"/>
            <w:tcBorders>
              <w:top w:val="nil"/>
              <w:left w:val="nil"/>
              <w:bottom w:val="single" w:sz="4" w:space="0" w:color="auto"/>
              <w:right w:val="single" w:sz="4" w:space="0" w:color="auto"/>
            </w:tcBorders>
            <w:noWrap/>
            <w:vAlign w:val="bottom"/>
            <w:hideMark/>
          </w:tcPr>
          <w:p w14:paraId="4591103C"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99" w:type="dxa"/>
            <w:tcBorders>
              <w:top w:val="nil"/>
              <w:left w:val="nil"/>
              <w:bottom w:val="single" w:sz="4" w:space="0" w:color="auto"/>
              <w:right w:val="single" w:sz="4" w:space="0" w:color="auto"/>
            </w:tcBorders>
            <w:noWrap/>
            <w:vAlign w:val="bottom"/>
            <w:hideMark/>
          </w:tcPr>
          <w:p w14:paraId="6928A709"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88" w:type="dxa"/>
            <w:tcBorders>
              <w:top w:val="nil"/>
              <w:left w:val="nil"/>
              <w:bottom w:val="single" w:sz="4" w:space="0" w:color="auto"/>
              <w:right w:val="single" w:sz="4" w:space="0" w:color="auto"/>
            </w:tcBorders>
            <w:noWrap/>
            <w:vAlign w:val="bottom"/>
            <w:hideMark/>
          </w:tcPr>
          <w:p w14:paraId="579CEAEC"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6.3%</w:t>
            </w:r>
          </w:p>
        </w:tc>
        <w:tc>
          <w:tcPr>
            <w:tcW w:w="488" w:type="dxa"/>
            <w:tcBorders>
              <w:top w:val="nil"/>
              <w:left w:val="nil"/>
              <w:bottom w:val="single" w:sz="4" w:space="0" w:color="auto"/>
              <w:right w:val="single" w:sz="4" w:space="0" w:color="auto"/>
            </w:tcBorders>
            <w:noWrap/>
            <w:vAlign w:val="bottom"/>
            <w:hideMark/>
          </w:tcPr>
          <w:p w14:paraId="39ED33BB"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10.7%</w:t>
            </w:r>
          </w:p>
        </w:tc>
      </w:tr>
      <w:tr w:rsidR="0067086E" w:rsidRPr="00031298" w14:paraId="222DDEF5" w14:textId="77777777" w:rsidTr="0067086E">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2ED104D2" w14:textId="77777777" w:rsidR="00266B17" w:rsidRPr="00031298" w:rsidRDefault="00266B17" w:rsidP="00266B17">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1–3</w:t>
            </w:r>
          </w:p>
        </w:tc>
        <w:tc>
          <w:tcPr>
            <w:tcW w:w="488" w:type="dxa"/>
            <w:tcBorders>
              <w:top w:val="nil"/>
              <w:left w:val="nil"/>
              <w:bottom w:val="single" w:sz="4" w:space="0" w:color="auto"/>
              <w:right w:val="single" w:sz="4" w:space="0" w:color="auto"/>
            </w:tcBorders>
            <w:noWrap/>
            <w:vAlign w:val="bottom"/>
            <w:hideMark/>
          </w:tcPr>
          <w:p w14:paraId="23B2C3A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5.2%</w:t>
            </w:r>
          </w:p>
        </w:tc>
        <w:tc>
          <w:tcPr>
            <w:tcW w:w="504" w:type="dxa"/>
            <w:tcBorders>
              <w:top w:val="nil"/>
              <w:left w:val="nil"/>
              <w:bottom w:val="single" w:sz="4" w:space="0" w:color="auto"/>
              <w:right w:val="single" w:sz="4" w:space="0" w:color="auto"/>
            </w:tcBorders>
            <w:noWrap/>
            <w:vAlign w:val="bottom"/>
            <w:hideMark/>
          </w:tcPr>
          <w:p w14:paraId="1C08D5E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5.4%</w:t>
            </w:r>
          </w:p>
        </w:tc>
        <w:tc>
          <w:tcPr>
            <w:tcW w:w="488" w:type="dxa"/>
            <w:tcBorders>
              <w:top w:val="nil"/>
              <w:left w:val="nil"/>
              <w:bottom w:val="single" w:sz="4" w:space="0" w:color="auto"/>
              <w:right w:val="single" w:sz="4" w:space="0" w:color="auto"/>
            </w:tcBorders>
            <w:noWrap/>
            <w:vAlign w:val="bottom"/>
            <w:hideMark/>
          </w:tcPr>
          <w:p w14:paraId="1A03D365"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7.6%</w:t>
            </w:r>
          </w:p>
        </w:tc>
        <w:tc>
          <w:tcPr>
            <w:tcW w:w="488" w:type="dxa"/>
            <w:tcBorders>
              <w:top w:val="nil"/>
              <w:left w:val="nil"/>
              <w:bottom w:val="single" w:sz="4" w:space="0" w:color="auto"/>
              <w:right w:val="single" w:sz="4" w:space="0" w:color="auto"/>
            </w:tcBorders>
            <w:noWrap/>
            <w:vAlign w:val="bottom"/>
            <w:hideMark/>
          </w:tcPr>
          <w:p w14:paraId="1FD18B8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7.8%</w:t>
            </w:r>
          </w:p>
        </w:tc>
        <w:tc>
          <w:tcPr>
            <w:tcW w:w="442" w:type="dxa"/>
            <w:tcBorders>
              <w:top w:val="nil"/>
              <w:left w:val="nil"/>
              <w:bottom w:val="single" w:sz="4" w:space="0" w:color="auto"/>
              <w:right w:val="single" w:sz="4" w:space="0" w:color="auto"/>
            </w:tcBorders>
            <w:noWrap/>
            <w:vAlign w:val="bottom"/>
            <w:hideMark/>
          </w:tcPr>
          <w:p w14:paraId="44E3937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699CFDA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8.6%</w:t>
            </w:r>
          </w:p>
        </w:tc>
        <w:tc>
          <w:tcPr>
            <w:tcW w:w="488" w:type="dxa"/>
            <w:tcBorders>
              <w:top w:val="nil"/>
              <w:left w:val="nil"/>
              <w:bottom w:val="single" w:sz="4" w:space="0" w:color="auto"/>
              <w:right w:val="single" w:sz="4" w:space="0" w:color="auto"/>
            </w:tcBorders>
            <w:noWrap/>
            <w:vAlign w:val="bottom"/>
            <w:hideMark/>
          </w:tcPr>
          <w:p w14:paraId="46BB6C5F"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9.2%</w:t>
            </w:r>
          </w:p>
        </w:tc>
        <w:tc>
          <w:tcPr>
            <w:tcW w:w="441" w:type="dxa"/>
            <w:tcBorders>
              <w:top w:val="nil"/>
              <w:left w:val="nil"/>
              <w:bottom w:val="single" w:sz="4" w:space="0" w:color="auto"/>
              <w:right w:val="single" w:sz="4" w:space="0" w:color="auto"/>
            </w:tcBorders>
            <w:noWrap/>
            <w:vAlign w:val="bottom"/>
            <w:hideMark/>
          </w:tcPr>
          <w:p w14:paraId="1F3952A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4.3%</w:t>
            </w:r>
          </w:p>
        </w:tc>
        <w:tc>
          <w:tcPr>
            <w:tcW w:w="488" w:type="dxa"/>
            <w:tcBorders>
              <w:top w:val="nil"/>
              <w:left w:val="nil"/>
              <w:bottom w:val="single" w:sz="4" w:space="0" w:color="auto"/>
              <w:right w:val="single" w:sz="4" w:space="0" w:color="auto"/>
            </w:tcBorders>
            <w:noWrap/>
            <w:vAlign w:val="bottom"/>
            <w:hideMark/>
          </w:tcPr>
          <w:p w14:paraId="752497D9"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7.1%</w:t>
            </w:r>
          </w:p>
        </w:tc>
        <w:tc>
          <w:tcPr>
            <w:tcW w:w="488" w:type="dxa"/>
            <w:tcBorders>
              <w:top w:val="nil"/>
              <w:left w:val="nil"/>
              <w:bottom w:val="single" w:sz="4" w:space="0" w:color="auto"/>
              <w:right w:val="single" w:sz="4" w:space="0" w:color="auto"/>
            </w:tcBorders>
            <w:noWrap/>
            <w:vAlign w:val="bottom"/>
            <w:hideMark/>
          </w:tcPr>
          <w:p w14:paraId="17E24F1A"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17" w:type="dxa"/>
            <w:tcBorders>
              <w:top w:val="nil"/>
              <w:left w:val="nil"/>
              <w:bottom w:val="single" w:sz="4" w:space="0" w:color="auto"/>
              <w:right w:val="single" w:sz="4" w:space="0" w:color="auto"/>
            </w:tcBorders>
            <w:noWrap/>
            <w:vAlign w:val="bottom"/>
            <w:hideMark/>
          </w:tcPr>
          <w:p w14:paraId="6001683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3108FD8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40.5%</w:t>
            </w:r>
          </w:p>
        </w:tc>
        <w:tc>
          <w:tcPr>
            <w:tcW w:w="488" w:type="dxa"/>
            <w:tcBorders>
              <w:top w:val="nil"/>
              <w:left w:val="nil"/>
              <w:bottom w:val="single" w:sz="4" w:space="0" w:color="auto"/>
              <w:right w:val="single" w:sz="4" w:space="0" w:color="auto"/>
            </w:tcBorders>
            <w:noWrap/>
            <w:vAlign w:val="bottom"/>
            <w:hideMark/>
          </w:tcPr>
          <w:p w14:paraId="40F2BFD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11.0%</w:t>
            </w:r>
          </w:p>
        </w:tc>
        <w:tc>
          <w:tcPr>
            <w:tcW w:w="488" w:type="dxa"/>
            <w:tcBorders>
              <w:top w:val="nil"/>
              <w:left w:val="nil"/>
              <w:bottom w:val="single" w:sz="4" w:space="0" w:color="auto"/>
              <w:right w:val="single" w:sz="4" w:space="0" w:color="auto"/>
            </w:tcBorders>
            <w:noWrap/>
            <w:vAlign w:val="bottom"/>
            <w:hideMark/>
          </w:tcPr>
          <w:p w14:paraId="3BB683DB"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11.2%</w:t>
            </w:r>
          </w:p>
        </w:tc>
        <w:tc>
          <w:tcPr>
            <w:tcW w:w="488" w:type="dxa"/>
            <w:tcBorders>
              <w:top w:val="nil"/>
              <w:left w:val="nil"/>
              <w:bottom w:val="single" w:sz="4" w:space="0" w:color="auto"/>
              <w:right w:val="single" w:sz="4" w:space="0" w:color="auto"/>
            </w:tcBorders>
            <w:noWrap/>
            <w:vAlign w:val="bottom"/>
            <w:hideMark/>
          </w:tcPr>
          <w:p w14:paraId="63ED3FD9"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8.8%</w:t>
            </w:r>
          </w:p>
        </w:tc>
        <w:tc>
          <w:tcPr>
            <w:tcW w:w="488" w:type="dxa"/>
            <w:tcBorders>
              <w:top w:val="nil"/>
              <w:left w:val="nil"/>
              <w:bottom w:val="single" w:sz="4" w:space="0" w:color="auto"/>
              <w:right w:val="single" w:sz="4" w:space="0" w:color="auto"/>
            </w:tcBorders>
            <w:noWrap/>
            <w:vAlign w:val="bottom"/>
            <w:hideMark/>
          </w:tcPr>
          <w:p w14:paraId="1FB75920"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11.5%</w:t>
            </w:r>
          </w:p>
        </w:tc>
        <w:tc>
          <w:tcPr>
            <w:tcW w:w="488" w:type="dxa"/>
            <w:tcBorders>
              <w:top w:val="nil"/>
              <w:left w:val="nil"/>
              <w:bottom w:val="single" w:sz="4" w:space="0" w:color="auto"/>
              <w:right w:val="single" w:sz="4" w:space="0" w:color="auto"/>
            </w:tcBorders>
            <w:noWrap/>
            <w:vAlign w:val="bottom"/>
            <w:hideMark/>
          </w:tcPr>
          <w:p w14:paraId="57E2ECA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11.7%</w:t>
            </w:r>
          </w:p>
        </w:tc>
        <w:tc>
          <w:tcPr>
            <w:tcW w:w="499" w:type="dxa"/>
            <w:tcBorders>
              <w:top w:val="nil"/>
              <w:left w:val="nil"/>
              <w:bottom w:val="single" w:sz="4" w:space="0" w:color="auto"/>
              <w:right w:val="single" w:sz="4" w:space="0" w:color="auto"/>
            </w:tcBorders>
            <w:noWrap/>
            <w:vAlign w:val="bottom"/>
            <w:hideMark/>
          </w:tcPr>
          <w:p w14:paraId="379E90B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9.3%</w:t>
            </w:r>
          </w:p>
        </w:tc>
        <w:tc>
          <w:tcPr>
            <w:tcW w:w="488" w:type="dxa"/>
            <w:tcBorders>
              <w:top w:val="nil"/>
              <w:left w:val="nil"/>
              <w:bottom w:val="single" w:sz="4" w:space="0" w:color="auto"/>
              <w:right w:val="single" w:sz="4" w:space="0" w:color="auto"/>
            </w:tcBorders>
            <w:noWrap/>
            <w:vAlign w:val="bottom"/>
            <w:hideMark/>
          </w:tcPr>
          <w:p w14:paraId="5921F36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15.4%</w:t>
            </w:r>
          </w:p>
        </w:tc>
        <w:tc>
          <w:tcPr>
            <w:tcW w:w="488" w:type="dxa"/>
            <w:tcBorders>
              <w:top w:val="nil"/>
              <w:left w:val="nil"/>
              <w:bottom w:val="single" w:sz="4" w:space="0" w:color="auto"/>
              <w:right w:val="single" w:sz="4" w:space="0" w:color="auto"/>
            </w:tcBorders>
            <w:noWrap/>
            <w:vAlign w:val="bottom"/>
            <w:hideMark/>
          </w:tcPr>
          <w:p w14:paraId="0684729F"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21.8%</w:t>
            </w:r>
          </w:p>
        </w:tc>
      </w:tr>
      <w:tr w:rsidR="0067086E" w:rsidRPr="00031298" w14:paraId="05C91803" w14:textId="77777777" w:rsidTr="0067086E">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54CF2263" w14:textId="77777777" w:rsidR="00266B17" w:rsidRPr="00031298" w:rsidRDefault="00266B17" w:rsidP="00266B17">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3–5</w:t>
            </w:r>
          </w:p>
        </w:tc>
        <w:tc>
          <w:tcPr>
            <w:tcW w:w="488" w:type="dxa"/>
            <w:tcBorders>
              <w:top w:val="nil"/>
              <w:left w:val="nil"/>
              <w:bottom w:val="single" w:sz="4" w:space="0" w:color="auto"/>
              <w:right w:val="single" w:sz="4" w:space="0" w:color="auto"/>
            </w:tcBorders>
            <w:noWrap/>
            <w:vAlign w:val="bottom"/>
            <w:hideMark/>
          </w:tcPr>
          <w:p w14:paraId="2967117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8.6%</w:t>
            </w:r>
          </w:p>
        </w:tc>
        <w:tc>
          <w:tcPr>
            <w:tcW w:w="504" w:type="dxa"/>
            <w:tcBorders>
              <w:top w:val="nil"/>
              <w:left w:val="nil"/>
              <w:bottom w:val="single" w:sz="4" w:space="0" w:color="auto"/>
              <w:right w:val="single" w:sz="4" w:space="0" w:color="auto"/>
            </w:tcBorders>
            <w:noWrap/>
            <w:vAlign w:val="bottom"/>
            <w:hideMark/>
          </w:tcPr>
          <w:p w14:paraId="72152850"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9.7%</w:t>
            </w:r>
          </w:p>
        </w:tc>
        <w:tc>
          <w:tcPr>
            <w:tcW w:w="488" w:type="dxa"/>
            <w:tcBorders>
              <w:top w:val="nil"/>
              <w:left w:val="nil"/>
              <w:bottom w:val="single" w:sz="4" w:space="0" w:color="auto"/>
              <w:right w:val="single" w:sz="4" w:space="0" w:color="auto"/>
            </w:tcBorders>
            <w:noWrap/>
            <w:vAlign w:val="bottom"/>
            <w:hideMark/>
          </w:tcPr>
          <w:p w14:paraId="30B8867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12.2%</w:t>
            </w:r>
          </w:p>
        </w:tc>
        <w:tc>
          <w:tcPr>
            <w:tcW w:w="488" w:type="dxa"/>
            <w:tcBorders>
              <w:top w:val="nil"/>
              <w:left w:val="nil"/>
              <w:bottom w:val="single" w:sz="4" w:space="0" w:color="auto"/>
              <w:right w:val="single" w:sz="4" w:space="0" w:color="auto"/>
            </w:tcBorders>
            <w:noWrap/>
            <w:vAlign w:val="bottom"/>
            <w:hideMark/>
          </w:tcPr>
          <w:p w14:paraId="320B516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13.8%</w:t>
            </w:r>
          </w:p>
        </w:tc>
        <w:tc>
          <w:tcPr>
            <w:tcW w:w="442" w:type="dxa"/>
            <w:tcBorders>
              <w:top w:val="nil"/>
              <w:left w:val="nil"/>
              <w:bottom w:val="single" w:sz="4" w:space="0" w:color="auto"/>
              <w:right w:val="single" w:sz="4" w:space="0" w:color="auto"/>
            </w:tcBorders>
            <w:noWrap/>
            <w:vAlign w:val="bottom"/>
            <w:hideMark/>
          </w:tcPr>
          <w:p w14:paraId="773DE16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1BFC6311"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14.6%</w:t>
            </w:r>
          </w:p>
        </w:tc>
        <w:tc>
          <w:tcPr>
            <w:tcW w:w="488" w:type="dxa"/>
            <w:tcBorders>
              <w:top w:val="nil"/>
              <w:left w:val="nil"/>
              <w:bottom w:val="single" w:sz="4" w:space="0" w:color="auto"/>
              <w:right w:val="single" w:sz="4" w:space="0" w:color="auto"/>
            </w:tcBorders>
            <w:noWrap/>
            <w:vAlign w:val="bottom"/>
            <w:hideMark/>
          </w:tcPr>
          <w:p w14:paraId="3C713D65"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16.2%</w:t>
            </w:r>
          </w:p>
        </w:tc>
        <w:tc>
          <w:tcPr>
            <w:tcW w:w="441" w:type="dxa"/>
            <w:tcBorders>
              <w:top w:val="nil"/>
              <w:left w:val="nil"/>
              <w:bottom w:val="single" w:sz="4" w:space="0" w:color="auto"/>
              <w:right w:val="single" w:sz="4" w:space="0" w:color="auto"/>
            </w:tcBorders>
            <w:noWrap/>
            <w:vAlign w:val="bottom"/>
            <w:hideMark/>
          </w:tcPr>
          <w:p w14:paraId="5F4D2AB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5.3%</w:t>
            </w:r>
          </w:p>
        </w:tc>
        <w:tc>
          <w:tcPr>
            <w:tcW w:w="488" w:type="dxa"/>
            <w:tcBorders>
              <w:top w:val="nil"/>
              <w:left w:val="nil"/>
              <w:bottom w:val="single" w:sz="4" w:space="0" w:color="auto"/>
              <w:right w:val="single" w:sz="4" w:space="0" w:color="auto"/>
            </w:tcBorders>
            <w:noWrap/>
            <w:vAlign w:val="bottom"/>
            <w:hideMark/>
          </w:tcPr>
          <w:p w14:paraId="2E6BFB2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11.3%</w:t>
            </w:r>
          </w:p>
        </w:tc>
        <w:tc>
          <w:tcPr>
            <w:tcW w:w="488" w:type="dxa"/>
            <w:tcBorders>
              <w:top w:val="nil"/>
              <w:left w:val="nil"/>
              <w:bottom w:val="single" w:sz="4" w:space="0" w:color="auto"/>
              <w:right w:val="single" w:sz="4" w:space="0" w:color="auto"/>
            </w:tcBorders>
            <w:noWrap/>
            <w:vAlign w:val="bottom"/>
            <w:hideMark/>
          </w:tcPr>
          <w:p w14:paraId="7F8EF71B"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12.8%</w:t>
            </w:r>
          </w:p>
        </w:tc>
        <w:tc>
          <w:tcPr>
            <w:tcW w:w="417" w:type="dxa"/>
            <w:tcBorders>
              <w:top w:val="nil"/>
              <w:left w:val="nil"/>
              <w:bottom w:val="single" w:sz="4" w:space="0" w:color="auto"/>
              <w:right w:val="single" w:sz="4" w:space="0" w:color="auto"/>
            </w:tcBorders>
            <w:noWrap/>
            <w:vAlign w:val="bottom"/>
            <w:hideMark/>
          </w:tcPr>
          <w:p w14:paraId="2AAAD540"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76C3B74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40.5%</w:t>
            </w:r>
          </w:p>
        </w:tc>
        <w:tc>
          <w:tcPr>
            <w:tcW w:w="488" w:type="dxa"/>
            <w:tcBorders>
              <w:top w:val="nil"/>
              <w:left w:val="nil"/>
              <w:bottom w:val="single" w:sz="4" w:space="0" w:color="auto"/>
              <w:right w:val="single" w:sz="4" w:space="0" w:color="auto"/>
            </w:tcBorders>
            <w:noWrap/>
            <w:vAlign w:val="bottom"/>
            <w:hideMark/>
          </w:tcPr>
          <w:p w14:paraId="4D5A7C5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15.1%</w:t>
            </w:r>
          </w:p>
        </w:tc>
        <w:tc>
          <w:tcPr>
            <w:tcW w:w="488" w:type="dxa"/>
            <w:tcBorders>
              <w:top w:val="nil"/>
              <w:left w:val="nil"/>
              <w:bottom w:val="single" w:sz="4" w:space="0" w:color="auto"/>
              <w:right w:val="single" w:sz="4" w:space="0" w:color="auto"/>
            </w:tcBorders>
            <w:noWrap/>
            <w:vAlign w:val="bottom"/>
            <w:hideMark/>
          </w:tcPr>
          <w:p w14:paraId="2360671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15.7%</w:t>
            </w:r>
          </w:p>
        </w:tc>
        <w:tc>
          <w:tcPr>
            <w:tcW w:w="488" w:type="dxa"/>
            <w:tcBorders>
              <w:top w:val="nil"/>
              <w:left w:val="nil"/>
              <w:bottom w:val="single" w:sz="4" w:space="0" w:color="auto"/>
              <w:right w:val="single" w:sz="4" w:space="0" w:color="auto"/>
            </w:tcBorders>
            <w:noWrap/>
            <w:vAlign w:val="bottom"/>
            <w:hideMark/>
          </w:tcPr>
          <w:p w14:paraId="445F257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9.8%</w:t>
            </w:r>
          </w:p>
        </w:tc>
        <w:tc>
          <w:tcPr>
            <w:tcW w:w="488" w:type="dxa"/>
            <w:tcBorders>
              <w:top w:val="nil"/>
              <w:left w:val="nil"/>
              <w:bottom w:val="single" w:sz="4" w:space="0" w:color="auto"/>
              <w:right w:val="single" w:sz="4" w:space="0" w:color="auto"/>
            </w:tcBorders>
            <w:noWrap/>
            <w:vAlign w:val="bottom"/>
            <w:hideMark/>
          </w:tcPr>
          <w:p w14:paraId="112CE661"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15.6%</w:t>
            </w:r>
          </w:p>
        </w:tc>
        <w:tc>
          <w:tcPr>
            <w:tcW w:w="488" w:type="dxa"/>
            <w:tcBorders>
              <w:top w:val="nil"/>
              <w:left w:val="nil"/>
              <w:bottom w:val="single" w:sz="4" w:space="0" w:color="auto"/>
              <w:right w:val="single" w:sz="4" w:space="0" w:color="auto"/>
            </w:tcBorders>
            <w:noWrap/>
            <w:vAlign w:val="bottom"/>
            <w:hideMark/>
          </w:tcPr>
          <w:p w14:paraId="028EC7CC"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16.2%</w:t>
            </w:r>
          </w:p>
        </w:tc>
        <w:tc>
          <w:tcPr>
            <w:tcW w:w="499" w:type="dxa"/>
            <w:tcBorders>
              <w:top w:val="nil"/>
              <w:left w:val="nil"/>
              <w:bottom w:val="single" w:sz="4" w:space="0" w:color="auto"/>
              <w:right w:val="single" w:sz="4" w:space="0" w:color="auto"/>
            </w:tcBorders>
            <w:noWrap/>
            <w:vAlign w:val="bottom"/>
            <w:hideMark/>
          </w:tcPr>
          <w:p w14:paraId="3A93853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10.7%</w:t>
            </w:r>
          </w:p>
        </w:tc>
        <w:tc>
          <w:tcPr>
            <w:tcW w:w="488" w:type="dxa"/>
            <w:tcBorders>
              <w:top w:val="nil"/>
              <w:left w:val="nil"/>
              <w:bottom w:val="single" w:sz="4" w:space="0" w:color="auto"/>
              <w:right w:val="single" w:sz="4" w:space="0" w:color="auto"/>
            </w:tcBorders>
            <w:noWrap/>
            <w:vAlign w:val="bottom"/>
            <w:hideMark/>
          </w:tcPr>
          <w:p w14:paraId="4869AFD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26.1%</w:t>
            </w:r>
          </w:p>
        </w:tc>
        <w:tc>
          <w:tcPr>
            <w:tcW w:w="488" w:type="dxa"/>
            <w:tcBorders>
              <w:top w:val="nil"/>
              <w:left w:val="nil"/>
              <w:bottom w:val="single" w:sz="4" w:space="0" w:color="auto"/>
              <w:right w:val="single" w:sz="4" w:space="0" w:color="auto"/>
            </w:tcBorders>
            <w:noWrap/>
            <w:vAlign w:val="bottom"/>
            <w:hideMark/>
          </w:tcPr>
          <w:p w14:paraId="198B084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32.9%</w:t>
            </w:r>
          </w:p>
        </w:tc>
      </w:tr>
      <w:tr w:rsidR="0067086E" w:rsidRPr="00031298" w14:paraId="5DDB7EE7" w14:textId="77777777" w:rsidTr="0067086E">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0EAACF82" w14:textId="77777777" w:rsidR="00266B17" w:rsidRPr="00031298" w:rsidRDefault="00266B17" w:rsidP="00266B17">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5–7</w:t>
            </w:r>
          </w:p>
        </w:tc>
        <w:tc>
          <w:tcPr>
            <w:tcW w:w="488" w:type="dxa"/>
            <w:tcBorders>
              <w:top w:val="nil"/>
              <w:left w:val="nil"/>
              <w:bottom w:val="single" w:sz="4" w:space="0" w:color="auto"/>
              <w:right w:val="single" w:sz="4" w:space="0" w:color="auto"/>
            </w:tcBorders>
            <w:noWrap/>
            <w:vAlign w:val="bottom"/>
            <w:hideMark/>
          </w:tcPr>
          <w:p w14:paraId="49E76C5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11.2%</w:t>
            </w:r>
          </w:p>
        </w:tc>
        <w:tc>
          <w:tcPr>
            <w:tcW w:w="504" w:type="dxa"/>
            <w:tcBorders>
              <w:top w:val="nil"/>
              <w:left w:val="nil"/>
              <w:bottom w:val="single" w:sz="4" w:space="0" w:color="auto"/>
              <w:right w:val="single" w:sz="4" w:space="0" w:color="auto"/>
            </w:tcBorders>
            <w:noWrap/>
            <w:vAlign w:val="bottom"/>
            <w:hideMark/>
          </w:tcPr>
          <w:p w14:paraId="4E3435B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13.4%</w:t>
            </w:r>
          </w:p>
        </w:tc>
        <w:tc>
          <w:tcPr>
            <w:tcW w:w="488" w:type="dxa"/>
            <w:tcBorders>
              <w:top w:val="nil"/>
              <w:left w:val="nil"/>
              <w:bottom w:val="single" w:sz="4" w:space="0" w:color="auto"/>
              <w:right w:val="single" w:sz="4" w:space="0" w:color="auto"/>
            </w:tcBorders>
            <w:noWrap/>
            <w:vAlign w:val="bottom"/>
            <w:hideMark/>
          </w:tcPr>
          <w:p w14:paraId="43FCE3A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16.1%</w:t>
            </w:r>
          </w:p>
        </w:tc>
        <w:tc>
          <w:tcPr>
            <w:tcW w:w="488" w:type="dxa"/>
            <w:tcBorders>
              <w:top w:val="nil"/>
              <w:left w:val="nil"/>
              <w:bottom w:val="single" w:sz="4" w:space="0" w:color="auto"/>
              <w:right w:val="single" w:sz="4" w:space="0" w:color="auto"/>
            </w:tcBorders>
            <w:noWrap/>
            <w:vAlign w:val="bottom"/>
            <w:hideMark/>
          </w:tcPr>
          <w:p w14:paraId="57B740E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18.6%</w:t>
            </w:r>
          </w:p>
        </w:tc>
        <w:tc>
          <w:tcPr>
            <w:tcW w:w="442" w:type="dxa"/>
            <w:tcBorders>
              <w:top w:val="nil"/>
              <w:left w:val="nil"/>
              <w:bottom w:val="single" w:sz="4" w:space="0" w:color="auto"/>
              <w:right w:val="single" w:sz="4" w:space="0" w:color="auto"/>
            </w:tcBorders>
            <w:noWrap/>
            <w:vAlign w:val="bottom"/>
            <w:hideMark/>
          </w:tcPr>
          <w:p w14:paraId="2C41F50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4.3%</w:t>
            </w:r>
          </w:p>
        </w:tc>
        <w:tc>
          <w:tcPr>
            <w:tcW w:w="488" w:type="dxa"/>
            <w:tcBorders>
              <w:top w:val="nil"/>
              <w:left w:val="nil"/>
              <w:bottom w:val="single" w:sz="4" w:space="0" w:color="auto"/>
              <w:right w:val="single" w:sz="4" w:space="0" w:color="auto"/>
            </w:tcBorders>
            <w:noWrap/>
            <w:vAlign w:val="bottom"/>
            <w:hideMark/>
          </w:tcPr>
          <w:p w14:paraId="7962B55B"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18.5%</w:t>
            </w:r>
          </w:p>
        </w:tc>
        <w:tc>
          <w:tcPr>
            <w:tcW w:w="488" w:type="dxa"/>
            <w:tcBorders>
              <w:top w:val="nil"/>
              <w:left w:val="nil"/>
              <w:bottom w:val="single" w:sz="4" w:space="0" w:color="auto"/>
              <w:right w:val="single" w:sz="4" w:space="0" w:color="auto"/>
            </w:tcBorders>
            <w:noWrap/>
            <w:vAlign w:val="bottom"/>
            <w:hideMark/>
          </w:tcPr>
          <w:p w14:paraId="5AD468C1"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21.9%</w:t>
            </w:r>
          </w:p>
        </w:tc>
        <w:tc>
          <w:tcPr>
            <w:tcW w:w="441" w:type="dxa"/>
            <w:tcBorders>
              <w:top w:val="nil"/>
              <w:left w:val="nil"/>
              <w:bottom w:val="single" w:sz="4" w:space="0" w:color="auto"/>
              <w:right w:val="single" w:sz="4" w:space="0" w:color="auto"/>
            </w:tcBorders>
            <w:noWrap/>
            <w:vAlign w:val="bottom"/>
            <w:hideMark/>
          </w:tcPr>
          <w:p w14:paraId="21C3A85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6.3%</w:t>
            </w:r>
          </w:p>
        </w:tc>
        <w:tc>
          <w:tcPr>
            <w:tcW w:w="488" w:type="dxa"/>
            <w:tcBorders>
              <w:top w:val="nil"/>
              <w:left w:val="nil"/>
              <w:bottom w:val="single" w:sz="4" w:space="0" w:color="auto"/>
              <w:right w:val="single" w:sz="4" w:space="0" w:color="auto"/>
            </w:tcBorders>
            <w:noWrap/>
            <w:vAlign w:val="bottom"/>
            <w:hideMark/>
          </w:tcPr>
          <w:p w14:paraId="6A1D6DCA"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14.7%</w:t>
            </w:r>
          </w:p>
        </w:tc>
        <w:tc>
          <w:tcPr>
            <w:tcW w:w="488" w:type="dxa"/>
            <w:tcBorders>
              <w:top w:val="nil"/>
              <w:left w:val="nil"/>
              <w:bottom w:val="single" w:sz="4" w:space="0" w:color="auto"/>
              <w:right w:val="single" w:sz="4" w:space="0" w:color="auto"/>
            </w:tcBorders>
            <w:noWrap/>
            <w:vAlign w:val="bottom"/>
            <w:hideMark/>
          </w:tcPr>
          <w:p w14:paraId="0609BEF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17.7%</w:t>
            </w:r>
          </w:p>
        </w:tc>
        <w:tc>
          <w:tcPr>
            <w:tcW w:w="417" w:type="dxa"/>
            <w:tcBorders>
              <w:top w:val="nil"/>
              <w:left w:val="nil"/>
              <w:bottom w:val="single" w:sz="4" w:space="0" w:color="auto"/>
              <w:right w:val="single" w:sz="4" w:space="0" w:color="auto"/>
            </w:tcBorders>
            <w:noWrap/>
            <w:vAlign w:val="bottom"/>
            <w:hideMark/>
          </w:tcPr>
          <w:p w14:paraId="3EEFE8B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14C080CA"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40.5%</w:t>
            </w:r>
          </w:p>
        </w:tc>
        <w:tc>
          <w:tcPr>
            <w:tcW w:w="488" w:type="dxa"/>
            <w:tcBorders>
              <w:top w:val="nil"/>
              <w:left w:val="nil"/>
              <w:bottom w:val="single" w:sz="4" w:space="0" w:color="auto"/>
              <w:right w:val="single" w:sz="4" w:space="0" w:color="auto"/>
            </w:tcBorders>
            <w:noWrap/>
            <w:vAlign w:val="bottom"/>
            <w:hideMark/>
          </w:tcPr>
          <w:p w14:paraId="38198EF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17.5%</w:t>
            </w:r>
          </w:p>
        </w:tc>
        <w:tc>
          <w:tcPr>
            <w:tcW w:w="488" w:type="dxa"/>
            <w:tcBorders>
              <w:top w:val="nil"/>
              <w:left w:val="nil"/>
              <w:bottom w:val="single" w:sz="4" w:space="0" w:color="auto"/>
              <w:right w:val="single" w:sz="4" w:space="0" w:color="auto"/>
            </w:tcBorders>
            <w:noWrap/>
            <w:vAlign w:val="bottom"/>
            <w:hideMark/>
          </w:tcPr>
          <w:p w14:paraId="478E5B71"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19.1%</w:t>
            </w:r>
          </w:p>
        </w:tc>
        <w:tc>
          <w:tcPr>
            <w:tcW w:w="488" w:type="dxa"/>
            <w:tcBorders>
              <w:top w:val="nil"/>
              <w:left w:val="nil"/>
              <w:bottom w:val="single" w:sz="4" w:space="0" w:color="auto"/>
              <w:right w:val="single" w:sz="4" w:space="0" w:color="auto"/>
            </w:tcBorders>
            <w:noWrap/>
            <w:vAlign w:val="bottom"/>
            <w:hideMark/>
          </w:tcPr>
          <w:p w14:paraId="3B56E35B"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11.2%</w:t>
            </w:r>
          </w:p>
        </w:tc>
        <w:tc>
          <w:tcPr>
            <w:tcW w:w="488" w:type="dxa"/>
            <w:tcBorders>
              <w:top w:val="nil"/>
              <w:left w:val="nil"/>
              <w:bottom w:val="single" w:sz="4" w:space="0" w:color="auto"/>
              <w:right w:val="single" w:sz="4" w:space="0" w:color="auto"/>
            </w:tcBorders>
            <w:noWrap/>
            <w:vAlign w:val="bottom"/>
            <w:hideMark/>
          </w:tcPr>
          <w:p w14:paraId="0F5CE3B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18.9%</w:t>
            </w:r>
          </w:p>
        </w:tc>
        <w:tc>
          <w:tcPr>
            <w:tcW w:w="488" w:type="dxa"/>
            <w:tcBorders>
              <w:top w:val="nil"/>
              <w:left w:val="nil"/>
              <w:bottom w:val="single" w:sz="4" w:space="0" w:color="auto"/>
              <w:right w:val="single" w:sz="4" w:space="0" w:color="auto"/>
            </w:tcBorders>
            <w:noWrap/>
            <w:vAlign w:val="bottom"/>
            <w:hideMark/>
          </w:tcPr>
          <w:p w14:paraId="7998AC2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20.0%</w:t>
            </w:r>
          </w:p>
        </w:tc>
        <w:tc>
          <w:tcPr>
            <w:tcW w:w="499" w:type="dxa"/>
            <w:tcBorders>
              <w:top w:val="nil"/>
              <w:left w:val="nil"/>
              <w:bottom w:val="single" w:sz="4" w:space="0" w:color="auto"/>
              <w:right w:val="single" w:sz="4" w:space="0" w:color="auto"/>
            </w:tcBorders>
            <w:noWrap/>
            <w:vAlign w:val="bottom"/>
            <w:hideMark/>
          </w:tcPr>
          <w:p w14:paraId="7111821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12.2%</w:t>
            </w:r>
          </w:p>
        </w:tc>
        <w:tc>
          <w:tcPr>
            <w:tcW w:w="488" w:type="dxa"/>
            <w:tcBorders>
              <w:top w:val="nil"/>
              <w:left w:val="nil"/>
              <w:bottom w:val="single" w:sz="4" w:space="0" w:color="auto"/>
              <w:right w:val="single" w:sz="4" w:space="0" w:color="auto"/>
            </w:tcBorders>
            <w:noWrap/>
            <w:vAlign w:val="bottom"/>
            <w:hideMark/>
          </w:tcPr>
          <w:p w14:paraId="47B8035F"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36.0%</w:t>
            </w:r>
          </w:p>
        </w:tc>
        <w:tc>
          <w:tcPr>
            <w:tcW w:w="488" w:type="dxa"/>
            <w:tcBorders>
              <w:top w:val="nil"/>
              <w:left w:val="nil"/>
              <w:bottom w:val="single" w:sz="4" w:space="0" w:color="auto"/>
              <w:right w:val="single" w:sz="4" w:space="0" w:color="auto"/>
            </w:tcBorders>
            <w:noWrap/>
            <w:vAlign w:val="bottom"/>
            <w:hideMark/>
          </w:tcPr>
          <w:p w14:paraId="79661FB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43.1%</w:t>
            </w:r>
          </w:p>
        </w:tc>
      </w:tr>
      <w:tr w:rsidR="0067086E" w:rsidRPr="00031298" w14:paraId="33F32FC4" w14:textId="77777777" w:rsidTr="0067086E">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48A05270" w14:textId="77777777" w:rsidR="00266B17" w:rsidRPr="00031298" w:rsidRDefault="00266B17" w:rsidP="00266B17">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7–10</w:t>
            </w:r>
          </w:p>
        </w:tc>
        <w:tc>
          <w:tcPr>
            <w:tcW w:w="488" w:type="dxa"/>
            <w:tcBorders>
              <w:top w:val="nil"/>
              <w:left w:val="nil"/>
              <w:bottom w:val="single" w:sz="4" w:space="0" w:color="auto"/>
              <w:right w:val="single" w:sz="4" w:space="0" w:color="auto"/>
            </w:tcBorders>
            <w:noWrap/>
            <w:vAlign w:val="bottom"/>
            <w:hideMark/>
          </w:tcPr>
          <w:p w14:paraId="4987697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15.4%</w:t>
            </w:r>
          </w:p>
        </w:tc>
        <w:tc>
          <w:tcPr>
            <w:tcW w:w="504" w:type="dxa"/>
            <w:tcBorders>
              <w:top w:val="nil"/>
              <w:left w:val="nil"/>
              <w:bottom w:val="single" w:sz="4" w:space="0" w:color="auto"/>
              <w:right w:val="single" w:sz="4" w:space="0" w:color="auto"/>
            </w:tcBorders>
            <w:noWrap/>
            <w:vAlign w:val="bottom"/>
            <w:hideMark/>
          </w:tcPr>
          <w:p w14:paraId="6AE56E0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20.2%</w:t>
            </w:r>
          </w:p>
        </w:tc>
        <w:tc>
          <w:tcPr>
            <w:tcW w:w="488" w:type="dxa"/>
            <w:tcBorders>
              <w:top w:val="nil"/>
              <w:left w:val="nil"/>
              <w:bottom w:val="single" w:sz="4" w:space="0" w:color="auto"/>
              <w:right w:val="single" w:sz="4" w:space="0" w:color="auto"/>
            </w:tcBorders>
            <w:noWrap/>
            <w:vAlign w:val="bottom"/>
            <w:hideMark/>
          </w:tcPr>
          <w:p w14:paraId="7EBA7859"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21.7%</w:t>
            </w:r>
          </w:p>
        </w:tc>
        <w:tc>
          <w:tcPr>
            <w:tcW w:w="488" w:type="dxa"/>
            <w:tcBorders>
              <w:top w:val="nil"/>
              <w:left w:val="nil"/>
              <w:bottom w:val="single" w:sz="4" w:space="0" w:color="auto"/>
              <w:right w:val="single" w:sz="4" w:space="0" w:color="auto"/>
            </w:tcBorders>
            <w:noWrap/>
            <w:vAlign w:val="bottom"/>
            <w:hideMark/>
          </w:tcPr>
          <w:p w14:paraId="52A7F9EC"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27.3%</w:t>
            </w:r>
          </w:p>
        </w:tc>
        <w:tc>
          <w:tcPr>
            <w:tcW w:w="442" w:type="dxa"/>
            <w:tcBorders>
              <w:top w:val="nil"/>
              <w:left w:val="nil"/>
              <w:bottom w:val="single" w:sz="4" w:space="0" w:color="auto"/>
              <w:right w:val="single" w:sz="4" w:space="0" w:color="auto"/>
            </w:tcBorders>
            <w:noWrap/>
            <w:vAlign w:val="bottom"/>
            <w:hideMark/>
          </w:tcPr>
          <w:p w14:paraId="112BBBD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4.8%</w:t>
            </w:r>
          </w:p>
        </w:tc>
        <w:tc>
          <w:tcPr>
            <w:tcW w:w="488" w:type="dxa"/>
            <w:tcBorders>
              <w:top w:val="nil"/>
              <w:left w:val="nil"/>
              <w:bottom w:val="single" w:sz="4" w:space="0" w:color="auto"/>
              <w:right w:val="single" w:sz="4" w:space="0" w:color="auto"/>
            </w:tcBorders>
            <w:noWrap/>
            <w:vAlign w:val="bottom"/>
            <w:hideMark/>
          </w:tcPr>
          <w:p w14:paraId="55D2BAB1"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25.4%</w:t>
            </w:r>
          </w:p>
        </w:tc>
        <w:tc>
          <w:tcPr>
            <w:tcW w:w="488" w:type="dxa"/>
            <w:tcBorders>
              <w:top w:val="nil"/>
              <w:left w:val="nil"/>
              <w:bottom w:val="single" w:sz="4" w:space="0" w:color="auto"/>
              <w:right w:val="single" w:sz="4" w:space="0" w:color="auto"/>
            </w:tcBorders>
            <w:noWrap/>
            <w:vAlign w:val="bottom"/>
            <w:hideMark/>
          </w:tcPr>
          <w:p w14:paraId="1050F4F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31.8%</w:t>
            </w:r>
          </w:p>
        </w:tc>
        <w:tc>
          <w:tcPr>
            <w:tcW w:w="441" w:type="dxa"/>
            <w:tcBorders>
              <w:top w:val="nil"/>
              <w:left w:val="nil"/>
              <w:bottom w:val="single" w:sz="4" w:space="0" w:color="auto"/>
              <w:right w:val="single" w:sz="4" w:space="0" w:color="auto"/>
            </w:tcBorders>
            <w:noWrap/>
            <w:vAlign w:val="bottom"/>
            <w:hideMark/>
          </w:tcPr>
          <w:p w14:paraId="0CD35BD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88" w:type="dxa"/>
            <w:tcBorders>
              <w:top w:val="nil"/>
              <w:left w:val="nil"/>
              <w:bottom w:val="single" w:sz="4" w:space="0" w:color="auto"/>
              <w:right w:val="single" w:sz="4" w:space="0" w:color="auto"/>
            </w:tcBorders>
            <w:noWrap/>
            <w:vAlign w:val="bottom"/>
            <w:hideMark/>
          </w:tcPr>
          <w:p w14:paraId="2376F6F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19.9%</w:t>
            </w:r>
          </w:p>
        </w:tc>
        <w:tc>
          <w:tcPr>
            <w:tcW w:w="488" w:type="dxa"/>
            <w:tcBorders>
              <w:top w:val="nil"/>
              <w:left w:val="nil"/>
              <w:bottom w:val="single" w:sz="4" w:space="0" w:color="auto"/>
              <w:right w:val="single" w:sz="4" w:space="0" w:color="auto"/>
            </w:tcBorders>
            <w:noWrap/>
            <w:vAlign w:val="bottom"/>
            <w:hideMark/>
          </w:tcPr>
          <w:p w14:paraId="25EDFE0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26.0%</w:t>
            </w:r>
          </w:p>
        </w:tc>
        <w:tc>
          <w:tcPr>
            <w:tcW w:w="417" w:type="dxa"/>
            <w:tcBorders>
              <w:top w:val="nil"/>
              <w:left w:val="nil"/>
              <w:bottom w:val="single" w:sz="4" w:space="0" w:color="auto"/>
              <w:right w:val="single" w:sz="4" w:space="0" w:color="auto"/>
            </w:tcBorders>
            <w:noWrap/>
            <w:vAlign w:val="bottom"/>
            <w:hideMark/>
          </w:tcPr>
          <w:p w14:paraId="3636721C"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61C47EC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40.5%</w:t>
            </w:r>
          </w:p>
        </w:tc>
        <w:tc>
          <w:tcPr>
            <w:tcW w:w="488" w:type="dxa"/>
            <w:tcBorders>
              <w:top w:val="nil"/>
              <w:left w:val="nil"/>
              <w:bottom w:val="single" w:sz="4" w:space="0" w:color="auto"/>
              <w:right w:val="single" w:sz="4" w:space="0" w:color="auto"/>
            </w:tcBorders>
            <w:noWrap/>
            <w:vAlign w:val="bottom"/>
            <w:hideMark/>
          </w:tcPr>
          <w:p w14:paraId="4A4073A1"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22.2%</w:t>
            </w:r>
          </w:p>
        </w:tc>
        <w:tc>
          <w:tcPr>
            <w:tcW w:w="488" w:type="dxa"/>
            <w:tcBorders>
              <w:top w:val="nil"/>
              <w:left w:val="nil"/>
              <w:bottom w:val="single" w:sz="4" w:space="0" w:color="auto"/>
              <w:right w:val="single" w:sz="4" w:space="0" w:color="auto"/>
            </w:tcBorders>
            <w:noWrap/>
            <w:vAlign w:val="bottom"/>
            <w:hideMark/>
          </w:tcPr>
          <w:p w14:paraId="25A0D170"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24.6%</w:t>
            </w:r>
          </w:p>
        </w:tc>
        <w:tc>
          <w:tcPr>
            <w:tcW w:w="488" w:type="dxa"/>
            <w:tcBorders>
              <w:top w:val="nil"/>
              <w:left w:val="nil"/>
              <w:bottom w:val="single" w:sz="4" w:space="0" w:color="auto"/>
              <w:right w:val="single" w:sz="4" w:space="0" w:color="auto"/>
            </w:tcBorders>
            <w:noWrap/>
            <w:vAlign w:val="bottom"/>
            <w:hideMark/>
          </w:tcPr>
          <w:p w14:paraId="258F896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13.2%</w:t>
            </w:r>
          </w:p>
        </w:tc>
        <w:tc>
          <w:tcPr>
            <w:tcW w:w="488" w:type="dxa"/>
            <w:tcBorders>
              <w:top w:val="nil"/>
              <w:left w:val="nil"/>
              <w:bottom w:val="single" w:sz="4" w:space="0" w:color="auto"/>
              <w:right w:val="single" w:sz="4" w:space="0" w:color="auto"/>
            </w:tcBorders>
            <w:noWrap/>
            <w:vAlign w:val="bottom"/>
            <w:hideMark/>
          </w:tcPr>
          <w:p w14:paraId="0E964A5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23.6%</w:t>
            </w:r>
          </w:p>
        </w:tc>
        <w:tc>
          <w:tcPr>
            <w:tcW w:w="488" w:type="dxa"/>
            <w:tcBorders>
              <w:top w:val="nil"/>
              <w:left w:val="nil"/>
              <w:bottom w:val="single" w:sz="4" w:space="0" w:color="auto"/>
              <w:right w:val="single" w:sz="4" w:space="0" w:color="auto"/>
            </w:tcBorders>
            <w:noWrap/>
            <w:vAlign w:val="bottom"/>
            <w:hideMark/>
          </w:tcPr>
          <w:p w14:paraId="36ADFDD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26.0%</w:t>
            </w:r>
          </w:p>
        </w:tc>
        <w:tc>
          <w:tcPr>
            <w:tcW w:w="499" w:type="dxa"/>
            <w:tcBorders>
              <w:top w:val="nil"/>
              <w:left w:val="nil"/>
              <w:bottom w:val="single" w:sz="4" w:space="0" w:color="auto"/>
              <w:right w:val="single" w:sz="4" w:space="0" w:color="auto"/>
            </w:tcBorders>
            <w:noWrap/>
            <w:vAlign w:val="bottom"/>
            <w:hideMark/>
          </w:tcPr>
          <w:p w14:paraId="4BEFD09C"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14.7%</w:t>
            </w:r>
          </w:p>
        </w:tc>
        <w:tc>
          <w:tcPr>
            <w:tcW w:w="488" w:type="dxa"/>
            <w:tcBorders>
              <w:top w:val="nil"/>
              <w:left w:val="nil"/>
              <w:bottom w:val="single" w:sz="4" w:space="0" w:color="auto"/>
              <w:right w:val="single" w:sz="4" w:space="0" w:color="auto"/>
            </w:tcBorders>
            <w:noWrap/>
            <w:vAlign w:val="bottom"/>
            <w:hideMark/>
          </w:tcPr>
          <w:p w14:paraId="4A22D0A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51.4%</w:t>
            </w:r>
          </w:p>
        </w:tc>
        <w:tc>
          <w:tcPr>
            <w:tcW w:w="488" w:type="dxa"/>
            <w:tcBorders>
              <w:top w:val="nil"/>
              <w:left w:val="nil"/>
              <w:bottom w:val="single" w:sz="4" w:space="0" w:color="auto"/>
              <w:right w:val="single" w:sz="4" w:space="0" w:color="auto"/>
            </w:tcBorders>
            <w:noWrap/>
            <w:vAlign w:val="bottom"/>
            <w:hideMark/>
          </w:tcPr>
          <w:p w14:paraId="34AB8AA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53.7%</w:t>
            </w:r>
          </w:p>
        </w:tc>
      </w:tr>
      <w:tr w:rsidR="0067086E" w:rsidRPr="00031298" w14:paraId="79677F01" w14:textId="77777777" w:rsidTr="0067086E">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137C38CA" w14:textId="77777777" w:rsidR="00266B17" w:rsidRPr="00031298" w:rsidRDefault="00266B17" w:rsidP="00266B17">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10–</w:t>
            </w:r>
          </w:p>
        </w:tc>
        <w:tc>
          <w:tcPr>
            <w:tcW w:w="488" w:type="dxa"/>
            <w:tcBorders>
              <w:top w:val="nil"/>
              <w:left w:val="nil"/>
              <w:bottom w:val="single" w:sz="4" w:space="0" w:color="auto"/>
              <w:right w:val="single" w:sz="4" w:space="0" w:color="auto"/>
            </w:tcBorders>
            <w:noWrap/>
            <w:vAlign w:val="bottom"/>
            <w:hideMark/>
          </w:tcPr>
          <w:p w14:paraId="1F9B54E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19.6%</w:t>
            </w:r>
          </w:p>
        </w:tc>
        <w:tc>
          <w:tcPr>
            <w:tcW w:w="504" w:type="dxa"/>
            <w:tcBorders>
              <w:top w:val="nil"/>
              <w:left w:val="nil"/>
              <w:bottom w:val="single" w:sz="4" w:space="0" w:color="auto"/>
              <w:right w:val="single" w:sz="4" w:space="0" w:color="auto"/>
            </w:tcBorders>
            <w:noWrap/>
            <w:vAlign w:val="bottom"/>
            <w:hideMark/>
          </w:tcPr>
          <w:p w14:paraId="2515129D"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29.4%</w:t>
            </w:r>
          </w:p>
        </w:tc>
        <w:tc>
          <w:tcPr>
            <w:tcW w:w="488" w:type="dxa"/>
            <w:tcBorders>
              <w:top w:val="nil"/>
              <w:left w:val="nil"/>
              <w:bottom w:val="single" w:sz="4" w:space="0" w:color="auto"/>
              <w:right w:val="single" w:sz="4" w:space="0" w:color="auto"/>
            </w:tcBorders>
            <w:noWrap/>
            <w:vAlign w:val="bottom"/>
            <w:hideMark/>
          </w:tcPr>
          <w:p w14:paraId="3477CBB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27.7%</w:t>
            </w:r>
          </w:p>
        </w:tc>
        <w:tc>
          <w:tcPr>
            <w:tcW w:w="488" w:type="dxa"/>
            <w:tcBorders>
              <w:top w:val="nil"/>
              <w:left w:val="nil"/>
              <w:bottom w:val="single" w:sz="4" w:space="0" w:color="auto"/>
              <w:right w:val="single" w:sz="4" w:space="0" w:color="auto"/>
            </w:tcBorders>
            <w:noWrap/>
            <w:vAlign w:val="bottom"/>
            <w:hideMark/>
          </w:tcPr>
          <w:p w14:paraId="72CE9AD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38.8%</w:t>
            </w:r>
          </w:p>
        </w:tc>
        <w:tc>
          <w:tcPr>
            <w:tcW w:w="442" w:type="dxa"/>
            <w:tcBorders>
              <w:top w:val="nil"/>
              <w:left w:val="nil"/>
              <w:bottom w:val="single" w:sz="4" w:space="0" w:color="auto"/>
              <w:right w:val="single" w:sz="4" w:space="0" w:color="auto"/>
            </w:tcBorders>
            <w:noWrap/>
            <w:vAlign w:val="bottom"/>
            <w:hideMark/>
          </w:tcPr>
          <w:p w14:paraId="7B17443B"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46A17DB3"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33.1%</w:t>
            </w:r>
          </w:p>
        </w:tc>
        <w:tc>
          <w:tcPr>
            <w:tcW w:w="488" w:type="dxa"/>
            <w:tcBorders>
              <w:top w:val="nil"/>
              <w:left w:val="nil"/>
              <w:bottom w:val="single" w:sz="4" w:space="0" w:color="auto"/>
              <w:right w:val="single" w:sz="4" w:space="0" w:color="auto"/>
            </w:tcBorders>
            <w:noWrap/>
            <w:vAlign w:val="bottom"/>
            <w:hideMark/>
          </w:tcPr>
          <w:p w14:paraId="3C60160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44.8%</w:t>
            </w:r>
          </w:p>
        </w:tc>
        <w:tc>
          <w:tcPr>
            <w:tcW w:w="441" w:type="dxa"/>
            <w:tcBorders>
              <w:top w:val="nil"/>
              <w:left w:val="nil"/>
              <w:bottom w:val="single" w:sz="4" w:space="0" w:color="auto"/>
              <w:right w:val="single" w:sz="4" w:space="0" w:color="auto"/>
            </w:tcBorders>
            <w:noWrap/>
            <w:vAlign w:val="bottom"/>
            <w:hideMark/>
          </w:tcPr>
          <w:p w14:paraId="4D397710"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9.3%</w:t>
            </w:r>
          </w:p>
        </w:tc>
        <w:tc>
          <w:tcPr>
            <w:tcW w:w="488" w:type="dxa"/>
            <w:tcBorders>
              <w:top w:val="nil"/>
              <w:left w:val="nil"/>
              <w:bottom w:val="single" w:sz="4" w:space="0" w:color="auto"/>
              <w:right w:val="single" w:sz="4" w:space="0" w:color="auto"/>
            </w:tcBorders>
            <w:noWrap/>
            <w:vAlign w:val="bottom"/>
            <w:hideMark/>
          </w:tcPr>
          <w:p w14:paraId="309971F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25.0%</w:t>
            </w:r>
          </w:p>
        </w:tc>
        <w:tc>
          <w:tcPr>
            <w:tcW w:w="488" w:type="dxa"/>
            <w:tcBorders>
              <w:top w:val="nil"/>
              <w:left w:val="nil"/>
              <w:bottom w:val="single" w:sz="4" w:space="0" w:color="auto"/>
              <w:right w:val="single" w:sz="4" w:space="0" w:color="auto"/>
            </w:tcBorders>
            <w:noWrap/>
            <w:vAlign w:val="bottom"/>
            <w:hideMark/>
          </w:tcPr>
          <w:p w14:paraId="09B5B95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36.3%</w:t>
            </w:r>
          </w:p>
        </w:tc>
        <w:tc>
          <w:tcPr>
            <w:tcW w:w="417" w:type="dxa"/>
            <w:tcBorders>
              <w:top w:val="nil"/>
              <w:left w:val="nil"/>
              <w:bottom w:val="single" w:sz="4" w:space="0" w:color="auto"/>
              <w:right w:val="single" w:sz="4" w:space="0" w:color="auto"/>
            </w:tcBorders>
            <w:noWrap/>
            <w:vAlign w:val="bottom"/>
            <w:hideMark/>
          </w:tcPr>
          <w:p w14:paraId="1B9429A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1E0FC158"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40.5%</w:t>
            </w:r>
          </w:p>
        </w:tc>
        <w:tc>
          <w:tcPr>
            <w:tcW w:w="488" w:type="dxa"/>
            <w:tcBorders>
              <w:top w:val="nil"/>
              <w:left w:val="nil"/>
              <w:bottom w:val="single" w:sz="4" w:space="0" w:color="auto"/>
              <w:right w:val="single" w:sz="4" w:space="0" w:color="auto"/>
            </w:tcBorders>
            <w:noWrap/>
            <w:vAlign w:val="bottom"/>
            <w:hideMark/>
          </w:tcPr>
          <w:p w14:paraId="5D790B3C"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28.2%</w:t>
            </w:r>
          </w:p>
        </w:tc>
        <w:tc>
          <w:tcPr>
            <w:tcW w:w="488" w:type="dxa"/>
            <w:tcBorders>
              <w:top w:val="nil"/>
              <w:left w:val="nil"/>
              <w:bottom w:val="single" w:sz="4" w:space="0" w:color="auto"/>
              <w:right w:val="single" w:sz="4" w:space="0" w:color="auto"/>
            </w:tcBorders>
            <w:noWrap/>
            <w:vAlign w:val="bottom"/>
            <w:hideMark/>
          </w:tcPr>
          <w:p w14:paraId="07B0D47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32.8%</w:t>
            </w:r>
          </w:p>
        </w:tc>
        <w:tc>
          <w:tcPr>
            <w:tcW w:w="488" w:type="dxa"/>
            <w:tcBorders>
              <w:top w:val="nil"/>
              <w:left w:val="nil"/>
              <w:bottom w:val="single" w:sz="4" w:space="0" w:color="auto"/>
              <w:right w:val="single" w:sz="4" w:space="0" w:color="auto"/>
            </w:tcBorders>
            <w:noWrap/>
            <w:vAlign w:val="bottom"/>
            <w:hideMark/>
          </w:tcPr>
          <w:p w14:paraId="25D3A0A4"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16.2%</w:t>
            </w:r>
          </w:p>
        </w:tc>
        <w:tc>
          <w:tcPr>
            <w:tcW w:w="488" w:type="dxa"/>
            <w:tcBorders>
              <w:top w:val="nil"/>
              <w:left w:val="nil"/>
              <w:bottom w:val="single" w:sz="4" w:space="0" w:color="auto"/>
              <w:right w:val="single" w:sz="4" w:space="0" w:color="auto"/>
            </w:tcBorders>
            <w:noWrap/>
            <w:vAlign w:val="bottom"/>
            <w:hideMark/>
          </w:tcPr>
          <w:p w14:paraId="42C66B06"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30.4%</w:t>
            </w:r>
          </w:p>
        </w:tc>
        <w:tc>
          <w:tcPr>
            <w:tcW w:w="488" w:type="dxa"/>
            <w:tcBorders>
              <w:top w:val="nil"/>
              <w:left w:val="nil"/>
              <w:bottom w:val="single" w:sz="4" w:space="0" w:color="auto"/>
              <w:right w:val="single" w:sz="4" w:space="0" w:color="auto"/>
            </w:tcBorders>
            <w:noWrap/>
            <w:vAlign w:val="bottom"/>
            <w:hideMark/>
          </w:tcPr>
          <w:p w14:paraId="5104AEE7"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35.0%</w:t>
            </w:r>
          </w:p>
        </w:tc>
        <w:tc>
          <w:tcPr>
            <w:tcW w:w="499" w:type="dxa"/>
            <w:tcBorders>
              <w:top w:val="nil"/>
              <w:left w:val="nil"/>
              <w:bottom w:val="single" w:sz="4" w:space="0" w:color="auto"/>
              <w:right w:val="single" w:sz="4" w:space="0" w:color="auto"/>
            </w:tcBorders>
            <w:noWrap/>
            <w:vAlign w:val="bottom"/>
            <w:hideMark/>
          </w:tcPr>
          <w:p w14:paraId="3BB6B912"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18.7%</w:t>
            </w:r>
          </w:p>
        </w:tc>
        <w:tc>
          <w:tcPr>
            <w:tcW w:w="488" w:type="dxa"/>
            <w:tcBorders>
              <w:top w:val="nil"/>
              <w:left w:val="nil"/>
              <w:bottom w:val="single" w:sz="4" w:space="0" w:color="auto"/>
              <w:right w:val="single" w:sz="4" w:space="0" w:color="auto"/>
            </w:tcBorders>
            <w:noWrap/>
            <w:vAlign w:val="bottom"/>
            <w:hideMark/>
          </w:tcPr>
          <w:p w14:paraId="6BE6C99E"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57.1%</w:t>
            </w:r>
          </w:p>
        </w:tc>
        <w:tc>
          <w:tcPr>
            <w:tcW w:w="488" w:type="dxa"/>
            <w:tcBorders>
              <w:top w:val="nil"/>
              <w:left w:val="nil"/>
              <w:bottom w:val="single" w:sz="4" w:space="0" w:color="auto"/>
              <w:right w:val="single" w:sz="4" w:space="0" w:color="auto"/>
            </w:tcBorders>
            <w:noWrap/>
            <w:vAlign w:val="bottom"/>
            <w:hideMark/>
          </w:tcPr>
          <w:p w14:paraId="0FD1A9B0" w14:textId="77777777" w:rsidR="00266B17" w:rsidRPr="00031298" w:rsidRDefault="00266B17" w:rsidP="00266B17">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63.9%</w:t>
            </w:r>
          </w:p>
        </w:tc>
      </w:tr>
    </w:tbl>
    <w:p w14:paraId="1F1F01FC" w14:textId="77777777" w:rsidR="00F4507E" w:rsidRPr="00031298" w:rsidRDefault="00F4507E">
      <w:pPr>
        <w:spacing w:after="0" w:line="240" w:lineRule="auto"/>
        <w:rPr>
          <w:lang w:val="en-GB"/>
        </w:rPr>
      </w:pPr>
      <w:r w:rsidRPr="00031298">
        <w:rPr>
          <w:lang w:val="en-GB"/>
        </w:rPr>
        <w:br w:type="page"/>
      </w:r>
    </w:p>
    <w:p w14:paraId="114A7C91" w14:textId="717AB29B" w:rsidR="00885BC5" w:rsidRPr="00031298" w:rsidRDefault="00885BC5" w:rsidP="00885BC5">
      <w:pPr>
        <w:pStyle w:val="Kpalrs"/>
        <w:keepNext/>
        <w:jc w:val="center"/>
        <w:rPr>
          <w:color w:val="auto"/>
          <w:sz w:val="22"/>
          <w:lang w:val="en-GB"/>
        </w:rPr>
      </w:pPr>
      <w:r w:rsidRPr="00031298">
        <w:rPr>
          <w:color w:val="auto"/>
          <w:sz w:val="22"/>
          <w:lang w:val="en-GB"/>
        </w:rPr>
        <w:lastRenderedPageBreak/>
        <w:t>Table 2: Stressed haircut table for green securities</w:t>
      </w:r>
    </w:p>
    <w:tbl>
      <w:tblPr>
        <w:tblW w:w="9491" w:type="dxa"/>
        <w:tblCellMar>
          <w:left w:w="70" w:type="dxa"/>
          <w:right w:w="70" w:type="dxa"/>
        </w:tblCellMar>
        <w:tblLook w:val="04A0" w:firstRow="1" w:lastRow="0" w:firstColumn="1" w:lastColumn="0" w:noHBand="0" w:noVBand="1"/>
      </w:tblPr>
      <w:tblGrid>
        <w:gridCol w:w="704"/>
        <w:gridCol w:w="567"/>
        <w:gridCol w:w="625"/>
        <w:gridCol w:w="489"/>
        <w:gridCol w:w="489"/>
        <w:gridCol w:w="418"/>
        <w:gridCol w:w="489"/>
        <w:gridCol w:w="489"/>
        <w:gridCol w:w="418"/>
        <w:gridCol w:w="489"/>
        <w:gridCol w:w="489"/>
        <w:gridCol w:w="418"/>
        <w:gridCol w:w="489"/>
        <w:gridCol w:w="489"/>
        <w:gridCol w:w="489"/>
        <w:gridCol w:w="489"/>
        <w:gridCol w:w="489"/>
        <w:gridCol w:w="489"/>
        <w:gridCol w:w="489"/>
      </w:tblGrid>
      <w:tr w:rsidR="0067086E" w:rsidRPr="00031298" w14:paraId="1E6D9D1A" w14:textId="77777777" w:rsidTr="0067086E">
        <w:trPr>
          <w:trHeight w:val="195"/>
        </w:trPr>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7B0F1E5E" w14:textId="77777777" w:rsidR="0067086E" w:rsidRPr="00031298" w:rsidRDefault="0067086E" w:rsidP="0067086E">
            <w:pPr>
              <w:spacing w:after="0" w:line="240" w:lineRule="auto"/>
              <w:jc w:val="center"/>
              <w:rPr>
                <w:rFonts w:eastAsia="Times New Roman" w:cs="Calibri"/>
                <w:color w:val="000000"/>
                <w:sz w:val="14"/>
                <w:szCs w:val="14"/>
                <w:lang w:val="en-GB"/>
              </w:rPr>
            </w:pPr>
            <w:bookmarkStart w:id="0" w:name="_Hlk181275303"/>
            <w:r w:rsidRPr="00031298">
              <w:rPr>
                <w:rFonts w:eastAsia="Times New Roman" w:cs="Calibri"/>
                <w:color w:val="000000"/>
                <w:sz w:val="14"/>
                <w:szCs w:val="14"/>
                <w:lang w:val="en-GB"/>
              </w:rPr>
              <w:t>Maturity (years)</w:t>
            </w:r>
          </w:p>
        </w:tc>
        <w:tc>
          <w:tcPr>
            <w:tcW w:w="1192" w:type="dxa"/>
            <w:gridSpan w:val="2"/>
            <w:tcBorders>
              <w:top w:val="single" w:sz="4" w:space="0" w:color="auto"/>
              <w:left w:val="nil"/>
              <w:bottom w:val="single" w:sz="4" w:space="0" w:color="auto"/>
              <w:right w:val="single" w:sz="4" w:space="0" w:color="auto"/>
            </w:tcBorders>
            <w:shd w:val="clear" w:color="000000" w:fill="D9D9D9"/>
            <w:noWrap/>
            <w:vAlign w:val="center"/>
            <w:hideMark/>
          </w:tcPr>
          <w:p w14:paraId="0E0CFE27"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L1</w:t>
            </w:r>
          </w:p>
        </w:tc>
        <w:tc>
          <w:tcPr>
            <w:tcW w:w="13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237ED757"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L2</w:t>
            </w:r>
          </w:p>
        </w:tc>
        <w:tc>
          <w:tcPr>
            <w:tcW w:w="13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417EEC9"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L3</w:t>
            </w:r>
          </w:p>
        </w:tc>
        <w:tc>
          <w:tcPr>
            <w:tcW w:w="13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530681E"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L4</w:t>
            </w:r>
          </w:p>
        </w:tc>
        <w:tc>
          <w:tcPr>
            <w:tcW w:w="1464"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D170B3C"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L6</w:t>
            </w:r>
          </w:p>
        </w:tc>
        <w:tc>
          <w:tcPr>
            <w:tcW w:w="1464"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816C974"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L7</w:t>
            </w:r>
          </w:p>
        </w:tc>
        <w:tc>
          <w:tcPr>
            <w:tcW w:w="4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3B13A6"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L8</w:t>
            </w:r>
          </w:p>
        </w:tc>
      </w:tr>
      <w:tr w:rsidR="0067086E" w:rsidRPr="00031298" w14:paraId="51751801" w14:textId="77777777" w:rsidTr="0067086E">
        <w:trPr>
          <w:trHeight w:val="19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E30A118" w14:textId="77777777" w:rsidR="0067086E" w:rsidRPr="00031298" w:rsidRDefault="0067086E" w:rsidP="0067086E">
            <w:pPr>
              <w:spacing w:after="0" w:line="240" w:lineRule="auto"/>
              <w:rPr>
                <w:rFonts w:eastAsia="Times New Roman" w:cs="Calibri"/>
                <w:color w:val="000000"/>
                <w:sz w:val="14"/>
                <w:szCs w:val="14"/>
                <w:lang w:val="en-GB"/>
              </w:rPr>
            </w:pPr>
          </w:p>
        </w:tc>
        <w:tc>
          <w:tcPr>
            <w:tcW w:w="567" w:type="dxa"/>
            <w:tcBorders>
              <w:top w:val="nil"/>
              <w:left w:val="nil"/>
              <w:bottom w:val="single" w:sz="4" w:space="0" w:color="auto"/>
              <w:right w:val="single" w:sz="4" w:space="0" w:color="auto"/>
            </w:tcBorders>
            <w:shd w:val="clear" w:color="000000" w:fill="D9D9D9"/>
            <w:noWrap/>
            <w:vAlign w:val="center"/>
            <w:hideMark/>
          </w:tcPr>
          <w:p w14:paraId="5AA10DD4"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625" w:type="dxa"/>
            <w:tcBorders>
              <w:top w:val="nil"/>
              <w:left w:val="nil"/>
              <w:bottom w:val="single" w:sz="4" w:space="0" w:color="auto"/>
              <w:right w:val="single" w:sz="4" w:space="0" w:color="auto"/>
            </w:tcBorders>
            <w:shd w:val="clear" w:color="000000" w:fill="D9D9D9"/>
            <w:noWrap/>
            <w:vAlign w:val="center"/>
            <w:hideMark/>
          </w:tcPr>
          <w:p w14:paraId="6F9C5E72"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88" w:type="dxa"/>
            <w:tcBorders>
              <w:top w:val="nil"/>
              <w:left w:val="nil"/>
              <w:bottom w:val="single" w:sz="4" w:space="0" w:color="auto"/>
              <w:right w:val="single" w:sz="4" w:space="0" w:color="auto"/>
            </w:tcBorders>
            <w:shd w:val="clear" w:color="000000" w:fill="D9D9D9"/>
            <w:noWrap/>
            <w:vAlign w:val="center"/>
            <w:hideMark/>
          </w:tcPr>
          <w:p w14:paraId="5CE032D9"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200B9D5B"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17" w:type="dxa"/>
            <w:tcBorders>
              <w:top w:val="nil"/>
              <w:left w:val="nil"/>
              <w:bottom w:val="single" w:sz="4" w:space="0" w:color="auto"/>
              <w:right w:val="single" w:sz="4" w:space="0" w:color="auto"/>
            </w:tcBorders>
            <w:shd w:val="clear" w:color="000000" w:fill="D9D9D9"/>
            <w:noWrap/>
            <w:vAlign w:val="center"/>
            <w:hideMark/>
          </w:tcPr>
          <w:p w14:paraId="78A05C76"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tcBorders>
              <w:top w:val="nil"/>
              <w:left w:val="nil"/>
              <w:bottom w:val="single" w:sz="4" w:space="0" w:color="auto"/>
              <w:right w:val="single" w:sz="4" w:space="0" w:color="auto"/>
            </w:tcBorders>
            <w:shd w:val="clear" w:color="000000" w:fill="D9D9D9"/>
            <w:noWrap/>
            <w:vAlign w:val="center"/>
            <w:hideMark/>
          </w:tcPr>
          <w:p w14:paraId="3B0801BF"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3D37BF00"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17" w:type="dxa"/>
            <w:tcBorders>
              <w:top w:val="nil"/>
              <w:left w:val="nil"/>
              <w:bottom w:val="single" w:sz="4" w:space="0" w:color="auto"/>
              <w:right w:val="single" w:sz="4" w:space="0" w:color="auto"/>
            </w:tcBorders>
            <w:shd w:val="clear" w:color="000000" w:fill="D9D9D9"/>
            <w:noWrap/>
            <w:vAlign w:val="center"/>
            <w:hideMark/>
          </w:tcPr>
          <w:p w14:paraId="1EA728D6"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tcBorders>
              <w:top w:val="nil"/>
              <w:left w:val="nil"/>
              <w:bottom w:val="single" w:sz="4" w:space="0" w:color="auto"/>
              <w:right w:val="single" w:sz="4" w:space="0" w:color="auto"/>
            </w:tcBorders>
            <w:shd w:val="clear" w:color="000000" w:fill="D9D9D9"/>
            <w:noWrap/>
            <w:vAlign w:val="center"/>
            <w:hideMark/>
          </w:tcPr>
          <w:p w14:paraId="0DD65850"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73069BDF"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17" w:type="dxa"/>
            <w:tcBorders>
              <w:top w:val="nil"/>
              <w:left w:val="nil"/>
              <w:bottom w:val="single" w:sz="4" w:space="0" w:color="auto"/>
              <w:right w:val="single" w:sz="4" w:space="0" w:color="auto"/>
            </w:tcBorders>
            <w:shd w:val="clear" w:color="000000" w:fill="D9D9D9"/>
            <w:noWrap/>
            <w:vAlign w:val="center"/>
            <w:hideMark/>
          </w:tcPr>
          <w:p w14:paraId="5F96BDA9"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tcBorders>
              <w:top w:val="nil"/>
              <w:left w:val="nil"/>
              <w:bottom w:val="single" w:sz="4" w:space="0" w:color="auto"/>
              <w:right w:val="single" w:sz="4" w:space="0" w:color="auto"/>
            </w:tcBorders>
            <w:shd w:val="clear" w:color="000000" w:fill="D9D9D9"/>
            <w:noWrap/>
            <w:vAlign w:val="center"/>
            <w:hideMark/>
          </w:tcPr>
          <w:p w14:paraId="34F6DBC7"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7D5A43E5"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88" w:type="dxa"/>
            <w:tcBorders>
              <w:top w:val="nil"/>
              <w:left w:val="nil"/>
              <w:bottom w:val="single" w:sz="4" w:space="0" w:color="auto"/>
              <w:right w:val="single" w:sz="4" w:space="0" w:color="auto"/>
            </w:tcBorders>
            <w:shd w:val="clear" w:color="000000" w:fill="D9D9D9"/>
            <w:noWrap/>
            <w:vAlign w:val="center"/>
            <w:hideMark/>
          </w:tcPr>
          <w:p w14:paraId="0AEBA9E5"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tcBorders>
              <w:top w:val="nil"/>
              <w:left w:val="nil"/>
              <w:bottom w:val="single" w:sz="4" w:space="0" w:color="auto"/>
              <w:right w:val="single" w:sz="4" w:space="0" w:color="auto"/>
            </w:tcBorders>
            <w:shd w:val="clear" w:color="000000" w:fill="D9D9D9"/>
            <w:noWrap/>
            <w:vAlign w:val="center"/>
            <w:hideMark/>
          </w:tcPr>
          <w:p w14:paraId="0DE179DB"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488" w:type="dxa"/>
            <w:tcBorders>
              <w:top w:val="nil"/>
              <w:left w:val="nil"/>
              <w:bottom w:val="single" w:sz="4" w:space="0" w:color="auto"/>
              <w:right w:val="single" w:sz="4" w:space="0" w:color="auto"/>
            </w:tcBorders>
            <w:shd w:val="clear" w:color="000000" w:fill="D9D9D9"/>
            <w:noWrap/>
            <w:vAlign w:val="center"/>
            <w:hideMark/>
          </w:tcPr>
          <w:p w14:paraId="1E0C7ADC"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488" w:type="dxa"/>
            <w:tcBorders>
              <w:top w:val="nil"/>
              <w:left w:val="nil"/>
              <w:bottom w:val="single" w:sz="4" w:space="0" w:color="auto"/>
              <w:right w:val="single" w:sz="4" w:space="0" w:color="auto"/>
            </w:tcBorders>
            <w:shd w:val="clear" w:color="000000" w:fill="D9D9D9"/>
            <w:noWrap/>
            <w:vAlign w:val="center"/>
            <w:hideMark/>
          </w:tcPr>
          <w:p w14:paraId="5FD21B84" w14:textId="77777777" w:rsidR="0067086E" w:rsidRPr="00031298" w:rsidRDefault="0067086E" w:rsidP="0067086E">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c>
          <w:tcPr>
            <w:tcW w:w="488" w:type="dxa"/>
            <w:vMerge/>
            <w:tcBorders>
              <w:top w:val="single" w:sz="4" w:space="0" w:color="auto"/>
              <w:left w:val="single" w:sz="4" w:space="0" w:color="auto"/>
              <w:bottom w:val="single" w:sz="4" w:space="0" w:color="auto"/>
              <w:right w:val="single" w:sz="4" w:space="0" w:color="auto"/>
            </w:tcBorders>
            <w:vAlign w:val="center"/>
            <w:hideMark/>
          </w:tcPr>
          <w:p w14:paraId="1A768FBD" w14:textId="77777777" w:rsidR="0067086E" w:rsidRPr="00031298" w:rsidRDefault="0067086E" w:rsidP="0067086E">
            <w:pPr>
              <w:spacing w:after="0" w:line="240" w:lineRule="auto"/>
              <w:rPr>
                <w:rFonts w:eastAsia="Times New Roman" w:cs="Calibri"/>
                <w:color w:val="000000"/>
                <w:sz w:val="14"/>
                <w:szCs w:val="14"/>
                <w:lang w:val="en-GB"/>
              </w:rPr>
            </w:pPr>
          </w:p>
        </w:tc>
      </w:tr>
      <w:tr w:rsidR="0067086E" w:rsidRPr="00031298" w14:paraId="2E4F30CB" w14:textId="77777777" w:rsidTr="0067086E">
        <w:trPr>
          <w:trHeight w:val="195"/>
        </w:trPr>
        <w:tc>
          <w:tcPr>
            <w:tcW w:w="704" w:type="dxa"/>
            <w:tcBorders>
              <w:top w:val="nil"/>
              <w:left w:val="single" w:sz="4" w:space="0" w:color="auto"/>
              <w:bottom w:val="single" w:sz="4" w:space="0" w:color="auto"/>
              <w:right w:val="single" w:sz="4" w:space="0" w:color="auto"/>
            </w:tcBorders>
            <w:noWrap/>
            <w:vAlign w:val="bottom"/>
            <w:hideMark/>
          </w:tcPr>
          <w:p w14:paraId="1426D01C" w14:textId="77777777" w:rsidR="0067086E" w:rsidRPr="00031298" w:rsidRDefault="0067086E" w:rsidP="0067086E">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0–0.5</w:t>
            </w:r>
          </w:p>
        </w:tc>
        <w:tc>
          <w:tcPr>
            <w:tcW w:w="567" w:type="dxa"/>
            <w:tcBorders>
              <w:top w:val="nil"/>
              <w:left w:val="nil"/>
              <w:bottom w:val="single" w:sz="4" w:space="0" w:color="auto"/>
              <w:right w:val="single" w:sz="4" w:space="0" w:color="auto"/>
            </w:tcBorders>
            <w:noWrap/>
            <w:vAlign w:val="bottom"/>
            <w:hideMark/>
          </w:tcPr>
          <w:p w14:paraId="300A6B4F"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w:t>
            </w:r>
          </w:p>
        </w:tc>
        <w:tc>
          <w:tcPr>
            <w:tcW w:w="625" w:type="dxa"/>
            <w:tcBorders>
              <w:top w:val="nil"/>
              <w:left w:val="nil"/>
              <w:bottom w:val="single" w:sz="4" w:space="0" w:color="auto"/>
              <w:right w:val="single" w:sz="4" w:space="0" w:color="auto"/>
            </w:tcBorders>
            <w:noWrap/>
            <w:vAlign w:val="bottom"/>
            <w:hideMark/>
          </w:tcPr>
          <w:p w14:paraId="1AC384D3"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w:t>
            </w:r>
          </w:p>
        </w:tc>
        <w:tc>
          <w:tcPr>
            <w:tcW w:w="488" w:type="dxa"/>
            <w:tcBorders>
              <w:top w:val="nil"/>
              <w:left w:val="nil"/>
              <w:bottom w:val="single" w:sz="4" w:space="0" w:color="auto"/>
              <w:right w:val="single" w:sz="4" w:space="0" w:color="auto"/>
            </w:tcBorders>
            <w:noWrap/>
            <w:vAlign w:val="bottom"/>
            <w:hideMark/>
          </w:tcPr>
          <w:p w14:paraId="59CB654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2.4%</w:t>
            </w:r>
          </w:p>
        </w:tc>
        <w:tc>
          <w:tcPr>
            <w:tcW w:w="488" w:type="dxa"/>
            <w:tcBorders>
              <w:top w:val="nil"/>
              <w:left w:val="nil"/>
              <w:bottom w:val="single" w:sz="4" w:space="0" w:color="auto"/>
              <w:right w:val="single" w:sz="4" w:space="0" w:color="auto"/>
            </w:tcBorders>
            <w:noWrap/>
            <w:vAlign w:val="bottom"/>
            <w:hideMark/>
          </w:tcPr>
          <w:p w14:paraId="6AF9FBD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2.4%</w:t>
            </w:r>
          </w:p>
        </w:tc>
        <w:tc>
          <w:tcPr>
            <w:tcW w:w="417" w:type="dxa"/>
            <w:tcBorders>
              <w:top w:val="nil"/>
              <w:left w:val="nil"/>
              <w:bottom w:val="single" w:sz="4" w:space="0" w:color="auto"/>
              <w:right w:val="single" w:sz="4" w:space="0" w:color="auto"/>
            </w:tcBorders>
            <w:noWrap/>
            <w:vAlign w:val="bottom"/>
            <w:hideMark/>
          </w:tcPr>
          <w:p w14:paraId="13400C4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2.3%</w:t>
            </w:r>
          </w:p>
        </w:tc>
        <w:tc>
          <w:tcPr>
            <w:tcW w:w="488" w:type="dxa"/>
            <w:tcBorders>
              <w:top w:val="nil"/>
              <w:left w:val="nil"/>
              <w:bottom w:val="single" w:sz="4" w:space="0" w:color="auto"/>
              <w:right w:val="single" w:sz="4" w:space="0" w:color="auto"/>
            </w:tcBorders>
            <w:noWrap/>
            <w:vAlign w:val="bottom"/>
            <w:hideMark/>
          </w:tcPr>
          <w:p w14:paraId="1B24B6A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2.9%</w:t>
            </w:r>
          </w:p>
        </w:tc>
        <w:tc>
          <w:tcPr>
            <w:tcW w:w="488" w:type="dxa"/>
            <w:tcBorders>
              <w:top w:val="nil"/>
              <w:left w:val="nil"/>
              <w:bottom w:val="single" w:sz="4" w:space="0" w:color="auto"/>
              <w:right w:val="single" w:sz="4" w:space="0" w:color="auto"/>
            </w:tcBorders>
            <w:noWrap/>
            <w:vAlign w:val="bottom"/>
            <w:hideMark/>
          </w:tcPr>
          <w:p w14:paraId="6A80B003"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2.9%</w:t>
            </w:r>
          </w:p>
        </w:tc>
        <w:tc>
          <w:tcPr>
            <w:tcW w:w="417" w:type="dxa"/>
            <w:tcBorders>
              <w:top w:val="nil"/>
              <w:left w:val="nil"/>
              <w:bottom w:val="single" w:sz="4" w:space="0" w:color="auto"/>
              <w:right w:val="single" w:sz="4" w:space="0" w:color="auto"/>
            </w:tcBorders>
            <w:noWrap/>
            <w:vAlign w:val="bottom"/>
            <w:hideMark/>
          </w:tcPr>
          <w:p w14:paraId="65ED4086"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59D141ED"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2.4%</w:t>
            </w:r>
          </w:p>
        </w:tc>
        <w:tc>
          <w:tcPr>
            <w:tcW w:w="488" w:type="dxa"/>
            <w:tcBorders>
              <w:top w:val="nil"/>
              <w:left w:val="nil"/>
              <w:bottom w:val="single" w:sz="4" w:space="0" w:color="auto"/>
              <w:right w:val="single" w:sz="4" w:space="0" w:color="auto"/>
            </w:tcBorders>
            <w:noWrap/>
            <w:vAlign w:val="bottom"/>
            <w:hideMark/>
          </w:tcPr>
          <w:p w14:paraId="4BDAF47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2.4%</w:t>
            </w:r>
          </w:p>
        </w:tc>
        <w:tc>
          <w:tcPr>
            <w:tcW w:w="417" w:type="dxa"/>
            <w:tcBorders>
              <w:top w:val="nil"/>
              <w:left w:val="nil"/>
              <w:bottom w:val="single" w:sz="4" w:space="0" w:color="auto"/>
              <w:right w:val="single" w:sz="4" w:space="0" w:color="auto"/>
            </w:tcBorders>
            <w:noWrap/>
            <w:vAlign w:val="bottom"/>
            <w:hideMark/>
          </w:tcPr>
          <w:p w14:paraId="29E265F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2.3%</w:t>
            </w:r>
          </w:p>
        </w:tc>
        <w:tc>
          <w:tcPr>
            <w:tcW w:w="488" w:type="dxa"/>
            <w:tcBorders>
              <w:top w:val="nil"/>
              <w:left w:val="nil"/>
              <w:bottom w:val="single" w:sz="4" w:space="0" w:color="auto"/>
              <w:right w:val="single" w:sz="4" w:space="0" w:color="auto"/>
            </w:tcBorders>
            <w:noWrap/>
            <w:vAlign w:val="bottom"/>
            <w:hideMark/>
          </w:tcPr>
          <w:p w14:paraId="6D6F30B6"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5DACB0D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4509630D"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1429CAF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225CD02F"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5DAB5C1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11F9917D"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3.9%</w:t>
            </w:r>
          </w:p>
        </w:tc>
      </w:tr>
      <w:tr w:rsidR="0067086E" w:rsidRPr="00031298" w14:paraId="4219635D" w14:textId="77777777" w:rsidTr="0067086E">
        <w:trPr>
          <w:trHeight w:val="195"/>
        </w:trPr>
        <w:tc>
          <w:tcPr>
            <w:tcW w:w="704" w:type="dxa"/>
            <w:tcBorders>
              <w:top w:val="nil"/>
              <w:left w:val="single" w:sz="4" w:space="0" w:color="auto"/>
              <w:bottom w:val="single" w:sz="4" w:space="0" w:color="auto"/>
              <w:right w:val="single" w:sz="4" w:space="0" w:color="auto"/>
            </w:tcBorders>
            <w:noWrap/>
            <w:vAlign w:val="bottom"/>
            <w:hideMark/>
          </w:tcPr>
          <w:p w14:paraId="2F0FA10E" w14:textId="77777777" w:rsidR="0067086E" w:rsidRPr="00031298" w:rsidRDefault="0067086E" w:rsidP="0067086E">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0.5–1</w:t>
            </w:r>
          </w:p>
        </w:tc>
        <w:tc>
          <w:tcPr>
            <w:tcW w:w="567" w:type="dxa"/>
            <w:tcBorders>
              <w:top w:val="nil"/>
              <w:left w:val="nil"/>
              <w:bottom w:val="single" w:sz="4" w:space="0" w:color="auto"/>
              <w:right w:val="single" w:sz="4" w:space="0" w:color="auto"/>
            </w:tcBorders>
            <w:noWrap/>
            <w:vAlign w:val="bottom"/>
            <w:hideMark/>
          </w:tcPr>
          <w:p w14:paraId="05A2709A"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1.8%</w:t>
            </w:r>
          </w:p>
        </w:tc>
        <w:tc>
          <w:tcPr>
            <w:tcW w:w="625" w:type="dxa"/>
            <w:tcBorders>
              <w:top w:val="nil"/>
              <w:left w:val="nil"/>
              <w:bottom w:val="single" w:sz="4" w:space="0" w:color="auto"/>
              <w:right w:val="single" w:sz="4" w:space="0" w:color="auto"/>
            </w:tcBorders>
            <w:noWrap/>
            <w:vAlign w:val="bottom"/>
            <w:hideMark/>
          </w:tcPr>
          <w:p w14:paraId="43C6879B"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1.8%</w:t>
            </w:r>
          </w:p>
        </w:tc>
        <w:tc>
          <w:tcPr>
            <w:tcW w:w="488" w:type="dxa"/>
            <w:tcBorders>
              <w:top w:val="nil"/>
              <w:left w:val="nil"/>
              <w:bottom w:val="single" w:sz="4" w:space="0" w:color="auto"/>
              <w:right w:val="single" w:sz="4" w:space="0" w:color="auto"/>
            </w:tcBorders>
            <w:noWrap/>
            <w:vAlign w:val="bottom"/>
            <w:hideMark/>
          </w:tcPr>
          <w:p w14:paraId="324D1FF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53D0650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17" w:type="dxa"/>
            <w:tcBorders>
              <w:top w:val="nil"/>
              <w:left w:val="nil"/>
              <w:bottom w:val="single" w:sz="4" w:space="0" w:color="auto"/>
              <w:right w:val="single" w:sz="4" w:space="0" w:color="auto"/>
            </w:tcBorders>
            <w:noWrap/>
            <w:vAlign w:val="bottom"/>
            <w:hideMark/>
          </w:tcPr>
          <w:p w14:paraId="7CC19C81"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2A9DF993"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097C47D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17" w:type="dxa"/>
            <w:tcBorders>
              <w:top w:val="nil"/>
              <w:left w:val="nil"/>
              <w:bottom w:val="single" w:sz="4" w:space="0" w:color="auto"/>
              <w:right w:val="single" w:sz="4" w:space="0" w:color="auto"/>
            </w:tcBorders>
            <w:noWrap/>
            <w:vAlign w:val="bottom"/>
            <w:hideMark/>
          </w:tcPr>
          <w:p w14:paraId="7FDD7306"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6D929E8B"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2CD933F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17" w:type="dxa"/>
            <w:tcBorders>
              <w:top w:val="nil"/>
              <w:left w:val="nil"/>
              <w:bottom w:val="single" w:sz="4" w:space="0" w:color="auto"/>
              <w:right w:val="single" w:sz="4" w:space="0" w:color="auto"/>
            </w:tcBorders>
            <w:noWrap/>
            <w:vAlign w:val="bottom"/>
            <w:hideMark/>
          </w:tcPr>
          <w:p w14:paraId="23AB026A"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7288702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774270B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4AEBD8E7"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54ECF274"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211E327F"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1E83EA43"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45BEC1B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5.3%</w:t>
            </w:r>
          </w:p>
        </w:tc>
      </w:tr>
      <w:tr w:rsidR="0067086E" w:rsidRPr="00031298" w14:paraId="5B7918E9" w14:textId="77777777" w:rsidTr="0067086E">
        <w:trPr>
          <w:trHeight w:val="195"/>
        </w:trPr>
        <w:tc>
          <w:tcPr>
            <w:tcW w:w="704" w:type="dxa"/>
            <w:tcBorders>
              <w:top w:val="nil"/>
              <w:left w:val="single" w:sz="4" w:space="0" w:color="auto"/>
              <w:bottom w:val="single" w:sz="4" w:space="0" w:color="auto"/>
              <w:right w:val="single" w:sz="4" w:space="0" w:color="auto"/>
            </w:tcBorders>
            <w:noWrap/>
            <w:vAlign w:val="bottom"/>
            <w:hideMark/>
          </w:tcPr>
          <w:p w14:paraId="6305CC3C" w14:textId="77777777" w:rsidR="0067086E" w:rsidRPr="00031298" w:rsidRDefault="0067086E" w:rsidP="0067086E">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1–3</w:t>
            </w:r>
          </w:p>
        </w:tc>
        <w:tc>
          <w:tcPr>
            <w:tcW w:w="567" w:type="dxa"/>
            <w:tcBorders>
              <w:top w:val="nil"/>
              <w:left w:val="nil"/>
              <w:bottom w:val="single" w:sz="4" w:space="0" w:color="auto"/>
              <w:right w:val="single" w:sz="4" w:space="0" w:color="auto"/>
            </w:tcBorders>
            <w:noWrap/>
            <w:vAlign w:val="bottom"/>
            <w:hideMark/>
          </w:tcPr>
          <w:p w14:paraId="707917C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4.7%</w:t>
            </w:r>
          </w:p>
        </w:tc>
        <w:tc>
          <w:tcPr>
            <w:tcW w:w="625" w:type="dxa"/>
            <w:tcBorders>
              <w:top w:val="nil"/>
              <w:left w:val="nil"/>
              <w:bottom w:val="single" w:sz="4" w:space="0" w:color="auto"/>
              <w:right w:val="single" w:sz="4" w:space="0" w:color="auto"/>
            </w:tcBorders>
            <w:noWrap/>
            <w:vAlign w:val="bottom"/>
            <w:hideMark/>
          </w:tcPr>
          <w:p w14:paraId="7091078D"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4.9%</w:t>
            </w:r>
          </w:p>
        </w:tc>
        <w:tc>
          <w:tcPr>
            <w:tcW w:w="488" w:type="dxa"/>
            <w:tcBorders>
              <w:top w:val="nil"/>
              <w:left w:val="nil"/>
              <w:bottom w:val="single" w:sz="4" w:space="0" w:color="auto"/>
              <w:right w:val="single" w:sz="4" w:space="0" w:color="auto"/>
            </w:tcBorders>
            <w:noWrap/>
            <w:vAlign w:val="bottom"/>
            <w:hideMark/>
          </w:tcPr>
          <w:p w14:paraId="06DB8E28"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6.6%</w:t>
            </w:r>
          </w:p>
        </w:tc>
        <w:tc>
          <w:tcPr>
            <w:tcW w:w="488" w:type="dxa"/>
            <w:tcBorders>
              <w:top w:val="nil"/>
              <w:left w:val="nil"/>
              <w:bottom w:val="single" w:sz="4" w:space="0" w:color="auto"/>
              <w:right w:val="single" w:sz="4" w:space="0" w:color="auto"/>
            </w:tcBorders>
            <w:noWrap/>
            <w:vAlign w:val="bottom"/>
            <w:hideMark/>
          </w:tcPr>
          <w:p w14:paraId="2FE95798"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6.8%</w:t>
            </w:r>
          </w:p>
        </w:tc>
        <w:tc>
          <w:tcPr>
            <w:tcW w:w="417" w:type="dxa"/>
            <w:tcBorders>
              <w:top w:val="nil"/>
              <w:left w:val="nil"/>
              <w:bottom w:val="single" w:sz="4" w:space="0" w:color="auto"/>
              <w:right w:val="single" w:sz="4" w:space="0" w:color="auto"/>
            </w:tcBorders>
            <w:noWrap/>
            <w:vAlign w:val="bottom"/>
            <w:hideMark/>
          </w:tcPr>
          <w:p w14:paraId="25D22B8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0ADB99B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7.1%</w:t>
            </w:r>
          </w:p>
        </w:tc>
        <w:tc>
          <w:tcPr>
            <w:tcW w:w="488" w:type="dxa"/>
            <w:tcBorders>
              <w:top w:val="nil"/>
              <w:left w:val="nil"/>
              <w:bottom w:val="single" w:sz="4" w:space="0" w:color="auto"/>
              <w:right w:val="single" w:sz="4" w:space="0" w:color="auto"/>
            </w:tcBorders>
            <w:noWrap/>
            <w:vAlign w:val="bottom"/>
            <w:hideMark/>
          </w:tcPr>
          <w:p w14:paraId="25A45DD1"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7.8%</w:t>
            </w:r>
          </w:p>
        </w:tc>
        <w:tc>
          <w:tcPr>
            <w:tcW w:w="417" w:type="dxa"/>
            <w:tcBorders>
              <w:top w:val="nil"/>
              <w:left w:val="nil"/>
              <w:bottom w:val="single" w:sz="4" w:space="0" w:color="auto"/>
              <w:right w:val="single" w:sz="4" w:space="0" w:color="auto"/>
            </w:tcBorders>
            <w:noWrap/>
            <w:vAlign w:val="bottom"/>
            <w:hideMark/>
          </w:tcPr>
          <w:p w14:paraId="2DAFE31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4FA7736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6.2%</w:t>
            </w:r>
          </w:p>
        </w:tc>
        <w:tc>
          <w:tcPr>
            <w:tcW w:w="488" w:type="dxa"/>
            <w:tcBorders>
              <w:top w:val="nil"/>
              <w:left w:val="nil"/>
              <w:bottom w:val="single" w:sz="4" w:space="0" w:color="auto"/>
              <w:right w:val="single" w:sz="4" w:space="0" w:color="auto"/>
            </w:tcBorders>
            <w:noWrap/>
            <w:vAlign w:val="bottom"/>
            <w:hideMark/>
          </w:tcPr>
          <w:p w14:paraId="6602D091"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6.3%</w:t>
            </w:r>
          </w:p>
        </w:tc>
        <w:tc>
          <w:tcPr>
            <w:tcW w:w="417" w:type="dxa"/>
            <w:tcBorders>
              <w:top w:val="nil"/>
              <w:left w:val="nil"/>
              <w:bottom w:val="single" w:sz="4" w:space="0" w:color="auto"/>
              <w:right w:val="single" w:sz="4" w:space="0" w:color="auto"/>
            </w:tcBorders>
            <w:noWrap/>
            <w:vAlign w:val="bottom"/>
            <w:hideMark/>
          </w:tcPr>
          <w:p w14:paraId="15083394"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76AF73A1"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9.1%</w:t>
            </w:r>
          </w:p>
        </w:tc>
        <w:tc>
          <w:tcPr>
            <w:tcW w:w="488" w:type="dxa"/>
            <w:tcBorders>
              <w:top w:val="nil"/>
              <w:left w:val="nil"/>
              <w:bottom w:val="single" w:sz="4" w:space="0" w:color="auto"/>
              <w:right w:val="single" w:sz="4" w:space="0" w:color="auto"/>
            </w:tcBorders>
            <w:noWrap/>
            <w:vAlign w:val="bottom"/>
            <w:hideMark/>
          </w:tcPr>
          <w:p w14:paraId="43F3D08A"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9.2%</w:t>
            </w:r>
          </w:p>
        </w:tc>
        <w:tc>
          <w:tcPr>
            <w:tcW w:w="488" w:type="dxa"/>
            <w:tcBorders>
              <w:top w:val="nil"/>
              <w:left w:val="nil"/>
              <w:bottom w:val="single" w:sz="4" w:space="0" w:color="auto"/>
              <w:right w:val="single" w:sz="4" w:space="0" w:color="auto"/>
            </w:tcBorders>
            <w:noWrap/>
            <w:vAlign w:val="bottom"/>
            <w:hideMark/>
          </w:tcPr>
          <w:p w14:paraId="7B940B1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7.3%</w:t>
            </w:r>
          </w:p>
        </w:tc>
        <w:tc>
          <w:tcPr>
            <w:tcW w:w="488" w:type="dxa"/>
            <w:tcBorders>
              <w:top w:val="nil"/>
              <w:left w:val="nil"/>
              <w:bottom w:val="single" w:sz="4" w:space="0" w:color="auto"/>
              <w:right w:val="single" w:sz="4" w:space="0" w:color="auto"/>
            </w:tcBorders>
            <w:noWrap/>
            <w:vAlign w:val="bottom"/>
            <w:hideMark/>
          </w:tcPr>
          <w:p w14:paraId="797A135F"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9.6%</w:t>
            </w:r>
          </w:p>
        </w:tc>
        <w:tc>
          <w:tcPr>
            <w:tcW w:w="488" w:type="dxa"/>
            <w:tcBorders>
              <w:top w:val="nil"/>
              <w:left w:val="nil"/>
              <w:bottom w:val="single" w:sz="4" w:space="0" w:color="auto"/>
              <w:right w:val="single" w:sz="4" w:space="0" w:color="auto"/>
            </w:tcBorders>
            <w:noWrap/>
            <w:vAlign w:val="bottom"/>
            <w:hideMark/>
          </w:tcPr>
          <w:p w14:paraId="5B460F5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9.7%</w:t>
            </w:r>
          </w:p>
        </w:tc>
        <w:tc>
          <w:tcPr>
            <w:tcW w:w="488" w:type="dxa"/>
            <w:tcBorders>
              <w:top w:val="nil"/>
              <w:left w:val="nil"/>
              <w:bottom w:val="single" w:sz="4" w:space="0" w:color="auto"/>
              <w:right w:val="single" w:sz="4" w:space="0" w:color="auto"/>
            </w:tcBorders>
            <w:noWrap/>
            <w:vAlign w:val="bottom"/>
            <w:hideMark/>
          </w:tcPr>
          <w:p w14:paraId="29C71868"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7.8%</w:t>
            </w:r>
          </w:p>
        </w:tc>
        <w:tc>
          <w:tcPr>
            <w:tcW w:w="488" w:type="dxa"/>
            <w:tcBorders>
              <w:top w:val="nil"/>
              <w:left w:val="nil"/>
              <w:bottom w:val="single" w:sz="4" w:space="0" w:color="auto"/>
              <w:right w:val="single" w:sz="4" w:space="0" w:color="auto"/>
            </w:tcBorders>
            <w:noWrap/>
            <w:vAlign w:val="bottom"/>
            <w:hideMark/>
          </w:tcPr>
          <w:p w14:paraId="5600102B"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13.0%</w:t>
            </w:r>
          </w:p>
        </w:tc>
      </w:tr>
      <w:tr w:rsidR="0067086E" w:rsidRPr="00031298" w14:paraId="513A6201" w14:textId="77777777" w:rsidTr="0067086E">
        <w:trPr>
          <w:trHeight w:val="195"/>
        </w:trPr>
        <w:tc>
          <w:tcPr>
            <w:tcW w:w="704" w:type="dxa"/>
            <w:tcBorders>
              <w:top w:val="nil"/>
              <w:left w:val="single" w:sz="4" w:space="0" w:color="auto"/>
              <w:bottom w:val="single" w:sz="4" w:space="0" w:color="auto"/>
              <w:right w:val="single" w:sz="4" w:space="0" w:color="auto"/>
            </w:tcBorders>
            <w:noWrap/>
            <w:vAlign w:val="bottom"/>
            <w:hideMark/>
          </w:tcPr>
          <w:p w14:paraId="4FBD93EF" w14:textId="77777777" w:rsidR="0067086E" w:rsidRPr="00031298" w:rsidRDefault="0067086E" w:rsidP="0067086E">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3–5</w:t>
            </w:r>
          </w:p>
        </w:tc>
        <w:tc>
          <w:tcPr>
            <w:tcW w:w="567" w:type="dxa"/>
            <w:tcBorders>
              <w:top w:val="nil"/>
              <w:left w:val="nil"/>
              <w:bottom w:val="single" w:sz="4" w:space="0" w:color="auto"/>
              <w:right w:val="single" w:sz="4" w:space="0" w:color="auto"/>
            </w:tcBorders>
            <w:noWrap/>
            <w:vAlign w:val="bottom"/>
            <w:hideMark/>
          </w:tcPr>
          <w:p w14:paraId="36E12A3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7.4%</w:t>
            </w:r>
          </w:p>
        </w:tc>
        <w:tc>
          <w:tcPr>
            <w:tcW w:w="625" w:type="dxa"/>
            <w:tcBorders>
              <w:top w:val="nil"/>
              <w:left w:val="nil"/>
              <w:bottom w:val="single" w:sz="4" w:space="0" w:color="auto"/>
              <w:right w:val="single" w:sz="4" w:space="0" w:color="auto"/>
            </w:tcBorders>
            <w:noWrap/>
            <w:vAlign w:val="bottom"/>
            <w:hideMark/>
          </w:tcPr>
          <w:p w14:paraId="771E4E02"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8.6%</w:t>
            </w:r>
          </w:p>
        </w:tc>
        <w:tc>
          <w:tcPr>
            <w:tcW w:w="488" w:type="dxa"/>
            <w:tcBorders>
              <w:top w:val="nil"/>
              <w:left w:val="nil"/>
              <w:bottom w:val="single" w:sz="4" w:space="0" w:color="auto"/>
              <w:right w:val="single" w:sz="4" w:space="0" w:color="auto"/>
            </w:tcBorders>
            <w:noWrap/>
            <w:vAlign w:val="bottom"/>
            <w:hideMark/>
          </w:tcPr>
          <w:p w14:paraId="60A3997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10.8%</w:t>
            </w:r>
          </w:p>
        </w:tc>
        <w:tc>
          <w:tcPr>
            <w:tcW w:w="488" w:type="dxa"/>
            <w:tcBorders>
              <w:top w:val="nil"/>
              <w:left w:val="nil"/>
              <w:bottom w:val="single" w:sz="4" w:space="0" w:color="auto"/>
              <w:right w:val="single" w:sz="4" w:space="0" w:color="auto"/>
            </w:tcBorders>
            <w:noWrap/>
            <w:vAlign w:val="bottom"/>
            <w:hideMark/>
          </w:tcPr>
          <w:p w14:paraId="7F44268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11.9%</w:t>
            </w:r>
          </w:p>
        </w:tc>
        <w:tc>
          <w:tcPr>
            <w:tcW w:w="417" w:type="dxa"/>
            <w:tcBorders>
              <w:top w:val="nil"/>
              <w:left w:val="nil"/>
              <w:bottom w:val="single" w:sz="4" w:space="0" w:color="auto"/>
              <w:right w:val="single" w:sz="4" w:space="0" w:color="auto"/>
            </w:tcBorders>
            <w:noWrap/>
            <w:vAlign w:val="bottom"/>
            <w:hideMark/>
          </w:tcPr>
          <w:p w14:paraId="7485F163"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518A4A97"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12.7%</w:t>
            </w:r>
          </w:p>
        </w:tc>
        <w:tc>
          <w:tcPr>
            <w:tcW w:w="488" w:type="dxa"/>
            <w:tcBorders>
              <w:top w:val="nil"/>
              <w:left w:val="nil"/>
              <w:bottom w:val="single" w:sz="4" w:space="0" w:color="auto"/>
              <w:right w:val="single" w:sz="4" w:space="0" w:color="auto"/>
            </w:tcBorders>
            <w:noWrap/>
            <w:vAlign w:val="bottom"/>
            <w:hideMark/>
          </w:tcPr>
          <w:p w14:paraId="415C64C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13.8%</w:t>
            </w:r>
          </w:p>
        </w:tc>
        <w:tc>
          <w:tcPr>
            <w:tcW w:w="417" w:type="dxa"/>
            <w:tcBorders>
              <w:top w:val="nil"/>
              <w:left w:val="nil"/>
              <w:bottom w:val="single" w:sz="4" w:space="0" w:color="auto"/>
              <w:right w:val="single" w:sz="4" w:space="0" w:color="auto"/>
            </w:tcBorders>
            <w:noWrap/>
            <w:vAlign w:val="bottom"/>
            <w:hideMark/>
          </w:tcPr>
          <w:p w14:paraId="10935C5F"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4.3%</w:t>
            </w:r>
          </w:p>
        </w:tc>
        <w:tc>
          <w:tcPr>
            <w:tcW w:w="488" w:type="dxa"/>
            <w:tcBorders>
              <w:top w:val="nil"/>
              <w:left w:val="nil"/>
              <w:bottom w:val="single" w:sz="4" w:space="0" w:color="auto"/>
              <w:right w:val="single" w:sz="4" w:space="0" w:color="auto"/>
            </w:tcBorders>
            <w:noWrap/>
            <w:vAlign w:val="bottom"/>
            <w:hideMark/>
          </w:tcPr>
          <w:p w14:paraId="004B6AD4"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9.8%</w:t>
            </w:r>
          </w:p>
        </w:tc>
        <w:tc>
          <w:tcPr>
            <w:tcW w:w="488" w:type="dxa"/>
            <w:tcBorders>
              <w:top w:val="nil"/>
              <w:left w:val="nil"/>
              <w:bottom w:val="single" w:sz="4" w:space="0" w:color="auto"/>
              <w:right w:val="single" w:sz="4" w:space="0" w:color="auto"/>
            </w:tcBorders>
            <w:noWrap/>
            <w:vAlign w:val="bottom"/>
            <w:hideMark/>
          </w:tcPr>
          <w:p w14:paraId="684DF0F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11.4%</w:t>
            </w:r>
          </w:p>
        </w:tc>
        <w:tc>
          <w:tcPr>
            <w:tcW w:w="417" w:type="dxa"/>
            <w:tcBorders>
              <w:top w:val="nil"/>
              <w:left w:val="nil"/>
              <w:bottom w:val="single" w:sz="4" w:space="0" w:color="auto"/>
              <w:right w:val="single" w:sz="4" w:space="0" w:color="auto"/>
            </w:tcBorders>
            <w:noWrap/>
            <w:vAlign w:val="bottom"/>
            <w:hideMark/>
          </w:tcPr>
          <w:p w14:paraId="112275E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7210C613"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12.7%</w:t>
            </w:r>
          </w:p>
        </w:tc>
        <w:tc>
          <w:tcPr>
            <w:tcW w:w="488" w:type="dxa"/>
            <w:tcBorders>
              <w:top w:val="nil"/>
              <w:left w:val="nil"/>
              <w:bottom w:val="single" w:sz="4" w:space="0" w:color="auto"/>
              <w:right w:val="single" w:sz="4" w:space="0" w:color="auto"/>
            </w:tcBorders>
            <w:noWrap/>
            <w:vAlign w:val="bottom"/>
            <w:hideMark/>
          </w:tcPr>
          <w:p w14:paraId="088BAD7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13.3%</w:t>
            </w:r>
          </w:p>
        </w:tc>
        <w:tc>
          <w:tcPr>
            <w:tcW w:w="488" w:type="dxa"/>
            <w:tcBorders>
              <w:top w:val="nil"/>
              <w:left w:val="nil"/>
              <w:bottom w:val="single" w:sz="4" w:space="0" w:color="auto"/>
              <w:right w:val="single" w:sz="4" w:space="0" w:color="auto"/>
            </w:tcBorders>
            <w:noWrap/>
            <w:vAlign w:val="bottom"/>
            <w:hideMark/>
          </w:tcPr>
          <w:p w14:paraId="718B14C8"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7.8%</w:t>
            </w:r>
          </w:p>
        </w:tc>
        <w:tc>
          <w:tcPr>
            <w:tcW w:w="488" w:type="dxa"/>
            <w:tcBorders>
              <w:top w:val="nil"/>
              <w:left w:val="nil"/>
              <w:bottom w:val="single" w:sz="4" w:space="0" w:color="auto"/>
              <w:right w:val="single" w:sz="4" w:space="0" w:color="auto"/>
            </w:tcBorders>
            <w:noWrap/>
            <w:vAlign w:val="bottom"/>
            <w:hideMark/>
          </w:tcPr>
          <w:p w14:paraId="7FA9395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13.2%</w:t>
            </w:r>
          </w:p>
        </w:tc>
        <w:tc>
          <w:tcPr>
            <w:tcW w:w="488" w:type="dxa"/>
            <w:tcBorders>
              <w:top w:val="nil"/>
              <w:left w:val="nil"/>
              <w:bottom w:val="single" w:sz="4" w:space="0" w:color="auto"/>
              <w:right w:val="single" w:sz="4" w:space="0" w:color="auto"/>
            </w:tcBorders>
            <w:noWrap/>
            <w:vAlign w:val="bottom"/>
            <w:hideMark/>
          </w:tcPr>
          <w:p w14:paraId="1A097BAD"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13.8%</w:t>
            </w:r>
          </w:p>
        </w:tc>
        <w:tc>
          <w:tcPr>
            <w:tcW w:w="488" w:type="dxa"/>
            <w:tcBorders>
              <w:top w:val="nil"/>
              <w:left w:val="nil"/>
              <w:bottom w:val="single" w:sz="4" w:space="0" w:color="auto"/>
              <w:right w:val="single" w:sz="4" w:space="0" w:color="auto"/>
            </w:tcBorders>
            <w:noWrap/>
            <w:vAlign w:val="bottom"/>
            <w:hideMark/>
          </w:tcPr>
          <w:p w14:paraId="78DA50D2"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8.8%</w:t>
            </w:r>
          </w:p>
        </w:tc>
        <w:tc>
          <w:tcPr>
            <w:tcW w:w="488" w:type="dxa"/>
            <w:tcBorders>
              <w:top w:val="nil"/>
              <w:left w:val="nil"/>
              <w:bottom w:val="single" w:sz="4" w:space="0" w:color="auto"/>
              <w:right w:val="single" w:sz="4" w:space="0" w:color="auto"/>
            </w:tcBorders>
            <w:noWrap/>
            <w:vAlign w:val="bottom"/>
            <w:hideMark/>
          </w:tcPr>
          <w:p w14:paraId="6A5B723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21.8%</w:t>
            </w:r>
          </w:p>
        </w:tc>
      </w:tr>
      <w:tr w:rsidR="0067086E" w:rsidRPr="00031298" w14:paraId="45B13195" w14:textId="77777777" w:rsidTr="0067086E">
        <w:trPr>
          <w:trHeight w:val="195"/>
        </w:trPr>
        <w:tc>
          <w:tcPr>
            <w:tcW w:w="704" w:type="dxa"/>
            <w:tcBorders>
              <w:top w:val="nil"/>
              <w:left w:val="single" w:sz="4" w:space="0" w:color="auto"/>
              <w:bottom w:val="single" w:sz="4" w:space="0" w:color="auto"/>
              <w:right w:val="single" w:sz="4" w:space="0" w:color="auto"/>
            </w:tcBorders>
            <w:noWrap/>
            <w:vAlign w:val="bottom"/>
            <w:hideMark/>
          </w:tcPr>
          <w:p w14:paraId="47CEA405" w14:textId="77777777" w:rsidR="0067086E" w:rsidRPr="00031298" w:rsidRDefault="0067086E" w:rsidP="0067086E">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5–7</w:t>
            </w:r>
          </w:p>
        </w:tc>
        <w:tc>
          <w:tcPr>
            <w:tcW w:w="567" w:type="dxa"/>
            <w:tcBorders>
              <w:top w:val="nil"/>
              <w:left w:val="nil"/>
              <w:bottom w:val="single" w:sz="4" w:space="0" w:color="auto"/>
              <w:right w:val="single" w:sz="4" w:space="0" w:color="auto"/>
            </w:tcBorders>
            <w:noWrap/>
            <w:vAlign w:val="bottom"/>
            <w:hideMark/>
          </w:tcPr>
          <w:p w14:paraId="5D771D9F"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9.9%</w:t>
            </w:r>
          </w:p>
        </w:tc>
        <w:tc>
          <w:tcPr>
            <w:tcW w:w="625" w:type="dxa"/>
            <w:tcBorders>
              <w:top w:val="nil"/>
              <w:left w:val="nil"/>
              <w:bottom w:val="single" w:sz="4" w:space="0" w:color="auto"/>
              <w:right w:val="single" w:sz="4" w:space="0" w:color="auto"/>
            </w:tcBorders>
            <w:noWrap/>
            <w:vAlign w:val="bottom"/>
            <w:hideMark/>
          </w:tcPr>
          <w:p w14:paraId="3DB83361"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11.6%</w:t>
            </w:r>
          </w:p>
        </w:tc>
        <w:tc>
          <w:tcPr>
            <w:tcW w:w="488" w:type="dxa"/>
            <w:tcBorders>
              <w:top w:val="nil"/>
              <w:left w:val="nil"/>
              <w:bottom w:val="single" w:sz="4" w:space="0" w:color="auto"/>
              <w:right w:val="single" w:sz="4" w:space="0" w:color="auto"/>
            </w:tcBorders>
            <w:noWrap/>
            <w:vAlign w:val="bottom"/>
            <w:hideMark/>
          </w:tcPr>
          <w:p w14:paraId="5E97E92D"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13.7%</w:t>
            </w:r>
          </w:p>
        </w:tc>
        <w:tc>
          <w:tcPr>
            <w:tcW w:w="488" w:type="dxa"/>
            <w:tcBorders>
              <w:top w:val="nil"/>
              <w:left w:val="nil"/>
              <w:bottom w:val="single" w:sz="4" w:space="0" w:color="auto"/>
              <w:right w:val="single" w:sz="4" w:space="0" w:color="auto"/>
            </w:tcBorders>
            <w:noWrap/>
            <w:vAlign w:val="bottom"/>
            <w:hideMark/>
          </w:tcPr>
          <w:p w14:paraId="04D9547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16.3%</w:t>
            </w:r>
          </w:p>
        </w:tc>
        <w:tc>
          <w:tcPr>
            <w:tcW w:w="417" w:type="dxa"/>
            <w:tcBorders>
              <w:top w:val="nil"/>
              <w:left w:val="nil"/>
              <w:bottom w:val="single" w:sz="4" w:space="0" w:color="auto"/>
              <w:right w:val="single" w:sz="4" w:space="0" w:color="auto"/>
            </w:tcBorders>
            <w:noWrap/>
            <w:vAlign w:val="bottom"/>
            <w:hideMark/>
          </w:tcPr>
          <w:p w14:paraId="208B23E4"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14ECAB8F"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15.6%</w:t>
            </w:r>
          </w:p>
        </w:tc>
        <w:tc>
          <w:tcPr>
            <w:tcW w:w="488" w:type="dxa"/>
            <w:tcBorders>
              <w:top w:val="nil"/>
              <w:left w:val="nil"/>
              <w:bottom w:val="single" w:sz="4" w:space="0" w:color="auto"/>
              <w:right w:val="single" w:sz="4" w:space="0" w:color="auto"/>
            </w:tcBorders>
            <w:noWrap/>
            <w:vAlign w:val="bottom"/>
            <w:hideMark/>
          </w:tcPr>
          <w:p w14:paraId="567E5C9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18.6%</w:t>
            </w:r>
          </w:p>
        </w:tc>
        <w:tc>
          <w:tcPr>
            <w:tcW w:w="417" w:type="dxa"/>
            <w:tcBorders>
              <w:top w:val="nil"/>
              <w:left w:val="nil"/>
              <w:bottom w:val="single" w:sz="4" w:space="0" w:color="auto"/>
              <w:right w:val="single" w:sz="4" w:space="0" w:color="auto"/>
            </w:tcBorders>
            <w:noWrap/>
            <w:vAlign w:val="bottom"/>
            <w:hideMark/>
          </w:tcPr>
          <w:p w14:paraId="48B336A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5.3%</w:t>
            </w:r>
          </w:p>
        </w:tc>
        <w:tc>
          <w:tcPr>
            <w:tcW w:w="488" w:type="dxa"/>
            <w:tcBorders>
              <w:top w:val="nil"/>
              <w:left w:val="nil"/>
              <w:bottom w:val="single" w:sz="4" w:space="0" w:color="auto"/>
              <w:right w:val="single" w:sz="4" w:space="0" w:color="auto"/>
            </w:tcBorders>
            <w:noWrap/>
            <w:vAlign w:val="bottom"/>
            <w:hideMark/>
          </w:tcPr>
          <w:p w14:paraId="1E44225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12.8%</w:t>
            </w:r>
          </w:p>
        </w:tc>
        <w:tc>
          <w:tcPr>
            <w:tcW w:w="488" w:type="dxa"/>
            <w:tcBorders>
              <w:top w:val="nil"/>
              <w:left w:val="nil"/>
              <w:bottom w:val="single" w:sz="4" w:space="0" w:color="auto"/>
              <w:right w:val="single" w:sz="4" w:space="0" w:color="auto"/>
            </w:tcBorders>
            <w:noWrap/>
            <w:vAlign w:val="bottom"/>
            <w:hideMark/>
          </w:tcPr>
          <w:p w14:paraId="36E671F8"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15.3%</w:t>
            </w:r>
          </w:p>
        </w:tc>
        <w:tc>
          <w:tcPr>
            <w:tcW w:w="417" w:type="dxa"/>
            <w:tcBorders>
              <w:top w:val="nil"/>
              <w:left w:val="nil"/>
              <w:bottom w:val="single" w:sz="4" w:space="0" w:color="auto"/>
              <w:right w:val="single" w:sz="4" w:space="0" w:color="auto"/>
            </w:tcBorders>
            <w:noWrap/>
            <w:vAlign w:val="bottom"/>
            <w:hideMark/>
          </w:tcPr>
          <w:p w14:paraId="41AF156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w:t>
            </w:r>
          </w:p>
        </w:tc>
        <w:tc>
          <w:tcPr>
            <w:tcW w:w="488" w:type="dxa"/>
            <w:tcBorders>
              <w:top w:val="nil"/>
              <w:left w:val="nil"/>
              <w:bottom w:val="single" w:sz="4" w:space="0" w:color="auto"/>
              <w:right w:val="single" w:sz="4" w:space="0" w:color="auto"/>
            </w:tcBorders>
            <w:noWrap/>
            <w:vAlign w:val="bottom"/>
            <w:hideMark/>
          </w:tcPr>
          <w:p w14:paraId="74D5EAB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15.1%</w:t>
            </w:r>
          </w:p>
        </w:tc>
        <w:tc>
          <w:tcPr>
            <w:tcW w:w="488" w:type="dxa"/>
            <w:tcBorders>
              <w:top w:val="nil"/>
              <w:left w:val="nil"/>
              <w:bottom w:val="single" w:sz="4" w:space="0" w:color="auto"/>
              <w:right w:val="single" w:sz="4" w:space="0" w:color="auto"/>
            </w:tcBorders>
            <w:noWrap/>
            <w:vAlign w:val="bottom"/>
            <w:hideMark/>
          </w:tcPr>
          <w:p w14:paraId="4D9B1CF7"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16.7%</w:t>
            </w:r>
          </w:p>
        </w:tc>
        <w:tc>
          <w:tcPr>
            <w:tcW w:w="488" w:type="dxa"/>
            <w:tcBorders>
              <w:top w:val="nil"/>
              <w:left w:val="nil"/>
              <w:bottom w:val="single" w:sz="4" w:space="0" w:color="auto"/>
              <w:right w:val="single" w:sz="4" w:space="0" w:color="auto"/>
            </w:tcBorders>
            <w:noWrap/>
            <w:vAlign w:val="bottom"/>
            <w:hideMark/>
          </w:tcPr>
          <w:p w14:paraId="52B31482"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9.3%</w:t>
            </w:r>
          </w:p>
        </w:tc>
        <w:tc>
          <w:tcPr>
            <w:tcW w:w="488" w:type="dxa"/>
            <w:tcBorders>
              <w:top w:val="nil"/>
              <w:left w:val="nil"/>
              <w:bottom w:val="single" w:sz="4" w:space="0" w:color="auto"/>
              <w:right w:val="single" w:sz="4" w:space="0" w:color="auto"/>
            </w:tcBorders>
            <w:noWrap/>
            <w:vAlign w:val="bottom"/>
            <w:hideMark/>
          </w:tcPr>
          <w:p w14:paraId="3B26A4D4"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16.1%</w:t>
            </w:r>
          </w:p>
        </w:tc>
        <w:tc>
          <w:tcPr>
            <w:tcW w:w="488" w:type="dxa"/>
            <w:tcBorders>
              <w:top w:val="nil"/>
              <w:left w:val="nil"/>
              <w:bottom w:val="single" w:sz="4" w:space="0" w:color="auto"/>
              <w:right w:val="single" w:sz="4" w:space="0" w:color="auto"/>
            </w:tcBorders>
            <w:noWrap/>
            <w:vAlign w:val="bottom"/>
            <w:hideMark/>
          </w:tcPr>
          <w:p w14:paraId="548E3E8B"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17.2%</w:t>
            </w:r>
          </w:p>
        </w:tc>
        <w:tc>
          <w:tcPr>
            <w:tcW w:w="488" w:type="dxa"/>
            <w:tcBorders>
              <w:top w:val="nil"/>
              <w:left w:val="nil"/>
              <w:bottom w:val="single" w:sz="4" w:space="0" w:color="auto"/>
              <w:right w:val="single" w:sz="4" w:space="0" w:color="auto"/>
            </w:tcBorders>
            <w:noWrap/>
            <w:vAlign w:val="bottom"/>
            <w:hideMark/>
          </w:tcPr>
          <w:p w14:paraId="7002390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9.8%</w:t>
            </w:r>
          </w:p>
        </w:tc>
        <w:tc>
          <w:tcPr>
            <w:tcW w:w="488" w:type="dxa"/>
            <w:tcBorders>
              <w:top w:val="nil"/>
              <w:left w:val="nil"/>
              <w:bottom w:val="single" w:sz="4" w:space="0" w:color="auto"/>
              <w:right w:val="single" w:sz="4" w:space="0" w:color="auto"/>
            </w:tcBorders>
            <w:noWrap/>
            <w:vAlign w:val="bottom"/>
            <w:hideMark/>
          </w:tcPr>
          <w:p w14:paraId="2053B0C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31.3%</w:t>
            </w:r>
          </w:p>
        </w:tc>
      </w:tr>
      <w:tr w:rsidR="0067086E" w:rsidRPr="00031298" w14:paraId="73779B80" w14:textId="77777777" w:rsidTr="0067086E">
        <w:trPr>
          <w:trHeight w:val="195"/>
        </w:trPr>
        <w:tc>
          <w:tcPr>
            <w:tcW w:w="704" w:type="dxa"/>
            <w:tcBorders>
              <w:top w:val="nil"/>
              <w:left w:val="single" w:sz="4" w:space="0" w:color="auto"/>
              <w:bottom w:val="single" w:sz="4" w:space="0" w:color="auto"/>
              <w:right w:val="single" w:sz="4" w:space="0" w:color="auto"/>
            </w:tcBorders>
            <w:noWrap/>
            <w:vAlign w:val="bottom"/>
            <w:hideMark/>
          </w:tcPr>
          <w:p w14:paraId="39C80DED" w14:textId="77777777" w:rsidR="0067086E" w:rsidRPr="00031298" w:rsidRDefault="0067086E" w:rsidP="0067086E">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7–10</w:t>
            </w:r>
          </w:p>
        </w:tc>
        <w:tc>
          <w:tcPr>
            <w:tcW w:w="567" w:type="dxa"/>
            <w:tcBorders>
              <w:top w:val="nil"/>
              <w:left w:val="nil"/>
              <w:bottom w:val="single" w:sz="4" w:space="0" w:color="auto"/>
              <w:right w:val="single" w:sz="4" w:space="0" w:color="auto"/>
            </w:tcBorders>
            <w:noWrap/>
            <w:vAlign w:val="bottom"/>
            <w:hideMark/>
          </w:tcPr>
          <w:p w14:paraId="4ACB0D0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13.4%</w:t>
            </w:r>
          </w:p>
        </w:tc>
        <w:tc>
          <w:tcPr>
            <w:tcW w:w="625" w:type="dxa"/>
            <w:tcBorders>
              <w:top w:val="nil"/>
              <w:left w:val="nil"/>
              <w:bottom w:val="single" w:sz="4" w:space="0" w:color="auto"/>
              <w:right w:val="single" w:sz="4" w:space="0" w:color="auto"/>
            </w:tcBorders>
            <w:noWrap/>
            <w:vAlign w:val="bottom"/>
            <w:hideMark/>
          </w:tcPr>
          <w:p w14:paraId="6AC057E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17.4%</w:t>
            </w:r>
          </w:p>
        </w:tc>
        <w:tc>
          <w:tcPr>
            <w:tcW w:w="488" w:type="dxa"/>
            <w:tcBorders>
              <w:top w:val="nil"/>
              <w:left w:val="nil"/>
              <w:bottom w:val="single" w:sz="4" w:space="0" w:color="auto"/>
              <w:right w:val="single" w:sz="4" w:space="0" w:color="auto"/>
            </w:tcBorders>
            <w:noWrap/>
            <w:vAlign w:val="bottom"/>
            <w:hideMark/>
          </w:tcPr>
          <w:p w14:paraId="6FFA25B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19.0%</w:t>
            </w:r>
          </w:p>
        </w:tc>
        <w:tc>
          <w:tcPr>
            <w:tcW w:w="488" w:type="dxa"/>
            <w:tcBorders>
              <w:top w:val="nil"/>
              <w:left w:val="nil"/>
              <w:bottom w:val="single" w:sz="4" w:space="0" w:color="auto"/>
              <w:right w:val="single" w:sz="4" w:space="0" w:color="auto"/>
            </w:tcBorders>
            <w:noWrap/>
            <w:vAlign w:val="bottom"/>
            <w:hideMark/>
          </w:tcPr>
          <w:p w14:paraId="6A86D38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23.7%</w:t>
            </w:r>
          </w:p>
        </w:tc>
        <w:tc>
          <w:tcPr>
            <w:tcW w:w="417" w:type="dxa"/>
            <w:tcBorders>
              <w:top w:val="nil"/>
              <w:left w:val="nil"/>
              <w:bottom w:val="single" w:sz="4" w:space="0" w:color="auto"/>
              <w:right w:val="single" w:sz="4" w:space="0" w:color="auto"/>
            </w:tcBorders>
            <w:noWrap/>
            <w:vAlign w:val="bottom"/>
            <w:hideMark/>
          </w:tcPr>
          <w:p w14:paraId="516D8BED"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488" w:type="dxa"/>
            <w:tcBorders>
              <w:top w:val="nil"/>
              <w:left w:val="nil"/>
              <w:bottom w:val="single" w:sz="4" w:space="0" w:color="auto"/>
              <w:right w:val="single" w:sz="4" w:space="0" w:color="auto"/>
            </w:tcBorders>
            <w:noWrap/>
            <w:vAlign w:val="bottom"/>
            <w:hideMark/>
          </w:tcPr>
          <w:p w14:paraId="729DF18A"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21.7%</w:t>
            </w:r>
          </w:p>
        </w:tc>
        <w:tc>
          <w:tcPr>
            <w:tcW w:w="488" w:type="dxa"/>
            <w:tcBorders>
              <w:top w:val="nil"/>
              <w:left w:val="nil"/>
              <w:bottom w:val="single" w:sz="4" w:space="0" w:color="auto"/>
              <w:right w:val="single" w:sz="4" w:space="0" w:color="auto"/>
            </w:tcBorders>
            <w:noWrap/>
            <w:vAlign w:val="bottom"/>
            <w:hideMark/>
          </w:tcPr>
          <w:p w14:paraId="3048314C"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27.3%</w:t>
            </w:r>
          </w:p>
        </w:tc>
        <w:tc>
          <w:tcPr>
            <w:tcW w:w="417" w:type="dxa"/>
            <w:tcBorders>
              <w:top w:val="nil"/>
              <w:left w:val="nil"/>
              <w:bottom w:val="single" w:sz="4" w:space="0" w:color="auto"/>
              <w:right w:val="single" w:sz="4" w:space="0" w:color="auto"/>
            </w:tcBorders>
            <w:noWrap/>
            <w:vAlign w:val="bottom"/>
            <w:hideMark/>
          </w:tcPr>
          <w:p w14:paraId="5C97F551"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w:t>
            </w:r>
          </w:p>
        </w:tc>
        <w:tc>
          <w:tcPr>
            <w:tcW w:w="488" w:type="dxa"/>
            <w:tcBorders>
              <w:top w:val="nil"/>
              <w:left w:val="nil"/>
              <w:bottom w:val="single" w:sz="4" w:space="0" w:color="auto"/>
              <w:right w:val="single" w:sz="4" w:space="0" w:color="auto"/>
            </w:tcBorders>
            <w:noWrap/>
            <w:vAlign w:val="bottom"/>
            <w:hideMark/>
          </w:tcPr>
          <w:p w14:paraId="4CAB13EB"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17.6%</w:t>
            </w:r>
          </w:p>
        </w:tc>
        <w:tc>
          <w:tcPr>
            <w:tcW w:w="488" w:type="dxa"/>
            <w:tcBorders>
              <w:top w:val="nil"/>
              <w:left w:val="nil"/>
              <w:bottom w:val="single" w:sz="4" w:space="0" w:color="auto"/>
              <w:right w:val="single" w:sz="4" w:space="0" w:color="auto"/>
            </w:tcBorders>
            <w:noWrap/>
            <w:vAlign w:val="bottom"/>
            <w:hideMark/>
          </w:tcPr>
          <w:p w14:paraId="5A28030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22.8%</w:t>
            </w:r>
          </w:p>
        </w:tc>
        <w:tc>
          <w:tcPr>
            <w:tcW w:w="417" w:type="dxa"/>
            <w:tcBorders>
              <w:top w:val="nil"/>
              <w:left w:val="nil"/>
              <w:bottom w:val="single" w:sz="4" w:space="0" w:color="auto"/>
              <w:right w:val="single" w:sz="4" w:space="0" w:color="auto"/>
            </w:tcBorders>
            <w:noWrap/>
            <w:vAlign w:val="bottom"/>
            <w:hideMark/>
          </w:tcPr>
          <w:p w14:paraId="4C07EEAA"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675BDD87"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19.4%</w:t>
            </w:r>
          </w:p>
        </w:tc>
        <w:tc>
          <w:tcPr>
            <w:tcW w:w="488" w:type="dxa"/>
            <w:tcBorders>
              <w:top w:val="nil"/>
              <w:left w:val="nil"/>
              <w:bottom w:val="single" w:sz="4" w:space="0" w:color="auto"/>
              <w:right w:val="single" w:sz="4" w:space="0" w:color="auto"/>
            </w:tcBorders>
            <w:noWrap/>
            <w:vAlign w:val="bottom"/>
            <w:hideMark/>
          </w:tcPr>
          <w:p w14:paraId="4A4E61DA"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21.5%</w:t>
            </w:r>
          </w:p>
        </w:tc>
        <w:tc>
          <w:tcPr>
            <w:tcW w:w="488" w:type="dxa"/>
            <w:tcBorders>
              <w:top w:val="nil"/>
              <w:left w:val="nil"/>
              <w:bottom w:val="single" w:sz="4" w:space="0" w:color="auto"/>
              <w:right w:val="single" w:sz="4" w:space="0" w:color="auto"/>
            </w:tcBorders>
            <w:noWrap/>
            <w:vAlign w:val="bottom"/>
            <w:hideMark/>
          </w:tcPr>
          <w:p w14:paraId="3C0CD1EB"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10.7%</w:t>
            </w:r>
          </w:p>
        </w:tc>
        <w:tc>
          <w:tcPr>
            <w:tcW w:w="488" w:type="dxa"/>
            <w:tcBorders>
              <w:top w:val="nil"/>
              <w:left w:val="nil"/>
              <w:bottom w:val="single" w:sz="4" w:space="0" w:color="auto"/>
              <w:right w:val="single" w:sz="4" w:space="0" w:color="auto"/>
            </w:tcBorders>
            <w:noWrap/>
            <w:vAlign w:val="bottom"/>
            <w:hideMark/>
          </w:tcPr>
          <w:p w14:paraId="52DE0986"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20.3%</w:t>
            </w:r>
          </w:p>
        </w:tc>
        <w:tc>
          <w:tcPr>
            <w:tcW w:w="488" w:type="dxa"/>
            <w:tcBorders>
              <w:top w:val="nil"/>
              <w:left w:val="nil"/>
              <w:bottom w:val="single" w:sz="4" w:space="0" w:color="auto"/>
              <w:right w:val="single" w:sz="4" w:space="0" w:color="auto"/>
            </w:tcBorders>
            <w:noWrap/>
            <w:vAlign w:val="bottom"/>
            <w:hideMark/>
          </w:tcPr>
          <w:p w14:paraId="2B203BC3"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22.8%</w:t>
            </w:r>
          </w:p>
        </w:tc>
        <w:tc>
          <w:tcPr>
            <w:tcW w:w="488" w:type="dxa"/>
            <w:tcBorders>
              <w:top w:val="nil"/>
              <w:left w:val="nil"/>
              <w:bottom w:val="single" w:sz="4" w:space="0" w:color="auto"/>
              <w:right w:val="single" w:sz="4" w:space="0" w:color="auto"/>
            </w:tcBorders>
            <w:noWrap/>
            <w:vAlign w:val="bottom"/>
            <w:hideMark/>
          </w:tcPr>
          <w:p w14:paraId="0EA178C4"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11.7%</w:t>
            </w:r>
          </w:p>
        </w:tc>
        <w:tc>
          <w:tcPr>
            <w:tcW w:w="488" w:type="dxa"/>
            <w:tcBorders>
              <w:top w:val="nil"/>
              <w:left w:val="nil"/>
              <w:bottom w:val="single" w:sz="4" w:space="0" w:color="auto"/>
              <w:right w:val="single" w:sz="4" w:space="0" w:color="auto"/>
            </w:tcBorders>
            <w:noWrap/>
            <w:vAlign w:val="bottom"/>
            <w:hideMark/>
          </w:tcPr>
          <w:p w14:paraId="63A2B145"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46.7%</w:t>
            </w:r>
          </w:p>
        </w:tc>
      </w:tr>
      <w:tr w:rsidR="0067086E" w:rsidRPr="00031298" w14:paraId="1D48A600" w14:textId="77777777" w:rsidTr="0067086E">
        <w:trPr>
          <w:trHeight w:val="195"/>
        </w:trPr>
        <w:tc>
          <w:tcPr>
            <w:tcW w:w="704" w:type="dxa"/>
            <w:tcBorders>
              <w:top w:val="nil"/>
              <w:left w:val="single" w:sz="4" w:space="0" w:color="auto"/>
              <w:bottom w:val="single" w:sz="4" w:space="0" w:color="auto"/>
              <w:right w:val="single" w:sz="4" w:space="0" w:color="auto"/>
            </w:tcBorders>
            <w:noWrap/>
            <w:vAlign w:val="bottom"/>
            <w:hideMark/>
          </w:tcPr>
          <w:p w14:paraId="4E956BDE" w14:textId="77777777" w:rsidR="0067086E" w:rsidRPr="00031298" w:rsidRDefault="0067086E" w:rsidP="0067086E">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10–</w:t>
            </w:r>
          </w:p>
        </w:tc>
        <w:tc>
          <w:tcPr>
            <w:tcW w:w="567" w:type="dxa"/>
            <w:tcBorders>
              <w:top w:val="nil"/>
              <w:left w:val="nil"/>
              <w:bottom w:val="single" w:sz="4" w:space="0" w:color="auto"/>
              <w:right w:val="single" w:sz="4" w:space="0" w:color="auto"/>
            </w:tcBorders>
            <w:noWrap/>
            <w:vAlign w:val="bottom"/>
            <w:hideMark/>
          </w:tcPr>
          <w:p w14:paraId="555812EA"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16.9%</w:t>
            </w:r>
          </w:p>
        </w:tc>
        <w:tc>
          <w:tcPr>
            <w:tcW w:w="625" w:type="dxa"/>
            <w:tcBorders>
              <w:top w:val="nil"/>
              <w:left w:val="nil"/>
              <w:bottom w:val="single" w:sz="4" w:space="0" w:color="auto"/>
              <w:right w:val="single" w:sz="4" w:space="0" w:color="auto"/>
            </w:tcBorders>
            <w:noWrap/>
            <w:vAlign w:val="bottom"/>
            <w:hideMark/>
          </w:tcPr>
          <w:p w14:paraId="2EDA911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24.7%</w:t>
            </w:r>
          </w:p>
        </w:tc>
        <w:tc>
          <w:tcPr>
            <w:tcW w:w="488" w:type="dxa"/>
            <w:tcBorders>
              <w:top w:val="nil"/>
              <w:left w:val="nil"/>
              <w:bottom w:val="single" w:sz="4" w:space="0" w:color="auto"/>
              <w:right w:val="single" w:sz="4" w:space="0" w:color="auto"/>
            </w:tcBorders>
            <w:noWrap/>
            <w:vAlign w:val="bottom"/>
            <w:hideMark/>
          </w:tcPr>
          <w:p w14:paraId="11FD29C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24.1%</w:t>
            </w:r>
          </w:p>
        </w:tc>
        <w:tc>
          <w:tcPr>
            <w:tcW w:w="488" w:type="dxa"/>
            <w:tcBorders>
              <w:top w:val="nil"/>
              <w:left w:val="nil"/>
              <w:bottom w:val="single" w:sz="4" w:space="0" w:color="auto"/>
              <w:right w:val="single" w:sz="4" w:space="0" w:color="auto"/>
            </w:tcBorders>
            <w:noWrap/>
            <w:vAlign w:val="bottom"/>
            <w:hideMark/>
          </w:tcPr>
          <w:p w14:paraId="3837710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34.6%</w:t>
            </w:r>
          </w:p>
        </w:tc>
        <w:tc>
          <w:tcPr>
            <w:tcW w:w="417" w:type="dxa"/>
            <w:tcBorders>
              <w:top w:val="nil"/>
              <w:left w:val="nil"/>
              <w:bottom w:val="single" w:sz="4" w:space="0" w:color="auto"/>
              <w:right w:val="single" w:sz="4" w:space="0" w:color="auto"/>
            </w:tcBorders>
            <w:noWrap/>
            <w:vAlign w:val="bottom"/>
            <w:hideMark/>
          </w:tcPr>
          <w:p w14:paraId="41F82848"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4.8%</w:t>
            </w:r>
          </w:p>
        </w:tc>
        <w:tc>
          <w:tcPr>
            <w:tcW w:w="488" w:type="dxa"/>
            <w:tcBorders>
              <w:top w:val="nil"/>
              <w:left w:val="nil"/>
              <w:bottom w:val="single" w:sz="4" w:space="0" w:color="auto"/>
              <w:right w:val="single" w:sz="4" w:space="0" w:color="auto"/>
            </w:tcBorders>
            <w:noWrap/>
            <w:vAlign w:val="bottom"/>
            <w:hideMark/>
          </w:tcPr>
          <w:p w14:paraId="682E2CF8"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28.6%</w:t>
            </w:r>
          </w:p>
        </w:tc>
        <w:tc>
          <w:tcPr>
            <w:tcW w:w="488" w:type="dxa"/>
            <w:tcBorders>
              <w:top w:val="nil"/>
              <w:left w:val="nil"/>
              <w:bottom w:val="single" w:sz="4" w:space="0" w:color="auto"/>
              <w:right w:val="single" w:sz="4" w:space="0" w:color="auto"/>
            </w:tcBorders>
            <w:noWrap/>
            <w:vAlign w:val="bottom"/>
            <w:hideMark/>
          </w:tcPr>
          <w:p w14:paraId="4E8005A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40.5%</w:t>
            </w:r>
          </w:p>
        </w:tc>
        <w:tc>
          <w:tcPr>
            <w:tcW w:w="417" w:type="dxa"/>
            <w:tcBorders>
              <w:top w:val="nil"/>
              <w:left w:val="nil"/>
              <w:bottom w:val="single" w:sz="4" w:space="0" w:color="auto"/>
              <w:right w:val="single" w:sz="4" w:space="0" w:color="auto"/>
            </w:tcBorders>
            <w:noWrap/>
            <w:vAlign w:val="bottom"/>
            <w:hideMark/>
          </w:tcPr>
          <w:p w14:paraId="2064BBAB"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7.8%</w:t>
            </w:r>
          </w:p>
        </w:tc>
        <w:tc>
          <w:tcPr>
            <w:tcW w:w="488" w:type="dxa"/>
            <w:tcBorders>
              <w:top w:val="nil"/>
              <w:left w:val="nil"/>
              <w:bottom w:val="single" w:sz="4" w:space="0" w:color="auto"/>
              <w:right w:val="single" w:sz="4" w:space="0" w:color="auto"/>
            </w:tcBorders>
            <w:noWrap/>
            <w:vAlign w:val="bottom"/>
            <w:hideMark/>
          </w:tcPr>
          <w:p w14:paraId="53806237"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21.8%</w:t>
            </w:r>
          </w:p>
        </w:tc>
        <w:tc>
          <w:tcPr>
            <w:tcW w:w="488" w:type="dxa"/>
            <w:tcBorders>
              <w:top w:val="nil"/>
              <w:left w:val="nil"/>
              <w:bottom w:val="single" w:sz="4" w:space="0" w:color="auto"/>
              <w:right w:val="single" w:sz="4" w:space="0" w:color="auto"/>
            </w:tcBorders>
            <w:noWrap/>
            <w:vAlign w:val="bottom"/>
            <w:hideMark/>
          </w:tcPr>
          <w:p w14:paraId="7F44C2AD"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32.0%</w:t>
            </w:r>
          </w:p>
        </w:tc>
        <w:tc>
          <w:tcPr>
            <w:tcW w:w="417" w:type="dxa"/>
            <w:tcBorders>
              <w:top w:val="nil"/>
              <w:left w:val="nil"/>
              <w:bottom w:val="single" w:sz="4" w:space="0" w:color="auto"/>
              <w:right w:val="single" w:sz="4" w:space="0" w:color="auto"/>
            </w:tcBorders>
            <w:noWrap/>
            <w:vAlign w:val="bottom"/>
            <w:hideMark/>
          </w:tcPr>
          <w:p w14:paraId="0BED59DE"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3.3%</w:t>
            </w:r>
          </w:p>
        </w:tc>
        <w:tc>
          <w:tcPr>
            <w:tcW w:w="488" w:type="dxa"/>
            <w:tcBorders>
              <w:top w:val="nil"/>
              <w:left w:val="nil"/>
              <w:bottom w:val="single" w:sz="4" w:space="0" w:color="auto"/>
              <w:right w:val="single" w:sz="4" w:space="0" w:color="auto"/>
            </w:tcBorders>
            <w:noWrap/>
            <w:vAlign w:val="bottom"/>
            <w:hideMark/>
          </w:tcPr>
          <w:p w14:paraId="2B9D463B"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24.5%</w:t>
            </w:r>
          </w:p>
        </w:tc>
        <w:tc>
          <w:tcPr>
            <w:tcW w:w="488" w:type="dxa"/>
            <w:tcBorders>
              <w:top w:val="nil"/>
              <w:left w:val="nil"/>
              <w:bottom w:val="single" w:sz="4" w:space="0" w:color="auto"/>
              <w:right w:val="single" w:sz="4" w:space="0" w:color="auto"/>
            </w:tcBorders>
            <w:noWrap/>
            <w:vAlign w:val="bottom"/>
            <w:hideMark/>
          </w:tcPr>
          <w:p w14:paraId="4B9C2232"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29.0%</w:t>
            </w:r>
          </w:p>
        </w:tc>
        <w:tc>
          <w:tcPr>
            <w:tcW w:w="488" w:type="dxa"/>
            <w:tcBorders>
              <w:top w:val="nil"/>
              <w:left w:val="nil"/>
              <w:bottom w:val="single" w:sz="4" w:space="0" w:color="auto"/>
              <w:right w:val="single" w:sz="4" w:space="0" w:color="auto"/>
            </w:tcBorders>
            <w:noWrap/>
            <w:vAlign w:val="bottom"/>
            <w:hideMark/>
          </w:tcPr>
          <w:p w14:paraId="3FD8AD0F"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13.2%</w:t>
            </w:r>
          </w:p>
        </w:tc>
        <w:tc>
          <w:tcPr>
            <w:tcW w:w="488" w:type="dxa"/>
            <w:tcBorders>
              <w:top w:val="nil"/>
              <w:left w:val="nil"/>
              <w:bottom w:val="single" w:sz="4" w:space="0" w:color="auto"/>
              <w:right w:val="single" w:sz="4" w:space="0" w:color="auto"/>
            </w:tcBorders>
            <w:noWrap/>
            <w:vAlign w:val="bottom"/>
            <w:hideMark/>
          </w:tcPr>
          <w:p w14:paraId="7673EA91"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26.3%</w:t>
            </w:r>
          </w:p>
        </w:tc>
        <w:tc>
          <w:tcPr>
            <w:tcW w:w="488" w:type="dxa"/>
            <w:tcBorders>
              <w:top w:val="nil"/>
              <w:left w:val="nil"/>
              <w:bottom w:val="single" w:sz="4" w:space="0" w:color="auto"/>
              <w:right w:val="single" w:sz="4" w:space="0" w:color="auto"/>
            </w:tcBorders>
            <w:noWrap/>
            <w:vAlign w:val="bottom"/>
            <w:hideMark/>
          </w:tcPr>
          <w:p w14:paraId="57FABFE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30.7%</w:t>
            </w:r>
          </w:p>
        </w:tc>
        <w:tc>
          <w:tcPr>
            <w:tcW w:w="488" w:type="dxa"/>
            <w:tcBorders>
              <w:top w:val="nil"/>
              <w:left w:val="nil"/>
              <w:bottom w:val="single" w:sz="4" w:space="0" w:color="auto"/>
              <w:right w:val="single" w:sz="4" w:space="0" w:color="auto"/>
            </w:tcBorders>
            <w:noWrap/>
            <w:vAlign w:val="bottom"/>
            <w:hideMark/>
          </w:tcPr>
          <w:p w14:paraId="499FD050"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15.2%</w:t>
            </w:r>
          </w:p>
        </w:tc>
        <w:tc>
          <w:tcPr>
            <w:tcW w:w="488" w:type="dxa"/>
            <w:tcBorders>
              <w:top w:val="nil"/>
              <w:left w:val="nil"/>
              <w:bottom w:val="single" w:sz="4" w:space="0" w:color="auto"/>
              <w:right w:val="single" w:sz="4" w:space="0" w:color="auto"/>
            </w:tcBorders>
            <w:noWrap/>
            <w:vAlign w:val="bottom"/>
            <w:hideMark/>
          </w:tcPr>
          <w:p w14:paraId="13076209" w14:textId="77777777" w:rsidR="0067086E" w:rsidRPr="00031298" w:rsidRDefault="0067086E" w:rsidP="0067086E">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52.6%</w:t>
            </w:r>
          </w:p>
        </w:tc>
      </w:tr>
      <w:bookmarkEnd w:id="0"/>
    </w:tbl>
    <w:p w14:paraId="395E819F" w14:textId="77777777" w:rsidR="00885BC5" w:rsidRPr="00031298" w:rsidRDefault="00885BC5" w:rsidP="00002C97">
      <w:pPr>
        <w:spacing w:after="0"/>
        <w:ind w:right="168"/>
        <w:rPr>
          <w:lang w:val="en-GB"/>
        </w:rPr>
      </w:pPr>
    </w:p>
    <w:p w14:paraId="78AEE673" w14:textId="67A034AE" w:rsidR="00885BC5" w:rsidRPr="00031298" w:rsidRDefault="00885BC5" w:rsidP="00F759E8">
      <w:pPr>
        <w:spacing w:after="0"/>
        <w:ind w:right="168"/>
        <w:rPr>
          <w:sz w:val="18"/>
          <w:szCs w:val="18"/>
          <w:lang w:val="en-GB"/>
        </w:rPr>
      </w:pPr>
      <w:r w:rsidRPr="00031298">
        <w:rPr>
          <w:sz w:val="18"/>
          <w:szCs w:val="18"/>
          <w:lang w:val="en-GB"/>
        </w:rPr>
        <w:t xml:space="preserve">The symbols used in the tables correspond to those used in the Notice on ‘Risk management parameters applied </w:t>
      </w:r>
      <w:r w:rsidR="00465950">
        <w:rPr>
          <w:sz w:val="18"/>
          <w:szCs w:val="18"/>
          <w:lang w:val="en-GB"/>
        </w:rPr>
        <w:t xml:space="preserve">to eligible collateral accepted by the MNB </w:t>
      </w:r>
      <w:r w:rsidRPr="00031298">
        <w:rPr>
          <w:sz w:val="18"/>
          <w:szCs w:val="18"/>
          <w:lang w:val="en-GB"/>
        </w:rPr>
        <w:t>from 1 August 2023’.</w:t>
      </w:r>
    </w:p>
    <w:p w14:paraId="7DD40ADC" w14:textId="77777777" w:rsidR="00F4507E" w:rsidRPr="00031298" w:rsidRDefault="00F4507E" w:rsidP="00F759E8">
      <w:pPr>
        <w:spacing w:after="0"/>
        <w:ind w:right="168"/>
        <w:rPr>
          <w:lang w:val="en-GB"/>
        </w:rPr>
      </w:pPr>
    </w:p>
    <w:p w14:paraId="268AB1C1" w14:textId="7C8865DB" w:rsidR="0067086E" w:rsidRPr="00031298" w:rsidRDefault="00CA2F0D" w:rsidP="00CA2F0D">
      <w:pPr>
        <w:pStyle w:val="Kpalrs"/>
        <w:keepNext/>
        <w:jc w:val="center"/>
        <w:rPr>
          <w:sz w:val="28"/>
          <w:szCs w:val="30"/>
          <w:lang w:val="en-GB"/>
        </w:rPr>
      </w:pPr>
      <w:r w:rsidRPr="00031298">
        <w:rPr>
          <w:color w:val="auto"/>
          <w:sz w:val="22"/>
          <w:lang w:val="en-GB"/>
        </w:rPr>
        <w:t>Table 3: Stressed haircut table for government securities without an MNB acceptance value</w:t>
      </w:r>
    </w:p>
    <w:p w14:paraId="4C64814F" w14:textId="3DB6974A" w:rsidR="00430CA0" w:rsidRPr="00031298" w:rsidRDefault="00430CA0" w:rsidP="00CA2F0D">
      <w:pPr>
        <w:spacing w:after="0" w:line="240" w:lineRule="auto"/>
        <w:jc w:val="center"/>
        <w:rPr>
          <w:b/>
          <w:sz w:val="28"/>
          <w:lang w:val="en-GB"/>
        </w:rPr>
      </w:pPr>
    </w:p>
    <w:tbl>
      <w:tblPr>
        <w:tblW w:w="3255" w:type="dxa"/>
        <w:jc w:val="center"/>
        <w:tblCellMar>
          <w:left w:w="70" w:type="dxa"/>
          <w:right w:w="70" w:type="dxa"/>
        </w:tblCellMar>
        <w:tblLook w:val="04A0" w:firstRow="1" w:lastRow="0" w:firstColumn="1" w:lastColumn="0" w:noHBand="0" w:noVBand="1"/>
      </w:tblPr>
      <w:tblGrid>
        <w:gridCol w:w="704"/>
        <w:gridCol w:w="851"/>
        <w:gridCol w:w="850"/>
        <w:gridCol w:w="850"/>
      </w:tblGrid>
      <w:tr w:rsidR="0035719E" w:rsidRPr="00031298" w14:paraId="2F132B05" w14:textId="235DF1A8" w:rsidTr="00B651B5">
        <w:trPr>
          <w:trHeight w:val="19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46C184C6" w14:textId="77777777" w:rsidR="0035719E" w:rsidRPr="00031298" w:rsidRDefault="0035719E" w:rsidP="006B4D0F">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Maturity (years)</w:t>
            </w:r>
          </w:p>
        </w:tc>
        <w:tc>
          <w:tcPr>
            <w:tcW w:w="2551"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60C78F8" w14:textId="17B876A0" w:rsidR="0035719E" w:rsidRPr="00031298" w:rsidRDefault="0035719E" w:rsidP="006B4D0F">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Foreign government securities</w:t>
            </w:r>
            <w:r w:rsidRPr="00031298">
              <w:rPr>
                <w:rFonts w:eastAsia="Times New Roman" w:cs="Calibri"/>
                <w:color w:val="000000"/>
                <w:sz w:val="14"/>
                <w:szCs w:val="14"/>
                <w:lang w:val="en-GB"/>
              </w:rPr>
              <w:br/>
              <w:t>(not recommended for investment)</w:t>
            </w:r>
          </w:p>
        </w:tc>
      </w:tr>
      <w:tr w:rsidR="0035719E" w:rsidRPr="00031298" w14:paraId="2B39FD82" w14:textId="0789B21E" w:rsidTr="00F759E8">
        <w:trPr>
          <w:trHeight w:val="195"/>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D662793" w14:textId="77777777" w:rsidR="0035719E" w:rsidRPr="00031298" w:rsidRDefault="0035719E" w:rsidP="006B4D0F">
            <w:pPr>
              <w:spacing w:after="0" w:line="240" w:lineRule="auto"/>
              <w:rPr>
                <w:rFonts w:eastAsia="Times New Roman" w:cs="Calibri"/>
                <w:color w:val="000000"/>
                <w:sz w:val="14"/>
                <w:szCs w:val="14"/>
                <w:lang w:val="en-GB"/>
              </w:rPr>
            </w:pPr>
          </w:p>
        </w:tc>
        <w:tc>
          <w:tcPr>
            <w:tcW w:w="851" w:type="dxa"/>
            <w:tcBorders>
              <w:top w:val="nil"/>
              <w:left w:val="nil"/>
              <w:bottom w:val="single" w:sz="4" w:space="0" w:color="auto"/>
              <w:right w:val="single" w:sz="4" w:space="0" w:color="auto"/>
            </w:tcBorders>
            <w:shd w:val="clear" w:color="000000" w:fill="D9D9D9"/>
            <w:noWrap/>
            <w:vAlign w:val="center"/>
            <w:hideMark/>
          </w:tcPr>
          <w:p w14:paraId="2308F431" w14:textId="77777777" w:rsidR="0035719E" w:rsidRPr="00031298" w:rsidRDefault="0035719E" w:rsidP="006B4D0F">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Fixed</w:t>
            </w:r>
          </w:p>
        </w:tc>
        <w:tc>
          <w:tcPr>
            <w:tcW w:w="850" w:type="dxa"/>
            <w:tcBorders>
              <w:top w:val="nil"/>
              <w:left w:val="nil"/>
              <w:bottom w:val="single" w:sz="4" w:space="0" w:color="auto"/>
              <w:right w:val="single" w:sz="4" w:space="0" w:color="auto"/>
            </w:tcBorders>
            <w:shd w:val="clear" w:color="000000" w:fill="D9D9D9"/>
            <w:noWrap/>
            <w:vAlign w:val="center"/>
            <w:hideMark/>
          </w:tcPr>
          <w:p w14:paraId="298CC1B6" w14:textId="77777777" w:rsidR="0035719E" w:rsidRPr="00031298" w:rsidRDefault="0035719E" w:rsidP="006B4D0F">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Zero</w:t>
            </w:r>
          </w:p>
        </w:tc>
        <w:tc>
          <w:tcPr>
            <w:tcW w:w="850" w:type="dxa"/>
            <w:tcBorders>
              <w:top w:val="nil"/>
              <w:left w:val="nil"/>
              <w:bottom w:val="single" w:sz="4" w:space="0" w:color="auto"/>
              <w:right w:val="single" w:sz="4" w:space="0" w:color="auto"/>
            </w:tcBorders>
            <w:shd w:val="clear" w:color="000000" w:fill="D9D9D9"/>
          </w:tcPr>
          <w:p w14:paraId="4882CB37" w14:textId="5C951F24" w:rsidR="0035719E" w:rsidRPr="00031298" w:rsidRDefault="0035719E" w:rsidP="006B4D0F">
            <w:pPr>
              <w:spacing w:after="0" w:line="240" w:lineRule="auto"/>
              <w:jc w:val="center"/>
              <w:rPr>
                <w:rFonts w:eastAsia="Times New Roman" w:cs="Calibri"/>
                <w:color w:val="000000"/>
                <w:sz w:val="14"/>
                <w:szCs w:val="14"/>
                <w:lang w:val="en-GB"/>
              </w:rPr>
            </w:pPr>
            <w:r w:rsidRPr="00031298">
              <w:rPr>
                <w:rFonts w:eastAsia="Times New Roman" w:cs="Calibri"/>
                <w:color w:val="000000"/>
                <w:sz w:val="14"/>
                <w:szCs w:val="14"/>
                <w:lang w:val="en-GB"/>
              </w:rPr>
              <w:t>Variable</w:t>
            </w:r>
          </w:p>
        </w:tc>
      </w:tr>
      <w:tr w:rsidR="00803B8F" w:rsidRPr="00031298" w14:paraId="31F3C06C" w14:textId="5CBADE29" w:rsidTr="00F759E8">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735457B8" w14:textId="77777777" w:rsidR="00803B8F" w:rsidRPr="00031298" w:rsidRDefault="00803B8F" w:rsidP="00803B8F">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0–0.5</w:t>
            </w:r>
          </w:p>
        </w:tc>
        <w:tc>
          <w:tcPr>
            <w:tcW w:w="851" w:type="dxa"/>
            <w:tcBorders>
              <w:top w:val="nil"/>
              <w:left w:val="nil"/>
              <w:bottom w:val="single" w:sz="4" w:space="0" w:color="auto"/>
              <w:right w:val="single" w:sz="4" w:space="0" w:color="auto"/>
            </w:tcBorders>
            <w:noWrap/>
            <w:hideMark/>
          </w:tcPr>
          <w:p w14:paraId="05B631DF" w14:textId="0C25A003"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850" w:type="dxa"/>
            <w:tcBorders>
              <w:top w:val="nil"/>
              <w:left w:val="nil"/>
              <w:bottom w:val="single" w:sz="4" w:space="0" w:color="auto"/>
              <w:right w:val="single" w:sz="4" w:space="0" w:color="auto"/>
            </w:tcBorders>
            <w:noWrap/>
            <w:hideMark/>
          </w:tcPr>
          <w:p w14:paraId="39A3ED96" w14:textId="42092E93"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3.8%</w:t>
            </w:r>
          </w:p>
        </w:tc>
        <w:tc>
          <w:tcPr>
            <w:tcW w:w="850" w:type="dxa"/>
            <w:tcBorders>
              <w:top w:val="nil"/>
              <w:left w:val="nil"/>
              <w:bottom w:val="single" w:sz="4" w:space="0" w:color="auto"/>
              <w:right w:val="single" w:sz="4" w:space="0" w:color="auto"/>
            </w:tcBorders>
          </w:tcPr>
          <w:p w14:paraId="07E9BB4A" w14:textId="514B219D" w:rsidR="00803B8F" w:rsidRPr="00031298" w:rsidRDefault="00803B8F" w:rsidP="00803B8F">
            <w:pPr>
              <w:spacing w:after="0" w:line="240" w:lineRule="auto"/>
              <w:jc w:val="right"/>
              <w:rPr>
                <w:rFonts w:eastAsia="Times New Roman" w:cs="Calibri"/>
                <w:color w:val="000000"/>
                <w:sz w:val="14"/>
                <w:szCs w:val="14"/>
                <w:lang w:val="en-GB"/>
              </w:rPr>
            </w:pPr>
            <w:r w:rsidRPr="00031298">
              <w:rPr>
                <w:sz w:val="14"/>
                <w:szCs w:val="14"/>
                <w:lang w:val="en-GB"/>
              </w:rPr>
              <w:t>5.6%</w:t>
            </w:r>
          </w:p>
        </w:tc>
      </w:tr>
      <w:tr w:rsidR="00803B8F" w:rsidRPr="00031298" w14:paraId="4342E115" w14:textId="2CC2CB0B" w:rsidTr="00F759E8">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4F5A4FF5" w14:textId="77777777" w:rsidR="00803B8F" w:rsidRPr="00031298" w:rsidRDefault="00803B8F" w:rsidP="00803B8F">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0.5–1</w:t>
            </w:r>
          </w:p>
        </w:tc>
        <w:tc>
          <w:tcPr>
            <w:tcW w:w="851" w:type="dxa"/>
            <w:tcBorders>
              <w:top w:val="nil"/>
              <w:left w:val="nil"/>
              <w:bottom w:val="single" w:sz="4" w:space="0" w:color="auto"/>
              <w:right w:val="single" w:sz="4" w:space="0" w:color="auto"/>
            </w:tcBorders>
            <w:noWrap/>
            <w:hideMark/>
          </w:tcPr>
          <w:p w14:paraId="56BA42B8" w14:textId="45B42C81"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4.6%</w:t>
            </w:r>
          </w:p>
        </w:tc>
        <w:tc>
          <w:tcPr>
            <w:tcW w:w="850" w:type="dxa"/>
            <w:tcBorders>
              <w:top w:val="nil"/>
              <w:left w:val="nil"/>
              <w:bottom w:val="single" w:sz="4" w:space="0" w:color="auto"/>
              <w:right w:val="single" w:sz="4" w:space="0" w:color="auto"/>
            </w:tcBorders>
            <w:noWrap/>
            <w:hideMark/>
          </w:tcPr>
          <w:p w14:paraId="429E6915" w14:textId="4D7921F0"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4.6%</w:t>
            </w:r>
          </w:p>
        </w:tc>
        <w:tc>
          <w:tcPr>
            <w:tcW w:w="850" w:type="dxa"/>
            <w:tcBorders>
              <w:top w:val="nil"/>
              <w:left w:val="nil"/>
              <w:bottom w:val="single" w:sz="4" w:space="0" w:color="auto"/>
              <w:right w:val="single" w:sz="4" w:space="0" w:color="auto"/>
            </w:tcBorders>
          </w:tcPr>
          <w:p w14:paraId="47F43193" w14:textId="5E771229" w:rsidR="00803B8F" w:rsidRPr="00031298" w:rsidRDefault="00803B8F" w:rsidP="00803B8F">
            <w:pPr>
              <w:spacing w:after="0" w:line="240" w:lineRule="auto"/>
              <w:jc w:val="right"/>
              <w:rPr>
                <w:rFonts w:eastAsia="Times New Roman" w:cs="Calibri"/>
                <w:color w:val="000000"/>
                <w:sz w:val="14"/>
                <w:szCs w:val="14"/>
                <w:lang w:val="en-GB"/>
              </w:rPr>
            </w:pPr>
            <w:r w:rsidRPr="00031298">
              <w:rPr>
                <w:sz w:val="14"/>
                <w:szCs w:val="14"/>
                <w:lang w:val="en-GB"/>
              </w:rPr>
              <w:t>6.6%</w:t>
            </w:r>
          </w:p>
        </w:tc>
      </w:tr>
      <w:tr w:rsidR="00803B8F" w:rsidRPr="00031298" w14:paraId="4529AEC6" w14:textId="7E1EA04D" w:rsidTr="00F759E8">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66609BC6" w14:textId="77777777" w:rsidR="00803B8F" w:rsidRPr="00031298" w:rsidRDefault="00803B8F" w:rsidP="00803B8F">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1–3</w:t>
            </w:r>
          </w:p>
        </w:tc>
        <w:tc>
          <w:tcPr>
            <w:tcW w:w="851" w:type="dxa"/>
            <w:tcBorders>
              <w:top w:val="nil"/>
              <w:left w:val="nil"/>
              <w:bottom w:val="single" w:sz="4" w:space="0" w:color="auto"/>
              <w:right w:val="single" w:sz="4" w:space="0" w:color="auto"/>
            </w:tcBorders>
            <w:noWrap/>
            <w:hideMark/>
          </w:tcPr>
          <w:p w14:paraId="2344FB82" w14:textId="4C409281"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10.4%</w:t>
            </w:r>
          </w:p>
        </w:tc>
        <w:tc>
          <w:tcPr>
            <w:tcW w:w="850" w:type="dxa"/>
            <w:tcBorders>
              <w:top w:val="nil"/>
              <w:left w:val="nil"/>
              <w:bottom w:val="single" w:sz="4" w:space="0" w:color="auto"/>
              <w:right w:val="single" w:sz="4" w:space="0" w:color="auto"/>
            </w:tcBorders>
            <w:noWrap/>
            <w:hideMark/>
          </w:tcPr>
          <w:p w14:paraId="28717861" w14:textId="0F541C17"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10.8%</w:t>
            </w:r>
          </w:p>
        </w:tc>
        <w:tc>
          <w:tcPr>
            <w:tcW w:w="850" w:type="dxa"/>
            <w:tcBorders>
              <w:top w:val="nil"/>
              <w:left w:val="nil"/>
              <w:bottom w:val="single" w:sz="4" w:space="0" w:color="auto"/>
              <w:right w:val="single" w:sz="4" w:space="0" w:color="auto"/>
            </w:tcBorders>
          </w:tcPr>
          <w:p w14:paraId="77F8AA3F" w14:textId="72EB5498" w:rsidR="00803B8F" w:rsidRPr="00031298" w:rsidRDefault="00803B8F" w:rsidP="00803B8F">
            <w:pPr>
              <w:spacing w:after="0" w:line="240" w:lineRule="auto"/>
              <w:jc w:val="right"/>
              <w:rPr>
                <w:rFonts w:eastAsia="Times New Roman" w:cs="Calibri"/>
                <w:color w:val="000000"/>
                <w:sz w:val="14"/>
                <w:szCs w:val="14"/>
                <w:lang w:val="en-GB"/>
              </w:rPr>
            </w:pPr>
            <w:r w:rsidRPr="00031298">
              <w:rPr>
                <w:sz w:val="14"/>
                <w:szCs w:val="14"/>
                <w:lang w:val="en-GB"/>
              </w:rPr>
              <w:t>6.6%</w:t>
            </w:r>
          </w:p>
        </w:tc>
      </w:tr>
      <w:tr w:rsidR="00803B8F" w:rsidRPr="00031298" w14:paraId="1FC9278E" w14:textId="19A831E5" w:rsidTr="00F759E8">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103C4448" w14:textId="77777777" w:rsidR="00803B8F" w:rsidRPr="00031298" w:rsidRDefault="00803B8F" w:rsidP="00803B8F">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3–5</w:t>
            </w:r>
          </w:p>
        </w:tc>
        <w:tc>
          <w:tcPr>
            <w:tcW w:w="851" w:type="dxa"/>
            <w:tcBorders>
              <w:top w:val="nil"/>
              <w:left w:val="nil"/>
              <w:bottom w:val="single" w:sz="4" w:space="0" w:color="auto"/>
              <w:right w:val="single" w:sz="4" w:space="0" w:color="auto"/>
            </w:tcBorders>
            <w:noWrap/>
            <w:hideMark/>
          </w:tcPr>
          <w:p w14:paraId="7314384C" w14:textId="5D12776B"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17.2%</w:t>
            </w:r>
          </w:p>
        </w:tc>
        <w:tc>
          <w:tcPr>
            <w:tcW w:w="850" w:type="dxa"/>
            <w:tcBorders>
              <w:top w:val="nil"/>
              <w:left w:val="nil"/>
              <w:bottom w:val="single" w:sz="4" w:space="0" w:color="auto"/>
              <w:right w:val="single" w:sz="4" w:space="0" w:color="auto"/>
            </w:tcBorders>
            <w:noWrap/>
            <w:hideMark/>
          </w:tcPr>
          <w:p w14:paraId="69C0BA03" w14:textId="4D6609FC"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19.4%</w:t>
            </w:r>
          </w:p>
        </w:tc>
        <w:tc>
          <w:tcPr>
            <w:tcW w:w="850" w:type="dxa"/>
            <w:tcBorders>
              <w:top w:val="nil"/>
              <w:left w:val="nil"/>
              <w:bottom w:val="single" w:sz="4" w:space="0" w:color="auto"/>
              <w:right w:val="single" w:sz="4" w:space="0" w:color="auto"/>
            </w:tcBorders>
          </w:tcPr>
          <w:p w14:paraId="648ECD2B" w14:textId="2F39DE0A" w:rsidR="00803B8F" w:rsidRPr="00031298" w:rsidRDefault="00803B8F" w:rsidP="00803B8F">
            <w:pPr>
              <w:spacing w:after="0" w:line="240" w:lineRule="auto"/>
              <w:jc w:val="right"/>
              <w:rPr>
                <w:rFonts w:eastAsia="Times New Roman" w:cs="Calibri"/>
                <w:color w:val="000000"/>
                <w:sz w:val="14"/>
                <w:szCs w:val="14"/>
                <w:lang w:val="en-GB"/>
              </w:rPr>
            </w:pPr>
            <w:r w:rsidRPr="00031298">
              <w:rPr>
                <w:sz w:val="14"/>
                <w:szCs w:val="14"/>
                <w:lang w:val="en-GB"/>
              </w:rPr>
              <w:t>6.6%</w:t>
            </w:r>
          </w:p>
        </w:tc>
      </w:tr>
      <w:tr w:rsidR="00803B8F" w:rsidRPr="00031298" w14:paraId="53267F2F" w14:textId="5561E68D" w:rsidTr="00F759E8">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026985AF" w14:textId="77777777" w:rsidR="00803B8F" w:rsidRPr="00031298" w:rsidRDefault="00803B8F" w:rsidP="00803B8F">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5–7</w:t>
            </w:r>
          </w:p>
        </w:tc>
        <w:tc>
          <w:tcPr>
            <w:tcW w:w="851" w:type="dxa"/>
            <w:tcBorders>
              <w:top w:val="nil"/>
              <w:left w:val="nil"/>
              <w:bottom w:val="single" w:sz="4" w:space="0" w:color="auto"/>
              <w:right w:val="single" w:sz="4" w:space="0" w:color="auto"/>
            </w:tcBorders>
            <w:noWrap/>
            <w:hideMark/>
          </w:tcPr>
          <w:p w14:paraId="253A4BB0" w14:textId="09ECAB4D"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22.4%</w:t>
            </w:r>
          </w:p>
        </w:tc>
        <w:tc>
          <w:tcPr>
            <w:tcW w:w="850" w:type="dxa"/>
            <w:tcBorders>
              <w:top w:val="nil"/>
              <w:left w:val="nil"/>
              <w:bottom w:val="single" w:sz="4" w:space="0" w:color="auto"/>
              <w:right w:val="single" w:sz="4" w:space="0" w:color="auto"/>
            </w:tcBorders>
            <w:noWrap/>
            <w:hideMark/>
          </w:tcPr>
          <w:p w14:paraId="487672DC" w14:textId="0AFCFD3B"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26.8%</w:t>
            </w:r>
          </w:p>
        </w:tc>
        <w:tc>
          <w:tcPr>
            <w:tcW w:w="850" w:type="dxa"/>
            <w:tcBorders>
              <w:top w:val="nil"/>
              <w:left w:val="nil"/>
              <w:bottom w:val="single" w:sz="4" w:space="0" w:color="auto"/>
              <w:right w:val="single" w:sz="4" w:space="0" w:color="auto"/>
            </w:tcBorders>
          </w:tcPr>
          <w:p w14:paraId="27D699B3" w14:textId="0FB6B8E8" w:rsidR="00803B8F" w:rsidRPr="00031298" w:rsidRDefault="00803B8F" w:rsidP="00803B8F">
            <w:pPr>
              <w:spacing w:after="0" w:line="240" w:lineRule="auto"/>
              <w:jc w:val="right"/>
              <w:rPr>
                <w:rFonts w:eastAsia="Times New Roman" w:cs="Calibri"/>
                <w:color w:val="000000"/>
                <w:sz w:val="14"/>
                <w:szCs w:val="14"/>
                <w:lang w:val="en-GB"/>
              </w:rPr>
            </w:pPr>
            <w:r w:rsidRPr="00031298">
              <w:rPr>
                <w:sz w:val="14"/>
                <w:szCs w:val="14"/>
                <w:lang w:val="en-GB"/>
              </w:rPr>
              <w:t>6.6%</w:t>
            </w:r>
          </w:p>
        </w:tc>
      </w:tr>
      <w:tr w:rsidR="00803B8F" w:rsidRPr="00031298" w14:paraId="0E223F52" w14:textId="6ED31FC5" w:rsidTr="00F759E8">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2D35170E" w14:textId="77777777" w:rsidR="00803B8F" w:rsidRPr="00031298" w:rsidRDefault="00803B8F" w:rsidP="00803B8F">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7–10</w:t>
            </w:r>
          </w:p>
        </w:tc>
        <w:tc>
          <w:tcPr>
            <w:tcW w:w="851" w:type="dxa"/>
            <w:tcBorders>
              <w:top w:val="nil"/>
              <w:left w:val="nil"/>
              <w:bottom w:val="single" w:sz="4" w:space="0" w:color="auto"/>
              <w:right w:val="single" w:sz="4" w:space="0" w:color="auto"/>
            </w:tcBorders>
            <w:noWrap/>
            <w:hideMark/>
          </w:tcPr>
          <w:p w14:paraId="68C24BE7" w14:textId="0680D648"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30.8%</w:t>
            </w:r>
          </w:p>
        </w:tc>
        <w:tc>
          <w:tcPr>
            <w:tcW w:w="850" w:type="dxa"/>
            <w:tcBorders>
              <w:top w:val="nil"/>
              <w:left w:val="nil"/>
              <w:bottom w:val="single" w:sz="4" w:space="0" w:color="auto"/>
              <w:right w:val="single" w:sz="4" w:space="0" w:color="auto"/>
            </w:tcBorders>
            <w:noWrap/>
            <w:hideMark/>
          </w:tcPr>
          <w:p w14:paraId="00E6C945" w14:textId="44DD233E"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40.4%</w:t>
            </w:r>
          </w:p>
        </w:tc>
        <w:tc>
          <w:tcPr>
            <w:tcW w:w="850" w:type="dxa"/>
            <w:tcBorders>
              <w:top w:val="nil"/>
              <w:left w:val="nil"/>
              <w:bottom w:val="single" w:sz="4" w:space="0" w:color="auto"/>
              <w:right w:val="single" w:sz="4" w:space="0" w:color="auto"/>
            </w:tcBorders>
          </w:tcPr>
          <w:p w14:paraId="3476CE2A" w14:textId="6436A9B9" w:rsidR="00803B8F" w:rsidRPr="00031298" w:rsidRDefault="00803B8F" w:rsidP="00803B8F">
            <w:pPr>
              <w:spacing w:after="0" w:line="240" w:lineRule="auto"/>
              <w:jc w:val="right"/>
              <w:rPr>
                <w:rFonts w:eastAsia="Times New Roman" w:cs="Calibri"/>
                <w:color w:val="000000"/>
                <w:sz w:val="14"/>
                <w:szCs w:val="14"/>
                <w:lang w:val="en-GB"/>
              </w:rPr>
            </w:pPr>
            <w:r w:rsidRPr="00031298">
              <w:rPr>
                <w:sz w:val="14"/>
                <w:szCs w:val="14"/>
                <w:lang w:val="en-GB"/>
              </w:rPr>
              <w:t>7.6%</w:t>
            </w:r>
          </w:p>
        </w:tc>
      </w:tr>
      <w:tr w:rsidR="00803B8F" w:rsidRPr="00031298" w14:paraId="006A3411" w14:textId="4CCFF600" w:rsidTr="00F759E8">
        <w:trPr>
          <w:trHeight w:val="195"/>
          <w:jc w:val="center"/>
        </w:trPr>
        <w:tc>
          <w:tcPr>
            <w:tcW w:w="704" w:type="dxa"/>
            <w:tcBorders>
              <w:top w:val="nil"/>
              <w:left w:val="single" w:sz="4" w:space="0" w:color="auto"/>
              <w:bottom w:val="single" w:sz="4" w:space="0" w:color="auto"/>
              <w:right w:val="single" w:sz="4" w:space="0" w:color="auto"/>
            </w:tcBorders>
            <w:noWrap/>
            <w:vAlign w:val="bottom"/>
            <w:hideMark/>
          </w:tcPr>
          <w:p w14:paraId="6A957030" w14:textId="77777777" w:rsidR="00803B8F" w:rsidRPr="00031298" w:rsidRDefault="00803B8F" w:rsidP="00803B8F">
            <w:pPr>
              <w:spacing w:after="0" w:line="240" w:lineRule="auto"/>
              <w:rPr>
                <w:rFonts w:eastAsia="Times New Roman" w:cs="Calibri"/>
                <w:color w:val="000000"/>
                <w:sz w:val="14"/>
                <w:szCs w:val="14"/>
                <w:lang w:val="en-GB"/>
              </w:rPr>
            </w:pPr>
            <w:r w:rsidRPr="00031298">
              <w:rPr>
                <w:rFonts w:eastAsia="Times New Roman" w:cs="Calibri"/>
                <w:color w:val="000000"/>
                <w:sz w:val="14"/>
                <w:szCs w:val="14"/>
                <w:lang w:val="en-GB"/>
              </w:rPr>
              <w:t>10–</w:t>
            </w:r>
          </w:p>
        </w:tc>
        <w:tc>
          <w:tcPr>
            <w:tcW w:w="851" w:type="dxa"/>
            <w:tcBorders>
              <w:top w:val="nil"/>
              <w:left w:val="nil"/>
              <w:bottom w:val="single" w:sz="4" w:space="0" w:color="auto"/>
              <w:right w:val="single" w:sz="4" w:space="0" w:color="auto"/>
            </w:tcBorders>
            <w:noWrap/>
            <w:hideMark/>
          </w:tcPr>
          <w:p w14:paraId="01FDCAFA" w14:textId="4B2C4A50"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39.2%</w:t>
            </w:r>
          </w:p>
        </w:tc>
        <w:tc>
          <w:tcPr>
            <w:tcW w:w="850" w:type="dxa"/>
            <w:tcBorders>
              <w:top w:val="nil"/>
              <w:left w:val="nil"/>
              <w:bottom w:val="single" w:sz="4" w:space="0" w:color="auto"/>
              <w:right w:val="single" w:sz="4" w:space="0" w:color="auto"/>
            </w:tcBorders>
            <w:noWrap/>
            <w:hideMark/>
          </w:tcPr>
          <w:p w14:paraId="0060996A" w14:textId="7B3E5C45" w:rsidR="00803B8F" w:rsidRPr="00031298" w:rsidRDefault="00803B8F" w:rsidP="00803B8F">
            <w:pPr>
              <w:spacing w:after="0" w:line="240" w:lineRule="auto"/>
              <w:jc w:val="right"/>
              <w:rPr>
                <w:rFonts w:eastAsia="Times New Roman" w:cs="Calibri"/>
                <w:color w:val="000000"/>
                <w:sz w:val="14"/>
                <w:szCs w:val="14"/>
                <w:lang w:val="en-GB"/>
              </w:rPr>
            </w:pPr>
            <w:r w:rsidRPr="00031298">
              <w:rPr>
                <w:rFonts w:eastAsia="Times New Roman" w:cs="Calibri"/>
                <w:color w:val="000000"/>
                <w:sz w:val="14"/>
                <w:szCs w:val="14"/>
                <w:lang w:val="en-GB"/>
              </w:rPr>
              <w:t>58.8%</w:t>
            </w:r>
          </w:p>
        </w:tc>
        <w:tc>
          <w:tcPr>
            <w:tcW w:w="850" w:type="dxa"/>
            <w:tcBorders>
              <w:top w:val="nil"/>
              <w:left w:val="nil"/>
              <w:bottom w:val="single" w:sz="4" w:space="0" w:color="auto"/>
              <w:right w:val="single" w:sz="4" w:space="0" w:color="auto"/>
            </w:tcBorders>
          </w:tcPr>
          <w:p w14:paraId="611D488C" w14:textId="7A609311" w:rsidR="00803B8F" w:rsidRPr="00031298" w:rsidRDefault="00803B8F" w:rsidP="00803B8F">
            <w:pPr>
              <w:spacing w:after="0" w:line="240" w:lineRule="auto"/>
              <w:jc w:val="right"/>
              <w:rPr>
                <w:rFonts w:eastAsia="Times New Roman" w:cs="Calibri"/>
                <w:color w:val="000000"/>
                <w:sz w:val="14"/>
                <w:szCs w:val="14"/>
                <w:lang w:val="en-GB"/>
              </w:rPr>
            </w:pPr>
            <w:r w:rsidRPr="00031298">
              <w:rPr>
                <w:sz w:val="14"/>
                <w:szCs w:val="14"/>
                <w:lang w:val="en-GB"/>
              </w:rPr>
              <w:t>7.6%</w:t>
            </w:r>
          </w:p>
        </w:tc>
      </w:tr>
    </w:tbl>
    <w:p w14:paraId="0EE395FA" w14:textId="639E5660" w:rsidR="00CA2F0D" w:rsidRPr="00031298" w:rsidRDefault="00CA2F0D" w:rsidP="00CA2F0D">
      <w:pPr>
        <w:spacing w:after="0" w:line="240" w:lineRule="auto"/>
        <w:jc w:val="center"/>
        <w:rPr>
          <w:b/>
          <w:sz w:val="28"/>
          <w:lang w:val="en-GB"/>
        </w:rPr>
      </w:pPr>
    </w:p>
    <w:p w14:paraId="7B6E07F1" w14:textId="457EA4F2" w:rsidR="00F0443A" w:rsidRPr="00031298" w:rsidRDefault="00A7534A" w:rsidP="00F0443A">
      <w:pPr>
        <w:pStyle w:val="Cmsor2"/>
        <w:keepNext/>
        <w:numPr>
          <w:ilvl w:val="0"/>
          <w:numId w:val="0"/>
        </w:numPr>
        <w:ind w:left="431" w:hanging="431"/>
        <w:rPr>
          <w:color w:val="auto"/>
          <w:sz w:val="28"/>
          <w:szCs w:val="30"/>
          <w:lang w:val="en-GB"/>
        </w:rPr>
      </w:pPr>
      <w:r w:rsidRPr="00031298">
        <w:rPr>
          <w:bCs/>
          <w:color w:val="auto"/>
          <w:sz w:val="28"/>
          <w:szCs w:val="30"/>
          <w:lang w:val="en-GB"/>
        </w:rPr>
        <w:t>Outflows related to deposits and uncommitted credit lines</w:t>
      </w:r>
    </w:p>
    <w:p w14:paraId="4733A694" w14:textId="59F0FA8F" w:rsidR="005007F1" w:rsidRPr="00031298" w:rsidRDefault="005007F1" w:rsidP="005007F1">
      <w:pPr>
        <w:rPr>
          <w:sz w:val="22"/>
          <w:lang w:val="en-GB"/>
        </w:rPr>
      </w:pPr>
      <w:r w:rsidRPr="00031298">
        <w:rPr>
          <w:sz w:val="22"/>
          <w:lang w:val="en-GB"/>
        </w:rPr>
        <w:t xml:space="preserve">Stress weights different from the standard </w:t>
      </w:r>
      <w:proofErr w:type="spellStart"/>
      <w:r w:rsidRPr="00031298">
        <w:rPr>
          <w:sz w:val="22"/>
          <w:lang w:val="en-GB"/>
        </w:rPr>
        <w:t>LCR</w:t>
      </w:r>
      <w:proofErr w:type="spellEnd"/>
      <w:r w:rsidRPr="00031298">
        <w:rPr>
          <w:sz w:val="22"/>
          <w:lang w:val="en-GB"/>
        </w:rPr>
        <w:t xml:space="preserve"> outflow factors shall be applied to the items listed in Tables 4–6. Unlike in the </w:t>
      </w:r>
      <w:proofErr w:type="spellStart"/>
      <w:r w:rsidRPr="00031298">
        <w:rPr>
          <w:sz w:val="22"/>
          <w:lang w:val="en-GB"/>
        </w:rPr>
        <w:t>LCR</w:t>
      </w:r>
      <w:proofErr w:type="spellEnd"/>
      <w:r w:rsidRPr="00031298">
        <w:rPr>
          <w:sz w:val="22"/>
          <w:lang w:val="en-GB"/>
        </w:rPr>
        <w:t xml:space="preserve"> report, separate weights are assigned to forint and foreign currency items, to households and SMEs within household deposits, and to large depositors within unsecured corporate deposits. Outflows related to credit lines should be replaced with values determined on the basis of M02–M03 and Table 6 (corporate credit lines should be further broken down into SME and large corporate portfolios). Credit lines not included in M02–M03 do not need to be taken into account in the </w:t>
      </w:r>
      <w:proofErr w:type="spellStart"/>
      <w:r w:rsidRPr="00031298">
        <w:rPr>
          <w:sz w:val="22"/>
          <w:lang w:val="en-GB"/>
        </w:rPr>
        <w:t>FLST</w:t>
      </w:r>
      <w:proofErr w:type="spellEnd"/>
      <w:r w:rsidRPr="00031298">
        <w:rPr>
          <w:sz w:val="22"/>
          <w:lang w:val="en-GB"/>
        </w:rPr>
        <w:t xml:space="preserve"> calculation. In the case of undrawn credit lines granted to credit institutions, please take into account all forint and foreign currency exposures, regardless of whether the counterparty is domestic or foreign (except for domestic intra-group counterparties, for which a separate outflow factor applies). Off-balance sheet transactions other than credit lines not included in Table 6 should be taken into account as specified in the </w:t>
      </w:r>
      <w:proofErr w:type="spellStart"/>
      <w:r w:rsidRPr="00031298">
        <w:rPr>
          <w:sz w:val="22"/>
          <w:lang w:val="en-GB"/>
        </w:rPr>
        <w:t>LCR</w:t>
      </w:r>
      <w:proofErr w:type="spellEnd"/>
      <w:r w:rsidRPr="00031298">
        <w:rPr>
          <w:sz w:val="22"/>
          <w:lang w:val="en-GB"/>
        </w:rPr>
        <w:t xml:space="preserve">. Credit lines related to CLS settlement for liquidity purposes should not be included in the </w:t>
      </w:r>
      <w:proofErr w:type="spellStart"/>
      <w:r w:rsidRPr="00031298">
        <w:rPr>
          <w:sz w:val="22"/>
          <w:lang w:val="en-GB"/>
        </w:rPr>
        <w:t>FLST</w:t>
      </w:r>
      <w:proofErr w:type="spellEnd"/>
      <w:r w:rsidRPr="00031298">
        <w:rPr>
          <w:sz w:val="22"/>
          <w:lang w:val="en-GB"/>
        </w:rPr>
        <w:t xml:space="preserve"> calculation, as they behave differently from traditional credit lines, and the MNB has not calibrated a separate outflow factor for them due to a lack of historical data. The MNB may review this decision at a later date.</w:t>
      </w:r>
    </w:p>
    <w:p w14:paraId="238A69B0" w14:textId="41B81A4E" w:rsidR="00002C97" w:rsidRPr="00031298" w:rsidRDefault="001207DC" w:rsidP="00002C97">
      <w:pPr>
        <w:pStyle w:val="Kpalrs"/>
        <w:keepNext/>
        <w:jc w:val="center"/>
        <w:rPr>
          <w:color w:val="auto"/>
          <w:sz w:val="22"/>
          <w:lang w:val="en-GB"/>
        </w:rPr>
      </w:pPr>
      <w:r w:rsidRPr="00031298">
        <w:rPr>
          <w:color w:val="auto"/>
          <w:sz w:val="22"/>
          <w:lang w:val="en-GB"/>
        </w:rPr>
        <w:t xml:space="preserve">Table 4: Outflow factors for </w:t>
      </w:r>
      <w:r w:rsidR="00F24CE7">
        <w:rPr>
          <w:color w:val="auto"/>
          <w:sz w:val="22"/>
          <w:lang w:val="en-GB"/>
        </w:rPr>
        <w:t>retail</w:t>
      </w:r>
      <w:r w:rsidR="00F24CE7" w:rsidRPr="00031298">
        <w:rPr>
          <w:color w:val="auto"/>
          <w:sz w:val="22"/>
          <w:lang w:val="en-GB"/>
        </w:rPr>
        <w:t xml:space="preserve"> </w:t>
      </w:r>
      <w:r w:rsidRPr="00031298">
        <w:rPr>
          <w:color w:val="auto"/>
          <w:sz w:val="22"/>
          <w:lang w:val="en-GB"/>
        </w:rPr>
        <w:t xml:space="preserve">deposits according to </w:t>
      </w:r>
      <w:proofErr w:type="spellStart"/>
      <w:r w:rsidRPr="00031298">
        <w:rPr>
          <w:color w:val="auto"/>
          <w:sz w:val="22"/>
          <w:lang w:val="en-GB"/>
        </w:rPr>
        <w:t>FLST</w:t>
      </w:r>
      <w:proofErr w:type="spellEnd"/>
    </w:p>
    <w:tbl>
      <w:tblPr>
        <w:tblW w:w="7500" w:type="dxa"/>
        <w:jc w:val="center"/>
        <w:tblCellMar>
          <w:left w:w="70" w:type="dxa"/>
          <w:right w:w="70" w:type="dxa"/>
        </w:tblCellMar>
        <w:tblLook w:val="04A0" w:firstRow="1" w:lastRow="0" w:firstColumn="1" w:lastColumn="0" w:noHBand="0" w:noVBand="1"/>
      </w:tblPr>
      <w:tblGrid>
        <w:gridCol w:w="900"/>
        <w:gridCol w:w="2880"/>
        <w:gridCol w:w="1220"/>
        <w:gridCol w:w="800"/>
        <w:gridCol w:w="1440"/>
        <w:gridCol w:w="1000"/>
      </w:tblGrid>
      <w:tr w:rsidR="00266B17" w:rsidRPr="00031298" w14:paraId="510FC628" w14:textId="77777777" w:rsidTr="0067086E">
        <w:trPr>
          <w:trHeight w:val="255"/>
          <w:jc w:val="center"/>
        </w:trPr>
        <w:tc>
          <w:tcPr>
            <w:tcW w:w="1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17FD2B"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Hierarchy</w:t>
            </w:r>
          </w:p>
        </w:tc>
        <w:tc>
          <w:tcPr>
            <w:tcW w:w="2880" w:type="dxa"/>
            <w:tcBorders>
              <w:top w:val="single" w:sz="4" w:space="0" w:color="auto"/>
              <w:left w:val="nil"/>
              <w:bottom w:val="single" w:sz="4" w:space="0" w:color="auto"/>
              <w:right w:val="single" w:sz="4" w:space="0" w:color="auto"/>
            </w:tcBorders>
            <w:shd w:val="clear" w:color="000000" w:fill="BFBFBF"/>
            <w:noWrap/>
            <w:vAlign w:val="center"/>
            <w:hideMark/>
          </w:tcPr>
          <w:p w14:paraId="3A582493"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Row name</w:t>
            </w:r>
          </w:p>
        </w:tc>
        <w:tc>
          <w:tcPr>
            <w:tcW w:w="1220" w:type="dxa"/>
            <w:tcBorders>
              <w:top w:val="single" w:sz="4" w:space="0" w:color="auto"/>
              <w:left w:val="nil"/>
              <w:bottom w:val="single" w:sz="4" w:space="0" w:color="auto"/>
              <w:right w:val="single" w:sz="4" w:space="0" w:color="auto"/>
            </w:tcBorders>
            <w:shd w:val="clear" w:color="000000" w:fill="BFBFBF"/>
            <w:noWrap/>
            <w:vAlign w:val="center"/>
            <w:hideMark/>
          </w:tcPr>
          <w:p w14:paraId="627FFFF4"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HUF households</w:t>
            </w:r>
          </w:p>
        </w:tc>
        <w:tc>
          <w:tcPr>
            <w:tcW w:w="800" w:type="dxa"/>
            <w:tcBorders>
              <w:top w:val="single" w:sz="4" w:space="0" w:color="auto"/>
              <w:left w:val="nil"/>
              <w:bottom w:val="single" w:sz="4" w:space="0" w:color="auto"/>
              <w:right w:val="single" w:sz="4" w:space="0" w:color="auto"/>
            </w:tcBorders>
            <w:shd w:val="clear" w:color="000000" w:fill="BFBFBF"/>
            <w:noWrap/>
            <w:vAlign w:val="center"/>
            <w:hideMark/>
          </w:tcPr>
          <w:p w14:paraId="638B2AB3"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HUF SME</w:t>
            </w:r>
          </w:p>
        </w:tc>
        <w:tc>
          <w:tcPr>
            <w:tcW w:w="1440" w:type="dxa"/>
            <w:tcBorders>
              <w:top w:val="single" w:sz="4" w:space="0" w:color="auto"/>
              <w:left w:val="nil"/>
              <w:bottom w:val="single" w:sz="4" w:space="0" w:color="auto"/>
              <w:right w:val="single" w:sz="4" w:space="0" w:color="auto"/>
            </w:tcBorders>
            <w:shd w:val="clear" w:color="000000" w:fill="BFBFBF"/>
            <w:noWrap/>
            <w:vAlign w:val="center"/>
            <w:hideMark/>
          </w:tcPr>
          <w:p w14:paraId="6CF206EA"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Foreign currency households</w:t>
            </w:r>
          </w:p>
        </w:tc>
        <w:tc>
          <w:tcPr>
            <w:tcW w:w="1000" w:type="dxa"/>
            <w:tcBorders>
              <w:top w:val="single" w:sz="4" w:space="0" w:color="auto"/>
              <w:left w:val="nil"/>
              <w:bottom w:val="single" w:sz="4" w:space="0" w:color="auto"/>
              <w:right w:val="single" w:sz="4" w:space="0" w:color="auto"/>
            </w:tcBorders>
            <w:shd w:val="clear" w:color="000000" w:fill="BFBFBF"/>
            <w:noWrap/>
            <w:vAlign w:val="center"/>
            <w:hideMark/>
          </w:tcPr>
          <w:p w14:paraId="1C0042CF"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Foreign currency SME</w:t>
            </w:r>
          </w:p>
        </w:tc>
      </w:tr>
      <w:tr w:rsidR="00266B17" w:rsidRPr="00031298" w14:paraId="1FC8D89B" w14:textId="77777777" w:rsidTr="0067086E">
        <w:trPr>
          <w:trHeight w:val="478"/>
          <w:jc w:val="center"/>
        </w:trPr>
        <w:tc>
          <w:tcPr>
            <w:tcW w:w="160" w:type="dxa"/>
            <w:tcBorders>
              <w:top w:val="nil"/>
              <w:left w:val="single" w:sz="4" w:space="0" w:color="auto"/>
              <w:bottom w:val="single" w:sz="4" w:space="0" w:color="auto"/>
              <w:right w:val="single" w:sz="4" w:space="0" w:color="auto"/>
            </w:tcBorders>
            <w:shd w:val="clear" w:color="000000" w:fill="F2F2F2"/>
            <w:vAlign w:val="center"/>
            <w:hideMark/>
          </w:tcPr>
          <w:p w14:paraId="6531C6E5"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1.1.1.1.</w:t>
            </w:r>
          </w:p>
        </w:tc>
        <w:tc>
          <w:tcPr>
            <w:tcW w:w="2880" w:type="dxa"/>
            <w:tcBorders>
              <w:top w:val="nil"/>
              <w:left w:val="nil"/>
              <w:bottom w:val="single" w:sz="4" w:space="0" w:color="auto"/>
              <w:right w:val="single" w:sz="4" w:space="0" w:color="auto"/>
            </w:tcBorders>
            <w:shd w:val="clear" w:color="000000" w:fill="F2F2F2"/>
            <w:hideMark/>
          </w:tcPr>
          <w:p w14:paraId="41A81B47" w14:textId="41FEE89E"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___</w:t>
            </w:r>
            <w:r w:rsidR="00F24CE7">
              <w:rPr>
                <w:rFonts w:eastAsia="Times New Roman" w:cs="Calibri"/>
                <w:color w:val="000000"/>
                <w:lang w:val="en-GB"/>
              </w:rPr>
              <w:t>d</w:t>
            </w:r>
            <w:r w:rsidRPr="00031298">
              <w:rPr>
                <w:rFonts w:eastAsia="Times New Roman" w:cs="Calibri"/>
                <w:color w:val="000000"/>
                <w:lang w:val="en-GB"/>
              </w:rPr>
              <w:t xml:space="preserve">eposits </w:t>
            </w:r>
            <w:r w:rsidR="00F24CE7">
              <w:rPr>
                <w:rFonts w:eastAsia="Times New Roman" w:cs="Calibri"/>
                <w:color w:val="000000"/>
                <w:lang w:val="en-GB"/>
              </w:rPr>
              <w:t>exempted</w:t>
            </w:r>
            <w:r w:rsidR="00F24CE7" w:rsidRPr="00031298">
              <w:rPr>
                <w:rFonts w:eastAsia="Times New Roman" w:cs="Calibri"/>
                <w:color w:val="000000"/>
                <w:lang w:val="en-GB"/>
              </w:rPr>
              <w:t xml:space="preserve"> </w:t>
            </w:r>
            <w:r w:rsidRPr="00031298">
              <w:rPr>
                <w:rFonts w:eastAsia="Times New Roman" w:cs="Calibri"/>
                <w:color w:val="000000"/>
                <w:lang w:val="en-GB"/>
              </w:rPr>
              <w:t>from the calculation of outflows</w:t>
            </w:r>
          </w:p>
        </w:tc>
        <w:tc>
          <w:tcPr>
            <w:tcW w:w="1220" w:type="dxa"/>
            <w:tcBorders>
              <w:top w:val="nil"/>
              <w:left w:val="nil"/>
              <w:bottom w:val="single" w:sz="4" w:space="0" w:color="auto"/>
              <w:right w:val="single" w:sz="4" w:space="0" w:color="auto"/>
            </w:tcBorders>
            <w:noWrap/>
            <w:vAlign w:val="center"/>
            <w:hideMark/>
          </w:tcPr>
          <w:p w14:paraId="692B55B2"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8.0%</w:t>
            </w:r>
          </w:p>
        </w:tc>
        <w:tc>
          <w:tcPr>
            <w:tcW w:w="800" w:type="dxa"/>
            <w:tcBorders>
              <w:top w:val="nil"/>
              <w:left w:val="nil"/>
              <w:bottom w:val="single" w:sz="4" w:space="0" w:color="auto"/>
              <w:right w:val="single" w:sz="4" w:space="0" w:color="auto"/>
            </w:tcBorders>
            <w:noWrap/>
            <w:vAlign w:val="center"/>
            <w:hideMark/>
          </w:tcPr>
          <w:p w14:paraId="3E8384E0"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8.0%</w:t>
            </w:r>
          </w:p>
        </w:tc>
        <w:tc>
          <w:tcPr>
            <w:tcW w:w="1440" w:type="dxa"/>
            <w:tcBorders>
              <w:top w:val="nil"/>
              <w:left w:val="nil"/>
              <w:bottom w:val="single" w:sz="4" w:space="0" w:color="auto"/>
              <w:right w:val="single" w:sz="4" w:space="0" w:color="auto"/>
            </w:tcBorders>
            <w:noWrap/>
            <w:vAlign w:val="center"/>
            <w:hideMark/>
          </w:tcPr>
          <w:p w14:paraId="568D5ED7"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16.0%</w:t>
            </w:r>
          </w:p>
        </w:tc>
        <w:tc>
          <w:tcPr>
            <w:tcW w:w="1000" w:type="dxa"/>
            <w:tcBorders>
              <w:top w:val="nil"/>
              <w:left w:val="nil"/>
              <w:bottom w:val="single" w:sz="4" w:space="0" w:color="auto"/>
              <w:right w:val="single" w:sz="4" w:space="0" w:color="auto"/>
            </w:tcBorders>
            <w:noWrap/>
            <w:vAlign w:val="center"/>
            <w:hideMark/>
          </w:tcPr>
          <w:p w14:paraId="087C334D"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16.0%</w:t>
            </w:r>
          </w:p>
        </w:tc>
      </w:tr>
      <w:tr w:rsidR="00266B17" w:rsidRPr="00031298" w14:paraId="7B422AE4" w14:textId="77777777" w:rsidTr="0067086E">
        <w:trPr>
          <w:trHeight w:val="255"/>
          <w:jc w:val="center"/>
        </w:trPr>
        <w:tc>
          <w:tcPr>
            <w:tcW w:w="160" w:type="dxa"/>
            <w:tcBorders>
              <w:top w:val="nil"/>
              <w:left w:val="single" w:sz="4" w:space="0" w:color="auto"/>
              <w:bottom w:val="single" w:sz="4" w:space="0" w:color="auto"/>
              <w:right w:val="single" w:sz="4" w:space="0" w:color="auto"/>
            </w:tcBorders>
            <w:shd w:val="clear" w:color="000000" w:fill="F2F2F2"/>
            <w:vAlign w:val="center"/>
            <w:hideMark/>
          </w:tcPr>
          <w:p w14:paraId="772A7EA8"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1.1.1.3.1.</w:t>
            </w:r>
          </w:p>
        </w:tc>
        <w:tc>
          <w:tcPr>
            <w:tcW w:w="2880" w:type="dxa"/>
            <w:tcBorders>
              <w:top w:val="nil"/>
              <w:left w:val="nil"/>
              <w:bottom w:val="single" w:sz="4" w:space="0" w:color="auto"/>
              <w:right w:val="single" w:sz="4" w:space="0" w:color="auto"/>
            </w:tcBorders>
            <w:shd w:val="clear" w:color="000000" w:fill="F2F2F2"/>
            <w:hideMark/>
          </w:tcPr>
          <w:p w14:paraId="3449F6C2" w14:textId="54B7E89C"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____</w:t>
            </w:r>
            <w:r w:rsidR="00F24CE7">
              <w:rPr>
                <w:rFonts w:eastAsia="Times New Roman" w:cs="Calibri"/>
                <w:color w:val="000000"/>
                <w:lang w:val="en-GB"/>
              </w:rPr>
              <w:t>c</w:t>
            </w:r>
            <w:r w:rsidRPr="00031298">
              <w:rPr>
                <w:rFonts w:eastAsia="Times New Roman" w:cs="Calibri"/>
                <w:color w:val="000000"/>
                <w:lang w:val="en-GB"/>
              </w:rPr>
              <w:t>ategory 1</w:t>
            </w:r>
          </w:p>
        </w:tc>
        <w:tc>
          <w:tcPr>
            <w:tcW w:w="1220" w:type="dxa"/>
            <w:tcBorders>
              <w:top w:val="nil"/>
              <w:left w:val="nil"/>
              <w:bottom w:val="single" w:sz="4" w:space="0" w:color="auto"/>
              <w:right w:val="single" w:sz="4" w:space="0" w:color="auto"/>
            </w:tcBorders>
            <w:noWrap/>
            <w:vAlign w:val="center"/>
            <w:hideMark/>
          </w:tcPr>
          <w:p w14:paraId="148C308B"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15.0%</w:t>
            </w:r>
          </w:p>
        </w:tc>
        <w:tc>
          <w:tcPr>
            <w:tcW w:w="800" w:type="dxa"/>
            <w:tcBorders>
              <w:top w:val="nil"/>
              <w:left w:val="nil"/>
              <w:bottom w:val="single" w:sz="4" w:space="0" w:color="auto"/>
              <w:right w:val="single" w:sz="4" w:space="0" w:color="auto"/>
            </w:tcBorders>
            <w:noWrap/>
            <w:vAlign w:val="center"/>
            <w:hideMark/>
          </w:tcPr>
          <w:p w14:paraId="612F0396" w14:textId="7494CFCA"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18.0%</w:t>
            </w:r>
          </w:p>
        </w:tc>
        <w:tc>
          <w:tcPr>
            <w:tcW w:w="1440" w:type="dxa"/>
            <w:tcBorders>
              <w:top w:val="nil"/>
              <w:left w:val="nil"/>
              <w:bottom w:val="single" w:sz="4" w:space="0" w:color="auto"/>
              <w:right w:val="single" w:sz="4" w:space="0" w:color="auto"/>
            </w:tcBorders>
            <w:noWrap/>
            <w:vAlign w:val="center"/>
            <w:hideMark/>
          </w:tcPr>
          <w:p w14:paraId="63A96915"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30.0%</w:t>
            </w:r>
          </w:p>
        </w:tc>
        <w:tc>
          <w:tcPr>
            <w:tcW w:w="1000" w:type="dxa"/>
            <w:tcBorders>
              <w:top w:val="nil"/>
              <w:left w:val="nil"/>
              <w:bottom w:val="single" w:sz="4" w:space="0" w:color="auto"/>
              <w:right w:val="single" w:sz="4" w:space="0" w:color="auto"/>
            </w:tcBorders>
            <w:noWrap/>
            <w:vAlign w:val="center"/>
            <w:hideMark/>
          </w:tcPr>
          <w:p w14:paraId="7531316D" w14:textId="0BF479DD"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36.0%</w:t>
            </w:r>
          </w:p>
        </w:tc>
      </w:tr>
      <w:tr w:rsidR="00266B17" w:rsidRPr="00031298" w14:paraId="0F4AE263" w14:textId="77777777" w:rsidTr="0067086E">
        <w:trPr>
          <w:trHeight w:val="255"/>
          <w:jc w:val="center"/>
        </w:trPr>
        <w:tc>
          <w:tcPr>
            <w:tcW w:w="160" w:type="dxa"/>
            <w:tcBorders>
              <w:top w:val="nil"/>
              <w:left w:val="single" w:sz="4" w:space="0" w:color="auto"/>
              <w:bottom w:val="single" w:sz="4" w:space="0" w:color="auto"/>
              <w:right w:val="single" w:sz="4" w:space="0" w:color="auto"/>
            </w:tcBorders>
            <w:shd w:val="clear" w:color="000000" w:fill="F2F2F2"/>
            <w:vAlign w:val="center"/>
            <w:hideMark/>
          </w:tcPr>
          <w:p w14:paraId="34745641"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1.1.1.3.2.</w:t>
            </w:r>
          </w:p>
        </w:tc>
        <w:tc>
          <w:tcPr>
            <w:tcW w:w="2880" w:type="dxa"/>
            <w:tcBorders>
              <w:top w:val="nil"/>
              <w:left w:val="nil"/>
              <w:bottom w:val="single" w:sz="4" w:space="0" w:color="auto"/>
              <w:right w:val="single" w:sz="4" w:space="0" w:color="auto"/>
            </w:tcBorders>
            <w:shd w:val="clear" w:color="000000" w:fill="F2F2F2"/>
            <w:hideMark/>
          </w:tcPr>
          <w:p w14:paraId="6E1DC4F7" w14:textId="036DC83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____</w:t>
            </w:r>
            <w:r w:rsidR="00F24CE7">
              <w:rPr>
                <w:rFonts w:eastAsia="Times New Roman" w:cs="Calibri"/>
                <w:color w:val="000000"/>
                <w:lang w:val="en-GB"/>
              </w:rPr>
              <w:t>c</w:t>
            </w:r>
            <w:r w:rsidRPr="00031298">
              <w:rPr>
                <w:rFonts w:eastAsia="Times New Roman" w:cs="Calibri"/>
                <w:color w:val="000000"/>
                <w:lang w:val="en-GB"/>
              </w:rPr>
              <w:t>ategory 2</w:t>
            </w:r>
          </w:p>
        </w:tc>
        <w:tc>
          <w:tcPr>
            <w:tcW w:w="1220" w:type="dxa"/>
            <w:tcBorders>
              <w:top w:val="nil"/>
              <w:left w:val="nil"/>
              <w:bottom w:val="single" w:sz="4" w:space="0" w:color="auto"/>
              <w:right w:val="single" w:sz="4" w:space="0" w:color="auto"/>
            </w:tcBorders>
            <w:noWrap/>
            <w:vAlign w:val="center"/>
            <w:hideMark/>
          </w:tcPr>
          <w:p w14:paraId="071A3145" w14:textId="0B2DFA9C" w:rsidR="00266B17" w:rsidRPr="00031298" w:rsidRDefault="006347DE" w:rsidP="00266B17">
            <w:pPr>
              <w:spacing w:after="0" w:line="240" w:lineRule="auto"/>
              <w:jc w:val="center"/>
              <w:rPr>
                <w:rFonts w:eastAsia="Times New Roman" w:cs="Calibri"/>
                <w:color w:val="000000"/>
                <w:lang w:val="en-GB"/>
              </w:rPr>
            </w:pPr>
            <w:r w:rsidRPr="00031298">
              <w:rPr>
                <w:rFonts w:eastAsia="Times New Roman" w:cs="Calibri"/>
                <w:color w:val="000000"/>
                <w:lang w:val="en-GB"/>
              </w:rPr>
              <w:t>20.0%</w:t>
            </w:r>
          </w:p>
        </w:tc>
        <w:tc>
          <w:tcPr>
            <w:tcW w:w="800" w:type="dxa"/>
            <w:tcBorders>
              <w:top w:val="nil"/>
              <w:left w:val="nil"/>
              <w:bottom w:val="single" w:sz="4" w:space="0" w:color="auto"/>
              <w:right w:val="single" w:sz="4" w:space="0" w:color="auto"/>
            </w:tcBorders>
            <w:noWrap/>
            <w:vAlign w:val="center"/>
            <w:hideMark/>
          </w:tcPr>
          <w:p w14:paraId="12E0C929"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24.0%</w:t>
            </w:r>
          </w:p>
        </w:tc>
        <w:tc>
          <w:tcPr>
            <w:tcW w:w="1440" w:type="dxa"/>
            <w:tcBorders>
              <w:top w:val="nil"/>
              <w:left w:val="nil"/>
              <w:bottom w:val="single" w:sz="4" w:space="0" w:color="auto"/>
              <w:right w:val="single" w:sz="4" w:space="0" w:color="auto"/>
            </w:tcBorders>
            <w:noWrap/>
            <w:vAlign w:val="center"/>
            <w:hideMark/>
          </w:tcPr>
          <w:p w14:paraId="5491D9FF"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32.0%</w:t>
            </w:r>
          </w:p>
        </w:tc>
        <w:tc>
          <w:tcPr>
            <w:tcW w:w="1000" w:type="dxa"/>
            <w:tcBorders>
              <w:top w:val="nil"/>
              <w:left w:val="nil"/>
              <w:bottom w:val="single" w:sz="4" w:space="0" w:color="auto"/>
              <w:right w:val="single" w:sz="4" w:space="0" w:color="auto"/>
            </w:tcBorders>
            <w:noWrap/>
            <w:vAlign w:val="center"/>
            <w:hideMark/>
          </w:tcPr>
          <w:p w14:paraId="7A64FD00"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48.0%</w:t>
            </w:r>
          </w:p>
        </w:tc>
      </w:tr>
      <w:tr w:rsidR="00266B17" w:rsidRPr="00031298" w14:paraId="7BC632DF" w14:textId="77777777" w:rsidTr="0067086E">
        <w:trPr>
          <w:trHeight w:val="255"/>
          <w:jc w:val="center"/>
        </w:trPr>
        <w:tc>
          <w:tcPr>
            <w:tcW w:w="160" w:type="dxa"/>
            <w:tcBorders>
              <w:top w:val="nil"/>
              <w:left w:val="single" w:sz="4" w:space="0" w:color="auto"/>
              <w:bottom w:val="single" w:sz="4" w:space="0" w:color="auto"/>
              <w:right w:val="single" w:sz="4" w:space="0" w:color="auto"/>
            </w:tcBorders>
            <w:shd w:val="clear" w:color="000000" w:fill="F2F2F2"/>
            <w:vAlign w:val="center"/>
            <w:hideMark/>
          </w:tcPr>
          <w:p w14:paraId="46DBAD55"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1.1.1.4.</w:t>
            </w:r>
          </w:p>
        </w:tc>
        <w:tc>
          <w:tcPr>
            <w:tcW w:w="2880" w:type="dxa"/>
            <w:tcBorders>
              <w:top w:val="nil"/>
              <w:left w:val="nil"/>
              <w:bottom w:val="single" w:sz="4" w:space="0" w:color="auto"/>
              <w:right w:val="single" w:sz="4" w:space="0" w:color="auto"/>
            </w:tcBorders>
            <w:shd w:val="clear" w:color="000000" w:fill="F2F2F2"/>
            <w:hideMark/>
          </w:tcPr>
          <w:p w14:paraId="749566A6" w14:textId="7ECBA3F5"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___</w:t>
            </w:r>
            <w:r w:rsidR="00F24CE7">
              <w:rPr>
                <w:rFonts w:eastAsia="Times New Roman" w:cs="Calibri"/>
                <w:color w:val="000000"/>
                <w:lang w:val="en-GB"/>
              </w:rPr>
              <w:t>s</w:t>
            </w:r>
            <w:r w:rsidRPr="00031298">
              <w:rPr>
                <w:rFonts w:eastAsia="Times New Roman" w:cs="Calibri"/>
                <w:color w:val="000000"/>
                <w:lang w:val="en-GB"/>
              </w:rPr>
              <w:t>table deposits</w:t>
            </w:r>
          </w:p>
        </w:tc>
        <w:tc>
          <w:tcPr>
            <w:tcW w:w="1220" w:type="dxa"/>
            <w:tcBorders>
              <w:top w:val="nil"/>
              <w:left w:val="nil"/>
              <w:bottom w:val="single" w:sz="4" w:space="0" w:color="auto"/>
              <w:right w:val="single" w:sz="4" w:space="0" w:color="auto"/>
            </w:tcBorders>
            <w:noWrap/>
            <w:vAlign w:val="center"/>
            <w:hideMark/>
          </w:tcPr>
          <w:p w14:paraId="228FE72B"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9.0%</w:t>
            </w:r>
          </w:p>
        </w:tc>
        <w:tc>
          <w:tcPr>
            <w:tcW w:w="800" w:type="dxa"/>
            <w:tcBorders>
              <w:top w:val="nil"/>
              <w:left w:val="nil"/>
              <w:bottom w:val="single" w:sz="4" w:space="0" w:color="auto"/>
              <w:right w:val="single" w:sz="4" w:space="0" w:color="auto"/>
            </w:tcBorders>
            <w:noWrap/>
            <w:vAlign w:val="center"/>
            <w:hideMark/>
          </w:tcPr>
          <w:p w14:paraId="05A40FA7"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13.5%</w:t>
            </w:r>
          </w:p>
        </w:tc>
        <w:tc>
          <w:tcPr>
            <w:tcW w:w="1440" w:type="dxa"/>
            <w:tcBorders>
              <w:top w:val="nil"/>
              <w:left w:val="nil"/>
              <w:bottom w:val="single" w:sz="4" w:space="0" w:color="auto"/>
              <w:right w:val="single" w:sz="4" w:space="0" w:color="auto"/>
            </w:tcBorders>
            <w:noWrap/>
            <w:vAlign w:val="center"/>
            <w:hideMark/>
          </w:tcPr>
          <w:p w14:paraId="01F92189"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18.0%</w:t>
            </w:r>
          </w:p>
        </w:tc>
        <w:tc>
          <w:tcPr>
            <w:tcW w:w="1000" w:type="dxa"/>
            <w:tcBorders>
              <w:top w:val="nil"/>
              <w:left w:val="nil"/>
              <w:bottom w:val="single" w:sz="4" w:space="0" w:color="auto"/>
              <w:right w:val="single" w:sz="4" w:space="0" w:color="auto"/>
            </w:tcBorders>
            <w:noWrap/>
            <w:vAlign w:val="center"/>
            <w:hideMark/>
          </w:tcPr>
          <w:p w14:paraId="4D882A29"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27.0%</w:t>
            </w:r>
          </w:p>
        </w:tc>
      </w:tr>
      <w:tr w:rsidR="00266B17" w:rsidRPr="00031298" w14:paraId="0B5CD0D8" w14:textId="77777777" w:rsidTr="0067086E">
        <w:trPr>
          <w:trHeight w:val="313"/>
          <w:jc w:val="center"/>
        </w:trPr>
        <w:tc>
          <w:tcPr>
            <w:tcW w:w="160" w:type="dxa"/>
            <w:tcBorders>
              <w:top w:val="nil"/>
              <w:left w:val="single" w:sz="4" w:space="0" w:color="auto"/>
              <w:bottom w:val="single" w:sz="4" w:space="0" w:color="auto"/>
              <w:right w:val="single" w:sz="4" w:space="0" w:color="auto"/>
            </w:tcBorders>
            <w:shd w:val="clear" w:color="000000" w:fill="F2F2F2"/>
            <w:vAlign w:val="center"/>
            <w:hideMark/>
          </w:tcPr>
          <w:p w14:paraId="7D9A8CE5"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lastRenderedPageBreak/>
              <w:t>1.1.1.7.</w:t>
            </w:r>
          </w:p>
        </w:tc>
        <w:tc>
          <w:tcPr>
            <w:tcW w:w="2880" w:type="dxa"/>
            <w:tcBorders>
              <w:top w:val="nil"/>
              <w:left w:val="nil"/>
              <w:bottom w:val="single" w:sz="4" w:space="0" w:color="auto"/>
              <w:right w:val="single" w:sz="4" w:space="0" w:color="auto"/>
            </w:tcBorders>
            <w:shd w:val="clear" w:color="000000" w:fill="F2F2F2"/>
            <w:hideMark/>
          </w:tcPr>
          <w:p w14:paraId="2D1C1F02" w14:textId="2AF39CF5"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___</w:t>
            </w:r>
            <w:r w:rsidR="00F24CE7">
              <w:rPr>
                <w:rFonts w:eastAsia="Times New Roman" w:cs="Calibri"/>
                <w:color w:val="000000"/>
                <w:lang w:val="en-GB"/>
              </w:rPr>
              <w:t>o</w:t>
            </w:r>
            <w:r w:rsidRPr="00031298">
              <w:rPr>
                <w:rFonts w:eastAsia="Times New Roman" w:cs="Calibri"/>
                <w:color w:val="000000"/>
                <w:lang w:val="en-GB"/>
              </w:rPr>
              <w:t xml:space="preserve">ther </w:t>
            </w:r>
            <w:r w:rsidR="00F24CE7">
              <w:rPr>
                <w:rFonts w:eastAsia="Times New Roman" w:cs="Calibri"/>
                <w:color w:val="000000"/>
                <w:lang w:val="en-GB"/>
              </w:rPr>
              <w:t>retail</w:t>
            </w:r>
            <w:r w:rsidR="00F24CE7" w:rsidRPr="00031298">
              <w:rPr>
                <w:rFonts w:eastAsia="Times New Roman" w:cs="Calibri"/>
                <w:color w:val="000000"/>
                <w:lang w:val="en-GB"/>
              </w:rPr>
              <w:t xml:space="preserve"> </w:t>
            </w:r>
            <w:r w:rsidRPr="00031298">
              <w:rPr>
                <w:rFonts w:eastAsia="Times New Roman" w:cs="Calibri"/>
                <w:color w:val="000000"/>
                <w:lang w:val="en-GB"/>
              </w:rPr>
              <w:t>deposits</w:t>
            </w:r>
          </w:p>
        </w:tc>
        <w:tc>
          <w:tcPr>
            <w:tcW w:w="1220" w:type="dxa"/>
            <w:tcBorders>
              <w:top w:val="nil"/>
              <w:left w:val="nil"/>
              <w:bottom w:val="single" w:sz="4" w:space="0" w:color="auto"/>
              <w:right w:val="single" w:sz="4" w:space="0" w:color="auto"/>
            </w:tcBorders>
            <w:noWrap/>
            <w:vAlign w:val="center"/>
            <w:hideMark/>
          </w:tcPr>
          <w:p w14:paraId="2ADE6645"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13.5%</w:t>
            </w:r>
          </w:p>
        </w:tc>
        <w:tc>
          <w:tcPr>
            <w:tcW w:w="800" w:type="dxa"/>
            <w:tcBorders>
              <w:top w:val="nil"/>
              <w:left w:val="nil"/>
              <w:bottom w:val="single" w:sz="4" w:space="0" w:color="auto"/>
              <w:right w:val="single" w:sz="4" w:space="0" w:color="auto"/>
            </w:tcBorders>
            <w:noWrap/>
            <w:vAlign w:val="center"/>
            <w:hideMark/>
          </w:tcPr>
          <w:p w14:paraId="3106370A"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18.0%</w:t>
            </w:r>
          </w:p>
        </w:tc>
        <w:tc>
          <w:tcPr>
            <w:tcW w:w="1440" w:type="dxa"/>
            <w:tcBorders>
              <w:top w:val="nil"/>
              <w:left w:val="nil"/>
              <w:bottom w:val="single" w:sz="4" w:space="0" w:color="auto"/>
              <w:right w:val="single" w:sz="4" w:space="0" w:color="auto"/>
            </w:tcBorders>
            <w:noWrap/>
            <w:vAlign w:val="center"/>
            <w:hideMark/>
          </w:tcPr>
          <w:p w14:paraId="567A4988"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27.0%</w:t>
            </w:r>
          </w:p>
        </w:tc>
        <w:tc>
          <w:tcPr>
            <w:tcW w:w="1000" w:type="dxa"/>
            <w:tcBorders>
              <w:top w:val="nil"/>
              <w:left w:val="nil"/>
              <w:bottom w:val="single" w:sz="4" w:space="0" w:color="auto"/>
              <w:right w:val="single" w:sz="4" w:space="0" w:color="auto"/>
            </w:tcBorders>
            <w:noWrap/>
            <w:vAlign w:val="center"/>
            <w:hideMark/>
          </w:tcPr>
          <w:p w14:paraId="2C63CA83"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36.0%</w:t>
            </w:r>
          </w:p>
        </w:tc>
      </w:tr>
    </w:tbl>
    <w:p w14:paraId="7CFA79F9" w14:textId="4255F2A1" w:rsidR="00A93B4D" w:rsidRPr="00031298" w:rsidRDefault="00A93B4D">
      <w:pPr>
        <w:spacing w:after="0" w:line="240" w:lineRule="auto"/>
        <w:rPr>
          <w:b/>
          <w:bCs/>
          <w:sz w:val="22"/>
          <w:szCs w:val="18"/>
          <w:lang w:val="en-GB"/>
        </w:rPr>
      </w:pPr>
    </w:p>
    <w:p w14:paraId="5933C128" w14:textId="77777777" w:rsidR="00BA3C04" w:rsidRPr="00031298" w:rsidRDefault="00BA3C04" w:rsidP="00002C97">
      <w:pPr>
        <w:pStyle w:val="Kpalrs"/>
        <w:keepNext/>
        <w:jc w:val="center"/>
        <w:rPr>
          <w:color w:val="auto"/>
          <w:sz w:val="22"/>
          <w:lang w:val="en-GB"/>
        </w:rPr>
      </w:pPr>
    </w:p>
    <w:p w14:paraId="6939A46E" w14:textId="6BD05842" w:rsidR="00002C97" w:rsidRPr="00031298" w:rsidRDefault="001207DC" w:rsidP="00002C97">
      <w:pPr>
        <w:pStyle w:val="Kpalrs"/>
        <w:keepNext/>
        <w:jc w:val="center"/>
        <w:rPr>
          <w:color w:val="auto"/>
          <w:sz w:val="22"/>
          <w:lang w:val="en-GB"/>
        </w:rPr>
      </w:pPr>
      <w:r w:rsidRPr="00031298">
        <w:rPr>
          <w:color w:val="auto"/>
          <w:sz w:val="22"/>
          <w:lang w:val="en-GB"/>
        </w:rPr>
        <w:t xml:space="preserve">Table 5: Outflow factors for corporate deposits </w:t>
      </w:r>
      <w:r w:rsidR="00F24CE7">
        <w:rPr>
          <w:color w:val="auto"/>
          <w:sz w:val="22"/>
          <w:lang w:val="en-GB"/>
        </w:rPr>
        <w:t xml:space="preserve">not covered by DGS </w:t>
      </w:r>
      <w:r w:rsidRPr="00031298">
        <w:rPr>
          <w:color w:val="auto"/>
          <w:sz w:val="22"/>
          <w:lang w:val="en-GB"/>
        </w:rPr>
        <w:t xml:space="preserve">according to </w:t>
      </w:r>
      <w:proofErr w:type="spellStart"/>
      <w:r w:rsidRPr="00031298">
        <w:rPr>
          <w:color w:val="auto"/>
          <w:sz w:val="22"/>
          <w:lang w:val="en-GB"/>
        </w:rPr>
        <w:t>FLST</w:t>
      </w:r>
      <w:proofErr w:type="spellEnd"/>
    </w:p>
    <w:tbl>
      <w:tblPr>
        <w:tblW w:w="9503" w:type="dxa"/>
        <w:jc w:val="center"/>
        <w:tblCellMar>
          <w:left w:w="70" w:type="dxa"/>
          <w:right w:w="70" w:type="dxa"/>
        </w:tblCellMar>
        <w:tblLook w:val="04A0" w:firstRow="1" w:lastRow="0" w:firstColumn="1" w:lastColumn="0" w:noHBand="0" w:noVBand="1"/>
      </w:tblPr>
      <w:tblGrid>
        <w:gridCol w:w="1129"/>
        <w:gridCol w:w="3969"/>
        <w:gridCol w:w="1075"/>
        <w:gridCol w:w="1134"/>
        <w:gridCol w:w="1062"/>
        <w:gridCol w:w="1134"/>
      </w:tblGrid>
      <w:tr w:rsidR="0067086E" w:rsidRPr="00031298" w14:paraId="103B846F" w14:textId="77777777" w:rsidTr="000C4364">
        <w:trPr>
          <w:trHeight w:val="765"/>
          <w:jc w:val="center"/>
        </w:trPr>
        <w:tc>
          <w:tcPr>
            <w:tcW w:w="112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DD7EECC"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Hierarchy</w:t>
            </w:r>
          </w:p>
        </w:tc>
        <w:tc>
          <w:tcPr>
            <w:tcW w:w="3969" w:type="dxa"/>
            <w:tcBorders>
              <w:top w:val="single" w:sz="4" w:space="0" w:color="auto"/>
              <w:left w:val="nil"/>
              <w:bottom w:val="single" w:sz="4" w:space="0" w:color="auto"/>
              <w:right w:val="single" w:sz="4" w:space="0" w:color="auto"/>
            </w:tcBorders>
            <w:shd w:val="clear" w:color="000000" w:fill="BFBFBF"/>
            <w:vAlign w:val="center"/>
            <w:hideMark/>
          </w:tcPr>
          <w:p w14:paraId="2FF0AE53"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Row name</w:t>
            </w:r>
          </w:p>
        </w:tc>
        <w:tc>
          <w:tcPr>
            <w:tcW w:w="1075" w:type="dxa"/>
            <w:tcBorders>
              <w:top w:val="single" w:sz="4" w:space="0" w:color="auto"/>
              <w:left w:val="nil"/>
              <w:bottom w:val="single" w:sz="4" w:space="0" w:color="auto"/>
              <w:right w:val="single" w:sz="4" w:space="0" w:color="auto"/>
            </w:tcBorders>
            <w:shd w:val="clear" w:color="000000" w:fill="BFBFBF"/>
            <w:vAlign w:val="center"/>
            <w:hideMark/>
          </w:tcPr>
          <w:p w14:paraId="3F5C720E"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HUF large deposits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58905D00"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HUF other deposits</w:t>
            </w:r>
          </w:p>
        </w:tc>
        <w:tc>
          <w:tcPr>
            <w:tcW w:w="1062" w:type="dxa"/>
            <w:tcBorders>
              <w:top w:val="single" w:sz="4" w:space="0" w:color="auto"/>
              <w:left w:val="nil"/>
              <w:bottom w:val="single" w:sz="4" w:space="0" w:color="auto"/>
              <w:right w:val="single" w:sz="4" w:space="0" w:color="auto"/>
            </w:tcBorders>
            <w:shd w:val="clear" w:color="000000" w:fill="BFBFBF"/>
            <w:vAlign w:val="center"/>
            <w:hideMark/>
          </w:tcPr>
          <w:p w14:paraId="354CA1A4"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Foreign currency large deposit</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57E1E5D8"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Foreign currency other deposit</w:t>
            </w:r>
          </w:p>
        </w:tc>
      </w:tr>
      <w:tr w:rsidR="0067086E" w:rsidRPr="00031298" w14:paraId="7D925874" w14:textId="77777777" w:rsidTr="000C4364">
        <w:trPr>
          <w:trHeight w:val="315"/>
          <w:jc w:val="center"/>
        </w:trPr>
        <w:tc>
          <w:tcPr>
            <w:tcW w:w="1129" w:type="dxa"/>
            <w:tcBorders>
              <w:top w:val="nil"/>
              <w:left w:val="single" w:sz="4" w:space="0" w:color="auto"/>
              <w:bottom w:val="single" w:sz="4" w:space="0" w:color="auto"/>
              <w:right w:val="single" w:sz="4" w:space="0" w:color="auto"/>
            </w:tcBorders>
            <w:shd w:val="clear" w:color="000000" w:fill="F2F2F2"/>
            <w:vAlign w:val="center"/>
            <w:hideMark/>
          </w:tcPr>
          <w:p w14:paraId="56545E8E"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1.1.4.3.2.</w:t>
            </w:r>
          </w:p>
        </w:tc>
        <w:tc>
          <w:tcPr>
            <w:tcW w:w="3969" w:type="dxa"/>
            <w:tcBorders>
              <w:top w:val="nil"/>
              <w:left w:val="nil"/>
              <w:bottom w:val="single" w:sz="4" w:space="0" w:color="auto"/>
              <w:right w:val="single" w:sz="4" w:space="0" w:color="auto"/>
            </w:tcBorders>
            <w:shd w:val="clear" w:color="000000" w:fill="F2F2F2"/>
            <w:vAlign w:val="center"/>
            <w:hideMark/>
          </w:tcPr>
          <w:p w14:paraId="7DBC4B51" w14:textId="3A60FA34"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____</w:t>
            </w:r>
            <w:r w:rsidR="00F24CE7">
              <w:rPr>
                <w:rFonts w:eastAsia="Times New Roman" w:cs="Calibri"/>
                <w:color w:val="000000"/>
                <w:lang w:val="en-GB"/>
              </w:rPr>
              <w:t>n</w:t>
            </w:r>
            <w:r w:rsidRPr="00031298">
              <w:rPr>
                <w:rFonts w:eastAsia="Times New Roman" w:cs="Calibri"/>
                <w:color w:val="000000"/>
                <w:lang w:val="en-GB"/>
              </w:rPr>
              <w:t xml:space="preserve">ot covered by </w:t>
            </w:r>
            <w:r w:rsidR="00F24CE7">
              <w:rPr>
                <w:rFonts w:eastAsia="Times New Roman" w:cs="Calibri"/>
                <w:color w:val="000000"/>
                <w:lang w:val="en-GB"/>
              </w:rPr>
              <w:t>DGS</w:t>
            </w:r>
          </w:p>
        </w:tc>
        <w:tc>
          <w:tcPr>
            <w:tcW w:w="1075" w:type="dxa"/>
            <w:tcBorders>
              <w:top w:val="nil"/>
              <w:left w:val="nil"/>
              <w:bottom w:val="single" w:sz="4" w:space="0" w:color="auto"/>
              <w:right w:val="single" w:sz="4" w:space="0" w:color="auto"/>
            </w:tcBorders>
            <w:noWrap/>
            <w:vAlign w:val="center"/>
            <w:hideMark/>
          </w:tcPr>
          <w:p w14:paraId="3BA26B8C"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57.0%</w:t>
            </w:r>
          </w:p>
        </w:tc>
        <w:tc>
          <w:tcPr>
            <w:tcW w:w="1134" w:type="dxa"/>
            <w:tcBorders>
              <w:top w:val="nil"/>
              <w:left w:val="nil"/>
              <w:bottom w:val="single" w:sz="4" w:space="0" w:color="auto"/>
              <w:right w:val="single" w:sz="4" w:space="0" w:color="auto"/>
            </w:tcBorders>
            <w:noWrap/>
            <w:vAlign w:val="center"/>
            <w:hideMark/>
          </w:tcPr>
          <w:p w14:paraId="61049CEB" w14:textId="6E93F07E" w:rsidR="00266B17" w:rsidRPr="00031298" w:rsidRDefault="006347DE" w:rsidP="00266B17">
            <w:pPr>
              <w:spacing w:after="0" w:line="240" w:lineRule="auto"/>
              <w:jc w:val="center"/>
              <w:rPr>
                <w:rFonts w:eastAsia="Times New Roman" w:cs="Calibri"/>
                <w:color w:val="000000"/>
                <w:lang w:val="en-GB"/>
              </w:rPr>
            </w:pPr>
            <w:r w:rsidRPr="00031298">
              <w:rPr>
                <w:rFonts w:eastAsia="Times New Roman" w:cs="Calibri"/>
                <w:color w:val="000000"/>
                <w:lang w:val="en-GB"/>
              </w:rPr>
              <w:t>40.0%</w:t>
            </w:r>
          </w:p>
        </w:tc>
        <w:tc>
          <w:tcPr>
            <w:tcW w:w="1062" w:type="dxa"/>
            <w:tcBorders>
              <w:top w:val="nil"/>
              <w:left w:val="nil"/>
              <w:bottom w:val="single" w:sz="4" w:space="0" w:color="auto"/>
              <w:right w:val="single" w:sz="4" w:space="0" w:color="auto"/>
            </w:tcBorders>
            <w:noWrap/>
            <w:vAlign w:val="center"/>
            <w:hideMark/>
          </w:tcPr>
          <w:p w14:paraId="0904D305" w14:textId="46B7DE90"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74.0%</w:t>
            </w:r>
          </w:p>
        </w:tc>
        <w:tc>
          <w:tcPr>
            <w:tcW w:w="1134" w:type="dxa"/>
            <w:tcBorders>
              <w:top w:val="nil"/>
              <w:left w:val="nil"/>
              <w:bottom w:val="single" w:sz="4" w:space="0" w:color="auto"/>
              <w:right w:val="single" w:sz="4" w:space="0" w:color="auto"/>
            </w:tcBorders>
            <w:noWrap/>
            <w:vAlign w:val="center"/>
            <w:hideMark/>
          </w:tcPr>
          <w:p w14:paraId="19200CA8" w14:textId="7B8A9E0F"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49.5%</w:t>
            </w:r>
          </w:p>
        </w:tc>
      </w:tr>
    </w:tbl>
    <w:p w14:paraId="43EB1C3E" w14:textId="77777777" w:rsidR="00F4116F" w:rsidRPr="00031298" w:rsidRDefault="00F4116F" w:rsidP="002F0EDC">
      <w:pPr>
        <w:rPr>
          <w:lang w:val="en-GB"/>
        </w:rPr>
      </w:pPr>
    </w:p>
    <w:p w14:paraId="28FFBA05" w14:textId="44A7BBBC" w:rsidR="00266B17" w:rsidRPr="00031298" w:rsidRDefault="00F4116F" w:rsidP="00A93B4D">
      <w:pPr>
        <w:pStyle w:val="Kpalrs"/>
        <w:keepNext/>
        <w:jc w:val="center"/>
        <w:rPr>
          <w:color w:val="auto"/>
          <w:sz w:val="22"/>
          <w:lang w:val="en-GB"/>
        </w:rPr>
      </w:pPr>
      <w:r w:rsidRPr="00031298">
        <w:rPr>
          <w:color w:val="auto"/>
          <w:sz w:val="22"/>
          <w:lang w:val="en-GB"/>
        </w:rPr>
        <w:t xml:space="preserve">Table 6: </w:t>
      </w:r>
      <w:proofErr w:type="spellStart"/>
      <w:r w:rsidRPr="00031298">
        <w:rPr>
          <w:color w:val="auto"/>
          <w:sz w:val="22"/>
          <w:lang w:val="en-GB"/>
        </w:rPr>
        <w:t>FLST</w:t>
      </w:r>
      <w:proofErr w:type="spellEnd"/>
      <w:r w:rsidRPr="00031298">
        <w:rPr>
          <w:color w:val="auto"/>
          <w:sz w:val="22"/>
          <w:lang w:val="en-GB"/>
        </w:rPr>
        <w:t xml:space="preserve"> outflow factors for uncommitted credit lines</w:t>
      </w:r>
    </w:p>
    <w:tbl>
      <w:tblPr>
        <w:tblW w:w="10060" w:type="dxa"/>
        <w:jc w:val="center"/>
        <w:tblCellMar>
          <w:left w:w="70" w:type="dxa"/>
          <w:right w:w="70" w:type="dxa"/>
        </w:tblCellMar>
        <w:tblLook w:val="04A0" w:firstRow="1" w:lastRow="0" w:firstColumn="1" w:lastColumn="0" w:noHBand="0" w:noVBand="1"/>
      </w:tblPr>
      <w:tblGrid>
        <w:gridCol w:w="4390"/>
        <w:gridCol w:w="3684"/>
        <w:gridCol w:w="993"/>
        <w:gridCol w:w="993"/>
      </w:tblGrid>
      <w:tr w:rsidR="00266B17" w:rsidRPr="00031298" w14:paraId="69306A2E" w14:textId="77777777" w:rsidTr="00F759E8">
        <w:trPr>
          <w:trHeight w:val="255"/>
          <w:jc w:val="center"/>
        </w:trPr>
        <w:tc>
          <w:tcPr>
            <w:tcW w:w="439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9C2CC2F" w14:textId="168B279C" w:rsidR="00266B17" w:rsidRPr="00031298" w:rsidRDefault="00F6476C" w:rsidP="00266B17">
            <w:pPr>
              <w:spacing w:after="0" w:line="240" w:lineRule="auto"/>
              <w:jc w:val="center"/>
              <w:rPr>
                <w:rFonts w:eastAsia="Times New Roman" w:cs="Calibri"/>
                <w:color w:val="000000"/>
                <w:lang w:val="en-GB"/>
              </w:rPr>
            </w:pPr>
            <w:r w:rsidRPr="00031298">
              <w:rPr>
                <w:rFonts w:eastAsia="Times New Roman" w:cs="Calibri"/>
                <w:color w:val="000000"/>
                <w:lang w:val="en-GB"/>
              </w:rPr>
              <w:t xml:space="preserve">Filters, cell references </w:t>
            </w:r>
          </w:p>
        </w:tc>
        <w:tc>
          <w:tcPr>
            <w:tcW w:w="3684" w:type="dxa"/>
            <w:tcBorders>
              <w:top w:val="single" w:sz="4" w:space="0" w:color="auto"/>
              <w:left w:val="nil"/>
              <w:bottom w:val="single" w:sz="4" w:space="0" w:color="auto"/>
              <w:right w:val="single" w:sz="4" w:space="0" w:color="auto"/>
            </w:tcBorders>
            <w:shd w:val="clear" w:color="000000" w:fill="BFBFBF"/>
            <w:vAlign w:val="center"/>
            <w:hideMark/>
          </w:tcPr>
          <w:p w14:paraId="21201C44"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Description</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14:paraId="67E91379"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HUF</w:t>
            </w:r>
          </w:p>
        </w:tc>
        <w:tc>
          <w:tcPr>
            <w:tcW w:w="993" w:type="dxa"/>
            <w:tcBorders>
              <w:top w:val="single" w:sz="4" w:space="0" w:color="auto"/>
              <w:left w:val="nil"/>
              <w:bottom w:val="single" w:sz="4" w:space="0" w:color="auto"/>
              <w:right w:val="single" w:sz="4" w:space="0" w:color="auto"/>
            </w:tcBorders>
            <w:shd w:val="clear" w:color="000000" w:fill="BFBFBF"/>
            <w:vAlign w:val="center"/>
            <w:hideMark/>
          </w:tcPr>
          <w:p w14:paraId="739D00B1"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Foreign currency</w:t>
            </w:r>
          </w:p>
        </w:tc>
      </w:tr>
      <w:tr w:rsidR="00266B17" w:rsidRPr="00031298" w14:paraId="30170F61" w14:textId="77777777" w:rsidTr="00F759E8">
        <w:trPr>
          <w:trHeight w:val="483"/>
          <w:jc w:val="center"/>
        </w:trPr>
        <w:tc>
          <w:tcPr>
            <w:tcW w:w="4390" w:type="dxa"/>
            <w:tcBorders>
              <w:top w:val="nil"/>
              <w:left w:val="single" w:sz="4" w:space="0" w:color="auto"/>
              <w:bottom w:val="single" w:sz="4" w:space="0" w:color="auto"/>
              <w:right w:val="single" w:sz="4" w:space="0" w:color="auto"/>
            </w:tcBorders>
            <w:shd w:val="clear" w:color="000000" w:fill="F2F2F2"/>
            <w:vAlign w:val="center"/>
            <w:hideMark/>
          </w:tcPr>
          <w:p w14:paraId="30DEA8DD"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M02</w:t>
            </w:r>
          </w:p>
          <w:p w14:paraId="6900FAA7"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Instrument type: TE01</w:t>
            </w:r>
          </w:p>
          <w:p w14:paraId="01664580" w14:textId="737B44B1" w:rsidR="00266B17"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Partner sector: B, C-HIT</w:t>
            </w:r>
          </w:p>
        </w:tc>
        <w:tc>
          <w:tcPr>
            <w:tcW w:w="3684" w:type="dxa"/>
            <w:tcBorders>
              <w:top w:val="nil"/>
              <w:left w:val="nil"/>
              <w:bottom w:val="single" w:sz="4" w:space="0" w:color="auto"/>
              <w:right w:val="single" w:sz="4" w:space="0" w:color="auto"/>
            </w:tcBorders>
            <w:shd w:val="clear" w:color="000000" w:fill="F2F2F2"/>
            <w:vAlign w:val="center"/>
            <w:hideMark/>
          </w:tcPr>
          <w:p w14:paraId="4B84EA5C" w14:textId="732D3904"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 xml:space="preserve">Undrawn credit lines – Domestic, Credit institutions, </w:t>
            </w:r>
            <w:r w:rsidR="006870CA">
              <w:rPr>
                <w:rFonts w:eastAsia="Times New Roman" w:cs="Calibri"/>
                <w:color w:val="000000"/>
                <w:lang w:val="en-GB"/>
              </w:rPr>
              <w:t>E</w:t>
            </w:r>
            <w:r w:rsidRPr="00031298">
              <w:rPr>
                <w:rFonts w:eastAsia="Times New Roman" w:cs="Calibri"/>
                <w:color w:val="000000"/>
                <w:lang w:val="en-GB"/>
              </w:rPr>
              <w:t>MU Monetary financial institutions, Other foreign, Monetary financial institutions</w:t>
            </w:r>
          </w:p>
        </w:tc>
        <w:tc>
          <w:tcPr>
            <w:tcW w:w="993" w:type="dxa"/>
            <w:tcBorders>
              <w:top w:val="nil"/>
              <w:left w:val="nil"/>
              <w:bottom w:val="single" w:sz="4" w:space="0" w:color="auto"/>
              <w:right w:val="single" w:sz="4" w:space="0" w:color="auto"/>
            </w:tcBorders>
            <w:noWrap/>
            <w:vAlign w:val="center"/>
            <w:hideMark/>
          </w:tcPr>
          <w:p w14:paraId="451FA15E"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100%</w:t>
            </w:r>
          </w:p>
        </w:tc>
        <w:tc>
          <w:tcPr>
            <w:tcW w:w="993" w:type="dxa"/>
            <w:tcBorders>
              <w:top w:val="nil"/>
              <w:left w:val="nil"/>
              <w:bottom w:val="single" w:sz="4" w:space="0" w:color="auto"/>
              <w:right w:val="single" w:sz="4" w:space="0" w:color="auto"/>
            </w:tcBorders>
            <w:noWrap/>
            <w:vAlign w:val="center"/>
            <w:hideMark/>
          </w:tcPr>
          <w:p w14:paraId="697E5F33"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100%</w:t>
            </w:r>
          </w:p>
        </w:tc>
      </w:tr>
      <w:tr w:rsidR="00FE048A" w:rsidRPr="00031298" w14:paraId="52D77A29" w14:textId="77777777" w:rsidTr="00F759E8">
        <w:trPr>
          <w:trHeight w:val="483"/>
          <w:jc w:val="center"/>
        </w:trPr>
        <w:tc>
          <w:tcPr>
            <w:tcW w:w="4390" w:type="dxa"/>
            <w:tcBorders>
              <w:top w:val="nil"/>
              <w:left w:val="single" w:sz="4" w:space="0" w:color="auto"/>
              <w:bottom w:val="single" w:sz="4" w:space="0" w:color="auto"/>
              <w:right w:val="single" w:sz="4" w:space="0" w:color="auto"/>
            </w:tcBorders>
            <w:shd w:val="clear" w:color="000000" w:fill="F2F2F2"/>
            <w:vAlign w:val="center"/>
          </w:tcPr>
          <w:p w14:paraId="18A00CF9" w14:textId="63E0817B" w:rsidR="00FE048A" w:rsidRPr="00031298" w:rsidRDefault="00F6476C" w:rsidP="00266B17">
            <w:pPr>
              <w:spacing w:after="0" w:line="240" w:lineRule="auto"/>
              <w:rPr>
                <w:rFonts w:eastAsia="Times New Roman" w:cs="Calibri"/>
                <w:color w:val="000000"/>
                <w:lang w:val="en-GB"/>
              </w:rPr>
            </w:pPr>
            <w:r w:rsidRPr="00031298">
              <w:rPr>
                <w:rFonts w:eastAsia="Times New Roman" w:cs="Calibri"/>
                <w:color w:val="000000"/>
                <w:lang w:val="en-GB"/>
              </w:rPr>
              <w:t>5B5XXX, i1</w:t>
            </w:r>
          </w:p>
        </w:tc>
        <w:tc>
          <w:tcPr>
            <w:tcW w:w="3684" w:type="dxa"/>
            <w:tcBorders>
              <w:top w:val="nil"/>
              <w:left w:val="nil"/>
              <w:bottom w:val="single" w:sz="4" w:space="0" w:color="auto"/>
              <w:right w:val="single" w:sz="4" w:space="0" w:color="auto"/>
            </w:tcBorders>
            <w:shd w:val="clear" w:color="000000" w:fill="F2F2F2"/>
            <w:vAlign w:val="center"/>
          </w:tcPr>
          <w:p w14:paraId="4F1E627B" w14:textId="0F327B4C" w:rsidR="00FE048A" w:rsidRPr="00031298" w:rsidRDefault="00FE048A" w:rsidP="00F759E8">
            <w:pPr>
              <w:spacing w:after="0" w:line="240" w:lineRule="auto"/>
              <w:ind w:left="709"/>
              <w:rPr>
                <w:rFonts w:eastAsia="Times New Roman" w:cs="Calibri"/>
                <w:color w:val="000000"/>
                <w:lang w:val="en-GB"/>
              </w:rPr>
            </w:pPr>
            <w:r w:rsidRPr="00031298">
              <w:rPr>
                <w:rFonts w:eastAsia="Times New Roman" w:cs="Calibri"/>
                <w:color w:val="000000"/>
                <w:lang w:val="en-GB"/>
              </w:rPr>
              <w:t>Of which: to financial institutions within the consolidated group in Hungary</w:t>
            </w:r>
          </w:p>
        </w:tc>
        <w:tc>
          <w:tcPr>
            <w:tcW w:w="993" w:type="dxa"/>
            <w:tcBorders>
              <w:top w:val="nil"/>
              <w:left w:val="nil"/>
              <w:bottom w:val="single" w:sz="4" w:space="0" w:color="auto"/>
              <w:right w:val="single" w:sz="4" w:space="0" w:color="auto"/>
            </w:tcBorders>
            <w:noWrap/>
            <w:vAlign w:val="center"/>
          </w:tcPr>
          <w:p w14:paraId="5BB4E119" w14:textId="60E48987" w:rsidR="00FE048A" w:rsidRPr="00031298" w:rsidRDefault="00FE048A" w:rsidP="00266B17">
            <w:pPr>
              <w:spacing w:after="0" w:line="240" w:lineRule="auto"/>
              <w:jc w:val="center"/>
              <w:rPr>
                <w:rFonts w:eastAsia="Times New Roman" w:cs="Calibri"/>
                <w:color w:val="000000"/>
                <w:lang w:val="en-GB"/>
              </w:rPr>
            </w:pPr>
            <w:r w:rsidRPr="00031298">
              <w:rPr>
                <w:rFonts w:eastAsia="Times New Roman" w:cs="Calibri"/>
                <w:color w:val="000000"/>
                <w:lang w:val="en-GB"/>
              </w:rPr>
              <w:t>40%</w:t>
            </w:r>
          </w:p>
        </w:tc>
        <w:tc>
          <w:tcPr>
            <w:tcW w:w="993" w:type="dxa"/>
            <w:tcBorders>
              <w:top w:val="nil"/>
              <w:left w:val="nil"/>
              <w:bottom w:val="single" w:sz="4" w:space="0" w:color="auto"/>
              <w:right w:val="single" w:sz="4" w:space="0" w:color="auto"/>
            </w:tcBorders>
            <w:noWrap/>
            <w:vAlign w:val="center"/>
          </w:tcPr>
          <w:p w14:paraId="452C62CF" w14:textId="533EB01D" w:rsidR="00FE048A" w:rsidRPr="00031298" w:rsidRDefault="00FE048A" w:rsidP="00266B17">
            <w:pPr>
              <w:spacing w:after="0" w:line="240" w:lineRule="auto"/>
              <w:jc w:val="center"/>
              <w:rPr>
                <w:rFonts w:eastAsia="Times New Roman" w:cs="Calibri"/>
                <w:color w:val="000000"/>
                <w:lang w:val="en-GB"/>
              </w:rPr>
            </w:pPr>
            <w:r w:rsidRPr="00031298">
              <w:rPr>
                <w:rFonts w:eastAsia="Times New Roman" w:cs="Calibri"/>
                <w:color w:val="000000"/>
                <w:lang w:val="en-GB"/>
              </w:rPr>
              <w:t>40%</w:t>
            </w:r>
          </w:p>
        </w:tc>
      </w:tr>
      <w:tr w:rsidR="00266B17" w:rsidRPr="00031298" w14:paraId="76430066" w14:textId="77777777" w:rsidTr="00F759E8">
        <w:trPr>
          <w:trHeight w:val="279"/>
          <w:jc w:val="center"/>
        </w:trPr>
        <w:tc>
          <w:tcPr>
            <w:tcW w:w="4390" w:type="dxa"/>
            <w:tcBorders>
              <w:top w:val="nil"/>
              <w:left w:val="single" w:sz="4" w:space="0" w:color="auto"/>
              <w:bottom w:val="single" w:sz="4" w:space="0" w:color="auto"/>
              <w:right w:val="single" w:sz="4" w:space="0" w:color="auto"/>
            </w:tcBorders>
            <w:shd w:val="clear" w:color="000000" w:fill="F2F2F2"/>
            <w:vAlign w:val="center"/>
            <w:hideMark/>
          </w:tcPr>
          <w:p w14:paraId="2392529E"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M02 + M03</w:t>
            </w:r>
          </w:p>
          <w:p w14:paraId="3F783511"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Instrument type: TE01</w:t>
            </w:r>
          </w:p>
          <w:p w14:paraId="7FB5CCA2" w14:textId="5B071CE8" w:rsidR="00266B17"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Partner sector: J1, J2, K</w:t>
            </w:r>
          </w:p>
        </w:tc>
        <w:tc>
          <w:tcPr>
            <w:tcW w:w="3684" w:type="dxa"/>
            <w:tcBorders>
              <w:top w:val="nil"/>
              <w:left w:val="nil"/>
              <w:bottom w:val="single" w:sz="4" w:space="0" w:color="auto"/>
              <w:right w:val="single" w:sz="4" w:space="0" w:color="auto"/>
            </w:tcBorders>
            <w:shd w:val="clear" w:color="000000" w:fill="F2F2F2"/>
            <w:vAlign w:val="center"/>
            <w:hideMark/>
          </w:tcPr>
          <w:p w14:paraId="7C785F3B"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Undrawn credit lines – Households, Non-profit institutions serving households</w:t>
            </w:r>
          </w:p>
        </w:tc>
        <w:tc>
          <w:tcPr>
            <w:tcW w:w="993" w:type="dxa"/>
            <w:tcBorders>
              <w:top w:val="nil"/>
              <w:left w:val="nil"/>
              <w:bottom w:val="single" w:sz="4" w:space="0" w:color="auto"/>
              <w:right w:val="single" w:sz="4" w:space="0" w:color="auto"/>
            </w:tcBorders>
            <w:noWrap/>
            <w:vAlign w:val="center"/>
            <w:hideMark/>
          </w:tcPr>
          <w:p w14:paraId="30EA485B"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15%</w:t>
            </w:r>
          </w:p>
        </w:tc>
        <w:tc>
          <w:tcPr>
            <w:tcW w:w="993" w:type="dxa"/>
            <w:tcBorders>
              <w:top w:val="nil"/>
              <w:left w:val="nil"/>
              <w:bottom w:val="single" w:sz="4" w:space="0" w:color="auto"/>
              <w:right w:val="single" w:sz="4" w:space="0" w:color="auto"/>
            </w:tcBorders>
            <w:noWrap/>
            <w:vAlign w:val="center"/>
            <w:hideMark/>
          </w:tcPr>
          <w:p w14:paraId="26E69085"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30%</w:t>
            </w:r>
          </w:p>
        </w:tc>
      </w:tr>
      <w:tr w:rsidR="00266B17" w:rsidRPr="00031298" w14:paraId="0F1228E6" w14:textId="77777777" w:rsidTr="00F759E8">
        <w:trPr>
          <w:trHeight w:val="268"/>
          <w:jc w:val="center"/>
        </w:trPr>
        <w:tc>
          <w:tcPr>
            <w:tcW w:w="4390" w:type="dxa"/>
            <w:tcBorders>
              <w:top w:val="nil"/>
              <w:left w:val="single" w:sz="4" w:space="0" w:color="auto"/>
              <w:bottom w:val="single" w:sz="4" w:space="0" w:color="auto"/>
              <w:right w:val="single" w:sz="4" w:space="0" w:color="auto"/>
            </w:tcBorders>
            <w:shd w:val="clear" w:color="000000" w:fill="F2F2F2"/>
            <w:vAlign w:val="center"/>
            <w:hideMark/>
          </w:tcPr>
          <w:p w14:paraId="6C5CD56B" w14:textId="77777777" w:rsidR="00563B90" w:rsidRPr="00031298" w:rsidRDefault="00266B17" w:rsidP="00563B90">
            <w:pPr>
              <w:spacing w:after="0" w:line="240" w:lineRule="auto"/>
              <w:rPr>
                <w:rFonts w:eastAsia="Times New Roman" w:cs="Calibri"/>
                <w:color w:val="000000"/>
                <w:lang w:val="en-GB"/>
              </w:rPr>
            </w:pPr>
            <w:r w:rsidRPr="00031298">
              <w:rPr>
                <w:rFonts w:eastAsia="Times New Roman" w:cs="Calibri"/>
                <w:color w:val="000000"/>
                <w:lang w:val="en-GB"/>
              </w:rPr>
              <w:t> M02 + M03</w:t>
            </w:r>
          </w:p>
          <w:p w14:paraId="40746188"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Instrument type: TE01</w:t>
            </w:r>
          </w:p>
          <w:p w14:paraId="03735134" w14:textId="4BCE7B64" w:rsidR="00266B17"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Partner sector: A</w:t>
            </w:r>
          </w:p>
        </w:tc>
        <w:tc>
          <w:tcPr>
            <w:tcW w:w="3684" w:type="dxa"/>
            <w:tcBorders>
              <w:top w:val="nil"/>
              <w:left w:val="nil"/>
              <w:bottom w:val="single" w:sz="4" w:space="0" w:color="auto"/>
              <w:right w:val="single" w:sz="4" w:space="0" w:color="auto"/>
            </w:tcBorders>
            <w:shd w:val="clear" w:color="000000" w:fill="F2F2F2"/>
            <w:vAlign w:val="center"/>
            <w:hideMark/>
          </w:tcPr>
          <w:p w14:paraId="79FEED03"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 xml:space="preserve">Undrawn credit lines – Non-financial corporations – </w:t>
            </w:r>
            <w:r w:rsidRPr="00031298">
              <w:rPr>
                <w:rFonts w:eastAsia="Times New Roman" w:cs="Calibri"/>
                <w:b/>
                <w:bCs/>
                <w:i/>
                <w:iCs/>
                <w:color w:val="000000"/>
                <w:lang w:val="en-GB"/>
              </w:rPr>
              <w:t>SMEs, micro</w:t>
            </w:r>
          </w:p>
        </w:tc>
        <w:tc>
          <w:tcPr>
            <w:tcW w:w="993" w:type="dxa"/>
            <w:tcBorders>
              <w:top w:val="nil"/>
              <w:left w:val="nil"/>
              <w:bottom w:val="single" w:sz="4" w:space="0" w:color="auto"/>
              <w:right w:val="single" w:sz="4" w:space="0" w:color="auto"/>
            </w:tcBorders>
            <w:noWrap/>
            <w:vAlign w:val="center"/>
            <w:hideMark/>
          </w:tcPr>
          <w:p w14:paraId="43D783FA"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10%</w:t>
            </w:r>
          </w:p>
        </w:tc>
        <w:tc>
          <w:tcPr>
            <w:tcW w:w="993" w:type="dxa"/>
            <w:tcBorders>
              <w:top w:val="nil"/>
              <w:left w:val="nil"/>
              <w:bottom w:val="single" w:sz="4" w:space="0" w:color="auto"/>
              <w:right w:val="single" w:sz="4" w:space="0" w:color="auto"/>
            </w:tcBorders>
            <w:noWrap/>
            <w:vAlign w:val="center"/>
            <w:hideMark/>
          </w:tcPr>
          <w:p w14:paraId="3DEED946"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21%</w:t>
            </w:r>
          </w:p>
        </w:tc>
      </w:tr>
      <w:tr w:rsidR="00266B17" w:rsidRPr="00031298" w14:paraId="0B9DDA3F" w14:textId="77777777" w:rsidTr="00F759E8">
        <w:trPr>
          <w:trHeight w:val="305"/>
          <w:jc w:val="center"/>
        </w:trPr>
        <w:tc>
          <w:tcPr>
            <w:tcW w:w="4390" w:type="dxa"/>
            <w:tcBorders>
              <w:top w:val="nil"/>
              <w:left w:val="single" w:sz="4" w:space="0" w:color="auto"/>
              <w:bottom w:val="single" w:sz="4" w:space="0" w:color="auto"/>
              <w:right w:val="single" w:sz="4" w:space="0" w:color="auto"/>
            </w:tcBorders>
            <w:shd w:val="clear" w:color="000000" w:fill="F2F2F2"/>
            <w:vAlign w:val="center"/>
            <w:hideMark/>
          </w:tcPr>
          <w:p w14:paraId="7FAC5D91" w14:textId="77777777" w:rsidR="00563B90" w:rsidRPr="00031298" w:rsidRDefault="00266B17" w:rsidP="00563B90">
            <w:pPr>
              <w:spacing w:after="0" w:line="240" w:lineRule="auto"/>
              <w:rPr>
                <w:rFonts w:eastAsia="Times New Roman" w:cs="Calibri"/>
                <w:color w:val="000000"/>
                <w:lang w:val="en-GB"/>
              </w:rPr>
            </w:pPr>
            <w:r w:rsidRPr="00031298">
              <w:rPr>
                <w:rFonts w:eastAsia="Times New Roman" w:cs="Calibri"/>
                <w:color w:val="000000"/>
                <w:lang w:val="en-GB"/>
              </w:rPr>
              <w:t> M02 + M03</w:t>
            </w:r>
          </w:p>
          <w:p w14:paraId="128E8C93"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Instrument type: TE01</w:t>
            </w:r>
          </w:p>
          <w:p w14:paraId="46B7CA8F" w14:textId="01B3917D" w:rsidR="00266B17"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Partner sector: A</w:t>
            </w:r>
          </w:p>
        </w:tc>
        <w:tc>
          <w:tcPr>
            <w:tcW w:w="3684" w:type="dxa"/>
            <w:tcBorders>
              <w:top w:val="nil"/>
              <w:left w:val="nil"/>
              <w:bottom w:val="single" w:sz="4" w:space="0" w:color="auto"/>
              <w:right w:val="single" w:sz="4" w:space="0" w:color="auto"/>
            </w:tcBorders>
            <w:shd w:val="clear" w:color="000000" w:fill="F2F2F2"/>
            <w:vAlign w:val="center"/>
            <w:hideMark/>
          </w:tcPr>
          <w:p w14:paraId="13E2A2F9" w14:textId="3AECCB9F"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 xml:space="preserve">Undrawn credit lines – Non-financial corporations – </w:t>
            </w:r>
            <w:r w:rsidRPr="00031298">
              <w:rPr>
                <w:rFonts w:eastAsia="Times New Roman" w:cs="Calibri"/>
                <w:b/>
                <w:bCs/>
                <w:i/>
                <w:iCs/>
                <w:color w:val="000000"/>
                <w:lang w:val="en-GB"/>
              </w:rPr>
              <w:t>Large corporations</w:t>
            </w:r>
          </w:p>
        </w:tc>
        <w:tc>
          <w:tcPr>
            <w:tcW w:w="993" w:type="dxa"/>
            <w:tcBorders>
              <w:top w:val="nil"/>
              <w:left w:val="nil"/>
              <w:bottom w:val="single" w:sz="4" w:space="0" w:color="auto"/>
              <w:right w:val="single" w:sz="4" w:space="0" w:color="auto"/>
            </w:tcBorders>
            <w:noWrap/>
            <w:vAlign w:val="center"/>
            <w:hideMark/>
          </w:tcPr>
          <w:p w14:paraId="7892E7D2"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14%</w:t>
            </w:r>
          </w:p>
        </w:tc>
        <w:tc>
          <w:tcPr>
            <w:tcW w:w="993" w:type="dxa"/>
            <w:tcBorders>
              <w:top w:val="nil"/>
              <w:left w:val="nil"/>
              <w:bottom w:val="single" w:sz="4" w:space="0" w:color="auto"/>
              <w:right w:val="single" w:sz="4" w:space="0" w:color="auto"/>
            </w:tcBorders>
            <w:noWrap/>
            <w:vAlign w:val="center"/>
            <w:hideMark/>
          </w:tcPr>
          <w:p w14:paraId="36D45A6D"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29%</w:t>
            </w:r>
          </w:p>
        </w:tc>
      </w:tr>
      <w:tr w:rsidR="00266B17" w:rsidRPr="00031298" w14:paraId="13DAD2AD" w14:textId="77777777" w:rsidTr="00F759E8">
        <w:trPr>
          <w:trHeight w:val="516"/>
          <w:jc w:val="center"/>
        </w:trPr>
        <w:tc>
          <w:tcPr>
            <w:tcW w:w="4390" w:type="dxa"/>
            <w:tcBorders>
              <w:top w:val="nil"/>
              <w:left w:val="single" w:sz="4" w:space="0" w:color="auto"/>
              <w:bottom w:val="single" w:sz="4" w:space="0" w:color="auto"/>
              <w:right w:val="single" w:sz="4" w:space="0" w:color="auto"/>
            </w:tcBorders>
            <w:shd w:val="clear" w:color="000000" w:fill="F2F2F2"/>
            <w:vAlign w:val="center"/>
            <w:hideMark/>
          </w:tcPr>
          <w:p w14:paraId="51C1D685"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M02</w:t>
            </w:r>
          </w:p>
          <w:p w14:paraId="144F8BDB"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Instrument type: TE01</w:t>
            </w:r>
          </w:p>
          <w:p w14:paraId="41CA63C6" w14:textId="294C5659" w:rsidR="00266B17"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Partner sector: C6, D3, D-</w:t>
            </w:r>
            <w:proofErr w:type="spellStart"/>
            <w:r w:rsidRPr="00031298">
              <w:rPr>
                <w:rFonts w:eastAsia="Times New Roman" w:cs="Calibri"/>
                <w:color w:val="000000"/>
                <w:lang w:val="en-GB"/>
              </w:rPr>
              <w:t>EPK</w:t>
            </w:r>
            <w:proofErr w:type="spellEnd"/>
            <w:r w:rsidRPr="00031298">
              <w:rPr>
                <w:rFonts w:eastAsia="Times New Roman" w:cs="Calibri"/>
                <w:color w:val="000000"/>
                <w:lang w:val="en-GB"/>
              </w:rPr>
              <w:t>, E, F-</w:t>
            </w:r>
            <w:proofErr w:type="spellStart"/>
            <w:r w:rsidRPr="00031298">
              <w:rPr>
                <w:rFonts w:eastAsia="Times New Roman" w:cs="Calibri"/>
                <w:color w:val="000000"/>
                <w:lang w:val="en-GB"/>
              </w:rPr>
              <w:t>BIZT</w:t>
            </w:r>
            <w:proofErr w:type="spellEnd"/>
            <w:r w:rsidRPr="00031298">
              <w:rPr>
                <w:rFonts w:eastAsia="Times New Roman" w:cs="Calibri"/>
                <w:color w:val="000000"/>
                <w:lang w:val="en-GB"/>
              </w:rPr>
              <w:t>, F-NYP, Z</w:t>
            </w:r>
          </w:p>
        </w:tc>
        <w:tc>
          <w:tcPr>
            <w:tcW w:w="3684" w:type="dxa"/>
            <w:tcBorders>
              <w:top w:val="nil"/>
              <w:left w:val="nil"/>
              <w:bottom w:val="single" w:sz="4" w:space="0" w:color="auto"/>
              <w:right w:val="single" w:sz="4" w:space="0" w:color="auto"/>
            </w:tcBorders>
            <w:shd w:val="clear" w:color="000000" w:fill="F2F2F2"/>
            <w:vAlign w:val="center"/>
            <w:hideMark/>
          </w:tcPr>
          <w:p w14:paraId="0C628850"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Undrawn credit lines – Money market funds, Investment funds, Other financial intermediaries, Financial auxiliaries, Insurance companies, Pension funds</w:t>
            </w:r>
          </w:p>
        </w:tc>
        <w:tc>
          <w:tcPr>
            <w:tcW w:w="993" w:type="dxa"/>
            <w:tcBorders>
              <w:top w:val="nil"/>
              <w:left w:val="nil"/>
              <w:bottom w:val="single" w:sz="4" w:space="0" w:color="auto"/>
              <w:right w:val="single" w:sz="4" w:space="0" w:color="auto"/>
            </w:tcBorders>
            <w:noWrap/>
            <w:vAlign w:val="center"/>
            <w:hideMark/>
          </w:tcPr>
          <w:p w14:paraId="3B140F53" w14:textId="4FD6EF30" w:rsidR="00266B17" w:rsidRPr="00031298" w:rsidRDefault="006347DE" w:rsidP="00266B17">
            <w:pPr>
              <w:spacing w:after="0" w:line="240" w:lineRule="auto"/>
              <w:jc w:val="center"/>
              <w:rPr>
                <w:rFonts w:eastAsia="Times New Roman" w:cs="Calibri"/>
                <w:color w:val="000000"/>
                <w:lang w:val="en-GB"/>
              </w:rPr>
            </w:pPr>
            <w:r w:rsidRPr="00031298">
              <w:rPr>
                <w:rFonts w:eastAsia="Times New Roman" w:cs="Calibri"/>
                <w:color w:val="000000"/>
                <w:lang w:val="en-GB"/>
              </w:rPr>
              <w:t>40%</w:t>
            </w:r>
          </w:p>
        </w:tc>
        <w:tc>
          <w:tcPr>
            <w:tcW w:w="993" w:type="dxa"/>
            <w:tcBorders>
              <w:top w:val="nil"/>
              <w:left w:val="nil"/>
              <w:bottom w:val="single" w:sz="4" w:space="0" w:color="auto"/>
              <w:right w:val="single" w:sz="4" w:space="0" w:color="auto"/>
            </w:tcBorders>
            <w:noWrap/>
            <w:vAlign w:val="center"/>
            <w:hideMark/>
          </w:tcPr>
          <w:p w14:paraId="0B9CA7B7"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49%</w:t>
            </w:r>
          </w:p>
        </w:tc>
      </w:tr>
      <w:tr w:rsidR="00266B17" w:rsidRPr="00031298" w14:paraId="34A0B12F" w14:textId="77777777" w:rsidTr="00F759E8">
        <w:trPr>
          <w:trHeight w:val="255"/>
          <w:jc w:val="center"/>
        </w:trPr>
        <w:tc>
          <w:tcPr>
            <w:tcW w:w="4390" w:type="dxa"/>
            <w:tcBorders>
              <w:top w:val="nil"/>
              <w:left w:val="single" w:sz="4" w:space="0" w:color="auto"/>
              <w:bottom w:val="single" w:sz="4" w:space="0" w:color="auto"/>
              <w:right w:val="single" w:sz="4" w:space="0" w:color="auto"/>
            </w:tcBorders>
            <w:shd w:val="clear" w:color="000000" w:fill="F2F2F2"/>
            <w:vAlign w:val="center"/>
            <w:hideMark/>
          </w:tcPr>
          <w:p w14:paraId="0117171C"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M02</w:t>
            </w:r>
          </w:p>
          <w:p w14:paraId="6DDE4CC9" w14:textId="77777777" w:rsidR="00563B90"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Instrument type: TE01</w:t>
            </w:r>
          </w:p>
          <w:p w14:paraId="4CD0FD5B" w14:textId="70996806" w:rsidR="00266B17" w:rsidRPr="00031298" w:rsidRDefault="00563B90" w:rsidP="00563B90">
            <w:pPr>
              <w:spacing w:after="0" w:line="240" w:lineRule="auto"/>
              <w:rPr>
                <w:rFonts w:eastAsia="Times New Roman" w:cs="Calibri"/>
                <w:color w:val="000000"/>
                <w:lang w:val="en-GB"/>
              </w:rPr>
            </w:pPr>
            <w:r w:rsidRPr="00031298">
              <w:rPr>
                <w:rFonts w:eastAsia="Times New Roman" w:cs="Calibri"/>
                <w:color w:val="000000"/>
                <w:lang w:val="en-GB"/>
              </w:rPr>
              <w:t>Partner sector: G, H, I, T</w:t>
            </w:r>
          </w:p>
        </w:tc>
        <w:tc>
          <w:tcPr>
            <w:tcW w:w="3684" w:type="dxa"/>
            <w:tcBorders>
              <w:top w:val="nil"/>
              <w:left w:val="nil"/>
              <w:bottom w:val="single" w:sz="4" w:space="0" w:color="auto"/>
              <w:right w:val="single" w:sz="4" w:space="0" w:color="auto"/>
            </w:tcBorders>
            <w:shd w:val="clear" w:color="000000" w:fill="F2F2F2"/>
            <w:vAlign w:val="center"/>
            <w:hideMark/>
          </w:tcPr>
          <w:p w14:paraId="089462FB" w14:textId="77777777" w:rsidR="00266B17" w:rsidRPr="00031298" w:rsidRDefault="00266B17" w:rsidP="00266B17">
            <w:pPr>
              <w:spacing w:after="0" w:line="240" w:lineRule="auto"/>
              <w:rPr>
                <w:rFonts w:eastAsia="Times New Roman" w:cs="Calibri"/>
                <w:color w:val="000000"/>
                <w:lang w:val="en-GB"/>
              </w:rPr>
            </w:pPr>
            <w:r w:rsidRPr="00031298">
              <w:rPr>
                <w:rFonts w:eastAsia="Times New Roman" w:cs="Calibri"/>
                <w:color w:val="000000"/>
                <w:lang w:val="en-GB"/>
              </w:rPr>
              <w:t>Undrawn credit lines – Other</w:t>
            </w:r>
          </w:p>
        </w:tc>
        <w:tc>
          <w:tcPr>
            <w:tcW w:w="993" w:type="dxa"/>
            <w:tcBorders>
              <w:top w:val="nil"/>
              <w:left w:val="nil"/>
              <w:bottom w:val="single" w:sz="4" w:space="0" w:color="auto"/>
              <w:right w:val="single" w:sz="4" w:space="0" w:color="auto"/>
            </w:tcBorders>
            <w:noWrap/>
            <w:vAlign w:val="center"/>
            <w:hideMark/>
          </w:tcPr>
          <w:p w14:paraId="3FA5DF45"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35%</w:t>
            </w:r>
          </w:p>
        </w:tc>
        <w:tc>
          <w:tcPr>
            <w:tcW w:w="993" w:type="dxa"/>
            <w:tcBorders>
              <w:top w:val="nil"/>
              <w:left w:val="nil"/>
              <w:bottom w:val="single" w:sz="4" w:space="0" w:color="auto"/>
              <w:right w:val="single" w:sz="4" w:space="0" w:color="auto"/>
            </w:tcBorders>
            <w:noWrap/>
            <w:vAlign w:val="center"/>
            <w:hideMark/>
          </w:tcPr>
          <w:p w14:paraId="59733AB9" w14:textId="77777777" w:rsidR="00266B17" w:rsidRPr="00031298" w:rsidRDefault="00266B17" w:rsidP="00266B17">
            <w:pPr>
              <w:spacing w:after="0" w:line="240" w:lineRule="auto"/>
              <w:jc w:val="center"/>
              <w:rPr>
                <w:rFonts w:eastAsia="Times New Roman" w:cs="Calibri"/>
                <w:color w:val="000000"/>
                <w:lang w:val="en-GB"/>
              </w:rPr>
            </w:pPr>
            <w:r w:rsidRPr="00031298">
              <w:rPr>
                <w:rFonts w:eastAsia="Times New Roman" w:cs="Calibri"/>
                <w:color w:val="000000"/>
                <w:lang w:val="en-GB"/>
              </w:rPr>
              <w:t>72%</w:t>
            </w:r>
          </w:p>
        </w:tc>
      </w:tr>
    </w:tbl>
    <w:p w14:paraId="4D5DF7FE" w14:textId="77777777" w:rsidR="00266B17" w:rsidRPr="00031298" w:rsidRDefault="00266B17" w:rsidP="002F0EDC">
      <w:pPr>
        <w:rPr>
          <w:lang w:val="en-GB"/>
        </w:rPr>
      </w:pPr>
    </w:p>
    <w:sectPr w:rsidR="00266B17" w:rsidRPr="00031298" w:rsidSect="00C63080">
      <w:footerReference w:type="default" r:id="rId8"/>
      <w:headerReference w:type="first" r:id="rId9"/>
      <w:footerReference w:type="first" r:id="rId10"/>
      <w:pgSz w:w="11906" w:h="16838" w:code="9"/>
      <w:pgMar w:top="993" w:right="1191" w:bottom="1418" w:left="1191"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13F8" w14:textId="77777777" w:rsidR="00660B33" w:rsidRDefault="00660B33">
      <w:r>
        <w:separator/>
      </w:r>
    </w:p>
  </w:endnote>
  <w:endnote w:type="continuationSeparator" w:id="0">
    <w:p w14:paraId="08A872BA" w14:textId="77777777" w:rsidR="00660B33" w:rsidRDefault="00660B33">
      <w:r>
        <w:continuationSeparator/>
      </w:r>
    </w:p>
  </w:endnote>
  <w:endnote w:type="continuationNotice" w:id="1">
    <w:p w14:paraId="33EA13F7" w14:textId="77777777" w:rsidR="00660B33" w:rsidRDefault="00660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Meiryo">
    <w:charset w:val="80"/>
    <w:family w:val="swiss"/>
    <w:pitch w:val="variable"/>
    <w:sig w:usb0="E00002FF" w:usb1="6AC7FFFF"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CB62" w14:textId="011FEEB4" w:rsidR="009E3A57" w:rsidRPr="00AC6950" w:rsidRDefault="009E3A57" w:rsidP="00AC6950">
    <w:pPr>
      <w:tabs>
        <w:tab w:val="left" w:pos="8460"/>
      </w:tabs>
      <w:rPr>
        <w:sz w:val="18"/>
        <w:szCs w:val="18"/>
      </w:rPr>
    </w:pPr>
    <w:r>
      <w:rPr>
        <w:sz w:val="18"/>
        <w:szCs w:val="18"/>
        <w:lang w:val="en"/>
      </w:rPr>
      <w:tab/>
    </w:r>
    <w:r>
      <w:rPr>
        <w:sz w:val="18"/>
        <w:szCs w:val="18"/>
        <w:lang w:val="en"/>
      </w:rPr>
      <w:fldChar w:fldCharType="begin"/>
    </w:r>
    <w:r>
      <w:rPr>
        <w:sz w:val="18"/>
        <w:szCs w:val="18"/>
        <w:lang w:val="en"/>
      </w:rPr>
      <w:instrText xml:space="preserve"> PAGE </w:instrText>
    </w:r>
    <w:r>
      <w:rPr>
        <w:sz w:val="18"/>
        <w:szCs w:val="18"/>
        <w:lang w:val="en"/>
      </w:rPr>
      <w:fldChar w:fldCharType="separate"/>
    </w:r>
    <w:r>
      <w:rPr>
        <w:noProof/>
        <w:sz w:val="18"/>
        <w:szCs w:val="18"/>
        <w:lang w:val="en"/>
      </w:rPr>
      <w:t>2</w:t>
    </w:r>
    <w:r>
      <w:rPr>
        <w:sz w:val="18"/>
        <w:szCs w:val="18"/>
        <w:lang w:val="en"/>
      </w:rPr>
      <w:fldChar w:fldCharType="end"/>
    </w:r>
    <w:r>
      <w:rPr>
        <w:sz w:val="18"/>
        <w:szCs w:val="18"/>
        <w:lang w:val="en"/>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4F01" w14:textId="1A614278" w:rsidR="008C5ABE" w:rsidRPr="00031298" w:rsidRDefault="008C5ABE" w:rsidP="00E94C85">
    <w:pPr>
      <w:tabs>
        <w:tab w:val="left" w:pos="8460"/>
      </w:tabs>
      <w:rPr>
        <w:sz w:val="18"/>
        <w:szCs w:val="18"/>
        <w:lang w:val="en-GB"/>
      </w:rPr>
    </w:pPr>
    <w:r w:rsidRPr="00031298">
      <w:rPr>
        <w:sz w:val="18"/>
        <w:szCs w:val="18"/>
        <w:lang w:val="en-GB"/>
      </w:rPr>
      <w:tab/>
    </w:r>
    <w:r w:rsidRPr="00031298">
      <w:rPr>
        <w:sz w:val="18"/>
        <w:szCs w:val="18"/>
        <w:lang w:val="en-GB"/>
      </w:rPr>
      <w:fldChar w:fldCharType="begin"/>
    </w:r>
    <w:r w:rsidRPr="00031298">
      <w:rPr>
        <w:sz w:val="18"/>
        <w:szCs w:val="18"/>
        <w:lang w:val="en-GB"/>
      </w:rPr>
      <w:instrText xml:space="preserve"> PAGE </w:instrText>
    </w:r>
    <w:r w:rsidRPr="00031298">
      <w:rPr>
        <w:sz w:val="18"/>
        <w:szCs w:val="18"/>
        <w:lang w:val="en-GB"/>
      </w:rPr>
      <w:fldChar w:fldCharType="separate"/>
    </w:r>
    <w:r w:rsidRPr="00031298">
      <w:rPr>
        <w:sz w:val="18"/>
        <w:szCs w:val="18"/>
        <w:lang w:val="en-GB"/>
      </w:rPr>
      <w:t>2</w:t>
    </w:r>
    <w:r w:rsidRPr="00031298">
      <w:rPr>
        <w:sz w:val="18"/>
        <w:szCs w:val="18"/>
        <w:lang w:val="en-GB"/>
      </w:rPr>
      <w:fldChar w:fldCharType="end"/>
    </w:r>
    <w:r w:rsidRPr="00031298">
      <w:rPr>
        <w:sz w:val="18"/>
        <w:szCs w:val="18"/>
        <w:lang w:val="en-G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E3F4" w14:textId="77777777" w:rsidR="00660B33" w:rsidRDefault="00660B33">
      <w:r>
        <w:separator/>
      </w:r>
    </w:p>
  </w:footnote>
  <w:footnote w:type="continuationSeparator" w:id="0">
    <w:p w14:paraId="69E99399" w14:textId="77777777" w:rsidR="00660B33" w:rsidRDefault="00660B33">
      <w:r>
        <w:continuationSeparator/>
      </w:r>
    </w:p>
  </w:footnote>
  <w:footnote w:type="continuationNotice" w:id="1">
    <w:p w14:paraId="103DD821" w14:textId="77777777" w:rsidR="00660B33" w:rsidRDefault="00660B33">
      <w:pPr>
        <w:spacing w:after="0" w:line="240" w:lineRule="auto"/>
      </w:pPr>
    </w:p>
  </w:footnote>
  <w:footnote w:id="2">
    <w:p w14:paraId="2F760DD1" w14:textId="28F13C26" w:rsidR="00D45E31" w:rsidRPr="00031298" w:rsidRDefault="00D45E31">
      <w:pPr>
        <w:pStyle w:val="Lbjegyzetszveg"/>
        <w:rPr>
          <w:lang w:val="en-GB"/>
        </w:rPr>
      </w:pPr>
      <w:r w:rsidRPr="00031298">
        <w:rPr>
          <w:rStyle w:val="Lbjegyzet-hivatkozs"/>
          <w:lang w:val="en-GB"/>
        </w:rPr>
        <w:footnoteRef/>
      </w:r>
      <w:r w:rsidRPr="00031298">
        <w:rPr>
          <w:lang w:val="en-GB"/>
        </w:rPr>
        <w:t xml:space="preserve"> In the case of </w:t>
      </w:r>
      <w:r w:rsidR="003E5A06">
        <w:rPr>
          <w:lang w:val="en-GB"/>
        </w:rPr>
        <w:t>encumbered</w:t>
      </w:r>
      <w:r w:rsidR="003E5A06" w:rsidRPr="00031298">
        <w:rPr>
          <w:lang w:val="en-GB"/>
        </w:rPr>
        <w:t xml:space="preserve"> </w:t>
      </w:r>
      <w:r w:rsidRPr="00031298">
        <w:rPr>
          <w:lang w:val="en-GB"/>
        </w:rPr>
        <w:t>assets not accepted by the MNB, the approach applied to assets acceptable to the MNB shall be followed.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C263" w14:textId="77777777" w:rsidR="00ED2C30" w:rsidRDefault="00ED2C30" w:rsidP="00ED2C30">
    <w:pPr>
      <w:pStyle w:val="lfej"/>
      <w:jc w:val="center"/>
    </w:pPr>
    <w:r>
      <w:rPr>
        <w:noProof/>
        <w:lang w:val="en"/>
      </w:rPr>
      <w:drawing>
        <wp:inline distT="0" distB="0" distL="0" distR="0" wp14:anchorId="36702309" wp14:editId="06FCD00A">
          <wp:extent cx="971550" cy="97155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898D8D" w:themeColor="text2"/>
        <w:sz w:val="24"/>
      </w:rPr>
    </w:lvl>
    <w:lvl w:ilvl="1" w:tplc="41420328">
      <w:start w:val="1"/>
      <w:numFmt w:val="bullet"/>
      <w:lvlText w:val="o"/>
      <w:lvlJc w:val="left"/>
      <w:pPr>
        <w:ind w:left="1440" w:hanging="360"/>
      </w:pPr>
      <w:rPr>
        <w:rFonts w:ascii="Courier New" w:hAnsi="Courier New" w:hint="default"/>
        <w:b/>
        <w:color w:val="898D8D" w:themeColor="text2"/>
        <w:sz w:val="24"/>
      </w:rPr>
    </w:lvl>
    <w:lvl w:ilvl="2" w:tplc="EA2C5BBE">
      <w:start w:val="1"/>
      <w:numFmt w:val="bullet"/>
      <w:lvlText w:val=""/>
      <w:lvlJc w:val="left"/>
      <w:pPr>
        <w:ind w:left="2160" w:hanging="360"/>
      </w:pPr>
      <w:rPr>
        <w:rFonts w:ascii="Wingdings" w:hAnsi="Wingdings" w:cstheme="minorHAnsi" w:hint="default"/>
        <w:b/>
        <w:color w:val="898D8D" w:themeColor="text2"/>
        <w:sz w:val="24"/>
      </w:rPr>
    </w:lvl>
    <w:lvl w:ilvl="3" w:tplc="6C34901E">
      <w:start w:val="1"/>
      <w:numFmt w:val="bullet"/>
      <w:lvlText w:val=""/>
      <w:lvlJc w:val="left"/>
      <w:pPr>
        <w:ind w:left="2880" w:hanging="360"/>
      </w:pPr>
      <w:rPr>
        <w:rFonts w:ascii="Symbol" w:hAnsi="Symbol" w:cstheme="minorHAnsi" w:hint="default"/>
        <w:b/>
        <w:color w:val="898D8D"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898D8D" w:themeColor="text2"/>
        <w:sz w:val="24"/>
      </w:rPr>
    </w:lvl>
    <w:lvl w:ilvl="1" w:tplc="1242D2E6">
      <w:start w:val="1"/>
      <w:numFmt w:val="bullet"/>
      <w:lvlText w:val="o"/>
      <w:lvlJc w:val="left"/>
      <w:pPr>
        <w:ind w:left="1440" w:hanging="360"/>
      </w:pPr>
      <w:rPr>
        <w:rFonts w:ascii="Courier New" w:hAnsi="Courier New" w:hint="default"/>
        <w:b/>
        <w:color w:val="202653" w:themeColor="accent5"/>
        <w:sz w:val="24"/>
      </w:rPr>
    </w:lvl>
    <w:lvl w:ilvl="2" w:tplc="AA782C4A">
      <w:start w:val="1"/>
      <w:numFmt w:val="bullet"/>
      <w:lvlText w:val=""/>
      <w:lvlJc w:val="left"/>
      <w:pPr>
        <w:ind w:left="2160" w:hanging="360"/>
      </w:pPr>
      <w:rPr>
        <w:rFonts w:ascii="Wingdings" w:hAnsi="Wingdings" w:cstheme="minorHAnsi" w:hint="default"/>
        <w:b/>
        <w:color w:val="202653" w:themeColor="accent5"/>
        <w:sz w:val="24"/>
      </w:rPr>
    </w:lvl>
    <w:lvl w:ilvl="3" w:tplc="BA9A1B8A">
      <w:start w:val="1"/>
      <w:numFmt w:val="bullet"/>
      <w:lvlText w:val=""/>
      <w:lvlJc w:val="left"/>
      <w:pPr>
        <w:ind w:left="2880" w:hanging="360"/>
      </w:pPr>
      <w:rPr>
        <w:rFonts w:ascii="Symbol" w:hAnsi="Symbol" w:cstheme="minorHAnsi" w:hint="default"/>
        <w:b/>
        <w:color w:val="202653"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898D8D" w:themeColor="text2"/>
        <w:sz w:val="24"/>
      </w:rPr>
    </w:lvl>
    <w:lvl w:ilvl="1" w:tplc="41420328">
      <w:start w:val="1"/>
      <w:numFmt w:val="bullet"/>
      <w:lvlText w:val="o"/>
      <w:lvlJc w:val="left"/>
      <w:pPr>
        <w:ind w:left="1440" w:hanging="360"/>
      </w:pPr>
      <w:rPr>
        <w:rFonts w:ascii="Courier New" w:hAnsi="Courier New" w:hint="default"/>
        <w:b/>
        <w:color w:val="898D8D" w:themeColor="text2"/>
        <w:sz w:val="24"/>
      </w:rPr>
    </w:lvl>
    <w:lvl w:ilvl="2" w:tplc="EA2C5BBE">
      <w:start w:val="1"/>
      <w:numFmt w:val="bullet"/>
      <w:lvlText w:val=""/>
      <w:lvlJc w:val="left"/>
      <w:pPr>
        <w:ind w:left="2160" w:hanging="360"/>
      </w:pPr>
      <w:rPr>
        <w:rFonts w:ascii="Wingdings" w:hAnsi="Wingdings" w:cstheme="minorHAnsi" w:hint="default"/>
        <w:b/>
        <w:color w:val="898D8D" w:themeColor="text2"/>
        <w:sz w:val="24"/>
      </w:rPr>
    </w:lvl>
    <w:lvl w:ilvl="3" w:tplc="BA9A1B8A">
      <w:start w:val="1"/>
      <w:numFmt w:val="bullet"/>
      <w:lvlText w:val=""/>
      <w:lvlJc w:val="left"/>
      <w:pPr>
        <w:ind w:left="2880" w:hanging="360"/>
      </w:pPr>
      <w:rPr>
        <w:rFonts w:ascii="Symbol" w:hAnsi="Symbol" w:cstheme="minorHAnsi" w:hint="default"/>
        <w:b/>
        <w:color w:val="202653"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898D8D"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0" w15:restartNumberingAfterBreak="0">
    <w:nsid w:val="73E028B3"/>
    <w:multiLevelType w:val="hybridMultilevel"/>
    <w:tmpl w:val="18327F5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898D8D" w:themeColor="text2"/>
        <w:sz w:val="24"/>
      </w:rPr>
    </w:lvl>
    <w:lvl w:ilvl="1" w:tplc="1242D2E6">
      <w:start w:val="1"/>
      <w:numFmt w:val="bullet"/>
      <w:lvlText w:val="o"/>
      <w:lvlJc w:val="left"/>
      <w:pPr>
        <w:ind w:left="1440" w:hanging="360"/>
      </w:pPr>
      <w:rPr>
        <w:rFonts w:ascii="Courier New" w:hAnsi="Courier New" w:hint="default"/>
        <w:b/>
        <w:color w:val="202653"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898D8D" w:themeColor="text2"/>
        <w:sz w:val="24"/>
      </w:rPr>
    </w:lvl>
    <w:lvl w:ilvl="3" w:tplc="BA9A1B8A">
      <w:start w:val="1"/>
      <w:numFmt w:val="bullet"/>
      <w:lvlText w:val=""/>
      <w:lvlJc w:val="left"/>
      <w:pPr>
        <w:ind w:left="2880" w:hanging="360"/>
      </w:pPr>
      <w:rPr>
        <w:rFonts w:ascii="Symbol" w:hAnsi="Symbol" w:cstheme="minorHAnsi" w:hint="default"/>
        <w:b/>
        <w:color w:val="202653"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7B9A0D3D"/>
    <w:multiLevelType w:val="hybridMultilevel"/>
    <w:tmpl w:val="0980F5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18040421">
    <w:abstractNumId w:val="4"/>
  </w:num>
  <w:num w:numId="2" w16cid:durableId="244076462">
    <w:abstractNumId w:val="2"/>
  </w:num>
  <w:num w:numId="3" w16cid:durableId="1822117507">
    <w:abstractNumId w:val="5"/>
  </w:num>
  <w:num w:numId="4" w16cid:durableId="602155473">
    <w:abstractNumId w:val="0"/>
  </w:num>
  <w:num w:numId="5" w16cid:durableId="788815596">
    <w:abstractNumId w:val="1"/>
  </w:num>
  <w:num w:numId="6" w16cid:durableId="1731422001">
    <w:abstractNumId w:val="7"/>
  </w:num>
  <w:num w:numId="7" w16cid:durableId="289014581">
    <w:abstractNumId w:val="3"/>
  </w:num>
  <w:num w:numId="8" w16cid:durableId="1072696148">
    <w:abstractNumId w:val="9"/>
  </w:num>
  <w:num w:numId="9" w16cid:durableId="1182359704">
    <w:abstractNumId w:val="7"/>
    <w:lvlOverride w:ilvl="0">
      <w:startOverride w:val="1"/>
    </w:lvlOverride>
  </w:num>
  <w:num w:numId="10" w16cid:durableId="1871842776">
    <w:abstractNumId w:val="5"/>
  </w:num>
  <w:num w:numId="11" w16cid:durableId="1234120756">
    <w:abstractNumId w:val="12"/>
  </w:num>
  <w:num w:numId="12" w16cid:durableId="993995911">
    <w:abstractNumId w:val="10"/>
  </w:num>
  <w:num w:numId="13" w16cid:durableId="1973947544">
    <w:abstractNumId w:val="7"/>
  </w:num>
  <w:num w:numId="14" w16cid:durableId="491683216">
    <w:abstractNumId w:val="5"/>
  </w:num>
  <w:num w:numId="15" w16cid:durableId="529270847">
    <w:abstractNumId w:val="5"/>
  </w:num>
  <w:num w:numId="16" w16cid:durableId="715470296">
    <w:abstractNumId w:val="11"/>
  </w:num>
  <w:num w:numId="17" w16cid:durableId="1541436181">
    <w:abstractNumId w:val="8"/>
  </w:num>
  <w:num w:numId="18" w16cid:durableId="122914521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trackRevisions/>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26"/>
    <w:rsid w:val="0000273C"/>
    <w:rsid w:val="00002C97"/>
    <w:rsid w:val="00010D69"/>
    <w:rsid w:val="00017B1B"/>
    <w:rsid w:val="00023275"/>
    <w:rsid w:val="0002498B"/>
    <w:rsid w:val="000250E6"/>
    <w:rsid w:val="00027695"/>
    <w:rsid w:val="00027B62"/>
    <w:rsid w:val="00031298"/>
    <w:rsid w:val="00033357"/>
    <w:rsid w:val="000342F9"/>
    <w:rsid w:val="00035697"/>
    <w:rsid w:val="0005577F"/>
    <w:rsid w:val="00060148"/>
    <w:rsid w:val="00063216"/>
    <w:rsid w:val="0006374F"/>
    <w:rsid w:val="00064546"/>
    <w:rsid w:val="00067BE2"/>
    <w:rsid w:val="00067C0C"/>
    <w:rsid w:val="0008131E"/>
    <w:rsid w:val="00081934"/>
    <w:rsid w:val="000831EC"/>
    <w:rsid w:val="00087E97"/>
    <w:rsid w:val="000A3A63"/>
    <w:rsid w:val="000A71F3"/>
    <w:rsid w:val="000A7981"/>
    <w:rsid w:val="000C12BA"/>
    <w:rsid w:val="000C2918"/>
    <w:rsid w:val="000C4364"/>
    <w:rsid w:val="000C6380"/>
    <w:rsid w:val="000C701E"/>
    <w:rsid w:val="000C701F"/>
    <w:rsid w:val="000D1C8B"/>
    <w:rsid w:val="000D1E44"/>
    <w:rsid w:val="000D37FD"/>
    <w:rsid w:val="000D40AE"/>
    <w:rsid w:val="000D4F61"/>
    <w:rsid w:val="000D5F26"/>
    <w:rsid w:val="000E2CBD"/>
    <w:rsid w:val="000E4EE3"/>
    <w:rsid w:val="000F2858"/>
    <w:rsid w:val="000F2AE0"/>
    <w:rsid w:val="000F30B8"/>
    <w:rsid w:val="000F68FE"/>
    <w:rsid w:val="00101654"/>
    <w:rsid w:val="0010447E"/>
    <w:rsid w:val="0010496C"/>
    <w:rsid w:val="00110868"/>
    <w:rsid w:val="00113C88"/>
    <w:rsid w:val="001207DC"/>
    <w:rsid w:val="001255A4"/>
    <w:rsid w:val="001274D1"/>
    <w:rsid w:val="0013173B"/>
    <w:rsid w:val="00132260"/>
    <w:rsid w:val="00133A51"/>
    <w:rsid w:val="001356A6"/>
    <w:rsid w:val="001357D0"/>
    <w:rsid w:val="00136260"/>
    <w:rsid w:val="001421CC"/>
    <w:rsid w:val="00143691"/>
    <w:rsid w:val="00150045"/>
    <w:rsid w:val="00152DBF"/>
    <w:rsid w:val="00166F6C"/>
    <w:rsid w:val="00167AA8"/>
    <w:rsid w:val="001747F6"/>
    <w:rsid w:val="00182CBB"/>
    <w:rsid w:val="0018359E"/>
    <w:rsid w:val="0018619A"/>
    <w:rsid w:val="001870A7"/>
    <w:rsid w:val="00197350"/>
    <w:rsid w:val="001A2BAA"/>
    <w:rsid w:val="001B0614"/>
    <w:rsid w:val="001B3486"/>
    <w:rsid w:val="001B6DAA"/>
    <w:rsid w:val="001B6E99"/>
    <w:rsid w:val="001C0FAA"/>
    <w:rsid w:val="001C24F1"/>
    <w:rsid w:val="001C466F"/>
    <w:rsid w:val="001C5C33"/>
    <w:rsid w:val="001D4211"/>
    <w:rsid w:val="001D5999"/>
    <w:rsid w:val="001D59FD"/>
    <w:rsid w:val="001D60A8"/>
    <w:rsid w:val="001D7401"/>
    <w:rsid w:val="001E34FF"/>
    <w:rsid w:val="001E4231"/>
    <w:rsid w:val="001E621D"/>
    <w:rsid w:val="001F0E5D"/>
    <w:rsid w:val="001F1610"/>
    <w:rsid w:val="001F53DE"/>
    <w:rsid w:val="002012AD"/>
    <w:rsid w:val="00206642"/>
    <w:rsid w:val="00214230"/>
    <w:rsid w:val="0021484C"/>
    <w:rsid w:val="0022056B"/>
    <w:rsid w:val="0022764E"/>
    <w:rsid w:val="00240C97"/>
    <w:rsid w:val="0024525F"/>
    <w:rsid w:val="002522F1"/>
    <w:rsid w:val="002602F5"/>
    <w:rsid w:val="002611AE"/>
    <w:rsid w:val="0026180A"/>
    <w:rsid w:val="00263E55"/>
    <w:rsid w:val="00266B17"/>
    <w:rsid w:val="00270724"/>
    <w:rsid w:val="00271371"/>
    <w:rsid w:val="00273052"/>
    <w:rsid w:val="0027402D"/>
    <w:rsid w:val="00281CDA"/>
    <w:rsid w:val="002866DE"/>
    <w:rsid w:val="00287D15"/>
    <w:rsid w:val="00290D47"/>
    <w:rsid w:val="00292177"/>
    <w:rsid w:val="00292772"/>
    <w:rsid w:val="002A3B0E"/>
    <w:rsid w:val="002B3674"/>
    <w:rsid w:val="002B4D45"/>
    <w:rsid w:val="002B6B78"/>
    <w:rsid w:val="002B6D25"/>
    <w:rsid w:val="002B78E0"/>
    <w:rsid w:val="002C3FA2"/>
    <w:rsid w:val="002C728F"/>
    <w:rsid w:val="002C7AB8"/>
    <w:rsid w:val="002C7D4D"/>
    <w:rsid w:val="002C7DD0"/>
    <w:rsid w:val="002D207A"/>
    <w:rsid w:val="002D3422"/>
    <w:rsid w:val="002D5E55"/>
    <w:rsid w:val="002E0E79"/>
    <w:rsid w:val="002E6921"/>
    <w:rsid w:val="002F0EDC"/>
    <w:rsid w:val="002F34ED"/>
    <w:rsid w:val="002F602F"/>
    <w:rsid w:val="00300EE3"/>
    <w:rsid w:val="00302136"/>
    <w:rsid w:val="00307F5B"/>
    <w:rsid w:val="00313246"/>
    <w:rsid w:val="003231ED"/>
    <w:rsid w:val="003238E3"/>
    <w:rsid w:val="00327A74"/>
    <w:rsid w:val="00341BB5"/>
    <w:rsid w:val="00342ED9"/>
    <w:rsid w:val="00343614"/>
    <w:rsid w:val="00343902"/>
    <w:rsid w:val="0035091D"/>
    <w:rsid w:val="0035153B"/>
    <w:rsid w:val="003524A6"/>
    <w:rsid w:val="003548F7"/>
    <w:rsid w:val="0035719E"/>
    <w:rsid w:val="003701D4"/>
    <w:rsid w:val="003704B1"/>
    <w:rsid w:val="00372164"/>
    <w:rsid w:val="003728FE"/>
    <w:rsid w:val="00373BD2"/>
    <w:rsid w:val="00374EE3"/>
    <w:rsid w:val="00376093"/>
    <w:rsid w:val="0037696F"/>
    <w:rsid w:val="00380643"/>
    <w:rsid w:val="003824BF"/>
    <w:rsid w:val="003827F0"/>
    <w:rsid w:val="00386EB4"/>
    <w:rsid w:val="00391B59"/>
    <w:rsid w:val="003926D9"/>
    <w:rsid w:val="00395B14"/>
    <w:rsid w:val="00395D13"/>
    <w:rsid w:val="00397AA1"/>
    <w:rsid w:val="00397F34"/>
    <w:rsid w:val="003A5A1A"/>
    <w:rsid w:val="003B12B2"/>
    <w:rsid w:val="003B46BE"/>
    <w:rsid w:val="003B4999"/>
    <w:rsid w:val="003B57D1"/>
    <w:rsid w:val="003C5699"/>
    <w:rsid w:val="003C77BB"/>
    <w:rsid w:val="003D04DD"/>
    <w:rsid w:val="003D52BC"/>
    <w:rsid w:val="003E5A06"/>
    <w:rsid w:val="003F128A"/>
    <w:rsid w:val="0041484F"/>
    <w:rsid w:val="00423D50"/>
    <w:rsid w:val="00430CA0"/>
    <w:rsid w:val="0043276D"/>
    <w:rsid w:val="004330EA"/>
    <w:rsid w:val="00434DC6"/>
    <w:rsid w:val="00442ABF"/>
    <w:rsid w:val="00444AD2"/>
    <w:rsid w:val="004451FE"/>
    <w:rsid w:val="00453087"/>
    <w:rsid w:val="00455A38"/>
    <w:rsid w:val="00465939"/>
    <w:rsid w:val="00465950"/>
    <w:rsid w:val="0047029F"/>
    <w:rsid w:val="004729CE"/>
    <w:rsid w:val="00472DA3"/>
    <w:rsid w:val="00474131"/>
    <w:rsid w:val="0048183A"/>
    <w:rsid w:val="00491483"/>
    <w:rsid w:val="004919C2"/>
    <w:rsid w:val="00494C89"/>
    <w:rsid w:val="004970F8"/>
    <w:rsid w:val="004A58E3"/>
    <w:rsid w:val="004A5F09"/>
    <w:rsid w:val="004A6969"/>
    <w:rsid w:val="004B1A68"/>
    <w:rsid w:val="004C468A"/>
    <w:rsid w:val="004D270F"/>
    <w:rsid w:val="004D455D"/>
    <w:rsid w:val="004D7635"/>
    <w:rsid w:val="004E107B"/>
    <w:rsid w:val="004E2BA2"/>
    <w:rsid w:val="004E4F92"/>
    <w:rsid w:val="004E620F"/>
    <w:rsid w:val="004F1BAA"/>
    <w:rsid w:val="004F2BCE"/>
    <w:rsid w:val="004F42D5"/>
    <w:rsid w:val="004F72B9"/>
    <w:rsid w:val="0050045B"/>
    <w:rsid w:val="005007F1"/>
    <w:rsid w:val="00501172"/>
    <w:rsid w:val="00503A99"/>
    <w:rsid w:val="00503F63"/>
    <w:rsid w:val="0050657B"/>
    <w:rsid w:val="00513B1F"/>
    <w:rsid w:val="0051486A"/>
    <w:rsid w:val="005149CD"/>
    <w:rsid w:val="00516455"/>
    <w:rsid w:val="00517847"/>
    <w:rsid w:val="0052546E"/>
    <w:rsid w:val="0052584F"/>
    <w:rsid w:val="005277A0"/>
    <w:rsid w:val="005312FD"/>
    <w:rsid w:val="00544934"/>
    <w:rsid w:val="00557A68"/>
    <w:rsid w:val="00561175"/>
    <w:rsid w:val="00563B90"/>
    <w:rsid w:val="005648EE"/>
    <w:rsid w:val="00571C3C"/>
    <w:rsid w:val="005763C5"/>
    <w:rsid w:val="00581D24"/>
    <w:rsid w:val="0058459E"/>
    <w:rsid w:val="005868F5"/>
    <w:rsid w:val="00586D4D"/>
    <w:rsid w:val="00595231"/>
    <w:rsid w:val="005A011E"/>
    <w:rsid w:val="005A3531"/>
    <w:rsid w:val="005A3DDE"/>
    <w:rsid w:val="005A788E"/>
    <w:rsid w:val="005B0A26"/>
    <w:rsid w:val="005C3F73"/>
    <w:rsid w:val="005C498A"/>
    <w:rsid w:val="005C5BB7"/>
    <w:rsid w:val="005D1A2C"/>
    <w:rsid w:val="005D6168"/>
    <w:rsid w:val="005E267E"/>
    <w:rsid w:val="005E38AA"/>
    <w:rsid w:val="005E4D2D"/>
    <w:rsid w:val="005E5A92"/>
    <w:rsid w:val="005F3818"/>
    <w:rsid w:val="005F3E3D"/>
    <w:rsid w:val="00601576"/>
    <w:rsid w:val="00602235"/>
    <w:rsid w:val="00602F0C"/>
    <w:rsid w:val="00603723"/>
    <w:rsid w:val="00604B58"/>
    <w:rsid w:val="00610E45"/>
    <w:rsid w:val="00627BFA"/>
    <w:rsid w:val="006347DE"/>
    <w:rsid w:val="00642A07"/>
    <w:rsid w:val="00643529"/>
    <w:rsid w:val="00643CB4"/>
    <w:rsid w:val="00644BE4"/>
    <w:rsid w:val="00660B33"/>
    <w:rsid w:val="0067086E"/>
    <w:rsid w:val="0067570F"/>
    <w:rsid w:val="00681108"/>
    <w:rsid w:val="006870CA"/>
    <w:rsid w:val="00690C97"/>
    <w:rsid w:val="0069441B"/>
    <w:rsid w:val="006A54BA"/>
    <w:rsid w:val="006A66EB"/>
    <w:rsid w:val="006B0392"/>
    <w:rsid w:val="006B2726"/>
    <w:rsid w:val="006C2C3D"/>
    <w:rsid w:val="006C4871"/>
    <w:rsid w:val="006C4AAD"/>
    <w:rsid w:val="006C700F"/>
    <w:rsid w:val="006D04A0"/>
    <w:rsid w:val="006D0881"/>
    <w:rsid w:val="006D3867"/>
    <w:rsid w:val="006E45F8"/>
    <w:rsid w:val="006E5F78"/>
    <w:rsid w:val="006F0376"/>
    <w:rsid w:val="006F2A10"/>
    <w:rsid w:val="006F39C8"/>
    <w:rsid w:val="006F5D02"/>
    <w:rsid w:val="006F6144"/>
    <w:rsid w:val="00702E90"/>
    <w:rsid w:val="00703E97"/>
    <w:rsid w:val="00707C38"/>
    <w:rsid w:val="00720908"/>
    <w:rsid w:val="007236B8"/>
    <w:rsid w:val="0072398E"/>
    <w:rsid w:val="00726EF1"/>
    <w:rsid w:val="00732D87"/>
    <w:rsid w:val="00737660"/>
    <w:rsid w:val="007376E0"/>
    <w:rsid w:val="007379C0"/>
    <w:rsid w:val="00744A1F"/>
    <w:rsid w:val="00746D82"/>
    <w:rsid w:val="007474DD"/>
    <w:rsid w:val="00754A11"/>
    <w:rsid w:val="00767D3F"/>
    <w:rsid w:val="00774306"/>
    <w:rsid w:val="00782B80"/>
    <w:rsid w:val="00786EF4"/>
    <w:rsid w:val="00791092"/>
    <w:rsid w:val="007913EE"/>
    <w:rsid w:val="00792C7B"/>
    <w:rsid w:val="007A2BE7"/>
    <w:rsid w:val="007B1174"/>
    <w:rsid w:val="007B2F91"/>
    <w:rsid w:val="007B39B9"/>
    <w:rsid w:val="007B3CF1"/>
    <w:rsid w:val="007B7FC8"/>
    <w:rsid w:val="007D42F0"/>
    <w:rsid w:val="007D67A3"/>
    <w:rsid w:val="007D7B91"/>
    <w:rsid w:val="007D7E92"/>
    <w:rsid w:val="007E0286"/>
    <w:rsid w:val="007E2075"/>
    <w:rsid w:val="007F197C"/>
    <w:rsid w:val="007F1D57"/>
    <w:rsid w:val="007F7E59"/>
    <w:rsid w:val="00803B8F"/>
    <w:rsid w:val="00811141"/>
    <w:rsid w:val="00823B7E"/>
    <w:rsid w:val="00827A6C"/>
    <w:rsid w:val="0083252A"/>
    <w:rsid w:val="008349B3"/>
    <w:rsid w:val="008370C0"/>
    <w:rsid w:val="00840065"/>
    <w:rsid w:val="00841482"/>
    <w:rsid w:val="00844283"/>
    <w:rsid w:val="0084582F"/>
    <w:rsid w:val="00847C0A"/>
    <w:rsid w:val="008512C4"/>
    <w:rsid w:val="008528A0"/>
    <w:rsid w:val="00856E14"/>
    <w:rsid w:val="00860131"/>
    <w:rsid w:val="00860860"/>
    <w:rsid w:val="00864468"/>
    <w:rsid w:val="00866547"/>
    <w:rsid w:val="00872837"/>
    <w:rsid w:val="00885BC5"/>
    <w:rsid w:val="008935BD"/>
    <w:rsid w:val="008936DF"/>
    <w:rsid w:val="008A1C40"/>
    <w:rsid w:val="008B61E3"/>
    <w:rsid w:val="008C474C"/>
    <w:rsid w:val="008C56D8"/>
    <w:rsid w:val="008C5ABE"/>
    <w:rsid w:val="008D6221"/>
    <w:rsid w:val="008E26F2"/>
    <w:rsid w:val="008E3579"/>
    <w:rsid w:val="008F6613"/>
    <w:rsid w:val="00903AC3"/>
    <w:rsid w:val="009228DF"/>
    <w:rsid w:val="00925712"/>
    <w:rsid w:val="00926EA9"/>
    <w:rsid w:val="009278DD"/>
    <w:rsid w:val="00930F98"/>
    <w:rsid w:val="00933E50"/>
    <w:rsid w:val="00934193"/>
    <w:rsid w:val="00934F6E"/>
    <w:rsid w:val="00937A0B"/>
    <w:rsid w:val="0094233D"/>
    <w:rsid w:val="00946626"/>
    <w:rsid w:val="00950ACA"/>
    <w:rsid w:val="00954A39"/>
    <w:rsid w:val="00957F22"/>
    <w:rsid w:val="00961F15"/>
    <w:rsid w:val="00962FE4"/>
    <w:rsid w:val="009665AC"/>
    <w:rsid w:val="00990B18"/>
    <w:rsid w:val="009A4F0C"/>
    <w:rsid w:val="009B2208"/>
    <w:rsid w:val="009B7F1B"/>
    <w:rsid w:val="009C09A6"/>
    <w:rsid w:val="009C6632"/>
    <w:rsid w:val="009D0800"/>
    <w:rsid w:val="009D1272"/>
    <w:rsid w:val="009D2629"/>
    <w:rsid w:val="009D3B3D"/>
    <w:rsid w:val="009D4156"/>
    <w:rsid w:val="009E3A57"/>
    <w:rsid w:val="009E7AC9"/>
    <w:rsid w:val="009F413A"/>
    <w:rsid w:val="00A00F2A"/>
    <w:rsid w:val="00A03212"/>
    <w:rsid w:val="00A11152"/>
    <w:rsid w:val="00A16867"/>
    <w:rsid w:val="00A17909"/>
    <w:rsid w:val="00A2173F"/>
    <w:rsid w:val="00A23866"/>
    <w:rsid w:val="00A23A00"/>
    <w:rsid w:val="00A244C7"/>
    <w:rsid w:val="00A26654"/>
    <w:rsid w:val="00A26ED3"/>
    <w:rsid w:val="00A3105B"/>
    <w:rsid w:val="00A34F95"/>
    <w:rsid w:val="00A44C60"/>
    <w:rsid w:val="00A5096A"/>
    <w:rsid w:val="00A552E5"/>
    <w:rsid w:val="00A56BCD"/>
    <w:rsid w:val="00A57D44"/>
    <w:rsid w:val="00A60012"/>
    <w:rsid w:val="00A7534A"/>
    <w:rsid w:val="00A77604"/>
    <w:rsid w:val="00A800A3"/>
    <w:rsid w:val="00A82927"/>
    <w:rsid w:val="00A8495F"/>
    <w:rsid w:val="00A917E0"/>
    <w:rsid w:val="00A93B4D"/>
    <w:rsid w:val="00A94C01"/>
    <w:rsid w:val="00A9657A"/>
    <w:rsid w:val="00AA25CE"/>
    <w:rsid w:val="00AA7D28"/>
    <w:rsid w:val="00AB3E83"/>
    <w:rsid w:val="00AB5B26"/>
    <w:rsid w:val="00AB7DBF"/>
    <w:rsid w:val="00AC6950"/>
    <w:rsid w:val="00AE0387"/>
    <w:rsid w:val="00AE3CD1"/>
    <w:rsid w:val="00AE41D5"/>
    <w:rsid w:val="00AE4D73"/>
    <w:rsid w:val="00AE585C"/>
    <w:rsid w:val="00AF1C92"/>
    <w:rsid w:val="00AF7B9B"/>
    <w:rsid w:val="00B04719"/>
    <w:rsid w:val="00B06F8B"/>
    <w:rsid w:val="00B15880"/>
    <w:rsid w:val="00B25C26"/>
    <w:rsid w:val="00B261BA"/>
    <w:rsid w:val="00B30358"/>
    <w:rsid w:val="00B3064A"/>
    <w:rsid w:val="00B3473A"/>
    <w:rsid w:val="00B37787"/>
    <w:rsid w:val="00B4230E"/>
    <w:rsid w:val="00B4506F"/>
    <w:rsid w:val="00B45D0C"/>
    <w:rsid w:val="00B46F92"/>
    <w:rsid w:val="00B4727E"/>
    <w:rsid w:val="00B51E64"/>
    <w:rsid w:val="00B53C3B"/>
    <w:rsid w:val="00B54E70"/>
    <w:rsid w:val="00B55827"/>
    <w:rsid w:val="00B56865"/>
    <w:rsid w:val="00B602C9"/>
    <w:rsid w:val="00B62845"/>
    <w:rsid w:val="00B64835"/>
    <w:rsid w:val="00B65595"/>
    <w:rsid w:val="00B66A7E"/>
    <w:rsid w:val="00B702D5"/>
    <w:rsid w:val="00B723C6"/>
    <w:rsid w:val="00B800CB"/>
    <w:rsid w:val="00B8074B"/>
    <w:rsid w:val="00B8101A"/>
    <w:rsid w:val="00B861AB"/>
    <w:rsid w:val="00B97BB1"/>
    <w:rsid w:val="00BA2A45"/>
    <w:rsid w:val="00BA3C04"/>
    <w:rsid w:val="00BA6558"/>
    <w:rsid w:val="00BB27C2"/>
    <w:rsid w:val="00BB7D50"/>
    <w:rsid w:val="00BD0575"/>
    <w:rsid w:val="00BD12AC"/>
    <w:rsid w:val="00BD29BB"/>
    <w:rsid w:val="00BD346D"/>
    <w:rsid w:val="00BD75B8"/>
    <w:rsid w:val="00BE125E"/>
    <w:rsid w:val="00BE24EE"/>
    <w:rsid w:val="00BE5440"/>
    <w:rsid w:val="00BE5843"/>
    <w:rsid w:val="00BF0359"/>
    <w:rsid w:val="00BF3AF0"/>
    <w:rsid w:val="00C003AE"/>
    <w:rsid w:val="00C01E8F"/>
    <w:rsid w:val="00C0501F"/>
    <w:rsid w:val="00C06F2F"/>
    <w:rsid w:val="00C07885"/>
    <w:rsid w:val="00C136F8"/>
    <w:rsid w:val="00C146F6"/>
    <w:rsid w:val="00C14B03"/>
    <w:rsid w:val="00C1563C"/>
    <w:rsid w:val="00C17469"/>
    <w:rsid w:val="00C17EA9"/>
    <w:rsid w:val="00C20799"/>
    <w:rsid w:val="00C22FB8"/>
    <w:rsid w:val="00C31F64"/>
    <w:rsid w:val="00C43AC5"/>
    <w:rsid w:val="00C522BD"/>
    <w:rsid w:val="00C63080"/>
    <w:rsid w:val="00C63F2A"/>
    <w:rsid w:val="00C64F11"/>
    <w:rsid w:val="00C76BAF"/>
    <w:rsid w:val="00C907C0"/>
    <w:rsid w:val="00C93837"/>
    <w:rsid w:val="00CA2F0D"/>
    <w:rsid w:val="00CA398B"/>
    <w:rsid w:val="00CB72D6"/>
    <w:rsid w:val="00CC4CB1"/>
    <w:rsid w:val="00CD08DE"/>
    <w:rsid w:val="00CD36BC"/>
    <w:rsid w:val="00CD6E8D"/>
    <w:rsid w:val="00CD724F"/>
    <w:rsid w:val="00CD7B23"/>
    <w:rsid w:val="00CE188C"/>
    <w:rsid w:val="00CE44CB"/>
    <w:rsid w:val="00CF148C"/>
    <w:rsid w:val="00D00D53"/>
    <w:rsid w:val="00D02170"/>
    <w:rsid w:val="00D03058"/>
    <w:rsid w:val="00D0775C"/>
    <w:rsid w:val="00D11D8B"/>
    <w:rsid w:val="00D11EF1"/>
    <w:rsid w:val="00D144FA"/>
    <w:rsid w:val="00D151D4"/>
    <w:rsid w:val="00D21043"/>
    <w:rsid w:val="00D2505A"/>
    <w:rsid w:val="00D265EF"/>
    <w:rsid w:val="00D2761D"/>
    <w:rsid w:val="00D30115"/>
    <w:rsid w:val="00D45E31"/>
    <w:rsid w:val="00D463F1"/>
    <w:rsid w:val="00D5152F"/>
    <w:rsid w:val="00D524BB"/>
    <w:rsid w:val="00D531F1"/>
    <w:rsid w:val="00D561C8"/>
    <w:rsid w:val="00D57CCE"/>
    <w:rsid w:val="00D65E8E"/>
    <w:rsid w:val="00D6703D"/>
    <w:rsid w:val="00D7046B"/>
    <w:rsid w:val="00D717DA"/>
    <w:rsid w:val="00D7659E"/>
    <w:rsid w:val="00D815CF"/>
    <w:rsid w:val="00D84BA5"/>
    <w:rsid w:val="00D946B0"/>
    <w:rsid w:val="00DA2679"/>
    <w:rsid w:val="00DA3039"/>
    <w:rsid w:val="00DA6B88"/>
    <w:rsid w:val="00DA73B6"/>
    <w:rsid w:val="00DB127D"/>
    <w:rsid w:val="00DD62AD"/>
    <w:rsid w:val="00DD7153"/>
    <w:rsid w:val="00DF4F58"/>
    <w:rsid w:val="00E10DBD"/>
    <w:rsid w:val="00E11F2F"/>
    <w:rsid w:val="00E13A3A"/>
    <w:rsid w:val="00E14CD2"/>
    <w:rsid w:val="00E26725"/>
    <w:rsid w:val="00E301AE"/>
    <w:rsid w:val="00E315BC"/>
    <w:rsid w:val="00E33610"/>
    <w:rsid w:val="00E35139"/>
    <w:rsid w:val="00E416D4"/>
    <w:rsid w:val="00E44555"/>
    <w:rsid w:val="00E4526A"/>
    <w:rsid w:val="00E50608"/>
    <w:rsid w:val="00E5165B"/>
    <w:rsid w:val="00E52ABA"/>
    <w:rsid w:val="00E5314F"/>
    <w:rsid w:val="00E57A26"/>
    <w:rsid w:val="00E653E3"/>
    <w:rsid w:val="00E66AEE"/>
    <w:rsid w:val="00E70FF5"/>
    <w:rsid w:val="00E719E1"/>
    <w:rsid w:val="00E736A7"/>
    <w:rsid w:val="00E8031B"/>
    <w:rsid w:val="00E84322"/>
    <w:rsid w:val="00E87C26"/>
    <w:rsid w:val="00E94C85"/>
    <w:rsid w:val="00EA2361"/>
    <w:rsid w:val="00EA65F4"/>
    <w:rsid w:val="00EB11D4"/>
    <w:rsid w:val="00EB2886"/>
    <w:rsid w:val="00EB398E"/>
    <w:rsid w:val="00EC4096"/>
    <w:rsid w:val="00EC429C"/>
    <w:rsid w:val="00EC6A51"/>
    <w:rsid w:val="00ED05AC"/>
    <w:rsid w:val="00ED10E2"/>
    <w:rsid w:val="00ED2C30"/>
    <w:rsid w:val="00EE2F86"/>
    <w:rsid w:val="00EE4050"/>
    <w:rsid w:val="00EE4149"/>
    <w:rsid w:val="00EE57AF"/>
    <w:rsid w:val="00EF0090"/>
    <w:rsid w:val="00F0443A"/>
    <w:rsid w:val="00F04E3E"/>
    <w:rsid w:val="00F10771"/>
    <w:rsid w:val="00F10E72"/>
    <w:rsid w:val="00F205E5"/>
    <w:rsid w:val="00F24CE7"/>
    <w:rsid w:val="00F27EFC"/>
    <w:rsid w:val="00F4116F"/>
    <w:rsid w:val="00F4507E"/>
    <w:rsid w:val="00F512A3"/>
    <w:rsid w:val="00F51AB4"/>
    <w:rsid w:val="00F523A8"/>
    <w:rsid w:val="00F54723"/>
    <w:rsid w:val="00F55348"/>
    <w:rsid w:val="00F55EC1"/>
    <w:rsid w:val="00F57359"/>
    <w:rsid w:val="00F57AF5"/>
    <w:rsid w:val="00F60A86"/>
    <w:rsid w:val="00F62B87"/>
    <w:rsid w:val="00F6476C"/>
    <w:rsid w:val="00F65208"/>
    <w:rsid w:val="00F657AD"/>
    <w:rsid w:val="00F67BE6"/>
    <w:rsid w:val="00F702E1"/>
    <w:rsid w:val="00F759E8"/>
    <w:rsid w:val="00F83726"/>
    <w:rsid w:val="00F84524"/>
    <w:rsid w:val="00F8481F"/>
    <w:rsid w:val="00F86B33"/>
    <w:rsid w:val="00F91C17"/>
    <w:rsid w:val="00F949B1"/>
    <w:rsid w:val="00F958EE"/>
    <w:rsid w:val="00F96EEB"/>
    <w:rsid w:val="00F96F8A"/>
    <w:rsid w:val="00F9761F"/>
    <w:rsid w:val="00FA102C"/>
    <w:rsid w:val="00FB1142"/>
    <w:rsid w:val="00FB3124"/>
    <w:rsid w:val="00FC0541"/>
    <w:rsid w:val="00FC249F"/>
    <w:rsid w:val="00FC5616"/>
    <w:rsid w:val="00FD328C"/>
    <w:rsid w:val="00FD7299"/>
    <w:rsid w:val="00FE048A"/>
    <w:rsid w:val="00FE2094"/>
    <w:rsid w:val="00FE2F52"/>
    <w:rsid w:val="00FE3FB3"/>
    <w:rsid w:val="00FE708F"/>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B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0541"/>
    <w:pPr>
      <w:spacing w:after="150" w:line="276" w:lineRule="auto"/>
      <w:jc w:val="both"/>
    </w:pPr>
    <w:rPr>
      <w:rFonts w:ascii="Calibri" w:hAnsi="Calibri"/>
      <w:szCs w:val="20"/>
    </w:rPr>
  </w:style>
  <w:style w:type="paragraph" w:styleId="Cmsor1">
    <w:name w:val="heading 1"/>
    <w:basedOn w:val="Norml"/>
    <w:next w:val="Norml"/>
    <w:link w:val="Cmsor1Char"/>
    <w:qFormat/>
    <w:rsid w:val="00FC0541"/>
    <w:pPr>
      <w:keepNext/>
      <w:keepLines/>
      <w:numPr>
        <w:numId w:val="3"/>
      </w:numPr>
      <w:spacing w:before="480" w:after="210"/>
      <w:jc w:val="left"/>
      <w:outlineLvl w:val="0"/>
    </w:pPr>
    <w:rPr>
      <w:rFonts w:eastAsiaTheme="majorEastAsia" w:cstheme="majorBidi"/>
      <w:b/>
      <w:bCs/>
      <w:caps/>
      <w:color w:val="898D8D" w:themeColor="text2"/>
      <w:sz w:val="24"/>
      <w:szCs w:val="42"/>
    </w:rPr>
  </w:style>
  <w:style w:type="paragraph" w:styleId="Cmsor2">
    <w:name w:val="heading 2"/>
    <w:basedOn w:val="Norml"/>
    <w:next w:val="Norml"/>
    <w:link w:val="Cmsor2Char"/>
    <w:unhideWhenUsed/>
    <w:qFormat/>
    <w:rsid w:val="00FC0541"/>
    <w:pPr>
      <w:numPr>
        <w:ilvl w:val="1"/>
        <w:numId w:val="3"/>
      </w:numPr>
      <w:spacing w:before="210" w:after="75"/>
      <w:jc w:val="left"/>
      <w:outlineLvl w:val="1"/>
    </w:pPr>
    <w:rPr>
      <w:b/>
      <w:color w:val="898D8D" w:themeColor="text2"/>
      <w:sz w:val="24"/>
      <w:szCs w:val="38"/>
    </w:rPr>
  </w:style>
  <w:style w:type="paragraph" w:styleId="Cmsor3">
    <w:name w:val="heading 3"/>
    <w:basedOn w:val="Norml"/>
    <w:next w:val="Norml"/>
    <w:link w:val="Cmsor3Char"/>
    <w:unhideWhenUsed/>
    <w:qFormat/>
    <w:rsid w:val="00FC0541"/>
    <w:pPr>
      <w:numPr>
        <w:ilvl w:val="2"/>
        <w:numId w:val="3"/>
      </w:numPr>
      <w:spacing w:before="75" w:after="75"/>
      <w:jc w:val="left"/>
      <w:outlineLvl w:val="2"/>
    </w:pPr>
    <w:rPr>
      <w:bCs/>
      <w:color w:val="898D8D" w:themeColor="text2"/>
      <w:szCs w:val="34"/>
    </w:rPr>
  </w:style>
  <w:style w:type="paragraph" w:styleId="Cmsor4">
    <w:name w:val="heading 4"/>
    <w:basedOn w:val="Norml"/>
    <w:next w:val="Norml"/>
    <w:link w:val="Cmsor4Char"/>
    <w:unhideWhenUsed/>
    <w:qFormat/>
    <w:rsid w:val="00FC0541"/>
    <w:pPr>
      <w:numPr>
        <w:ilvl w:val="3"/>
        <w:numId w:val="3"/>
      </w:numPr>
      <w:spacing w:before="75" w:after="75"/>
      <w:jc w:val="left"/>
      <w:outlineLvl w:val="3"/>
    </w:pPr>
    <w:rPr>
      <w:iCs/>
      <w:color w:val="898D8D" w:themeColor="text2"/>
      <w:szCs w:val="30"/>
    </w:rPr>
  </w:style>
  <w:style w:type="paragraph" w:styleId="Cmsor5">
    <w:name w:val="heading 5"/>
    <w:basedOn w:val="Norml"/>
    <w:next w:val="Norml"/>
    <w:link w:val="Cmsor5Char"/>
    <w:unhideWhenUsed/>
    <w:qFormat/>
    <w:rsid w:val="00FC0541"/>
    <w:pPr>
      <w:numPr>
        <w:ilvl w:val="4"/>
        <w:numId w:val="3"/>
      </w:numPr>
      <w:spacing w:before="75" w:after="75"/>
      <w:jc w:val="left"/>
      <w:outlineLvl w:val="4"/>
    </w:pPr>
    <w:rPr>
      <w:color w:val="898D8D" w:themeColor="text2"/>
      <w:szCs w:val="26"/>
    </w:rPr>
  </w:style>
  <w:style w:type="paragraph" w:styleId="Cmsor6">
    <w:name w:val="heading 6"/>
    <w:basedOn w:val="Norml"/>
    <w:next w:val="Norml"/>
    <w:link w:val="Cmsor6Char"/>
    <w:unhideWhenUsed/>
    <w:qFormat/>
    <w:rsid w:val="00FC0541"/>
    <w:pPr>
      <w:numPr>
        <w:ilvl w:val="5"/>
        <w:numId w:val="3"/>
      </w:numPr>
      <w:spacing w:before="75" w:after="75"/>
      <w:jc w:val="left"/>
      <w:outlineLvl w:val="5"/>
    </w:pPr>
    <w:rPr>
      <w:color w:val="898D8D" w:themeColor="text2"/>
    </w:rPr>
  </w:style>
  <w:style w:type="paragraph" w:styleId="Cmsor7">
    <w:name w:val="heading 7"/>
    <w:basedOn w:val="Norml"/>
    <w:next w:val="Norml"/>
    <w:link w:val="Cmsor7Char"/>
    <w:uiPriority w:val="9"/>
    <w:semiHidden/>
    <w:unhideWhenUsed/>
    <w:qFormat/>
    <w:rsid w:val="00FC0541"/>
    <w:pPr>
      <w:keepNext/>
      <w:keepLines/>
      <w:numPr>
        <w:ilvl w:val="6"/>
        <w:numId w:val="3"/>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FC0541"/>
    <w:pPr>
      <w:keepNext/>
      <w:keepLines/>
      <w:numPr>
        <w:ilvl w:val="7"/>
        <w:numId w:val="3"/>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FC0541"/>
    <w:pPr>
      <w:keepNext/>
      <w:keepLines/>
      <w:numPr>
        <w:ilvl w:val="8"/>
        <w:numId w:val="3"/>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semiHidden/>
    <w:unhideWhenUsed/>
    <w:rsid w:val="00FC0541"/>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FC0541"/>
  </w:style>
  <w:style w:type="table" w:customStyle="1" w:styleId="tblzat-mtrix">
    <w:name w:val="táblázat - mátrix"/>
    <w:basedOn w:val="Normltblzat"/>
    <w:uiPriority w:val="2"/>
    <w:qFormat/>
    <w:rsid w:val="00FC0541"/>
    <w:pPr>
      <w:contextualSpacing/>
    </w:pPr>
    <w:rPr>
      <w:rFonts w:asciiTheme="majorHAnsi" w:eastAsia="Calibri" w:hAnsiTheme="majorHAnsi"/>
      <w:szCs w:val="20"/>
    </w:rPr>
    <w:tblPr>
      <w:tblStyleRowBandSize w:val="1"/>
      <w:tblStyleColBandSize w:val="1"/>
      <w:tblBorders>
        <w:top w:val="single" w:sz="2" w:space="0" w:color="202653" w:themeColor="accent5"/>
        <w:left w:val="single" w:sz="2" w:space="0" w:color="202653" w:themeColor="accent5"/>
        <w:bottom w:val="single" w:sz="2" w:space="0" w:color="202653" w:themeColor="accent5"/>
        <w:right w:val="single" w:sz="2" w:space="0" w:color="202653" w:themeColor="accent5"/>
        <w:insideH w:val="single" w:sz="2" w:space="0" w:color="202653" w:themeColor="accent5"/>
        <w:insideV w:val="single" w:sz="2" w:space="0" w:color="202653"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AC9F70" w:themeFill="background2"/>
      </w:tcPr>
    </w:tblStylePr>
    <w:tblStylePr w:type="firstCol">
      <w:pPr>
        <w:jc w:val="left"/>
      </w:pPr>
      <w:rPr>
        <w:rFonts w:asciiTheme="majorHAnsi" w:hAnsiTheme="majorHAnsi"/>
        <w:sz w:val="20"/>
      </w:rPr>
      <w:tblPr/>
      <w:tcPr>
        <w:shd w:val="clear" w:color="auto" w:fill="AC9F70" w:themeFill="background2"/>
      </w:tcPr>
    </w:tblStylePr>
  </w:style>
  <w:style w:type="table" w:customStyle="1" w:styleId="tblzat-fejlces">
    <w:name w:val="táblázat - fejléces"/>
    <w:basedOn w:val="Normltblzat"/>
    <w:uiPriority w:val="1"/>
    <w:qFormat/>
    <w:rsid w:val="00FC0541"/>
    <w:pPr>
      <w:contextualSpacing/>
    </w:pPr>
    <w:rPr>
      <w:rFonts w:asciiTheme="majorHAnsi" w:eastAsia="Calibri" w:hAnsiTheme="majorHAnsi"/>
      <w:szCs w:val="20"/>
    </w:rPr>
    <w:tblPr>
      <w:tblStyleRowBandSize w:val="1"/>
      <w:tblStyleColBandSize w:val="1"/>
      <w:tblBorders>
        <w:top w:val="single" w:sz="4" w:space="0" w:color="202653" w:themeColor="accent5"/>
        <w:left w:val="single" w:sz="4" w:space="0" w:color="202653" w:themeColor="accent5"/>
        <w:bottom w:val="single" w:sz="4" w:space="0" w:color="202653" w:themeColor="accent5"/>
        <w:right w:val="single" w:sz="4" w:space="0" w:color="202653" w:themeColor="accent5"/>
        <w:insideH w:val="single" w:sz="4" w:space="0" w:color="202653" w:themeColor="accent5"/>
        <w:insideV w:val="single" w:sz="4" w:space="0" w:color="202653"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AC9F70"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FC0541"/>
    <w:pPr>
      <w:numPr>
        <w:numId w:val="9"/>
      </w:numPr>
      <w:contextualSpacing/>
    </w:pPr>
  </w:style>
  <w:style w:type="character" w:styleId="Hiperhivatkozs">
    <w:name w:val="Hyperlink"/>
    <w:basedOn w:val="Vgjegyzet-hivatkozs"/>
    <w:uiPriority w:val="99"/>
    <w:rsid w:val="00FC0541"/>
    <w:rPr>
      <w:rFonts w:ascii="Calibri" w:hAnsi="Calibri"/>
      <w:color w:val="0000FF"/>
      <w:sz w:val="20"/>
      <w:u w:val="single"/>
      <w:vertAlign w:val="superscript"/>
    </w:rPr>
  </w:style>
  <w:style w:type="table" w:customStyle="1" w:styleId="tblzat-oldallces">
    <w:name w:val="táblázat - oldalléces"/>
    <w:basedOn w:val="Normltblzat"/>
    <w:uiPriority w:val="3"/>
    <w:qFormat/>
    <w:rsid w:val="00FC0541"/>
    <w:pPr>
      <w:contextualSpacing/>
    </w:pPr>
    <w:rPr>
      <w:rFonts w:asciiTheme="majorHAnsi" w:eastAsia="Calibri" w:hAnsiTheme="majorHAnsi"/>
      <w:szCs w:val="20"/>
    </w:rPr>
    <w:tblPr>
      <w:tblStyleRowBandSize w:val="1"/>
      <w:tblStyleColBandSize w:val="1"/>
      <w:tblBorders>
        <w:top w:val="single" w:sz="4" w:space="0" w:color="202653" w:themeColor="accent5"/>
        <w:left w:val="single" w:sz="4" w:space="0" w:color="202653" w:themeColor="accent5"/>
        <w:bottom w:val="single" w:sz="4" w:space="0" w:color="202653" w:themeColor="accent5"/>
        <w:right w:val="single" w:sz="4" w:space="0" w:color="202653" w:themeColor="accent5"/>
        <w:insideH w:val="single" w:sz="4" w:space="0" w:color="202653" w:themeColor="accent5"/>
        <w:insideV w:val="single" w:sz="4" w:space="0" w:color="202653"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AC9F70" w:themeFill="background2"/>
      </w:tcPr>
    </w:tblStylePr>
  </w:style>
  <w:style w:type="character" w:styleId="Vgjegyzet-hivatkozs">
    <w:name w:val="endnote reference"/>
    <w:basedOn w:val="Bekezdsalapbettpusa"/>
    <w:semiHidden/>
    <w:rsid w:val="00FC0541"/>
    <w:rPr>
      <w:vertAlign w:val="superscript"/>
    </w:rPr>
  </w:style>
  <w:style w:type="paragraph" w:styleId="Buborkszveg">
    <w:name w:val="Balloon Text"/>
    <w:basedOn w:val="Norml"/>
    <w:link w:val="BuborkszvegChar"/>
    <w:uiPriority w:val="99"/>
    <w:semiHidden/>
    <w:unhideWhenUsed/>
    <w:rsid w:val="00FC0541"/>
    <w:rPr>
      <w:rFonts w:ascii="Tahoma" w:hAnsi="Tahoma" w:cs="Tahoma"/>
      <w:sz w:val="16"/>
      <w:szCs w:val="16"/>
    </w:rPr>
  </w:style>
  <w:style w:type="paragraph" w:customStyle="1" w:styleId="Magyarzszveg">
    <w:name w:val="Magyarázó szöveg"/>
    <w:basedOn w:val="Norml"/>
    <w:next w:val="Norml"/>
    <w:uiPriority w:val="7"/>
    <w:rsid w:val="00FC0541"/>
    <w:rPr>
      <w:color w:val="202653" w:themeColor="accent5"/>
      <w:sz w:val="18"/>
    </w:rPr>
  </w:style>
  <w:style w:type="character" w:customStyle="1" w:styleId="BuborkszvegChar">
    <w:name w:val="Buborékszöveg Char"/>
    <w:basedOn w:val="Bekezdsalapbettpusa"/>
    <w:link w:val="Buborkszveg"/>
    <w:uiPriority w:val="99"/>
    <w:semiHidden/>
    <w:rsid w:val="00FC0541"/>
    <w:rPr>
      <w:rFonts w:ascii="Tahoma" w:hAnsi="Tahoma" w:cs="Tahoma"/>
      <w:sz w:val="16"/>
      <w:szCs w:val="16"/>
    </w:rPr>
  </w:style>
  <w:style w:type="paragraph" w:styleId="lfej">
    <w:name w:val="header"/>
    <w:basedOn w:val="Norml"/>
    <w:link w:val="lfejChar"/>
    <w:uiPriority w:val="99"/>
    <w:unhideWhenUsed/>
    <w:rsid w:val="00FC0541"/>
    <w:pPr>
      <w:tabs>
        <w:tab w:val="center" w:pos="4536"/>
        <w:tab w:val="right" w:pos="9072"/>
      </w:tabs>
    </w:pPr>
  </w:style>
  <w:style w:type="character" w:customStyle="1" w:styleId="lfejChar">
    <w:name w:val="Élőfej Char"/>
    <w:basedOn w:val="Bekezdsalapbettpusa"/>
    <w:link w:val="lfej"/>
    <w:uiPriority w:val="99"/>
    <w:rsid w:val="00FC0541"/>
    <w:rPr>
      <w:rFonts w:ascii="Calibri" w:hAnsi="Calibri"/>
      <w:szCs w:val="20"/>
    </w:rPr>
  </w:style>
  <w:style w:type="paragraph" w:styleId="llb">
    <w:name w:val="footer"/>
    <w:basedOn w:val="Norml"/>
    <w:link w:val="llbChar"/>
    <w:uiPriority w:val="99"/>
    <w:unhideWhenUsed/>
    <w:rsid w:val="00FC0541"/>
    <w:pPr>
      <w:tabs>
        <w:tab w:val="center" w:pos="4536"/>
        <w:tab w:val="right" w:pos="9072"/>
      </w:tabs>
    </w:pPr>
  </w:style>
  <w:style w:type="character" w:customStyle="1" w:styleId="llbChar">
    <w:name w:val="Élőláb Char"/>
    <w:basedOn w:val="Bekezdsalapbettpusa"/>
    <w:link w:val="llb"/>
    <w:uiPriority w:val="99"/>
    <w:rsid w:val="00FC0541"/>
    <w:rPr>
      <w:rFonts w:ascii="Calibri" w:hAnsi="Calibri"/>
      <w:szCs w:val="20"/>
    </w:rPr>
  </w:style>
  <w:style w:type="paragraph" w:customStyle="1" w:styleId="Szmozs">
    <w:name w:val="Számozás"/>
    <w:basedOn w:val="Norml"/>
    <w:uiPriority w:val="4"/>
    <w:qFormat/>
    <w:rsid w:val="00FC0541"/>
    <w:pPr>
      <w:numPr>
        <w:numId w:val="4"/>
      </w:numPr>
      <w:spacing w:before="120"/>
      <w:contextualSpacing/>
    </w:pPr>
  </w:style>
  <w:style w:type="table" w:styleId="Rcsostblzat">
    <w:name w:val="Table Grid"/>
    <w:aliases w:val="Szegély nélküli"/>
    <w:basedOn w:val="Normltblzat"/>
    <w:uiPriority w:val="59"/>
    <w:rsid w:val="00FC0541"/>
    <w:pPr>
      <w:contextualSpacing/>
    </w:pPr>
    <w:rPr>
      <w:rFonts w:ascii="Calibri" w:hAnsi="Calibri"/>
      <w:szCs w:val="20"/>
    </w:rPr>
    <w:tblPr/>
    <w:tcPr>
      <w:vAlign w:val="center"/>
    </w:tcPr>
  </w:style>
  <w:style w:type="character" w:customStyle="1" w:styleId="Cmsor4Char">
    <w:name w:val="Címsor 4 Char"/>
    <w:basedOn w:val="Bekezdsalapbettpusa"/>
    <w:link w:val="Cmsor4"/>
    <w:rsid w:val="00FC0541"/>
    <w:rPr>
      <w:rFonts w:ascii="Calibri" w:hAnsi="Calibri"/>
      <w:iCs/>
      <w:color w:val="898D8D" w:themeColor="text2"/>
      <w:szCs w:val="30"/>
    </w:rPr>
  </w:style>
  <w:style w:type="character" w:customStyle="1" w:styleId="Cmsor5Char">
    <w:name w:val="Címsor 5 Char"/>
    <w:basedOn w:val="Bekezdsalapbettpusa"/>
    <w:link w:val="Cmsor5"/>
    <w:rsid w:val="00FC0541"/>
    <w:rPr>
      <w:rFonts w:ascii="Calibri" w:hAnsi="Calibri"/>
      <w:color w:val="898D8D" w:themeColor="text2"/>
      <w:szCs w:val="26"/>
    </w:rPr>
  </w:style>
  <w:style w:type="character" w:customStyle="1" w:styleId="Cmsor6Char">
    <w:name w:val="Címsor 6 Char"/>
    <w:basedOn w:val="Bekezdsalapbettpusa"/>
    <w:link w:val="Cmsor6"/>
    <w:rsid w:val="00FC0541"/>
    <w:rPr>
      <w:rFonts w:ascii="Calibri" w:hAnsi="Calibri"/>
      <w:color w:val="898D8D" w:themeColor="text2"/>
      <w:szCs w:val="20"/>
    </w:rPr>
  </w:style>
  <w:style w:type="character" w:customStyle="1" w:styleId="Cmsor1Char">
    <w:name w:val="Címsor 1 Char"/>
    <w:basedOn w:val="Bekezdsalapbettpusa"/>
    <w:link w:val="Cmsor1"/>
    <w:rsid w:val="00FC0541"/>
    <w:rPr>
      <w:rFonts w:ascii="Calibri" w:eastAsiaTheme="majorEastAsia" w:hAnsi="Calibri" w:cstheme="majorBidi"/>
      <w:b/>
      <w:bCs/>
      <w:caps/>
      <w:color w:val="898D8D" w:themeColor="text2"/>
      <w:sz w:val="24"/>
      <w:szCs w:val="42"/>
    </w:rPr>
  </w:style>
  <w:style w:type="character" w:customStyle="1" w:styleId="Cmsor2Char">
    <w:name w:val="Címsor 2 Char"/>
    <w:basedOn w:val="Bekezdsalapbettpusa"/>
    <w:link w:val="Cmsor2"/>
    <w:rsid w:val="00FC0541"/>
    <w:rPr>
      <w:rFonts w:ascii="Calibri" w:hAnsi="Calibri"/>
      <w:b/>
      <w:color w:val="898D8D" w:themeColor="text2"/>
      <w:sz w:val="24"/>
      <w:szCs w:val="38"/>
    </w:rPr>
  </w:style>
  <w:style w:type="character" w:customStyle="1" w:styleId="Cmsor3Char">
    <w:name w:val="Címsor 3 Char"/>
    <w:basedOn w:val="Bekezdsalapbettpusa"/>
    <w:link w:val="Cmsor3"/>
    <w:rsid w:val="00FC0541"/>
    <w:rPr>
      <w:rFonts w:ascii="Calibri" w:hAnsi="Calibri"/>
      <w:bCs/>
      <w:color w:val="898D8D" w:themeColor="text2"/>
      <w:szCs w:val="34"/>
    </w:rPr>
  </w:style>
  <w:style w:type="paragraph" w:styleId="Cm">
    <w:name w:val="Title"/>
    <w:basedOn w:val="Norml"/>
    <w:next w:val="Norml"/>
    <w:link w:val="CmChar"/>
    <w:uiPriority w:val="3"/>
    <w:qFormat/>
    <w:rsid w:val="00FC0541"/>
    <w:pPr>
      <w:spacing w:after="300"/>
      <w:contextualSpacing/>
    </w:pPr>
    <w:rPr>
      <w:rFonts w:eastAsiaTheme="majorEastAsia" w:cstheme="majorBidi"/>
      <w:caps/>
      <w:color w:val="898D8D" w:themeColor="text2"/>
      <w:spacing w:val="5"/>
      <w:kern w:val="28"/>
      <w:sz w:val="24"/>
      <w:szCs w:val="52"/>
    </w:rPr>
  </w:style>
  <w:style w:type="character" w:customStyle="1" w:styleId="CmChar">
    <w:name w:val="Cím Char"/>
    <w:basedOn w:val="Bekezdsalapbettpusa"/>
    <w:link w:val="Cm"/>
    <w:uiPriority w:val="3"/>
    <w:rsid w:val="00FC0541"/>
    <w:rPr>
      <w:rFonts w:ascii="Calibri" w:eastAsiaTheme="majorEastAsia" w:hAnsi="Calibri" w:cstheme="majorBidi"/>
      <w:caps/>
      <w:color w:val="898D8D" w:themeColor="text2"/>
      <w:spacing w:val="5"/>
      <w:kern w:val="28"/>
      <w:sz w:val="24"/>
      <w:szCs w:val="52"/>
    </w:rPr>
  </w:style>
  <w:style w:type="character" w:customStyle="1" w:styleId="Cmsor7Char">
    <w:name w:val="Címsor 7 Char"/>
    <w:basedOn w:val="Bekezdsalapbettpusa"/>
    <w:link w:val="Cmsor7"/>
    <w:uiPriority w:val="9"/>
    <w:semiHidden/>
    <w:rsid w:val="00FC0541"/>
    <w:rPr>
      <w:rFonts w:ascii="Calibri" w:eastAsiaTheme="majorEastAsia" w:hAnsi="Calibri" w:cstheme="majorBidi"/>
      <w:i/>
      <w:iCs/>
      <w:color w:val="404040" w:themeColor="text1" w:themeTint="BF"/>
      <w:szCs w:val="20"/>
    </w:rPr>
  </w:style>
  <w:style w:type="character" w:customStyle="1" w:styleId="Cmsor8Char">
    <w:name w:val="Címsor 8 Char"/>
    <w:basedOn w:val="Bekezdsalapbettpusa"/>
    <w:link w:val="Cmsor8"/>
    <w:uiPriority w:val="9"/>
    <w:semiHidden/>
    <w:rsid w:val="00FC0541"/>
    <w:rPr>
      <w:rFonts w:ascii="Calibri" w:eastAsiaTheme="majorEastAsia" w:hAnsi="Calibri" w:cstheme="majorBidi"/>
      <w:color w:val="404040" w:themeColor="text1" w:themeTint="BF"/>
      <w:szCs w:val="20"/>
    </w:rPr>
  </w:style>
  <w:style w:type="character" w:customStyle="1" w:styleId="Cmsor9Char">
    <w:name w:val="Címsor 9 Char"/>
    <w:basedOn w:val="Bekezdsalapbettpusa"/>
    <w:link w:val="Cmsor9"/>
    <w:uiPriority w:val="9"/>
    <w:semiHidden/>
    <w:rsid w:val="00FC0541"/>
    <w:rPr>
      <w:rFonts w:ascii="Calibri" w:eastAsiaTheme="majorEastAsia" w:hAnsi="Calibri" w:cstheme="majorBidi"/>
      <w:i/>
      <w:iCs/>
      <w:color w:val="404040" w:themeColor="text1" w:themeTint="BF"/>
      <w:szCs w:val="20"/>
    </w:rPr>
  </w:style>
  <w:style w:type="numbering" w:customStyle="1" w:styleId="Style1">
    <w:name w:val="Style1"/>
    <w:uiPriority w:val="99"/>
    <w:rsid w:val="00FC0541"/>
    <w:pPr>
      <w:numPr>
        <w:numId w:val="1"/>
      </w:numPr>
    </w:pPr>
  </w:style>
  <w:style w:type="paragraph" w:styleId="TJ7">
    <w:name w:val="toc 7"/>
    <w:basedOn w:val="Norml"/>
    <w:next w:val="Norml"/>
    <w:autoRedefine/>
    <w:uiPriority w:val="99"/>
    <w:semiHidden/>
    <w:locked/>
    <w:rsid w:val="00FC0541"/>
    <w:pPr>
      <w:spacing w:after="100"/>
      <w:ind w:left="1200"/>
    </w:pPr>
    <w:rPr>
      <w:color w:val="295A7E" w:themeColor="accent6" w:themeShade="80"/>
    </w:rPr>
  </w:style>
  <w:style w:type="paragraph" w:styleId="TJ8">
    <w:name w:val="toc 8"/>
    <w:basedOn w:val="Norml"/>
    <w:next w:val="Norml"/>
    <w:autoRedefine/>
    <w:uiPriority w:val="99"/>
    <w:semiHidden/>
    <w:locked/>
    <w:rsid w:val="00FC0541"/>
    <w:pPr>
      <w:spacing w:after="100"/>
      <w:ind w:left="1400"/>
    </w:pPr>
    <w:rPr>
      <w:color w:val="295A7E" w:themeColor="accent6" w:themeShade="80"/>
    </w:rPr>
  </w:style>
  <w:style w:type="paragraph" w:styleId="TJ9">
    <w:name w:val="toc 9"/>
    <w:basedOn w:val="Norml"/>
    <w:next w:val="Norml"/>
    <w:autoRedefine/>
    <w:uiPriority w:val="99"/>
    <w:semiHidden/>
    <w:locked/>
    <w:rsid w:val="00FC0541"/>
    <w:pPr>
      <w:spacing w:after="100"/>
      <w:ind w:left="1600"/>
    </w:pPr>
    <w:rPr>
      <w:color w:val="295A7E" w:themeColor="accent6" w:themeShade="80"/>
    </w:rPr>
  </w:style>
  <w:style w:type="table" w:customStyle="1" w:styleId="Calendar2">
    <w:name w:val="Calendar 2"/>
    <w:basedOn w:val="Normltblzat"/>
    <w:uiPriority w:val="99"/>
    <w:qFormat/>
    <w:rsid w:val="00FC0541"/>
    <w:pPr>
      <w:jc w:val="center"/>
    </w:pPr>
    <w:rPr>
      <w:rFonts w:ascii="Calibri" w:eastAsiaTheme="minorEastAsia" w:hAnsi="Calibri"/>
      <w:szCs w:val="28"/>
      <w:lang w:val="en-US" w:eastAsia="en-US" w:bidi="en-US"/>
    </w:rPr>
    <w:tblPr>
      <w:tblBorders>
        <w:insideV w:val="single" w:sz="4" w:space="0" w:color="D7A851" w:themeColor="accent1" w:themeTint="99"/>
      </w:tblBorders>
    </w:tblPr>
    <w:tblStylePr w:type="firstRow">
      <w:rPr>
        <w:rFonts w:asciiTheme="majorHAnsi" w:eastAsiaTheme="majorEastAsia" w:hAnsiTheme="majorHAnsi" w:cstheme="majorBidi"/>
        <w:caps/>
        <w:color w:val="7E5C1D"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aliases w:val="lábléc,Footnote Text Char1 Char,Footnote Text Char Char Char,lábléc Char Char Char,lábléc Char1 Char,Footnote Text Char1,Footnote Text Char Char,lábléc Char Char,lábléc Char1,lábléc Char,fn,Footnote,Fußnote"/>
    <w:basedOn w:val="Norml"/>
    <w:link w:val="LbjegyzetszvegChar"/>
    <w:uiPriority w:val="99"/>
    <w:unhideWhenUsed/>
    <w:qFormat/>
    <w:rsid w:val="00FC0541"/>
    <w:rPr>
      <w:rFonts w:eastAsiaTheme="minorEastAsia"/>
      <w:color w:val="898D8D" w:themeColor="text2"/>
      <w:sz w:val="16"/>
    </w:rPr>
  </w:style>
  <w:style w:type="character" w:customStyle="1" w:styleId="LbjegyzetszvegChar">
    <w:name w:val="Lábjegyzetszöveg Char"/>
    <w:aliases w:val="lábléc Char2,Footnote Text Char1 Char Char,Footnote Text Char Char Char Char,lábléc Char Char Char Char,lábléc Char1 Char Char,Footnote Text Char1 Char1,Footnote Text Char Char Char1,lábléc Char Char Char1,lábléc Char1 Char1"/>
    <w:basedOn w:val="Bekezdsalapbettpusa"/>
    <w:link w:val="Lbjegyzetszveg"/>
    <w:uiPriority w:val="99"/>
    <w:rsid w:val="00FC0541"/>
    <w:rPr>
      <w:rFonts w:ascii="Calibri" w:eastAsiaTheme="minorEastAsia" w:hAnsi="Calibri"/>
      <w:color w:val="898D8D" w:themeColor="text2"/>
      <w:sz w:val="16"/>
      <w:szCs w:val="20"/>
    </w:rPr>
  </w:style>
  <w:style w:type="character" w:styleId="Finomkiemels">
    <w:name w:val="Subtle Emphasis"/>
    <w:basedOn w:val="Bekezdsalapbettpusa"/>
    <w:uiPriority w:val="19"/>
    <w:qFormat/>
    <w:rsid w:val="00FC0541"/>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FC0541"/>
    <w:rPr>
      <w:rFonts w:ascii="Calibri" w:eastAsiaTheme="minorEastAsia" w:hAnsi="Calibri"/>
      <w:color w:val="5E4415" w:themeColor="accent1" w:themeShade="BF"/>
      <w:szCs w:val="20"/>
      <w:lang w:eastAsia="en-US"/>
    </w:rPr>
    <w:tblPr>
      <w:tblStyleRowBandSize w:val="1"/>
      <w:tblStyleColBandSize w:val="1"/>
      <w:tblBorders>
        <w:top w:val="single" w:sz="8" w:space="0" w:color="7E5C1D" w:themeColor="accent1"/>
        <w:bottom w:val="single" w:sz="8" w:space="0" w:color="7E5C1D" w:themeColor="accent1"/>
      </w:tblBorders>
    </w:tblPr>
    <w:tblStylePr w:type="firstRow">
      <w:pPr>
        <w:spacing w:before="0" w:after="0" w:line="240" w:lineRule="auto"/>
      </w:pPr>
      <w:rPr>
        <w:b/>
        <w:bCs/>
      </w:rPr>
      <w:tblPr/>
      <w:tcPr>
        <w:tcBorders>
          <w:top w:val="single" w:sz="8" w:space="0" w:color="7E5C1D" w:themeColor="accent1"/>
          <w:left w:val="nil"/>
          <w:bottom w:val="single" w:sz="8" w:space="0" w:color="7E5C1D" w:themeColor="accent1"/>
          <w:right w:val="nil"/>
          <w:insideH w:val="nil"/>
          <w:insideV w:val="nil"/>
        </w:tcBorders>
      </w:tcPr>
    </w:tblStylePr>
    <w:tblStylePr w:type="lastRow">
      <w:pPr>
        <w:spacing w:before="0" w:after="0" w:line="240" w:lineRule="auto"/>
      </w:pPr>
      <w:rPr>
        <w:b/>
        <w:bCs/>
      </w:rPr>
      <w:tblPr/>
      <w:tcPr>
        <w:tcBorders>
          <w:top w:val="single" w:sz="8" w:space="0" w:color="7E5C1D" w:themeColor="accent1"/>
          <w:left w:val="nil"/>
          <w:bottom w:val="single" w:sz="8" w:space="0" w:color="7E5C1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BB7" w:themeFill="accent1" w:themeFillTint="3F"/>
      </w:tcPr>
    </w:tblStylePr>
    <w:tblStylePr w:type="band1Horz">
      <w:tblPr/>
      <w:tcPr>
        <w:tcBorders>
          <w:left w:val="nil"/>
          <w:right w:val="nil"/>
          <w:insideH w:val="nil"/>
          <w:insideV w:val="nil"/>
        </w:tcBorders>
        <w:shd w:val="clear" w:color="auto" w:fill="EEDBB7" w:themeFill="accent1" w:themeFillTint="3F"/>
      </w:tcPr>
    </w:tblStylePr>
  </w:style>
  <w:style w:type="paragraph" w:styleId="Kpalrs">
    <w:name w:val="caption"/>
    <w:basedOn w:val="Norml"/>
    <w:next w:val="Norml"/>
    <w:uiPriority w:val="35"/>
    <w:unhideWhenUsed/>
    <w:qFormat/>
    <w:rsid w:val="00FC0541"/>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FC0541"/>
    <w:rPr>
      <w:color w:val="295A7E" w:themeColor="accent6" w:themeShade="80"/>
    </w:rPr>
  </w:style>
  <w:style w:type="character" w:customStyle="1" w:styleId="VgjegyzetszvegeChar">
    <w:name w:val="Végjegyzet szövege Char"/>
    <w:basedOn w:val="Bekezdsalapbettpusa"/>
    <w:link w:val="Vgjegyzetszvege"/>
    <w:uiPriority w:val="99"/>
    <w:semiHidden/>
    <w:rsid w:val="00FC0541"/>
    <w:rPr>
      <w:rFonts w:ascii="Calibri" w:hAnsi="Calibri"/>
      <w:color w:val="295A7E" w:themeColor="accent6" w:themeShade="80"/>
      <w:szCs w:val="20"/>
    </w:rPr>
  </w:style>
  <w:style w:type="table" w:customStyle="1" w:styleId="Vilgosrnykols1jellszn1">
    <w:name w:val="Világos árnyékolás – 1. jelölőszín1"/>
    <w:basedOn w:val="Normltblzat"/>
    <w:uiPriority w:val="60"/>
    <w:rsid w:val="00FC0541"/>
    <w:rPr>
      <w:rFonts w:ascii="Calibri" w:hAnsi="Calibri"/>
      <w:color w:val="5E4415" w:themeColor="accent1" w:themeShade="BF"/>
      <w:szCs w:val="20"/>
    </w:rPr>
    <w:tblPr>
      <w:tblStyleRowBandSize w:val="1"/>
      <w:tblStyleColBandSize w:val="1"/>
      <w:tblBorders>
        <w:top w:val="single" w:sz="8" w:space="0" w:color="7E5C1D" w:themeColor="accent1"/>
        <w:bottom w:val="single" w:sz="8" w:space="0" w:color="7E5C1D" w:themeColor="accent1"/>
      </w:tblBorders>
    </w:tblPr>
    <w:tblStylePr w:type="firstRow">
      <w:pPr>
        <w:spacing w:before="0" w:after="0" w:line="240" w:lineRule="auto"/>
      </w:pPr>
      <w:rPr>
        <w:b/>
        <w:bCs/>
      </w:rPr>
      <w:tblPr/>
      <w:tcPr>
        <w:tcBorders>
          <w:top w:val="single" w:sz="8" w:space="0" w:color="7E5C1D" w:themeColor="accent1"/>
          <w:left w:val="nil"/>
          <w:bottom w:val="single" w:sz="8" w:space="0" w:color="7E5C1D" w:themeColor="accent1"/>
          <w:right w:val="nil"/>
          <w:insideH w:val="nil"/>
          <w:insideV w:val="nil"/>
        </w:tcBorders>
      </w:tcPr>
    </w:tblStylePr>
    <w:tblStylePr w:type="lastRow">
      <w:pPr>
        <w:spacing w:before="0" w:after="0" w:line="240" w:lineRule="auto"/>
      </w:pPr>
      <w:rPr>
        <w:b/>
        <w:bCs/>
      </w:rPr>
      <w:tblPr/>
      <w:tcPr>
        <w:tcBorders>
          <w:top w:val="single" w:sz="8" w:space="0" w:color="7E5C1D" w:themeColor="accent1"/>
          <w:left w:val="nil"/>
          <w:bottom w:val="single" w:sz="8" w:space="0" w:color="7E5C1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BB7" w:themeFill="accent1" w:themeFillTint="3F"/>
      </w:tcPr>
    </w:tblStylePr>
    <w:tblStylePr w:type="band1Horz">
      <w:tblPr/>
      <w:tcPr>
        <w:tcBorders>
          <w:left w:val="nil"/>
          <w:right w:val="nil"/>
          <w:insideH w:val="nil"/>
          <w:insideV w:val="nil"/>
        </w:tcBorders>
        <w:shd w:val="clear" w:color="auto" w:fill="EEDBB7" w:themeFill="accent1" w:themeFillTint="3F"/>
      </w:tcPr>
    </w:tblStylePr>
  </w:style>
  <w:style w:type="paragraph" w:customStyle="1" w:styleId="Listaszerbekezds2">
    <w:name w:val="Listaszerű bekezdés 2"/>
    <w:basedOn w:val="Listaszerbekezds"/>
    <w:link w:val="Listaszerbekezds2Char"/>
    <w:uiPriority w:val="4"/>
    <w:qFormat/>
    <w:rsid w:val="00FC0541"/>
    <w:pPr>
      <w:numPr>
        <w:numId w:val="5"/>
      </w:numPr>
    </w:pPr>
  </w:style>
  <w:style w:type="paragraph" w:customStyle="1" w:styleId="Tblaszvegstlus">
    <w:name w:val="Tábla szöveg stílus"/>
    <w:basedOn w:val="Norml"/>
    <w:link w:val="TblaszvegstlusChar"/>
    <w:uiPriority w:val="8"/>
    <w:qFormat/>
    <w:rsid w:val="00FC0541"/>
  </w:style>
  <w:style w:type="character" w:customStyle="1" w:styleId="ListaszerbekezdsChar">
    <w:name w:val="Listaszerű bekezdés Char"/>
    <w:basedOn w:val="Bekezdsalapbettpusa"/>
    <w:link w:val="Listaszerbekezds"/>
    <w:uiPriority w:val="4"/>
    <w:rsid w:val="00FC0541"/>
    <w:rPr>
      <w:rFonts w:ascii="Calibri" w:hAnsi="Calibri"/>
      <w:szCs w:val="20"/>
    </w:rPr>
  </w:style>
  <w:style w:type="character" w:customStyle="1" w:styleId="Listaszerbekezds2Char">
    <w:name w:val="Listaszerű bekezdés 2 Char"/>
    <w:basedOn w:val="ListaszerbekezdsChar"/>
    <w:link w:val="Listaszerbekezds2"/>
    <w:uiPriority w:val="4"/>
    <w:rsid w:val="00FC0541"/>
    <w:rPr>
      <w:rFonts w:ascii="Calibri" w:hAnsi="Calibri"/>
      <w:szCs w:val="20"/>
    </w:rPr>
  </w:style>
  <w:style w:type="character" w:customStyle="1" w:styleId="TblaszvegstlusChar">
    <w:name w:val="Tábla szöveg stílus Char"/>
    <w:basedOn w:val="Bekezdsalapbettpusa"/>
    <w:link w:val="Tblaszvegstlus"/>
    <w:uiPriority w:val="8"/>
    <w:rsid w:val="00FC0541"/>
    <w:rPr>
      <w:rFonts w:ascii="Calibri" w:hAnsi="Calibri"/>
      <w:szCs w:val="20"/>
    </w:rPr>
  </w:style>
  <w:style w:type="character" w:styleId="Finomhivatkozs">
    <w:name w:val="Subtle Reference"/>
    <w:basedOn w:val="Bekezdsalapbettpusa"/>
    <w:uiPriority w:val="31"/>
    <w:rsid w:val="00FC0541"/>
    <w:rPr>
      <w:sz w:val="24"/>
      <w:szCs w:val="24"/>
      <w:u w:val="single"/>
    </w:rPr>
  </w:style>
  <w:style w:type="character" w:styleId="Ershivatkozs">
    <w:name w:val="Intense Reference"/>
    <w:basedOn w:val="Bekezdsalapbettpusa"/>
    <w:uiPriority w:val="32"/>
    <w:rsid w:val="00FC0541"/>
    <w:rPr>
      <w:b/>
      <w:sz w:val="24"/>
      <w:u w:val="single"/>
    </w:rPr>
  </w:style>
  <w:style w:type="paragraph" w:customStyle="1" w:styleId="Listaszerbekezds2szint">
    <w:name w:val="Listaszerű bekezdés 2. szint"/>
    <w:basedOn w:val="Listaszerbekezds"/>
    <w:link w:val="Listaszerbekezds2szintChar"/>
    <w:uiPriority w:val="4"/>
    <w:qFormat/>
    <w:rsid w:val="00FC0541"/>
    <w:pPr>
      <w:numPr>
        <w:numId w:val="8"/>
      </w:numPr>
    </w:pPr>
  </w:style>
  <w:style w:type="paragraph" w:customStyle="1" w:styleId="Listaszerbekezds3szint">
    <w:name w:val="Listaszerű bekezdés 3. szint"/>
    <w:basedOn w:val="Listaszerbekezds"/>
    <w:link w:val="Listaszerbekezds3szintChar"/>
    <w:uiPriority w:val="4"/>
    <w:qFormat/>
    <w:rsid w:val="00FC0541"/>
    <w:pPr>
      <w:numPr>
        <w:ilvl w:val="2"/>
        <w:numId w:val="16"/>
      </w:numPr>
    </w:pPr>
  </w:style>
  <w:style w:type="character" w:customStyle="1" w:styleId="Listaszerbekezds2szintChar">
    <w:name w:val="Listaszerű bekezdés 2. szint Char"/>
    <w:basedOn w:val="ListaszerbekezdsChar"/>
    <w:link w:val="Listaszerbekezds2szint"/>
    <w:uiPriority w:val="4"/>
    <w:rsid w:val="00FC0541"/>
    <w:rPr>
      <w:rFonts w:ascii="Calibri" w:hAnsi="Calibri"/>
      <w:szCs w:val="20"/>
    </w:rPr>
  </w:style>
  <w:style w:type="character" w:customStyle="1" w:styleId="Listaszerbekezds3szintChar">
    <w:name w:val="Listaszerű bekezdés 3. szint Char"/>
    <w:basedOn w:val="ListaszerbekezdsChar"/>
    <w:link w:val="Listaszerbekezds3szint"/>
    <w:uiPriority w:val="4"/>
    <w:rsid w:val="00FC0541"/>
    <w:rPr>
      <w:rFonts w:ascii="Calibri" w:hAnsi="Calibri"/>
      <w:szCs w:val="20"/>
    </w:rPr>
  </w:style>
  <w:style w:type="paragraph" w:styleId="Alcm">
    <w:name w:val="Subtitle"/>
    <w:basedOn w:val="Norml"/>
    <w:next w:val="Norml"/>
    <w:link w:val="AlcmChar"/>
    <w:uiPriority w:val="11"/>
    <w:rsid w:val="00FC0541"/>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FC0541"/>
    <w:rPr>
      <w:rFonts w:ascii="Calibri" w:eastAsiaTheme="majorEastAsia" w:hAnsi="Calibri" w:cstheme="majorBidi"/>
      <w:szCs w:val="20"/>
    </w:rPr>
  </w:style>
  <w:style w:type="paragraph" w:customStyle="1" w:styleId="Listabetvel">
    <w:name w:val="Lista betűvel"/>
    <w:basedOn w:val="Listaszerbekezds"/>
    <w:link w:val="ListabetvelChar"/>
    <w:uiPriority w:val="4"/>
    <w:qFormat/>
    <w:rsid w:val="00FC0541"/>
    <w:pPr>
      <w:numPr>
        <w:numId w:val="7"/>
      </w:numPr>
    </w:pPr>
  </w:style>
  <w:style w:type="character" w:customStyle="1" w:styleId="ListabetvelChar">
    <w:name w:val="Lista betűvel Char"/>
    <w:basedOn w:val="ListaszerbekezdsChar"/>
    <w:link w:val="Listabetvel"/>
    <w:uiPriority w:val="4"/>
    <w:rsid w:val="00FC0541"/>
    <w:rPr>
      <w:rFonts w:ascii="Calibri" w:hAnsi="Calibri"/>
      <w:szCs w:val="20"/>
    </w:rPr>
  </w:style>
  <w:style w:type="paragraph" w:customStyle="1" w:styleId="Erskiemels1">
    <w:name w:val="Erős kiemelés1"/>
    <w:basedOn w:val="Norml"/>
    <w:link w:val="ErskiemelsChar"/>
    <w:uiPriority w:val="5"/>
    <w:qFormat/>
    <w:rsid w:val="00FC0541"/>
    <w:rPr>
      <w:b/>
      <w:i/>
    </w:rPr>
  </w:style>
  <w:style w:type="character" w:customStyle="1" w:styleId="ErskiemelsChar">
    <w:name w:val="Erős kiemelés Char"/>
    <w:basedOn w:val="Bekezdsalapbettpusa"/>
    <w:link w:val="Erskiemels1"/>
    <w:uiPriority w:val="5"/>
    <w:rsid w:val="00FC0541"/>
    <w:rPr>
      <w:rFonts w:ascii="Calibri" w:hAnsi="Calibri"/>
      <w:b/>
      <w:i/>
      <w:szCs w:val="20"/>
    </w:rPr>
  </w:style>
  <w:style w:type="paragraph" w:customStyle="1" w:styleId="Bold">
    <w:name w:val="Bold"/>
    <w:basedOn w:val="Norml"/>
    <w:link w:val="BoldChar"/>
    <w:uiPriority w:val="6"/>
    <w:qFormat/>
    <w:rsid w:val="00FC0541"/>
    <w:rPr>
      <w:b/>
    </w:rPr>
  </w:style>
  <w:style w:type="character" w:customStyle="1" w:styleId="BoldChar">
    <w:name w:val="Bold Char"/>
    <w:basedOn w:val="Bekezdsalapbettpusa"/>
    <w:link w:val="Bold"/>
    <w:uiPriority w:val="6"/>
    <w:rsid w:val="00FC0541"/>
    <w:rPr>
      <w:rFonts w:ascii="Calibri" w:hAnsi="Calibri"/>
      <w:b/>
      <w:szCs w:val="20"/>
    </w:rPr>
  </w:style>
  <w:style w:type="character" w:styleId="Mrltotthiperhivatkozs">
    <w:name w:val="FollowedHyperlink"/>
    <w:basedOn w:val="Bekezdsalapbettpusa"/>
    <w:uiPriority w:val="99"/>
    <w:semiHidden/>
    <w:unhideWhenUsed/>
    <w:rsid w:val="00FC0541"/>
    <w:rPr>
      <w:color w:val="7BAFD4" w:themeColor="followedHyperlink"/>
      <w:u w:val="single"/>
    </w:rPr>
  </w:style>
  <w:style w:type="paragraph" w:styleId="Tartalomjegyzkcmsora">
    <w:name w:val="TOC Heading"/>
    <w:basedOn w:val="Cmsor1"/>
    <w:next w:val="Norml"/>
    <w:uiPriority w:val="39"/>
    <w:unhideWhenUsed/>
    <w:qFormat/>
    <w:rsid w:val="00FC0541"/>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FC0541"/>
    <w:pPr>
      <w:spacing w:after="100"/>
      <w:ind w:left="220"/>
      <w:jc w:val="left"/>
    </w:pPr>
    <w:rPr>
      <w:rFonts w:eastAsiaTheme="minorEastAsia"/>
    </w:rPr>
  </w:style>
  <w:style w:type="paragraph" w:styleId="TJ1">
    <w:name w:val="toc 1"/>
    <w:basedOn w:val="Norml"/>
    <w:next w:val="Norml"/>
    <w:autoRedefine/>
    <w:uiPriority w:val="39"/>
    <w:unhideWhenUsed/>
    <w:qFormat/>
    <w:locked/>
    <w:rsid w:val="00FC0541"/>
    <w:pPr>
      <w:spacing w:after="100"/>
      <w:jc w:val="left"/>
    </w:pPr>
    <w:rPr>
      <w:rFonts w:eastAsiaTheme="minorEastAsia"/>
    </w:rPr>
  </w:style>
  <w:style w:type="paragraph" w:styleId="TJ3">
    <w:name w:val="toc 3"/>
    <w:basedOn w:val="Norml"/>
    <w:next w:val="Norml"/>
    <w:uiPriority w:val="39"/>
    <w:unhideWhenUsed/>
    <w:qFormat/>
    <w:locked/>
    <w:rsid w:val="00FC0541"/>
    <w:pPr>
      <w:spacing w:after="100"/>
      <w:ind w:left="400"/>
    </w:pPr>
  </w:style>
  <w:style w:type="paragraph" w:customStyle="1" w:styleId="StyleTOC2Left015">
    <w:name w:val="Style TOC 2 + Left:  0.15&quot;"/>
    <w:basedOn w:val="TJ2"/>
    <w:rsid w:val="00FC0541"/>
    <w:pPr>
      <w:ind w:left="216"/>
    </w:pPr>
    <w:rPr>
      <w:rFonts w:eastAsia="Times New Roman" w:cs="Times New Roman"/>
    </w:rPr>
  </w:style>
  <w:style w:type="paragraph" w:customStyle="1" w:styleId="StyleTOC3Left031">
    <w:name w:val="Style TOC 3 + Left:  0.31&quot;"/>
    <w:basedOn w:val="TJ3"/>
    <w:rsid w:val="00FC0541"/>
    <w:pPr>
      <w:ind w:left="446"/>
    </w:pPr>
    <w:rPr>
      <w:rFonts w:eastAsia="Times New Roman" w:cs="Times New Roman"/>
    </w:rPr>
  </w:style>
  <w:style w:type="numbering" w:customStyle="1" w:styleId="Hierarchikuslista">
    <w:name w:val="Hierarchikus lista"/>
    <w:uiPriority w:val="99"/>
    <w:rsid w:val="00FC0541"/>
    <w:pPr>
      <w:numPr>
        <w:numId w:val="2"/>
      </w:numPr>
    </w:pPr>
  </w:style>
  <w:style w:type="paragraph" w:customStyle="1" w:styleId="HierarchikusLista0">
    <w:name w:val="Hierarchikus Lista"/>
    <w:basedOn w:val="Listaszerbekezds"/>
    <w:link w:val="HierarchikusListaChar"/>
    <w:qFormat/>
    <w:rsid w:val="00FC0541"/>
    <w:pPr>
      <w:numPr>
        <w:numId w:val="0"/>
      </w:numPr>
    </w:pPr>
  </w:style>
  <w:style w:type="character" w:customStyle="1" w:styleId="HierarchikusListaChar">
    <w:name w:val="Hierarchikus Lista Char"/>
    <w:basedOn w:val="ListaszerbekezdsChar"/>
    <w:link w:val="HierarchikusLista0"/>
    <w:rsid w:val="00FC0541"/>
    <w:rPr>
      <w:rFonts w:ascii="Calibri" w:hAnsi="Calibri"/>
      <w:szCs w:val="20"/>
    </w:rPr>
  </w:style>
  <w:style w:type="character" w:styleId="Kiemels2">
    <w:name w:val="Strong"/>
    <w:basedOn w:val="Bekezdsalapbettpusa"/>
    <w:uiPriority w:val="22"/>
    <w:rsid w:val="00FC0541"/>
    <w:rPr>
      <w:b/>
      <w:bCs/>
    </w:rPr>
  </w:style>
  <w:style w:type="character" w:styleId="Kiemels">
    <w:name w:val="Emphasis"/>
    <w:basedOn w:val="Bekezdsalapbettpusa"/>
    <w:uiPriority w:val="6"/>
    <w:qFormat/>
    <w:rsid w:val="00FC0541"/>
    <w:rPr>
      <w:i/>
      <w:iCs/>
    </w:rPr>
  </w:style>
  <w:style w:type="paragraph" w:styleId="Nincstrkz">
    <w:name w:val="No Spacing"/>
    <w:basedOn w:val="Norml"/>
    <w:uiPriority w:val="1"/>
    <w:rsid w:val="00FC0541"/>
    <w:rPr>
      <w:szCs w:val="32"/>
    </w:rPr>
  </w:style>
  <w:style w:type="paragraph" w:styleId="Idzet">
    <w:name w:val="Quote"/>
    <w:basedOn w:val="Norml"/>
    <w:next w:val="Norml"/>
    <w:link w:val="IdzetChar"/>
    <w:uiPriority w:val="29"/>
    <w:rsid w:val="00FC0541"/>
    <w:rPr>
      <w:i/>
    </w:rPr>
  </w:style>
  <w:style w:type="character" w:customStyle="1" w:styleId="IdzetChar">
    <w:name w:val="Idézet Char"/>
    <w:basedOn w:val="Bekezdsalapbettpusa"/>
    <w:link w:val="Idzet"/>
    <w:uiPriority w:val="29"/>
    <w:rsid w:val="00FC0541"/>
    <w:rPr>
      <w:rFonts w:ascii="Calibri" w:hAnsi="Calibri"/>
      <w:i/>
      <w:szCs w:val="20"/>
    </w:rPr>
  </w:style>
  <w:style w:type="paragraph" w:styleId="Kiemeltidzet">
    <w:name w:val="Intense Quote"/>
    <w:basedOn w:val="Norml"/>
    <w:next w:val="Norml"/>
    <w:link w:val="KiemeltidzetChar"/>
    <w:uiPriority w:val="30"/>
    <w:rsid w:val="00FC0541"/>
    <w:pPr>
      <w:ind w:left="720" w:right="720"/>
    </w:pPr>
    <w:rPr>
      <w:b/>
      <w:i/>
    </w:rPr>
  </w:style>
  <w:style w:type="character" w:customStyle="1" w:styleId="KiemeltidzetChar">
    <w:name w:val="Kiemelt idézet Char"/>
    <w:basedOn w:val="Bekezdsalapbettpusa"/>
    <w:link w:val="Kiemeltidzet"/>
    <w:uiPriority w:val="30"/>
    <w:rsid w:val="00FC0541"/>
    <w:rPr>
      <w:rFonts w:ascii="Calibri" w:hAnsi="Calibri"/>
      <w:b/>
      <w:i/>
      <w:szCs w:val="20"/>
    </w:rPr>
  </w:style>
  <w:style w:type="character" w:styleId="Erskiemels">
    <w:name w:val="Intense Emphasis"/>
    <w:basedOn w:val="Bekezdsalapbettpusa"/>
    <w:uiPriority w:val="21"/>
    <w:rsid w:val="00FC0541"/>
    <w:rPr>
      <w:b/>
      <w:i/>
      <w:sz w:val="24"/>
      <w:szCs w:val="24"/>
      <w:u w:val="single"/>
    </w:rPr>
  </w:style>
  <w:style w:type="character" w:styleId="Knyvcme">
    <w:name w:val="Book Title"/>
    <w:basedOn w:val="Bekezdsalapbettpusa"/>
    <w:uiPriority w:val="33"/>
    <w:rsid w:val="00FC0541"/>
    <w:rPr>
      <w:rFonts w:ascii="Calibri" w:eastAsiaTheme="majorEastAsia" w:hAnsi="Calibri"/>
      <w:b/>
      <w:i/>
      <w:sz w:val="24"/>
      <w:szCs w:val="24"/>
    </w:rPr>
  </w:style>
  <w:style w:type="paragraph" w:customStyle="1" w:styleId="Szvegdobozstlus">
    <w:name w:val="Szövegdoboz stílus"/>
    <w:basedOn w:val="HierarchikusLista0"/>
    <w:qFormat/>
    <w:rsid w:val="00FC0541"/>
    <w:rPr>
      <w:b/>
      <w:i/>
      <w:color w:val="009EE0"/>
    </w:rPr>
  </w:style>
  <w:style w:type="table" w:customStyle="1" w:styleId="Rcsos">
    <w:name w:val="Rácsos"/>
    <w:basedOn w:val="Normltblzat"/>
    <w:uiPriority w:val="99"/>
    <w:rsid w:val="00FC0541"/>
    <w:rPr>
      <w:rFonts w:asciiTheme="majorHAnsi" w:hAnsiTheme="majorHAnsi"/>
      <w:color w:val="202653" w:themeColor="accent5"/>
      <w:szCs w:val="20"/>
    </w:rPr>
    <w:tblPr>
      <w:tblStyleRowBandSize w:val="1"/>
      <w:tblStyleColBandSize w:val="1"/>
      <w:tblBorders>
        <w:top w:val="single" w:sz="4" w:space="0" w:color="202653" w:themeColor="accent5"/>
        <w:left w:val="single" w:sz="4" w:space="0" w:color="202653" w:themeColor="accent5"/>
        <w:bottom w:val="single" w:sz="48" w:space="0" w:color="202653" w:themeColor="accent5"/>
        <w:right w:val="single" w:sz="4" w:space="0" w:color="202653" w:themeColor="accent5"/>
        <w:insideV w:val="single" w:sz="4" w:space="0" w:color="202653" w:themeColor="accent5"/>
      </w:tblBorders>
    </w:tblPr>
    <w:tcPr>
      <w:shd w:val="clear" w:color="auto" w:fill="auto"/>
      <w:tcMar>
        <w:top w:w="170" w:type="dxa"/>
      </w:tcMar>
      <w:vAlign w:val="center"/>
    </w:tcPr>
    <w:tblStylePr w:type="firstRow">
      <w:rPr>
        <w:rFonts w:asciiTheme="majorHAnsi" w:hAnsiTheme="majorHAnsi"/>
        <w:b w:val="0"/>
        <w:i w:val="0"/>
        <w:color w:val="202653" w:themeColor="accent5"/>
        <w:sz w:val="36"/>
      </w:rPr>
      <w:tblPr/>
      <w:tcPr>
        <w:tcBorders>
          <w:top w:val="single" w:sz="8" w:space="0" w:color="202653" w:themeColor="accent5"/>
          <w:left w:val="single" w:sz="8" w:space="0" w:color="202653" w:themeColor="accent5"/>
          <w:bottom w:val="single" w:sz="24" w:space="0" w:color="202653" w:themeColor="accent5"/>
          <w:right w:val="single" w:sz="8" w:space="0" w:color="202653" w:themeColor="accent5"/>
          <w:insideH w:val="nil"/>
          <w:insideV w:val="nil"/>
          <w:tl2br w:val="nil"/>
          <w:tr2bl w:val="nil"/>
        </w:tcBorders>
        <w:shd w:val="clear" w:color="auto" w:fill="AC9F70" w:themeFill="background2"/>
      </w:tcPr>
    </w:tblStylePr>
    <w:tblStylePr w:type="band2Horz">
      <w:tblPr/>
      <w:tcPr>
        <w:shd w:val="clear" w:color="auto" w:fill="CDC5A9" w:themeFill="background2" w:themeFillTint="99"/>
      </w:tcPr>
    </w:tblStylePr>
  </w:style>
  <w:style w:type="character" w:styleId="Lbjegyzet-hivatkozs">
    <w:name w:val="footnote reference"/>
    <w:aliases w:val="Footnote Reference Number,Footnote Reference_LVL6,Footnote Reference_LVL61,Footnote Reference_LVL62,Footnote Reference_LVL63,Footnote Reference_LVL64, Char1,Char1,C26 Footnote Number,Footnote Reference_LVL65,Footnote symbol"/>
    <w:basedOn w:val="Bekezdsalapbettpusa"/>
    <w:uiPriority w:val="99"/>
    <w:unhideWhenUsed/>
    <w:rsid w:val="00946626"/>
    <w:rPr>
      <w:vertAlign w:val="superscript"/>
    </w:rPr>
  </w:style>
  <w:style w:type="paragraph" w:customStyle="1" w:styleId="Erskiemels2">
    <w:name w:val="Erős kiemelés2"/>
    <w:basedOn w:val="Norml"/>
    <w:uiPriority w:val="5"/>
    <w:qFormat/>
    <w:rsid w:val="004F2BCE"/>
    <w:rPr>
      <w:b/>
      <w:i/>
    </w:rPr>
  </w:style>
  <w:style w:type="paragraph" w:styleId="NormlWeb">
    <w:name w:val="Normal (Web)"/>
    <w:basedOn w:val="Norml"/>
    <w:uiPriority w:val="99"/>
    <w:semiHidden/>
    <w:unhideWhenUsed/>
    <w:rsid w:val="007379C0"/>
    <w:pPr>
      <w:spacing w:before="100" w:beforeAutospacing="1" w:after="100" w:afterAutospacing="1" w:line="240" w:lineRule="auto"/>
    </w:pPr>
    <w:rPr>
      <w:rFonts w:ascii="Times New Roman" w:eastAsia="Times New Roman" w:hAnsi="Times New Roman" w:cs="Times New Roman"/>
      <w:szCs w:val="24"/>
    </w:rPr>
  </w:style>
  <w:style w:type="paragraph" w:customStyle="1" w:styleId="Erskiemels3">
    <w:name w:val="Erős kiemelés3"/>
    <w:basedOn w:val="Norml"/>
    <w:uiPriority w:val="5"/>
    <w:qFormat/>
    <w:rsid w:val="007E2075"/>
    <w:rPr>
      <w:b/>
      <w:i/>
    </w:rPr>
  </w:style>
  <w:style w:type="paragraph" w:customStyle="1" w:styleId="Erskiemels4">
    <w:name w:val="Erős kiemelés4"/>
    <w:basedOn w:val="Norml"/>
    <w:uiPriority w:val="5"/>
    <w:qFormat/>
    <w:rsid w:val="004E4F92"/>
    <w:rPr>
      <w:b/>
      <w:i/>
    </w:rPr>
  </w:style>
  <w:style w:type="paragraph" w:customStyle="1" w:styleId="ENBoxtitle">
    <w:name w:val="EN_Box_title"/>
    <w:basedOn w:val="Norml"/>
    <w:next w:val="Norml"/>
    <w:uiPriority w:val="1"/>
    <w:qFormat/>
    <w:rsid w:val="00FC0541"/>
    <w:pPr>
      <w:keepNext/>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FC0541"/>
    <w:pPr>
      <w:keepNext/>
      <w:spacing w:after="40"/>
      <w:jc w:val="center"/>
    </w:pPr>
    <w:rPr>
      <w:b/>
      <w:bCs/>
      <w:color w:val="808080"/>
      <w:szCs w:val="18"/>
    </w:rPr>
  </w:style>
  <w:style w:type="paragraph" w:customStyle="1" w:styleId="ENCaption2Col">
    <w:name w:val="EN_Caption_2Col"/>
    <w:basedOn w:val="Norml"/>
    <w:next w:val="Norml"/>
    <w:uiPriority w:val="1"/>
    <w:qFormat/>
    <w:rsid w:val="00FC0541"/>
    <w:pPr>
      <w:keepNext/>
      <w:spacing w:after="40"/>
      <w:jc w:val="left"/>
    </w:pPr>
    <w:rPr>
      <w:b/>
      <w:bCs/>
      <w:color w:val="808080"/>
      <w:szCs w:val="18"/>
    </w:rPr>
  </w:style>
  <w:style w:type="paragraph" w:customStyle="1" w:styleId="ENCaptionBox">
    <w:name w:val="EN_Caption_Box"/>
    <w:basedOn w:val="Norml"/>
    <w:next w:val="Norml"/>
    <w:uiPriority w:val="1"/>
    <w:qFormat/>
    <w:rsid w:val="00FC0541"/>
    <w:pPr>
      <w:keepNext/>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FC0541"/>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FC0541"/>
    <w:pPr>
      <w:keepNext/>
      <w:pageBreakBefore/>
      <w:spacing w:before="480" w:after="210"/>
      <w:ind w:left="227" w:hanging="227"/>
    </w:pPr>
    <w:rPr>
      <w:caps/>
      <w:color w:val="898D8D" w:themeColor="text2"/>
    </w:rPr>
  </w:style>
  <w:style w:type="paragraph" w:customStyle="1" w:styleId="ENFootnote">
    <w:name w:val="EN_Footnote"/>
    <w:basedOn w:val="Norml"/>
    <w:uiPriority w:val="1"/>
    <w:qFormat/>
    <w:rsid w:val="00FC0541"/>
    <w:rPr>
      <w:rFonts w:eastAsiaTheme="minorEastAsia"/>
      <w:color w:val="808080"/>
      <w:sz w:val="18"/>
    </w:rPr>
  </w:style>
  <w:style w:type="paragraph" w:customStyle="1" w:styleId="ENNormal">
    <w:name w:val="EN_Normal"/>
    <w:basedOn w:val="Norml"/>
    <w:uiPriority w:val="1"/>
    <w:qFormat/>
    <w:rsid w:val="00FC0541"/>
  </w:style>
  <w:style w:type="paragraph" w:customStyle="1" w:styleId="ENNormalBox">
    <w:name w:val="EN_Normal_Box"/>
    <w:basedOn w:val="Norml"/>
    <w:uiPriority w:val="1"/>
    <w:qFormat/>
    <w:rsid w:val="00FC0541"/>
    <w:pPr>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pPr>
  </w:style>
  <w:style w:type="paragraph" w:customStyle="1" w:styleId="ENNote1Col">
    <w:name w:val="EN_Note_1Col"/>
    <w:basedOn w:val="Norml"/>
    <w:next w:val="ENNormal"/>
    <w:uiPriority w:val="1"/>
    <w:qFormat/>
    <w:rsid w:val="00FC0541"/>
    <w:pPr>
      <w:keepLines/>
      <w:jc w:val="center"/>
    </w:pPr>
    <w:rPr>
      <w:color w:val="808080"/>
      <w:sz w:val="18"/>
    </w:rPr>
  </w:style>
  <w:style w:type="paragraph" w:customStyle="1" w:styleId="ENNote2Col">
    <w:name w:val="EN_Note_2Col"/>
    <w:basedOn w:val="Norml"/>
    <w:next w:val="ENNormal"/>
    <w:uiPriority w:val="1"/>
    <w:qFormat/>
    <w:rsid w:val="00FC0541"/>
    <w:pPr>
      <w:keepLines/>
    </w:pPr>
    <w:rPr>
      <w:color w:val="808080"/>
      <w:sz w:val="18"/>
    </w:rPr>
  </w:style>
  <w:style w:type="paragraph" w:customStyle="1" w:styleId="ENNoteBox">
    <w:name w:val="EN_Note_Box"/>
    <w:basedOn w:val="Norml"/>
    <w:next w:val="ENNormalBox"/>
    <w:uiPriority w:val="1"/>
    <w:qFormat/>
    <w:rsid w:val="00FC0541"/>
    <w:pPr>
      <w:keepLines/>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FC0541"/>
    <w:pPr>
      <w:keepNext/>
      <w:numPr>
        <w:ilvl w:val="1"/>
        <w:numId w:val="1"/>
      </w:numPr>
      <w:spacing w:before="210" w:after="75"/>
      <w:jc w:val="left"/>
      <w:outlineLvl w:val="1"/>
    </w:pPr>
    <w:rPr>
      <w:b/>
      <w:color w:val="898D8D" w:themeColor="text2"/>
      <w:szCs w:val="38"/>
    </w:rPr>
  </w:style>
  <w:style w:type="paragraph" w:customStyle="1" w:styleId="ENSubsectionTitle">
    <w:name w:val="EN_Subsection_Title"/>
    <w:basedOn w:val="Norml"/>
    <w:next w:val="ENNormal"/>
    <w:uiPriority w:val="1"/>
    <w:rsid w:val="00FC0541"/>
    <w:pPr>
      <w:keepNext/>
      <w:numPr>
        <w:ilvl w:val="2"/>
        <w:numId w:val="1"/>
      </w:numPr>
      <w:spacing w:before="75" w:after="75"/>
      <w:ind w:left="595" w:hanging="595"/>
      <w:jc w:val="left"/>
      <w:outlineLvl w:val="2"/>
    </w:pPr>
    <w:rPr>
      <w:bCs/>
      <w:color w:val="898D8D" w:themeColor="text2"/>
      <w:szCs w:val="34"/>
    </w:rPr>
  </w:style>
  <w:style w:type="paragraph" w:customStyle="1" w:styleId="HUBoxTitle">
    <w:name w:val="HU_Box_Title"/>
    <w:basedOn w:val="Kpalrs"/>
    <w:next w:val="Norml"/>
    <w:uiPriority w:val="1"/>
    <w:qFormat/>
    <w:rsid w:val="00FC0541"/>
    <w:pPr>
      <w:keepNext/>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FC0541"/>
    <w:pPr>
      <w:keepNext/>
      <w:spacing w:after="40"/>
      <w:jc w:val="center"/>
    </w:pPr>
    <w:rPr>
      <w:sz w:val="20"/>
    </w:rPr>
  </w:style>
  <w:style w:type="paragraph" w:customStyle="1" w:styleId="HUCaption2Col">
    <w:name w:val="HU_Caption_2Col"/>
    <w:basedOn w:val="Kpalrs"/>
    <w:next w:val="Norml"/>
    <w:uiPriority w:val="1"/>
    <w:qFormat/>
    <w:rsid w:val="00FC0541"/>
    <w:pPr>
      <w:keepNext/>
      <w:spacing w:after="40"/>
    </w:pPr>
    <w:rPr>
      <w:sz w:val="20"/>
    </w:rPr>
  </w:style>
  <w:style w:type="paragraph" w:customStyle="1" w:styleId="HUCaptionBox">
    <w:name w:val="HU_Caption_Box"/>
    <w:basedOn w:val="Kpalrs"/>
    <w:next w:val="Norml"/>
    <w:uiPriority w:val="1"/>
    <w:qFormat/>
    <w:rsid w:val="00FC0541"/>
    <w:pPr>
      <w:keepNext/>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FC0541"/>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FC0541"/>
    <w:rPr>
      <w:rFonts w:ascii="Calibri" w:eastAsiaTheme="majorEastAsia" w:hAnsi="Calibri"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FC0541"/>
    <w:pPr>
      <w:keepNext/>
      <w:pageBreakBefore/>
      <w:spacing w:before="480" w:after="210"/>
      <w:ind w:left="227" w:hanging="227"/>
    </w:pPr>
    <w:rPr>
      <w:caps/>
      <w:color w:val="898D8D" w:themeColor="text2"/>
    </w:rPr>
  </w:style>
  <w:style w:type="character" w:customStyle="1" w:styleId="HUChapterWithoutNumberingChar">
    <w:name w:val="HU_Chapter_Without_Numbering Char"/>
    <w:basedOn w:val="Bekezdsalapbettpusa"/>
    <w:link w:val="HUChapterWithoutNumbering"/>
    <w:uiPriority w:val="1"/>
    <w:rsid w:val="00FC0541"/>
    <w:rPr>
      <w:rFonts w:ascii="Calibri" w:hAnsi="Calibri"/>
      <w:caps/>
      <w:color w:val="898D8D" w:themeColor="text2"/>
      <w:szCs w:val="20"/>
    </w:rPr>
  </w:style>
  <w:style w:type="paragraph" w:customStyle="1" w:styleId="HUFootnote">
    <w:name w:val="HU_Footnote"/>
    <w:basedOn w:val="Lbjegyzetszveg"/>
    <w:uiPriority w:val="1"/>
    <w:qFormat/>
    <w:rsid w:val="00FC0541"/>
    <w:rPr>
      <w:color w:val="808080"/>
      <w:sz w:val="18"/>
    </w:rPr>
  </w:style>
  <w:style w:type="paragraph" w:customStyle="1" w:styleId="HUNormalBox">
    <w:name w:val="HU_Normal_Box"/>
    <w:basedOn w:val="Norml"/>
    <w:uiPriority w:val="1"/>
    <w:qFormat/>
    <w:rsid w:val="00FC0541"/>
    <w:pPr>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pPr>
  </w:style>
  <w:style w:type="paragraph" w:customStyle="1" w:styleId="HUNote1Col">
    <w:name w:val="HU_Note_1Col"/>
    <w:basedOn w:val="Norml"/>
    <w:next w:val="Norml"/>
    <w:uiPriority w:val="1"/>
    <w:qFormat/>
    <w:rsid w:val="00FC0541"/>
    <w:pPr>
      <w:keepLines/>
      <w:jc w:val="center"/>
    </w:pPr>
    <w:rPr>
      <w:color w:val="808080"/>
      <w:sz w:val="18"/>
    </w:rPr>
  </w:style>
  <w:style w:type="paragraph" w:customStyle="1" w:styleId="HUNote2Col">
    <w:name w:val="HU_Note_2Col"/>
    <w:basedOn w:val="Norml"/>
    <w:next w:val="Norml"/>
    <w:uiPriority w:val="1"/>
    <w:qFormat/>
    <w:rsid w:val="00FC0541"/>
    <w:pPr>
      <w:keepLines/>
    </w:pPr>
    <w:rPr>
      <w:color w:val="808080"/>
      <w:sz w:val="18"/>
    </w:rPr>
  </w:style>
  <w:style w:type="paragraph" w:customStyle="1" w:styleId="HUNoteBox">
    <w:name w:val="HU_Note_Box"/>
    <w:basedOn w:val="Norml"/>
    <w:next w:val="HUNormalBox"/>
    <w:link w:val="HUNoteBoxChar"/>
    <w:uiPriority w:val="1"/>
    <w:qFormat/>
    <w:rsid w:val="00FC0541"/>
    <w:pPr>
      <w:keepLines/>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FC0541"/>
    <w:rPr>
      <w:rFonts w:ascii="Calibri" w:hAnsi="Calibri"/>
      <w:color w:val="808080"/>
      <w:sz w:val="18"/>
      <w:szCs w:val="20"/>
      <w:shd w:val="clear" w:color="auto" w:fill="C6EEFF"/>
    </w:rPr>
  </w:style>
  <w:style w:type="paragraph" w:customStyle="1" w:styleId="HUSectionTitle">
    <w:name w:val="HU_Section_Title"/>
    <w:basedOn w:val="Cmsor2"/>
    <w:next w:val="Norml"/>
    <w:link w:val="HUSectionTitleChar"/>
    <w:uiPriority w:val="1"/>
    <w:rsid w:val="00FC0541"/>
    <w:pPr>
      <w:keepNext/>
    </w:pPr>
  </w:style>
  <w:style w:type="character" w:customStyle="1" w:styleId="HUSectionTitleChar">
    <w:name w:val="HU_Section_Title Char"/>
    <w:basedOn w:val="Cmsor2Char"/>
    <w:link w:val="HUSectionTitle"/>
    <w:uiPriority w:val="1"/>
    <w:rsid w:val="00FC0541"/>
    <w:rPr>
      <w:rFonts w:ascii="Calibri" w:hAnsi="Calibri"/>
      <w:b/>
      <w:color w:val="898D8D" w:themeColor="text2"/>
      <w:sz w:val="24"/>
      <w:szCs w:val="38"/>
    </w:rPr>
  </w:style>
  <w:style w:type="paragraph" w:customStyle="1" w:styleId="HUSubsectionTitle">
    <w:name w:val="HU_Subsection_Title"/>
    <w:basedOn w:val="Cmsor3"/>
    <w:next w:val="Norml"/>
    <w:link w:val="HUSubsectionTitleChar"/>
    <w:uiPriority w:val="1"/>
    <w:rsid w:val="00FC0541"/>
    <w:pPr>
      <w:keepNext/>
      <w:ind w:left="595" w:hanging="595"/>
    </w:pPr>
  </w:style>
  <w:style w:type="character" w:customStyle="1" w:styleId="HUSubsectionTitleChar">
    <w:name w:val="HU_Subsection_Title Char"/>
    <w:basedOn w:val="Cmsor3Char"/>
    <w:link w:val="HUSubsectionTitle"/>
    <w:uiPriority w:val="1"/>
    <w:rsid w:val="00FC0541"/>
    <w:rPr>
      <w:rFonts w:ascii="Calibri" w:hAnsi="Calibri"/>
      <w:bCs/>
      <w:color w:val="898D8D" w:themeColor="text2"/>
      <w:szCs w:val="34"/>
    </w:rPr>
  </w:style>
  <w:style w:type="paragraph" w:customStyle="1" w:styleId="Heading1Kiadvny">
    <w:name w:val="Heading 1 Kiadvány"/>
    <w:basedOn w:val="Cmsor1"/>
    <w:qFormat/>
    <w:rsid w:val="00FC0541"/>
    <w:rPr>
      <w:b w:val="0"/>
      <w:caps w:val="0"/>
      <w:sz w:val="52"/>
    </w:rPr>
  </w:style>
  <w:style w:type="character" w:styleId="Jegyzethivatkozs">
    <w:name w:val="annotation reference"/>
    <w:basedOn w:val="Bekezdsalapbettpusa"/>
    <w:uiPriority w:val="99"/>
    <w:semiHidden/>
    <w:unhideWhenUsed/>
    <w:rsid w:val="00FB1142"/>
    <w:rPr>
      <w:sz w:val="16"/>
      <w:szCs w:val="16"/>
    </w:rPr>
  </w:style>
  <w:style w:type="paragraph" w:styleId="Jegyzetszveg">
    <w:name w:val="annotation text"/>
    <w:basedOn w:val="Norml"/>
    <w:link w:val="JegyzetszvegChar"/>
    <w:uiPriority w:val="99"/>
    <w:unhideWhenUsed/>
    <w:rsid w:val="00FB1142"/>
    <w:pPr>
      <w:spacing w:line="240" w:lineRule="auto"/>
    </w:pPr>
  </w:style>
  <w:style w:type="character" w:customStyle="1" w:styleId="JegyzetszvegChar">
    <w:name w:val="Jegyzetszöveg Char"/>
    <w:basedOn w:val="Bekezdsalapbettpusa"/>
    <w:link w:val="Jegyzetszveg"/>
    <w:uiPriority w:val="99"/>
    <w:rsid w:val="00FB1142"/>
    <w:rPr>
      <w:rFonts w:ascii="Calibri" w:hAnsi="Calibri"/>
      <w:szCs w:val="20"/>
    </w:rPr>
  </w:style>
  <w:style w:type="paragraph" w:styleId="Megjegyzstrgya">
    <w:name w:val="annotation subject"/>
    <w:basedOn w:val="Jegyzetszveg"/>
    <w:next w:val="Jegyzetszveg"/>
    <w:link w:val="MegjegyzstrgyaChar"/>
    <w:uiPriority w:val="99"/>
    <w:semiHidden/>
    <w:unhideWhenUsed/>
    <w:rsid w:val="00FB1142"/>
    <w:rPr>
      <w:b/>
      <w:bCs/>
    </w:rPr>
  </w:style>
  <w:style w:type="character" w:customStyle="1" w:styleId="MegjegyzstrgyaChar">
    <w:name w:val="Megjegyzés tárgya Char"/>
    <w:basedOn w:val="JegyzetszvegChar"/>
    <w:link w:val="Megjegyzstrgya"/>
    <w:uiPriority w:val="99"/>
    <w:semiHidden/>
    <w:rsid w:val="00FB1142"/>
    <w:rPr>
      <w:rFonts w:ascii="Calibri" w:hAnsi="Calibri"/>
      <w:b/>
      <w:bCs/>
      <w:szCs w:val="20"/>
    </w:rPr>
  </w:style>
  <w:style w:type="paragraph" w:styleId="Vltozat">
    <w:name w:val="Revision"/>
    <w:hidden/>
    <w:uiPriority w:val="99"/>
    <w:semiHidden/>
    <w:rsid w:val="00D45E31"/>
    <w:rPr>
      <w:rFonts w:ascii="Calibri" w:hAnsi="Calibri"/>
      <w:szCs w:val="20"/>
    </w:rPr>
  </w:style>
  <w:style w:type="paragraph" w:customStyle="1" w:styleId="Erskiemels5">
    <w:name w:val="Erős kiemelés5"/>
    <w:basedOn w:val="Norml"/>
    <w:uiPriority w:val="5"/>
    <w:qFormat/>
    <w:rsid w:val="000342F9"/>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6765">
      <w:bodyDiv w:val="1"/>
      <w:marLeft w:val="0"/>
      <w:marRight w:val="0"/>
      <w:marTop w:val="0"/>
      <w:marBottom w:val="0"/>
      <w:divBdr>
        <w:top w:val="none" w:sz="0" w:space="0" w:color="auto"/>
        <w:left w:val="none" w:sz="0" w:space="0" w:color="auto"/>
        <w:bottom w:val="none" w:sz="0" w:space="0" w:color="auto"/>
        <w:right w:val="none" w:sz="0" w:space="0" w:color="auto"/>
      </w:divBdr>
    </w:div>
    <w:div w:id="227880949">
      <w:bodyDiv w:val="1"/>
      <w:marLeft w:val="0"/>
      <w:marRight w:val="0"/>
      <w:marTop w:val="0"/>
      <w:marBottom w:val="0"/>
      <w:divBdr>
        <w:top w:val="none" w:sz="0" w:space="0" w:color="auto"/>
        <w:left w:val="none" w:sz="0" w:space="0" w:color="auto"/>
        <w:bottom w:val="none" w:sz="0" w:space="0" w:color="auto"/>
        <w:right w:val="none" w:sz="0" w:space="0" w:color="auto"/>
      </w:divBdr>
    </w:div>
    <w:div w:id="443773730">
      <w:bodyDiv w:val="1"/>
      <w:marLeft w:val="0"/>
      <w:marRight w:val="0"/>
      <w:marTop w:val="0"/>
      <w:marBottom w:val="0"/>
      <w:divBdr>
        <w:top w:val="none" w:sz="0" w:space="0" w:color="auto"/>
        <w:left w:val="none" w:sz="0" w:space="0" w:color="auto"/>
        <w:bottom w:val="none" w:sz="0" w:space="0" w:color="auto"/>
        <w:right w:val="none" w:sz="0" w:space="0" w:color="auto"/>
      </w:divBdr>
    </w:div>
    <w:div w:id="674529047">
      <w:bodyDiv w:val="1"/>
      <w:marLeft w:val="0"/>
      <w:marRight w:val="0"/>
      <w:marTop w:val="0"/>
      <w:marBottom w:val="0"/>
      <w:divBdr>
        <w:top w:val="none" w:sz="0" w:space="0" w:color="auto"/>
        <w:left w:val="none" w:sz="0" w:space="0" w:color="auto"/>
        <w:bottom w:val="none" w:sz="0" w:space="0" w:color="auto"/>
        <w:right w:val="none" w:sz="0" w:space="0" w:color="auto"/>
      </w:divBdr>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856433408">
      <w:bodyDiv w:val="1"/>
      <w:marLeft w:val="0"/>
      <w:marRight w:val="0"/>
      <w:marTop w:val="0"/>
      <w:marBottom w:val="0"/>
      <w:divBdr>
        <w:top w:val="none" w:sz="0" w:space="0" w:color="auto"/>
        <w:left w:val="none" w:sz="0" w:space="0" w:color="auto"/>
        <w:bottom w:val="none" w:sz="0" w:space="0" w:color="auto"/>
        <w:right w:val="none" w:sz="0" w:space="0" w:color="auto"/>
      </w:divBdr>
    </w:div>
    <w:div w:id="979730348">
      <w:bodyDiv w:val="1"/>
      <w:marLeft w:val="0"/>
      <w:marRight w:val="0"/>
      <w:marTop w:val="0"/>
      <w:marBottom w:val="0"/>
      <w:divBdr>
        <w:top w:val="none" w:sz="0" w:space="0" w:color="auto"/>
        <w:left w:val="none" w:sz="0" w:space="0" w:color="auto"/>
        <w:bottom w:val="none" w:sz="0" w:space="0" w:color="auto"/>
        <w:right w:val="none" w:sz="0" w:space="0" w:color="auto"/>
      </w:divBdr>
    </w:div>
    <w:div w:id="1034845897">
      <w:bodyDiv w:val="1"/>
      <w:marLeft w:val="0"/>
      <w:marRight w:val="0"/>
      <w:marTop w:val="0"/>
      <w:marBottom w:val="0"/>
      <w:divBdr>
        <w:top w:val="none" w:sz="0" w:space="0" w:color="auto"/>
        <w:left w:val="none" w:sz="0" w:space="0" w:color="auto"/>
        <w:bottom w:val="none" w:sz="0" w:space="0" w:color="auto"/>
        <w:right w:val="none" w:sz="0" w:space="0" w:color="auto"/>
      </w:divBdr>
    </w:div>
    <w:div w:id="1415937280">
      <w:bodyDiv w:val="1"/>
      <w:marLeft w:val="0"/>
      <w:marRight w:val="0"/>
      <w:marTop w:val="0"/>
      <w:marBottom w:val="0"/>
      <w:divBdr>
        <w:top w:val="none" w:sz="0" w:space="0" w:color="auto"/>
        <w:left w:val="none" w:sz="0" w:space="0" w:color="auto"/>
        <w:bottom w:val="none" w:sz="0" w:space="0" w:color="auto"/>
        <w:right w:val="none" w:sz="0" w:space="0" w:color="auto"/>
      </w:divBdr>
    </w:div>
    <w:div w:id="1625308225">
      <w:bodyDiv w:val="1"/>
      <w:marLeft w:val="0"/>
      <w:marRight w:val="0"/>
      <w:marTop w:val="0"/>
      <w:marBottom w:val="0"/>
      <w:divBdr>
        <w:top w:val="none" w:sz="0" w:space="0" w:color="auto"/>
        <w:left w:val="none" w:sz="0" w:space="0" w:color="auto"/>
        <w:bottom w:val="none" w:sz="0" w:space="0" w:color="auto"/>
        <w:right w:val="none" w:sz="0" w:space="0" w:color="auto"/>
      </w:divBdr>
    </w:div>
    <w:div w:id="1633553534">
      <w:bodyDiv w:val="1"/>
      <w:marLeft w:val="0"/>
      <w:marRight w:val="0"/>
      <w:marTop w:val="0"/>
      <w:marBottom w:val="0"/>
      <w:divBdr>
        <w:top w:val="none" w:sz="0" w:space="0" w:color="auto"/>
        <w:left w:val="none" w:sz="0" w:space="0" w:color="auto"/>
        <w:bottom w:val="none" w:sz="0" w:space="0" w:color="auto"/>
        <w:right w:val="none" w:sz="0" w:space="0" w:color="auto"/>
      </w:divBdr>
    </w:div>
    <w:div w:id="1698235407">
      <w:bodyDiv w:val="1"/>
      <w:marLeft w:val="0"/>
      <w:marRight w:val="0"/>
      <w:marTop w:val="0"/>
      <w:marBottom w:val="0"/>
      <w:divBdr>
        <w:top w:val="none" w:sz="0" w:space="0" w:color="auto"/>
        <w:left w:val="none" w:sz="0" w:space="0" w:color="auto"/>
        <w:bottom w:val="none" w:sz="0" w:space="0" w:color="auto"/>
        <w:right w:val="none" w:sz="0" w:space="0" w:color="auto"/>
      </w:divBdr>
    </w:div>
    <w:div w:id="1794670275">
      <w:bodyDiv w:val="1"/>
      <w:marLeft w:val="0"/>
      <w:marRight w:val="0"/>
      <w:marTop w:val="0"/>
      <w:marBottom w:val="0"/>
      <w:divBdr>
        <w:top w:val="none" w:sz="0" w:space="0" w:color="auto"/>
        <w:left w:val="none" w:sz="0" w:space="0" w:color="auto"/>
        <w:bottom w:val="none" w:sz="0" w:space="0" w:color="auto"/>
        <w:right w:val="none" w:sz="0" w:space="0" w:color="auto"/>
      </w:divBdr>
    </w:div>
    <w:div w:id="1958291168">
      <w:bodyDiv w:val="1"/>
      <w:marLeft w:val="0"/>
      <w:marRight w:val="0"/>
      <w:marTop w:val="0"/>
      <w:marBottom w:val="0"/>
      <w:divBdr>
        <w:top w:val="none" w:sz="0" w:space="0" w:color="auto"/>
        <w:left w:val="none" w:sz="0" w:space="0" w:color="auto"/>
        <w:bottom w:val="none" w:sz="0" w:space="0" w:color="auto"/>
        <w:right w:val="none" w:sz="0" w:space="0" w:color="auto"/>
      </w:divBdr>
    </w:div>
    <w:div w:id="197737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NB téma">
  <a:themeElements>
    <a:clrScheme name="MNB_Theme_2">
      <a:dk1>
        <a:sysClr val="windowText" lastClr="000000"/>
      </a:dk1>
      <a:lt1>
        <a:sysClr val="window" lastClr="FFFFFF"/>
      </a:lt1>
      <a:dk2>
        <a:srgbClr val="898D8D"/>
      </a:dk2>
      <a:lt2>
        <a:srgbClr val="AC9F70"/>
      </a:lt2>
      <a:accent1>
        <a:srgbClr val="7E5C1D"/>
      </a:accent1>
      <a:accent2>
        <a:srgbClr val="E57200"/>
      </a:accent2>
      <a:accent3>
        <a:srgbClr val="CE0F69"/>
      </a:accent3>
      <a:accent4>
        <a:srgbClr val="8C4799"/>
      </a:accent4>
      <a:accent5>
        <a:srgbClr val="202653"/>
      </a:accent5>
      <a:accent6>
        <a:srgbClr val="7BAFD4"/>
      </a:accent6>
      <a:hlink>
        <a:srgbClr val="202653"/>
      </a:hlink>
      <a:folHlink>
        <a:srgbClr val="7BAFD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A6C006BD-5801-42B5-8D6E-A2257C84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2026-03-02T10:46:00Z</dcterms:created>
  <dcterms:modified xsi:type="dcterms:W3CDTF">2026-03-17T08:21:00Z</dcterms:modified>
</cp:coreProperties>
</file>