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99AF" w14:textId="77777777" w:rsidR="00046C1F" w:rsidRPr="0083048B" w:rsidRDefault="00046C1F" w:rsidP="00915585">
      <w:pPr>
        <w:widowControl w:val="0"/>
        <w:spacing w:after="0" w:line="240" w:lineRule="auto"/>
        <w:ind w:left="567" w:right="-20" w:hanging="283"/>
        <w:jc w:val="center"/>
        <w:rPr>
          <w:rFonts w:eastAsia="Calibri" w:cs="Calibri"/>
        </w:rPr>
      </w:pPr>
      <w:r w:rsidRPr="0083048B">
        <w:rPr>
          <w:rFonts w:eastAsia="Calibri" w:cs="Calibri"/>
          <w:b/>
          <w:bCs/>
          <w:lang w:val="en"/>
        </w:rPr>
        <w:t>LEGAL PROVISIONS AND STANDARDS PERTAINING TO SPECIFIC FINANCIAL SUBSECTORS</w:t>
      </w:r>
    </w:p>
    <w:p w14:paraId="49B0A903" w14:textId="77777777" w:rsidR="00046C1F" w:rsidRPr="0083048B" w:rsidRDefault="00046C1F" w:rsidP="00915585">
      <w:pPr>
        <w:widowControl w:val="0"/>
        <w:spacing w:before="8" w:after="0" w:line="280" w:lineRule="exact"/>
        <w:ind w:left="567" w:hanging="283"/>
        <w:rPr>
          <w:rFonts w:eastAsia="Calibri" w:cs="Times New Roman"/>
          <w:sz w:val="28"/>
          <w:szCs w:val="28"/>
        </w:rPr>
      </w:pPr>
    </w:p>
    <w:p w14:paraId="1950BB26" w14:textId="77777777" w:rsidR="00046C1F" w:rsidRPr="0083048B" w:rsidRDefault="00046C1F" w:rsidP="00FD56EE">
      <w:pPr>
        <w:widowControl w:val="0"/>
        <w:numPr>
          <w:ilvl w:val="0"/>
          <w:numId w:val="9"/>
        </w:numPr>
        <w:spacing w:after="0" w:line="240" w:lineRule="auto"/>
        <w:ind w:left="567" w:right="6487" w:hanging="283"/>
        <w:contextualSpacing/>
        <w:rPr>
          <w:rFonts w:eastAsia="Calibri" w:cs="Calibri"/>
        </w:rPr>
      </w:pPr>
      <w:r w:rsidRPr="0083048B">
        <w:rPr>
          <w:rFonts w:eastAsia="Calibri" w:cs="Calibri"/>
          <w:b/>
          <w:bCs/>
          <w:lang w:val="en"/>
        </w:rPr>
        <w:t>COMMON REGULATIONS</w:t>
      </w:r>
    </w:p>
    <w:p w14:paraId="4928593A" w14:textId="77777777" w:rsidR="00046C1F" w:rsidRPr="0083048B" w:rsidRDefault="00046C1F" w:rsidP="00915585">
      <w:pPr>
        <w:widowControl w:val="0"/>
        <w:spacing w:before="3" w:after="0" w:line="240" w:lineRule="exact"/>
        <w:ind w:left="567" w:hanging="283"/>
        <w:rPr>
          <w:rFonts w:eastAsia="Calibri" w:cs="Times New Roman"/>
          <w:sz w:val="24"/>
          <w:szCs w:val="24"/>
        </w:rPr>
      </w:pPr>
    </w:p>
    <w:p w14:paraId="2BF3D74B" w14:textId="77777777" w:rsidR="00046C1F" w:rsidRPr="0083048B" w:rsidRDefault="00046C1F" w:rsidP="00625B46">
      <w:pPr>
        <w:widowControl w:val="0"/>
        <w:spacing w:after="0" w:line="240" w:lineRule="auto"/>
        <w:ind w:left="284" w:right="80"/>
        <w:rPr>
          <w:rFonts w:eastAsia="Calibri" w:cs="Calibri"/>
        </w:rPr>
      </w:pPr>
      <w:r w:rsidRPr="0083048B">
        <w:rPr>
          <w:rFonts w:eastAsia="Calibri" w:cs="Calibri"/>
          <w:lang w:val="en"/>
        </w:rPr>
        <w:t>Pursuant to Section 42 of Act CCXXXVII of 2013 on Credit Institutions and Financial Enterprises (</w:t>
      </w:r>
      <w:r w:rsidRPr="0083048B">
        <w:rPr>
          <w:rFonts w:eastAsia="Calibri" w:cs="Calibri"/>
          <w:b/>
          <w:bCs/>
          <w:lang w:val="en"/>
        </w:rPr>
        <w:t>Credit Institutions Act)</w:t>
      </w:r>
      <w:r w:rsidRPr="0083048B">
        <w:rPr>
          <w:rFonts w:eastAsia="Calibri" w:cs="Calibri"/>
          <w:lang w:val="en"/>
        </w:rPr>
        <w:t>, Section 26 of Act CCXXXV of 2013 on Certain Payment Service Providers (</w:t>
      </w:r>
      <w:r w:rsidRPr="0083048B">
        <w:rPr>
          <w:rFonts w:eastAsia="Calibri" w:cs="Calibri"/>
          <w:b/>
          <w:bCs/>
          <w:lang w:val="en"/>
        </w:rPr>
        <w:t>Payment Service Provider Act</w:t>
      </w:r>
      <w:r w:rsidRPr="0083048B">
        <w:rPr>
          <w:rFonts w:eastAsia="Calibri" w:cs="Calibri"/>
          <w:lang w:val="en"/>
        </w:rPr>
        <w:t>), Section 283 (1), Sections 286 and 423 of Act LXXXVIII of 2014 on the Business of Insurance (</w:t>
      </w:r>
      <w:r w:rsidRPr="0083048B">
        <w:rPr>
          <w:rFonts w:eastAsia="Calibri" w:cs="Calibri"/>
          <w:b/>
          <w:bCs/>
          <w:lang w:val="en"/>
        </w:rPr>
        <w:t>Insurance Act</w:t>
      </w:r>
      <w:r w:rsidRPr="0083048B">
        <w:rPr>
          <w:rFonts w:eastAsia="Calibri" w:cs="Calibri"/>
          <w:lang w:val="en"/>
        </w:rPr>
        <w:t>), Sections 171-173/A and Section 174 of Act CXXXVIII of 2007 on Investment Firms and Commodity Dealers, and on the Regulations Governing their Activities (</w:t>
      </w:r>
      <w:r w:rsidRPr="0083048B">
        <w:rPr>
          <w:rFonts w:eastAsia="Calibri" w:cs="Calibri"/>
          <w:b/>
          <w:bCs/>
          <w:lang w:val="en"/>
        </w:rPr>
        <w:t>Investment Firms Act</w:t>
      </w:r>
      <w:r w:rsidRPr="0083048B">
        <w:rPr>
          <w:rFonts w:eastAsia="Calibri" w:cs="Calibri"/>
          <w:lang w:val="en"/>
        </w:rPr>
        <w:t>), Sections 172-173 and Sections 177-178 of Act XVI of 2014 on Collective Investment Trusts and Their Managers, and on the Amendment of Financial Regulations (</w:t>
      </w:r>
      <w:r w:rsidRPr="0083048B">
        <w:rPr>
          <w:rFonts w:eastAsia="Calibri" w:cs="Calibri"/>
          <w:b/>
          <w:bCs/>
          <w:lang w:val="en"/>
        </w:rPr>
        <w:t>Collective Investment Trust Act</w:t>
      </w:r>
      <w:r w:rsidRPr="0083048B">
        <w:rPr>
          <w:rFonts w:eastAsia="Calibri" w:cs="Calibri"/>
          <w:lang w:val="en"/>
        </w:rPr>
        <w:t>) and Section 83(2) of Act CXVII of 2007 on Occupational Pension and Related Institutions (</w:t>
      </w:r>
      <w:r w:rsidRPr="0083048B">
        <w:rPr>
          <w:rFonts w:eastAsia="Calibri" w:cs="Calibri"/>
          <w:b/>
          <w:bCs/>
          <w:lang w:val="en"/>
        </w:rPr>
        <w:t>Occupational Pension Act</w:t>
      </w:r>
      <w:r w:rsidRPr="0083048B">
        <w:rPr>
          <w:rFonts w:eastAsia="Calibri" w:cs="Calibri"/>
          <w:lang w:val="en"/>
        </w:rPr>
        <w:t>), the MNB provides the following statutory information.</w:t>
      </w:r>
    </w:p>
    <w:p w14:paraId="44972E30" w14:textId="77777777" w:rsidR="00046C1F" w:rsidRPr="0083048B" w:rsidRDefault="00046C1F" w:rsidP="00625B46">
      <w:pPr>
        <w:widowControl w:val="0"/>
        <w:spacing w:before="3" w:after="0" w:line="240" w:lineRule="exact"/>
        <w:ind w:left="567" w:hanging="283"/>
        <w:rPr>
          <w:rFonts w:eastAsia="Calibri" w:cs="Times New Roman"/>
          <w:sz w:val="24"/>
          <w:szCs w:val="24"/>
        </w:rPr>
      </w:pPr>
    </w:p>
    <w:p w14:paraId="76D3CE63" w14:textId="77777777" w:rsidR="00046C1F" w:rsidRPr="0083048B" w:rsidRDefault="00046C1F" w:rsidP="00625B46">
      <w:pPr>
        <w:widowControl w:val="0"/>
        <w:spacing w:after="0" w:line="240" w:lineRule="auto"/>
        <w:ind w:left="284" w:right="77"/>
        <w:rPr>
          <w:rFonts w:eastAsia="Calibri" w:cs="Calibri"/>
          <w:b/>
          <w:bCs/>
        </w:rPr>
      </w:pPr>
      <w:r w:rsidRPr="0083048B">
        <w:rPr>
          <w:rFonts w:eastAsia="Calibri" w:cs="Calibri"/>
          <w:b/>
          <w:bCs/>
          <w:lang w:val="en"/>
        </w:rPr>
        <w:t xml:space="preserve">Financial institutions (credit institutions, financial enterprises, payment institutions and electronic money institutions), intermediaries negotiating mortgage loans, investment firms, investment fund managers, </w:t>
      </w:r>
      <w:proofErr w:type="gramStart"/>
      <w:r w:rsidRPr="0083048B">
        <w:rPr>
          <w:rFonts w:eastAsia="Calibri" w:cs="Calibri"/>
          <w:b/>
          <w:bCs/>
          <w:lang w:val="en"/>
        </w:rPr>
        <w:t>insurers</w:t>
      </w:r>
      <w:proofErr w:type="gramEnd"/>
      <w:r w:rsidRPr="0083048B">
        <w:rPr>
          <w:rFonts w:eastAsia="Calibri" w:cs="Calibri"/>
          <w:b/>
          <w:bCs/>
          <w:lang w:val="en"/>
        </w:rPr>
        <w:t xml:space="preserve"> and occupational pension providers with registered office in an EEA state and operating in Hungary as a branch office or cross-border service provider must pay special attention to compliance with the following legal provisions and standards:</w:t>
      </w:r>
    </w:p>
    <w:p w14:paraId="36A19BD5" w14:textId="77777777" w:rsidR="001D2DDA" w:rsidRPr="0083048B" w:rsidRDefault="001D2DDA" w:rsidP="00625B46">
      <w:pPr>
        <w:widowControl w:val="0"/>
        <w:spacing w:after="0" w:line="240" w:lineRule="auto"/>
        <w:ind w:left="567" w:right="77" w:hanging="283"/>
        <w:rPr>
          <w:rFonts w:eastAsia="Calibri" w:cs="Calibri"/>
          <w:b/>
          <w:bCs/>
        </w:rPr>
      </w:pPr>
    </w:p>
    <w:p w14:paraId="70E41B8F" w14:textId="77777777" w:rsidR="001D2DDA" w:rsidRPr="0083048B" w:rsidRDefault="001D2DDA" w:rsidP="00625B46">
      <w:pPr>
        <w:widowControl w:val="0"/>
        <w:spacing w:after="0" w:line="239" w:lineRule="auto"/>
        <w:ind w:left="284" w:right="61"/>
        <w:rPr>
          <w:rFonts w:eastAsia="Calibri" w:cs="Calibri"/>
        </w:rPr>
      </w:pPr>
      <w:r w:rsidRPr="0083048B">
        <w:rPr>
          <w:rFonts w:eastAsia="Calibri" w:cs="Calibri"/>
          <w:lang w:val="en"/>
        </w:rPr>
        <w:t xml:space="preserve">The list of legislation set out herein is informative only. Compliance with them shall not constitute exemption from the overall obligation of financial </w:t>
      </w:r>
      <w:proofErr w:type="spellStart"/>
      <w:r w:rsidRPr="0083048B">
        <w:rPr>
          <w:rFonts w:eastAsia="Calibri" w:cs="Calibri"/>
          <w:lang w:val="en"/>
        </w:rPr>
        <w:t>organisations</w:t>
      </w:r>
      <w:proofErr w:type="spellEnd"/>
      <w:r w:rsidRPr="0083048B">
        <w:rPr>
          <w:rFonts w:eastAsia="Calibri" w:cs="Calibri"/>
          <w:lang w:val="en"/>
        </w:rPr>
        <w:t xml:space="preserve"> to observe all applicable Hungarian laws in their entirety while pursuing operations in Hungary.</w:t>
      </w:r>
    </w:p>
    <w:p w14:paraId="7A022D57" w14:textId="77777777" w:rsidR="001D2DDA" w:rsidRPr="0083048B" w:rsidRDefault="001D2DDA" w:rsidP="00625B46">
      <w:pPr>
        <w:widowControl w:val="0"/>
        <w:spacing w:before="3" w:after="0" w:line="240" w:lineRule="exact"/>
        <w:ind w:left="567" w:hanging="283"/>
        <w:rPr>
          <w:rFonts w:eastAsia="Calibri" w:cs="Times New Roman"/>
          <w:sz w:val="24"/>
          <w:szCs w:val="24"/>
        </w:rPr>
      </w:pPr>
    </w:p>
    <w:p w14:paraId="40924E21" w14:textId="77777777" w:rsidR="001D2DDA" w:rsidRPr="0083048B" w:rsidRDefault="001D2DDA" w:rsidP="00625B46">
      <w:pPr>
        <w:widowControl w:val="0"/>
        <w:spacing w:after="0" w:line="240" w:lineRule="auto"/>
        <w:ind w:left="284" w:right="62"/>
        <w:rPr>
          <w:rFonts w:eastAsia="Calibri" w:cs="Calibri"/>
        </w:rPr>
      </w:pPr>
      <w:r w:rsidRPr="0083048B">
        <w:rPr>
          <w:rFonts w:eastAsia="Calibri" w:cs="Calibri"/>
          <w:lang w:val="en"/>
        </w:rPr>
        <w:t xml:space="preserve">This guide on legal provisions does not apply to activities pursued in the territory of Hungary by foreign enterprises not licensed in an EEA state. According to Hungarian law, such foreign enterprises are required to apply for an operating </w:t>
      </w:r>
      <w:proofErr w:type="spellStart"/>
      <w:r w:rsidRPr="0083048B">
        <w:rPr>
          <w:rFonts w:eastAsia="Calibri" w:cs="Calibri"/>
          <w:lang w:val="en"/>
        </w:rPr>
        <w:t>licence</w:t>
      </w:r>
      <w:proofErr w:type="spellEnd"/>
      <w:r w:rsidRPr="0083048B">
        <w:rPr>
          <w:rFonts w:eastAsia="Calibri" w:cs="Calibri"/>
          <w:lang w:val="en"/>
        </w:rPr>
        <w:t xml:space="preserve"> from the MNB.</w:t>
      </w:r>
    </w:p>
    <w:p w14:paraId="47CC14A4" w14:textId="77777777" w:rsidR="00046C1F" w:rsidRPr="0083048B" w:rsidRDefault="00046C1F" w:rsidP="00915585">
      <w:pPr>
        <w:widowControl w:val="0"/>
        <w:spacing w:before="3" w:after="0" w:line="240" w:lineRule="exact"/>
        <w:ind w:left="567" w:hanging="283"/>
        <w:rPr>
          <w:rFonts w:eastAsia="Calibri" w:cs="Times New Roman"/>
          <w:sz w:val="24"/>
          <w:szCs w:val="24"/>
        </w:rPr>
      </w:pPr>
    </w:p>
    <w:p w14:paraId="7B40AA72" w14:textId="77777777" w:rsidR="00046C1F" w:rsidRPr="0083048B" w:rsidRDefault="00046C1F" w:rsidP="00915585">
      <w:pPr>
        <w:widowControl w:val="0"/>
        <w:spacing w:after="0" w:line="240" w:lineRule="auto"/>
        <w:ind w:left="567" w:right="8235" w:hanging="283"/>
        <w:rPr>
          <w:rFonts w:eastAsia="Calibri" w:cs="Calibri"/>
        </w:rPr>
      </w:pPr>
      <w:r w:rsidRPr="0083048B">
        <w:rPr>
          <w:rFonts w:eastAsia="Calibri" w:cs="Calibri"/>
          <w:b/>
          <w:bCs/>
          <w:lang w:val="en"/>
        </w:rPr>
        <w:t>Laws:</w:t>
      </w:r>
    </w:p>
    <w:p w14:paraId="7AD7D391" w14:textId="77777777" w:rsidR="00046C1F" w:rsidRPr="0083048B" w:rsidRDefault="00046C1F" w:rsidP="00915585">
      <w:pPr>
        <w:widowControl w:val="0"/>
        <w:spacing w:before="5" w:after="0" w:line="240" w:lineRule="exact"/>
        <w:ind w:left="567" w:hanging="283"/>
        <w:rPr>
          <w:rFonts w:eastAsia="Calibri" w:cs="Times New Roman"/>
          <w:sz w:val="24"/>
          <w:szCs w:val="24"/>
        </w:rPr>
      </w:pPr>
    </w:p>
    <w:p w14:paraId="44DC6121" w14:textId="77777777" w:rsidR="008F662C" w:rsidRPr="0083048B" w:rsidRDefault="00046C1F" w:rsidP="00092232">
      <w:pPr>
        <w:widowControl w:val="0"/>
        <w:numPr>
          <w:ilvl w:val="0"/>
          <w:numId w:val="10"/>
        </w:numPr>
        <w:spacing w:after="0" w:line="240" w:lineRule="auto"/>
        <w:ind w:left="567" w:right="-16" w:hanging="283"/>
        <w:contextualSpacing/>
        <w:rPr>
          <w:rFonts w:eastAsia="Calibri" w:cs="Calibri"/>
        </w:rPr>
      </w:pPr>
      <w:r w:rsidRPr="0083048B">
        <w:rPr>
          <w:rFonts w:eastAsia="Calibri" w:cs="Calibri"/>
          <w:lang w:val="en"/>
        </w:rPr>
        <w:t>Act LIII of 1994 on the Enforcement of Court Decisions (</w:t>
      </w:r>
      <w:r w:rsidRPr="0083048B">
        <w:rPr>
          <w:rFonts w:eastAsia="Calibri" w:cs="Calibri"/>
          <w:b/>
          <w:bCs/>
          <w:lang w:val="en"/>
        </w:rPr>
        <w:t>Enforcement Act</w:t>
      </w:r>
      <w:proofErr w:type="gramStart"/>
      <w:r w:rsidRPr="0083048B">
        <w:rPr>
          <w:rFonts w:eastAsia="Calibri" w:cs="Calibri"/>
          <w:lang w:val="en"/>
        </w:rPr>
        <w:t>);</w:t>
      </w:r>
      <w:proofErr w:type="gramEnd"/>
    </w:p>
    <w:p w14:paraId="558707C7" w14:textId="77777777" w:rsidR="00046C1F" w:rsidRPr="0083048B" w:rsidRDefault="00046C1F" w:rsidP="00FD56EE">
      <w:pPr>
        <w:widowControl w:val="0"/>
        <w:numPr>
          <w:ilvl w:val="0"/>
          <w:numId w:val="10"/>
        </w:numPr>
        <w:spacing w:after="0" w:line="240" w:lineRule="auto"/>
        <w:ind w:left="567" w:right="-16" w:hanging="283"/>
        <w:contextualSpacing/>
        <w:rPr>
          <w:rFonts w:eastAsia="Calibri" w:cs="Calibri"/>
        </w:rPr>
      </w:pPr>
      <w:r w:rsidRPr="0083048B">
        <w:rPr>
          <w:rFonts w:eastAsia="Calibri" w:cs="Calibri"/>
          <w:lang w:val="en"/>
        </w:rPr>
        <w:t>Act IV of 1978 on the Criminal Code, effective until 30 June 2013, and Act C of 2012 on the Criminal Code is effective as of 1 July 2013 (</w:t>
      </w:r>
      <w:r w:rsidRPr="0083048B">
        <w:rPr>
          <w:rFonts w:eastAsia="Calibri" w:cs="Calibri"/>
          <w:b/>
          <w:bCs/>
          <w:lang w:val="en"/>
        </w:rPr>
        <w:t>Criminal Code</w:t>
      </w:r>
      <w:proofErr w:type="gramStart"/>
      <w:r w:rsidRPr="0083048B">
        <w:rPr>
          <w:rFonts w:eastAsia="Calibri" w:cs="Calibri"/>
          <w:lang w:val="en"/>
        </w:rPr>
        <w:t>);</w:t>
      </w:r>
      <w:proofErr w:type="gramEnd"/>
    </w:p>
    <w:p w14:paraId="38424080" w14:textId="77777777" w:rsidR="00046C1F" w:rsidRPr="0083048B" w:rsidRDefault="00046C1F" w:rsidP="00FD56EE">
      <w:pPr>
        <w:widowControl w:val="0"/>
        <w:numPr>
          <w:ilvl w:val="0"/>
          <w:numId w:val="10"/>
        </w:numPr>
        <w:spacing w:after="0" w:line="240" w:lineRule="auto"/>
        <w:ind w:left="567" w:right="-16" w:hanging="283"/>
        <w:contextualSpacing/>
        <w:rPr>
          <w:rFonts w:eastAsia="Calibri" w:cs="Calibri"/>
        </w:rPr>
      </w:pPr>
      <w:r w:rsidRPr="0083048B">
        <w:rPr>
          <w:rFonts w:eastAsia="Calibri" w:cs="Calibri"/>
          <w:lang w:val="en"/>
        </w:rPr>
        <w:t>Act V of 2006 on Public Company Information, Company Registration and Windup Proceedings (</w:t>
      </w:r>
      <w:r w:rsidRPr="0083048B">
        <w:rPr>
          <w:rFonts w:eastAsia="Calibri" w:cs="Calibri"/>
          <w:b/>
          <w:bCs/>
          <w:lang w:val="en"/>
        </w:rPr>
        <w:t>Company Information Act</w:t>
      </w:r>
      <w:proofErr w:type="gramStart"/>
      <w:r w:rsidRPr="0083048B">
        <w:rPr>
          <w:rFonts w:eastAsia="Calibri" w:cs="Calibri"/>
          <w:lang w:val="en"/>
        </w:rPr>
        <w:t>);</w:t>
      </w:r>
      <w:proofErr w:type="gramEnd"/>
    </w:p>
    <w:p w14:paraId="60B134DB" w14:textId="77777777" w:rsidR="00046C1F" w:rsidRPr="0083048B" w:rsidRDefault="00046C1F" w:rsidP="00FD56EE">
      <w:pPr>
        <w:widowControl w:val="0"/>
        <w:numPr>
          <w:ilvl w:val="0"/>
          <w:numId w:val="10"/>
        </w:numPr>
        <w:spacing w:after="0" w:line="240" w:lineRule="auto"/>
        <w:ind w:left="567" w:right="-16" w:hanging="283"/>
        <w:contextualSpacing/>
        <w:rPr>
          <w:rFonts w:eastAsia="Calibri" w:cs="Calibri"/>
        </w:rPr>
      </w:pPr>
      <w:r w:rsidRPr="0083048B">
        <w:rPr>
          <w:rFonts w:eastAsia="Calibri" w:cs="Calibri"/>
          <w:lang w:val="en"/>
        </w:rPr>
        <w:t xml:space="preserve">Act XLIX of 1991 on Bankruptcy and Liquidation </w:t>
      </w:r>
      <w:proofErr w:type="gramStart"/>
      <w:r w:rsidRPr="0083048B">
        <w:rPr>
          <w:rFonts w:eastAsia="Calibri" w:cs="Calibri"/>
          <w:lang w:val="en"/>
        </w:rPr>
        <w:t>Proceedings;</w:t>
      </w:r>
      <w:proofErr w:type="gramEnd"/>
    </w:p>
    <w:p w14:paraId="0945A4E8" w14:textId="77777777" w:rsidR="00046C1F" w:rsidRPr="0083048B" w:rsidRDefault="00A32ACC" w:rsidP="00FD56EE">
      <w:pPr>
        <w:widowControl w:val="0"/>
        <w:numPr>
          <w:ilvl w:val="0"/>
          <w:numId w:val="10"/>
        </w:numPr>
        <w:spacing w:after="0" w:line="242" w:lineRule="exact"/>
        <w:ind w:left="567" w:right="-16" w:hanging="283"/>
        <w:contextualSpacing/>
        <w:rPr>
          <w:rFonts w:eastAsia="Calibri" w:cs="Calibri"/>
        </w:rPr>
      </w:pPr>
      <w:r w:rsidRPr="0083048B">
        <w:rPr>
          <w:rFonts w:eastAsia="Calibri" w:cs="Calibri"/>
          <w:lang w:val="en"/>
        </w:rPr>
        <w:t>Act CVIII of 2001 on Certain issues of electronic commerce services and information society services (</w:t>
      </w:r>
      <w:r w:rsidRPr="0083048B">
        <w:rPr>
          <w:rFonts w:eastAsia="Calibri" w:cs="Calibri"/>
          <w:b/>
          <w:bCs/>
          <w:lang w:val="en"/>
        </w:rPr>
        <w:t>Electronic Commerce Act</w:t>
      </w:r>
      <w:proofErr w:type="gramStart"/>
      <w:r w:rsidRPr="0083048B">
        <w:rPr>
          <w:rFonts w:eastAsia="Calibri" w:cs="Calibri"/>
          <w:lang w:val="en"/>
        </w:rPr>
        <w:t>);</w:t>
      </w:r>
      <w:proofErr w:type="gramEnd"/>
    </w:p>
    <w:p w14:paraId="4FD4089C" w14:textId="77777777" w:rsidR="00046C1F" w:rsidRPr="0083048B" w:rsidRDefault="00A32ACC" w:rsidP="00FD56EE">
      <w:pPr>
        <w:widowControl w:val="0"/>
        <w:numPr>
          <w:ilvl w:val="0"/>
          <w:numId w:val="10"/>
        </w:numPr>
        <w:spacing w:after="0" w:line="240" w:lineRule="auto"/>
        <w:ind w:left="567" w:right="-16" w:hanging="283"/>
        <w:contextualSpacing/>
        <w:rPr>
          <w:rFonts w:eastAsia="Calibri" w:cs="Calibri"/>
        </w:rPr>
      </w:pPr>
      <w:r w:rsidRPr="0083048B">
        <w:rPr>
          <w:rFonts w:eastAsia="Calibri" w:cs="Calibri"/>
          <w:lang w:val="en"/>
        </w:rPr>
        <w:t>Act XLVII of 2008 on the Prohibition of Unfair Business-to-Consumer Commercial Practices (</w:t>
      </w:r>
      <w:r w:rsidRPr="0083048B">
        <w:rPr>
          <w:rFonts w:eastAsia="Calibri" w:cs="Calibri"/>
          <w:b/>
          <w:bCs/>
          <w:lang w:val="en"/>
        </w:rPr>
        <w:t>Unfair B2C Commercial Practices Act</w:t>
      </w:r>
      <w:proofErr w:type="gramStart"/>
      <w:r w:rsidRPr="0083048B">
        <w:rPr>
          <w:rFonts w:eastAsia="Calibri" w:cs="Calibri"/>
          <w:lang w:val="en"/>
        </w:rPr>
        <w:t>);</w:t>
      </w:r>
      <w:proofErr w:type="gramEnd"/>
    </w:p>
    <w:p w14:paraId="145B2895" w14:textId="77777777" w:rsidR="00046C1F" w:rsidRPr="0083048B" w:rsidRDefault="00A32ACC" w:rsidP="00FD56EE">
      <w:pPr>
        <w:widowControl w:val="0"/>
        <w:numPr>
          <w:ilvl w:val="0"/>
          <w:numId w:val="10"/>
        </w:numPr>
        <w:spacing w:after="0" w:line="240" w:lineRule="auto"/>
        <w:ind w:left="567" w:right="-16" w:hanging="283"/>
        <w:contextualSpacing/>
        <w:rPr>
          <w:rFonts w:eastAsia="Calibri" w:cs="Calibri"/>
        </w:rPr>
      </w:pPr>
      <w:r w:rsidRPr="0083048B">
        <w:rPr>
          <w:rFonts w:eastAsia="Calibri" w:cs="Calibri"/>
          <w:lang w:val="en"/>
        </w:rPr>
        <w:t>Act XLVIII of 2008 on the Basic Requirements and Certain Restrictions of Commercial Advertising Activities (</w:t>
      </w:r>
      <w:r w:rsidRPr="0083048B">
        <w:rPr>
          <w:rFonts w:eastAsia="Calibri" w:cs="Calibri"/>
          <w:b/>
          <w:bCs/>
          <w:lang w:val="en"/>
        </w:rPr>
        <w:t>Commercial Advertising Act</w:t>
      </w:r>
      <w:proofErr w:type="gramStart"/>
      <w:r w:rsidRPr="0083048B">
        <w:rPr>
          <w:rFonts w:eastAsia="Calibri" w:cs="Calibri"/>
          <w:b/>
          <w:bCs/>
          <w:lang w:val="en"/>
        </w:rPr>
        <w:t>)</w:t>
      </w:r>
      <w:r w:rsidRPr="0083048B">
        <w:rPr>
          <w:rFonts w:eastAsia="Calibri" w:cs="Calibri"/>
          <w:lang w:val="en"/>
        </w:rPr>
        <w:t>;</w:t>
      </w:r>
      <w:proofErr w:type="gramEnd"/>
    </w:p>
    <w:p w14:paraId="0830A2CA" w14:textId="77777777" w:rsidR="00046C1F" w:rsidRPr="0083048B" w:rsidRDefault="00046C1F" w:rsidP="00FD56EE">
      <w:pPr>
        <w:widowControl w:val="0"/>
        <w:numPr>
          <w:ilvl w:val="0"/>
          <w:numId w:val="10"/>
        </w:numPr>
        <w:spacing w:after="0" w:line="240" w:lineRule="auto"/>
        <w:ind w:left="567" w:right="-16" w:hanging="283"/>
        <w:contextualSpacing/>
        <w:rPr>
          <w:rFonts w:eastAsia="Calibri" w:cs="Calibri"/>
        </w:rPr>
      </w:pPr>
      <w:r w:rsidRPr="0083048B">
        <w:rPr>
          <w:rFonts w:eastAsia="Calibri" w:cs="Calibri"/>
          <w:lang w:val="en"/>
        </w:rPr>
        <w:t>Act CL of 2016 on General Public Administration Procedures (</w:t>
      </w:r>
      <w:r w:rsidRPr="0083048B">
        <w:rPr>
          <w:rFonts w:eastAsia="Calibri" w:cs="Calibri"/>
          <w:b/>
          <w:bCs/>
          <w:lang w:val="en"/>
        </w:rPr>
        <w:t>Public Administration Procedure Act</w:t>
      </w:r>
      <w:proofErr w:type="gramStart"/>
      <w:r w:rsidRPr="0083048B">
        <w:rPr>
          <w:rFonts w:eastAsia="Calibri" w:cs="Calibri"/>
          <w:lang w:val="en"/>
        </w:rPr>
        <w:t>);</w:t>
      </w:r>
      <w:proofErr w:type="gramEnd"/>
    </w:p>
    <w:p w14:paraId="4CE1DDDF" w14:textId="77777777" w:rsidR="00046C1F" w:rsidRPr="0083048B" w:rsidRDefault="00046C1F" w:rsidP="00FD56EE">
      <w:pPr>
        <w:widowControl w:val="0"/>
        <w:numPr>
          <w:ilvl w:val="0"/>
          <w:numId w:val="10"/>
        </w:numPr>
        <w:spacing w:after="0" w:line="243" w:lineRule="exact"/>
        <w:ind w:left="567" w:right="-16" w:hanging="283"/>
        <w:contextualSpacing/>
        <w:rPr>
          <w:rFonts w:eastAsia="Calibri" w:cs="Calibri"/>
        </w:rPr>
      </w:pPr>
      <w:r w:rsidRPr="0083048B">
        <w:rPr>
          <w:rFonts w:eastAsia="Calibri" w:cs="Calibri"/>
          <w:lang w:val="en"/>
        </w:rPr>
        <w:t xml:space="preserve">Act LV of 2002 on </w:t>
      </w:r>
      <w:proofErr w:type="gramStart"/>
      <w:r w:rsidRPr="0083048B">
        <w:rPr>
          <w:rFonts w:eastAsia="Calibri" w:cs="Calibri"/>
          <w:lang w:val="en"/>
        </w:rPr>
        <w:t>Mediation;</w:t>
      </w:r>
      <w:proofErr w:type="gramEnd"/>
    </w:p>
    <w:p w14:paraId="1009A096" w14:textId="77777777" w:rsidR="00046C1F" w:rsidRPr="0083048B" w:rsidRDefault="00046C1F" w:rsidP="00FD56EE">
      <w:pPr>
        <w:widowControl w:val="0"/>
        <w:numPr>
          <w:ilvl w:val="0"/>
          <w:numId w:val="10"/>
        </w:numPr>
        <w:spacing w:after="0" w:line="240" w:lineRule="auto"/>
        <w:ind w:left="567" w:right="-16" w:hanging="283"/>
        <w:contextualSpacing/>
        <w:rPr>
          <w:rFonts w:eastAsia="Calibri" w:cs="Calibri"/>
        </w:rPr>
      </w:pPr>
      <w:r w:rsidRPr="0083048B">
        <w:rPr>
          <w:rFonts w:eastAsia="Calibri" w:cs="Calibri"/>
          <w:lang w:val="en"/>
        </w:rPr>
        <w:t>Act CXXXII of 1997 on the Hungarian Branch Offices and Commercial Representative Offices of Companies Registered Abroad (</w:t>
      </w:r>
      <w:r w:rsidRPr="0083048B">
        <w:rPr>
          <w:rFonts w:eastAsia="Calibri" w:cs="Calibri"/>
          <w:b/>
          <w:bCs/>
          <w:lang w:val="en"/>
        </w:rPr>
        <w:t>Branch Office Act</w:t>
      </w:r>
      <w:proofErr w:type="gramStart"/>
      <w:r w:rsidRPr="0083048B">
        <w:rPr>
          <w:rFonts w:eastAsia="Calibri" w:cs="Calibri"/>
          <w:lang w:val="en"/>
        </w:rPr>
        <w:t>);</w:t>
      </w:r>
      <w:proofErr w:type="gramEnd"/>
    </w:p>
    <w:p w14:paraId="5C625589" w14:textId="77777777" w:rsidR="00046C1F" w:rsidRPr="0083048B" w:rsidRDefault="00011287" w:rsidP="00FD56EE">
      <w:pPr>
        <w:widowControl w:val="0"/>
        <w:numPr>
          <w:ilvl w:val="0"/>
          <w:numId w:val="10"/>
        </w:numPr>
        <w:spacing w:after="0" w:line="240" w:lineRule="auto"/>
        <w:ind w:left="567" w:right="-16" w:hanging="283"/>
        <w:contextualSpacing/>
        <w:rPr>
          <w:rFonts w:eastAsia="Calibri" w:cs="Calibri"/>
        </w:rPr>
      </w:pPr>
      <w:r w:rsidRPr="0083048B">
        <w:rPr>
          <w:rFonts w:eastAsia="Calibri" w:cs="Calibri"/>
          <w:lang w:val="en"/>
        </w:rPr>
        <w:t>Act CXXXIX of 2013 on the Magyar Nemzeti Bank (</w:t>
      </w:r>
      <w:r w:rsidRPr="0083048B">
        <w:rPr>
          <w:rFonts w:eastAsia="Calibri" w:cs="Calibri"/>
          <w:b/>
          <w:bCs/>
          <w:lang w:val="en"/>
        </w:rPr>
        <w:t>MNB Act</w:t>
      </w:r>
      <w:proofErr w:type="gramStart"/>
      <w:r w:rsidRPr="0083048B">
        <w:rPr>
          <w:rFonts w:eastAsia="Calibri" w:cs="Calibri"/>
          <w:lang w:val="en"/>
        </w:rPr>
        <w:t>);</w:t>
      </w:r>
      <w:proofErr w:type="gramEnd"/>
    </w:p>
    <w:p w14:paraId="437847B4" w14:textId="77777777" w:rsidR="00046C1F" w:rsidRPr="0083048B" w:rsidRDefault="00046C1F" w:rsidP="00FD56EE">
      <w:pPr>
        <w:widowControl w:val="0"/>
        <w:numPr>
          <w:ilvl w:val="0"/>
          <w:numId w:val="10"/>
        </w:numPr>
        <w:spacing w:after="0" w:line="242" w:lineRule="exact"/>
        <w:ind w:left="567" w:right="-16" w:hanging="283"/>
        <w:contextualSpacing/>
        <w:rPr>
          <w:rFonts w:eastAsia="Calibri" w:cs="Calibri"/>
        </w:rPr>
      </w:pPr>
      <w:r w:rsidRPr="0083048B">
        <w:rPr>
          <w:rFonts w:eastAsia="Calibri" w:cs="Calibri"/>
          <w:lang w:val="en"/>
        </w:rPr>
        <w:t xml:space="preserve">Act I of 2012 on the </w:t>
      </w:r>
      <w:proofErr w:type="spellStart"/>
      <w:r w:rsidRPr="0083048B">
        <w:rPr>
          <w:rFonts w:eastAsia="Calibri" w:cs="Calibri"/>
          <w:lang w:val="en"/>
        </w:rPr>
        <w:t>Labour</w:t>
      </w:r>
      <w:proofErr w:type="spellEnd"/>
      <w:r w:rsidRPr="0083048B">
        <w:rPr>
          <w:rFonts w:eastAsia="Calibri" w:cs="Calibri"/>
          <w:lang w:val="en"/>
        </w:rPr>
        <w:t xml:space="preserve"> Code (</w:t>
      </w:r>
      <w:proofErr w:type="spellStart"/>
      <w:r w:rsidRPr="0083048B">
        <w:rPr>
          <w:rFonts w:eastAsia="Calibri" w:cs="Calibri"/>
          <w:b/>
          <w:bCs/>
          <w:lang w:val="en"/>
        </w:rPr>
        <w:t>Labour</w:t>
      </w:r>
      <w:proofErr w:type="spellEnd"/>
      <w:r w:rsidRPr="0083048B">
        <w:rPr>
          <w:rFonts w:eastAsia="Calibri" w:cs="Calibri"/>
          <w:b/>
          <w:bCs/>
          <w:lang w:val="en"/>
        </w:rPr>
        <w:t xml:space="preserve"> Code</w:t>
      </w:r>
      <w:proofErr w:type="gramStart"/>
      <w:r w:rsidRPr="0083048B">
        <w:rPr>
          <w:rFonts w:eastAsia="Calibri" w:cs="Calibri"/>
          <w:lang w:val="en"/>
        </w:rPr>
        <w:t>);</w:t>
      </w:r>
      <w:proofErr w:type="gramEnd"/>
    </w:p>
    <w:p w14:paraId="7863A38C" w14:textId="77777777" w:rsidR="00046C1F" w:rsidRPr="0083048B" w:rsidRDefault="00A32ACC" w:rsidP="00FD56EE">
      <w:pPr>
        <w:widowControl w:val="0"/>
        <w:numPr>
          <w:ilvl w:val="0"/>
          <w:numId w:val="10"/>
        </w:numPr>
        <w:spacing w:after="0" w:line="240" w:lineRule="auto"/>
        <w:ind w:left="567" w:right="-16" w:hanging="283"/>
        <w:contextualSpacing/>
        <w:rPr>
          <w:rFonts w:eastAsia="Calibri" w:cs="Calibri"/>
        </w:rPr>
      </w:pPr>
      <w:r w:rsidRPr="0083048B">
        <w:rPr>
          <w:rFonts w:eastAsia="Calibri" w:cs="Calibri"/>
          <w:lang w:val="en"/>
        </w:rPr>
        <w:t>Act LIII of 2017 on the Prevention and Combating of Money Laundering and Terrorist Financing (</w:t>
      </w:r>
      <w:r w:rsidRPr="0083048B">
        <w:rPr>
          <w:rFonts w:eastAsia="Calibri" w:cs="Calibri"/>
          <w:b/>
          <w:bCs/>
          <w:lang w:val="en"/>
        </w:rPr>
        <w:t>Anti-money Laundering Act</w:t>
      </w:r>
      <w:proofErr w:type="gramStart"/>
      <w:r w:rsidRPr="0083048B">
        <w:rPr>
          <w:rFonts w:eastAsia="Calibri" w:cs="Calibri"/>
          <w:lang w:val="en"/>
        </w:rPr>
        <w:t>);</w:t>
      </w:r>
      <w:proofErr w:type="gramEnd"/>
    </w:p>
    <w:p w14:paraId="218625ED" w14:textId="77777777" w:rsidR="00E8186C" w:rsidRPr="0083048B" w:rsidRDefault="00E8186C" w:rsidP="00EC35CE">
      <w:pPr>
        <w:pStyle w:val="ListParagraph"/>
        <w:widowControl w:val="0"/>
        <w:numPr>
          <w:ilvl w:val="0"/>
          <w:numId w:val="10"/>
        </w:numPr>
        <w:spacing w:after="0" w:line="240" w:lineRule="auto"/>
        <w:ind w:left="567" w:right="-16" w:hanging="283"/>
        <w:rPr>
          <w:rFonts w:eastAsia="Calibri" w:cs="Calibri"/>
        </w:rPr>
      </w:pPr>
      <w:r w:rsidRPr="0083048B">
        <w:rPr>
          <w:rFonts w:eastAsia="Calibri" w:cs="Calibri"/>
          <w:lang w:val="en"/>
        </w:rPr>
        <w:t>Act LII of 2017 on the Implementation of Financial and Proprietary Restrictive Measures ordered by the European Union and the UN Security Council (</w:t>
      </w:r>
      <w:r w:rsidRPr="0083048B">
        <w:rPr>
          <w:rFonts w:eastAsia="Calibri" w:cs="Calibri"/>
          <w:b/>
          <w:bCs/>
          <w:lang w:val="en"/>
        </w:rPr>
        <w:t>Restrictive Measures Act</w:t>
      </w:r>
      <w:proofErr w:type="gramStart"/>
      <w:r w:rsidRPr="0083048B">
        <w:rPr>
          <w:rFonts w:eastAsia="Calibri" w:cs="Calibri"/>
          <w:lang w:val="en"/>
        </w:rPr>
        <w:t>);</w:t>
      </w:r>
      <w:proofErr w:type="gramEnd"/>
    </w:p>
    <w:p w14:paraId="3269B683" w14:textId="77777777" w:rsidR="00046C1F" w:rsidRPr="0083048B" w:rsidRDefault="00046C1F" w:rsidP="00EC35CE">
      <w:pPr>
        <w:pStyle w:val="ListParagraph"/>
        <w:widowControl w:val="0"/>
        <w:numPr>
          <w:ilvl w:val="0"/>
          <w:numId w:val="10"/>
        </w:numPr>
        <w:spacing w:after="0" w:line="240" w:lineRule="auto"/>
        <w:ind w:left="567" w:right="-16" w:hanging="283"/>
        <w:rPr>
          <w:rFonts w:eastAsia="Calibri" w:cs="Calibri"/>
        </w:rPr>
      </w:pPr>
      <w:r w:rsidRPr="0083048B">
        <w:rPr>
          <w:rFonts w:eastAsia="Calibri" w:cs="Calibri"/>
          <w:lang w:val="en"/>
        </w:rPr>
        <w:t>Act CXXX of 2016 on the Code of Civil Procedure (</w:t>
      </w:r>
      <w:r w:rsidRPr="0083048B">
        <w:rPr>
          <w:rFonts w:eastAsia="Calibri" w:cs="Calibri"/>
          <w:b/>
          <w:bCs/>
          <w:lang w:val="en"/>
        </w:rPr>
        <w:t>Civil Procedure Code</w:t>
      </w:r>
      <w:proofErr w:type="gramStart"/>
      <w:r w:rsidRPr="0083048B">
        <w:rPr>
          <w:rFonts w:eastAsia="Calibri" w:cs="Calibri"/>
          <w:lang w:val="en"/>
        </w:rPr>
        <w:t>);</w:t>
      </w:r>
      <w:proofErr w:type="gramEnd"/>
    </w:p>
    <w:p w14:paraId="1C8B8906" w14:textId="77777777" w:rsidR="00046C1F" w:rsidRPr="0083048B" w:rsidRDefault="00046C1F" w:rsidP="00EC35CE">
      <w:pPr>
        <w:pStyle w:val="ListParagraph"/>
        <w:widowControl w:val="0"/>
        <w:numPr>
          <w:ilvl w:val="0"/>
          <w:numId w:val="10"/>
        </w:numPr>
        <w:spacing w:after="0" w:line="242" w:lineRule="exact"/>
        <w:ind w:left="709" w:right="-16" w:hanging="425"/>
        <w:rPr>
          <w:rFonts w:eastAsia="Calibri" w:cs="Calibri"/>
        </w:rPr>
      </w:pPr>
      <w:r w:rsidRPr="0083048B">
        <w:rPr>
          <w:rFonts w:eastAsia="Calibri" w:cs="Calibri"/>
          <w:lang w:val="en"/>
        </w:rPr>
        <w:t>Act IV of 1959 on the Civil Code, effective until 14 March 2013, and Act V of 2013 on the Civil Code effective as of 15 March 2014 (</w:t>
      </w:r>
      <w:r w:rsidRPr="0083048B">
        <w:rPr>
          <w:rFonts w:eastAsia="Calibri" w:cs="Calibri"/>
          <w:b/>
          <w:bCs/>
          <w:lang w:val="en"/>
        </w:rPr>
        <w:t>Civil Code</w:t>
      </w:r>
      <w:proofErr w:type="gramStart"/>
      <w:r w:rsidRPr="0083048B">
        <w:rPr>
          <w:rFonts w:eastAsia="Calibri" w:cs="Calibri"/>
          <w:lang w:val="en"/>
        </w:rPr>
        <w:t>);</w:t>
      </w:r>
      <w:proofErr w:type="gramEnd"/>
    </w:p>
    <w:p w14:paraId="30145EF5" w14:textId="77777777" w:rsidR="00046C1F" w:rsidRPr="0083048B" w:rsidRDefault="00046C1F" w:rsidP="00EC35CE">
      <w:pPr>
        <w:pStyle w:val="ListParagraph"/>
        <w:widowControl w:val="0"/>
        <w:numPr>
          <w:ilvl w:val="0"/>
          <w:numId w:val="10"/>
        </w:numPr>
        <w:spacing w:after="0" w:line="240" w:lineRule="auto"/>
        <w:ind w:left="709" w:right="-16" w:hanging="425"/>
        <w:rPr>
          <w:rFonts w:eastAsia="Calibri" w:cs="Calibri"/>
        </w:rPr>
      </w:pPr>
      <w:r w:rsidRPr="0083048B">
        <w:rPr>
          <w:rFonts w:eastAsia="Calibri" w:cs="Calibri"/>
          <w:lang w:val="en"/>
        </w:rPr>
        <w:t>Act C of 2000 on Accounting (</w:t>
      </w:r>
      <w:r w:rsidRPr="0083048B">
        <w:rPr>
          <w:rFonts w:eastAsia="Calibri" w:cs="Calibri"/>
          <w:b/>
          <w:bCs/>
          <w:lang w:val="en"/>
        </w:rPr>
        <w:t>Accounting Act</w:t>
      </w:r>
      <w:proofErr w:type="gramStart"/>
      <w:r w:rsidRPr="0083048B">
        <w:rPr>
          <w:rFonts w:eastAsia="Calibri" w:cs="Calibri"/>
          <w:lang w:val="en"/>
        </w:rPr>
        <w:t>);</w:t>
      </w:r>
      <w:proofErr w:type="gramEnd"/>
    </w:p>
    <w:p w14:paraId="188BA430" w14:textId="77777777" w:rsidR="00046C1F" w:rsidRPr="0083048B" w:rsidRDefault="00046C1F" w:rsidP="00EC35CE">
      <w:pPr>
        <w:pStyle w:val="ListParagraph"/>
        <w:widowControl w:val="0"/>
        <w:numPr>
          <w:ilvl w:val="0"/>
          <w:numId w:val="10"/>
        </w:numPr>
        <w:spacing w:after="0" w:line="240" w:lineRule="auto"/>
        <w:ind w:left="709" w:right="-16" w:hanging="425"/>
        <w:rPr>
          <w:rFonts w:eastAsia="Calibri" w:cs="Calibri"/>
        </w:rPr>
      </w:pPr>
      <w:r w:rsidRPr="0083048B">
        <w:rPr>
          <w:rFonts w:eastAsia="Calibri" w:cs="Calibri"/>
          <w:lang w:val="en"/>
        </w:rPr>
        <w:t>Act CXII of 2011 on Informational Self-Determination and Freedom of Information (</w:t>
      </w:r>
      <w:r w:rsidRPr="0083048B">
        <w:rPr>
          <w:rFonts w:eastAsia="Calibri" w:cs="Calibri"/>
          <w:b/>
          <w:bCs/>
          <w:lang w:val="en"/>
        </w:rPr>
        <w:t>Information Act</w:t>
      </w:r>
      <w:proofErr w:type="gramStart"/>
      <w:r w:rsidRPr="0083048B">
        <w:rPr>
          <w:rFonts w:eastAsia="Calibri" w:cs="Calibri"/>
          <w:lang w:val="en"/>
        </w:rPr>
        <w:t>);</w:t>
      </w:r>
      <w:proofErr w:type="gramEnd"/>
    </w:p>
    <w:p w14:paraId="40268E58" w14:textId="77777777" w:rsidR="00046C1F" w:rsidRPr="0083048B" w:rsidRDefault="00046C1F" w:rsidP="00EC35CE">
      <w:pPr>
        <w:pStyle w:val="ListParagraph"/>
        <w:widowControl w:val="0"/>
        <w:numPr>
          <w:ilvl w:val="0"/>
          <w:numId w:val="10"/>
        </w:numPr>
        <w:spacing w:after="0" w:line="242" w:lineRule="exact"/>
        <w:ind w:left="709" w:right="-16" w:hanging="425"/>
        <w:rPr>
          <w:rFonts w:eastAsia="Calibri" w:cs="Calibri"/>
        </w:rPr>
      </w:pPr>
      <w:r w:rsidRPr="0083048B">
        <w:rPr>
          <w:rFonts w:eastAsia="Calibri" w:cs="Calibri"/>
          <w:lang w:val="en"/>
        </w:rPr>
        <w:t xml:space="preserve">Act X of 2006 on </w:t>
      </w:r>
      <w:proofErr w:type="gramStart"/>
      <w:r w:rsidRPr="0083048B">
        <w:rPr>
          <w:rFonts w:eastAsia="Calibri" w:cs="Calibri"/>
          <w:lang w:val="en"/>
        </w:rPr>
        <w:t>Cooperatives;</w:t>
      </w:r>
      <w:proofErr w:type="gramEnd"/>
    </w:p>
    <w:p w14:paraId="222F95B2" w14:textId="77777777" w:rsidR="00046C1F" w:rsidRPr="0083048B" w:rsidRDefault="00046C1F" w:rsidP="00EC35CE">
      <w:pPr>
        <w:pStyle w:val="ListParagraph"/>
        <w:widowControl w:val="0"/>
        <w:numPr>
          <w:ilvl w:val="0"/>
          <w:numId w:val="10"/>
        </w:numPr>
        <w:spacing w:after="0" w:line="240" w:lineRule="auto"/>
        <w:ind w:left="709" w:right="-16" w:hanging="425"/>
        <w:rPr>
          <w:rFonts w:eastAsia="Calibri" w:cs="Calibri"/>
        </w:rPr>
      </w:pPr>
      <w:r w:rsidRPr="0083048B">
        <w:rPr>
          <w:rFonts w:eastAsia="Calibri" w:cs="Calibri"/>
          <w:lang w:val="en"/>
        </w:rPr>
        <w:lastRenderedPageBreak/>
        <w:t xml:space="preserve">Act XLV of 2004 on European Joint-Stock </w:t>
      </w:r>
      <w:proofErr w:type="gramStart"/>
      <w:r w:rsidRPr="0083048B">
        <w:rPr>
          <w:rFonts w:eastAsia="Calibri" w:cs="Calibri"/>
          <w:lang w:val="en"/>
        </w:rPr>
        <w:t>Companies;</w:t>
      </w:r>
      <w:proofErr w:type="gramEnd"/>
    </w:p>
    <w:p w14:paraId="168E8B55" w14:textId="77777777" w:rsidR="00046C1F" w:rsidRPr="0083048B" w:rsidRDefault="000B0F22" w:rsidP="00EC35CE">
      <w:pPr>
        <w:pStyle w:val="ListParagraph"/>
        <w:widowControl w:val="0"/>
        <w:numPr>
          <w:ilvl w:val="0"/>
          <w:numId w:val="0"/>
        </w:numPr>
        <w:spacing w:after="0" w:line="240" w:lineRule="auto"/>
        <w:ind w:left="709" w:right="-16" w:hanging="425"/>
        <w:rPr>
          <w:rFonts w:eastAsia="Calibri" w:cs="Calibri"/>
        </w:rPr>
      </w:pPr>
      <w:r w:rsidRPr="0083048B">
        <w:rPr>
          <w:rFonts w:eastAsia="Calibri" w:cs="Calibri"/>
          <w:lang w:val="en"/>
        </w:rPr>
        <w:t xml:space="preserve"> </w:t>
      </w:r>
    </w:p>
    <w:p w14:paraId="75840229" w14:textId="77777777" w:rsidR="00995E9A" w:rsidRPr="0083048B" w:rsidRDefault="00995E9A" w:rsidP="00EC35CE">
      <w:pPr>
        <w:pStyle w:val="ListParagraph"/>
        <w:widowControl w:val="0"/>
        <w:numPr>
          <w:ilvl w:val="0"/>
          <w:numId w:val="10"/>
        </w:numPr>
        <w:spacing w:after="0" w:line="240" w:lineRule="auto"/>
        <w:ind w:left="709" w:right="-16" w:hanging="425"/>
        <w:rPr>
          <w:rFonts w:eastAsia="Calibri" w:cs="Calibri"/>
        </w:rPr>
      </w:pPr>
      <w:r w:rsidRPr="0083048B">
        <w:rPr>
          <w:rFonts w:eastAsia="Calibri" w:cs="Calibri"/>
          <w:lang w:val="en"/>
        </w:rPr>
        <w:t xml:space="preserve">Act CXXIV of 2021 on the Cross-border Transformation, Merger, Demerger of Limited Liability Companies and Other Amendments for the Purposes of Approximation of </w:t>
      </w:r>
      <w:proofErr w:type="gramStart"/>
      <w:r w:rsidRPr="0083048B">
        <w:rPr>
          <w:rFonts w:eastAsia="Calibri" w:cs="Calibri"/>
          <w:lang w:val="en"/>
        </w:rPr>
        <w:t>Laws;</w:t>
      </w:r>
      <w:proofErr w:type="gramEnd"/>
    </w:p>
    <w:p w14:paraId="6453C745" w14:textId="77777777" w:rsidR="00676005" w:rsidRPr="0083048B" w:rsidRDefault="00676005" w:rsidP="00EC35CE">
      <w:pPr>
        <w:pStyle w:val="ListParagraph"/>
        <w:widowControl w:val="0"/>
        <w:numPr>
          <w:ilvl w:val="0"/>
          <w:numId w:val="10"/>
        </w:numPr>
        <w:spacing w:after="0" w:line="240" w:lineRule="auto"/>
        <w:ind w:left="709" w:right="-16" w:hanging="425"/>
        <w:rPr>
          <w:rFonts w:eastAsia="Calibri" w:cs="Calibri"/>
        </w:rPr>
      </w:pPr>
      <w:r w:rsidRPr="0083048B">
        <w:rPr>
          <w:rFonts w:eastAsia="Calibri" w:cs="Calibri"/>
          <w:lang w:val="en"/>
        </w:rPr>
        <w:t>Act XLIII of 2021 on the Establishment and Operation of the Data Reporting Background for the Identification Tasks of Financial and Other Service Providers (</w:t>
      </w:r>
      <w:r w:rsidRPr="0083048B">
        <w:rPr>
          <w:rFonts w:eastAsia="Calibri" w:cs="Calibri"/>
          <w:b/>
          <w:bCs/>
          <w:lang w:val="en"/>
        </w:rPr>
        <w:t>Identification Tasks Act</w:t>
      </w:r>
      <w:proofErr w:type="gramStart"/>
      <w:r w:rsidRPr="0083048B">
        <w:rPr>
          <w:rFonts w:eastAsia="Calibri" w:cs="Calibri"/>
          <w:lang w:val="en"/>
        </w:rPr>
        <w:t>);</w:t>
      </w:r>
      <w:proofErr w:type="gramEnd"/>
    </w:p>
    <w:p w14:paraId="7D107CF3" w14:textId="77777777" w:rsidR="00046C1F" w:rsidRPr="0083048B" w:rsidRDefault="00046C1F" w:rsidP="00EC35CE">
      <w:pPr>
        <w:pStyle w:val="ListParagraph"/>
        <w:widowControl w:val="0"/>
        <w:numPr>
          <w:ilvl w:val="0"/>
          <w:numId w:val="10"/>
        </w:numPr>
        <w:spacing w:after="0" w:line="243" w:lineRule="exact"/>
        <w:ind w:left="709" w:right="-16" w:hanging="425"/>
        <w:rPr>
          <w:rFonts w:eastAsia="Calibri" w:cs="Calibri"/>
        </w:rPr>
      </w:pPr>
      <w:r w:rsidRPr="0083048B">
        <w:rPr>
          <w:rFonts w:eastAsia="Calibri" w:cs="Calibri"/>
          <w:lang w:val="en"/>
        </w:rPr>
        <w:t>Act XXV of 2005 on Distance Marketing of Financial Sector Contracts (</w:t>
      </w:r>
      <w:r w:rsidRPr="0083048B">
        <w:rPr>
          <w:rFonts w:eastAsia="Calibri" w:cs="Calibri"/>
          <w:b/>
          <w:bCs/>
          <w:lang w:val="en"/>
        </w:rPr>
        <w:t>Distance Marketing Act</w:t>
      </w:r>
      <w:proofErr w:type="gramStart"/>
      <w:r w:rsidRPr="0083048B">
        <w:rPr>
          <w:rFonts w:eastAsia="Calibri" w:cs="Calibri"/>
          <w:lang w:val="en"/>
        </w:rPr>
        <w:t>);</w:t>
      </w:r>
      <w:proofErr w:type="gramEnd"/>
    </w:p>
    <w:p w14:paraId="7C968324" w14:textId="77777777" w:rsidR="00046C1F" w:rsidRPr="0083048B" w:rsidRDefault="00046C1F" w:rsidP="00EC35CE">
      <w:pPr>
        <w:pStyle w:val="ListParagraph"/>
        <w:widowControl w:val="0"/>
        <w:numPr>
          <w:ilvl w:val="0"/>
          <w:numId w:val="10"/>
        </w:numPr>
        <w:spacing w:after="0" w:line="240" w:lineRule="auto"/>
        <w:ind w:left="709" w:right="-16" w:hanging="425"/>
        <w:rPr>
          <w:rFonts w:eastAsia="Calibri" w:cs="Calibri"/>
        </w:rPr>
      </w:pPr>
      <w:r w:rsidRPr="0083048B">
        <w:rPr>
          <w:rFonts w:eastAsia="Calibri" w:cs="Calibri"/>
          <w:lang w:val="en"/>
        </w:rPr>
        <w:t>Act LVII of 1996 on the Prohibition of Unfair and Restrictive Market Practices (</w:t>
      </w:r>
      <w:r w:rsidRPr="0083048B">
        <w:rPr>
          <w:rFonts w:eastAsia="Calibri" w:cs="Calibri"/>
          <w:b/>
          <w:bCs/>
          <w:lang w:val="en"/>
        </w:rPr>
        <w:t>Unfair and Restrictive Market Practices Act</w:t>
      </w:r>
      <w:proofErr w:type="gramStart"/>
      <w:r w:rsidRPr="0083048B">
        <w:rPr>
          <w:rFonts w:eastAsia="Calibri" w:cs="Calibri"/>
          <w:lang w:val="en"/>
        </w:rPr>
        <w:t>);</w:t>
      </w:r>
      <w:proofErr w:type="gramEnd"/>
    </w:p>
    <w:p w14:paraId="3531E880" w14:textId="77777777" w:rsidR="00046C1F" w:rsidRPr="0083048B" w:rsidRDefault="00046C1F" w:rsidP="00EC35CE">
      <w:pPr>
        <w:pStyle w:val="ListParagraph"/>
        <w:widowControl w:val="0"/>
        <w:numPr>
          <w:ilvl w:val="0"/>
          <w:numId w:val="10"/>
        </w:numPr>
        <w:spacing w:after="0" w:line="242" w:lineRule="exact"/>
        <w:ind w:left="709" w:right="-16" w:hanging="425"/>
        <w:rPr>
          <w:rFonts w:eastAsia="Calibri" w:cs="Calibri"/>
        </w:rPr>
      </w:pPr>
      <w:r w:rsidRPr="0083048B">
        <w:rPr>
          <w:rFonts w:eastAsia="Calibri" w:cs="Calibri"/>
          <w:lang w:val="en"/>
        </w:rPr>
        <w:t xml:space="preserve">Act XLVIII of 1996 on Public </w:t>
      </w:r>
      <w:proofErr w:type="gramStart"/>
      <w:r w:rsidRPr="0083048B">
        <w:rPr>
          <w:rFonts w:eastAsia="Calibri" w:cs="Calibri"/>
          <w:lang w:val="en"/>
        </w:rPr>
        <w:t>Warehousing;</w:t>
      </w:r>
      <w:proofErr w:type="gramEnd"/>
    </w:p>
    <w:p w14:paraId="56B14A0B" w14:textId="77777777" w:rsidR="00046C1F" w:rsidRPr="0083048B" w:rsidRDefault="00046C1F" w:rsidP="00EC35CE">
      <w:pPr>
        <w:pStyle w:val="ListParagraph"/>
        <w:widowControl w:val="0"/>
        <w:numPr>
          <w:ilvl w:val="0"/>
          <w:numId w:val="10"/>
        </w:numPr>
        <w:spacing w:after="0" w:line="240" w:lineRule="auto"/>
        <w:ind w:left="709" w:right="-16" w:hanging="425"/>
        <w:rPr>
          <w:rFonts w:eastAsia="Calibri" w:cs="Calibri"/>
        </w:rPr>
      </w:pPr>
      <w:r w:rsidRPr="0083048B">
        <w:rPr>
          <w:rFonts w:eastAsia="Calibri" w:cs="Calibri"/>
          <w:lang w:val="en"/>
        </w:rPr>
        <w:t>Act CLV of 1997 on Consumer Protection (</w:t>
      </w:r>
      <w:r w:rsidRPr="0083048B">
        <w:rPr>
          <w:rFonts w:eastAsia="Calibri" w:cs="Calibri"/>
          <w:b/>
          <w:bCs/>
          <w:lang w:val="en"/>
        </w:rPr>
        <w:t>Consumer Protection Act</w:t>
      </w:r>
      <w:proofErr w:type="gramStart"/>
      <w:r w:rsidRPr="0083048B">
        <w:rPr>
          <w:rFonts w:eastAsia="Calibri" w:cs="Calibri"/>
          <w:lang w:val="en"/>
        </w:rPr>
        <w:t>);</w:t>
      </w:r>
      <w:proofErr w:type="gramEnd"/>
    </w:p>
    <w:p w14:paraId="6A727623" w14:textId="77777777" w:rsidR="00020EF2" w:rsidRPr="0083048B" w:rsidRDefault="00046C1F" w:rsidP="00EC35CE">
      <w:pPr>
        <w:pStyle w:val="ListParagraph"/>
        <w:widowControl w:val="0"/>
        <w:numPr>
          <w:ilvl w:val="0"/>
          <w:numId w:val="10"/>
        </w:numPr>
        <w:spacing w:after="0" w:line="240" w:lineRule="auto"/>
        <w:ind w:left="709" w:right="-16" w:hanging="425"/>
        <w:rPr>
          <w:rFonts w:eastAsia="Calibri" w:cs="Calibri"/>
        </w:rPr>
      </w:pPr>
      <w:r w:rsidRPr="0083048B">
        <w:rPr>
          <w:rFonts w:eastAsia="Calibri" w:cs="Calibri"/>
          <w:lang w:val="en"/>
        </w:rPr>
        <w:t xml:space="preserve">Act XXVIII of 2017 on International Private </w:t>
      </w:r>
      <w:proofErr w:type="gramStart"/>
      <w:r w:rsidRPr="0083048B">
        <w:rPr>
          <w:rFonts w:eastAsia="Calibri" w:cs="Calibri"/>
          <w:lang w:val="en"/>
        </w:rPr>
        <w:t>Law;</w:t>
      </w:r>
      <w:proofErr w:type="gramEnd"/>
    </w:p>
    <w:p w14:paraId="442B1D5E" w14:textId="77777777" w:rsidR="007876D3" w:rsidRPr="0083048B" w:rsidRDefault="00020EF2" w:rsidP="007876D3">
      <w:pPr>
        <w:pStyle w:val="ListParagraph"/>
        <w:widowControl w:val="0"/>
        <w:numPr>
          <w:ilvl w:val="0"/>
          <w:numId w:val="10"/>
        </w:numPr>
        <w:spacing w:after="0" w:line="240" w:lineRule="auto"/>
        <w:ind w:left="709" w:right="-16" w:hanging="425"/>
        <w:rPr>
          <w:rFonts w:eastAsia="Calibri" w:cs="Calibri"/>
        </w:rPr>
      </w:pPr>
      <w:r w:rsidRPr="0083048B">
        <w:rPr>
          <w:rFonts w:eastAsia="Calibri" w:cs="Calibri"/>
          <w:lang w:val="en"/>
        </w:rPr>
        <w:t xml:space="preserve">Act LIV of 2018 on the Protection of Business </w:t>
      </w:r>
      <w:proofErr w:type="gramStart"/>
      <w:r w:rsidRPr="0083048B">
        <w:rPr>
          <w:rFonts w:eastAsia="Calibri" w:cs="Calibri"/>
          <w:lang w:val="en"/>
        </w:rPr>
        <w:t>Secrets;</w:t>
      </w:r>
      <w:proofErr w:type="gramEnd"/>
    </w:p>
    <w:p w14:paraId="45127444" w14:textId="77777777" w:rsidR="007529E1" w:rsidRPr="0083048B" w:rsidRDefault="005178AC" w:rsidP="00D4027D">
      <w:pPr>
        <w:pStyle w:val="ListParagraph"/>
        <w:widowControl w:val="0"/>
        <w:numPr>
          <w:ilvl w:val="0"/>
          <w:numId w:val="10"/>
        </w:numPr>
        <w:spacing w:after="0" w:line="240" w:lineRule="auto"/>
        <w:ind w:left="709" w:right="-16" w:hanging="425"/>
        <w:rPr>
          <w:rFonts w:eastAsia="Calibri" w:cs="Calibri"/>
        </w:rPr>
      </w:pPr>
      <w:r w:rsidRPr="0083048B">
        <w:rPr>
          <w:rFonts w:eastAsia="Calibri" w:cs="Calibri"/>
          <w:lang w:val="en"/>
        </w:rPr>
        <w:t>Act XVII of 2022 on the General Rules for Compliance with Accessibility Requirements for Products and Services</w:t>
      </w:r>
      <w:r w:rsidRPr="0083048B">
        <w:rPr>
          <w:rStyle w:val="FootnoteReference"/>
          <w:rFonts w:eastAsia="Calibri" w:cs="Calibri"/>
          <w:lang w:val="en"/>
        </w:rPr>
        <w:footnoteReference w:id="2"/>
      </w:r>
      <w:r w:rsidRPr="0083048B">
        <w:rPr>
          <w:rFonts w:eastAsia="Calibri" w:cs="Calibri"/>
          <w:lang w:val="en"/>
        </w:rPr>
        <w:t>;</w:t>
      </w:r>
    </w:p>
    <w:p w14:paraId="70033BBA" w14:textId="77777777" w:rsidR="00D4027D" w:rsidRPr="0083048B" w:rsidRDefault="007876D3" w:rsidP="00D4027D">
      <w:pPr>
        <w:pStyle w:val="ListParagraph"/>
        <w:widowControl w:val="0"/>
        <w:numPr>
          <w:ilvl w:val="0"/>
          <w:numId w:val="10"/>
        </w:numPr>
        <w:spacing w:after="0" w:line="240" w:lineRule="auto"/>
        <w:ind w:left="709" w:right="-16" w:hanging="425"/>
        <w:rPr>
          <w:rFonts w:eastAsia="Calibri" w:cs="Calibri"/>
        </w:rPr>
      </w:pPr>
      <w:r w:rsidRPr="0083048B">
        <w:rPr>
          <w:rFonts w:eastAsia="Calibri" w:cs="Calibri"/>
          <w:lang w:val="en"/>
        </w:rPr>
        <w:t xml:space="preserve">Act XXV of 2023 on Complaints, Disclosures in Public Interest, and Related Rules on Reporting </w:t>
      </w:r>
      <w:proofErr w:type="gramStart"/>
      <w:r w:rsidRPr="0083048B">
        <w:rPr>
          <w:rFonts w:eastAsia="Calibri" w:cs="Calibri"/>
          <w:lang w:val="en"/>
        </w:rPr>
        <w:t>Abuses;</w:t>
      </w:r>
      <w:proofErr w:type="gramEnd"/>
      <w:r w:rsidRPr="0083048B">
        <w:rPr>
          <w:rFonts w:eastAsia="Calibri" w:cs="Calibri"/>
          <w:lang w:val="en"/>
        </w:rPr>
        <w:t xml:space="preserve"> </w:t>
      </w:r>
    </w:p>
    <w:p w14:paraId="47174568" w14:textId="77777777" w:rsidR="00046C1F" w:rsidRPr="0083048B" w:rsidRDefault="00024072" w:rsidP="00D4027D">
      <w:pPr>
        <w:pStyle w:val="ListParagraph"/>
        <w:widowControl w:val="0"/>
        <w:numPr>
          <w:ilvl w:val="0"/>
          <w:numId w:val="10"/>
        </w:numPr>
        <w:spacing w:after="0" w:line="240" w:lineRule="auto"/>
        <w:ind w:left="709" w:right="-16" w:hanging="425"/>
        <w:rPr>
          <w:rFonts w:eastAsia="Calibri" w:cs="Calibri"/>
        </w:rPr>
      </w:pPr>
      <w:r w:rsidRPr="0083048B">
        <w:rPr>
          <w:rFonts w:eastAsia="Calibri" w:cs="Calibri"/>
          <w:lang w:val="en"/>
        </w:rPr>
        <w:t>Act CIII of 2023 on the Digital Government and Certain Rules for the Provision of Digital Services (</w:t>
      </w:r>
      <w:r w:rsidRPr="0083048B">
        <w:rPr>
          <w:rFonts w:eastAsia="Calibri" w:cs="Calibri"/>
          <w:b/>
          <w:bCs/>
          <w:lang w:val="en"/>
        </w:rPr>
        <w:t>Digital Services Act</w:t>
      </w:r>
      <w:r w:rsidRPr="0083048B">
        <w:rPr>
          <w:rFonts w:eastAsia="Calibri" w:cs="Calibri"/>
          <w:lang w:val="en"/>
        </w:rPr>
        <w:t>)</w:t>
      </w:r>
      <w:r w:rsidRPr="0083048B">
        <w:rPr>
          <w:rStyle w:val="FootnoteReference"/>
          <w:rFonts w:eastAsia="Calibri" w:cs="Calibri"/>
          <w:lang w:val="en"/>
        </w:rPr>
        <w:footnoteReference w:id="3"/>
      </w:r>
      <w:r w:rsidRPr="0083048B">
        <w:rPr>
          <w:rFonts w:eastAsia="Calibri" w:cs="Calibri"/>
          <w:lang w:val="en"/>
        </w:rPr>
        <w:t>.</w:t>
      </w:r>
    </w:p>
    <w:p w14:paraId="62CE83EA" w14:textId="77777777" w:rsidR="000354A0" w:rsidRPr="0083048B" w:rsidRDefault="000354A0" w:rsidP="000354A0">
      <w:pPr>
        <w:widowControl w:val="0"/>
        <w:spacing w:before="5" w:after="0" w:line="240" w:lineRule="exact"/>
        <w:rPr>
          <w:rFonts w:eastAsia="Calibri" w:cs="Times New Roman"/>
          <w:sz w:val="24"/>
          <w:szCs w:val="24"/>
        </w:rPr>
      </w:pPr>
    </w:p>
    <w:p w14:paraId="27A79FBF" w14:textId="77777777" w:rsidR="00CA2727" w:rsidRPr="0083048B" w:rsidRDefault="00CA2727" w:rsidP="00CA2727">
      <w:pPr>
        <w:widowControl w:val="0"/>
        <w:spacing w:after="0" w:line="240" w:lineRule="auto"/>
        <w:ind w:left="567" w:right="-20" w:hanging="283"/>
        <w:rPr>
          <w:rFonts w:eastAsia="Calibri" w:cs="Calibri"/>
        </w:rPr>
      </w:pPr>
      <w:r w:rsidRPr="0083048B">
        <w:rPr>
          <w:rFonts w:eastAsia="Calibri" w:cs="Calibri"/>
          <w:b/>
          <w:bCs/>
          <w:lang w:val="en"/>
        </w:rPr>
        <w:t>Government Decrees:</w:t>
      </w:r>
    </w:p>
    <w:p w14:paraId="64A81FE7" w14:textId="77777777" w:rsidR="00CA2727" w:rsidRPr="0083048B" w:rsidRDefault="00CA2727" w:rsidP="00CA2727">
      <w:pPr>
        <w:widowControl w:val="0"/>
        <w:spacing w:after="0" w:line="240" w:lineRule="auto"/>
        <w:ind w:left="284" w:right="58"/>
        <w:contextualSpacing/>
        <w:rPr>
          <w:rFonts w:eastAsia="Calibri" w:cs="Calibri"/>
        </w:rPr>
      </w:pPr>
    </w:p>
    <w:p w14:paraId="20DCBFA1" w14:textId="77777777" w:rsidR="00CA2727" w:rsidRPr="0083048B" w:rsidRDefault="00CA2727" w:rsidP="00CA2727">
      <w:pPr>
        <w:widowControl w:val="0"/>
        <w:numPr>
          <w:ilvl w:val="0"/>
          <w:numId w:val="14"/>
        </w:numPr>
        <w:spacing w:after="0" w:line="240" w:lineRule="auto"/>
        <w:ind w:left="567" w:right="-20" w:hanging="283"/>
        <w:contextualSpacing/>
        <w:rPr>
          <w:rFonts w:eastAsia="Calibri" w:cs="Calibri"/>
        </w:rPr>
      </w:pPr>
      <w:r w:rsidRPr="0083048B">
        <w:rPr>
          <w:rFonts w:eastAsia="Calibri" w:cs="Calibri"/>
          <w:lang w:val="en"/>
        </w:rPr>
        <w:t>Government Decree No 12/2020 (II. 7.) on the implementation of the Act on Vocational education and training (VET</w:t>
      </w:r>
      <w:proofErr w:type="gramStart"/>
      <w:r w:rsidRPr="0083048B">
        <w:rPr>
          <w:rFonts w:eastAsia="Calibri" w:cs="Calibri"/>
          <w:lang w:val="en"/>
        </w:rPr>
        <w:t>);</w:t>
      </w:r>
      <w:proofErr w:type="gramEnd"/>
    </w:p>
    <w:p w14:paraId="4FB04DBE" w14:textId="77777777" w:rsidR="0091008A" w:rsidRPr="0083048B" w:rsidRDefault="00CA2727" w:rsidP="000933F2">
      <w:pPr>
        <w:widowControl w:val="0"/>
        <w:numPr>
          <w:ilvl w:val="0"/>
          <w:numId w:val="14"/>
        </w:numPr>
        <w:spacing w:after="0" w:line="240" w:lineRule="auto"/>
        <w:ind w:left="567" w:right="-20" w:hanging="283"/>
        <w:contextualSpacing/>
        <w:rPr>
          <w:rFonts w:eastAsia="Calibri" w:cs="Calibri"/>
        </w:rPr>
      </w:pPr>
      <w:r w:rsidRPr="0083048B">
        <w:rPr>
          <w:rFonts w:eastAsia="Calibri" w:cs="Calibri"/>
          <w:lang w:val="en"/>
        </w:rPr>
        <w:t>Government Decree No 42/2015 (III. 12.) on protecting the information system of financial institutions, insurance undertakings, reinsurance undertakings, investment firms and commodity dealers.</w:t>
      </w:r>
    </w:p>
    <w:p w14:paraId="39A34C17" w14:textId="77777777" w:rsidR="00A05DE6" w:rsidRPr="0083048B" w:rsidRDefault="00A05DE6">
      <w:pPr>
        <w:widowControl w:val="0"/>
        <w:spacing w:before="56" w:after="0" w:line="240" w:lineRule="auto"/>
        <w:ind w:left="567" w:right="7681" w:hanging="283"/>
        <w:rPr>
          <w:rFonts w:eastAsia="Calibri" w:cs="Calibri"/>
          <w:b/>
          <w:bCs/>
          <w:spacing w:val="1"/>
        </w:rPr>
      </w:pPr>
    </w:p>
    <w:p w14:paraId="48AACE92" w14:textId="77777777" w:rsidR="00A05DE6" w:rsidRPr="0083048B" w:rsidRDefault="00A05DE6" w:rsidP="00A05DE6">
      <w:pPr>
        <w:widowControl w:val="0"/>
        <w:spacing w:after="0" w:line="240" w:lineRule="auto"/>
        <w:ind w:left="567" w:right="-20" w:hanging="283"/>
        <w:rPr>
          <w:rFonts w:eastAsia="Calibri" w:cs="Calibri"/>
          <w:b/>
          <w:bCs/>
        </w:rPr>
      </w:pPr>
      <w:r w:rsidRPr="0083048B">
        <w:rPr>
          <w:rFonts w:eastAsia="Calibri" w:cs="Calibri"/>
          <w:b/>
          <w:bCs/>
          <w:lang w:val="en"/>
        </w:rPr>
        <w:t>Decree of the Minister for National Economy:</w:t>
      </w:r>
    </w:p>
    <w:p w14:paraId="5BC38410" w14:textId="77777777" w:rsidR="00750AF4" w:rsidRPr="0083048B" w:rsidRDefault="00750AF4" w:rsidP="00A05DE6">
      <w:pPr>
        <w:widowControl w:val="0"/>
        <w:spacing w:after="0" w:line="240" w:lineRule="auto"/>
        <w:ind w:left="567" w:right="-20" w:hanging="283"/>
        <w:rPr>
          <w:rFonts w:eastAsia="Calibri" w:cs="Calibri"/>
          <w:b/>
          <w:bCs/>
        </w:rPr>
      </w:pPr>
    </w:p>
    <w:p w14:paraId="76AE4F86" w14:textId="77777777" w:rsidR="00A05DE6" w:rsidRPr="0083048B" w:rsidRDefault="00750AF4" w:rsidP="00750AF4">
      <w:pPr>
        <w:widowControl w:val="0"/>
        <w:spacing w:after="0" w:line="240" w:lineRule="auto"/>
        <w:ind w:left="284" w:right="58"/>
        <w:contextualSpacing/>
        <w:rPr>
          <w:rFonts w:eastAsia="Calibri" w:cs="Calibri"/>
        </w:rPr>
      </w:pPr>
      <w:r w:rsidRPr="0083048B">
        <w:rPr>
          <w:rFonts w:eastAsia="Calibri" w:cs="Calibri"/>
          <w:lang w:val="en"/>
        </w:rPr>
        <w:t>Act LIII of 2017 on the Prevention and Combating of Money Laundering and Terrorist Financing (Anti-money Laundering Act) and Decree No 21/2017 (VIII. 3.) of the Minister for National Economy regarding the mandatory substantive elements of the internal code to be prepared pursuant to Act LII of 2017 on the Implementation of Financial and Asset-related Restrictive Measures Ordered by the European Union and the UN Security Council</w:t>
      </w:r>
    </w:p>
    <w:p w14:paraId="182DAF3C" w14:textId="77777777" w:rsidR="00CA2727" w:rsidRPr="0083048B" w:rsidRDefault="00CA2727" w:rsidP="00750AF4">
      <w:pPr>
        <w:widowControl w:val="0"/>
        <w:spacing w:after="0" w:line="240" w:lineRule="auto"/>
        <w:ind w:left="284" w:right="58"/>
        <w:contextualSpacing/>
        <w:rPr>
          <w:rFonts w:eastAsia="Calibri" w:cs="Calibri"/>
        </w:rPr>
      </w:pPr>
    </w:p>
    <w:p w14:paraId="2BA84579" w14:textId="77777777" w:rsidR="005A5B99" w:rsidRPr="0083048B" w:rsidRDefault="005A5B99">
      <w:pPr>
        <w:widowControl w:val="0"/>
        <w:spacing w:before="56" w:after="0" w:line="240" w:lineRule="auto"/>
        <w:ind w:left="567" w:right="7681" w:hanging="283"/>
        <w:rPr>
          <w:rFonts w:eastAsia="Calibri" w:cs="Calibri"/>
          <w:b/>
          <w:bCs/>
          <w:spacing w:val="1"/>
        </w:rPr>
      </w:pPr>
    </w:p>
    <w:p w14:paraId="717E0108" w14:textId="77777777" w:rsidR="00046C1F" w:rsidRPr="0083048B" w:rsidRDefault="00046C1F" w:rsidP="00915585">
      <w:pPr>
        <w:widowControl w:val="0"/>
        <w:spacing w:before="56" w:after="0" w:line="240" w:lineRule="auto"/>
        <w:ind w:left="567" w:right="7681" w:hanging="283"/>
        <w:rPr>
          <w:rFonts w:eastAsia="Calibri" w:cs="Calibri"/>
        </w:rPr>
      </w:pPr>
      <w:r w:rsidRPr="0083048B">
        <w:rPr>
          <w:rFonts w:eastAsia="Calibri" w:cs="Calibri"/>
          <w:b/>
          <w:bCs/>
          <w:lang w:val="en"/>
        </w:rPr>
        <w:t>MNB Decrees:</w:t>
      </w:r>
    </w:p>
    <w:p w14:paraId="09FA7417" w14:textId="77777777" w:rsidR="00046C1F" w:rsidRPr="0083048B" w:rsidRDefault="00046C1F" w:rsidP="00915585">
      <w:pPr>
        <w:widowControl w:val="0"/>
        <w:spacing w:before="6" w:after="0" w:line="240" w:lineRule="exact"/>
        <w:ind w:left="567" w:hanging="283"/>
        <w:rPr>
          <w:rFonts w:eastAsia="Calibri" w:cs="Times New Roman"/>
          <w:sz w:val="24"/>
          <w:szCs w:val="24"/>
        </w:rPr>
      </w:pPr>
    </w:p>
    <w:p w14:paraId="68444449" w14:textId="77777777" w:rsidR="00F173F9" w:rsidRPr="0083048B" w:rsidRDefault="00F173F9" w:rsidP="00FD56EE">
      <w:pPr>
        <w:widowControl w:val="0"/>
        <w:numPr>
          <w:ilvl w:val="0"/>
          <w:numId w:val="11"/>
        </w:numPr>
        <w:spacing w:after="0" w:line="240" w:lineRule="auto"/>
        <w:ind w:left="567" w:right="58" w:hanging="283"/>
        <w:contextualSpacing/>
        <w:rPr>
          <w:rFonts w:eastAsia="Calibri" w:cs="Calibri"/>
          <w:bCs/>
        </w:rPr>
      </w:pPr>
      <w:r w:rsidRPr="0083048B">
        <w:rPr>
          <w:rFonts w:eastAsia="Calibri" w:cs="Calibri"/>
          <w:lang w:val="en"/>
        </w:rPr>
        <w:t xml:space="preserve">MNB Decree No 32/2023 (VII. 19.) on the administrative service fee for certain licensing and registration proceedings in the framework of the supervision of the financial intermediary system by the Magyar Nemzeti Bank and proceedings carried out in respect of fiduciary </w:t>
      </w:r>
      <w:proofErr w:type="gramStart"/>
      <w:r w:rsidRPr="0083048B">
        <w:rPr>
          <w:rFonts w:eastAsia="Calibri" w:cs="Calibri"/>
          <w:lang w:val="en"/>
        </w:rPr>
        <w:t>companies;</w:t>
      </w:r>
      <w:proofErr w:type="gramEnd"/>
    </w:p>
    <w:p w14:paraId="1DFC8BA0" w14:textId="77777777" w:rsidR="00046C1F" w:rsidRPr="0083048B" w:rsidRDefault="00046C1F" w:rsidP="00FD56EE">
      <w:pPr>
        <w:widowControl w:val="0"/>
        <w:numPr>
          <w:ilvl w:val="0"/>
          <w:numId w:val="11"/>
        </w:numPr>
        <w:spacing w:after="0" w:line="240" w:lineRule="auto"/>
        <w:ind w:left="567" w:right="58" w:hanging="283"/>
        <w:contextualSpacing/>
        <w:rPr>
          <w:rFonts w:eastAsia="Calibri" w:cs="Calibri"/>
          <w:bCs/>
        </w:rPr>
      </w:pPr>
      <w:r w:rsidRPr="0083048B">
        <w:rPr>
          <w:rFonts w:eastAsia="Calibri" w:cs="Calibri"/>
          <w:lang w:val="en"/>
        </w:rPr>
        <w:t xml:space="preserve">MNB Decree No 3/2023 (VI. 19.) on the method and terms of the payment and calculation of the supervisory </w:t>
      </w:r>
      <w:proofErr w:type="gramStart"/>
      <w:r w:rsidRPr="0083048B">
        <w:rPr>
          <w:rFonts w:eastAsia="Calibri" w:cs="Calibri"/>
          <w:lang w:val="en"/>
        </w:rPr>
        <w:t>fee;</w:t>
      </w:r>
      <w:proofErr w:type="gramEnd"/>
    </w:p>
    <w:p w14:paraId="7C852A33" w14:textId="77777777" w:rsidR="00046C1F" w:rsidRPr="0083048B" w:rsidRDefault="00046C1F" w:rsidP="00FD56EE">
      <w:pPr>
        <w:widowControl w:val="0"/>
        <w:numPr>
          <w:ilvl w:val="0"/>
          <w:numId w:val="11"/>
        </w:numPr>
        <w:spacing w:after="0" w:line="240" w:lineRule="auto"/>
        <w:ind w:left="567" w:right="58" w:hanging="283"/>
        <w:contextualSpacing/>
        <w:rPr>
          <w:rFonts w:eastAsia="Calibri" w:cs="Calibri"/>
        </w:rPr>
      </w:pPr>
      <w:r w:rsidRPr="0083048B">
        <w:rPr>
          <w:rFonts w:eastAsia="Calibri" w:cs="Calibri"/>
          <w:lang w:val="en"/>
        </w:rPr>
        <w:t xml:space="preserve">MNB Decree No 54/2021 (XI. 23.) on the obligations to report data to the central bank’s information system primarily to enable the Magyar Nemzeti Bank to carry out its basic </w:t>
      </w:r>
      <w:proofErr w:type="gramStart"/>
      <w:r w:rsidRPr="0083048B">
        <w:rPr>
          <w:rFonts w:eastAsia="Calibri" w:cs="Calibri"/>
          <w:lang w:val="en"/>
        </w:rPr>
        <w:t>duties;</w:t>
      </w:r>
      <w:proofErr w:type="gramEnd"/>
    </w:p>
    <w:p w14:paraId="1BB0E5C2" w14:textId="77777777" w:rsidR="00046C1F" w:rsidRPr="0083048B" w:rsidRDefault="00046C1F" w:rsidP="00FD56EE">
      <w:pPr>
        <w:widowControl w:val="0"/>
        <w:numPr>
          <w:ilvl w:val="0"/>
          <w:numId w:val="11"/>
        </w:numPr>
        <w:spacing w:after="0" w:line="240" w:lineRule="auto"/>
        <w:ind w:left="567" w:right="58" w:hanging="283"/>
        <w:contextualSpacing/>
        <w:rPr>
          <w:rFonts w:eastAsia="Calibri" w:cs="Calibri"/>
        </w:rPr>
      </w:pPr>
      <w:r w:rsidRPr="0083048B">
        <w:rPr>
          <w:rFonts w:eastAsia="Calibri" w:cs="Calibri"/>
          <w:lang w:val="en"/>
        </w:rPr>
        <w:t xml:space="preserve">MNB Decree No 58/2015 (XII. 22.) on the static data reporting obligation of persons and </w:t>
      </w:r>
      <w:proofErr w:type="spellStart"/>
      <w:r w:rsidRPr="0083048B">
        <w:rPr>
          <w:rFonts w:eastAsia="Calibri" w:cs="Calibri"/>
          <w:lang w:val="en"/>
        </w:rPr>
        <w:t>organisations</w:t>
      </w:r>
      <w:proofErr w:type="spellEnd"/>
      <w:r w:rsidRPr="0083048B">
        <w:rPr>
          <w:rFonts w:eastAsia="Calibri" w:cs="Calibri"/>
          <w:lang w:val="en"/>
        </w:rPr>
        <w:t xml:space="preserve"> under the supervision of the system of financial </w:t>
      </w:r>
      <w:proofErr w:type="gramStart"/>
      <w:r w:rsidRPr="0083048B">
        <w:rPr>
          <w:rFonts w:eastAsia="Calibri" w:cs="Calibri"/>
          <w:lang w:val="en"/>
        </w:rPr>
        <w:t>intermediation;</w:t>
      </w:r>
      <w:proofErr w:type="gramEnd"/>
      <w:r w:rsidRPr="0083048B">
        <w:rPr>
          <w:rFonts w:eastAsia="Calibri" w:cs="Calibri"/>
          <w:lang w:val="en"/>
        </w:rPr>
        <w:t xml:space="preserve"> </w:t>
      </w:r>
    </w:p>
    <w:p w14:paraId="6C6B076F" w14:textId="77777777" w:rsidR="00CA26D5" w:rsidRPr="0083048B" w:rsidRDefault="00046C1F" w:rsidP="00F173F9">
      <w:pPr>
        <w:widowControl w:val="0"/>
        <w:numPr>
          <w:ilvl w:val="0"/>
          <w:numId w:val="11"/>
        </w:numPr>
        <w:spacing w:after="0" w:line="240" w:lineRule="auto"/>
        <w:ind w:left="567" w:right="58" w:hanging="283"/>
        <w:contextualSpacing/>
        <w:rPr>
          <w:rFonts w:eastAsia="Calibri" w:cs="Calibri"/>
        </w:rPr>
      </w:pPr>
      <w:r w:rsidRPr="0083048B">
        <w:rPr>
          <w:rFonts w:eastAsia="Calibri" w:cs="Calibri"/>
          <w:lang w:val="en"/>
        </w:rPr>
        <w:t xml:space="preserve">MNB Decree No 66/2021 (XII. 20.) on the Detailed Rules of the Forms and Methods of Complaint Management Procedures of Financial </w:t>
      </w:r>
      <w:proofErr w:type="spellStart"/>
      <w:proofErr w:type="gramStart"/>
      <w:r w:rsidRPr="0083048B">
        <w:rPr>
          <w:rFonts w:eastAsia="Calibri" w:cs="Calibri"/>
          <w:lang w:val="en"/>
        </w:rPr>
        <w:t>Organisations</w:t>
      </w:r>
      <w:proofErr w:type="spellEnd"/>
      <w:r w:rsidRPr="0083048B">
        <w:rPr>
          <w:rFonts w:eastAsia="Calibri" w:cs="Calibri"/>
          <w:lang w:val="en"/>
        </w:rPr>
        <w:t>;</w:t>
      </w:r>
      <w:proofErr w:type="gramEnd"/>
    </w:p>
    <w:p w14:paraId="610923DC" w14:textId="77777777" w:rsidR="00020EF2" w:rsidRPr="0083048B" w:rsidRDefault="00020EF2" w:rsidP="00FD56EE">
      <w:pPr>
        <w:widowControl w:val="0"/>
        <w:numPr>
          <w:ilvl w:val="0"/>
          <w:numId w:val="11"/>
        </w:numPr>
        <w:spacing w:after="0" w:line="240" w:lineRule="auto"/>
        <w:ind w:left="567" w:right="58" w:hanging="283"/>
        <w:contextualSpacing/>
        <w:rPr>
          <w:rFonts w:eastAsia="Calibri" w:cs="Calibri"/>
        </w:rPr>
      </w:pPr>
      <w:r w:rsidRPr="0083048B">
        <w:rPr>
          <w:rFonts w:eastAsia="Calibri" w:cs="Calibri"/>
          <w:lang w:val="en"/>
        </w:rPr>
        <w:t xml:space="preserve">MNB Decree No 47/2018 (XII. 17.) on diverging rules of compliance with obligations under certain MNB </w:t>
      </w:r>
      <w:proofErr w:type="gramStart"/>
      <w:r w:rsidRPr="0083048B">
        <w:rPr>
          <w:rFonts w:eastAsia="Calibri" w:cs="Calibri"/>
          <w:lang w:val="en"/>
        </w:rPr>
        <w:t>Decrees;</w:t>
      </w:r>
      <w:proofErr w:type="gramEnd"/>
    </w:p>
    <w:p w14:paraId="36B1968C" w14:textId="77777777" w:rsidR="00C6146A" w:rsidRPr="0083048B" w:rsidRDefault="00020EF2" w:rsidP="00FD56EE">
      <w:pPr>
        <w:widowControl w:val="0"/>
        <w:numPr>
          <w:ilvl w:val="0"/>
          <w:numId w:val="11"/>
        </w:numPr>
        <w:spacing w:after="0" w:line="240" w:lineRule="auto"/>
        <w:ind w:left="567" w:right="58" w:hanging="283"/>
        <w:contextualSpacing/>
        <w:rPr>
          <w:rFonts w:eastAsia="Calibri" w:cs="Calibri"/>
        </w:rPr>
      </w:pPr>
      <w:r w:rsidRPr="0083048B">
        <w:rPr>
          <w:rFonts w:eastAsia="Calibri" w:cs="Calibri"/>
          <w:lang w:val="en"/>
        </w:rPr>
        <w:t xml:space="preserve">MNB Decree No 36/2017 (XII. 27.) on the Rules of electronic communication in official matters in progress before the Magyar Nemzeti </w:t>
      </w:r>
      <w:proofErr w:type="gramStart"/>
      <w:r w:rsidRPr="0083048B">
        <w:rPr>
          <w:rFonts w:eastAsia="Calibri" w:cs="Calibri"/>
          <w:lang w:val="en"/>
        </w:rPr>
        <w:t>Bank;</w:t>
      </w:r>
      <w:proofErr w:type="gramEnd"/>
    </w:p>
    <w:p w14:paraId="55E95AB7" w14:textId="77777777" w:rsidR="00020EF2" w:rsidRPr="0083048B" w:rsidRDefault="00011287" w:rsidP="00FD56EE">
      <w:pPr>
        <w:widowControl w:val="0"/>
        <w:numPr>
          <w:ilvl w:val="0"/>
          <w:numId w:val="11"/>
        </w:numPr>
        <w:spacing w:after="0" w:line="240" w:lineRule="auto"/>
        <w:ind w:left="567" w:right="58" w:hanging="283"/>
        <w:contextualSpacing/>
        <w:rPr>
          <w:rFonts w:eastAsia="Calibri" w:cs="Calibri"/>
        </w:rPr>
      </w:pPr>
      <w:r w:rsidRPr="0083048B">
        <w:rPr>
          <w:rFonts w:eastAsia="Calibri" w:cs="Calibri"/>
          <w:lang w:val="en"/>
        </w:rPr>
        <w:t xml:space="preserve">MNB Decree No 26/2020 (VIII. 25.) on the detailed rules concerning the implementation of the Act on the Prevention and Combating of Money Laundering and Terrorist Financing, as applicable to service providers </w:t>
      </w:r>
      <w:r w:rsidRPr="0083048B">
        <w:rPr>
          <w:rFonts w:eastAsia="Calibri" w:cs="Calibri"/>
          <w:lang w:val="en"/>
        </w:rPr>
        <w:lastRenderedPageBreak/>
        <w:t xml:space="preserve">supervised by the </w:t>
      </w:r>
      <w:proofErr w:type="gramStart"/>
      <w:r w:rsidRPr="0083048B">
        <w:rPr>
          <w:rFonts w:eastAsia="Calibri" w:cs="Calibri"/>
          <w:lang w:val="en"/>
        </w:rPr>
        <w:t>MNB, and</w:t>
      </w:r>
      <w:proofErr w:type="gramEnd"/>
      <w:r w:rsidRPr="0083048B">
        <w:rPr>
          <w:rFonts w:eastAsia="Calibri" w:cs="Calibri"/>
          <w:lang w:val="en"/>
        </w:rPr>
        <w:t xml:space="preserve"> concerning the minimum requirements for the development and operation of the screening system under the Act on the Implementation of Restrictive Measures Imposed by the European Union and the UN Security Council Relating to Liquid Assets and Other Financial Interests.</w:t>
      </w:r>
    </w:p>
    <w:p w14:paraId="744A00DC" w14:textId="77777777" w:rsidR="00046C1F" w:rsidRPr="0083048B" w:rsidRDefault="00046C1F" w:rsidP="00915585">
      <w:pPr>
        <w:widowControl w:val="0"/>
        <w:spacing w:after="0" w:line="240" w:lineRule="auto"/>
        <w:ind w:left="567" w:right="58" w:hanging="283"/>
        <w:contextualSpacing/>
        <w:rPr>
          <w:rFonts w:eastAsia="Calibri" w:cs="Calibri"/>
        </w:rPr>
      </w:pPr>
    </w:p>
    <w:p w14:paraId="560FE4B7" w14:textId="77777777" w:rsidR="00046C1F" w:rsidRPr="0083048B" w:rsidRDefault="00046C1F" w:rsidP="00915585">
      <w:pPr>
        <w:widowControl w:val="0"/>
        <w:spacing w:before="3" w:after="0" w:line="240" w:lineRule="exact"/>
        <w:ind w:left="567" w:hanging="283"/>
        <w:rPr>
          <w:rFonts w:eastAsia="Calibri" w:cs="Times New Roman"/>
          <w:sz w:val="24"/>
          <w:szCs w:val="24"/>
        </w:rPr>
      </w:pPr>
    </w:p>
    <w:p w14:paraId="3AC636CB" w14:textId="77777777" w:rsidR="00046C1F" w:rsidRPr="0083048B" w:rsidRDefault="00046C1F" w:rsidP="00915585">
      <w:pPr>
        <w:widowControl w:val="0"/>
        <w:spacing w:after="0" w:line="240" w:lineRule="auto"/>
        <w:ind w:left="567" w:right="-36" w:hanging="283"/>
        <w:rPr>
          <w:rFonts w:eastAsia="Calibri" w:cs="Calibri"/>
        </w:rPr>
      </w:pPr>
      <w:r w:rsidRPr="0083048B">
        <w:rPr>
          <w:rFonts w:eastAsia="Calibri" w:cs="Calibri"/>
          <w:b/>
          <w:bCs/>
          <w:lang w:val="en"/>
        </w:rPr>
        <w:t>MNB recommendations:</w:t>
      </w:r>
    </w:p>
    <w:p w14:paraId="6130DC51" w14:textId="77777777" w:rsidR="00046C1F" w:rsidRPr="0083048B" w:rsidRDefault="00046C1F" w:rsidP="00915585">
      <w:pPr>
        <w:widowControl w:val="0"/>
        <w:spacing w:before="2" w:after="0" w:line="240" w:lineRule="exact"/>
        <w:ind w:left="567" w:hanging="283"/>
        <w:rPr>
          <w:rFonts w:eastAsia="Calibri" w:cs="Times New Roman"/>
          <w:sz w:val="24"/>
          <w:szCs w:val="24"/>
        </w:rPr>
      </w:pPr>
    </w:p>
    <w:p w14:paraId="2A80EFB6" w14:textId="77777777" w:rsidR="00A64C6E" w:rsidRPr="0083048B" w:rsidRDefault="00A64C6E" w:rsidP="00011287">
      <w:pPr>
        <w:widowControl w:val="0"/>
        <w:numPr>
          <w:ilvl w:val="0"/>
          <w:numId w:val="23"/>
        </w:numPr>
        <w:spacing w:after="0" w:line="242" w:lineRule="exact"/>
        <w:ind w:left="567" w:right="-36" w:hanging="283"/>
        <w:contextualSpacing/>
        <w:rPr>
          <w:rFonts w:eastAsia="Calibri" w:cs="Calibri"/>
        </w:rPr>
      </w:pPr>
      <w:r w:rsidRPr="0083048B">
        <w:rPr>
          <w:rFonts w:eastAsia="Calibri" w:cs="Calibri"/>
          <w:lang w:val="en"/>
        </w:rPr>
        <w:t xml:space="preserve">Recommendation No 1/2022 (I. 17.) of the Magyar Nemzeti Bank on the assessment of the eligibility of the members of executive bodies and persons in key </w:t>
      </w:r>
      <w:proofErr w:type="gramStart"/>
      <w:r w:rsidRPr="0083048B">
        <w:rPr>
          <w:rFonts w:eastAsia="Calibri" w:cs="Calibri"/>
          <w:lang w:val="en"/>
        </w:rPr>
        <w:t>position;</w:t>
      </w:r>
      <w:proofErr w:type="gramEnd"/>
    </w:p>
    <w:p w14:paraId="2F78DC41" w14:textId="77777777" w:rsidR="00B8116F" w:rsidRPr="0083048B" w:rsidRDefault="00B8116F" w:rsidP="00FD56EE">
      <w:pPr>
        <w:widowControl w:val="0"/>
        <w:numPr>
          <w:ilvl w:val="0"/>
          <w:numId w:val="23"/>
        </w:numPr>
        <w:spacing w:after="0" w:line="242" w:lineRule="exact"/>
        <w:ind w:left="567" w:right="-36" w:hanging="283"/>
        <w:contextualSpacing/>
        <w:rPr>
          <w:rFonts w:eastAsia="Calibri" w:cs="Calibri"/>
        </w:rPr>
      </w:pPr>
      <w:r w:rsidRPr="0083048B">
        <w:rPr>
          <w:lang w:val="en"/>
        </w:rPr>
        <w:t xml:space="preserve">Recommendation No 18/2022 (XII. 1.) of the Magyar Nemzeti Bank on the management of risks of financial </w:t>
      </w:r>
      <w:proofErr w:type="spellStart"/>
      <w:r w:rsidRPr="0083048B">
        <w:rPr>
          <w:lang w:val="en"/>
        </w:rPr>
        <w:t>organisations</w:t>
      </w:r>
      <w:proofErr w:type="spellEnd"/>
      <w:r w:rsidRPr="0083048B">
        <w:rPr>
          <w:lang w:val="en"/>
        </w:rPr>
        <w:t xml:space="preserve"> related to real </w:t>
      </w:r>
      <w:proofErr w:type="gramStart"/>
      <w:r w:rsidRPr="0083048B">
        <w:rPr>
          <w:lang w:val="en"/>
        </w:rPr>
        <w:t>properties;</w:t>
      </w:r>
      <w:proofErr w:type="gramEnd"/>
    </w:p>
    <w:p w14:paraId="4AA679DC" w14:textId="77777777" w:rsidR="00011287" w:rsidRPr="0083048B" w:rsidRDefault="00011287" w:rsidP="00FD56EE">
      <w:pPr>
        <w:widowControl w:val="0"/>
        <w:numPr>
          <w:ilvl w:val="0"/>
          <w:numId w:val="23"/>
        </w:numPr>
        <w:spacing w:after="0" w:line="242" w:lineRule="exact"/>
        <w:ind w:left="567" w:right="-36" w:hanging="283"/>
        <w:contextualSpacing/>
        <w:rPr>
          <w:rFonts w:eastAsia="Calibri" w:cs="Calibri"/>
        </w:rPr>
      </w:pPr>
      <w:r w:rsidRPr="0083048B">
        <w:rPr>
          <w:lang w:val="en"/>
        </w:rPr>
        <w:t xml:space="preserve">Recommendation No 15/2022 (IX. 15.) of the Magyar Nemzeti Bank on assessing the underlying risk of money laundering and terrorist financing associated with and on determining related </w:t>
      </w:r>
      <w:proofErr w:type="gramStart"/>
      <w:r w:rsidRPr="0083048B">
        <w:rPr>
          <w:lang w:val="en"/>
        </w:rPr>
        <w:t>measures;</w:t>
      </w:r>
      <w:proofErr w:type="gramEnd"/>
    </w:p>
    <w:p w14:paraId="6F9DDB5D" w14:textId="77777777" w:rsidR="00846252" w:rsidRPr="0083048B" w:rsidRDefault="00846252" w:rsidP="00FD56EE">
      <w:pPr>
        <w:widowControl w:val="0"/>
        <w:numPr>
          <w:ilvl w:val="0"/>
          <w:numId w:val="23"/>
        </w:numPr>
        <w:spacing w:after="0" w:line="242" w:lineRule="exact"/>
        <w:ind w:left="567" w:right="-36" w:hanging="283"/>
        <w:contextualSpacing/>
        <w:rPr>
          <w:rFonts w:eastAsia="Calibri" w:cs="Calibri"/>
        </w:rPr>
      </w:pPr>
      <w:r w:rsidRPr="0083048B">
        <w:rPr>
          <w:lang w:val="en"/>
        </w:rPr>
        <w:t xml:space="preserve">Recommendation No 12/2022 (VIII. 11.) of the Magyar Nemzeti Bank on setting up and using internal safeguards and on the management and control functions of financial </w:t>
      </w:r>
      <w:proofErr w:type="spellStart"/>
      <w:proofErr w:type="gramStart"/>
      <w:r w:rsidRPr="0083048B">
        <w:rPr>
          <w:lang w:val="en"/>
        </w:rPr>
        <w:t>organisations</w:t>
      </w:r>
      <w:proofErr w:type="spellEnd"/>
      <w:r w:rsidRPr="0083048B">
        <w:rPr>
          <w:lang w:val="en"/>
        </w:rPr>
        <w:t>;</w:t>
      </w:r>
      <w:proofErr w:type="gramEnd"/>
    </w:p>
    <w:p w14:paraId="15F574F3" w14:textId="77777777" w:rsidR="000E61EA" w:rsidRPr="0083048B" w:rsidRDefault="000E61EA" w:rsidP="000E61EA">
      <w:pPr>
        <w:widowControl w:val="0"/>
        <w:numPr>
          <w:ilvl w:val="0"/>
          <w:numId w:val="23"/>
        </w:numPr>
        <w:spacing w:after="0" w:line="242" w:lineRule="exact"/>
        <w:ind w:left="567" w:right="-36" w:hanging="283"/>
        <w:contextualSpacing/>
        <w:rPr>
          <w:rFonts w:eastAsia="Calibri" w:cs="Calibri"/>
        </w:rPr>
      </w:pPr>
      <w:r w:rsidRPr="0083048B">
        <w:rPr>
          <w:rFonts w:eastAsia="Calibri" w:cs="Calibri"/>
          <w:lang w:val="en"/>
        </w:rPr>
        <w:t xml:space="preserve">Recommendation No 11/2022 (VIII. 2.) of the Magyar Nemzeti Bank on taking on, measurement, management and control of credit </w:t>
      </w:r>
      <w:proofErr w:type="gramStart"/>
      <w:r w:rsidRPr="0083048B">
        <w:rPr>
          <w:rFonts w:eastAsia="Calibri" w:cs="Calibri"/>
          <w:lang w:val="en"/>
        </w:rPr>
        <w:t>risk;</w:t>
      </w:r>
      <w:proofErr w:type="gramEnd"/>
    </w:p>
    <w:p w14:paraId="049452FE" w14:textId="77777777" w:rsidR="000E61EA" w:rsidRPr="0083048B" w:rsidRDefault="000E61EA" w:rsidP="00D4027D">
      <w:pPr>
        <w:widowControl w:val="0"/>
        <w:numPr>
          <w:ilvl w:val="0"/>
          <w:numId w:val="23"/>
        </w:numPr>
        <w:spacing w:after="0" w:line="242" w:lineRule="exact"/>
        <w:ind w:left="567" w:right="-36" w:hanging="283"/>
        <w:contextualSpacing/>
        <w:rPr>
          <w:rFonts w:eastAsia="Calibri" w:cs="Calibri"/>
        </w:rPr>
      </w:pPr>
      <w:r w:rsidRPr="0083048B">
        <w:rPr>
          <w:rFonts w:eastAsia="Calibri" w:cs="Calibri"/>
          <w:lang w:val="en"/>
        </w:rPr>
        <w:t xml:space="preserve">Recommendation No 4/2022 (IV. 8.) of the Magyar Nemzeti Bank on the application of the remuneration policy under the Act on Credit Institutions and Financial </w:t>
      </w:r>
      <w:proofErr w:type="gramStart"/>
      <w:r w:rsidRPr="0083048B">
        <w:rPr>
          <w:rFonts w:eastAsia="Calibri" w:cs="Calibri"/>
          <w:lang w:val="en"/>
        </w:rPr>
        <w:t>Enterprises;</w:t>
      </w:r>
      <w:proofErr w:type="gramEnd"/>
    </w:p>
    <w:p w14:paraId="49407D0A" w14:textId="77777777" w:rsidR="009D5358" w:rsidRPr="0083048B" w:rsidRDefault="009D5358" w:rsidP="00FD56EE">
      <w:pPr>
        <w:widowControl w:val="0"/>
        <w:numPr>
          <w:ilvl w:val="0"/>
          <w:numId w:val="23"/>
        </w:numPr>
        <w:spacing w:after="0" w:line="242" w:lineRule="exact"/>
        <w:ind w:left="567" w:right="-36" w:hanging="283"/>
        <w:contextualSpacing/>
        <w:rPr>
          <w:rFonts w:eastAsia="Calibri" w:cs="Calibri"/>
        </w:rPr>
      </w:pPr>
      <w:r w:rsidRPr="0083048B">
        <w:rPr>
          <w:rFonts w:eastAsia="Calibri" w:cs="Calibri"/>
          <w:lang w:val="en"/>
        </w:rPr>
        <w:t xml:space="preserve">Recommendation No 16/2021 (XI. 25.) of the Magyar Nemzeti Bank on the financial </w:t>
      </w:r>
      <w:proofErr w:type="spellStart"/>
      <w:r w:rsidRPr="0083048B">
        <w:rPr>
          <w:rFonts w:eastAsia="Calibri" w:cs="Calibri"/>
          <w:lang w:val="en"/>
        </w:rPr>
        <w:t>organisations’</w:t>
      </w:r>
      <w:proofErr w:type="spellEnd"/>
      <w:r w:rsidRPr="0083048B">
        <w:rPr>
          <w:rFonts w:eastAsia="Calibri" w:cs="Calibri"/>
          <w:lang w:val="en"/>
        </w:rPr>
        <w:t xml:space="preserve"> complaint </w:t>
      </w:r>
      <w:proofErr w:type="gramStart"/>
      <w:r w:rsidRPr="0083048B">
        <w:rPr>
          <w:rFonts w:eastAsia="Calibri" w:cs="Calibri"/>
          <w:lang w:val="en"/>
        </w:rPr>
        <w:t>management;</w:t>
      </w:r>
      <w:proofErr w:type="gramEnd"/>
    </w:p>
    <w:p w14:paraId="4A09CD43" w14:textId="77777777" w:rsidR="00C777A9" w:rsidRPr="0083048B" w:rsidRDefault="00CC6938" w:rsidP="00FD56EE">
      <w:pPr>
        <w:widowControl w:val="0"/>
        <w:numPr>
          <w:ilvl w:val="0"/>
          <w:numId w:val="23"/>
        </w:numPr>
        <w:spacing w:after="0" w:line="242" w:lineRule="exact"/>
        <w:ind w:left="567" w:right="-36" w:hanging="283"/>
        <w:contextualSpacing/>
        <w:rPr>
          <w:rFonts w:eastAsia="Calibri" w:cs="Calibri"/>
        </w:rPr>
      </w:pPr>
      <w:r w:rsidRPr="0083048B">
        <w:rPr>
          <w:rFonts w:eastAsia="Calibri" w:cs="Calibri"/>
          <w:lang w:val="en"/>
        </w:rPr>
        <w:t xml:space="preserve">Recommendation No 14/2020 (XII. 17.) of the Magyar Nemzeti Bank on Information required by financial institutions and their intermediaries on the source of funds, on the presentation of documents regarding the source of funds to verify the submitted information, on facilitating the recognition of data, facts and conditions that serve as the basis of reports, and on actions related to the reporting of deals of high </w:t>
      </w:r>
      <w:proofErr w:type="gramStart"/>
      <w:r w:rsidRPr="0083048B">
        <w:rPr>
          <w:rFonts w:eastAsia="Calibri" w:cs="Calibri"/>
          <w:lang w:val="en"/>
        </w:rPr>
        <w:t>risk;</w:t>
      </w:r>
      <w:proofErr w:type="gramEnd"/>
    </w:p>
    <w:p w14:paraId="75145B01" w14:textId="77777777" w:rsidR="009716EF" w:rsidRPr="0083048B" w:rsidRDefault="009716EF" w:rsidP="00FD56EE">
      <w:pPr>
        <w:widowControl w:val="0"/>
        <w:numPr>
          <w:ilvl w:val="0"/>
          <w:numId w:val="23"/>
        </w:numPr>
        <w:spacing w:after="0" w:line="242" w:lineRule="exact"/>
        <w:ind w:left="567" w:right="-36" w:hanging="283"/>
        <w:contextualSpacing/>
        <w:rPr>
          <w:rFonts w:eastAsia="Calibri" w:cs="Calibri"/>
        </w:rPr>
      </w:pPr>
      <w:r w:rsidRPr="0083048B">
        <w:rPr>
          <w:rFonts w:eastAsia="Calibri" w:cs="Calibri"/>
          <w:lang w:val="en"/>
        </w:rPr>
        <w:t xml:space="preserve">Recommendation No 12/2020 (XI. 6.) of the Magyar Nemzeti Bank on the information security requirements of teleworking and remote </w:t>
      </w:r>
      <w:proofErr w:type="gramStart"/>
      <w:r w:rsidRPr="0083048B">
        <w:rPr>
          <w:rFonts w:eastAsia="Calibri" w:cs="Calibri"/>
          <w:lang w:val="en"/>
        </w:rPr>
        <w:t>access;</w:t>
      </w:r>
      <w:proofErr w:type="gramEnd"/>
      <w:r w:rsidRPr="0083048B">
        <w:rPr>
          <w:rFonts w:eastAsia="Calibri" w:cs="Calibri"/>
          <w:lang w:val="en"/>
        </w:rPr>
        <w:t xml:space="preserve"> </w:t>
      </w:r>
    </w:p>
    <w:p w14:paraId="28F42323" w14:textId="77777777" w:rsidR="009716EF" w:rsidRPr="0083048B" w:rsidRDefault="009716EF" w:rsidP="00FD56EE">
      <w:pPr>
        <w:widowControl w:val="0"/>
        <w:numPr>
          <w:ilvl w:val="0"/>
          <w:numId w:val="23"/>
        </w:numPr>
        <w:spacing w:after="0" w:line="242" w:lineRule="exact"/>
        <w:ind w:left="567" w:right="-36" w:hanging="283"/>
        <w:contextualSpacing/>
        <w:rPr>
          <w:rFonts w:eastAsia="Calibri" w:cs="Calibri"/>
        </w:rPr>
      </w:pPr>
      <w:r w:rsidRPr="0083048B">
        <w:rPr>
          <w:rFonts w:eastAsia="Calibri" w:cs="Calibri"/>
          <w:lang w:val="en"/>
        </w:rPr>
        <w:t xml:space="preserve">Recommendation No 11/2020 (X. 20.) of the Magyar Nemzeti Bank on the conditions of managing the financial </w:t>
      </w:r>
      <w:proofErr w:type="spellStart"/>
      <w:r w:rsidRPr="0083048B">
        <w:rPr>
          <w:rFonts w:eastAsia="Calibri" w:cs="Calibri"/>
          <w:lang w:val="en"/>
        </w:rPr>
        <w:t>organisations’</w:t>
      </w:r>
      <w:proofErr w:type="spellEnd"/>
      <w:r w:rsidRPr="0083048B">
        <w:rPr>
          <w:rFonts w:eastAsia="Calibri" w:cs="Calibri"/>
          <w:lang w:val="en"/>
        </w:rPr>
        <w:t xml:space="preserve"> physical security and human </w:t>
      </w:r>
      <w:proofErr w:type="gramStart"/>
      <w:r w:rsidRPr="0083048B">
        <w:rPr>
          <w:rFonts w:eastAsia="Calibri" w:cs="Calibri"/>
          <w:lang w:val="en"/>
        </w:rPr>
        <w:t>risks;</w:t>
      </w:r>
      <w:proofErr w:type="gramEnd"/>
    </w:p>
    <w:p w14:paraId="38F4AD3D" w14:textId="77777777" w:rsidR="009716EF" w:rsidRPr="0083048B" w:rsidRDefault="009716EF" w:rsidP="00FD56EE">
      <w:pPr>
        <w:widowControl w:val="0"/>
        <w:numPr>
          <w:ilvl w:val="0"/>
          <w:numId w:val="23"/>
        </w:numPr>
        <w:spacing w:after="0" w:line="242" w:lineRule="exact"/>
        <w:ind w:left="567" w:right="-36" w:hanging="283"/>
        <w:contextualSpacing/>
        <w:rPr>
          <w:rFonts w:eastAsia="Calibri" w:cs="Calibri"/>
        </w:rPr>
      </w:pPr>
      <w:r w:rsidRPr="0083048B">
        <w:rPr>
          <w:rFonts w:eastAsia="Calibri" w:cs="Calibri"/>
          <w:lang w:val="en"/>
        </w:rPr>
        <w:t xml:space="preserve">Recommendation No 9/2020 (VII. 14.) of the Magyar Nemzeti Bank to financial </w:t>
      </w:r>
      <w:proofErr w:type="spellStart"/>
      <w:r w:rsidRPr="0083048B">
        <w:rPr>
          <w:rFonts w:eastAsia="Calibri" w:cs="Calibri"/>
          <w:lang w:val="en"/>
        </w:rPr>
        <w:t>organisations</w:t>
      </w:r>
      <w:proofErr w:type="spellEnd"/>
      <w:r w:rsidRPr="0083048B">
        <w:rPr>
          <w:rFonts w:eastAsia="Calibri" w:cs="Calibri"/>
          <w:lang w:val="en"/>
        </w:rPr>
        <w:t xml:space="preserve"> on the application of consumer protection </w:t>
      </w:r>
      <w:proofErr w:type="gramStart"/>
      <w:r w:rsidRPr="0083048B">
        <w:rPr>
          <w:rFonts w:eastAsia="Calibri" w:cs="Calibri"/>
          <w:lang w:val="en"/>
        </w:rPr>
        <w:t>principles;</w:t>
      </w:r>
      <w:proofErr w:type="gramEnd"/>
    </w:p>
    <w:p w14:paraId="1DA6C77E" w14:textId="77777777" w:rsidR="009716EF" w:rsidRPr="0083048B" w:rsidRDefault="00D16C7D" w:rsidP="00FD56EE">
      <w:pPr>
        <w:widowControl w:val="0"/>
        <w:numPr>
          <w:ilvl w:val="0"/>
          <w:numId w:val="23"/>
        </w:numPr>
        <w:spacing w:after="0" w:line="242" w:lineRule="exact"/>
        <w:ind w:left="567" w:right="-36" w:hanging="283"/>
        <w:contextualSpacing/>
        <w:rPr>
          <w:rFonts w:eastAsia="Calibri" w:cs="Calibri"/>
        </w:rPr>
      </w:pPr>
      <w:r w:rsidRPr="0083048B">
        <w:rPr>
          <w:rFonts w:eastAsia="Calibri" w:cs="Calibri"/>
          <w:lang w:val="en"/>
        </w:rPr>
        <w:t xml:space="preserve"> Recommendation No 8/2020 (VI. 22.) of the Magyar Nemzeti Bank on the protection of IT </w:t>
      </w:r>
      <w:proofErr w:type="gramStart"/>
      <w:r w:rsidRPr="0083048B">
        <w:rPr>
          <w:rFonts w:eastAsia="Calibri" w:cs="Calibri"/>
          <w:lang w:val="en"/>
        </w:rPr>
        <w:t>systems;</w:t>
      </w:r>
      <w:proofErr w:type="gramEnd"/>
      <w:r w:rsidRPr="0083048B">
        <w:rPr>
          <w:rFonts w:eastAsia="Calibri" w:cs="Calibri"/>
          <w:lang w:val="en"/>
        </w:rPr>
        <w:t xml:space="preserve"> </w:t>
      </w:r>
    </w:p>
    <w:p w14:paraId="223FE772" w14:textId="77777777" w:rsidR="00046C1F" w:rsidRPr="0083048B" w:rsidRDefault="00046C1F" w:rsidP="00FD56EE">
      <w:pPr>
        <w:widowControl w:val="0"/>
        <w:numPr>
          <w:ilvl w:val="0"/>
          <w:numId w:val="23"/>
        </w:numPr>
        <w:spacing w:after="0" w:line="242" w:lineRule="exact"/>
        <w:ind w:left="567" w:right="-36" w:hanging="283"/>
        <w:contextualSpacing/>
        <w:rPr>
          <w:rFonts w:eastAsia="Calibri" w:cs="Calibri"/>
        </w:rPr>
      </w:pPr>
      <w:r w:rsidRPr="0083048B">
        <w:rPr>
          <w:rFonts w:eastAsia="Calibri" w:cs="Calibri"/>
          <w:lang w:val="en"/>
        </w:rPr>
        <w:t xml:space="preserve">Recommendation No 4/2019 (IV. 1.) of the Magyar Nemzeti Bank on the use of social and public cloud </w:t>
      </w:r>
      <w:proofErr w:type="gramStart"/>
      <w:r w:rsidRPr="0083048B">
        <w:rPr>
          <w:rFonts w:eastAsia="Calibri" w:cs="Calibri"/>
          <w:lang w:val="en"/>
        </w:rPr>
        <w:t>services;</w:t>
      </w:r>
      <w:proofErr w:type="gramEnd"/>
    </w:p>
    <w:p w14:paraId="089EBC83" w14:textId="77777777" w:rsidR="008F4F38" w:rsidRPr="0083048B" w:rsidRDefault="008F4F38" w:rsidP="008F4F38">
      <w:pPr>
        <w:widowControl w:val="0"/>
        <w:numPr>
          <w:ilvl w:val="0"/>
          <w:numId w:val="23"/>
        </w:numPr>
        <w:spacing w:after="0" w:line="242" w:lineRule="exact"/>
        <w:ind w:left="567" w:right="-36" w:hanging="283"/>
        <w:contextualSpacing/>
        <w:rPr>
          <w:rFonts w:eastAsia="Calibri" w:cs="Calibri"/>
        </w:rPr>
      </w:pPr>
      <w:r w:rsidRPr="0083048B">
        <w:rPr>
          <w:rFonts w:eastAsia="Calibri" w:cs="Calibri"/>
          <w:lang w:val="en"/>
        </w:rPr>
        <w:t xml:space="preserve">Recommendation No 6/2017 (V. 30.) of the Magyar Nemzeti Bank on the restructuring process of receivables from co-financed corporate </w:t>
      </w:r>
      <w:proofErr w:type="gramStart"/>
      <w:r w:rsidRPr="0083048B">
        <w:rPr>
          <w:rFonts w:eastAsia="Calibri" w:cs="Calibri"/>
          <w:lang w:val="en"/>
        </w:rPr>
        <w:t>borrowers;</w:t>
      </w:r>
      <w:proofErr w:type="gramEnd"/>
    </w:p>
    <w:p w14:paraId="4CB294A1" w14:textId="77777777" w:rsidR="000700E9" w:rsidRPr="0083048B" w:rsidRDefault="000700E9" w:rsidP="00FD56EE">
      <w:pPr>
        <w:widowControl w:val="0"/>
        <w:numPr>
          <w:ilvl w:val="0"/>
          <w:numId w:val="23"/>
        </w:numPr>
        <w:spacing w:after="0" w:line="242" w:lineRule="exact"/>
        <w:ind w:left="567" w:right="-36" w:hanging="283"/>
        <w:contextualSpacing/>
        <w:rPr>
          <w:rFonts w:eastAsia="Calibri" w:cs="Calibri"/>
        </w:rPr>
      </w:pPr>
      <w:r w:rsidRPr="0083048B">
        <w:rPr>
          <w:rFonts w:eastAsia="Calibri" w:cs="Calibri"/>
          <w:lang w:val="en"/>
        </w:rPr>
        <w:t>Recommendation No 4/2017 (III. 13.) of the Magyar Nemzeti Bank on the treatment of clients with disability.</w:t>
      </w:r>
    </w:p>
    <w:p w14:paraId="79FCB050" w14:textId="77777777" w:rsidR="000700E9" w:rsidRPr="0083048B" w:rsidRDefault="000700E9" w:rsidP="00915585">
      <w:pPr>
        <w:widowControl w:val="0"/>
        <w:spacing w:after="0" w:line="240" w:lineRule="auto"/>
        <w:ind w:right="7582"/>
        <w:rPr>
          <w:rFonts w:eastAsia="Calibri" w:cs="Calibri"/>
          <w:b/>
          <w:bCs/>
        </w:rPr>
      </w:pPr>
    </w:p>
    <w:p w14:paraId="6E04E65E" w14:textId="77777777" w:rsidR="00046C1F" w:rsidRPr="0083048B" w:rsidRDefault="00046C1F" w:rsidP="00915585">
      <w:pPr>
        <w:widowControl w:val="0"/>
        <w:spacing w:after="0" w:line="240" w:lineRule="auto"/>
        <w:ind w:left="567" w:right="7582" w:hanging="283"/>
        <w:rPr>
          <w:rFonts w:eastAsia="Calibri" w:cs="Calibri"/>
        </w:rPr>
      </w:pPr>
      <w:r w:rsidRPr="0083048B">
        <w:rPr>
          <w:rFonts w:eastAsia="Calibri" w:cs="Calibri"/>
          <w:b/>
          <w:bCs/>
          <w:lang w:val="en"/>
        </w:rPr>
        <w:t>Additional conditions:</w:t>
      </w:r>
    </w:p>
    <w:p w14:paraId="4D06A759" w14:textId="77777777" w:rsidR="00046C1F" w:rsidRPr="0083048B" w:rsidRDefault="00046C1F" w:rsidP="00915585">
      <w:pPr>
        <w:widowControl w:val="0"/>
        <w:spacing w:before="5" w:after="0" w:line="240" w:lineRule="exact"/>
        <w:ind w:left="567" w:hanging="283"/>
        <w:rPr>
          <w:rFonts w:eastAsia="Calibri" w:cs="Times New Roman"/>
          <w:sz w:val="24"/>
          <w:szCs w:val="24"/>
        </w:rPr>
      </w:pPr>
    </w:p>
    <w:p w14:paraId="134EDD46" w14:textId="77777777" w:rsidR="00046C1F" w:rsidRPr="0083048B" w:rsidRDefault="00046C1F" w:rsidP="00392029">
      <w:pPr>
        <w:widowControl w:val="0"/>
        <w:spacing w:after="0" w:line="240" w:lineRule="auto"/>
        <w:ind w:left="284" w:right="26"/>
        <w:rPr>
          <w:rFonts w:eastAsia="Calibri" w:cs="Calibri"/>
        </w:rPr>
      </w:pPr>
      <w:proofErr w:type="gramStart"/>
      <w:r w:rsidRPr="0083048B">
        <w:rPr>
          <w:rFonts w:eastAsia="Calibri" w:cs="Calibri"/>
          <w:lang w:val="en"/>
        </w:rPr>
        <w:t>With regard to</w:t>
      </w:r>
      <w:proofErr w:type="gramEnd"/>
      <w:r w:rsidRPr="0083048B">
        <w:rPr>
          <w:rFonts w:eastAsia="Calibri" w:cs="Calibri"/>
          <w:lang w:val="en"/>
        </w:rPr>
        <w:t xml:space="preserve"> the issues not regulated by the Hungarian laws, based on the Directives below, the MNB may also prescribe additional conditions – for public interest – for the entity pursuing the activity:</w:t>
      </w:r>
    </w:p>
    <w:p w14:paraId="538B7509" w14:textId="77777777" w:rsidR="00392029" w:rsidRPr="0083048B" w:rsidRDefault="00392029" w:rsidP="00915585">
      <w:pPr>
        <w:widowControl w:val="0"/>
        <w:spacing w:after="0" w:line="240" w:lineRule="auto"/>
        <w:ind w:left="284" w:right="26"/>
        <w:rPr>
          <w:rFonts w:eastAsia="Calibri" w:cs="Calibri"/>
        </w:rPr>
      </w:pPr>
    </w:p>
    <w:p w14:paraId="2815B35C" w14:textId="77777777" w:rsidR="00046C1F" w:rsidRPr="0083048B" w:rsidRDefault="00046C1F" w:rsidP="00FD56EE">
      <w:pPr>
        <w:widowControl w:val="0"/>
        <w:numPr>
          <w:ilvl w:val="1"/>
          <w:numId w:val="24"/>
        </w:numPr>
        <w:tabs>
          <w:tab w:val="left" w:pos="820"/>
        </w:tabs>
        <w:spacing w:after="0" w:line="240" w:lineRule="auto"/>
        <w:ind w:left="567" w:right="-20" w:hanging="283"/>
        <w:contextualSpacing/>
        <w:rPr>
          <w:rFonts w:eastAsia="Calibri" w:cs="Calibri"/>
        </w:rPr>
      </w:pPr>
      <w:r w:rsidRPr="0083048B">
        <w:rPr>
          <w:rFonts w:eastAsia="Calibri" w:cs="Calibri"/>
          <w:lang w:val="en"/>
        </w:rPr>
        <w:t xml:space="preserve">Directive 2013/36/EU of the European Parliament and of the </w:t>
      </w:r>
      <w:proofErr w:type="gramStart"/>
      <w:r w:rsidRPr="0083048B">
        <w:rPr>
          <w:rFonts w:eastAsia="Calibri" w:cs="Calibri"/>
          <w:lang w:val="en"/>
        </w:rPr>
        <w:t>Council;</w:t>
      </w:r>
      <w:proofErr w:type="gramEnd"/>
    </w:p>
    <w:p w14:paraId="638EA923" w14:textId="77777777" w:rsidR="00046C1F" w:rsidRPr="0083048B" w:rsidRDefault="00046C1F" w:rsidP="00FD56EE">
      <w:pPr>
        <w:widowControl w:val="0"/>
        <w:numPr>
          <w:ilvl w:val="1"/>
          <w:numId w:val="24"/>
        </w:numPr>
        <w:tabs>
          <w:tab w:val="left" w:pos="820"/>
        </w:tabs>
        <w:spacing w:after="0" w:line="242" w:lineRule="exact"/>
        <w:ind w:left="567" w:right="-20" w:hanging="283"/>
        <w:contextualSpacing/>
        <w:rPr>
          <w:rFonts w:eastAsia="Calibri" w:cs="Calibri"/>
        </w:rPr>
      </w:pPr>
      <w:r w:rsidRPr="0083048B">
        <w:rPr>
          <w:rFonts w:eastAsia="Calibri" w:cs="Calibri"/>
          <w:lang w:val="en"/>
        </w:rPr>
        <w:t xml:space="preserve">Directive 2014/65/EU of the European Parliament and of the </w:t>
      </w:r>
      <w:proofErr w:type="gramStart"/>
      <w:r w:rsidRPr="0083048B">
        <w:rPr>
          <w:rFonts w:eastAsia="Calibri" w:cs="Calibri"/>
          <w:lang w:val="en"/>
        </w:rPr>
        <w:t>Council;</w:t>
      </w:r>
      <w:proofErr w:type="gramEnd"/>
    </w:p>
    <w:p w14:paraId="72FB7FF3" w14:textId="77777777" w:rsidR="00046C1F" w:rsidRPr="0083048B" w:rsidRDefault="00046C1F" w:rsidP="00FD56EE">
      <w:pPr>
        <w:widowControl w:val="0"/>
        <w:numPr>
          <w:ilvl w:val="1"/>
          <w:numId w:val="24"/>
        </w:numPr>
        <w:tabs>
          <w:tab w:val="left" w:pos="820"/>
        </w:tabs>
        <w:spacing w:after="0" w:line="240" w:lineRule="auto"/>
        <w:ind w:left="567" w:right="-20" w:hanging="283"/>
        <w:contextualSpacing/>
        <w:rPr>
          <w:rFonts w:eastAsia="Calibri" w:cs="Calibri"/>
        </w:rPr>
      </w:pPr>
      <w:r w:rsidRPr="0083048B">
        <w:rPr>
          <w:rFonts w:eastAsia="Calibri" w:cs="Calibri"/>
          <w:lang w:val="en"/>
        </w:rPr>
        <w:t xml:space="preserve">Directive 2015/2366/EC of the European Parliament and of the </w:t>
      </w:r>
      <w:proofErr w:type="gramStart"/>
      <w:r w:rsidRPr="0083048B">
        <w:rPr>
          <w:rFonts w:eastAsia="Calibri" w:cs="Calibri"/>
          <w:lang w:val="en"/>
        </w:rPr>
        <w:t>Council;</w:t>
      </w:r>
      <w:proofErr w:type="gramEnd"/>
    </w:p>
    <w:p w14:paraId="35687E1F" w14:textId="77777777" w:rsidR="00046C1F" w:rsidRPr="0083048B" w:rsidRDefault="00046C1F" w:rsidP="00D4027D">
      <w:pPr>
        <w:widowControl w:val="0"/>
        <w:numPr>
          <w:ilvl w:val="1"/>
          <w:numId w:val="24"/>
        </w:numPr>
        <w:tabs>
          <w:tab w:val="left" w:pos="820"/>
        </w:tabs>
        <w:spacing w:after="0" w:line="240" w:lineRule="auto"/>
        <w:ind w:left="567" w:right="-20" w:hanging="283"/>
        <w:contextualSpacing/>
        <w:rPr>
          <w:rFonts w:eastAsia="Calibri" w:cs="Calibri"/>
        </w:rPr>
      </w:pPr>
      <w:r w:rsidRPr="0083048B">
        <w:rPr>
          <w:rFonts w:eastAsia="Calibri" w:cs="Calibri"/>
          <w:lang w:val="en"/>
        </w:rPr>
        <w:t xml:space="preserve">Directive 2009/110/EC of the European Parliament and of the </w:t>
      </w:r>
      <w:proofErr w:type="gramStart"/>
      <w:r w:rsidRPr="0083048B">
        <w:rPr>
          <w:rFonts w:eastAsia="Calibri" w:cs="Calibri"/>
          <w:lang w:val="en"/>
        </w:rPr>
        <w:t>Council;</w:t>
      </w:r>
      <w:proofErr w:type="gramEnd"/>
    </w:p>
    <w:p w14:paraId="04BB3405" w14:textId="77777777" w:rsidR="00C472C2" w:rsidRPr="0083048B" w:rsidRDefault="00046C1F" w:rsidP="00FD56EE">
      <w:pPr>
        <w:widowControl w:val="0"/>
        <w:numPr>
          <w:ilvl w:val="1"/>
          <w:numId w:val="24"/>
        </w:numPr>
        <w:tabs>
          <w:tab w:val="left" w:pos="820"/>
        </w:tabs>
        <w:spacing w:after="0" w:line="240" w:lineRule="auto"/>
        <w:ind w:left="567" w:right="-20" w:hanging="283"/>
        <w:contextualSpacing/>
        <w:rPr>
          <w:rFonts w:eastAsia="Calibri" w:cs="Calibri"/>
        </w:rPr>
      </w:pPr>
      <w:r w:rsidRPr="0083048B">
        <w:rPr>
          <w:rFonts w:eastAsia="Calibri" w:cs="Calibri"/>
          <w:lang w:val="en"/>
        </w:rPr>
        <w:t>Directive 2016/97/EU of the European Parliament and of the Council.</w:t>
      </w:r>
    </w:p>
    <w:p w14:paraId="1CC7659B" w14:textId="77777777" w:rsidR="00A61263" w:rsidRPr="0083048B" w:rsidRDefault="00A61263" w:rsidP="00A61263">
      <w:pPr>
        <w:widowControl w:val="0"/>
        <w:tabs>
          <w:tab w:val="left" w:pos="820"/>
        </w:tabs>
        <w:spacing w:after="0" w:line="240" w:lineRule="auto"/>
        <w:ind w:left="284" w:right="-20"/>
        <w:contextualSpacing/>
        <w:rPr>
          <w:rFonts w:eastAsia="Calibri" w:cs="Calibri"/>
        </w:rPr>
      </w:pPr>
    </w:p>
    <w:p w14:paraId="2891B138" w14:textId="77777777" w:rsidR="00046C1F" w:rsidRPr="0083048B" w:rsidRDefault="00046C1F" w:rsidP="00915585">
      <w:pPr>
        <w:widowControl w:val="0"/>
        <w:tabs>
          <w:tab w:val="left" w:pos="820"/>
        </w:tabs>
        <w:spacing w:before="56" w:after="0" w:line="240" w:lineRule="auto"/>
        <w:ind w:left="567" w:right="-20" w:hanging="283"/>
        <w:rPr>
          <w:rFonts w:eastAsia="Calibri" w:cs="Calibri"/>
        </w:rPr>
      </w:pPr>
      <w:r w:rsidRPr="0083048B">
        <w:rPr>
          <w:rFonts w:eastAsia="Calibri" w:cs="Calibri"/>
          <w:b/>
          <w:bCs/>
          <w:lang w:val="en"/>
        </w:rPr>
        <w:t>II.</w:t>
      </w:r>
      <w:r w:rsidRPr="0083048B">
        <w:rPr>
          <w:rFonts w:eastAsia="Calibri" w:cs="Calibri"/>
          <w:lang w:val="en"/>
        </w:rPr>
        <w:tab/>
      </w:r>
      <w:r w:rsidRPr="0083048B">
        <w:rPr>
          <w:rFonts w:eastAsia="Calibri" w:cs="Calibri"/>
          <w:b/>
          <w:bCs/>
          <w:lang w:val="en"/>
        </w:rPr>
        <w:t>SECTOR-SPECIFIC REGULATIONS</w:t>
      </w:r>
    </w:p>
    <w:p w14:paraId="784876E0" w14:textId="77777777" w:rsidR="00046C1F" w:rsidRPr="0083048B" w:rsidRDefault="00046C1F" w:rsidP="00915585">
      <w:pPr>
        <w:widowControl w:val="0"/>
        <w:spacing w:before="6" w:after="0" w:line="240" w:lineRule="exact"/>
        <w:ind w:left="567" w:hanging="283"/>
        <w:rPr>
          <w:rFonts w:eastAsia="Calibri" w:cs="Calibri"/>
          <w:spacing w:val="4"/>
        </w:rPr>
      </w:pPr>
    </w:p>
    <w:p w14:paraId="0F055ECC" w14:textId="77777777" w:rsidR="00046C1F" w:rsidRPr="0083048B" w:rsidRDefault="00046C1F" w:rsidP="00915585">
      <w:pPr>
        <w:widowControl w:val="0"/>
        <w:spacing w:after="0" w:line="240" w:lineRule="auto"/>
        <w:ind w:left="567" w:right="-20" w:hanging="283"/>
        <w:rPr>
          <w:rFonts w:eastAsia="Calibri" w:cs="Calibri"/>
          <w:b/>
          <w:spacing w:val="4"/>
        </w:rPr>
      </w:pPr>
      <w:r w:rsidRPr="0083048B">
        <w:rPr>
          <w:rFonts w:eastAsia="Calibri" w:cs="Calibri"/>
          <w:b/>
          <w:bCs/>
          <w:lang w:val="en"/>
        </w:rPr>
        <w:t>2.1. Financial institutions, payment institutions and electronic money institutions</w:t>
      </w:r>
    </w:p>
    <w:p w14:paraId="5C126F7B" w14:textId="77777777" w:rsidR="00046C1F" w:rsidRPr="0083048B" w:rsidRDefault="00046C1F" w:rsidP="00915585">
      <w:pPr>
        <w:widowControl w:val="0"/>
        <w:spacing w:before="3" w:after="0" w:line="240" w:lineRule="exact"/>
        <w:ind w:left="567" w:hanging="283"/>
        <w:rPr>
          <w:rFonts w:eastAsia="Calibri" w:cs="Times New Roman"/>
          <w:sz w:val="24"/>
          <w:szCs w:val="24"/>
        </w:rPr>
      </w:pPr>
    </w:p>
    <w:p w14:paraId="4A4BA470" w14:textId="77777777" w:rsidR="00046C1F" w:rsidRPr="0083048B" w:rsidRDefault="00046C1F" w:rsidP="00915585">
      <w:pPr>
        <w:widowControl w:val="0"/>
        <w:spacing w:after="0" w:line="240" w:lineRule="auto"/>
        <w:ind w:left="567" w:right="-20" w:hanging="283"/>
        <w:rPr>
          <w:rFonts w:eastAsia="Calibri" w:cs="Calibri"/>
        </w:rPr>
      </w:pPr>
      <w:r w:rsidRPr="0083048B">
        <w:rPr>
          <w:rFonts w:eastAsia="Calibri" w:cs="Calibri"/>
          <w:lang w:val="en"/>
        </w:rPr>
        <w:t>Pursuant to Section 42 of the Credit Institutions Act and Section 26 of the Payment Service Providers Act, the MNB provides the following statutory information.</w:t>
      </w:r>
    </w:p>
    <w:p w14:paraId="52F045F6" w14:textId="77777777" w:rsidR="00046C1F" w:rsidRPr="0083048B" w:rsidRDefault="00046C1F" w:rsidP="00915585">
      <w:pPr>
        <w:widowControl w:val="0"/>
        <w:spacing w:before="5" w:after="0" w:line="240" w:lineRule="exact"/>
        <w:ind w:left="567" w:hanging="283"/>
        <w:rPr>
          <w:rFonts w:eastAsia="Calibri" w:cs="Times New Roman"/>
          <w:sz w:val="24"/>
          <w:szCs w:val="24"/>
        </w:rPr>
      </w:pPr>
    </w:p>
    <w:p w14:paraId="66B8D012" w14:textId="77777777" w:rsidR="00046C1F" w:rsidRPr="0083048B" w:rsidRDefault="00046C1F" w:rsidP="00915585">
      <w:pPr>
        <w:widowControl w:val="0"/>
        <w:spacing w:after="0" w:line="240" w:lineRule="auto"/>
        <w:ind w:left="284" w:right="-20"/>
        <w:rPr>
          <w:rFonts w:eastAsia="Calibri" w:cs="Calibri"/>
        </w:rPr>
      </w:pPr>
      <w:r w:rsidRPr="0083048B">
        <w:rPr>
          <w:rFonts w:eastAsia="Calibri" w:cs="Calibri"/>
          <w:b/>
          <w:bCs/>
          <w:u w:val="single"/>
          <w:lang w:val="en"/>
        </w:rPr>
        <w:t>Credit institutions, financial enterprises, payment institutions and electronic money institutions,</w:t>
      </w:r>
      <w:r w:rsidRPr="0083048B">
        <w:rPr>
          <w:rFonts w:eastAsia="Calibri" w:cs="Calibri"/>
          <w:b/>
          <w:bCs/>
          <w:lang w:val="en"/>
        </w:rPr>
        <w:t xml:space="preserve"> with registered </w:t>
      </w:r>
      <w:r w:rsidRPr="0083048B">
        <w:rPr>
          <w:rFonts w:eastAsia="Calibri" w:cs="Calibri"/>
          <w:b/>
          <w:bCs/>
          <w:lang w:val="en"/>
        </w:rPr>
        <w:lastRenderedPageBreak/>
        <w:t>office in an EEA state and operating in Hungary as a branch office or cross-border service provider must pay special attention to compliance with the following legal provisions:</w:t>
      </w:r>
    </w:p>
    <w:p w14:paraId="5B133D58" w14:textId="77777777" w:rsidR="00046C1F" w:rsidRPr="0083048B" w:rsidRDefault="00046C1F" w:rsidP="00915585">
      <w:pPr>
        <w:widowControl w:val="0"/>
        <w:spacing w:before="2" w:after="0" w:line="240" w:lineRule="exact"/>
        <w:ind w:left="567" w:hanging="283"/>
        <w:rPr>
          <w:rFonts w:eastAsia="Calibri" w:cs="Times New Roman"/>
          <w:sz w:val="24"/>
          <w:szCs w:val="24"/>
        </w:rPr>
      </w:pPr>
    </w:p>
    <w:p w14:paraId="0C254E03" w14:textId="77777777" w:rsidR="00046C1F" w:rsidRPr="0083048B" w:rsidRDefault="00046C1F" w:rsidP="00915585">
      <w:pPr>
        <w:widowControl w:val="0"/>
        <w:spacing w:after="0" w:line="240" w:lineRule="auto"/>
        <w:ind w:left="567" w:right="-20" w:hanging="283"/>
        <w:rPr>
          <w:rFonts w:eastAsia="Calibri" w:cs="Calibri"/>
        </w:rPr>
      </w:pPr>
      <w:r w:rsidRPr="0083048B">
        <w:rPr>
          <w:rFonts w:eastAsia="Calibri" w:cs="Calibri"/>
          <w:b/>
          <w:bCs/>
          <w:lang w:val="en"/>
        </w:rPr>
        <w:t>Laws:</w:t>
      </w:r>
    </w:p>
    <w:p w14:paraId="0E2E71EE" w14:textId="77777777" w:rsidR="00046C1F" w:rsidRPr="0083048B" w:rsidRDefault="00046C1F" w:rsidP="00915585">
      <w:pPr>
        <w:widowControl w:val="0"/>
        <w:spacing w:before="5" w:after="0" w:line="240" w:lineRule="exact"/>
        <w:ind w:left="567" w:hanging="283"/>
        <w:rPr>
          <w:rFonts w:eastAsia="Calibri" w:cs="Times New Roman"/>
          <w:sz w:val="24"/>
          <w:szCs w:val="24"/>
        </w:rPr>
      </w:pPr>
    </w:p>
    <w:p w14:paraId="26D56AB7" w14:textId="77777777" w:rsidR="00046C1F" w:rsidRPr="0083048B" w:rsidRDefault="00046C1F" w:rsidP="00FD56EE">
      <w:pPr>
        <w:widowControl w:val="0"/>
        <w:numPr>
          <w:ilvl w:val="0"/>
          <w:numId w:val="12"/>
        </w:numPr>
        <w:spacing w:after="0" w:line="240" w:lineRule="auto"/>
        <w:ind w:left="567" w:right="-20" w:hanging="283"/>
        <w:contextualSpacing/>
        <w:rPr>
          <w:rFonts w:eastAsia="Calibri" w:cs="Calibri"/>
        </w:rPr>
      </w:pPr>
      <w:r w:rsidRPr="0083048B">
        <w:rPr>
          <w:rFonts w:eastAsia="Calibri" w:cs="Calibri"/>
          <w:lang w:val="en"/>
        </w:rPr>
        <w:t xml:space="preserve">Credit Institutions </w:t>
      </w:r>
      <w:proofErr w:type="gramStart"/>
      <w:r w:rsidRPr="0083048B">
        <w:rPr>
          <w:rFonts w:eastAsia="Calibri" w:cs="Calibri"/>
          <w:lang w:val="en"/>
        </w:rPr>
        <w:t>Act;</w:t>
      </w:r>
      <w:proofErr w:type="gramEnd"/>
    </w:p>
    <w:p w14:paraId="646BAB3F" w14:textId="77777777" w:rsidR="00046C1F" w:rsidRPr="0083048B" w:rsidRDefault="00046C1F" w:rsidP="00FD56EE">
      <w:pPr>
        <w:widowControl w:val="0"/>
        <w:numPr>
          <w:ilvl w:val="0"/>
          <w:numId w:val="12"/>
        </w:numPr>
        <w:spacing w:after="0" w:line="240" w:lineRule="auto"/>
        <w:ind w:left="567" w:right="-20" w:hanging="283"/>
        <w:contextualSpacing/>
        <w:rPr>
          <w:rFonts w:eastAsia="Calibri" w:cs="Calibri"/>
        </w:rPr>
      </w:pPr>
      <w:r w:rsidRPr="0083048B">
        <w:rPr>
          <w:rFonts w:eastAsia="Calibri" w:cs="Calibri"/>
          <w:lang w:val="en"/>
        </w:rPr>
        <w:t xml:space="preserve">Payment Service Provider </w:t>
      </w:r>
      <w:proofErr w:type="gramStart"/>
      <w:r w:rsidRPr="0083048B">
        <w:rPr>
          <w:rFonts w:eastAsia="Calibri" w:cs="Calibri"/>
          <w:lang w:val="en"/>
        </w:rPr>
        <w:t>Act;</w:t>
      </w:r>
      <w:proofErr w:type="gramEnd"/>
    </w:p>
    <w:p w14:paraId="119575A4" w14:textId="77777777" w:rsidR="00046C1F" w:rsidRPr="0083048B" w:rsidRDefault="006D1352" w:rsidP="00FD56EE">
      <w:pPr>
        <w:widowControl w:val="0"/>
        <w:numPr>
          <w:ilvl w:val="0"/>
          <w:numId w:val="12"/>
        </w:numPr>
        <w:spacing w:after="0" w:line="242" w:lineRule="exact"/>
        <w:ind w:left="567" w:right="-20" w:hanging="283"/>
        <w:contextualSpacing/>
        <w:rPr>
          <w:rFonts w:eastAsia="Calibri" w:cs="Calibri"/>
        </w:rPr>
      </w:pPr>
      <w:r w:rsidRPr="0083048B">
        <w:rPr>
          <w:rFonts w:eastAsia="Calibri" w:cs="Calibri"/>
          <w:lang w:val="en"/>
        </w:rPr>
        <w:t>Act XX of 2001 on the Capital Markets (</w:t>
      </w:r>
      <w:r w:rsidRPr="0083048B">
        <w:rPr>
          <w:rFonts w:eastAsia="Calibri" w:cs="Calibri"/>
          <w:b/>
          <w:bCs/>
          <w:lang w:val="en"/>
        </w:rPr>
        <w:t>Capital Markets Act</w:t>
      </w:r>
      <w:proofErr w:type="gramStart"/>
      <w:r w:rsidRPr="0083048B">
        <w:rPr>
          <w:rFonts w:eastAsia="Calibri" w:cs="Calibri"/>
          <w:lang w:val="en"/>
        </w:rPr>
        <w:t>);</w:t>
      </w:r>
      <w:proofErr w:type="gramEnd"/>
    </w:p>
    <w:p w14:paraId="2DCEE1AE" w14:textId="77777777" w:rsidR="00046C1F" w:rsidRPr="0083048B" w:rsidRDefault="00046C1F" w:rsidP="00FD56EE">
      <w:pPr>
        <w:widowControl w:val="0"/>
        <w:numPr>
          <w:ilvl w:val="0"/>
          <w:numId w:val="12"/>
        </w:numPr>
        <w:spacing w:after="0" w:line="240" w:lineRule="auto"/>
        <w:ind w:left="567" w:right="-20" w:hanging="283"/>
        <w:contextualSpacing/>
        <w:rPr>
          <w:rFonts w:eastAsia="Calibri" w:cs="Calibri"/>
        </w:rPr>
      </w:pPr>
      <w:r w:rsidRPr="0083048B">
        <w:rPr>
          <w:rFonts w:eastAsia="Calibri" w:cs="Calibri"/>
          <w:lang w:val="en"/>
        </w:rPr>
        <w:t xml:space="preserve">Investment Firms </w:t>
      </w:r>
      <w:proofErr w:type="gramStart"/>
      <w:r w:rsidRPr="0083048B">
        <w:rPr>
          <w:rFonts w:eastAsia="Calibri" w:cs="Calibri"/>
          <w:lang w:val="en"/>
        </w:rPr>
        <w:t>Act;</w:t>
      </w:r>
      <w:proofErr w:type="gramEnd"/>
    </w:p>
    <w:p w14:paraId="74B4A687" w14:textId="77777777" w:rsidR="00046C1F" w:rsidRPr="0083048B" w:rsidRDefault="00046C1F" w:rsidP="00FD56EE">
      <w:pPr>
        <w:widowControl w:val="0"/>
        <w:numPr>
          <w:ilvl w:val="0"/>
          <w:numId w:val="12"/>
        </w:numPr>
        <w:spacing w:before="1" w:after="0" w:line="240" w:lineRule="auto"/>
        <w:ind w:left="567" w:right="-20" w:hanging="283"/>
        <w:contextualSpacing/>
        <w:rPr>
          <w:rFonts w:eastAsia="Calibri" w:cs="Calibri"/>
        </w:rPr>
      </w:pPr>
      <w:r w:rsidRPr="0083048B">
        <w:rPr>
          <w:rFonts w:eastAsia="Calibri" w:cs="Calibri"/>
          <w:lang w:val="en"/>
        </w:rPr>
        <w:t xml:space="preserve">Act XXX of 1997 on Mortgage Loan Companies and on Mortgage Bonds </w:t>
      </w:r>
      <w:r w:rsidRPr="0083048B">
        <w:rPr>
          <w:rFonts w:eastAsia="Calibri" w:cs="Calibri"/>
          <w:b/>
          <w:bCs/>
          <w:lang w:val="en"/>
        </w:rPr>
        <w:t>(Mortgage Act</w:t>
      </w:r>
      <w:proofErr w:type="gramStart"/>
      <w:r w:rsidRPr="0083048B">
        <w:rPr>
          <w:rFonts w:eastAsia="Calibri" w:cs="Calibri"/>
          <w:b/>
          <w:bCs/>
          <w:lang w:val="en"/>
        </w:rPr>
        <w:t>)</w:t>
      </w:r>
      <w:r w:rsidRPr="0083048B">
        <w:rPr>
          <w:rFonts w:eastAsia="Calibri" w:cs="Calibri"/>
          <w:lang w:val="en"/>
        </w:rPr>
        <w:t>;</w:t>
      </w:r>
      <w:proofErr w:type="gramEnd"/>
    </w:p>
    <w:p w14:paraId="51656C79" w14:textId="77777777" w:rsidR="00046C1F" w:rsidRPr="0083048B" w:rsidRDefault="00046C1F" w:rsidP="00FD56EE">
      <w:pPr>
        <w:widowControl w:val="0"/>
        <w:numPr>
          <w:ilvl w:val="0"/>
          <w:numId w:val="12"/>
        </w:numPr>
        <w:spacing w:after="0" w:line="242" w:lineRule="exact"/>
        <w:ind w:left="567" w:right="-20" w:hanging="283"/>
        <w:contextualSpacing/>
        <w:rPr>
          <w:rFonts w:eastAsia="Calibri" w:cs="Calibri"/>
        </w:rPr>
      </w:pPr>
      <w:r w:rsidRPr="0083048B">
        <w:rPr>
          <w:rFonts w:eastAsia="Calibri" w:cs="Calibri"/>
          <w:lang w:val="en"/>
        </w:rPr>
        <w:t>Act CXIII of 1996 on Building Societies (</w:t>
      </w:r>
      <w:r w:rsidRPr="0083048B">
        <w:rPr>
          <w:rFonts w:eastAsia="Calibri" w:cs="Calibri"/>
          <w:b/>
          <w:bCs/>
          <w:lang w:val="en"/>
        </w:rPr>
        <w:t>Building Society Act</w:t>
      </w:r>
      <w:r w:rsidRPr="0083048B">
        <w:rPr>
          <w:rFonts w:eastAsia="Calibri" w:cs="Calibri"/>
          <w:lang w:val="en"/>
        </w:rPr>
        <w:t>)</w:t>
      </w:r>
    </w:p>
    <w:p w14:paraId="3AFF394C" w14:textId="77777777" w:rsidR="00046C1F" w:rsidRPr="0083048B" w:rsidRDefault="00046C1F" w:rsidP="00FD56EE">
      <w:pPr>
        <w:widowControl w:val="0"/>
        <w:numPr>
          <w:ilvl w:val="0"/>
          <w:numId w:val="12"/>
        </w:numPr>
        <w:spacing w:after="0" w:line="240" w:lineRule="auto"/>
        <w:ind w:left="567" w:right="-20" w:hanging="283"/>
        <w:contextualSpacing/>
        <w:rPr>
          <w:rFonts w:eastAsia="Calibri" w:cs="Calibri"/>
        </w:rPr>
      </w:pPr>
      <w:r w:rsidRPr="0083048B">
        <w:rPr>
          <w:rFonts w:eastAsia="Calibri" w:cs="Calibri"/>
          <w:lang w:val="en"/>
        </w:rPr>
        <w:t>Act LXXXV of 2009 on the Pursuit of the Business of Payment Services (</w:t>
      </w:r>
      <w:r w:rsidRPr="0083048B">
        <w:rPr>
          <w:rFonts w:eastAsia="Calibri" w:cs="Calibri"/>
          <w:b/>
          <w:bCs/>
          <w:lang w:val="en"/>
        </w:rPr>
        <w:t>Payment Services Act</w:t>
      </w:r>
      <w:proofErr w:type="gramStart"/>
      <w:r w:rsidRPr="0083048B">
        <w:rPr>
          <w:rFonts w:eastAsia="Calibri" w:cs="Calibri"/>
          <w:lang w:val="en"/>
        </w:rPr>
        <w:t>);</w:t>
      </w:r>
      <w:proofErr w:type="gramEnd"/>
    </w:p>
    <w:p w14:paraId="6C45DC31" w14:textId="77777777" w:rsidR="00B00896" w:rsidRPr="0083048B" w:rsidRDefault="00046C1F" w:rsidP="00FD56EE">
      <w:pPr>
        <w:widowControl w:val="0"/>
        <w:numPr>
          <w:ilvl w:val="0"/>
          <w:numId w:val="12"/>
        </w:numPr>
        <w:spacing w:after="0" w:line="240" w:lineRule="auto"/>
        <w:ind w:left="567" w:right="-20" w:hanging="283"/>
        <w:contextualSpacing/>
        <w:rPr>
          <w:rFonts w:eastAsia="Calibri" w:cs="Calibri"/>
        </w:rPr>
      </w:pPr>
      <w:r w:rsidRPr="0083048B">
        <w:rPr>
          <w:rFonts w:eastAsia="Calibri" w:cs="Calibri"/>
          <w:lang w:val="en"/>
        </w:rPr>
        <w:t>Act CXXII of 2011 on the Central Credit Information System (</w:t>
      </w:r>
      <w:r w:rsidRPr="0083048B">
        <w:rPr>
          <w:rFonts w:eastAsia="Calibri" w:cs="Calibri"/>
          <w:b/>
          <w:bCs/>
          <w:lang w:val="en"/>
        </w:rPr>
        <w:t>CCIS Act</w:t>
      </w:r>
      <w:proofErr w:type="gramStart"/>
      <w:r w:rsidRPr="0083048B">
        <w:rPr>
          <w:rFonts w:eastAsia="Calibri" w:cs="Calibri"/>
          <w:lang w:val="en"/>
        </w:rPr>
        <w:t>);</w:t>
      </w:r>
      <w:proofErr w:type="gramEnd"/>
    </w:p>
    <w:p w14:paraId="4F1D3DDC" w14:textId="77777777" w:rsidR="003748CA" w:rsidRPr="0083048B" w:rsidRDefault="00046C1F" w:rsidP="00824E0B">
      <w:pPr>
        <w:widowControl w:val="0"/>
        <w:numPr>
          <w:ilvl w:val="0"/>
          <w:numId w:val="12"/>
        </w:numPr>
        <w:spacing w:after="0" w:line="240" w:lineRule="auto"/>
        <w:ind w:left="567" w:right="-20" w:hanging="283"/>
        <w:contextualSpacing/>
        <w:rPr>
          <w:rFonts w:eastAsia="Calibri" w:cs="Calibri"/>
        </w:rPr>
      </w:pPr>
      <w:r w:rsidRPr="0083048B">
        <w:rPr>
          <w:rFonts w:eastAsia="Calibri" w:cs="Calibri"/>
          <w:lang w:val="en"/>
        </w:rPr>
        <w:t>Act CLXII of 2009 on Consumer Credit (</w:t>
      </w:r>
      <w:r w:rsidRPr="0083048B">
        <w:rPr>
          <w:rFonts w:eastAsia="Calibri" w:cs="Calibri"/>
          <w:b/>
          <w:bCs/>
          <w:lang w:val="en"/>
        </w:rPr>
        <w:t>Consumer Credit Act</w:t>
      </w:r>
      <w:proofErr w:type="gramStart"/>
      <w:r w:rsidRPr="0083048B">
        <w:rPr>
          <w:rFonts w:eastAsia="Calibri" w:cs="Calibri"/>
          <w:lang w:val="en"/>
        </w:rPr>
        <w:t>);</w:t>
      </w:r>
      <w:proofErr w:type="gramEnd"/>
    </w:p>
    <w:p w14:paraId="2FDAF6B7" w14:textId="77777777" w:rsidR="00092232" w:rsidRPr="0083048B" w:rsidRDefault="00092232" w:rsidP="004614D9">
      <w:pPr>
        <w:widowControl w:val="0"/>
        <w:numPr>
          <w:ilvl w:val="0"/>
          <w:numId w:val="12"/>
        </w:numPr>
        <w:spacing w:after="0" w:line="240" w:lineRule="auto"/>
        <w:ind w:left="567" w:right="-20" w:hanging="283"/>
        <w:contextualSpacing/>
        <w:rPr>
          <w:rFonts w:eastAsia="Calibri" w:cs="Calibri"/>
          <w:spacing w:val="1"/>
        </w:rPr>
      </w:pPr>
      <w:r w:rsidRPr="0083048B">
        <w:rPr>
          <w:rFonts w:eastAsia="Calibri" w:cs="Calibri"/>
          <w:lang w:val="en"/>
        </w:rPr>
        <w:t xml:space="preserve">Act CV of 2015 on the Debt Settlement of Natural </w:t>
      </w:r>
      <w:proofErr w:type="gramStart"/>
      <w:r w:rsidRPr="0083048B">
        <w:rPr>
          <w:rFonts w:eastAsia="Calibri" w:cs="Calibri"/>
          <w:lang w:val="en"/>
        </w:rPr>
        <w:t>Persons;</w:t>
      </w:r>
      <w:proofErr w:type="gramEnd"/>
      <w:r w:rsidRPr="0083048B">
        <w:rPr>
          <w:rFonts w:eastAsia="Calibri" w:cs="Calibri"/>
          <w:lang w:val="en"/>
        </w:rPr>
        <w:t xml:space="preserve">  </w:t>
      </w:r>
    </w:p>
    <w:p w14:paraId="7E37A37E" w14:textId="77777777" w:rsidR="00E46D71" w:rsidRPr="0083048B" w:rsidRDefault="00E46D71" w:rsidP="004614D9">
      <w:pPr>
        <w:widowControl w:val="0"/>
        <w:numPr>
          <w:ilvl w:val="0"/>
          <w:numId w:val="12"/>
        </w:numPr>
        <w:spacing w:after="0" w:line="240" w:lineRule="auto"/>
        <w:ind w:left="567" w:right="-20" w:hanging="283"/>
        <w:contextualSpacing/>
        <w:rPr>
          <w:rFonts w:eastAsia="Calibri" w:cs="Calibri"/>
          <w:spacing w:val="1"/>
        </w:rPr>
      </w:pPr>
      <w:r w:rsidRPr="0083048B">
        <w:rPr>
          <w:rFonts w:eastAsia="Calibri" w:cs="Calibri"/>
          <w:lang w:val="en"/>
        </w:rPr>
        <w:t xml:space="preserve">Act IV of 2009 on the Government surety provided for housing </w:t>
      </w:r>
      <w:proofErr w:type="gramStart"/>
      <w:r w:rsidRPr="0083048B">
        <w:rPr>
          <w:rFonts w:eastAsia="Calibri" w:cs="Calibri"/>
          <w:lang w:val="en"/>
        </w:rPr>
        <w:t>loans;</w:t>
      </w:r>
      <w:proofErr w:type="gramEnd"/>
    </w:p>
    <w:p w14:paraId="378810E2" w14:textId="77777777" w:rsidR="00742125" w:rsidRPr="0083048B" w:rsidRDefault="00742125" w:rsidP="004614D9">
      <w:pPr>
        <w:widowControl w:val="0"/>
        <w:numPr>
          <w:ilvl w:val="0"/>
          <w:numId w:val="12"/>
        </w:numPr>
        <w:spacing w:after="0" w:line="240" w:lineRule="auto"/>
        <w:ind w:left="567" w:right="-20" w:hanging="283"/>
        <w:contextualSpacing/>
        <w:rPr>
          <w:rFonts w:eastAsia="Calibri" w:cs="Calibri"/>
          <w:spacing w:val="1"/>
        </w:rPr>
      </w:pPr>
      <w:r w:rsidRPr="0083048B">
        <w:rPr>
          <w:rFonts w:eastAsia="Calibri" w:cs="Calibri"/>
          <w:lang w:val="en"/>
        </w:rPr>
        <w:t xml:space="preserve">Act LXXV of 2011 on the fixing of exchange rates used for repayments of foreign exchange-denominated mortgage loans and the procedure of forced sales of residential </w:t>
      </w:r>
      <w:proofErr w:type="gramStart"/>
      <w:r w:rsidRPr="0083048B">
        <w:rPr>
          <w:rFonts w:eastAsia="Calibri" w:cs="Calibri"/>
          <w:lang w:val="en"/>
        </w:rPr>
        <w:t>properties;</w:t>
      </w:r>
      <w:proofErr w:type="gramEnd"/>
    </w:p>
    <w:p w14:paraId="79FC8E88" w14:textId="77777777" w:rsidR="00773717" w:rsidRPr="0083048B" w:rsidRDefault="00742125" w:rsidP="00824E0B">
      <w:pPr>
        <w:widowControl w:val="0"/>
        <w:numPr>
          <w:ilvl w:val="0"/>
          <w:numId w:val="12"/>
        </w:numPr>
        <w:spacing w:after="0" w:line="240" w:lineRule="auto"/>
        <w:ind w:left="567" w:right="-20" w:hanging="283"/>
        <w:contextualSpacing/>
        <w:rPr>
          <w:rFonts w:eastAsia="Calibri" w:cs="Calibri"/>
          <w:spacing w:val="1"/>
        </w:rPr>
      </w:pPr>
      <w:r w:rsidRPr="0083048B">
        <w:rPr>
          <w:rFonts w:eastAsia="Calibri" w:cs="Calibri"/>
          <w:lang w:val="en"/>
        </w:rPr>
        <w:t>Act CXVI of 2012 on the financial transaction levy.</w:t>
      </w:r>
    </w:p>
    <w:p w14:paraId="68F4EED7" w14:textId="77777777" w:rsidR="00B00896" w:rsidRPr="0083048B" w:rsidRDefault="00B00896" w:rsidP="00915585">
      <w:pPr>
        <w:widowControl w:val="0"/>
        <w:spacing w:after="0" w:line="240" w:lineRule="auto"/>
        <w:ind w:left="567" w:right="-20" w:hanging="283"/>
        <w:rPr>
          <w:rFonts w:eastAsia="Calibri" w:cs="Calibri"/>
        </w:rPr>
      </w:pPr>
    </w:p>
    <w:p w14:paraId="177B9CA1" w14:textId="77777777" w:rsidR="00046C1F" w:rsidRPr="0083048B" w:rsidRDefault="00046C1F" w:rsidP="00915585">
      <w:pPr>
        <w:widowControl w:val="0"/>
        <w:spacing w:after="0" w:line="240" w:lineRule="auto"/>
        <w:ind w:left="567" w:right="-20" w:hanging="283"/>
        <w:rPr>
          <w:rFonts w:eastAsia="Calibri" w:cs="Calibri"/>
        </w:rPr>
      </w:pPr>
      <w:r w:rsidRPr="0083048B">
        <w:rPr>
          <w:rFonts w:eastAsia="Calibri" w:cs="Calibri"/>
          <w:lang w:val="en"/>
        </w:rPr>
        <w:t>The knowledge of particularly the following legal provisions is indispensable for the pursuit of business activities:</w:t>
      </w:r>
    </w:p>
    <w:p w14:paraId="7C347CE3" w14:textId="77777777" w:rsidR="00046C1F" w:rsidRPr="0083048B" w:rsidRDefault="00046C1F" w:rsidP="00915585">
      <w:pPr>
        <w:widowControl w:val="0"/>
        <w:spacing w:after="0" w:line="240" w:lineRule="auto"/>
        <w:ind w:left="567" w:right="-20" w:hanging="283"/>
        <w:rPr>
          <w:rFonts w:eastAsia="Calibri" w:cs="Times New Roman"/>
          <w:sz w:val="24"/>
          <w:szCs w:val="24"/>
        </w:rPr>
      </w:pPr>
    </w:p>
    <w:p w14:paraId="04A81DB5" w14:textId="77777777" w:rsidR="00046C1F" w:rsidRPr="0083048B" w:rsidRDefault="00046C1F" w:rsidP="00FD56EE">
      <w:pPr>
        <w:widowControl w:val="0"/>
        <w:numPr>
          <w:ilvl w:val="0"/>
          <w:numId w:val="13"/>
        </w:numPr>
        <w:spacing w:after="0" w:line="240" w:lineRule="auto"/>
        <w:ind w:left="567" w:right="-20" w:hanging="283"/>
        <w:contextualSpacing/>
        <w:rPr>
          <w:rFonts w:eastAsia="Calibri" w:cs="Calibri"/>
        </w:rPr>
      </w:pPr>
      <w:r w:rsidRPr="0083048B">
        <w:rPr>
          <w:rFonts w:eastAsia="Calibri" w:cs="Calibri"/>
          <w:lang w:val="en"/>
        </w:rPr>
        <w:t>Credit Institutions Act:</w:t>
      </w:r>
      <w:r w:rsidRPr="0083048B">
        <w:rPr>
          <w:rFonts w:eastAsia="Calibri" w:cs="Calibri"/>
          <w:b/>
          <w:bCs/>
          <w:lang w:val="en"/>
        </w:rPr>
        <w:t xml:space="preserve"> </w:t>
      </w:r>
      <w:r w:rsidRPr="0083048B">
        <w:rPr>
          <w:rFonts w:eastAsia="Calibri" w:cs="Calibri"/>
          <w:lang w:val="en"/>
        </w:rPr>
        <w:t>Sections 4–5, Section 6, Section 14(4), Section 15(4), Section 19; Sections 36–42, Sections 73–74, Section 105/A, Section 140(1); Section 141; Sections 159–166/B; Section 167(3), Section 168, Sections 175–176, Sections 199–199/A, Section 208(7)–(8), Sections 209–216; Section 236; Sections 268–283; Section 285, Section 286, Section 287, Section 288 and Annex 2;</w:t>
      </w:r>
    </w:p>
    <w:p w14:paraId="40886B5E" w14:textId="77777777" w:rsidR="00046C1F" w:rsidRPr="0083048B" w:rsidRDefault="00046C1F" w:rsidP="00FD56EE">
      <w:pPr>
        <w:widowControl w:val="0"/>
        <w:numPr>
          <w:ilvl w:val="0"/>
          <w:numId w:val="13"/>
        </w:numPr>
        <w:spacing w:after="0" w:line="240" w:lineRule="auto"/>
        <w:ind w:left="567" w:right="-20" w:hanging="283"/>
        <w:contextualSpacing/>
        <w:rPr>
          <w:rFonts w:eastAsia="Calibri" w:cs="Calibri"/>
        </w:rPr>
      </w:pPr>
      <w:r w:rsidRPr="0083048B">
        <w:rPr>
          <w:rFonts w:eastAsia="Calibri" w:cs="Calibri"/>
          <w:lang w:val="en"/>
        </w:rPr>
        <w:t>Payment Service Provider Act:</w:t>
      </w:r>
      <w:r w:rsidRPr="0083048B">
        <w:rPr>
          <w:rFonts w:eastAsia="Calibri" w:cs="Calibri"/>
          <w:b/>
          <w:bCs/>
          <w:lang w:val="en"/>
        </w:rPr>
        <w:t xml:space="preserve"> </w:t>
      </w:r>
      <w:r w:rsidRPr="0083048B">
        <w:rPr>
          <w:rFonts w:eastAsia="Calibri" w:cs="Calibri"/>
          <w:lang w:val="en"/>
        </w:rPr>
        <w:t>Sections 4(3)</w:t>
      </w:r>
      <w:proofErr w:type="gramStart"/>
      <w:r w:rsidRPr="0083048B">
        <w:rPr>
          <w:rFonts w:eastAsia="Calibri" w:cs="Calibri"/>
          <w:lang w:val="en"/>
        </w:rPr>
        <w:t>–(</w:t>
      </w:r>
      <w:proofErr w:type="gramEnd"/>
      <w:r w:rsidRPr="0083048B">
        <w:rPr>
          <w:rFonts w:eastAsia="Calibri" w:cs="Calibri"/>
          <w:lang w:val="en"/>
        </w:rPr>
        <w:t>4)–(5); Section 10(1); Sections 58–64/A; Section 65, Section 66, Section 70, Section 70/A, Section 71, Sections 80/A–80/B;</w:t>
      </w:r>
    </w:p>
    <w:p w14:paraId="4C8BBAFB" w14:textId="77777777" w:rsidR="00D92784" w:rsidRPr="0083048B" w:rsidRDefault="00D92784" w:rsidP="00FD56EE">
      <w:pPr>
        <w:widowControl w:val="0"/>
        <w:numPr>
          <w:ilvl w:val="0"/>
          <w:numId w:val="13"/>
        </w:numPr>
        <w:spacing w:after="0" w:line="240" w:lineRule="auto"/>
        <w:ind w:left="567" w:right="-20" w:hanging="283"/>
        <w:contextualSpacing/>
        <w:rPr>
          <w:rFonts w:eastAsia="Calibri" w:cs="Calibri"/>
        </w:rPr>
      </w:pPr>
      <w:r w:rsidRPr="0083048B">
        <w:rPr>
          <w:rFonts w:eastAsia="Calibri" w:cs="Calibri"/>
          <w:lang w:val="en"/>
        </w:rPr>
        <w:t>Capital Markets Act: Sections 147–</w:t>
      </w:r>
      <w:proofErr w:type="gramStart"/>
      <w:r w:rsidRPr="0083048B">
        <w:rPr>
          <w:rFonts w:eastAsia="Calibri" w:cs="Calibri"/>
          <w:lang w:val="en"/>
        </w:rPr>
        <w:t>148;</w:t>
      </w:r>
      <w:proofErr w:type="gramEnd"/>
      <w:r w:rsidRPr="0083048B">
        <w:rPr>
          <w:rFonts w:eastAsia="Calibri" w:cs="Calibri"/>
          <w:lang w:val="en"/>
        </w:rPr>
        <w:t xml:space="preserve"> </w:t>
      </w:r>
    </w:p>
    <w:p w14:paraId="2791141D" w14:textId="77777777" w:rsidR="00D92784" w:rsidRPr="0083048B" w:rsidRDefault="00D92784" w:rsidP="00FD56EE">
      <w:pPr>
        <w:widowControl w:val="0"/>
        <w:numPr>
          <w:ilvl w:val="0"/>
          <w:numId w:val="13"/>
        </w:numPr>
        <w:spacing w:after="0" w:line="240" w:lineRule="auto"/>
        <w:ind w:left="567" w:right="-20" w:hanging="283"/>
        <w:contextualSpacing/>
        <w:rPr>
          <w:rFonts w:eastAsia="Calibri" w:cs="Calibri"/>
        </w:rPr>
      </w:pPr>
      <w:r w:rsidRPr="0083048B">
        <w:rPr>
          <w:rFonts w:eastAsia="Calibri" w:cs="Calibri"/>
          <w:lang w:val="en"/>
        </w:rPr>
        <w:t xml:space="preserve">Investment Firms Act: Sections 40–46, Section 57, Section 64, Sections 67–69/A and Section </w:t>
      </w:r>
      <w:proofErr w:type="gramStart"/>
      <w:r w:rsidRPr="0083048B">
        <w:rPr>
          <w:rFonts w:eastAsia="Calibri" w:cs="Calibri"/>
          <w:lang w:val="en"/>
        </w:rPr>
        <w:t>118;</w:t>
      </w:r>
      <w:proofErr w:type="gramEnd"/>
    </w:p>
    <w:p w14:paraId="03BD69B7" w14:textId="77777777" w:rsidR="00D92784" w:rsidRPr="0083048B" w:rsidRDefault="00D92784" w:rsidP="00FD56EE">
      <w:pPr>
        <w:widowControl w:val="0"/>
        <w:numPr>
          <w:ilvl w:val="0"/>
          <w:numId w:val="13"/>
        </w:numPr>
        <w:spacing w:after="0" w:line="240" w:lineRule="auto"/>
        <w:ind w:left="567" w:right="-20" w:hanging="283"/>
        <w:contextualSpacing/>
        <w:rPr>
          <w:rFonts w:eastAsia="Calibri" w:cs="Calibri"/>
        </w:rPr>
      </w:pPr>
      <w:r w:rsidRPr="0083048B">
        <w:rPr>
          <w:rFonts w:eastAsia="Calibri" w:cs="Calibri"/>
          <w:lang w:val="en"/>
        </w:rPr>
        <w:t>Payment Services Act: Sections 8–12/A. §; Sections 13–14/A, Sections 15–17, Sections 22–27, Sections 29–31, Section 32, Section 41, Sections 44–45, Sections 56–</w:t>
      </w:r>
      <w:proofErr w:type="gramStart"/>
      <w:r w:rsidRPr="0083048B">
        <w:rPr>
          <w:rFonts w:eastAsia="Calibri" w:cs="Calibri"/>
          <w:lang w:val="en"/>
        </w:rPr>
        <w:t>58;</w:t>
      </w:r>
      <w:proofErr w:type="gramEnd"/>
    </w:p>
    <w:p w14:paraId="148D4868" w14:textId="77777777" w:rsidR="00D92784" w:rsidRPr="0083048B" w:rsidRDefault="00D92784" w:rsidP="00FD56EE">
      <w:pPr>
        <w:widowControl w:val="0"/>
        <w:numPr>
          <w:ilvl w:val="0"/>
          <w:numId w:val="13"/>
        </w:numPr>
        <w:spacing w:after="0" w:line="240" w:lineRule="auto"/>
        <w:ind w:left="567" w:right="-20" w:hanging="283"/>
        <w:contextualSpacing/>
        <w:rPr>
          <w:rFonts w:eastAsia="Calibri" w:cs="Calibri"/>
        </w:rPr>
      </w:pPr>
      <w:r w:rsidRPr="0083048B">
        <w:rPr>
          <w:rFonts w:eastAsia="Calibri" w:cs="Calibri"/>
          <w:lang w:val="en"/>
        </w:rPr>
        <w:t>CCIS Act: Section 9 (2), Sections 15–</w:t>
      </w:r>
      <w:proofErr w:type="gramStart"/>
      <w:r w:rsidRPr="0083048B">
        <w:rPr>
          <w:rFonts w:eastAsia="Calibri" w:cs="Calibri"/>
          <w:lang w:val="en"/>
        </w:rPr>
        <w:t>16;</w:t>
      </w:r>
      <w:proofErr w:type="gramEnd"/>
    </w:p>
    <w:p w14:paraId="0B1F76BB" w14:textId="77777777" w:rsidR="00D92784" w:rsidRPr="0083048B" w:rsidRDefault="00D92784" w:rsidP="00FD56EE">
      <w:pPr>
        <w:widowControl w:val="0"/>
        <w:numPr>
          <w:ilvl w:val="0"/>
          <w:numId w:val="13"/>
        </w:numPr>
        <w:spacing w:after="0" w:line="240" w:lineRule="auto"/>
        <w:ind w:left="567" w:right="-20" w:hanging="283"/>
        <w:contextualSpacing/>
        <w:rPr>
          <w:rFonts w:eastAsia="Calibri" w:cs="Calibri"/>
        </w:rPr>
      </w:pPr>
      <w:r w:rsidRPr="0083048B">
        <w:rPr>
          <w:rFonts w:eastAsia="Calibri" w:cs="Calibri"/>
          <w:lang w:val="en"/>
        </w:rPr>
        <w:t>Consumer Credit Act: Sections 4–13, Sections 15–16, Sections 17–19, Sections 21/A–21/B and Sections 23–</w:t>
      </w:r>
      <w:proofErr w:type="gramStart"/>
      <w:r w:rsidRPr="0083048B">
        <w:rPr>
          <w:rFonts w:eastAsia="Calibri" w:cs="Calibri"/>
          <w:lang w:val="en"/>
        </w:rPr>
        <w:t>25;</w:t>
      </w:r>
      <w:proofErr w:type="gramEnd"/>
      <w:r w:rsidRPr="0083048B">
        <w:rPr>
          <w:rFonts w:eastAsia="Calibri" w:cs="Calibri"/>
          <w:lang w:val="en"/>
        </w:rPr>
        <w:t xml:space="preserve"> </w:t>
      </w:r>
    </w:p>
    <w:p w14:paraId="511A9935" w14:textId="77777777" w:rsidR="00AA6FD2" w:rsidRPr="0083048B" w:rsidRDefault="00AA6FD2" w:rsidP="00FD56EE">
      <w:pPr>
        <w:widowControl w:val="0"/>
        <w:numPr>
          <w:ilvl w:val="0"/>
          <w:numId w:val="13"/>
        </w:numPr>
        <w:spacing w:after="0" w:line="240" w:lineRule="auto"/>
        <w:ind w:left="567" w:right="-20" w:hanging="283"/>
        <w:contextualSpacing/>
        <w:rPr>
          <w:rFonts w:eastAsia="Calibri" w:cs="Calibri"/>
        </w:rPr>
      </w:pPr>
      <w:r w:rsidRPr="0083048B">
        <w:rPr>
          <w:rFonts w:eastAsia="Calibri" w:cs="Calibri"/>
          <w:lang w:val="en"/>
        </w:rPr>
        <w:t>Act IV of 1978 on the Criminal Code, effective until 30 June 2013: Section 177/A, Section 298/D, Section 300, Sections 303-303/C; and Act C of 2012 on the Criminal Code is effective as of 1 July 2013: Section 219, Sections 399–402, Section 408, Sections 410–411, Sections 413–</w:t>
      </w:r>
      <w:proofErr w:type="gramStart"/>
      <w:r w:rsidRPr="0083048B">
        <w:rPr>
          <w:rFonts w:eastAsia="Calibri" w:cs="Calibri"/>
          <w:lang w:val="en"/>
        </w:rPr>
        <w:t>414;</w:t>
      </w:r>
      <w:proofErr w:type="gramEnd"/>
    </w:p>
    <w:p w14:paraId="047465B7" w14:textId="77777777" w:rsidR="00AA6FD2" w:rsidRPr="0083048B" w:rsidRDefault="00AA6FD2" w:rsidP="00FD56EE">
      <w:pPr>
        <w:widowControl w:val="0"/>
        <w:numPr>
          <w:ilvl w:val="0"/>
          <w:numId w:val="13"/>
        </w:numPr>
        <w:spacing w:after="0" w:line="240" w:lineRule="auto"/>
        <w:ind w:left="567" w:right="-20" w:hanging="283"/>
        <w:contextualSpacing/>
        <w:rPr>
          <w:rFonts w:eastAsia="Calibri" w:cs="Calibri"/>
        </w:rPr>
      </w:pPr>
      <w:r w:rsidRPr="0083048B">
        <w:rPr>
          <w:rFonts w:eastAsia="Calibri" w:cs="Calibri"/>
          <w:lang w:val="en"/>
        </w:rPr>
        <w:t>Civil Code: Section 6:42–6:48. Section; 5:86–5:144. Section; 6:565–6:571. Section; 6:221–6:226. Section; 6:360–6:365; Heading XX (Loan and account contracts).</w:t>
      </w:r>
    </w:p>
    <w:p w14:paraId="006EE0B2" w14:textId="77777777" w:rsidR="00D92784" w:rsidRPr="0083048B" w:rsidRDefault="00D92784" w:rsidP="00915585">
      <w:pPr>
        <w:widowControl w:val="0"/>
        <w:spacing w:after="0" w:line="240" w:lineRule="auto"/>
        <w:ind w:left="567" w:right="-20"/>
        <w:contextualSpacing/>
        <w:rPr>
          <w:rFonts w:eastAsia="Calibri" w:cs="Calibri"/>
        </w:rPr>
      </w:pPr>
    </w:p>
    <w:p w14:paraId="38AEBD85" w14:textId="77777777" w:rsidR="00046C1F" w:rsidRPr="0083048B" w:rsidRDefault="00046C1F" w:rsidP="00915585">
      <w:pPr>
        <w:widowControl w:val="0"/>
        <w:spacing w:before="3" w:after="0" w:line="240" w:lineRule="exact"/>
        <w:ind w:left="567" w:hanging="283"/>
        <w:rPr>
          <w:rFonts w:eastAsia="Calibri" w:cs="Times New Roman"/>
          <w:sz w:val="24"/>
          <w:szCs w:val="24"/>
        </w:rPr>
      </w:pPr>
    </w:p>
    <w:p w14:paraId="22A95B48" w14:textId="77777777" w:rsidR="00046C1F" w:rsidRPr="0083048B" w:rsidRDefault="00046C1F" w:rsidP="00915585">
      <w:pPr>
        <w:widowControl w:val="0"/>
        <w:spacing w:after="0" w:line="240" w:lineRule="auto"/>
        <w:ind w:left="567" w:right="-20" w:hanging="283"/>
        <w:rPr>
          <w:rFonts w:eastAsia="Calibri" w:cs="Calibri"/>
        </w:rPr>
      </w:pPr>
      <w:r w:rsidRPr="0083048B">
        <w:rPr>
          <w:rFonts w:eastAsia="Calibri" w:cs="Calibri"/>
          <w:b/>
          <w:bCs/>
          <w:lang w:val="en"/>
        </w:rPr>
        <w:t>Government Decrees:</w:t>
      </w:r>
    </w:p>
    <w:p w14:paraId="561F8E6E" w14:textId="77777777" w:rsidR="00FB1A79" w:rsidRPr="0083048B" w:rsidRDefault="00FB1A79" w:rsidP="00824E0B">
      <w:pPr>
        <w:widowControl w:val="0"/>
        <w:spacing w:after="0" w:line="240" w:lineRule="auto"/>
        <w:ind w:right="-20"/>
        <w:contextualSpacing/>
        <w:rPr>
          <w:rFonts w:eastAsia="Calibri" w:cs="Calibri"/>
        </w:rPr>
      </w:pPr>
    </w:p>
    <w:p w14:paraId="13A7F16C" w14:textId="77777777" w:rsidR="00395BD5" w:rsidRPr="0083048B" w:rsidRDefault="006F78F6" w:rsidP="00C822EA">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Government Decree No 471/2022 (XI. 21.) on Certain economic measures</w:t>
      </w:r>
      <w:r w:rsidRPr="0083048B">
        <w:rPr>
          <w:rStyle w:val="FootnoteReference"/>
          <w:rFonts w:eastAsia="Calibri" w:cs="Calibri"/>
          <w:lang w:val="en"/>
        </w:rPr>
        <w:footnoteReference w:id="4"/>
      </w:r>
      <w:r w:rsidRPr="0083048B">
        <w:rPr>
          <w:rFonts w:eastAsia="Calibri" w:cs="Calibri"/>
          <w:lang w:val="en"/>
        </w:rPr>
        <w:t>;</w:t>
      </w:r>
    </w:p>
    <w:p w14:paraId="2CE57F72" w14:textId="77777777" w:rsidR="00395BD5" w:rsidRPr="0083048B" w:rsidRDefault="00395BD5" w:rsidP="00D4027D">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Government Decree 782/2021 (XII. 24.) on the Different Application in a State of Emergency of Act CLXII of 2009 on Credit Provided to the </w:t>
      </w:r>
      <w:proofErr w:type="gramStart"/>
      <w:r w:rsidRPr="0083048B">
        <w:rPr>
          <w:rFonts w:eastAsia="Calibri" w:cs="Calibri"/>
          <w:lang w:val="en"/>
        </w:rPr>
        <w:t>Consumer;</w:t>
      </w:r>
      <w:proofErr w:type="gramEnd"/>
    </w:p>
    <w:p w14:paraId="7B570FA1" w14:textId="77777777" w:rsidR="00AA1260" w:rsidRPr="0083048B" w:rsidRDefault="00AA1260">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Government Decree No 263/2016 (VIII. 31.) on Payment account </w:t>
      </w:r>
      <w:proofErr w:type="gramStart"/>
      <w:r w:rsidRPr="0083048B">
        <w:rPr>
          <w:rFonts w:eastAsia="Calibri" w:cs="Calibri"/>
          <w:lang w:val="en"/>
        </w:rPr>
        <w:t>switching;</w:t>
      </w:r>
      <w:proofErr w:type="gramEnd"/>
    </w:p>
    <w:p w14:paraId="55FF7DCF" w14:textId="77777777" w:rsidR="00681152" w:rsidRPr="0083048B" w:rsidRDefault="00681152" w:rsidP="00D4027D">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Government Decree No 262/2016 (VIII. 31.) on access to basic payment accounts and the features of and charges payable for basic payment </w:t>
      </w:r>
      <w:proofErr w:type="gramStart"/>
      <w:r w:rsidRPr="0083048B">
        <w:rPr>
          <w:rFonts w:eastAsia="Calibri" w:cs="Calibri"/>
          <w:lang w:val="en"/>
        </w:rPr>
        <w:t>accounts;</w:t>
      </w:r>
      <w:proofErr w:type="gramEnd"/>
    </w:p>
    <w:p w14:paraId="458A64D0" w14:textId="77777777" w:rsidR="00046C1F" w:rsidRPr="0083048B" w:rsidRDefault="00046C1F" w:rsidP="00D4027D">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Government Decree No 180/2001 (X. 4.) on the Distraint of deposits and savings </w:t>
      </w:r>
      <w:proofErr w:type="gramStart"/>
      <w:r w:rsidRPr="0083048B">
        <w:rPr>
          <w:rFonts w:eastAsia="Calibri" w:cs="Calibri"/>
          <w:lang w:val="en"/>
        </w:rPr>
        <w:t>deposits;</w:t>
      </w:r>
      <w:proofErr w:type="gramEnd"/>
    </w:p>
    <w:p w14:paraId="694A47A4" w14:textId="77777777" w:rsidR="00046C1F" w:rsidRPr="0083048B" w:rsidRDefault="00046C1F" w:rsidP="00D4027D">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Government Decree No 82/2010 (III. 25.) on Calculating and announcing deposit interest rates and securities’ </w:t>
      </w:r>
      <w:proofErr w:type="gramStart"/>
      <w:r w:rsidRPr="0083048B">
        <w:rPr>
          <w:rFonts w:eastAsia="Calibri" w:cs="Calibri"/>
          <w:lang w:val="en"/>
        </w:rPr>
        <w:t>yields;</w:t>
      </w:r>
      <w:proofErr w:type="gramEnd"/>
    </w:p>
    <w:p w14:paraId="61AB54BD" w14:textId="77777777" w:rsidR="00046C1F" w:rsidRPr="0083048B" w:rsidRDefault="00046C1F" w:rsidP="00D4027D">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Government Decree No 250/2000 (XII. 24) on the special features of the annual reporting and bookkeeping obligations of credit institutions and financial </w:t>
      </w:r>
      <w:proofErr w:type="gramStart"/>
      <w:r w:rsidRPr="0083048B">
        <w:rPr>
          <w:rFonts w:eastAsia="Calibri" w:cs="Calibri"/>
          <w:lang w:val="en"/>
        </w:rPr>
        <w:t>enterprises;</w:t>
      </w:r>
      <w:proofErr w:type="gramEnd"/>
    </w:p>
    <w:p w14:paraId="04DEC1A9" w14:textId="77777777" w:rsidR="00046C1F" w:rsidRPr="0083048B" w:rsidRDefault="00046C1F">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lastRenderedPageBreak/>
        <w:t xml:space="preserve">Government Decree No 47/1997 (III. 12.) on the General Contractual Terms and Conditions of Building </w:t>
      </w:r>
      <w:proofErr w:type="gramStart"/>
      <w:r w:rsidRPr="0083048B">
        <w:rPr>
          <w:rFonts w:eastAsia="Calibri" w:cs="Calibri"/>
          <w:lang w:val="en"/>
        </w:rPr>
        <w:t>Societies;</w:t>
      </w:r>
      <w:proofErr w:type="gramEnd"/>
    </w:p>
    <w:p w14:paraId="70B8328E" w14:textId="77777777" w:rsidR="003A1E6A" w:rsidRPr="0083048B" w:rsidRDefault="003A1E6A" w:rsidP="00D4027D">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Government Decree No 215/1996 (XII. 23.) on the state subsidy of savings for </w:t>
      </w:r>
      <w:proofErr w:type="gramStart"/>
      <w:r w:rsidRPr="0083048B">
        <w:rPr>
          <w:rFonts w:eastAsia="Calibri" w:cs="Calibri"/>
          <w:lang w:val="en"/>
        </w:rPr>
        <w:t>housing;</w:t>
      </w:r>
      <w:proofErr w:type="gramEnd"/>
    </w:p>
    <w:p w14:paraId="65785A55" w14:textId="77777777" w:rsidR="00046C1F" w:rsidRPr="0083048B" w:rsidRDefault="00046C1F" w:rsidP="00D4027D">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Government Decree No 297/2001 (XII. 27.) on Currency exchange </w:t>
      </w:r>
      <w:proofErr w:type="gramStart"/>
      <w:r w:rsidRPr="0083048B">
        <w:rPr>
          <w:rFonts w:eastAsia="Calibri" w:cs="Calibri"/>
          <w:lang w:val="en"/>
        </w:rPr>
        <w:t>services;</w:t>
      </w:r>
      <w:proofErr w:type="gramEnd"/>
    </w:p>
    <w:p w14:paraId="552E6CAF" w14:textId="77777777" w:rsidR="00046C1F" w:rsidRPr="0083048B" w:rsidRDefault="00046C1F" w:rsidP="00D4027D">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Government Decree No 361/2009 (XII. 30.) on the Conditions of prudential lending to households and on the assessment of </w:t>
      </w:r>
      <w:proofErr w:type="gramStart"/>
      <w:r w:rsidRPr="0083048B">
        <w:rPr>
          <w:rFonts w:eastAsia="Calibri" w:cs="Calibri"/>
          <w:lang w:val="en"/>
        </w:rPr>
        <w:t>creditworthiness;</w:t>
      </w:r>
      <w:proofErr w:type="gramEnd"/>
    </w:p>
    <w:p w14:paraId="710C4E70" w14:textId="77777777" w:rsidR="00693A4F" w:rsidRPr="0083048B" w:rsidRDefault="00046C1F" w:rsidP="00D4027D">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Government Decree No 83/2010 (III. 25.) on the Definition, calculation and publication of the annual percentage rate of </w:t>
      </w:r>
      <w:proofErr w:type="gramStart"/>
      <w:r w:rsidRPr="0083048B">
        <w:rPr>
          <w:rFonts w:eastAsia="Calibri" w:cs="Calibri"/>
          <w:lang w:val="en"/>
        </w:rPr>
        <w:t>charge;</w:t>
      </w:r>
      <w:proofErr w:type="gramEnd"/>
    </w:p>
    <w:p w14:paraId="002A08DD" w14:textId="77777777" w:rsidR="008834D0" w:rsidRPr="0083048B" w:rsidRDefault="00046C1F" w:rsidP="00D4027D">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Government Decree No 435/2016 (XII. 16.) on the Detailed rules pertaining to the complaint management procedure of investment firms, payment institutions, electronic money institutions, voucher issuing undertakings, financial institutions and independent financial service intermediaries, and to their complaint management </w:t>
      </w:r>
      <w:proofErr w:type="gramStart"/>
      <w:r w:rsidRPr="0083048B">
        <w:rPr>
          <w:rFonts w:eastAsia="Calibri" w:cs="Calibri"/>
          <w:lang w:val="en"/>
        </w:rPr>
        <w:t>policies;</w:t>
      </w:r>
      <w:proofErr w:type="gramEnd"/>
      <w:r w:rsidRPr="0083048B">
        <w:rPr>
          <w:rFonts w:eastAsia="Calibri" w:cs="Calibri"/>
          <w:lang w:val="en"/>
        </w:rPr>
        <w:t xml:space="preserve"> </w:t>
      </w:r>
    </w:p>
    <w:p w14:paraId="67A2C898" w14:textId="77777777" w:rsidR="008834D0" w:rsidRPr="0083048B" w:rsidRDefault="00A425B8" w:rsidP="00D4027D">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 Government Decree No 163/2011 (VIII. 22.) on the Excessively high monthly instalment related to credit facility contract for overflow account </w:t>
      </w:r>
      <w:proofErr w:type="gramStart"/>
      <w:r w:rsidRPr="0083048B">
        <w:rPr>
          <w:rFonts w:eastAsia="Calibri" w:cs="Calibri"/>
          <w:lang w:val="en"/>
        </w:rPr>
        <w:t>loans;</w:t>
      </w:r>
      <w:proofErr w:type="gramEnd"/>
    </w:p>
    <w:p w14:paraId="6AF665E8" w14:textId="77777777" w:rsidR="008834D0" w:rsidRPr="0083048B" w:rsidRDefault="00A425B8" w:rsidP="00D4027D">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 Government Decree No 341/2011 (XII. 29.) on </w:t>
      </w:r>
      <w:proofErr w:type="gramStart"/>
      <w:r w:rsidRPr="0083048B">
        <w:rPr>
          <w:rFonts w:eastAsia="Calibri" w:cs="Calibri"/>
          <w:lang w:val="en"/>
        </w:rPr>
        <w:t>Home</w:t>
      </w:r>
      <w:proofErr w:type="gramEnd"/>
      <w:r w:rsidRPr="0083048B">
        <w:rPr>
          <w:rFonts w:eastAsia="Calibri" w:cs="Calibri"/>
          <w:lang w:val="en"/>
        </w:rPr>
        <w:t xml:space="preserve"> purchase interest subsidy</w:t>
      </w:r>
    </w:p>
    <w:p w14:paraId="09B052B8" w14:textId="77777777" w:rsidR="008834D0" w:rsidRPr="0083048B" w:rsidRDefault="00A425B8" w:rsidP="00D4027D">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 Government Decree No 57/2012 (III. 30) on Reimbursement in relation to the exchange rate fixing of foreign currency loans and the assistance to public servants</w:t>
      </w:r>
    </w:p>
    <w:p w14:paraId="4C6223CD" w14:textId="77777777" w:rsidR="008834D0" w:rsidRPr="0083048B" w:rsidRDefault="00A425B8" w:rsidP="00D4027D">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 Government Decree No 274/2018 (XII. 21.) on Certain rules related to the fostering the home purchase of natural persons participating in the National Asset Management </w:t>
      </w:r>
      <w:proofErr w:type="spellStart"/>
      <w:proofErr w:type="gramStart"/>
      <w:r w:rsidRPr="0083048B">
        <w:rPr>
          <w:rFonts w:eastAsia="Calibri" w:cs="Calibri"/>
          <w:lang w:val="en"/>
        </w:rPr>
        <w:t>Programme</w:t>
      </w:r>
      <w:proofErr w:type="spellEnd"/>
      <w:r w:rsidRPr="0083048B">
        <w:rPr>
          <w:rFonts w:eastAsia="Calibri" w:cs="Calibri"/>
          <w:lang w:val="en"/>
        </w:rPr>
        <w:t>;</w:t>
      </w:r>
      <w:proofErr w:type="gramEnd"/>
    </w:p>
    <w:p w14:paraId="6C0449D5" w14:textId="77777777" w:rsidR="00D22BB8" w:rsidRPr="0083048B" w:rsidRDefault="00A425B8">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 Government Decree No 153/2009 (VII. 23.) on Certain issues necessary for improving the efficiency of consumer protection in the financial </w:t>
      </w:r>
      <w:proofErr w:type="gramStart"/>
      <w:r w:rsidRPr="0083048B">
        <w:rPr>
          <w:rFonts w:eastAsia="Calibri" w:cs="Calibri"/>
          <w:lang w:val="en"/>
        </w:rPr>
        <w:t>sector;</w:t>
      </w:r>
      <w:proofErr w:type="gramEnd"/>
    </w:p>
    <w:p w14:paraId="7B9172D3" w14:textId="77777777" w:rsidR="008834D0" w:rsidRPr="0083048B" w:rsidRDefault="00D22BB8" w:rsidP="00D4027D">
      <w:pPr>
        <w:widowControl w:val="0"/>
        <w:numPr>
          <w:ilvl w:val="0"/>
          <w:numId w:val="37"/>
        </w:numPr>
        <w:spacing w:after="0" w:line="242" w:lineRule="exact"/>
        <w:ind w:left="567" w:right="-20" w:hanging="283"/>
        <w:contextualSpacing/>
        <w:rPr>
          <w:rFonts w:eastAsia="Calibri" w:cs="Calibri"/>
          <w:position w:val="1"/>
        </w:rPr>
      </w:pPr>
      <w:r w:rsidRPr="0083048B">
        <w:rPr>
          <w:rFonts w:eastAsia="Calibri" w:cs="Calibri"/>
          <w:lang w:val="en"/>
        </w:rPr>
        <w:t xml:space="preserve">Government Decree No 284/2001 (XII. 26.) on the Method and security rules of producing and forwarding </w:t>
      </w:r>
      <w:proofErr w:type="spellStart"/>
      <w:r w:rsidRPr="0083048B">
        <w:rPr>
          <w:rFonts w:eastAsia="Calibri" w:cs="Calibri"/>
          <w:lang w:val="en"/>
        </w:rPr>
        <w:t>dematerialised</w:t>
      </w:r>
      <w:proofErr w:type="spellEnd"/>
      <w:r w:rsidRPr="0083048B">
        <w:rPr>
          <w:rFonts w:eastAsia="Calibri" w:cs="Calibri"/>
          <w:lang w:val="en"/>
        </w:rPr>
        <w:t xml:space="preserve"> securities, and the rules of opening and keeping securities accounts, central securities </w:t>
      </w:r>
      <w:proofErr w:type="gramStart"/>
      <w:r w:rsidRPr="0083048B">
        <w:rPr>
          <w:rFonts w:eastAsia="Calibri" w:cs="Calibri"/>
          <w:lang w:val="en"/>
        </w:rPr>
        <w:t>accounts</w:t>
      </w:r>
      <w:proofErr w:type="gramEnd"/>
      <w:r w:rsidRPr="0083048B">
        <w:rPr>
          <w:rFonts w:eastAsia="Calibri" w:cs="Calibri"/>
          <w:lang w:val="en"/>
        </w:rPr>
        <w:t xml:space="preserve"> and customer accounts.</w:t>
      </w:r>
    </w:p>
    <w:p w14:paraId="15EF1200" w14:textId="77777777" w:rsidR="00046C1F" w:rsidRPr="0083048B" w:rsidRDefault="00046C1F" w:rsidP="008834D0">
      <w:pPr>
        <w:widowControl w:val="0"/>
        <w:spacing w:after="0" w:line="240" w:lineRule="auto"/>
        <w:ind w:left="284" w:right="-20"/>
        <w:contextualSpacing/>
        <w:rPr>
          <w:rFonts w:eastAsia="Calibri" w:cs="Times New Roman"/>
          <w:sz w:val="24"/>
          <w:szCs w:val="24"/>
        </w:rPr>
      </w:pPr>
    </w:p>
    <w:p w14:paraId="0F923B88" w14:textId="77777777" w:rsidR="003D21B9" w:rsidRPr="0083048B" w:rsidRDefault="003D21B9" w:rsidP="00915585">
      <w:pPr>
        <w:widowControl w:val="0"/>
        <w:spacing w:before="3" w:after="0" w:line="240" w:lineRule="exact"/>
        <w:ind w:left="567" w:hanging="283"/>
        <w:rPr>
          <w:rFonts w:eastAsia="Calibri" w:cs="Times New Roman"/>
          <w:sz w:val="24"/>
          <w:szCs w:val="24"/>
        </w:rPr>
      </w:pPr>
    </w:p>
    <w:p w14:paraId="7802865A" w14:textId="77777777" w:rsidR="00CA2727" w:rsidRPr="0083048B" w:rsidRDefault="00CA2727" w:rsidP="00CA2727">
      <w:pPr>
        <w:widowControl w:val="0"/>
        <w:spacing w:after="0" w:line="240" w:lineRule="auto"/>
        <w:ind w:left="567" w:right="-20" w:hanging="283"/>
        <w:rPr>
          <w:rFonts w:eastAsia="Calibri" w:cs="Calibri"/>
          <w:b/>
          <w:bCs/>
        </w:rPr>
      </w:pPr>
      <w:r w:rsidRPr="0083048B">
        <w:rPr>
          <w:rFonts w:eastAsia="Calibri" w:cs="Calibri"/>
          <w:b/>
          <w:bCs/>
          <w:lang w:val="en"/>
        </w:rPr>
        <w:t>Decrees of the Minister of Finance:</w:t>
      </w:r>
    </w:p>
    <w:p w14:paraId="13E92282" w14:textId="77777777" w:rsidR="00F15A90" w:rsidRPr="0083048B" w:rsidRDefault="00F15A90" w:rsidP="00CA2727">
      <w:pPr>
        <w:widowControl w:val="0"/>
        <w:spacing w:after="0" w:line="240" w:lineRule="auto"/>
        <w:ind w:left="567" w:right="-20" w:hanging="283"/>
        <w:rPr>
          <w:rFonts w:eastAsia="Calibri" w:cs="Calibri"/>
          <w:b/>
          <w:bCs/>
        </w:rPr>
      </w:pPr>
    </w:p>
    <w:p w14:paraId="71DD99C9" w14:textId="77777777" w:rsidR="00CA2727" w:rsidRPr="0083048B" w:rsidRDefault="00CA2727" w:rsidP="004614D9">
      <w:pPr>
        <w:widowControl w:val="0"/>
        <w:numPr>
          <w:ilvl w:val="0"/>
          <w:numId w:val="51"/>
        </w:numPr>
        <w:spacing w:after="0" w:line="242" w:lineRule="exact"/>
        <w:ind w:left="567" w:right="-20" w:hanging="283"/>
        <w:contextualSpacing/>
        <w:rPr>
          <w:rFonts w:eastAsia="Calibri" w:cs="Calibri"/>
          <w:position w:val="1"/>
        </w:rPr>
      </w:pPr>
      <w:r w:rsidRPr="0083048B">
        <w:rPr>
          <w:rFonts w:eastAsia="Calibri" w:cs="Calibri"/>
          <w:lang w:val="en"/>
        </w:rPr>
        <w:t xml:space="preserve">Decree 54/1997 (VIII. 1.) of the Minister of Agriculture on the principles and methodology of the establishment of the lending </w:t>
      </w:r>
      <w:proofErr w:type="gramStart"/>
      <w:r w:rsidRPr="0083048B">
        <w:rPr>
          <w:rFonts w:eastAsia="Calibri" w:cs="Calibri"/>
          <w:lang w:val="en"/>
        </w:rPr>
        <w:t>value;</w:t>
      </w:r>
      <w:proofErr w:type="gramEnd"/>
    </w:p>
    <w:p w14:paraId="5D619593" w14:textId="77777777" w:rsidR="00CA2727" w:rsidRPr="0083048B" w:rsidRDefault="00CA2727" w:rsidP="004614D9">
      <w:pPr>
        <w:widowControl w:val="0"/>
        <w:numPr>
          <w:ilvl w:val="0"/>
          <w:numId w:val="51"/>
        </w:numPr>
        <w:spacing w:after="0" w:line="242" w:lineRule="exact"/>
        <w:ind w:left="567" w:right="-20" w:hanging="283"/>
        <w:contextualSpacing/>
        <w:rPr>
          <w:rFonts w:eastAsia="Calibri" w:cs="Calibri"/>
          <w:position w:val="1"/>
        </w:rPr>
      </w:pPr>
      <w:r w:rsidRPr="0083048B">
        <w:rPr>
          <w:rFonts w:eastAsia="Calibri" w:cs="Calibri"/>
          <w:lang w:val="en"/>
        </w:rPr>
        <w:t>Decree No 25/1997 (VIII. 1.) of the Minister of Finance on the methodological principles for defining the mortgage lending value of properties not qualifying as arable land.</w:t>
      </w:r>
    </w:p>
    <w:p w14:paraId="03B4156D" w14:textId="77777777" w:rsidR="00CA2727" w:rsidRPr="0083048B" w:rsidRDefault="00CA2727" w:rsidP="00915585">
      <w:pPr>
        <w:widowControl w:val="0"/>
        <w:spacing w:after="0" w:line="240" w:lineRule="auto"/>
        <w:ind w:left="567" w:right="-20" w:hanging="283"/>
        <w:rPr>
          <w:rFonts w:eastAsia="Calibri" w:cs="Calibri"/>
          <w:b/>
          <w:bCs/>
          <w:spacing w:val="1"/>
          <w:sz w:val="24"/>
          <w:szCs w:val="24"/>
        </w:rPr>
      </w:pPr>
    </w:p>
    <w:p w14:paraId="2EA6B517" w14:textId="77777777" w:rsidR="00824E0B" w:rsidRPr="0083048B" w:rsidRDefault="00824E0B" w:rsidP="00915585">
      <w:pPr>
        <w:widowControl w:val="0"/>
        <w:spacing w:after="0" w:line="240" w:lineRule="auto"/>
        <w:ind w:left="567" w:right="-20" w:hanging="283"/>
        <w:rPr>
          <w:rFonts w:eastAsia="Calibri" w:cs="Calibri"/>
          <w:b/>
          <w:bCs/>
          <w:spacing w:val="1"/>
          <w:sz w:val="24"/>
          <w:szCs w:val="24"/>
        </w:rPr>
      </w:pPr>
    </w:p>
    <w:p w14:paraId="4C7DF990" w14:textId="77777777" w:rsidR="00046C1F" w:rsidRPr="0083048B" w:rsidRDefault="00046C1F" w:rsidP="00915585">
      <w:pPr>
        <w:widowControl w:val="0"/>
        <w:spacing w:after="0" w:line="240" w:lineRule="auto"/>
        <w:ind w:left="567" w:right="-20" w:hanging="283"/>
        <w:rPr>
          <w:rFonts w:eastAsia="Calibri" w:cs="Calibri"/>
        </w:rPr>
      </w:pPr>
      <w:r w:rsidRPr="0083048B">
        <w:rPr>
          <w:rFonts w:eastAsia="Calibri" w:cs="Calibri"/>
          <w:b/>
          <w:bCs/>
          <w:lang w:val="en"/>
        </w:rPr>
        <w:t>Decrees of the Minister for National Economy:</w:t>
      </w:r>
    </w:p>
    <w:p w14:paraId="17DBEAB9" w14:textId="77777777" w:rsidR="00046C1F" w:rsidRPr="0083048B" w:rsidRDefault="00046C1F" w:rsidP="00915585">
      <w:pPr>
        <w:widowControl w:val="0"/>
        <w:spacing w:before="5" w:after="0" w:line="240" w:lineRule="exact"/>
        <w:ind w:left="567" w:hanging="283"/>
        <w:rPr>
          <w:rFonts w:eastAsia="Calibri" w:cs="Times New Roman"/>
          <w:sz w:val="24"/>
          <w:szCs w:val="24"/>
        </w:rPr>
      </w:pPr>
    </w:p>
    <w:p w14:paraId="6AC873C7" w14:textId="77777777" w:rsidR="00046C1F" w:rsidRPr="0083048B" w:rsidRDefault="00046C1F" w:rsidP="00FD56EE">
      <w:pPr>
        <w:widowControl w:val="0"/>
        <w:numPr>
          <w:ilvl w:val="0"/>
          <w:numId w:val="15"/>
        </w:numPr>
        <w:spacing w:after="0" w:line="240" w:lineRule="auto"/>
        <w:ind w:left="567" w:right="-20" w:hanging="283"/>
        <w:contextualSpacing/>
        <w:rPr>
          <w:rFonts w:eastAsia="Calibri" w:cs="Calibri"/>
        </w:rPr>
      </w:pPr>
      <w:r w:rsidRPr="0083048B">
        <w:rPr>
          <w:rFonts w:eastAsia="Calibri" w:cs="Calibri"/>
          <w:lang w:val="en"/>
        </w:rPr>
        <w:t xml:space="preserve">Decree No 41/2013 (IX. 30.) of the Minister for National Economy on the calculation of capital adequacy on the financial conglomerate </w:t>
      </w:r>
      <w:proofErr w:type="gramStart"/>
      <w:r w:rsidRPr="0083048B">
        <w:rPr>
          <w:rFonts w:eastAsia="Calibri" w:cs="Calibri"/>
          <w:lang w:val="en"/>
        </w:rPr>
        <w:t>level;</w:t>
      </w:r>
      <w:proofErr w:type="gramEnd"/>
    </w:p>
    <w:p w14:paraId="270E7874" w14:textId="77777777" w:rsidR="00046C1F" w:rsidRPr="0083048B" w:rsidRDefault="003D21B9" w:rsidP="00FD56EE">
      <w:pPr>
        <w:widowControl w:val="0"/>
        <w:numPr>
          <w:ilvl w:val="0"/>
          <w:numId w:val="15"/>
        </w:numPr>
        <w:spacing w:before="1" w:after="0" w:line="238" w:lineRule="auto"/>
        <w:ind w:left="567" w:right="-36" w:hanging="283"/>
        <w:contextualSpacing/>
        <w:rPr>
          <w:rFonts w:eastAsia="Calibri" w:cs="Calibri"/>
        </w:rPr>
      </w:pPr>
      <w:r w:rsidRPr="0083048B">
        <w:rPr>
          <w:rFonts w:eastAsia="Calibri" w:cs="Calibri"/>
          <w:lang w:val="en"/>
        </w:rPr>
        <w:t xml:space="preserve">Decree No 3/2016 (I. 7.) of the Minister for National Economy on the rules of providing information on mortgage </w:t>
      </w:r>
      <w:proofErr w:type="gramStart"/>
      <w:r w:rsidRPr="0083048B">
        <w:rPr>
          <w:rFonts w:eastAsia="Calibri" w:cs="Calibri"/>
          <w:lang w:val="en"/>
        </w:rPr>
        <w:t>loans;</w:t>
      </w:r>
      <w:proofErr w:type="gramEnd"/>
    </w:p>
    <w:p w14:paraId="712FC7FD" w14:textId="77777777" w:rsidR="00046C1F" w:rsidRPr="0083048B" w:rsidRDefault="003D21B9" w:rsidP="00FD56EE">
      <w:pPr>
        <w:widowControl w:val="0"/>
        <w:numPr>
          <w:ilvl w:val="0"/>
          <w:numId w:val="15"/>
        </w:numPr>
        <w:spacing w:before="1" w:after="0" w:line="238" w:lineRule="auto"/>
        <w:ind w:left="567" w:right="-36" w:hanging="283"/>
        <w:contextualSpacing/>
        <w:rPr>
          <w:rFonts w:eastAsia="Calibri" w:cs="Calibri"/>
        </w:rPr>
      </w:pPr>
      <w:r w:rsidRPr="0083048B">
        <w:rPr>
          <w:rFonts w:eastAsia="Calibri" w:cs="Calibri"/>
          <w:lang w:val="en"/>
        </w:rPr>
        <w:t xml:space="preserve">Decree No 53/2016 (XII. 21.) of the Minister for National Economy on General Rules of the Obligations to provide Preliminary Information by Intermediaries of Financial </w:t>
      </w:r>
      <w:proofErr w:type="gramStart"/>
      <w:r w:rsidRPr="0083048B">
        <w:rPr>
          <w:rFonts w:eastAsia="Calibri" w:cs="Calibri"/>
          <w:lang w:val="en"/>
        </w:rPr>
        <w:t>Services;</w:t>
      </w:r>
      <w:proofErr w:type="gramEnd"/>
    </w:p>
    <w:p w14:paraId="51182A8C" w14:textId="77777777" w:rsidR="003D21B9" w:rsidRPr="0083048B" w:rsidRDefault="003D21B9" w:rsidP="00FD56EE">
      <w:pPr>
        <w:widowControl w:val="0"/>
        <w:numPr>
          <w:ilvl w:val="0"/>
          <w:numId w:val="15"/>
        </w:numPr>
        <w:spacing w:before="1" w:after="0" w:line="238" w:lineRule="auto"/>
        <w:ind w:left="567" w:right="-36" w:hanging="283"/>
        <w:contextualSpacing/>
        <w:rPr>
          <w:rFonts w:eastAsia="Calibri" w:cs="Calibri"/>
        </w:rPr>
      </w:pPr>
      <w:r w:rsidRPr="0083048B">
        <w:rPr>
          <w:rFonts w:eastAsia="Calibri" w:cs="Calibri"/>
          <w:lang w:val="en"/>
        </w:rPr>
        <w:t xml:space="preserve">Decree No 56/2014 (XII. 31.) of the Minister for National Economy on Rules of Information relating to Credits to </w:t>
      </w:r>
      <w:proofErr w:type="gramStart"/>
      <w:r w:rsidRPr="0083048B">
        <w:rPr>
          <w:rFonts w:eastAsia="Calibri" w:cs="Calibri"/>
          <w:lang w:val="en"/>
        </w:rPr>
        <w:t>Consumers;</w:t>
      </w:r>
      <w:proofErr w:type="gramEnd"/>
    </w:p>
    <w:p w14:paraId="27251D98" w14:textId="77777777" w:rsidR="00046C1F" w:rsidRPr="0083048B" w:rsidRDefault="003D21B9" w:rsidP="00FD56EE">
      <w:pPr>
        <w:widowControl w:val="0"/>
        <w:numPr>
          <w:ilvl w:val="0"/>
          <w:numId w:val="15"/>
        </w:numPr>
        <w:spacing w:before="1" w:after="0" w:line="238" w:lineRule="auto"/>
        <w:ind w:left="567" w:right="-36" w:hanging="283"/>
        <w:contextualSpacing/>
        <w:rPr>
          <w:rFonts w:eastAsia="Calibri" w:cs="Calibri"/>
        </w:rPr>
      </w:pPr>
      <w:r w:rsidRPr="0083048B">
        <w:rPr>
          <w:rFonts w:eastAsia="Calibri" w:cs="Calibri"/>
          <w:lang w:val="en"/>
        </w:rPr>
        <w:t>Decree No 22/2016 (VI. 29) of the Minister for National Economy on the Rules prescribing the access for persons with disability to financial services under equal opportunities.</w:t>
      </w:r>
    </w:p>
    <w:p w14:paraId="55ED16CD" w14:textId="77777777" w:rsidR="00046C1F" w:rsidRPr="0083048B" w:rsidRDefault="00046C1F" w:rsidP="00915585">
      <w:pPr>
        <w:widowControl w:val="0"/>
        <w:spacing w:before="6" w:after="0" w:line="240" w:lineRule="exact"/>
        <w:ind w:left="567" w:hanging="283"/>
        <w:rPr>
          <w:rFonts w:eastAsia="Calibri" w:cs="Times New Roman"/>
          <w:sz w:val="24"/>
          <w:szCs w:val="24"/>
        </w:rPr>
      </w:pPr>
    </w:p>
    <w:p w14:paraId="0390945D" w14:textId="77777777" w:rsidR="00046C1F" w:rsidRPr="0083048B" w:rsidRDefault="00046C1F" w:rsidP="00915585">
      <w:pPr>
        <w:widowControl w:val="0"/>
        <w:spacing w:after="0" w:line="240" w:lineRule="auto"/>
        <w:ind w:left="567" w:right="-20" w:hanging="283"/>
        <w:rPr>
          <w:rFonts w:eastAsia="Calibri" w:cs="Calibri"/>
          <w:b/>
          <w:bCs/>
        </w:rPr>
      </w:pPr>
      <w:r w:rsidRPr="0083048B">
        <w:rPr>
          <w:rFonts w:eastAsia="Calibri" w:cs="Calibri"/>
          <w:b/>
          <w:bCs/>
          <w:lang w:val="en"/>
        </w:rPr>
        <w:t>MNB Decrees:</w:t>
      </w:r>
    </w:p>
    <w:p w14:paraId="5C9857C0" w14:textId="77777777" w:rsidR="00824E0B" w:rsidRPr="0083048B" w:rsidRDefault="00824E0B" w:rsidP="00915585">
      <w:pPr>
        <w:widowControl w:val="0"/>
        <w:spacing w:after="0" w:line="240" w:lineRule="auto"/>
        <w:ind w:left="567" w:right="-20" w:hanging="283"/>
        <w:rPr>
          <w:rFonts w:eastAsia="Calibri" w:cs="Calibri"/>
        </w:rPr>
      </w:pPr>
    </w:p>
    <w:p w14:paraId="5B6B41C8" w14:textId="77777777" w:rsidR="00F173F9" w:rsidRPr="0083048B" w:rsidRDefault="00F173F9" w:rsidP="00DF2529">
      <w:pPr>
        <w:widowControl w:val="0"/>
        <w:numPr>
          <w:ilvl w:val="0"/>
          <w:numId w:val="16"/>
        </w:numPr>
        <w:spacing w:after="0" w:line="240" w:lineRule="auto"/>
        <w:ind w:left="567" w:right="-20" w:hanging="283"/>
        <w:contextualSpacing/>
        <w:rPr>
          <w:rFonts w:eastAsia="Calibri" w:cs="Calibri"/>
        </w:rPr>
      </w:pPr>
      <w:r w:rsidRPr="0083048B">
        <w:rPr>
          <w:rFonts w:eastAsia="Calibri" w:cs="Calibri"/>
          <w:lang w:val="en"/>
        </w:rPr>
        <w:t xml:space="preserve">MNB Decree No 66/2023 (XII. 18.) on the Minimum requirements for operating the information system for the transmission of declarations, as well as the detailed rules on the method of its auditing and on data transmissions carried out by the IT </w:t>
      </w:r>
      <w:proofErr w:type="gramStart"/>
      <w:r w:rsidRPr="0083048B">
        <w:rPr>
          <w:rFonts w:eastAsia="Calibri" w:cs="Calibri"/>
          <w:lang w:val="en"/>
        </w:rPr>
        <w:t>system;</w:t>
      </w:r>
      <w:proofErr w:type="gramEnd"/>
    </w:p>
    <w:p w14:paraId="3CC7781D" w14:textId="77777777" w:rsidR="00DF2529" w:rsidRPr="0083048B" w:rsidRDefault="00F173F9" w:rsidP="00DF2529">
      <w:pPr>
        <w:widowControl w:val="0"/>
        <w:numPr>
          <w:ilvl w:val="0"/>
          <w:numId w:val="16"/>
        </w:numPr>
        <w:spacing w:after="0" w:line="240" w:lineRule="auto"/>
        <w:ind w:left="567" w:right="-20" w:hanging="283"/>
        <w:contextualSpacing/>
        <w:rPr>
          <w:rFonts w:eastAsia="Calibri" w:cs="Calibri"/>
        </w:rPr>
      </w:pPr>
      <w:r w:rsidRPr="0083048B">
        <w:rPr>
          <w:rFonts w:eastAsia="Calibri" w:cs="Calibri"/>
          <w:lang w:val="en"/>
        </w:rPr>
        <w:t xml:space="preserve">MNB Decree No 57/2023 (XI. 24.) on the Obligations of money and credit market institutions to report data to the central bank’s information system primarily to enable the Magyar Nemzeti Bank to carry out its supervisory </w:t>
      </w:r>
      <w:proofErr w:type="gramStart"/>
      <w:r w:rsidRPr="0083048B">
        <w:rPr>
          <w:rFonts w:eastAsia="Calibri" w:cs="Calibri"/>
          <w:lang w:val="en"/>
        </w:rPr>
        <w:t>duties;</w:t>
      </w:r>
      <w:proofErr w:type="gramEnd"/>
    </w:p>
    <w:p w14:paraId="4B57BDF0" w14:textId="77777777" w:rsidR="00046C1F" w:rsidRPr="0083048B" w:rsidRDefault="00046C1F" w:rsidP="00FD56EE">
      <w:pPr>
        <w:widowControl w:val="0"/>
        <w:numPr>
          <w:ilvl w:val="0"/>
          <w:numId w:val="16"/>
        </w:numPr>
        <w:spacing w:after="0" w:line="242" w:lineRule="exact"/>
        <w:ind w:left="567" w:right="-20" w:hanging="283"/>
        <w:contextualSpacing/>
        <w:rPr>
          <w:rFonts w:eastAsia="Calibri" w:cs="Calibri"/>
        </w:rPr>
      </w:pPr>
      <w:r w:rsidRPr="0083048B">
        <w:rPr>
          <w:rFonts w:eastAsia="Calibri" w:cs="Calibri"/>
          <w:lang w:val="en"/>
        </w:rPr>
        <w:t xml:space="preserve">MNB Decree No 10/2005 (VI. 11.) on the calculation, the method of allocation and placement of minimum </w:t>
      </w:r>
      <w:proofErr w:type="gramStart"/>
      <w:r w:rsidRPr="0083048B">
        <w:rPr>
          <w:rFonts w:eastAsia="Calibri" w:cs="Calibri"/>
          <w:lang w:val="en"/>
        </w:rPr>
        <w:t>reserves;</w:t>
      </w:r>
      <w:proofErr w:type="gramEnd"/>
    </w:p>
    <w:p w14:paraId="001E6C05" w14:textId="77777777" w:rsidR="00046C1F" w:rsidRPr="0083048B" w:rsidRDefault="00046C1F" w:rsidP="00FD56EE">
      <w:pPr>
        <w:widowControl w:val="0"/>
        <w:numPr>
          <w:ilvl w:val="0"/>
          <w:numId w:val="16"/>
        </w:numPr>
        <w:spacing w:after="0" w:line="240" w:lineRule="auto"/>
        <w:ind w:left="567" w:right="-20" w:hanging="283"/>
        <w:contextualSpacing/>
        <w:rPr>
          <w:rFonts w:eastAsia="Calibri" w:cs="Calibri"/>
        </w:rPr>
      </w:pPr>
      <w:r w:rsidRPr="0083048B">
        <w:rPr>
          <w:rFonts w:eastAsia="Calibri" w:cs="Calibri"/>
          <w:lang w:val="en"/>
        </w:rPr>
        <w:t xml:space="preserve">MNB Decree No 32/2014 (IX. 10.) on the Regulation of the Payment-to-Income Ratio and the Loan-to-Value </w:t>
      </w:r>
      <w:proofErr w:type="gramStart"/>
      <w:r w:rsidRPr="0083048B">
        <w:rPr>
          <w:rFonts w:eastAsia="Calibri" w:cs="Calibri"/>
          <w:lang w:val="en"/>
        </w:rPr>
        <w:lastRenderedPageBreak/>
        <w:t>Ratio;</w:t>
      </w:r>
      <w:proofErr w:type="gramEnd"/>
    </w:p>
    <w:p w14:paraId="2A22A867" w14:textId="77777777" w:rsidR="00046C1F" w:rsidRPr="0083048B" w:rsidRDefault="00046C1F" w:rsidP="00FD56EE">
      <w:pPr>
        <w:widowControl w:val="0"/>
        <w:numPr>
          <w:ilvl w:val="0"/>
          <w:numId w:val="16"/>
        </w:numPr>
        <w:spacing w:after="0" w:line="240" w:lineRule="auto"/>
        <w:ind w:left="567" w:right="-20" w:hanging="283"/>
        <w:contextualSpacing/>
        <w:rPr>
          <w:rFonts w:eastAsia="Calibri" w:cs="Calibri"/>
        </w:rPr>
      </w:pPr>
      <w:r w:rsidRPr="0083048B">
        <w:rPr>
          <w:rFonts w:eastAsia="Calibri" w:cs="Calibri"/>
          <w:lang w:val="en"/>
        </w:rPr>
        <w:t xml:space="preserve">MNB Decree No 39/2016 (X. 11.) on Prudential Requirements Relating to Non-performing Exposures and Restructured </w:t>
      </w:r>
      <w:proofErr w:type="gramStart"/>
      <w:r w:rsidRPr="0083048B">
        <w:rPr>
          <w:rFonts w:eastAsia="Calibri" w:cs="Calibri"/>
          <w:lang w:val="en"/>
        </w:rPr>
        <w:t>Receivables;</w:t>
      </w:r>
      <w:proofErr w:type="gramEnd"/>
    </w:p>
    <w:p w14:paraId="0EA32DD2" w14:textId="77777777" w:rsidR="00D15E3A" w:rsidRPr="0083048B" w:rsidRDefault="00046C1F" w:rsidP="00D15E3A">
      <w:pPr>
        <w:widowControl w:val="0"/>
        <w:numPr>
          <w:ilvl w:val="0"/>
          <w:numId w:val="16"/>
        </w:numPr>
        <w:spacing w:after="0" w:line="240" w:lineRule="auto"/>
        <w:ind w:left="567" w:right="-20" w:hanging="283"/>
        <w:contextualSpacing/>
        <w:rPr>
          <w:rFonts w:eastAsia="Calibri" w:cs="Calibri"/>
          <w:position w:val="1"/>
        </w:rPr>
      </w:pPr>
      <w:r w:rsidRPr="0083048B">
        <w:rPr>
          <w:rFonts w:eastAsia="Calibri" w:cs="Calibri"/>
          <w:lang w:val="en"/>
        </w:rPr>
        <w:t>MNB Decree No 40/2016 (X. 11.) on the Prudential Requirements for the Rating of Customers and Counterparties, and for Collateral Valuation</w:t>
      </w:r>
    </w:p>
    <w:p w14:paraId="25218E35" w14:textId="77777777" w:rsidR="00D15E3A" w:rsidRPr="0083048B" w:rsidRDefault="00B61A31" w:rsidP="00D15E3A">
      <w:pPr>
        <w:widowControl w:val="0"/>
        <w:numPr>
          <w:ilvl w:val="0"/>
          <w:numId w:val="16"/>
        </w:numPr>
        <w:spacing w:after="0" w:line="240" w:lineRule="auto"/>
        <w:ind w:left="567" w:right="-20" w:hanging="283"/>
        <w:contextualSpacing/>
        <w:rPr>
          <w:rFonts w:eastAsia="Calibri" w:cs="Calibri"/>
        </w:rPr>
      </w:pPr>
      <w:hyperlink r:id="rId8" w:history="1">
        <w:r w:rsidR="009D3021" w:rsidRPr="0083048B">
          <w:rPr>
            <w:rFonts w:eastAsia="Calibri" w:cs="Calibri"/>
            <w:lang w:val="en"/>
          </w:rPr>
          <w:t>MNB Decree No 35/2018 (XI. 13.)</w:t>
        </w:r>
      </w:hyperlink>
      <w:r w:rsidR="009D3021" w:rsidRPr="0083048B">
        <w:rPr>
          <w:rFonts w:eastAsia="Calibri" w:cs="Calibri"/>
          <w:lang w:val="en"/>
        </w:rPr>
        <w:t xml:space="preserve"> on the data reporting obligations to the central bank’s information system in respect of certain data of credit </w:t>
      </w:r>
      <w:proofErr w:type="gramStart"/>
      <w:r w:rsidR="009D3021" w:rsidRPr="0083048B">
        <w:rPr>
          <w:rFonts w:eastAsia="Calibri" w:cs="Calibri"/>
          <w:lang w:val="en"/>
        </w:rPr>
        <w:t>transactions;</w:t>
      </w:r>
      <w:proofErr w:type="gramEnd"/>
    </w:p>
    <w:p w14:paraId="13595495" w14:textId="77777777" w:rsidR="00A22198" w:rsidRPr="0083048B" w:rsidRDefault="00046C1F" w:rsidP="00D15E3A">
      <w:pPr>
        <w:widowControl w:val="0"/>
        <w:numPr>
          <w:ilvl w:val="0"/>
          <w:numId w:val="16"/>
        </w:numPr>
        <w:spacing w:after="0" w:line="240" w:lineRule="auto"/>
        <w:ind w:left="567" w:right="-20" w:hanging="283"/>
        <w:contextualSpacing/>
        <w:rPr>
          <w:rFonts w:eastAsia="Calibri" w:cs="Calibri"/>
        </w:rPr>
      </w:pPr>
      <w:r w:rsidRPr="0083048B">
        <w:rPr>
          <w:rFonts w:eastAsia="Calibri" w:cs="Calibri"/>
          <w:lang w:val="en"/>
        </w:rPr>
        <w:t xml:space="preserve">MNB Decree No 35/2017 (XII. 14.) on the Execution of payment </w:t>
      </w:r>
      <w:proofErr w:type="gramStart"/>
      <w:r w:rsidRPr="0083048B">
        <w:rPr>
          <w:rFonts w:eastAsia="Calibri" w:cs="Calibri"/>
          <w:lang w:val="en"/>
        </w:rPr>
        <w:t>transactions;</w:t>
      </w:r>
      <w:proofErr w:type="gramEnd"/>
    </w:p>
    <w:p w14:paraId="650E9CFC" w14:textId="77777777" w:rsidR="00A22198" w:rsidRPr="0083048B" w:rsidRDefault="00A22198" w:rsidP="00FD56EE">
      <w:pPr>
        <w:widowControl w:val="0"/>
        <w:numPr>
          <w:ilvl w:val="0"/>
          <w:numId w:val="16"/>
        </w:numPr>
        <w:spacing w:after="0" w:line="240" w:lineRule="auto"/>
        <w:ind w:left="567" w:right="-20" w:hanging="283"/>
        <w:contextualSpacing/>
        <w:rPr>
          <w:rFonts w:eastAsia="Calibri" w:cs="Calibri"/>
        </w:rPr>
      </w:pPr>
      <w:r w:rsidRPr="0083048B">
        <w:rPr>
          <w:rFonts w:eastAsia="Calibri" w:cs="Calibri"/>
          <w:lang w:val="en"/>
        </w:rPr>
        <w:t xml:space="preserve">MNB Decree No 36/2015 (IX. 24.) on the methodology of generating the log-in ID and password for securities accounts and client accounts, the related data </w:t>
      </w:r>
      <w:proofErr w:type="gramStart"/>
      <w:r w:rsidRPr="0083048B">
        <w:rPr>
          <w:rFonts w:eastAsia="Calibri" w:cs="Calibri"/>
          <w:lang w:val="en"/>
        </w:rPr>
        <w:t>reporting</w:t>
      </w:r>
      <w:proofErr w:type="gramEnd"/>
      <w:r w:rsidRPr="0083048B">
        <w:rPr>
          <w:rFonts w:eastAsia="Calibri" w:cs="Calibri"/>
          <w:lang w:val="en"/>
        </w:rPr>
        <w:t xml:space="preserve"> and mandatory elements of the regulation on data security requirements.</w:t>
      </w:r>
    </w:p>
    <w:p w14:paraId="7CA96CF9" w14:textId="77777777" w:rsidR="00046C1F" w:rsidRPr="0083048B" w:rsidRDefault="00046C1F" w:rsidP="00915585">
      <w:pPr>
        <w:widowControl w:val="0"/>
        <w:spacing w:before="2" w:after="0" w:line="240" w:lineRule="exact"/>
        <w:ind w:left="567" w:hanging="283"/>
        <w:rPr>
          <w:rFonts w:eastAsia="Calibri" w:cs="Times New Roman"/>
          <w:sz w:val="24"/>
          <w:szCs w:val="24"/>
        </w:rPr>
      </w:pPr>
    </w:p>
    <w:p w14:paraId="0AC68F36" w14:textId="77777777" w:rsidR="00046C1F" w:rsidRPr="0083048B" w:rsidRDefault="00046C1F" w:rsidP="00915585">
      <w:pPr>
        <w:widowControl w:val="0"/>
        <w:spacing w:before="5" w:after="0" w:line="240" w:lineRule="exact"/>
        <w:ind w:left="567" w:hanging="283"/>
        <w:rPr>
          <w:rFonts w:eastAsia="Calibri" w:cs="Times New Roman"/>
          <w:sz w:val="24"/>
          <w:szCs w:val="24"/>
        </w:rPr>
      </w:pPr>
    </w:p>
    <w:p w14:paraId="7E70BCBE" w14:textId="77777777" w:rsidR="00046C1F" w:rsidRPr="0083048B" w:rsidRDefault="00046C1F" w:rsidP="00915585">
      <w:pPr>
        <w:widowControl w:val="0"/>
        <w:spacing w:after="0" w:line="240" w:lineRule="auto"/>
        <w:ind w:left="567" w:right="7363" w:hanging="283"/>
        <w:rPr>
          <w:rFonts w:eastAsia="Calibri" w:cs="Calibri"/>
        </w:rPr>
      </w:pPr>
      <w:r w:rsidRPr="0083048B">
        <w:rPr>
          <w:rFonts w:eastAsia="Calibri" w:cs="Calibri"/>
          <w:b/>
          <w:bCs/>
          <w:lang w:val="en"/>
        </w:rPr>
        <w:t>MNB Recommendation:</w:t>
      </w:r>
    </w:p>
    <w:p w14:paraId="4605B2B8" w14:textId="77777777" w:rsidR="00046C1F" w:rsidRPr="0083048B" w:rsidRDefault="00046C1F" w:rsidP="00BE72A3">
      <w:pPr>
        <w:widowControl w:val="0"/>
        <w:spacing w:after="0" w:line="240" w:lineRule="exact"/>
        <w:ind w:left="567" w:hanging="283"/>
        <w:rPr>
          <w:rFonts w:eastAsia="Calibri" w:cs="Times New Roman"/>
          <w:sz w:val="24"/>
          <w:szCs w:val="24"/>
        </w:rPr>
      </w:pPr>
    </w:p>
    <w:p w14:paraId="63A613AF" w14:textId="77777777" w:rsidR="002E7880" w:rsidRPr="0083048B" w:rsidRDefault="002E7880" w:rsidP="002E7880">
      <w:pPr>
        <w:pStyle w:val="ListParagraph"/>
        <w:numPr>
          <w:ilvl w:val="0"/>
          <w:numId w:val="30"/>
        </w:numPr>
        <w:spacing w:after="0" w:line="240" w:lineRule="auto"/>
        <w:rPr>
          <w:rFonts w:eastAsia="Calibri" w:cs="Calibri"/>
        </w:rPr>
      </w:pPr>
      <w:r w:rsidRPr="0083048B">
        <w:rPr>
          <w:rFonts w:eastAsia="Calibri" w:cs="Calibri"/>
          <w:lang w:val="en"/>
        </w:rPr>
        <w:t xml:space="preserve">Recommendation No 1/2024 (IV. 6) of the Magyar Nemzeti Bank on certain aspects of the obligation to obtain preliminary information applicable to the provision of investment advice and portfolio management </w:t>
      </w:r>
      <w:proofErr w:type="gramStart"/>
      <w:r w:rsidRPr="0083048B">
        <w:rPr>
          <w:rFonts w:eastAsia="Calibri" w:cs="Calibri"/>
          <w:lang w:val="en"/>
        </w:rPr>
        <w:t>services;</w:t>
      </w:r>
      <w:proofErr w:type="gramEnd"/>
    </w:p>
    <w:p w14:paraId="754E0E6B" w14:textId="77777777" w:rsidR="00E84526" w:rsidRPr="0083048B" w:rsidRDefault="00E84526" w:rsidP="00E84526">
      <w:pPr>
        <w:pStyle w:val="ListParagraph"/>
        <w:numPr>
          <w:ilvl w:val="0"/>
          <w:numId w:val="30"/>
        </w:numPr>
        <w:spacing w:after="0" w:line="240" w:lineRule="auto"/>
        <w:rPr>
          <w:rFonts w:eastAsia="Calibri" w:cs="Calibri"/>
        </w:rPr>
      </w:pPr>
      <w:r w:rsidRPr="0083048B">
        <w:rPr>
          <w:rFonts w:eastAsia="Calibri" w:cs="Calibri"/>
          <w:lang w:val="en"/>
        </w:rPr>
        <w:t xml:space="preserve">Recommendation No 11/2023 (XI. 15.) of the Magyar Nemzeti Bank on the Remuneration policy and practice to be applied in relation to the rendering of investment </w:t>
      </w:r>
      <w:proofErr w:type="gramStart"/>
      <w:r w:rsidRPr="0083048B">
        <w:rPr>
          <w:rFonts w:eastAsia="Calibri" w:cs="Calibri"/>
          <w:lang w:val="en"/>
        </w:rPr>
        <w:t>services;</w:t>
      </w:r>
      <w:proofErr w:type="gramEnd"/>
    </w:p>
    <w:p w14:paraId="4E8C03A6" w14:textId="77777777" w:rsidR="00E02778" w:rsidRPr="0083048B" w:rsidRDefault="00E02778" w:rsidP="00E02778">
      <w:pPr>
        <w:pStyle w:val="ListParagraph"/>
        <w:numPr>
          <w:ilvl w:val="0"/>
          <w:numId w:val="30"/>
        </w:numPr>
        <w:spacing w:after="0" w:line="240" w:lineRule="auto"/>
        <w:rPr>
          <w:rFonts w:eastAsia="Calibri" w:cs="Calibri"/>
        </w:rPr>
      </w:pPr>
      <w:r w:rsidRPr="0083048B">
        <w:rPr>
          <w:rFonts w:eastAsia="Calibri" w:cs="Calibri"/>
          <w:lang w:val="en"/>
        </w:rPr>
        <w:t xml:space="preserve">Recommendation No 10/2023 (X. 9.) of the Magyar Nemzeti Bank on the enforcement of environmental sustainability criteria in the activities of credit </w:t>
      </w:r>
      <w:proofErr w:type="gramStart"/>
      <w:r w:rsidRPr="0083048B">
        <w:rPr>
          <w:rFonts w:eastAsia="Calibri" w:cs="Calibri"/>
          <w:lang w:val="en"/>
        </w:rPr>
        <w:t>institutions;</w:t>
      </w:r>
      <w:proofErr w:type="gramEnd"/>
    </w:p>
    <w:p w14:paraId="6C74DCFB" w14:textId="77777777" w:rsidR="00E02778" w:rsidRPr="0083048B" w:rsidRDefault="00E02778" w:rsidP="00E02778">
      <w:pPr>
        <w:pStyle w:val="ListParagraph"/>
        <w:numPr>
          <w:ilvl w:val="0"/>
          <w:numId w:val="30"/>
        </w:numPr>
        <w:spacing w:after="0" w:line="240" w:lineRule="auto"/>
        <w:rPr>
          <w:rFonts w:eastAsia="Calibri" w:cs="Calibri"/>
        </w:rPr>
      </w:pPr>
      <w:r w:rsidRPr="0083048B">
        <w:rPr>
          <w:rFonts w:eastAsia="Calibri" w:cs="Calibri"/>
          <w:lang w:val="en"/>
        </w:rPr>
        <w:t xml:space="preserve">Recommendation No 6/2023 (VI. 23.) of the Magyar Nemzeti Bank on the management of project financing loans for residential property </w:t>
      </w:r>
      <w:proofErr w:type="gramStart"/>
      <w:r w:rsidRPr="0083048B">
        <w:rPr>
          <w:rFonts w:eastAsia="Calibri" w:cs="Calibri"/>
          <w:lang w:val="en"/>
        </w:rPr>
        <w:t>development;</w:t>
      </w:r>
      <w:proofErr w:type="gramEnd"/>
    </w:p>
    <w:p w14:paraId="5A4E75AE" w14:textId="77777777" w:rsidR="00CF61D7" w:rsidRPr="0083048B" w:rsidRDefault="00CF61D7" w:rsidP="00CF61D7">
      <w:pPr>
        <w:pStyle w:val="ListParagraph"/>
        <w:numPr>
          <w:ilvl w:val="0"/>
          <w:numId w:val="30"/>
        </w:numPr>
        <w:spacing w:after="0" w:line="240" w:lineRule="auto"/>
        <w:rPr>
          <w:rFonts w:eastAsia="Calibri" w:cs="Calibri"/>
        </w:rPr>
      </w:pPr>
      <w:r w:rsidRPr="0083048B">
        <w:rPr>
          <w:rFonts w:eastAsia="Calibri" w:cs="Calibri"/>
          <w:lang w:val="en"/>
        </w:rPr>
        <w:t xml:space="preserve">Recommendation No 5/2023 (VI. 23.) of the Magyar Nemzeti Bank on the prevention, detection, avoidance and management of fraud through payment </w:t>
      </w:r>
      <w:proofErr w:type="gramStart"/>
      <w:r w:rsidRPr="0083048B">
        <w:rPr>
          <w:rFonts w:eastAsia="Calibri" w:cs="Calibri"/>
          <w:lang w:val="en"/>
        </w:rPr>
        <w:t>services;</w:t>
      </w:r>
      <w:proofErr w:type="gramEnd"/>
    </w:p>
    <w:p w14:paraId="0F056EA7" w14:textId="77777777" w:rsidR="00B1225B" w:rsidRPr="0083048B" w:rsidRDefault="00B1225B" w:rsidP="00CF61D7">
      <w:pPr>
        <w:pStyle w:val="ListParagraph"/>
        <w:numPr>
          <w:ilvl w:val="0"/>
          <w:numId w:val="30"/>
        </w:numPr>
        <w:spacing w:after="0" w:line="240" w:lineRule="auto"/>
        <w:ind w:left="567" w:hanging="283"/>
        <w:rPr>
          <w:rFonts w:eastAsia="Calibri" w:cs="Calibri"/>
        </w:rPr>
      </w:pPr>
      <w:r w:rsidRPr="0083048B">
        <w:rPr>
          <w:lang w:val="en"/>
        </w:rPr>
        <w:t>Recommendation No 1/2023 (I. 13.) of the Magyar Nemzeti Bank on the disclosure requirements on non-performing exposures and restructured receivables applicable to credit institutions falling outside the scope of Commission Implementing Regulation No 2021/637/</w:t>
      </w:r>
      <w:proofErr w:type="gramStart"/>
      <w:r w:rsidRPr="0083048B">
        <w:rPr>
          <w:lang w:val="en"/>
        </w:rPr>
        <w:t>EU;</w:t>
      </w:r>
      <w:proofErr w:type="gramEnd"/>
    </w:p>
    <w:p w14:paraId="5E72B95C" w14:textId="77777777" w:rsidR="00B1225B" w:rsidRPr="0083048B" w:rsidRDefault="00B1225B" w:rsidP="00846252">
      <w:pPr>
        <w:pStyle w:val="ListParagraph"/>
        <w:numPr>
          <w:ilvl w:val="0"/>
          <w:numId w:val="30"/>
        </w:numPr>
        <w:spacing w:after="0" w:line="240" w:lineRule="auto"/>
        <w:ind w:left="567" w:hanging="283"/>
        <w:rPr>
          <w:rFonts w:eastAsia="Calibri" w:cs="Calibri"/>
        </w:rPr>
      </w:pPr>
      <w:r w:rsidRPr="0083048B">
        <w:rPr>
          <w:lang w:val="en"/>
        </w:rPr>
        <w:t xml:space="preserve">Recommendation No 19/2022 (XII. 1.) of the Magyar Nemzeti Bank on the development, operation, framework and control functions of the process of compiling credit institution data reporting and on the related data asset management </w:t>
      </w:r>
      <w:proofErr w:type="gramStart"/>
      <w:r w:rsidRPr="0083048B">
        <w:rPr>
          <w:lang w:val="en"/>
        </w:rPr>
        <w:t>tasks;</w:t>
      </w:r>
      <w:proofErr w:type="gramEnd"/>
    </w:p>
    <w:p w14:paraId="723DDD34" w14:textId="77777777" w:rsidR="00846252" w:rsidRPr="0083048B" w:rsidRDefault="00846252" w:rsidP="00846252">
      <w:pPr>
        <w:pStyle w:val="ListParagraph"/>
        <w:numPr>
          <w:ilvl w:val="0"/>
          <w:numId w:val="30"/>
        </w:numPr>
        <w:spacing w:after="0" w:line="240" w:lineRule="auto"/>
        <w:ind w:left="567" w:hanging="283"/>
        <w:rPr>
          <w:rFonts w:eastAsia="Calibri" w:cs="Calibri"/>
        </w:rPr>
      </w:pPr>
      <w:r w:rsidRPr="0083048B">
        <w:rPr>
          <w:lang w:val="en"/>
        </w:rPr>
        <w:t xml:space="preserve">Recommendation No 16/2022 (IX. 20.) of the Magyar Nemzeti Bank on the monitoring of compliance with the threshold value applicable to the establishment of an intermediate EU parent company under Section 105/B of Act CCXXXVII of 2013 on Credit Institutions and Financial </w:t>
      </w:r>
      <w:proofErr w:type="gramStart"/>
      <w:r w:rsidRPr="0083048B">
        <w:rPr>
          <w:lang w:val="en"/>
        </w:rPr>
        <w:t>Enterprises;</w:t>
      </w:r>
      <w:proofErr w:type="gramEnd"/>
    </w:p>
    <w:p w14:paraId="4A5C0B7A" w14:textId="77777777" w:rsidR="00846252" w:rsidRPr="0083048B" w:rsidRDefault="00846252" w:rsidP="00846252">
      <w:pPr>
        <w:pStyle w:val="ListParagraph"/>
        <w:numPr>
          <w:ilvl w:val="0"/>
          <w:numId w:val="30"/>
        </w:numPr>
        <w:spacing w:after="0" w:line="240" w:lineRule="auto"/>
        <w:ind w:left="567" w:hanging="283"/>
        <w:rPr>
          <w:rFonts w:eastAsia="Calibri" w:cs="Calibri"/>
        </w:rPr>
      </w:pPr>
      <w:r w:rsidRPr="0083048B">
        <w:rPr>
          <w:lang w:val="en"/>
        </w:rPr>
        <w:t xml:space="preserve">Recommendation No 11/2022 (IX. 2.) of the Magyar Nemzeti Bank on taking on, measurement, management and control of credit </w:t>
      </w:r>
      <w:proofErr w:type="gramStart"/>
      <w:r w:rsidRPr="0083048B">
        <w:rPr>
          <w:lang w:val="en"/>
        </w:rPr>
        <w:t>risk;</w:t>
      </w:r>
      <w:proofErr w:type="gramEnd"/>
    </w:p>
    <w:p w14:paraId="48311D43" w14:textId="77777777" w:rsidR="00846252" w:rsidRPr="0083048B" w:rsidRDefault="00846252" w:rsidP="00846252">
      <w:pPr>
        <w:pStyle w:val="ListParagraph"/>
        <w:numPr>
          <w:ilvl w:val="0"/>
          <w:numId w:val="30"/>
        </w:numPr>
        <w:spacing w:after="0" w:line="240" w:lineRule="auto"/>
        <w:ind w:left="567" w:hanging="283"/>
        <w:rPr>
          <w:rFonts w:eastAsia="Calibri" w:cs="Calibri"/>
        </w:rPr>
      </w:pPr>
      <w:r w:rsidRPr="0083048B">
        <w:rPr>
          <w:rFonts w:eastAsia="Calibri" w:cs="Calibri"/>
          <w:lang w:val="en"/>
        </w:rPr>
        <w:t xml:space="preserve">Recommendation No 10/2022 (VIII. 2.) of the Magyar Nemzeti Bank on environmental risks related to the climate change and the enforcement of environmental sustainability criteria in the activities of credit </w:t>
      </w:r>
      <w:proofErr w:type="gramStart"/>
      <w:r w:rsidRPr="0083048B">
        <w:rPr>
          <w:rFonts w:eastAsia="Calibri" w:cs="Calibri"/>
          <w:lang w:val="en"/>
        </w:rPr>
        <w:t>institutions;</w:t>
      </w:r>
      <w:proofErr w:type="gramEnd"/>
    </w:p>
    <w:p w14:paraId="1F3C7A4B" w14:textId="77777777" w:rsidR="003A0193" w:rsidRPr="0083048B" w:rsidRDefault="003A0193" w:rsidP="003A0193">
      <w:pPr>
        <w:widowControl w:val="0"/>
        <w:numPr>
          <w:ilvl w:val="0"/>
          <w:numId w:val="30"/>
        </w:numPr>
        <w:spacing w:after="200" w:line="240" w:lineRule="auto"/>
        <w:ind w:left="567" w:right="-21" w:hanging="283"/>
        <w:contextualSpacing/>
        <w:rPr>
          <w:rFonts w:eastAsia="Calibri" w:cs="Calibri"/>
        </w:rPr>
      </w:pPr>
      <w:r w:rsidRPr="0083048B">
        <w:rPr>
          <w:rFonts w:eastAsia="Calibri" w:cs="Calibri"/>
          <w:lang w:val="en"/>
        </w:rPr>
        <w:t>Recommendation No 9/2022 (V. 13.) of the Magyar Nemzeti Bank on the application of the notion of default as defined in Article 178 of Regulation 575/2013/</w:t>
      </w:r>
      <w:proofErr w:type="gramStart"/>
      <w:r w:rsidRPr="0083048B">
        <w:rPr>
          <w:rFonts w:eastAsia="Calibri" w:cs="Calibri"/>
          <w:lang w:val="en"/>
        </w:rPr>
        <w:t>EU;</w:t>
      </w:r>
      <w:proofErr w:type="gramEnd"/>
    </w:p>
    <w:p w14:paraId="6E2C58C0" w14:textId="77777777" w:rsidR="005C68E1" w:rsidRPr="0083048B" w:rsidRDefault="005C68E1" w:rsidP="005C68E1">
      <w:pPr>
        <w:widowControl w:val="0"/>
        <w:numPr>
          <w:ilvl w:val="0"/>
          <w:numId w:val="30"/>
        </w:numPr>
        <w:spacing w:after="0" w:line="240" w:lineRule="auto"/>
        <w:ind w:left="567" w:right="-36" w:hanging="283"/>
        <w:contextualSpacing/>
        <w:rPr>
          <w:rFonts w:eastAsia="Calibri" w:cs="Calibri"/>
        </w:rPr>
      </w:pPr>
      <w:r w:rsidRPr="0083048B">
        <w:rPr>
          <w:rFonts w:eastAsia="Calibri" w:cs="Calibri"/>
          <w:lang w:val="en"/>
        </w:rPr>
        <w:t xml:space="preserve">Recommendation 8/2022 (V. 13.) of the Magyar Nemzeti Bank on the resolution plan to be prepared by credit institutions and investment firms on a mandatory </w:t>
      </w:r>
      <w:proofErr w:type="gramStart"/>
      <w:r w:rsidRPr="0083048B">
        <w:rPr>
          <w:rFonts w:eastAsia="Calibri" w:cs="Calibri"/>
          <w:lang w:val="en"/>
        </w:rPr>
        <w:t>basis;</w:t>
      </w:r>
      <w:proofErr w:type="gramEnd"/>
    </w:p>
    <w:p w14:paraId="36559EDC" w14:textId="77777777" w:rsidR="00846252" w:rsidRPr="0083048B" w:rsidRDefault="00846252" w:rsidP="005C68E1">
      <w:pPr>
        <w:widowControl w:val="0"/>
        <w:numPr>
          <w:ilvl w:val="0"/>
          <w:numId w:val="30"/>
        </w:numPr>
        <w:spacing w:after="0" w:line="240" w:lineRule="auto"/>
        <w:ind w:left="567" w:right="-36" w:hanging="283"/>
        <w:contextualSpacing/>
        <w:rPr>
          <w:rFonts w:eastAsia="Calibri" w:cs="Calibri"/>
        </w:rPr>
      </w:pPr>
      <w:r w:rsidRPr="0083048B">
        <w:rPr>
          <w:lang w:val="en"/>
        </w:rPr>
        <w:t xml:space="preserve">Recommendation No 7/2022 (VI. 22.) of the Magyar Nemzeti Bank on the general requirements of disclosure practices under the Act on Credit Institutions and Financial Enterprises, and the </w:t>
      </w:r>
      <w:proofErr w:type="gramStart"/>
      <w:r w:rsidRPr="0083048B">
        <w:rPr>
          <w:lang w:val="en"/>
        </w:rPr>
        <w:t>CRR;</w:t>
      </w:r>
      <w:proofErr w:type="gramEnd"/>
    </w:p>
    <w:p w14:paraId="0DBC20FC" w14:textId="77777777" w:rsidR="0096635D" w:rsidRPr="0083048B" w:rsidRDefault="00605FAE" w:rsidP="005C68E1">
      <w:pPr>
        <w:widowControl w:val="0"/>
        <w:numPr>
          <w:ilvl w:val="0"/>
          <w:numId w:val="30"/>
        </w:numPr>
        <w:spacing w:after="0" w:line="240" w:lineRule="auto"/>
        <w:ind w:left="567" w:right="-36" w:hanging="283"/>
        <w:contextualSpacing/>
        <w:rPr>
          <w:rFonts w:eastAsia="Calibri" w:cs="Calibri"/>
        </w:rPr>
      </w:pPr>
      <w:r w:rsidRPr="0083048B">
        <w:rPr>
          <w:rFonts w:eastAsia="Calibri" w:cs="Calibri"/>
          <w:lang w:val="en"/>
        </w:rPr>
        <w:t xml:space="preserve"> Recommendation No 6/2022 (IV. 22.) of the Magyar Nemzeti Bank on the Uniform disclosure related to the temporary treatment of </w:t>
      </w:r>
      <w:proofErr w:type="spellStart"/>
      <w:r w:rsidRPr="0083048B">
        <w:rPr>
          <w:rFonts w:eastAsia="Calibri" w:cs="Calibri"/>
          <w:lang w:val="en"/>
        </w:rPr>
        <w:t>unrealised</w:t>
      </w:r>
      <w:proofErr w:type="spellEnd"/>
      <w:r w:rsidRPr="0083048B">
        <w:rPr>
          <w:rFonts w:eastAsia="Calibri" w:cs="Calibri"/>
          <w:lang w:val="en"/>
        </w:rPr>
        <w:t xml:space="preserve"> gain or loss on government securities measured at fair value through other comprehensive income and to the transitional rules serving the mitigation of the impact of the introduction of the IFRS 9 standard on own </w:t>
      </w:r>
      <w:proofErr w:type="gramStart"/>
      <w:r w:rsidRPr="0083048B">
        <w:rPr>
          <w:rFonts w:eastAsia="Calibri" w:cs="Calibri"/>
          <w:lang w:val="en"/>
        </w:rPr>
        <w:t>funds;</w:t>
      </w:r>
      <w:proofErr w:type="gramEnd"/>
    </w:p>
    <w:p w14:paraId="054A2CD5" w14:textId="77777777" w:rsidR="00355AFC" w:rsidRPr="0083048B" w:rsidRDefault="00605FAE" w:rsidP="00355AFC">
      <w:pPr>
        <w:widowControl w:val="0"/>
        <w:numPr>
          <w:ilvl w:val="0"/>
          <w:numId w:val="30"/>
        </w:numPr>
        <w:spacing w:after="0" w:line="240" w:lineRule="auto"/>
        <w:ind w:left="567" w:right="-21" w:hanging="283"/>
        <w:contextualSpacing/>
        <w:rPr>
          <w:rFonts w:eastAsia="Calibri" w:cs="Calibri"/>
        </w:rPr>
      </w:pPr>
      <w:r w:rsidRPr="0083048B">
        <w:rPr>
          <w:lang w:val="en"/>
        </w:rPr>
        <w:t xml:space="preserve"> Recommendation No 5/2022 (IV. 22.) of the Magyar Nemzeti Bank on consumer protection principles in the treatment of retail credit, loan and financial leasing contracts affected by late </w:t>
      </w:r>
      <w:proofErr w:type="gramStart"/>
      <w:r w:rsidRPr="0083048B">
        <w:rPr>
          <w:lang w:val="en"/>
        </w:rPr>
        <w:t>payment;</w:t>
      </w:r>
      <w:proofErr w:type="gramEnd"/>
    </w:p>
    <w:p w14:paraId="09A68D39" w14:textId="77777777" w:rsidR="00AA6FD2" w:rsidRPr="0083048B" w:rsidRDefault="00605FAE" w:rsidP="00FD56EE">
      <w:pPr>
        <w:pStyle w:val="ListParagraph"/>
        <w:numPr>
          <w:ilvl w:val="0"/>
          <w:numId w:val="30"/>
        </w:numPr>
        <w:spacing w:line="240" w:lineRule="auto"/>
        <w:ind w:left="567" w:hanging="283"/>
        <w:rPr>
          <w:rFonts w:eastAsia="Calibri" w:cs="Calibri"/>
        </w:rPr>
      </w:pPr>
      <w:r w:rsidRPr="0083048B">
        <w:rPr>
          <w:rFonts w:eastAsia="Calibri" w:cs="Calibri"/>
          <w:lang w:val="en"/>
        </w:rPr>
        <w:t xml:space="preserve"> Recommendation No 4/2022 (IV. 8.) of the Magyar Nemzeti Bank on the application of the remuneration policy under the Act on Credit Institutions and Financial </w:t>
      </w:r>
      <w:proofErr w:type="gramStart"/>
      <w:r w:rsidRPr="0083048B">
        <w:rPr>
          <w:rFonts w:eastAsia="Calibri" w:cs="Calibri"/>
          <w:lang w:val="en"/>
        </w:rPr>
        <w:t>Enterprises;</w:t>
      </w:r>
      <w:proofErr w:type="gramEnd"/>
    </w:p>
    <w:p w14:paraId="55846CC4" w14:textId="77777777" w:rsidR="003904C5" w:rsidRPr="0083048B" w:rsidRDefault="003904C5" w:rsidP="004614D9">
      <w:pPr>
        <w:pStyle w:val="ListParagraph"/>
        <w:numPr>
          <w:ilvl w:val="0"/>
          <w:numId w:val="30"/>
        </w:numPr>
        <w:spacing w:after="0" w:line="240" w:lineRule="auto"/>
        <w:ind w:left="567" w:hanging="283"/>
        <w:rPr>
          <w:rFonts w:eastAsia="Calibri" w:cs="Calibri"/>
        </w:rPr>
      </w:pPr>
      <w:r w:rsidRPr="0083048B">
        <w:rPr>
          <w:rFonts w:eastAsia="Calibri" w:cs="Calibri"/>
          <w:lang w:val="en"/>
        </w:rPr>
        <w:t xml:space="preserve">Recommendation No 2/2022 (II. 11.) of the Magyar Nemzeti Bank on fostering the admission of credit institutions and insurance companies to the Budapest Stock </w:t>
      </w:r>
      <w:proofErr w:type="gramStart"/>
      <w:r w:rsidRPr="0083048B">
        <w:rPr>
          <w:rFonts w:eastAsia="Calibri" w:cs="Calibri"/>
          <w:lang w:val="en"/>
        </w:rPr>
        <w:t>Exchange;</w:t>
      </w:r>
      <w:proofErr w:type="gramEnd"/>
    </w:p>
    <w:p w14:paraId="544D89B9" w14:textId="77777777" w:rsidR="00011287" w:rsidRPr="0083048B" w:rsidRDefault="00605FAE" w:rsidP="00C92071">
      <w:pPr>
        <w:widowControl w:val="0"/>
        <w:numPr>
          <w:ilvl w:val="0"/>
          <w:numId w:val="30"/>
        </w:numPr>
        <w:spacing w:after="0" w:line="240" w:lineRule="auto"/>
        <w:ind w:left="567" w:right="-36" w:hanging="283"/>
        <w:contextualSpacing/>
        <w:rPr>
          <w:rFonts w:eastAsia="Calibri" w:cs="Calibri"/>
        </w:rPr>
      </w:pPr>
      <w:r w:rsidRPr="0083048B">
        <w:rPr>
          <w:rFonts w:eastAsia="Calibri" w:cs="Calibri"/>
          <w:lang w:val="en"/>
        </w:rPr>
        <w:t xml:space="preserve"> Recommendation No 1/2022 (I. 17.) of the Magyar Nemzeti Bank on the assessment of the eligibility of the </w:t>
      </w:r>
      <w:r w:rsidRPr="0083048B">
        <w:rPr>
          <w:rFonts w:eastAsia="Calibri" w:cs="Calibri"/>
          <w:lang w:val="en"/>
        </w:rPr>
        <w:lastRenderedPageBreak/>
        <w:t xml:space="preserve">members of executive bodies and persons in key </w:t>
      </w:r>
      <w:proofErr w:type="gramStart"/>
      <w:r w:rsidRPr="0083048B">
        <w:rPr>
          <w:rFonts w:eastAsia="Calibri" w:cs="Calibri"/>
          <w:lang w:val="en"/>
        </w:rPr>
        <w:t>position;</w:t>
      </w:r>
      <w:proofErr w:type="gramEnd"/>
    </w:p>
    <w:p w14:paraId="3DA954F9" w14:textId="77777777" w:rsidR="00466B21" w:rsidRPr="0083048B" w:rsidRDefault="00605FAE" w:rsidP="00FD56EE">
      <w:pPr>
        <w:pStyle w:val="ListParagraph"/>
        <w:numPr>
          <w:ilvl w:val="0"/>
          <w:numId w:val="30"/>
        </w:numPr>
        <w:spacing w:after="0" w:line="240" w:lineRule="auto"/>
        <w:ind w:left="567" w:hanging="283"/>
        <w:rPr>
          <w:rFonts w:eastAsia="Calibri" w:cs="Calibri"/>
        </w:rPr>
      </w:pPr>
      <w:r w:rsidRPr="0083048B">
        <w:rPr>
          <w:rFonts w:eastAsia="Calibri" w:cs="Calibri"/>
          <w:lang w:val="en"/>
        </w:rPr>
        <w:t xml:space="preserve"> Recommendation No 10/2021 (VII. 1.) of the Magyar Nemzeti Bank on certain issues related to payment initiation, account information service and issuance of card-based cash substitute payment instruments, except for electronic </w:t>
      </w:r>
      <w:proofErr w:type="gramStart"/>
      <w:r w:rsidRPr="0083048B">
        <w:rPr>
          <w:rFonts w:eastAsia="Calibri" w:cs="Calibri"/>
          <w:lang w:val="en"/>
        </w:rPr>
        <w:t>money;</w:t>
      </w:r>
      <w:proofErr w:type="gramEnd"/>
    </w:p>
    <w:p w14:paraId="242DBB56" w14:textId="77777777" w:rsidR="00777BE5" w:rsidRPr="0083048B" w:rsidRDefault="00605FAE" w:rsidP="00FD56EE">
      <w:pPr>
        <w:pStyle w:val="ListParagraph"/>
        <w:numPr>
          <w:ilvl w:val="0"/>
          <w:numId w:val="30"/>
        </w:numPr>
        <w:spacing w:after="0"/>
        <w:ind w:left="567" w:hanging="283"/>
        <w:rPr>
          <w:rFonts w:eastAsia="Calibri" w:cs="Calibri"/>
        </w:rPr>
      </w:pPr>
      <w:r w:rsidRPr="0083048B">
        <w:rPr>
          <w:rFonts w:eastAsia="Calibri" w:cs="Calibri"/>
          <w:lang w:val="en"/>
        </w:rPr>
        <w:t xml:space="preserve"> Recommendation No 4/2021 (III. 30.) of the Magyar Nemzeti Bank on the digital transformation of credit </w:t>
      </w:r>
      <w:proofErr w:type="gramStart"/>
      <w:r w:rsidRPr="0083048B">
        <w:rPr>
          <w:rFonts w:eastAsia="Calibri" w:cs="Calibri"/>
          <w:lang w:val="en"/>
        </w:rPr>
        <w:t>institutions;</w:t>
      </w:r>
      <w:proofErr w:type="gramEnd"/>
    </w:p>
    <w:p w14:paraId="097894C8" w14:textId="77777777" w:rsidR="00777BE5" w:rsidRPr="0083048B" w:rsidRDefault="00605FAE" w:rsidP="00FD56EE">
      <w:pPr>
        <w:pStyle w:val="ListParagraph"/>
        <w:numPr>
          <w:ilvl w:val="0"/>
          <w:numId w:val="30"/>
        </w:numPr>
        <w:spacing w:after="0"/>
        <w:ind w:left="567" w:hanging="283"/>
        <w:rPr>
          <w:rFonts w:eastAsia="Calibri" w:cs="Calibri"/>
        </w:rPr>
      </w:pPr>
      <w:r w:rsidRPr="0083048B">
        <w:rPr>
          <w:rFonts w:eastAsia="Calibri" w:cs="Calibri"/>
          <w:lang w:val="en"/>
        </w:rPr>
        <w:t xml:space="preserve"> Recommendation No 2/2021 (I. 27.) of the Magyar Nemzeti Bank on the determination of the weighted average maturity of the contractual payments due under the </w:t>
      </w:r>
      <w:proofErr w:type="gramStart"/>
      <w:r w:rsidRPr="0083048B">
        <w:rPr>
          <w:rFonts w:eastAsia="Calibri" w:cs="Calibri"/>
          <w:lang w:val="en"/>
        </w:rPr>
        <w:t>tranche;</w:t>
      </w:r>
      <w:proofErr w:type="gramEnd"/>
    </w:p>
    <w:p w14:paraId="71F07B85" w14:textId="77777777" w:rsidR="00193A36" w:rsidRPr="0083048B" w:rsidRDefault="00193A36" w:rsidP="004614D9">
      <w:pPr>
        <w:pStyle w:val="ListParagraph"/>
        <w:numPr>
          <w:ilvl w:val="0"/>
          <w:numId w:val="30"/>
        </w:numPr>
        <w:spacing w:after="0"/>
        <w:ind w:left="567" w:hanging="283"/>
        <w:rPr>
          <w:rFonts w:eastAsia="Calibri" w:cs="Calibri"/>
        </w:rPr>
      </w:pPr>
      <w:r w:rsidRPr="0083048B">
        <w:rPr>
          <w:rFonts w:eastAsia="Calibri" w:cs="Calibri"/>
          <w:lang w:val="en"/>
        </w:rPr>
        <w:t xml:space="preserve">Recommendation No 10/2020 (VIII. 6.) of the Magyar Nemzeti Bank on the Immediate crediting of the payment transaction amount to the beneficiary’s payment </w:t>
      </w:r>
      <w:proofErr w:type="gramStart"/>
      <w:r w:rsidRPr="0083048B">
        <w:rPr>
          <w:rFonts w:eastAsia="Calibri" w:cs="Calibri"/>
          <w:lang w:val="en"/>
        </w:rPr>
        <w:t>account;</w:t>
      </w:r>
      <w:proofErr w:type="gramEnd"/>
    </w:p>
    <w:p w14:paraId="31BF865E" w14:textId="77777777" w:rsidR="00193A36" w:rsidRPr="0083048B" w:rsidRDefault="00193A36" w:rsidP="00FD56EE">
      <w:pPr>
        <w:widowControl w:val="0"/>
        <w:numPr>
          <w:ilvl w:val="0"/>
          <w:numId w:val="30"/>
        </w:numPr>
        <w:spacing w:after="200" w:line="240" w:lineRule="auto"/>
        <w:ind w:left="567" w:right="-21" w:hanging="283"/>
        <w:contextualSpacing/>
        <w:rPr>
          <w:rFonts w:eastAsia="Calibri" w:cs="Calibri"/>
        </w:rPr>
      </w:pPr>
      <w:r w:rsidRPr="0083048B">
        <w:rPr>
          <w:rFonts w:eastAsia="Calibri" w:cs="Calibri"/>
          <w:lang w:val="en"/>
        </w:rPr>
        <w:t xml:space="preserve">Recommendation No 4/2020 (III. 24.) of the Magyar Nemzeti Bank on the Requirements pertaining to simple, transparent and </w:t>
      </w:r>
      <w:proofErr w:type="spellStart"/>
      <w:r w:rsidRPr="0083048B">
        <w:rPr>
          <w:rFonts w:eastAsia="Calibri" w:cs="Calibri"/>
          <w:lang w:val="en"/>
        </w:rPr>
        <w:t>standardised</w:t>
      </w:r>
      <w:proofErr w:type="spellEnd"/>
      <w:r w:rsidRPr="0083048B">
        <w:rPr>
          <w:rFonts w:eastAsia="Calibri" w:cs="Calibri"/>
          <w:lang w:val="en"/>
        </w:rPr>
        <w:t xml:space="preserve"> </w:t>
      </w:r>
      <w:proofErr w:type="spellStart"/>
      <w:r w:rsidRPr="0083048B">
        <w:rPr>
          <w:rFonts w:eastAsia="Calibri" w:cs="Calibri"/>
          <w:lang w:val="en"/>
        </w:rPr>
        <w:t>securitisation</w:t>
      </w:r>
      <w:proofErr w:type="spellEnd"/>
      <w:r w:rsidRPr="0083048B">
        <w:rPr>
          <w:rFonts w:eastAsia="Calibri" w:cs="Calibri"/>
          <w:lang w:val="en"/>
        </w:rPr>
        <w:t xml:space="preserve"> not qualifying as asset-backed commercial paper (ABCP</w:t>
      </w:r>
      <w:proofErr w:type="gramStart"/>
      <w:r w:rsidRPr="0083048B">
        <w:rPr>
          <w:rFonts w:eastAsia="Calibri" w:cs="Calibri"/>
          <w:lang w:val="en"/>
        </w:rPr>
        <w:t>);</w:t>
      </w:r>
      <w:proofErr w:type="gramEnd"/>
      <w:r w:rsidRPr="0083048B">
        <w:rPr>
          <w:rFonts w:eastAsia="Calibri" w:cs="Calibri"/>
          <w:lang w:val="en"/>
        </w:rPr>
        <w:t xml:space="preserve"> </w:t>
      </w:r>
    </w:p>
    <w:p w14:paraId="1B92911A" w14:textId="77777777" w:rsidR="00193A36" w:rsidRPr="0083048B" w:rsidRDefault="00193A36" w:rsidP="00FD56EE">
      <w:pPr>
        <w:widowControl w:val="0"/>
        <w:numPr>
          <w:ilvl w:val="0"/>
          <w:numId w:val="30"/>
        </w:numPr>
        <w:spacing w:after="200" w:line="240" w:lineRule="auto"/>
        <w:ind w:left="567" w:right="-21" w:hanging="283"/>
        <w:contextualSpacing/>
        <w:rPr>
          <w:rFonts w:eastAsia="Calibri" w:cs="Calibri"/>
        </w:rPr>
      </w:pPr>
      <w:r w:rsidRPr="0083048B">
        <w:rPr>
          <w:rFonts w:eastAsia="Calibri" w:cs="Calibri"/>
          <w:lang w:val="en"/>
        </w:rPr>
        <w:t xml:space="preserve">Recommendation No 3/2020 (III. 24.) of the Magyar Nemzeti Bank on the Requirements pertaining to simple, transparent and </w:t>
      </w:r>
      <w:proofErr w:type="spellStart"/>
      <w:r w:rsidRPr="0083048B">
        <w:rPr>
          <w:rFonts w:eastAsia="Calibri" w:cs="Calibri"/>
          <w:lang w:val="en"/>
        </w:rPr>
        <w:t>standardised</w:t>
      </w:r>
      <w:proofErr w:type="spellEnd"/>
      <w:r w:rsidRPr="0083048B">
        <w:rPr>
          <w:rFonts w:eastAsia="Calibri" w:cs="Calibri"/>
          <w:lang w:val="en"/>
        </w:rPr>
        <w:t xml:space="preserve"> </w:t>
      </w:r>
      <w:proofErr w:type="spellStart"/>
      <w:r w:rsidRPr="0083048B">
        <w:rPr>
          <w:rFonts w:eastAsia="Calibri" w:cs="Calibri"/>
          <w:lang w:val="en"/>
        </w:rPr>
        <w:t>ABCP</w:t>
      </w:r>
      <w:proofErr w:type="spellEnd"/>
      <w:r w:rsidRPr="0083048B">
        <w:rPr>
          <w:rFonts w:eastAsia="Calibri" w:cs="Calibri"/>
          <w:lang w:val="en"/>
        </w:rPr>
        <w:t xml:space="preserve"> </w:t>
      </w:r>
      <w:proofErr w:type="spellStart"/>
      <w:proofErr w:type="gramStart"/>
      <w:r w:rsidRPr="0083048B">
        <w:rPr>
          <w:rFonts w:eastAsia="Calibri" w:cs="Calibri"/>
          <w:lang w:val="en"/>
        </w:rPr>
        <w:t>securitisation</w:t>
      </w:r>
      <w:proofErr w:type="spellEnd"/>
      <w:r w:rsidRPr="0083048B">
        <w:rPr>
          <w:rFonts w:eastAsia="Calibri" w:cs="Calibri"/>
          <w:lang w:val="en"/>
        </w:rPr>
        <w:t>;</w:t>
      </w:r>
      <w:proofErr w:type="gramEnd"/>
      <w:r w:rsidRPr="0083048B">
        <w:rPr>
          <w:rFonts w:eastAsia="Calibri" w:cs="Calibri"/>
          <w:lang w:val="en"/>
        </w:rPr>
        <w:t xml:space="preserve"> </w:t>
      </w:r>
    </w:p>
    <w:p w14:paraId="60D55AD3" w14:textId="77777777" w:rsidR="00193A36" w:rsidRPr="0083048B" w:rsidRDefault="00193A36" w:rsidP="00FD56EE">
      <w:pPr>
        <w:widowControl w:val="0"/>
        <w:numPr>
          <w:ilvl w:val="0"/>
          <w:numId w:val="30"/>
        </w:numPr>
        <w:spacing w:after="200" w:line="240" w:lineRule="auto"/>
        <w:ind w:left="567" w:right="-21" w:hanging="283"/>
        <w:contextualSpacing/>
        <w:rPr>
          <w:rFonts w:eastAsia="Calibri" w:cs="Calibri"/>
        </w:rPr>
      </w:pPr>
      <w:r w:rsidRPr="0083048B">
        <w:rPr>
          <w:rFonts w:eastAsia="Calibri" w:cs="Calibri"/>
          <w:lang w:val="en"/>
        </w:rPr>
        <w:t xml:space="preserve">Recommendation No 2/2020 (III. 24.) of the Magyar Nemzeti Bank on the Reduction of large portfolios of non-performing </w:t>
      </w:r>
      <w:proofErr w:type="gramStart"/>
      <w:r w:rsidRPr="0083048B">
        <w:rPr>
          <w:rFonts w:eastAsia="Calibri" w:cs="Calibri"/>
          <w:lang w:val="en"/>
        </w:rPr>
        <w:t>exposures;</w:t>
      </w:r>
      <w:proofErr w:type="gramEnd"/>
      <w:r w:rsidRPr="0083048B">
        <w:rPr>
          <w:rFonts w:eastAsia="Calibri" w:cs="Calibri"/>
          <w:lang w:val="en"/>
        </w:rPr>
        <w:t xml:space="preserve"> </w:t>
      </w:r>
    </w:p>
    <w:p w14:paraId="740A3C52" w14:textId="77777777" w:rsidR="00193A36" w:rsidRPr="0083048B" w:rsidRDefault="00193A36" w:rsidP="00FD56EE">
      <w:pPr>
        <w:widowControl w:val="0"/>
        <w:numPr>
          <w:ilvl w:val="0"/>
          <w:numId w:val="30"/>
        </w:numPr>
        <w:spacing w:after="200" w:line="240" w:lineRule="auto"/>
        <w:ind w:left="567" w:right="-21" w:hanging="283"/>
        <w:contextualSpacing/>
        <w:rPr>
          <w:rFonts w:eastAsia="Calibri" w:cs="Calibri"/>
        </w:rPr>
      </w:pPr>
      <w:r w:rsidRPr="0083048B">
        <w:rPr>
          <w:rFonts w:eastAsia="Calibri" w:cs="Calibri"/>
          <w:lang w:val="en"/>
        </w:rPr>
        <w:t xml:space="preserve">Recommendation No 1/2020 (III. 4.) of the Magyar Nemzeti Bank on the Procedures related to the payment service providers’ handling of money transfers with incomplete </w:t>
      </w:r>
      <w:proofErr w:type="gramStart"/>
      <w:r w:rsidRPr="0083048B">
        <w:rPr>
          <w:rFonts w:eastAsia="Calibri" w:cs="Calibri"/>
          <w:lang w:val="en"/>
        </w:rPr>
        <w:t>data;</w:t>
      </w:r>
      <w:proofErr w:type="gramEnd"/>
      <w:r w:rsidRPr="0083048B">
        <w:rPr>
          <w:rFonts w:eastAsia="Calibri" w:cs="Calibri"/>
          <w:lang w:val="en"/>
        </w:rPr>
        <w:t xml:space="preserve"> </w:t>
      </w:r>
    </w:p>
    <w:p w14:paraId="47B916AA" w14:textId="77777777" w:rsidR="00193A36" w:rsidRPr="0083048B" w:rsidRDefault="00193A36" w:rsidP="00FD56EE">
      <w:pPr>
        <w:widowControl w:val="0"/>
        <w:numPr>
          <w:ilvl w:val="0"/>
          <w:numId w:val="30"/>
        </w:numPr>
        <w:spacing w:after="200" w:line="240" w:lineRule="auto"/>
        <w:ind w:left="567" w:right="-21" w:hanging="283"/>
        <w:contextualSpacing/>
        <w:rPr>
          <w:rFonts w:eastAsia="Calibri" w:cs="Calibri"/>
        </w:rPr>
      </w:pPr>
      <w:r w:rsidRPr="0083048B">
        <w:rPr>
          <w:rFonts w:eastAsia="Calibri" w:cs="Calibri"/>
          <w:lang w:val="en"/>
        </w:rPr>
        <w:t xml:space="preserve">Recommendation No 19/2019 (IX. 20.) of the Magyar Nemzeti Bank on the Definition of exposures of particularly high </w:t>
      </w:r>
      <w:proofErr w:type="gramStart"/>
      <w:r w:rsidRPr="0083048B">
        <w:rPr>
          <w:rFonts w:eastAsia="Calibri" w:cs="Calibri"/>
          <w:lang w:val="en"/>
        </w:rPr>
        <w:t>risk;</w:t>
      </w:r>
      <w:proofErr w:type="gramEnd"/>
      <w:r w:rsidRPr="0083048B">
        <w:rPr>
          <w:rFonts w:eastAsia="Calibri" w:cs="Calibri"/>
          <w:lang w:val="en"/>
        </w:rPr>
        <w:t xml:space="preserve"> </w:t>
      </w:r>
    </w:p>
    <w:p w14:paraId="22A761C9" w14:textId="77777777" w:rsidR="00D60AC9" w:rsidRPr="0083048B" w:rsidRDefault="00D60AC9" w:rsidP="00FD56EE">
      <w:pPr>
        <w:widowControl w:val="0"/>
        <w:numPr>
          <w:ilvl w:val="0"/>
          <w:numId w:val="30"/>
        </w:numPr>
        <w:spacing w:after="200" w:line="240" w:lineRule="auto"/>
        <w:ind w:left="567" w:right="-21" w:hanging="283"/>
        <w:contextualSpacing/>
        <w:rPr>
          <w:rFonts w:eastAsia="Calibri" w:cs="Calibri"/>
        </w:rPr>
      </w:pPr>
      <w:r w:rsidRPr="0083048B">
        <w:rPr>
          <w:rFonts w:eastAsia="Calibri" w:cs="Calibri"/>
          <w:lang w:val="en"/>
        </w:rPr>
        <w:t xml:space="preserve">Recommendation No 14/2019 (VII. 3) of the Magyar Nemzeti Bank on the Conditions of resorting to exemption from the reserve </w:t>
      </w:r>
      <w:proofErr w:type="gramStart"/>
      <w:r w:rsidRPr="0083048B">
        <w:rPr>
          <w:rFonts w:eastAsia="Calibri" w:cs="Calibri"/>
          <w:lang w:val="en"/>
        </w:rPr>
        <w:t>mechanism;</w:t>
      </w:r>
      <w:proofErr w:type="gramEnd"/>
    </w:p>
    <w:p w14:paraId="0A5F1053" w14:textId="77777777" w:rsidR="001A4066" w:rsidRPr="0083048B" w:rsidRDefault="001A4066" w:rsidP="00FD56EE">
      <w:pPr>
        <w:widowControl w:val="0"/>
        <w:numPr>
          <w:ilvl w:val="0"/>
          <w:numId w:val="30"/>
        </w:numPr>
        <w:spacing w:after="0" w:line="240" w:lineRule="auto"/>
        <w:ind w:left="567" w:right="-21" w:hanging="283"/>
        <w:contextualSpacing/>
        <w:rPr>
          <w:rFonts w:eastAsia="Calibri" w:cs="Calibri"/>
        </w:rPr>
      </w:pPr>
      <w:r w:rsidRPr="0083048B">
        <w:rPr>
          <w:rFonts w:eastAsia="Calibri" w:cs="Calibri"/>
          <w:lang w:val="en"/>
        </w:rPr>
        <w:t xml:space="preserve">Recommendation No 8/2019 (IV. 1.) of the Magyar Nemzeti Bank on currency exchange services provided by credit institutions directly or via special service </w:t>
      </w:r>
      <w:proofErr w:type="gramStart"/>
      <w:r w:rsidRPr="0083048B">
        <w:rPr>
          <w:rFonts w:eastAsia="Calibri" w:cs="Calibri"/>
          <w:lang w:val="en"/>
        </w:rPr>
        <w:t>intermediaries;</w:t>
      </w:r>
      <w:proofErr w:type="gramEnd"/>
      <w:r w:rsidRPr="0083048B">
        <w:rPr>
          <w:rFonts w:eastAsia="Calibri" w:cs="Calibri"/>
          <w:lang w:val="en"/>
        </w:rPr>
        <w:t xml:space="preserve"> </w:t>
      </w:r>
    </w:p>
    <w:p w14:paraId="7C01EB62" w14:textId="77777777" w:rsidR="00046C1F" w:rsidRPr="0083048B" w:rsidRDefault="00046C1F" w:rsidP="00605FAE">
      <w:pPr>
        <w:widowControl w:val="0"/>
        <w:numPr>
          <w:ilvl w:val="0"/>
          <w:numId w:val="30"/>
        </w:numPr>
        <w:spacing w:after="0" w:line="240" w:lineRule="auto"/>
        <w:ind w:left="567" w:right="-21" w:hanging="283"/>
        <w:contextualSpacing/>
        <w:rPr>
          <w:rFonts w:eastAsia="Calibri" w:cs="Calibri"/>
        </w:rPr>
      </w:pPr>
      <w:r w:rsidRPr="0083048B">
        <w:rPr>
          <w:rFonts w:eastAsia="Calibri" w:cs="Calibri"/>
          <w:lang w:val="en"/>
        </w:rPr>
        <w:t xml:space="preserve">Recommendation No 2/2019 (II. 13) of the Magyar Nemzeti Bank on the workout activity performed vis-a-vis </w:t>
      </w:r>
      <w:proofErr w:type="gramStart"/>
      <w:r w:rsidRPr="0083048B">
        <w:rPr>
          <w:rFonts w:eastAsia="Calibri" w:cs="Calibri"/>
          <w:lang w:val="en"/>
        </w:rPr>
        <w:t>consumers;</w:t>
      </w:r>
      <w:proofErr w:type="gramEnd"/>
    </w:p>
    <w:p w14:paraId="70B00762" w14:textId="77777777" w:rsidR="00355AFC" w:rsidRPr="0083048B" w:rsidRDefault="00605FAE" w:rsidP="00E95E90">
      <w:pPr>
        <w:widowControl w:val="0"/>
        <w:numPr>
          <w:ilvl w:val="0"/>
          <w:numId w:val="30"/>
        </w:numPr>
        <w:spacing w:after="0" w:line="240" w:lineRule="auto"/>
        <w:ind w:left="567" w:right="-21" w:hanging="283"/>
        <w:contextualSpacing/>
        <w:rPr>
          <w:rFonts w:eastAsia="Calibri" w:cs="Calibri"/>
        </w:rPr>
      </w:pPr>
      <w:r w:rsidRPr="0083048B">
        <w:rPr>
          <w:rFonts w:eastAsia="Calibri" w:cs="Calibri"/>
          <w:lang w:val="en"/>
        </w:rPr>
        <w:t xml:space="preserve"> Recommendation No 28/2018 (XII. 10.) of the Magyar Nemzeti Bank on the definition of the notion of “group of connected clients” as specified in Article 4(1)39) of Regulation 575/2013/</w:t>
      </w:r>
      <w:proofErr w:type="gramStart"/>
      <w:r w:rsidRPr="0083048B">
        <w:rPr>
          <w:rFonts w:eastAsia="Calibri" w:cs="Calibri"/>
          <w:lang w:val="en"/>
        </w:rPr>
        <w:t>EU;</w:t>
      </w:r>
      <w:proofErr w:type="gramEnd"/>
    </w:p>
    <w:p w14:paraId="2C183350" w14:textId="77777777" w:rsidR="00355AFC" w:rsidRPr="0083048B" w:rsidRDefault="00605FAE" w:rsidP="00355AFC">
      <w:pPr>
        <w:widowControl w:val="0"/>
        <w:numPr>
          <w:ilvl w:val="0"/>
          <w:numId w:val="30"/>
        </w:numPr>
        <w:spacing w:after="0" w:line="240" w:lineRule="auto"/>
        <w:ind w:left="567" w:right="-21" w:hanging="283"/>
        <w:contextualSpacing/>
        <w:rPr>
          <w:rFonts w:eastAsia="Calibri" w:cs="Calibri"/>
        </w:rPr>
      </w:pPr>
      <w:r w:rsidRPr="0083048B">
        <w:rPr>
          <w:rFonts w:eastAsia="Calibri" w:cs="Calibri"/>
          <w:lang w:val="en"/>
        </w:rPr>
        <w:t xml:space="preserve"> Recommendation No 26/2018 (VIII. 16.) of the Magyar Nemzeti Bank on the security measures related to the operational and security risks of payment </w:t>
      </w:r>
      <w:proofErr w:type="gramStart"/>
      <w:r w:rsidRPr="0083048B">
        <w:rPr>
          <w:rFonts w:eastAsia="Calibri" w:cs="Calibri"/>
          <w:lang w:val="en"/>
        </w:rPr>
        <w:t>services;</w:t>
      </w:r>
      <w:proofErr w:type="gramEnd"/>
    </w:p>
    <w:p w14:paraId="37754F84" w14:textId="77777777" w:rsidR="00355AFC" w:rsidRPr="0083048B" w:rsidRDefault="00605FAE" w:rsidP="00355AFC">
      <w:pPr>
        <w:widowControl w:val="0"/>
        <w:numPr>
          <w:ilvl w:val="0"/>
          <w:numId w:val="30"/>
        </w:numPr>
        <w:spacing w:after="0" w:line="240" w:lineRule="auto"/>
        <w:ind w:left="567" w:right="-21" w:hanging="283"/>
        <w:contextualSpacing/>
        <w:rPr>
          <w:rFonts w:eastAsia="Calibri" w:cs="Calibri"/>
        </w:rPr>
      </w:pPr>
      <w:r w:rsidRPr="0083048B">
        <w:rPr>
          <w:rFonts w:eastAsia="Calibri" w:cs="Calibri"/>
          <w:lang w:val="en"/>
        </w:rPr>
        <w:t xml:space="preserve"> Recommendation No 24/2018 (VII. 5.) of the Magyar Nemzeti Bank on the Granting of pawn loans directly by financial institutions or through tied </w:t>
      </w:r>
      <w:proofErr w:type="gramStart"/>
      <w:r w:rsidRPr="0083048B">
        <w:rPr>
          <w:rFonts w:eastAsia="Calibri" w:cs="Calibri"/>
          <w:lang w:val="en"/>
        </w:rPr>
        <w:t>agents;</w:t>
      </w:r>
      <w:proofErr w:type="gramEnd"/>
    </w:p>
    <w:p w14:paraId="2A78516C" w14:textId="77777777" w:rsidR="00472D96" w:rsidRPr="0083048B" w:rsidRDefault="00472D96" w:rsidP="00FD56EE">
      <w:pPr>
        <w:widowControl w:val="0"/>
        <w:numPr>
          <w:ilvl w:val="0"/>
          <w:numId w:val="30"/>
        </w:numPr>
        <w:spacing w:after="0" w:line="240" w:lineRule="auto"/>
        <w:ind w:left="567" w:right="-21" w:hanging="283"/>
        <w:contextualSpacing/>
        <w:rPr>
          <w:rFonts w:eastAsia="Calibri" w:cs="Calibri"/>
        </w:rPr>
      </w:pPr>
      <w:r w:rsidRPr="0083048B">
        <w:rPr>
          <w:rFonts w:eastAsia="Calibri" w:cs="Calibri"/>
          <w:lang w:val="en"/>
        </w:rPr>
        <w:t xml:space="preserve">Recommendation No 14/2018 (III. 6.) of the Magyar Nemzeti Bank on the Management of risks related to encumbered </w:t>
      </w:r>
      <w:proofErr w:type="gramStart"/>
      <w:r w:rsidRPr="0083048B">
        <w:rPr>
          <w:rFonts w:eastAsia="Calibri" w:cs="Calibri"/>
          <w:lang w:val="en"/>
        </w:rPr>
        <w:t>assets;</w:t>
      </w:r>
      <w:proofErr w:type="gramEnd"/>
    </w:p>
    <w:p w14:paraId="64D8673C" w14:textId="77777777" w:rsidR="00E21756" w:rsidRPr="0083048B" w:rsidRDefault="00E21756" w:rsidP="00FD56EE">
      <w:pPr>
        <w:widowControl w:val="0"/>
        <w:numPr>
          <w:ilvl w:val="0"/>
          <w:numId w:val="30"/>
        </w:numPr>
        <w:spacing w:after="0" w:line="240" w:lineRule="auto"/>
        <w:ind w:left="567" w:right="-21" w:hanging="283"/>
        <w:contextualSpacing/>
        <w:rPr>
          <w:rFonts w:eastAsia="Calibri" w:cs="Calibri"/>
        </w:rPr>
      </w:pPr>
      <w:r w:rsidRPr="0083048B">
        <w:rPr>
          <w:rFonts w:eastAsia="Calibri" w:cs="Calibri"/>
          <w:lang w:val="en"/>
        </w:rPr>
        <w:t xml:space="preserve">Recommendation No 13/2018 (III. 6.) of the Magyar Nemzeti Bank on the Remuneration policy related to the sales of retail banking products and services, and the related internal rules of </w:t>
      </w:r>
      <w:proofErr w:type="gramStart"/>
      <w:r w:rsidRPr="0083048B">
        <w:rPr>
          <w:rFonts w:eastAsia="Calibri" w:cs="Calibri"/>
          <w:lang w:val="en"/>
        </w:rPr>
        <w:t>procedure;</w:t>
      </w:r>
      <w:proofErr w:type="gramEnd"/>
    </w:p>
    <w:p w14:paraId="5CFD622E" w14:textId="77777777" w:rsidR="00E21756" w:rsidRPr="0083048B" w:rsidRDefault="00605FAE" w:rsidP="00FD56EE">
      <w:pPr>
        <w:widowControl w:val="0"/>
        <w:numPr>
          <w:ilvl w:val="0"/>
          <w:numId w:val="30"/>
        </w:numPr>
        <w:spacing w:after="0" w:line="240" w:lineRule="auto"/>
        <w:ind w:left="567" w:right="-21" w:hanging="283"/>
        <w:contextualSpacing/>
        <w:rPr>
          <w:rFonts w:eastAsia="Calibri" w:cs="Calibri"/>
        </w:rPr>
      </w:pPr>
      <w:r w:rsidRPr="0083048B">
        <w:rPr>
          <w:rFonts w:eastAsia="Calibri" w:cs="Calibri"/>
          <w:lang w:val="en"/>
        </w:rPr>
        <w:t xml:space="preserve"> Recommendation No 12/2018 (II. 27) of the Magyar Nemzeti Bank on Certain issues related to the valuation and management of real estate financing project </w:t>
      </w:r>
      <w:proofErr w:type="gramStart"/>
      <w:r w:rsidRPr="0083048B">
        <w:rPr>
          <w:rFonts w:eastAsia="Calibri" w:cs="Calibri"/>
          <w:lang w:val="en"/>
        </w:rPr>
        <w:t>loans;</w:t>
      </w:r>
      <w:proofErr w:type="gramEnd"/>
    </w:p>
    <w:p w14:paraId="7FAC6270" w14:textId="77777777" w:rsidR="00355AFC" w:rsidRPr="0083048B" w:rsidRDefault="00605FAE" w:rsidP="00355AFC">
      <w:pPr>
        <w:widowControl w:val="0"/>
        <w:numPr>
          <w:ilvl w:val="0"/>
          <w:numId w:val="30"/>
        </w:numPr>
        <w:spacing w:after="0" w:line="240" w:lineRule="auto"/>
        <w:ind w:left="567" w:right="-21" w:hanging="283"/>
        <w:contextualSpacing/>
        <w:rPr>
          <w:rFonts w:eastAsia="Calibri" w:cs="Calibri"/>
        </w:rPr>
      </w:pPr>
      <w:r w:rsidRPr="0083048B">
        <w:rPr>
          <w:rFonts w:eastAsia="Calibri" w:cs="Calibri"/>
          <w:lang w:val="en"/>
        </w:rPr>
        <w:t xml:space="preserve"> Recommendation No 5/2018 (II. 19.) of the Magyar Nemzeti Bank on the Criteria applicable to the minimum amount of the professional liability insurance or other similar </w:t>
      </w:r>
      <w:proofErr w:type="gramStart"/>
      <w:r w:rsidRPr="0083048B">
        <w:rPr>
          <w:rFonts w:eastAsia="Calibri" w:cs="Calibri"/>
          <w:lang w:val="en"/>
        </w:rPr>
        <w:t>guarantees;</w:t>
      </w:r>
      <w:proofErr w:type="gramEnd"/>
    </w:p>
    <w:p w14:paraId="134959D4" w14:textId="77777777" w:rsidR="00D33775" w:rsidRPr="0083048B" w:rsidRDefault="00D33775" w:rsidP="00FD56EE">
      <w:pPr>
        <w:widowControl w:val="0"/>
        <w:numPr>
          <w:ilvl w:val="0"/>
          <w:numId w:val="30"/>
        </w:numPr>
        <w:spacing w:after="0" w:line="240" w:lineRule="auto"/>
        <w:ind w:left="567" w:right="-36" w:hanging="283"/>
        <w:contextualSpacing/>
        <w:rPr>
          <w:rFonts w:eastAsia="Calibri" w:cs="Calibri"/>
        </w:rPr>
      </w:pPr>
      <w:r w:rsidRPr="0083048B">
        <w:rPr>
          <w:rFonts w:eastAsia="Calibri" w:cs="Calibri"/>
          <w:lang w:val="en"/>
        </w:rPr>
        <w:t xml:space="preserve">Recommendation No 12/2017 (XI. 6) of the Magyar Nemzeti Bank on Issues related to the application of the IFRS9 impairment </w:t>
      </w:r>
      <w:proofErr w:type="gramStart"/>
      <w:r w:rsidRPr="0083048B">
        <w:rPr>
          <w:rFonts w:eastAsia="Calibri" w:cs="Calibri"/>
          <w:lang w:val="en"/>
        </w:rPr>
        <w:t>requirements;</w:t>
      </w:r>
      <w:proofErr w:type="gramEnd"/>
    </w:p>
    <w:p w14:paraId="0007C64D" w14:textId="77777777" w:rsidR="00237F58" w:rsidRPr="0083048B" w:rsidRDefault="00237F58" w:rsidP="00FD56EE">
      <w:pPr>
        <w:widowControl w:val="0"/>
        <w:numPr>
          <w:ilvl w:val="0"/>
          <w:numId w:val="30"/>
        </w:numPr>
        <w:spacing w:after="0" w:line="240" w:lineRule="auto"/>
        <w:ind w:left="567" w:right="-21" w:hanging="283"/>
        <w:contextualSpacing/>
        <w:rPr>
          <w:rFonts w:eastAsia="Calibri" w:cs="Calibri"/>
        </w:rPr>
      </w:pPr>
      <w:r w:rsidRPr="0083048B">
        <w:rPr>
          <w:rFonts w:eastAsia="Calibri" w:cs="Calibri"/>
          <w:lang w:val="en"/>
        </w:rPr>
        <w:t xml:space="preserve">Recommendation No 10/2017 (VIII. 8.) of the Magyar Nemzeti Bank on Defining </w:t>
      </w:r>
      <w:proofErr w:type="spellStart"/>
      <w:r w:rsidRPr="0083048B">
        <w:rPr>
          <w:rFonts w:eastAsia="Calibri" w:cs="Calibri"/>
          <w:lang w:val="en"/>
        </w:rPr>
        <w:t>specialised</w:t>
      </w:r>
      <w:proofErr w:type="spellEnd"/>
      <w:r w:rsidRPr="0083048B">
        <w:rPr>
          <w:rFonts w:eastAsia="Calibri" w:cs="Calibri"/>
          <w:lang w:val="en"/>
        </w:rPr>
        <w:t xml:space="preserve"> lending exposures and speculative real property </w:t>
      </w:r>
      <w:proofErr w:type="gramStart"/>
      <w:r w:rsidRPr="0083048B">
        <w:rPr>
          <w:rFonts w:eastAsia="Calibri" w:cs="Calibri"/>
          <w:lang w:val="en"/>
        </w:rPr>
        <w:t>financing;</w:t>
      </w:r>
      <w:proofErr w:type="gramEnd"/>
    </w:p>
    <w:p w14:paraId="454F38DC" w14:textId="77777777" w:rsidR="00D92CBB" w:rsidRPr="0083048B" w:rsidRDefault="00046C1F" w:rsidP="00FD56EE">
      <w:pPr>
        <w:widowControl w:val="0"/>
        <w:numPr>
          <w:ilvl w:val="0"/>
          <w:numId w:val="30"/>
        </w:numPr>
        <w:spacing w:after="0" w:line="240" w:lineRule="auto"/>
        <w:ind w:left="567" w:right="-21" w:hanging="283"/>
        <w:contextualSpacing/>
        <w:rPr>
          <w:rFonts w:eastAsia="Calibri" w:cs="Calibri"/>
        </w:rPr>
      </w:pPr>
      <w:r w:rsidRPr="0083048B">
        <w:rPr>
          <w:rFonts w:eastAsia="Calibri" w:cs="Calibri"/>
          <w:lang w:val="en"/>
        </w:rPr>
        <w:t xml:space="preserve">Recommendation No 13/2016 (XII. 19.) of the Magyar Nemzeti Bank on Product oversight and governance arrangements related to retail financial market </w:t>
      </w:r>
      <w:proofErr w:type="gramStart"/>
      <w:r w:rsidRPr="0083048B">
        <w:rPr>
          <w:rFonts w:eastAsia="Calibri" w:cs="Calibri"/>
          <w:lang w:val="en"/>
        </w:rPr>
        <w:t>products;</w:t>
      </w:r>
      <w:proofErr w:type="gramEnd"/>
    </w:p>
    <w:p w14:paraId="0B45354E" w14:textId="77777777" w:rsidR="005341D8" w:rsidRPr="0083048B" w:rsidRDefault="00D92CBB" w:rsidP="00FD56EE">
      <w:pPr>
        <w:widowControl w:val="0"/>
        <w:numPr>
          <w:ilvl w:val="0"/>
          <w:numId w:val="30"/>
        </w:numPr>
        <w:spacing w:after="0" w:line="240" w:lineRule="auto"/>
        <w:ind w:left="567" w:right="-21" w:hanging="283"/>
        <w:contextualSpacing/>
        <w:rPr>
          <w:rFonts w:eastAsia="Calibri" w:cs="Calibri"/>
        </w:rPr>
      </w:pPr>
      <w:r w:rsidRPr="0083048B">
        <w:rPr>
          <w:rFonts w:eastAsia="Calibri" w:cs="Calibri"/>
          <w:lang w:val="en"/>
        </w:rPr>
        <w:t xml:space="preserve">Recommendation No 11/2016 (XII. 1.) of the Magyar Nemzeti Bank on the limitation of exposures to </w:t>
      </w:r>
      <w:proofErr w:type="spellStart"/>
      <w:r w:rsidRPr="0083048B">
        <w:rPr>
          <w:rFonts w:eastAsia="Calibri" w:cs="Calibri"/>
          <w:lang w:val="en"/>
        </w:rPr>
        <w:t>organisations</w:t>
      </w:r>
      <w:proofErr w:type="spellEnd"/>
      <w:r w:rsidRPr="0083048B">
        <w:rPr>
          <w:rFonts w:eastAsia="Calibri" w:cs="Calibri"/>
          <w:lang w:val="en"/>
        </w:rPr>
        <w:t xml:space="preserve"> performing shadow banking </w:t>
      </w:r>
      <w:proofErr w:type="gramStart"/>
      <w:r w:rsidRPr="0083048B">
        <w:rPr>
          <w:rFonts w:eastAsia="Calibri" w:cs="Calibri"/>
          <w:lang w:val="en"/>
        </w:rPr>
        <w:t>activity;</w:t>
      </w:r>
      <w:proofErr w:type="gramEnd"/>
    </w:p>
    <w:p w14:paraId="791AA93B" w14:textId="77777777" w:rsidR="00FC38F5" w:rsidRPr="0083048B" w:rsidRDefault="00F657BC" w:rsidP="00FD56EE">
      <w:pPr>
        <w:widowControl w:val="0"/>
        <w:numPr>
          <w:ilvl w:val="0"/>
          <w:numId w:val="30"/>
        </w:numPr>
        <w:spacing w:after="0" w:line="240" w:lineRule="auto"/>
        <w:ind w:left="567" w:right="-21" w:hanging="283"/>
        <w:contextualSpacing/>
        <w:rPr>
          <w:rFonts w:eastAsia="Calibri" w:cs="Calibri"/>
        </w:rPr>
      </w:pPr>
      <w:r w:rsidRPr="0083048B">
        <w:rPr>
          <w:rFonts w:eastAsia="Calibri" w:cs="Calibri"/>
          <w:lang w:val="en"/>
        </w:rPr>
        <w:t xml:space="preserve">Recommendation No 23/2015 (XII. 29.) of the Magyar Nemzeti Bank on measuring, managing and controlling the interest rate risk of non-trading book </w:t>
      </w:r>
      <w:proofErr w:type="gramStart"/>
      <w:r w:rsidRPr="0083048B">
        <w:rPr>
          <w:rFonts w:eastAsia="Calibri" w:cs="Calibri"/>
          <w:lang w:val="en"/>
        </w:rPr>
        <w:t>exposures;</w:t>
      </w:r>
      <w:proofErr w:type="gramEnd"/>
    </w:p>
    <w:p w14:paraId="0EDB299C" w14:textId="77777777" w:rsidR="00046C1F" w:rsidRPr="0083048B" w:rsidRDefault="00FC38F5" w:rsidP="00FD56EE">
      <w:pPr>
        <w:widowControl w:val="0"/>
        <w:numPr>
          <w:ilvl w:val="0"/>
          <w:numId w:val="30"/>
        </w:numPr>
        <w:spacing w:after="0" w:line="240" w:lineRule="auto"/>
        <w:ind w:left="567" w:right="-21" w:hanging="283"/>
        <w:contextualSpacing/>
        <w:rPr>
          <w:rFonts w:eastAsia="Calibri" w:cs="Calibri"/>
        </w:rPr>
      </w:pPr>
      <w:r w:rsidRPr="0083048B">
        <w:rPr>
          <w:rFonts w:eastAsia="Calibri" w:cs="Calibri"/>
          <w:lang w:val="en"/>
        </w:rPr>
        <w:t xml:space="preserve">Recommendation No 12/2015 (VIII. 24.) of the Magyar Nemzeti Bank on the Measurement, </w:t>
      </w:r>
      <w:proofErr w:type="gramStart"/>
      <w:r w:rsidRPr="0083048B">
        <w:rPr>
          <w:rFonts w:eastAsia="Calibri" w:cs="Calibri"/>
          <w:lang w:val="en"/>
        </w:rPr>
        <w:t>management</w:t>
      </w:r>
      <w:proofErr w:type="gramEnd"/>
      <w:r w:rsidRPr="0083048B">
        <w:rPr>
          <w:rFonts w:eastAsia="Calibri" w:cs="Calibri"/>
          <w:lang w:val="en"/>
        </w:rPr>
        <w:t xml:space="preserve"> and control of liquidity risks.</w:t>
      </w:r>
    </w:p>
    <w:p w14:paraId="08D7EBD0" w14:textId="77777777" w:rsidR="00A44AA5" w:rsidRPr="0083048B" w:rsidRDefault="00A44AA5" w:rsidP="00915585">
      <w:pPr>
        <w:widowControl w:val="0"/>
        <w:spacing w:after="0" w:line="240" w:lineRule="auto"/>
        <w:ind w:left="567" w:right="-21" w:hanging="283"/>
        <w:contextualSpacing/>
        <w:rPr>
          <w:rFonts w:eastAsia="Calibri" w:cs="Calibri"/>
        </w:rPr>
      </w:pPr>
    </w:p>
    <w:p w14:paraId="5E7E4F7F" w14:textId="77777777" w:rsidR="00046C1F" w:rsidRPr="0083048B" w:rsidRDefault="00046C1F" w:rsidP="00915585">
      <w:pPr>
        <w:widowControl w:val="0"/>
        <w:spacing w:before="8" w:after="0" w:line="280" w:lineRule="exact"/>
        <w:ind w:left="567" w:hanging="283"/>
        <w:rPr>
          <w:rFonts w:eastAsia="Calibri" w:cs="Times New Roman"/>
          <w:sz w:val="28"/>
          <w:szCs w:val="28"/>
        </w:rPr>
      </w:pPr>
    </w:p>
    <w:p w14:paraId="2EBC992C" w14:textId="77777777" w:rsidR="005A4253" w:rsidRDefault="005A4253" w:rsidP="00915585">
      <w:pPr>
        <w:widowControl w:val="0"/>
        <w:spacing w:before="8" w:after="0" w:line="280" w:lineRule="exact"/>
        <w:ind w:left="567" w:hanging="283"/>
        <w:rPr>
          <w:rFonts w:eastAsia="Calibri" w:cs="Times New Roman"/>
          <w:sz w:val="28"/>
          <w:szCs w:val="28"/>
        </w:rPr>
      </w:pPr>
    </w:p>
    <w:p w14:paraId="05653AAD" w14:textId="77777777" w:rsidR="00913E02" w:rsidRPr="0083048B" w:rsidRDefault="00913E02" w:rsidP="00915585">
      <w:pPr>
        <w:widowControl w:val="0"/>
        <w:spacing w:before="8" w:after="0" w:line="280" w:lineRule="exact"/>
        <w:ind w:left="567" w:hanging="283"/>
        <w:rPr>
          <w:rFonts w:eastAsia="Calibri" w:cs="Times New Roman"/>
          <w:sz w:val="28"/>
          <w:szCs w:val="28"/>
        </w:rPr>
      </w:pPr>
    </w:p>
    <w:p w14:paraId="144D0541" w14:textId="77777777" w:rsidR="00046C1F" w:rsidRPr="0083048B" w:rsidRDefault="00046C1F" w:rsidP="00915585">
      <w:pPr>
        <w:widowControl w:val="0"/>
        <w:spacing w:after="0" w:line="240" w:lineRule="auto"/>
        <w:ind w:left="567" w:right="-20" w:hanging="283"/>
        <w:rPr>
          <w:rFonts w:eastAsia="Calibri" w:cs="Calibri"/>
          <w:b/>
          <w:bCs/>
        </w:rPr>
      </w:pPr>
      <w:r w:rsidRPr="0083048B">
        <w:rPr>
          <w:rFonts w:eastAsia="Calibri" w:cs="Calibri"/>
          <w:b/>
          <w:bCs/>
          <w:lang w:val="en"/>
        </w:rPr>
        <w:t>2.2 Investment firms, investment fund managers</w:t>
      </w:r>
    </w:p>
    <w:p w14:paraId="69CF410A" w14:textId="77777777" w:rsidR="00046C1F" w:rsidRPr="0083048B" w:rsidRDefault="00046C1F" w:rsidP="00915585">
      <w:pPr>
        <w:widowControl w:val="0"/>
        <w:spacing w:before="5" w:after="0" w:line="240" w:lineRule="exact"/>
        <w:ind w:left="567" w:hanging="283"/>
        <w:rPr>
          <w:rFonts w:eastAsia="Calibri" w:cs="Times New Roman"/>
          <w:sz w:val="24"/>
          <w:szCs w:val="24"/>
        </w:rPr>
      </w:pPr>
    </w:p>
    <w:p w14:paraId="4EFEFFD6" w14:textId="77777777" w:rsidR="00046C1F" w:rsidRPr="00913E02" w:rsidRDefault="00046C1F" w:rsidP="00913E02">
      <w:pPr>
        <w:widowControl w:val="0"/>
        <w:spacing w:after="0" w:line="240" w:lineRule="auto"/>
        <w:ind w:left="284" w:right="-20"/>
        <w:rPr>
          <w:rFonts w:eastAsia="Calibri" w:cs="Calibri"/>
          <w:lang w:val="en-GB"/>
        </w:rPr>
      </w:pPr>
      <w:r w:rsidRPr="00913E02">
        <w:rPr>
          <w:rFonts w:eastAsia="Calibri" w:cs="Calibri"/>
          <w:lang w:val="en-GB"/>
        </w:rPr>
        <w:t>Pursuant to Sections 171, 172, 173, 173/A and 174 of the Collective Investment Firms Act, as well as Section 172, Section 173, Section 177 and Section 178 of the Collective Investment Trust Act the MNB provides the following statutory information.</w:t>
      </w:r>
    </w:p>
    <w:p w14:paraId="27A9A177" w14:textId="77777777" w:rsidR="00046C1F" w:rsidRPr="0083048B" w:rsidRDefault="00046C1F" w:rsidP="00915585">
      <w:pPr>
        <w:widowControl w:val="0"/>
        <w:spacing w:before="3" w:after="0" w:line="240" w:lineRule="exact"/>
        <w:ind w:left="567" w:hanging="283"/>
        <w:rPr>
          <w:rFonts w:eastAsia="Calibri" w:cs="Times New Roman"/>
          <w:sz w:val="24"/>
          <w:szCs w:val="24"/>
        </w:rPr>
      </w:pPr>
    </w:p>
    <w:p w14:paraId="31A41B36" w14:textId="77777777" w:rsidR="00046C1F" w:rsidRPr="0083048B" w:rsidRDefault="00046C1F" w:rsidP="00915585">
      <w:pPr>
        <w:widowControl w:val="0"/>
        <w:spacing w:after="0" w:line="240" w:lineRule="auto"/>
        <w:ind w:left="284" w:right="62"/>
        <w:rPr>
          <w:rFonts w:eastAsia="Calibri" w:cs="Calibri"/>
        </w:rPr>
      </w:pPr>
      <w:r w:rsidRPr="0083048B">
        <w:rPr>
          <w:rFonts w:eastAsia="Calibri" w:cs="Calibri"/>
          <w:b/>
          <w:bCs/>
          <w:u w:val="single"/>
          <w:lang w:val="en"/>
        </w:rPr>
        <w:t>Investment firms and investment fund managers</w:t>
      </w:r>
      <w:r w:rsidRPr="0083048B">
        <w:rPr>
          <w:rFonts w:eastAsia="Calibri" w:cs="Calibri"/>
          <w:b/>
          <w:bCs/>
          <w:lang w:val="en"/>
        </w:rPr>
        <w:t xml:space="preserve"> with registered office in an EEA state and operating in Hungary as a branch office or cross-border service provider must pay special attention to compliance with the following legal provisions:</w:t>
      </w:r>
    </w:p>
    <w:p w14:paraId="7FB4BD4E" w14:textId="77777777" w:rsidR="00046C1F" w:rsidRPr="0083048B" w:rsidRDefault="00046C1F" w:rsidP="00915585">
      <w:pPr>
        <w:widowControl w:val="0"/>
        <w:spacing w:before="3" w:after="0" w:line="240" w:lineRule="exact"/>
        <w:ind w:left="567" w:hanging="283"/>
        <w:rPr>
          <w:rFonts w:eastAsia="Calibri" w:cs="Times New Roman"/>
          <w:sz w:val="24"/>
          <w:szCs w:val="24"/>
        </w:rPr>
      </w:pPr>
    </w:p>
    <w:p w14:paraId="53CF5F9B" w14:textId="77777777" w:rsidR="00046C1F" w:rsidRPr="0083048B" w:rsidRDefault="00046C1F" w:rsidP="00915585">
      <w:pPr>
        <w:widowControl w:val="0"/>
        <w:spacing w:after="0" w:line="240" w:lineRule="auto"/>
        <w:ind w:left="567" w:hanging="283"/>
        <w:rPr>
          <w:rFonts w:eastAsia="Calibri" w:cs="Calibri"/>
          <w:b/>
        </w:rPr>
      </w:pPr>
      <w:r w:rsidRPr="0083048B">
        <w:rPr>
          <w:rFonts w:eastAsia="Calibri" w:cs="Calibri"/>
          <w:b/>
          <w:bCs/>
          <w:lang w:val="en"/>
        </w:rPr>
        <w:t>Laws:</w:t>
      </w:r>
    </w:p>
    <w:p w14:paraId="5593AA54" w14:textId="77777777" w:rsidR="00046C1F" w:rsidRPr="0083048B" w:rsidRDefault="00046C1F" w:rsidP="00915585">
      <w:pPr>
        <w:widowControl w:val="0"/>
        <w:spacing w:before="5" w:after="0" w:line="240" w:lineRule="exact"/>
        <w:ind w:left="567" w:hanging="283"/>
        <w:rPr>
          <w:rFonts w:eastAsia="Calibri" w:cs="Times New Roman"/>
          <w:sz w:val="24"/>
          <w:szCs w:val="24"/>
        </w:rPr>
      </w:pPr>
    </w:p>
    <w:p w14:paraId="3AB3BF4F" w14:textId="77777777" w:rsidR="00045053" w:rsidRDefault="00046C1F" w:rsidP="00045053">
      <w:pPr>
        <w:widowControl w:val="0"/>
        <w:numPr>
          <w:ilvl w:val="0"/>
          <w:numId w:val="17"/>
        </w:numPr>
        <w:tabs>
          <w:tab w:val="left" w:pos="9498"/>
        </w:tabs>
        <w:spacing w:after="0" w:line="240" w:lineRule="auto"/>
        <w:ind w:left="567" w:right="26" w:hanging="283"/>
        <w:contextualSpacing/>
        <w:rPr>
          <w:rFonts w:eastAsia="Calibri" w:cs="Calibri"/>
        </w:rPr>
      </w:pPr>
      <w:r w:rsidRPr="0083048B">
        <w:rPr>
          <w:rFonts w:eastAsia="Calibri" w:cs="Calibri"/>
          <w:lang w:val="en"/>
        </w:rPr>
        <w:t xml:space="preserve">Capital Markets </w:t>
      </w:r>
      <w:proofErr w:type="gramStart"/>
      <w:r w:rsidRPr="0083048B">
        <w:rPr>
          <w:rFonts w:eastAsia="Calibri" w:cs="Calibri"/>
          <w:lang w:val="en"/>
        </w:rPr>
        <w:t>Act;</w:t>
      </w:r>
      <w:proofErr w:type="gramEnd"/>
    </w:p>
    <w:p w14:paraId="47112BB8" w14:textId="1E3D8F6B" w:rsidR="00046C1F" w:rsidRPr="00045053" w:rsidRDefault="00046C1F" w:rsidP="00045053">
      <w:pPr>
        <w:widowControl w:val="0"/>
        <w:numPr>
          <w:ilvl w:val="0"/>
          <w:numId w:val="17"/>
        </w:numPr>
        <w:tabs>
          <w:tab w:val="left" w:pos="9498"/>
        </w:tabs>
        <w:spacing w:after="0" w:line="240" w:lineRule="auto"/>
        <w:ind w:left="567" w:right="26" w:hanging="283"/>
        <w:contextualSpacing/>
        <w:rPr>
          <w:rFonts w:eastAsia="Calibri" w:cs="Calibri"/>
        </w:rPr>
      </w:pPr>
      <w:r w:rsidRPr="00045053">
        <w:rPr>
          <w:rFonts w:eastAsia="Calibri" w:cs="Calibri"/>
          <w:lang w:val="en"/>
        </w:rPr>
        <w:t xml:space="preserve">Investment Firms </w:t>
      </w:r>
      <w:proofErr w:type="gramStart"/>
      <w:r w:rsidRPr="00045053">
        <w:rPr>
          <w:rFonts w:eastAsia="Calibri" w:cs="Calibri"/>
          <w:lang w:val="en"/>
        </w:rPr>
        <w:t>Act;</w:t>
      </w:r>
      <w:proofErr w:type="gramEnd"/>
    </w:p>
    <w:p w14:paraId="78C7133F" w14:textId="3A6BEC65" w:rsidR="002C1CB4" w:rsidRPr="00045053" w:rsidRDefault="002C1CB4" w:rsidP="00045053">
      <w:pPr>
        <w:widowControl w:val="0"/>
        <w:numPr>
          <w:ilvl w:val="0"/>
          <w:numId w:val="17"/>
        </w:numPr>
        <w:spacing w:after="0" w:line="242" w:lineRule="exact"/>
        <w:ind w:left="709" w:right="-20" w:hanging="425"/>
        <w:contextualSpacing/>
        <w:rPr>
          <w:rFonts w:eastAsia="Calibri" w:cs="Calibri"/>
          <w:lang w:val="en-GB"/>
        </w:rPr>
      </w:pPr>
      <w:r w:rsidRPr="00045053">
        <w:rPr>
          <w:rFonts w:eastAsia="Calibri" w:cs="Calibri"/>
          <w:lang w:val="en-GB"/>
        </w:rPr>
        <w:t>Collectiv</w:t>
      </w:r>
      <w:r w:rsidR="00045053" w:rsidRPr="00045053">
        <w:rPr>
          <w:rFonts w:eastAsia="Calibri" w:cs="Calibri"/>
          <w:lang w:val="en-GB"/>
        </w:rPr>
        <w:t xml:space="preserve">e </w:t>
      </w:r>
      <w:r w:rsidRPr="00045053">
        <w:rPr>
          <w:rFonts w:eastAsia="Calibri" w:cs="Calibri"/>
          <w:lang w:val="en-GB"/>
        </w:rPr>
        <w:t xml:space="preserve">Investment Trust </w:t>
      </w:r>
      <w:proofErr w:type="gramStart"/>
      <w:r w:rsidRPr="00045053">
        <w:rPr>
          <w:rFonts w:eastAsia="Calibri" w:cs="Calibri"/>
          <w:lang w:val="en-GB"/>
        </w:rPr>
        <w:t>Act;</w:t>
      </w:r>
      <w:proofErr w:type="gramEnd"/>
    </w:p>
    <w:p w14:paraId="083A5D30" w14:textId="77777777" w:rsidR="00046C1F" w:rsidRPr="0083048B" w:rsidRDefault="00046C1F" w:rsidP="00FD56EE">
      <w:pPr>
        <w:widowControl w:val="0"/>
        <w:numPr>
          <w:ilvl w:val="0"/>
          <w:numId w:val="17"/>
        </w:numPr>
        <w:tabs>
          <w:tab w:val="left" w:pos="820"/>
        </w:tabs>
        <w:spacing w:after="0" w:line="240" w:lineRule="auto"/>
        <w:ind w:left="567" w:right="68" w:hanging="283"/>
        <w:contextualSpacing/>
        <w:rPr>
          <w:rFonts w:eastAsia="Calibri" w:cs="Calibri"/>
        </w:rPr>
      </w:pPr>
      <w:r w:rsidRPr="0083048B">
        <w:rPr>
          <w:rFonts w:eastAsia="Calibri" w:cs="Calibri"/>
          <w:lang w:val="en"/>
        </w:rPr>
        <w:t xml:space="preserve">Act XXIII of 2003 on Settlement finality in payment and securities settlement </w:t>
      </w:r>
      <w:proofErr w:type="gramStart"/>
      <w:r w:rsidRPr="0083048B">
        <w:rPr>
          <w:rFonts w:eastAsia="Calibri" w:cs="Calibri"/>
          <w:lang w:val="en"/>
        </w:rPr>
        <w:t>systems;</w:t>
      </w:r>
      <w:proofErr w:type="gramEnd"/>
    </w:p>
    <w:p w14:paraId="4215B34F" w14:textId="77777777" w:rsidR="00046C1F" w:rsidRPr="0083048B" w:rsidRDefault="00046C1F" w:rsidP="00915585">
      <w:pPr>
        <w:widowControl w:val="0"/>
        <w:spacing w:before="2" w:after="0" w:line="240" w:lineRule="exact"/>
        <w:ind w:left="567" w:hanging="283"/>
        <w:rPr>
          <w:rFonts w:eastAsia="Calibri" w:cs="Times New Roman"/>
          <w:sz w:val="24"/>
          <w:szCs w:val="24"/>
        </w:rPr>
      </w:pPr>
    </w:p>
    <w:p w14:paraId="558CB25E" w14:textId="77777777" w:rsidR="00046C1F" w:rsidRPr="0083048B" w:rsidRDefault="00046C1F" w:rsidP="00915585">
      <w:pPr>
        <w:widowControl w:val="0"/>
        <w:spacing w:after="0" w:line="240" w:lineRule="auto"/>
        <w:ind w:left="284" w:right="-21"/>
        <w:rPr>
          <w:rFonts w:eastAsia="Calibri" w:cs="Calibri"/>
        </w:rPr>
      </w:pPr>
      <w:proofErr w:type="gramStart"/>
      <w:r w:rsidRPr="0083048B">
        <w:rPr>
          <w:rFonts w:eastAsia="Calibri" w:cs="Calibri"/>
          <w:lang w:val="en"/>
        </w:rPr>
        <w:t>In particular, knowledge</w:t>
      </w:r>
      <w:proofErr w:type="gramEnd"/>
      <w:r w:rsidRPr="0083048B">
        <w:rPr>
          <w:rFonts w:eastAsia="Calibri" w:cs="Calibri"/>
          <w:lang w:val="en"/>
        </w:rPr>
        <w:t xml:space="preserve"> and application of the following legal provisions is indispensable for the pursuit of business activities:</w:t>
      </w:r>
    </w:p>
    <w:p w14:paraId="11A3A3BB" w14:textId="77777777" w:rsidR="00046C1F" w:rsidRPr="0083048B" w:rsidRDefault="00046C1F" w:rsidP="00915585">
      <w:pPr>
        <w:widowControl w:val="0"/>
        <w:spacing w:before="2" w:after="0" w:line="240" w:lineRule="exact"/>
        <w:ind w:left="567" w:hanging="283"/>
        <w:rPr>
          <w:rFonts w:eastAsia="Calibri" w:cs="Times New Roman"/>
          <w:sz w:val="24"/>
          <w:szCs w:val="24"/>
        </w:rPr>
      </w:pPr>
    </w:p>
    <w:p w14:paraId="4DCCFFC5" w14:textId="77777777" w:rsidR="00046C1F" w:rsidRPr="0083048B" w:rsidRDefault="00046C1F" w:rsidP="00832B3D">
      <w:pPr>
        <w:widowControl w:val="0"/>
        <w:numPr>
          <w:ilvl w:val="0"/>
          <w:numId w:val="18"/>
        </w:numPr>
        <w:spacing w:after="0" w:line="240" w:lineRule="auto"/>
        <w:ind w:left="567" w:right="26" w:hanging="283"/>
        <w:contextualSpacing/>
        <w:rPr>
          <w:rFonts w:eastAsia="Calibri" w:cs="Calibri"/>
        </w:rPr>
      </w:pPr>
      <w:r w:rsidRPr="0083048B">
        <w:rPr>
          <w:rFonts w:eastAsia="Calibri" w:cs="Calibri"/>
          <w:lang w:val="en"/>
        </w:rPr>
        <w:t>Capital Markets Act:</w:t>
      </w:r>
      <w:r w:rsidRPr="0083048B">
        <w:rPr>
          <w:rFonts w:eastAsia="Calibri" w:cs="Calibri"/>
          <w:b/>
          <w:bCs/>
          <w:lang w:val="en"/>
        </w:rPr>
        <w:t xml:space="preserve"> </w:t>
      </w:r>
      <w:r w:rsidRPr="0083048B">
        <w:rPr>
          <w:rFonts w:eastAsia="Calibri" w:cs="Calibri"/>
          <w:lang w:val="en"/>
        </w:rPr>
        <w:t xml:space="preserve">Sections 58–62, Sections 65–80/A, Sections 199–205, Sections 210–228, Sections 296/A–296/B; Section 364, Sections 368–369, Sections 371–375 and Section </w:t>
      </w:r>
      <w:proofErr w:type="gramStart"/>
      <w:r w:rsidRPr="0083048B">
        <w:rPr>
          <w:rFonts w:eastAsia="Calibri" w:cs="Calibri"/>
          <w:lang w:val="en"/>
        </w:rPr>
        <w:t>404;</w:t>
      </w:r>
      <w:proofErr w:type="gramEnd"/>
    </w:p>
    <w:p w14:paraId="4C7D034E" w14:textId="77777777" w:rsidR="00046C1F" w:rsidRPr="0083048B" w:rsidRDefault="00046C1F" w:rsidP="00FD56EE">
      <w:pPr>
        <w:widowControl w:val="0"/>
        <w:numPr>
          <w:ilvl w:val="0"/>
          <w:numId w:val="18"/>
        </w:numPr>
        <w:spacing w:after="0" w:line="243" w:lineRule="exact"/>
        <w:ind w:left="567" w:right="-36" w:hanging="283"/>
        <w:contextualSpacing/>
        <w:rPr>
          <w:rFonts w:eastAsia="Calibri" w:cs="Calibri"/>
        </w:rPr>
      </w:pPr>
      <w:r w:rsidRPr="0083048B">
        <w:rPr>
          <w:rFonts w:eastAsia="Calibri" w:cs="Calibri"/>
          <w:lang w:val="en"/>
        </w:rPr>
        <w:t>Investment Firms Act: Sections 40–46, Section 52, Section 54, Sections 67–72, Sections 111–</w:t>
      </w:r>
      <w:proofErr w:type="gramStart"/>
      <w:r w:rsidRPr="0083048B">
        <w:rPr>
          <w:rFonts w:eastAsia="Calibri" w:cs="Calibri"/>
          <w:lang w:val="en"/>
        </w:rPr>
        <w:t>120;</w:t>
      </w:r>
      <w:proofErr w:type="gramEnd"/>
    </w:p>
    <w:p w14:paraId="72F49FE6" w14:textId="77777777" w:rsidR="005D72F6" w:rsidRPr="0083048B" w:rsidRDefault="005D72F6" w:rsidP="00FD56EE">
      <w:pPr>
        <w:widowControl w:val="0"/>
        <w:numPr>
          <w:ilvl w:val="0"/>
          <w:numId w:val="18"/>
        </w:numPr>
        <w:spacing w:after="0" w:line="243" w:lineRule="exact"/>
        <w:ind w:left="567" w:right="-36" w:hanging="283"/>
        <w:contextualSpacing/>
        <w:rPr>
          <w:rFonts w:eastAsia="Calibri" w:cs="Calibri"/>
        </w:rPr>
      </w:pPr>
      <w:r w:rsidRPr="0083048B">
        <w:rPr>
          <w:rFonts w:eastAsia="Calibri" w:cs="Calibri"/>
          <w:lang w:val="en"/>
        </w:rPr>
        <w:t>Collective Investment Trust Act: Sections 52–61, Sections 103–116, Section 119, Section 121/A and Sections 129–</w:t>
      </w:r>
      <w:proofErr w:type="gramStart"/>
      <w:r w:rsidRPr="0083048B">
        <w:rPr>
          <w:rFonts w:eastAsia="Calibri" w:cs="Calibri"/>
          <w:lang w:val="en"/>
        </w:rPr>
        <w:t>141;</w:t>
      </w:r>
      <w:proofErr w:type="gramEnd"/>
    </w:p>
    <w:p w14:paraId="2DA72F38" w14:textId="77777777" w:rsidR="00271603" w:rsidRPr="0083048B" w:rsidRDefault="00271603" w:rsidP="00FD56EE">
      <w:pPr>
        <w:widowControl w:val="0"/>
        <w:numPr>
          <w:ilvl w:val="0"/>
          <w:numId w:val="18"/>
        </w:numPr>
        <w:spacing w:after="0" w:line="243" w:lineRule="exact"/>
        <w:ind w:left="567" w:right="-36" w:hanging="283"/>
        <w:contextualSpacing/>
        <w:rPr>
          <w:rFonts w:eastAsia="Calibri" w:cs="Calibri"/>
          <w:spacing w:val="1"/>
        </w:rPr>
      </w:pPr>
      <w:r w:rsidRPr="0083048B">
        <w:rPr>
          <w:rFonts w:eastAsia="Calibri" w:cs="Calibri"/>
          <w:lang w:val="en"/>
        </w:rPr>
        <w:t>Act IV of 1978 on the Criminal Code, effective until 30 June 2013: Section 177/A, Section 298/D, Section 300, Sections 303–303/C and Criminal Code effective as of 1 July 2013: Section 219, Sections 399–402 and Sections 408–</w:t>
      </w:r>
      <w:proofErr w:type="gramStart"/>
      <w:r w:rsidRPr="0083048B">
        <w:rPr>
          <w:rFonts w:eastAsia="Calibri" w:cs="Calibri"/>
          <w:lang w:val="en"/>
        </w:rPr>
        <w:t>414;</w:t>
      </w:r>
      <w:proofErr w:type="gramEnd"/>
    </w:p>
    <w:p w14:paraId="01CB4A25" w14:textId="1B16330F" w:rsidR="00271603" w:rsidRPr="00913E02" w:rsidRDefault="00271603" w:rsidP="00913E02">
      <w:pPr>
        <w:widowControl w:val="0"/>
        <w:numPr>
          <w:ilvl w:val="0"/>
          <w:numId w:val="18"/>
        </w:numPr>
        <w:spacing w:after="0" w:line="243" w:lineRule="exact"/>
        <w:ind w:left="709" w:right="-20" w:hanging="425"/>
        <w:contextualSpacing/>
        <w:rPr>
          <w:rFonts w:eastAsia="Calibri" w:cs="Calibri"/>
          <w:lang w:val="en-GB"/>
        </w:rPr>
      </w:pPr>
      <w:r w:rsidRPr="00913E02">
        <w:rPr>
          <w:rFonts w:eastAsia="Calibri" w:cs="Calibri"/>
          <w:lang w:val="en-GB"/>
        </w:rPr>
        <w:t>Civil Code: Sections 6:565–6:571</w:t>
      </w:r>
      <w:r w:rsidR="00C87DA3">
        <w:rPr>
          <w:rFonts w:eastAsia="Calibri" w:cs="Calibri"/>
          <w:lang w:val="en-GB"/>
        </w:rPr>
        <w:t>.</w:t>
      </w:r>
    </w:p>
    <w:p w14:paraId="6EE815E6" w14:textId="77777777" w:rsidR="00046C1F" w:rsidRPr="0083048B" w:rsidRDefault="00046C1F" w:rsidP="00915585">
      <w:pPr>
        <w:widowControl w:val="0"/>
        <w:spacing w:before="3" w:after="0" w:line="240" w:lineRule="exact"/>
        <w:ind w:left="567" w:hanging="283"/>
        <w:rPr>
          <w:rFonts w:eastAsia="Calibri" w:cs="Times New Roman"/>
          <w:sz w:val="24"/>
          <w:szCs w:val="24"/>
        </w:rPr>
      </w:pPr>
    </w:p>
    <w:p w14:paraId="589D1C0E" w14:textId="77777777" w:rsidR="00046C1F" w:rsidRPr="0083048B" w:rsidRDefault="00046C1F" w:rsidP="00915585">
      <w:pPr>
        <w:widowControl w:val="0"/>
        <w:spacing w:after="0" w:line="240" w:lineRule="auto"/>
        <w:ind w:left="567" w:right="7149" w:hanging="283"/>
        <w:rPr>
          <w:rFonts w:eastAsia="Calibri" w:cs="Calibri"/>
        </w:rPr>
      </w:pPr>
      <w:r w:rsidRPr="0083048B">
        <w:rPr>
          <w:rFonts w:eastAsia="Calibri" w:cs="Calibri"/>
          <w:b/>
          <w:bCs/>
          <w:lang w:val="en"/>
        </w:rPr>
        <w:t>Government Decrees:</w:t>
      </w:r>
    </w:p>
    <w:p w14:paraId="1E4A2D77" w14:textId="77777777" w:rsidR="00046C1F" w:rsidRPr="0083048B" w:rsidRDefault="00046C1F" w:rsidP="00915585">
      <w:pPr>
        <w:widowControl w:val="0"/>
        <w:spacing w:before="6" w:after="0" w:line="240" w:lineRule="exact"/>
        <w:ind w:left="567" w:hanging="283"/>
        <w:rPr>
          <w:rFonts w:eastAsia="Calibri" w:cs="Times New Roman"/>
          <w:sz w:val="24"/>
          <w:szCs w:val="24"/>
        </w:rPr>
      </w:pPr>
    </w:p>
    <w:p w14:paraId="1EBEE2AF" w14:textId="77777777" w:rsidR="00E2726E" w:rsidRPr="0083048B" w:rsidRDefault="00E2726E" w:rsidP="00D4027D">
      <w:pPr>
        <w:widowControl w:val="0"/>
        <w:numPr>
          <w:ilvl w:val="0"/>
          <w:numId w:val="52"/>
        </w:numPr>
        <w:spacing w:before="56" w:after="0" w:line="240" w:lineRule="auto"/>
        <w:ind w:left="567" w:right="67" w:hanging="283"/>
        <w:contextualSpacing/>
        <w:rPr>
          <w:rFonts w:eastAsia="Calibri" w:cs="Calibri"/>
        </w:rPr>
      </w:pPr>
      <w:r w:rsidRPr="0083048B">
        <w:rPr>
          <w:rFonts w:eastAsia="Calibri" w:cs="Calibri"/>
          <w:lang w:val="en"/>
        </w:rPr>
        <w:t>Government Decree No 449/2023 (X. 3.) on the Redemption of the units of real estate funds</w:t>
      </w:r>
      <w:r w:rsidRPr="0083048B">
        <w:rPr>
          <w:rStyle w:val="FootnoteReference"/>
          <w:rFonts w:eastAsia="Calibri" w:cs="Calibri"/>
          <w:lang w:val="en"/>
        </w:rPr>
        <w:footnoteReference w:id="5"/>
      </w:r>
      <w:r w:rsidRPr="0083048B">
        <w:rPr>
          <w:rFonts w:eastAsia="Calibri" w:cs="Calibri"/>
          <w:lang w:val="en"/>
        </w:rPr>
        <w:t>;</w:t>
      </w:r>
    </w:p>
    <w:p w14:paraId="1C0B0CBF" w14:textId="77777777" w:rsidR="00E2726E" w:rsidRPr="0083048B" w:rsidRDefault="00EF4A1C" w:rsidP="00D4027D">
      <w:pPr>
        <w:widowControl w:val="0"/>
        <w:numPr>
          <w:ilvl w:val="0"/>
          <w:numId w:val="52"/>
        </w:numPr>
        <w:spacing w:before="56" w:after="0" w:line="240" w:lineRule="auto"/>
        <w:ind w:left="567" w:right="67" w:hanging="283"/>
        <w:contextualSpacing/>
        <w:rPr>
          <w:rFonts w:eastAsia="Calibri" w:cs="Calibri"/>
        </w:rPr>
      </w:pPr>
      <w:r w:rsidRPr="0083048B">
        <w:rPr>
          <w:rFonts w:eastAsia="Calibri" w:cs="Calibri"/>
          <w:lang w:val="en"/>
        </w:rPr>
        <w:t>Government Decree No 156/2023 (IV. 27.) on the Investment rules of certain investment funds</w:t>
      </w:r>
      <w:r w:rsidRPr="0083048B">
        <w:rPr>
          <w:rStyle w:val="FootnoteReference"/>
          <w:rFonts w:eastAsia="Calibri" w:cs="Calibri"/>
          <w:lang w:val="en"/>
        </w:rPr>
        <w:footnoteReference w:id="6"/>
      </w:r>
      <w:r w:rsidRPr="0083048B">
        <w:rPr>
          <w:rFonts w:eastAsia="Calibri" w:cs="Calibri"/>
          <w:lang w:val="en"/>
        </w:rPr>
        <w:t>;</w:t>
      </w:r>
    </w:p>
    <w:p w14:paraId="6EF4C590" w14:textId="77777777" w:rsidR="00EF4A1C" w:rsidRPr="0083048B" w:rsidRDefault="00EF4A1C" w:rsidP="00D4027D">
      <w:pPr>
        <w:widowControl w:val="0"/>
        <w:numPr>
          <w:ilvl w:val="0"/>
          <w:numId w:val="52"/>
        </w:numPr>
        <w:spacing w:before="56" w:after="0" w:line="240" w:lineRule="auto"/>
        <w:ind w:left="567" w:right="67" w:hanging="283"/>
        <w:contextualSpacing/>
        <w:rPr>
          <w:rFonts w:eastAsia="Calibri" w:cs="Calibri"/>
        </w:rPr>
      </w:pPr>
      <w:r w:rsidRPr="0083048B">
        <w:rPr>
          <w:rFonts w:eastAsia="Calibri" w:cs="Calibri"/>
          <w:lang w:val="en"/>
        </w:rPr>
        <w:t>Government Decree No 89/2023 (III. 22.) on Economic/financing measures</w:t>
      </w:r>
      <w:r w:rsidRPr="0083048B">
        <w:rPr>
          <w:rStyle w:val="FootnoteReference"/>
          <w:rFonts w:eastAsia="Calibri" w:cs="Calibri"/>
          <w:lang w:val="en"/>
        </w:rPr>
        <w:footnoteReference w:id="7"/>
      </w:r>
      <w:r w:rsidRPr="0083048B">
        <w:rPr>
          <w:rFonts w:eastAsia="Calibri" w:cs="Calibri"/>
          <w:lang w:val="en"/>
        </w:rPr>
        <w:t>;</w:t>
      </w:r>
    </w:p>
    <w:p w14:paraId="3F4C1EC6" w14:textId="77777777" w:rsidR="006F78F6" w:rsidRPr="0083048B" w:rsidRDefault="006F78F6" w:rsidP="00D4027D">
      <w:pPr>
        <w:widowControl w:val="0"/>
        <w:numPr>
          <w:ilvl w:val="0"/>
          <w:numId w:val="52"/>
        </w:numPr>
        <w:spacing w:before="56" w:after="0" w:line="240" w:lineRule="auto"/>
        <w:ind w:left="567" w:right="67" w:hanging="283"/>
        <w:contextualSpacing/>
        <w:rPr>
          <w:rFonts w:eastAsia="Calibri" w:cs="Calibri"/>
        </w:rPr>
      </w:pPr>
      <w:r w:rsidRPr="0083048B">
        <w:rPr>
          <w:rFonts w:eastAsia="Calibri" w:cs="Calibri"/>
          <w:lang w:val="en"/>
        </w:rPr>
        <w:t>Government Decree No 471/2022 (XI. 21.) on Certain economic measures</w:t>
      </w:r>
      <w:r w:rsidRPr="0083048B">
        <w:rPr>
          <w:rStyle w:val="FootnoteReference"/>
          <w:rFonts w:eastAsia="Calibri" w:cs="Calibri"/>
          <w:lang w:val="en"/>
        </w:rPr>
        <w:footnoteReference w:id="8"/>
      </w:r>
      <w:r w:rsidRPr="0083048B">
        <w:rPr>
          <w:rFonts w:eastAsia="Calibri" w:cs="Calibri"/>
          <w:lang w:val="en"/>
        </w:rPr>
        <w:t>;</w:t>
      </w:r>
    </w:p>
    <w:p w14:paraId="66455656" w14:textId="77777777" w:rsidR="00046C1F" w:rsidRPr="0083048B" w:rsidRDefault="00046C1F" w:rsidP="00D4027D">
      <w:pPr>
        <w:widowControl w:val="0"/>
        <w:numPr>
          <w:ilvl w:val="0"/>
          <w:numId w:val="52"/>
        </w:numPr>
        <w:spacing w:before="56" w:after="0" w:line="240" w:lineRule="auto"/>
        <w:ind w:left="567" w:right="67" w:hanging="283"/>
        <w:contextualSpacing/>
        <w:rPr>
          <w:rFonts w:eastAsia="Calibri" w:cs="Calibri"/>
        </w:rPr>
      </w:pPr>
      <w:r w:rsidRPr="0083048B">
        <w:rPr>
          <w:rFonts w:eastAsia="Calibri" w:cs="Calibri"/>
          <w:lang w:val="en"/>
        </w:rPr>
        <w:t xml:space="preserve">Government Decree No 22/2008 (II. 7.) on the mandatory content elements of the Business Regulation of enterprises providing investment services, auxiliary investment services and commodity exchange </w:t>
      </w:r>
      <w:proofErr w:type="gramStart"/>
      <w:r w:rsidRPr="0083048B">
        <w:rPr>
          <w:rFonts w:eastAsia="Calibri" w:cs="Calibri"/>
          <w:lang w:val="en"/>
        </w:rPr>
        <w:t>services;</w:t>
      </w:r>
      <w:proofErr w:type="gramEnd"/>
    </w:p>
    <w:p w14:paraId="0D0E1B3B" w14:textId="77777777" w:rsidR="00046C1F" w:rsidRPr="0083048B" w:rsidRDefault="00046C1F" w:rsidP="00E2726E">
      <w:pPr>
        <w:widowControl w:val="0"/>
        <w:numPr>
          <w:ilvl w:val="0"/>
          <w:numId w:val="52"/>
        </w:numPr>
        <w:spacing w:before="1" w:after="0" w:line="238" w:lineRule="auto"/>
        <w:ind w:left="567" w:right="69" w:hanging="283"/>
        <w:contextualSpacing/>
        <w:rPr>
          <w:rFonts w:eastAsia="Calibri" w:cs="Calibri"/>
        </w:rPr>
      </w:pPr>
      <w:r w:rsidRPr="0083048B">
        <w:rPr>
          <w:rFonts w:eastAsia="Calibri" w:cs="Calibri"/>
          <w:lang w:val="en"/>
        </w:rPr>
        <w:t xml:space="preserve">Government Decree No 251/2000 (XII. 24.) on the Special features of the annual financial </w:t>
      </w:r>
      <w:proofErr w:type="gramStart"/>
      <w:r w:rsidRPr="0083048B">
        <w:rPr>
          <w:rFonts w:eastAsia="Calibri" w:cs="Calibri"/>
          <w:lang w:val="en"/>
        </w:rPr>
        <w:t>statements</w:t>
      </w:r>
      <w:proofErr w:type="gramEnd"/>
      <w:r w:rsidRPr="0083048B">
        <w:rPr>
          <w:rFonts w:eastAsia="Calibri" w:cs="Calibri"/>
          <w:lang w:val="en"/>
        </w:rPr>
        <w:t xml:space="preserve"> preparation and bookkeeping obligations of investment firms;</w:t>
      </w:r>
    </w:p>
    <w:p w14:paraId="71374ED1" w14:textId="77777777" w:rsidR="00046C1F" w:rsidRPr="0083048B" w:rsidRDefault="00046C1F" w:rsidP="00E2726E">
      <w:pPr>
        <w:widowControl w:val="0"/>
        <w:numPr>
          <w:ilvl w:val="0"/>
          <w:numId w:val="52"/>
        </w:numPr>
        <w:spacing w:before="1" w:after="0" w:line="240" w:lineRule="auto"/>
        <w:ind w:left="567" w:right="69" w:hanging="283"/>
        <w:contextualSpacing/>
        <w:rPr>
          <w:rFonts w:eastAsia="Calibri" w:cs="Calibri"/>
        </w:rPr>
      </w:pPr>
      <w:r w:rsidRPr="0083048B">
        <w:rPr>
          <w:rFonts w:eastAsia="Calibri" w:cs="Calibri"/>
          <w:lang w:val="en"/>
        </w:rPr>
        <w:t xml:space="preserve">Government Decree No 82/2010 (III. 25.) on calculating and announcing deposit interest rates and securities’ </w:t>
      </w:r>
      <w:proofErr w:type="gramStart"/>
      <w:r w:rsidRPr="0083048B">
        <w:rPr>
          <w:rFonts w:eastAsia="Calibri" w:cs="Calibri"/>
          <w:lang w:val="en"/>
        </w:rPr>
        <w:t>yields;</w:t>
      </w:r>
      <w:proofErr w:type="gramEnd"/>
    </w:p>
    <w:p w14:paraId="71D7A474" w14:textId="77777777" w:rsidR="00046C1F" w:rsidRPr="0083048B" w:rsidRDefault="00046C1F" w:rsidP="00E2726E">
      <w:pPr>
        <w:widowControl w:val="0"/>
        <w:numPr>
          <w:ilvl w:val="0"/>
          <w:numId w:val="52"/>
        </w:numPr>
        <w:spacing w:after="0" w:line="242" w:lineRule="exact"/>
        <w:ind w:left="567" w:right="75" w:hanging="283"/>
        <w:contextualSpacing/>
        <w:rPr>
          <w:rFonts w:eastAsia="Calibri" w:cs="Calibri"/>
        </w:rPr>
      </w:pPr>
      <w:r w:rsidRPr="0083048B">
        <w:rPr>
          <w:rFonts w:eastAsia="Calibri" w:cs="Calibri"/>
          <w:lang w:val="en"/>
        </w:rPr>
        <w:t xml:space="preserve">Government Decree No 284/2001 (XII. 26.) on the Method and security rules of producing and forwarding </w:t>
      </w:r>
      <w:proofErr w:type="spellStart"/>
      <w:r w:rsidRPr="0083048B">
        <w:rPr>
          <w:rFonts w:eastAsia="Calibri" w:cs="Calibri"/>
          <w:lang w:val="en"/>
        </w:rPr>
        <w:t>dematerialised</w:t>
      </w:r>
      <w:proofErr w:type="spellEnd"/>
      <w:r w:rsidRPr="0083048B">
        <w:rPr>
          <w:rFonts w:eastAsia="Calibri" w:cs="Calibri"/>
          <w:lang w:val="en"/>
        </w:rPr>
        <w:t xml:space="preserve"> securities, and the rules of opening and keeping securities accounts, central securities account and customer </w:t>
      </w:r>
      <w:proofErr w:type="gramStart"/>
      <w:r w:rsidRPr="0083048B">
        <w:rPr>
          <w:rFonts w:eastAsia="Calibri" w:cs="Calibri"/>
          <w:lang w:val="en"/>
        </w:rPr>
        <w:t>accounts;</w:t>
      </w:r>
      <w:proofErr w:type="gramEnd"/>
    </w:p>
    <w:p w14:paraId="78CCF225" w14:textId="77777777" w:rsidR="00046C1F" w:rsidRPr="0083048B" w:rsidRDefault="00046C1F" w:rsidP="00E2726E">
      <w:pPr>
        <w:widowControl w:val="0"/>
        <w:numPr>
          <w:ilvl w:val="0"/>
          <w:numId w:val="52"/>
        </w:numPr>
        <w:spacing w:after="0" w:line="240" w:lineRule="auto"/>
        <w:ind w:left="567" w:right="3697" w:hanging="283"/>
        <w:contextualSpacing/>
        <w:rPr>
          <w:rFonts w:eastAsia="Calibri" w:cs="Calibri"/>
        </w:rPr>
      </w:pPr>
      <w:r w:rsidRPr="0083048B">
        <w:rPr>
          <w:rFonts w:eastAsia="Calibri" w:cs="Calibri"/>
          <w:lang w:val="en"/>
        </w:rPr>
        <w:t xml:space="preserve">Government Decree No 286/2001 (XII. 26.) on treasury </w:t>
      </w:r>
      <w:proofErr w:type="gramStart"/>
      <w:r w:rsidRPr="0083048B">
        <w:rPr>
          <w:rFonts w:eastAsia="Calibri" w:cs="Calibri"/>
          <w:lang w:val="en"/>
        </w:rPr>
        <w:t>bills;</w:t>
      </w:r>
      <w:proofErr w:type="gramEnd"/>
    </w:p>
    <w:p w14:paraId="697266F5" w14:textId="77777777" w:rsidR="00046C1F" w:rsidRPr="0083048B" w:rsidRDefault="00046C1F" w:rsidP="00E2726E">
      <w:pPr>
        <w:widowControl w:val="0"/>
        <w:numPr>
          <w:ilvl w:val="0"/>
          <w:numId w:val="52"/>
        </w:numPr>
        <w:spacing w:after="0" w:line="242" w:lineRule="exact"/>
        <w:ind w:left="567" w:right="4019" w:hanging="283"/>
        <w:contextualSpacing/>
        <w:rPr>
          <w:rFonts w:eastAsia="Calibri" w:cs="Calibri"/>
        </w:rPr>
      </w:pPr>
      <w:r w:rsidRPr="0083048B">
        <w:rPr>
          <w:rFonts w:eastAsia="Calibri" w:cs="Calibri"/>
          <w:lang w:val="en"/>
        </w:rPr>
        <w:t xml:space="preserve">Government Decree No 285/2001 (XII. 26.) on </w:t>
      </w:r>
      <w:proofErr w:type="gramStart"/>
      <w:r w:rsidRPr="0083048B">
        <w:rPr>
          <w:rFonts w:eastAsia="Calibri" w:cs="Calibri"/>
          <w:lang w:val="en"/>
        </w:rPr>
        <w:t>bonds;</w:t>
      </w:r>
      <w:proofErr w:type="gramEnd"/>
    </w:p>
    <w:p w14:paraId="64E4A609" w14:textId="77777777" w:rsidR="00FB1A79" w:rsidRPr="0083048B" w:rsidRDefault="00046C1F" w:rsidP="00913E02">
      <w:pPr>
        <w:widowControl w:val="0"/>
        <w:numPr>
          <w:ilvl w:val="0"/>
          <w:numId w:val="52"/>
        </w:numPr>
        <w:spacing w:after="0" w:line="240" w:lineRule="auto"/>
        <w:ind w:left="567" w:right="3003" w:hanging="283"/>
        <w:contextualSpacing/>
        <w:rPr>
          <w:rFonts w:eastAsia="Calibri" w:cs="Calibri"/>
        </w:rPr>
      </w:pPr>
      <w:r w:rsidRPr="0083048B">
        <w:rPr>
          <w:rFonts w:eastAsia="Calibri" w:cs="Calibri"/>
          <w:lang w:val="en"/>
        </w:rPr>
        <w:t xml:space="preserve">Government Decree No 287/2001 (XII. 26.) on the certificates of </w:t>
      </w:r>
      <w:proofErr w:type="gramStart"/>
      <w:r w:rsidRPr="0083048B">
        <w:rPr>
          <w:rFonts w:eastAsia="Calibri" w:cs="Calibri"/>
          <w:lang w:val="en"/>
        </w:rPr>
        <w:t>deposit;</w:t>
      </w:r>
      <w:proofErr w:type="gramEnd"/>
    </w:p>
    <w:p w14:paraId="32C289BA" w14:textId="77777777" w:rsidR="00D22BB8" w:rsidRPr="0083048B" w:rsidRDefault="00D22BB8" w:rsidP="00D4027D">
      <w:pPr>
        <w:widowControl w:val="0"/>
        <w:numPr>
          <w:ilvl w:val="0"/>
          <w:numId w:val="52"/>
        </w:numPr>
        <w:spacing w:after="0" w:line="240" w:lineRule="auto"/>
        <w:ind w:left="567" w:right="26" w:hanging="283"/>
        <w:contextualSpacing/>
        <w:rPr>
          <w:rFonts w:eastAsia="Calibri" w:cs="Calibri"/>
        </w:rPr>
      </w:pPr>
      <w:r w:rsidRPr="0083048B">
        <w:rPr>
          <w:rFonts w:eastAsia="Calibri" w:cs="Calibri"/>
          <w:lang w:val="en"/>
        </w:rPr>
        <w:t xml:space="preserve">Government Decree No 284/2001 (XII. 26.) on the Method and security rules of producing and forwarding </w:t>
      </w:r>
      <w:proofErr w:type="spellStart"/>
      <w:r w:rsidRPr="0083048B">
        <w:rPr>
          <w:rFonts w:eastAsia="Calibri" w:cs="Calibri"/>
          <w:lang w:val="en"/>
        </w:rPr>
        <w:t>dematerialised</w:t>
      </w:r>
      <w:proofErr w:type="spellEnd"/>
      <w:r w:rsidRPr="0083048B">
        <w:rPr>
          <w:rFonts w:eastAsia="Calibri" w:cs="Calibri"/>
          <w:lang w:val="en"/>
        </w:rPr>
        <w:t xml:space="preserve"> securities, and the rules of opening and keeping securities accounts, central securities accounts and customer </w:t>
      </w:r>
      <w:proofErr w:type="gramStart"/>
      <w:r w:rsidRPr="0083048B">
        <w:rPr>
          <w:rFonts w:eastAsia="Calibri" w:cs="Calibri"/>
          <w:lang w:val="en"/>
        </w:rPr>
        <w:t>accounts;</w:t>
      </w:r>
      <w:proofErr w:type="gramEnd"/>
    </w:p>
    <w:p w14:paraId="6C2A71F8" w14:textId="77777777" w:rsidR="00096129" w:rsidRPr="0083048B" w:rsidRDefault="00096129" w:rsidP="00E2726E">
      <w:pPr>
        <w:widowControl w:val="0"/>
        <w:numPr>
          <w:ilvl w:val="0"/>
          <w:numId w:val="52"/>
        </w:numPr>
        <w:spacing w:after="0" w:line="240" w:lineRule="auto"/>
        <w:ind w:left="567" w:right="26" w:hanging="283"/>
        <w:contextualSpacing/>
        <w:rPr>
          <w:rFonts w:eastAsia="Calibri" w:cs="Calibri"/>
        </w:rPr>
      </w:pPr>
      <w:r w:rsidRPr="0083048B">
        <w:rPr>
          <w:rFonts w:eastAsia="Calibri" w:cs="Calibri"/>
          <w:lang w:val="en"/>
        </w:rPr>
        <w:lastRenderedPageBreak/>
        <w:t xml:space="preserve">Government Decree No 78/2014 (III. 14.) on the Investment and borrowing policies of collective investment </w:t>
      </w:r>
      <w:proofErr w:type="gramStart"/>
      <w:r w:rsidRPr="0083048B">
        <w:rPr>
          <w:rFonts w:eastAsia="Calibri" w:cs="Calibri"/>
          <w:lang w:val="en"/>
        </w:rPr>
        <w:t>trusts;</w:t>
      </w:r>
      <w:proofErr w:type="gramEnd"/>
    </w:p>
    <w:p w14:paraId="33632949" w14:textId="77777777" w:rsidR="00046C1F" w:rsidRPr="0083048B" w:rsidRDefault="00046C1F" w:rsidP="00E2726E">
      <w:pPr>
        <w:pStyle w:val="ListParagraph"/>
        <w:widowControl w:val="0"/>
        <w:numPr>
          <w:ilvl w:val="0"/>
          <w:numId w:val="52"/>
        </w:numPr>
        <w:spacing w:after="0" w:line="240" w:lineRule="auto"/>
        <w:ind w:left="567" w:right="-36" w:hanging="283"/>
        <w:rPr>
          <w:rFonts w:eastAsia="Calibri" w:cs="Calibri"/>
        </w:rPr>
      </w:pPr>
      <w:r w:rsidRPr="0083048B">
        <w:rPr>
          <w:rFonts w:eastAsia="Calibri" w:cs="Calibri"/>
          <w:lang w:val="en"/>
        </w:rPr>
        <w:t xml:space="preserve">Government Decree No 435/2016 (XII. 16.) on the Detailed rules pertaining to the complaint management procedure of investment firms, payment institutions, electronic money institutions, voucher issuing undertakings, financial institutions and independent financial service intermediaries, and to their complaint management </w:t>
      </w:r>
      <w:proofErr w:type="gramStart"/>
      <w:r w:rsidRPr="0083048B">
        <w:rPr>
          <w:rFonts w:eastAsia="Calibri" w:cs="Calibri"/>
          <w:lang w:val="en"/>
        </w:rPr>
        <w:t>policies;</w:t>
      </w:r>
      <w:proofErr w:type="gramEnd"/>
    </w:p>
    <w:p w14:paraId="7E33A876" w14:textId="77777777" w:rsidR="00080763" w:rsidRPr="0083048B" w:rsidRDefault="00046C1F" w:rsidP="00E2726E">
      <w:pPr>
        <w:widowControl w:val="0"/>
        <w:numPr>
          <w:ilvl w:val="0"/>
          <w:numId w:val="52"/>
        </w:numPr>
        <w:spacing w:after="0" w:line="240" w:lineRule="auto"/>
        <w:ind w:left="567" w:right="106" w:hanging="283"/>
        <w:contextualSpacing/>
        <w:rPr>
          <w:rFonts w:eastAsia="Calibri" w:cs="Calibri"/>
        </w:rPr>
      </w:pPr>
      <w:r w:rsidRPr="0083048B">
        <w:rPr>
          <w:rFonts w:eastAsia="Calibri" w:cs="Calibri"/>
          <w:lang w:val="en"/>
        </w:rPr>
        <w:t>Government Decree No 438/2016 (XII. 16.) on the Complaints handling procedure and the detailed rules of the complaint handling regulation of the UCITS fund management company.</w:t>
      </w:r>
    </w:p>
    <w:p w14:paraId="1ED2B9FE" w14:textId="77777777" w:rsidR="00080763" w:rsidRPr="0083048B" w:rsidRDefault="00080763" w:rsidP="004C195A">
      <w:pPr>
        <w:widowControl w:val="0"/>
        <w:spacing w:before="5" w:after="0" w:line="240" w:lineRule="exact"/>
        <w:rPr>
          <w:rFonts w:eastAsia="Calibri" w:cs="Times New Roman"/>
          <w:sz w:val="24"/>
          <w:szCs w:val="24"/>
        </w:rPr>
      </w:pPr>
    </w:p>
    <w:p w14:paraId="15361A52" w14:textId="77777777" w:rsidR="00046C1F" w:rsidRPr="0083048B" w:rsidRDefault="00046C1F" w:rsidP="00915585">
      <w:pPr>
        <w:widowControl w:val="0"/>
        <w:spacing w:after="0" w:line="240" w:lineRule="auto"/>
        <w:ind w:left="567" w:right="6348" w:hanging="283"/>
        <w:rPr>
          <w:rFonts w:eastAsia="Calibri" w:cs="Calibri"/>
        </w:rPr>
      </w:pPr>
      <w:r w:rsidRPr="0083048B">
        <w:rPr>
          <w:rFonts w:eastAsia="Calibri" w:cs="Calibri"/>
          <w:b/>
          <w:bCs/>
          <w:lang w:val="en"/>
        </w:rPr>
        <w:t>Decrees of the Minister of Finance:</w:t>
      </w:r>
    </w:p>
    <w:p w14:paraId="579C757C" w14:textId="77777777" w:rsidR="00046C1F" w:rsidRPr="0083048B" w:rsidRDefault="00046C1F" w:rsidP="00915585">
      <w:pPr>
        <w:widowControl w:val="0"/>
        <w:spacing w:before="3" w:after="0" w:line="240" w:lineRule="exact"/>
        <w:ind w:left="567" w:hanging="283"/>
        <w:rPr>
          <w:rFonts w:eastAsia="Calibri" w:cs="Times New Roman"/>
          <w:sz w:val="24"/>
          <w:szCs w:val="24"/>
        </w:rPr>
      </w:pPr>
    </w:p>
    <w:p w14:paraId="2853EAA5" w14:textId="77777777" w:rsidR="0094254F" w:rsidRPr="0083048B" w:rsidRDefault="0094254F" w:rsidP="0094254F">
      <w:pPr>
        <w:pStyle w:val="ListParagraph"/>
        <w:numPr>
          <w:ilvl w:val="0"/>
          <w:numId w:val="40"/>
        </w:numPr>
        <w:rPr>
          <w:rFonts w:eastAsia="Calibri" w:cs="Calibri"/>
        </w:rPr>
      </w:pPr>
      <w:r w:rsidRPr="0083048B">
        <w:rPr>
          <w:rFonts w:eastAsia="Calibri" w:cs="Calibri"/>
          <w:lang w:val="en"/>
        </w:rPr>
        <w:t xml:space="preserve">Decree No 24/2008 (VIII. 15.) of the Minister of Finance on the detailed rules of the disclosure obligation in relation to publicly traded </w:t>
      </w:r>
      <w:proofErr w:type="gramStart"/>
      <w:r w:rsidRPr="0083048B">
        <w:rPr>
          <w:rFonts w:eastAsia="Calibri" w:cs="Calibri"/>
          <w:lang w:val="en"/>
        </w:rPr>
        <w:t>securities;</w:t>
      </w:r>
      <w:proofErr w:type="gramEnd"/>
    </w:p>
    <w:p w14:paraId="365D7231" w14:textId="77777777" w:rsidR="004C195A" w:rsidRPr="0083048B" w:rsidRDefault="00046C1F" w:rsidP="004C195A">
      <w:pPr>
        <w:pStyle w:val="ListParagraph"/>
        <w:widowControl w:val="0"/>
        <w:numPr>
          <w:ilvl w:val="0"/>
          <w:numId w:val="40"/>
        </w:numPr>
        <w:tabs>
          <w:tab w:val="left" w:pos="820"/>
        </w:tabs>
        <w:spacing w:after="0" w:line="241" w:lineRule="auto"/>
        <w:ind w:right="61"/>
        <w:rPr>
          <w:rFonts w:eastAsia="Calibri" w:cs="Calibri"/>
        </w:rPr>
      </w:pPr>
      <w:r w:rsidRPr="0083048B">
        <w:rPr>
          <w:rFonts w:eastAsia="Calibri" w:cs="Calibri"/>
          <w:lang w:val="en"/>
        </w:rPr>
        <w:t xml:space="preserve">Decree No 6/2002 (II. 20.) of the Minister of Finance on the notification obligation of investment service providers, </w:t>
      </w:r>
      <w:proofErr w:type="spellStart"/>
      <w:r w:rsidRPr="0083048B">
        <w:rPr>
          <w:rFonts w:eastAsia="Calibri" w:cs="Calibri"/>
          <w:lang w:val="en"/>
        </w:rPr>
        <w:t>organisations</w:t>
      </w:r>
      <w:proofErr w:type="spellEnd"/>
      <w:r w:rsidRPr="0083048B">
        <w:rPr>
          <w:rFonts w:eastAsia="Calibri" w:cs="Calibri"/>
          <w:lang w:val="en"/>
        </w:rPr>
        <w:t xml:space="preserve"> engaged in clearing house operations and the stock exchange.</w:t>
      </w:r>
    </w:p>
    <w:p w14:paraId="39F288C2" w14:textId="77777777" w:rsidR="004C195A" w:rsidRPr="0083048B" w:rsidRDefault="004C195A" w:rsidP="00915585">
      <w:pPr>
        <w:widowControl w:val="0"/>
        <w:tabs>
          <w:tab w:val="left" w:pos="820"/>
        </w:tabs>
        <w:spacing w:after="0" w:line="241" w:lineRule="auto"/>
        <w:ind w:left="284" w:right="61"/>
        <w:rPr>
          <w:rFonts w:eastAsia="Calibri" w:cs="Calibri"/>
        </w:rPr>
      </w:pPr>
    </w:p>
    <w:p w14:paraId="287554D8" w14:textId="77777777" w:rsidR="00046C1F" w:rsidRPr="0083048B" w:rsidRDefault="00046C1F" w:rsidP="00915585">
      <w:pPr>
        <w:widowControl w:val="0"/>
        <w:spacing w:after="0" w:line="241" w:lineRule="exact"/>
        <w:ind w:left="567" w:right="78" w:hanging="283"/>
        <w:rPr>
          <w:rFonts w:eastAsia="Calibri" w:cs="Calibri"/>
        </w:rPr>
      </w:pPr>
    </w:p>
    <w:p w14:paraId="38449831" w14:textId="77777777" w:rsidR="00046C1F" w:rsidRPr="0083048B" w:rsidRDefault="00046C1F" w:rsidP="00915585">
      <w:pPr>
        <w:widowControl w:val="0"/>
        <w:spacing w:after="0" w:line="240" w:lineRule="auto"/>
        <w:ind w:left="567" w:right="26" w:hanging="283"/>
        <w:rPr>
          <w:rFonts w:eastAsia="Calibri" w:cs="Calibri"/>
          <w:b/>
          <w:bCs/>
        </w:rPr>
      </w:pPr>
      <w:r w:rsidRPr="0083048B">
        <w:rPr>
          <w:rFonts w:eastAsia="Calibri" w:cs="Calibri"/>
          <w:b/>
          <w:bCs/>
          <w:lang w:val="en"/>
        </w:rPr>
        <w:t>Decrees of the Minister for National Economy:</w:t>
      </w:r>
    </w:p>
    <w:p w14:paraId="3A8F72B5" w14:textId="77777777" w:rsidR="00046C1F" w:rsidRPr="0083048B" w:rsidRDefault="00046C1F" w:rsidP="00915585">
      <w:pPr>
        <w:widowControl w:val="0"/>
        <w:spacing w:after="0" w:line="241" w:lineRule="exact"/>
        <w:ind w:left="567" w:right="78" w:hanging="283"/>
        <w:rPr>
          <w:rFonts w:eastAsia="Calibri" w:cs="Calibri"/>
        </w:rPr>
      </w:pPr>
    </w:p>
    <w:p w14:paraId="2C305A9A" w14:textId="77777777" w:rsidR="00046C1F" w:rsidRPr="0083048B" w:rsidRDefault="00046C1F" w:rsidP="00FD56EE">
      <w:pPr>
        <w:widowControl w:val="0"/>
        <w:numPr>
          <w:ilvl w:val="0"/>
          <w:numId w:val="25"/>
        </w:numPr>
        <w:spacing w:after="0" w:line="241" w:lineRule="exact"/>
        <w:ind w:left="567" w:right="78" w:hanging="283"/>
        <w:contextualSpacing/>
        <w:rPr>
          <w:rFonts w:eastAsia="Calibri" w:cs="Calibri"/>
        </w:rPr>
      </w:pPr>
      <w:r w:rsidRPr="0083048B">
        <w:rPr>
          <w:rFonts w:eastAsia="Calibri" w:cs="Calibri"/>
          <w:lang w:val="en"/>
        </w:rPr>
        <w:t xml:space="preserve">Decree No 15/2017 (VI. 30.) of the Minister for National Economy on incentives related to investment services and ancillary </w:t>
      </w:r>
      <w:proofErr w:type="gramStart"/>
      <w:r w:rsidRPr="0083048B">
        <w:rPr>
          <w:rFonts w:eastAsia="Calibri" w:cs="Calibri"/>
          <w:lang w:val="en"/>
        </w:rPr>
        <w:t>services;</w:t>
      </w:r>
      <w:proofErr w:type="gramEnd"/>
    </w:p>
    <w:p w14:paraId="56109F69" w14:textId="77777777" w:rsidR="00046C1F" w:rsidRPr="0083048B" w:rsidRDefault="00046C1F" w:rsidP="00FD56EE">
      <w:pPr>
        <w:widowControl w:val="0"/>
        <w:numPr>
          <w:ilvl w:val="0"/>
          <w:numId w:val="25"/>
        </w:numPr>
        <w:spacing w:after="0" w:line="241" w:lineRule="exact"/>
        <w:ind w:left="567" w:right="78" w:hanging="283"/>
        <w:contextualSpacing/>
        <w:rPr>
          <w:rFonts w:eastAsia="Calibri" w:cs="Calibri"/>
        </w:rPr>
      </w:pPr>
      <w:r w:rsidRPr="0083048B">
        <w:rPr>
          <w:rFonts w:eastAsia="Calibri" w:cs="Calibri"/>
          <w:lang w:val="en"/>
        </w:rPr>
        <w:t>Decree No 16/2017 (VI. 30.) of the Minister for National Economy on the product approval process to be used by the investment firms.</w:t>
      </w:r>
    </w:p>
    <w:p w14:paraId="56C05456" w14:textId="77777777" w:rsidR="00046C1F" w:rsidRPr="0083048B" w:rsidRDefault="00046C1F" w:rsidP="00915585">
      <w:pPr>
        <w:widowControl w:val="0"/>
        <w:spacing w:before="5" w:after="0" w:line="240" w:lineRule="exact"/>
        <w:ind w:left="567" w:hanging="283"/>
        <w:rPr>
          <w:rFonts w:eastAsia="Calibri" w:cs="Times New Roman"/>
          <w:sz w:val="24"/>
          <w:szCs w:val="24"/>
        </w:rPr>
      </w:pPr>
    </w:p>
    <w:p w14:paraId="2B70553D" w14:textId="77777777" w:rsidR="00046C1F" w:rsidRPr="0083048B" w:rsidRDefault="00046C1F" w:rsidP="00915585">
      <w:pPr>
        <w:widowControl w:val="0"/>
        <w:spacing w:after="0" w:line="240" w:lineRule="auto"/>
        <w:ind w:left="567" w:right="7436" w:hanging="283"/>
        <w:rPr>
          <w:rFonts w:eastAsia="Calibri" w:cs="Calibri"/>
        </w:rPr>
      </w:pPr>
      <w:r w:rsidRPr="0083048B">
        <w:rPr>
          <w:rFonts w:eastAsia="Calibri" w:cs="Calibri"/>
          <w:b/>
          <w:bCs/>
          <w:lang w:val="en"/>
        </w:rPr>
        <w:t>MNB Decrees:</w:t>
      </w:r>
    </w:p>
    <w:p w14:paraId="0F82D184" w14:textId="77777777" w:rsidR="00046C1F" w:rsidRPr="0083048B" w:rsidRDefault="00046C1F" w:rsidP="00915585">
      <w:pPr>
        <w:widowControl w:val="0"/>
        <w:spacing w:before="3" w:after="0" w:line="240" w:lineRule="exact"/>
        <w:ind w:left="567" w:hanging="283"/>
        <w:rPr>
          <w:rFonts w:eastAsia="Calibri" w:cs="Times New Roman"/>
          <w:sz w:val="24"/>
          <w:szCs w:val="24"/>
        </w:rPr>
      </w:pPr>
    </w:p>
    <w:p w14:paraId="28AC6BF4" w14:textId="77777777" w:rsidR="00F173F9" w:rsidRPr="0083048B" w:rsidRDefault="00F173F9" w:rsidP="00D4027D">
      <w:pPr>
        <w:pStyle w:val="ListParagraph"/>
        <w:numPr>
          <w:ilvl w:val="0"/>
          <w:numId w:val="20"/>
        </w:numPr>
        <w:spacing w:after="0" w:line="240" w:lineRule="auto"/>
        <w:ind w:left="567" w:hanging="283"/>
        <w:rPr>
          <w:rFonts w:eastAsia="Calibri" w:cs="Calibri"/>
        </w:rPr>
      </w:pPr>
      <w:r w:rsidRPr="0083048B">
        <w:rPr>
          <w:rFonts w:eastAsia="Calibri" w:cs="Calibri"/>
          <w:lang w:val="en"/>
        </w:rPr>
        <w:t xml:space="preserve">MNB Decree No 58/2023 (XI. 24.) on the Data reporting obligations of capital market </w:t>
      </w:r>
      <w:proofErr w:type="spellStart"/>
      <w:r w:rsidRPr="0083048B">
        <w:rPr>
          <w:rFonts w:eastAsia="Calibri" w:cs="Calibri"/>
          <w:lang w:val="en"/>
        </w:rPr>
        <w:t>organisations</w:t>
      </w:r>
      <w:proofErr w:type="spellEnd"/>
      <w:r w:rsidRPr="0083048B">
        <w:rPr>
          <w:rFonts w:eastAsia="Calibri" w:cs="Calibri"/>
          <w:lang w:val="en"/>
        </w:rPr>
        <w:t xml:space="preserve"> to the central bank’s information system, primarily for the purpose of facilitating the fulfilment of the Magyar Nemzeti Bank’s supervisory </w:t>
      </w:r>
      <w:proofErr w:type="gramStart"/>
      <w:r w:rsidRPr="0083048B">
        <w:rPr>
          <w:rFonts w:eastAsia="Calibri" w:cs="Calibri"/>
          <w:lang w:val="en"/>
        </w:rPr>
        <w:t>duties;</w:t>
      </w:r>
      <w:proofErr w:type="gramEnd"/>
    </w:p>
    <w:p w14:paraId="79B62F8D" w14:textId="77777777" w:rsidR="00046C1F" w:rsidRPr="0083048B" w:rsidRDefault="00046C1F" w:rsidP="00F173F9">
      <w:pPr>
        <w:widowControl w:val="0"/>
        <w:numPr>
          <w:ilvl w:val="0"/>
          <w:numId w:val="20"/>
        </w:numPr>
        <w:spacing w:before="1" w:after="0" w:line="240" w:lineRule="auto"/>
        <w:ind w:left="567" w:right="2634" w:hanging="283"/>
        <w:contextualSpacing/>
        <w:rPr>
          <w:rFonts w:eastAsia="Calibri" w:cs="Calibri"/>
        </w:rPr>
      </w:pPr>
      <w:r w:rsidRPr="0083048B">
        <w:rPr>
          <w:rFonts w:eastAsia="Calibri" w:cs="Calibri"/>
          <w:lang w:val="en"/>
        </w:rPr>
        <w:t xml:space="preserve">MNB Decree No 35/2017 (XII. 14.) on the Execution of payment </w:t>
      </w:r>
      <w:proofErr w:type="gramStart"/>
      <w:r w:rsidRPr="0083048B">
        <w:rPr>
          <w:rFonts w:eastAsia="Calibri" w:cs="Calibri"/>
          <w:lang w:val="en"/>
        </w:rPr>
        <w:t>transactions;</w:t>
      </w:r>
      <w:proofErr w:type="gramEnd"/>
    </w:p>
    <w:p w14:paraId="5D4B321A" w14:textId="77777777" w:rsidR="00046C1F" w:rsidRPr="0083048B" w:rsidRDefault="00046C1F" w:rsidP="00FD56EE">
      <w:pPr>
        <w:widowControl w:val="0"/>
        <w:numPr>
          <w:ilvl w:val="0"/>
          <w:numId w:val="20"/>
        </w:numPr>
        <w:spacing w:before="1" w:after="0" w:line="240" w:lineRule="auto"/>
        <w:ind w:left="567" w:right="-36" w:hanging="283"/>
        <w:contextualSpacing/>
        <w:rPr>
          <w:rFonts w:eastAsia="Calibri" w:cs="Calibri"/>
        </w:rPr>
      </w:pPr>
      <w:r w:rsidRPr="0083048B">
        <w:rPr>
          <w:rFonts w:eastAsia="Calibri" w:cs="Calibri"/>
          <w:lang w:val="en"/>
        </w:rPr>
        <w:t xml:space="preserve">MNB Decree No 37/2017 (XII. 27.) on the requirements of the assessment of the knowledge and competence regarding natural persons providing investment advice or information on financial instruments, investment and ancillary services for the </w:t>
      </w:r>
      <w:proofErr w:type="gramStart"/>
      <w:r w:rsidRPr="0083048B">
        <w:rPr>
          <w:rFonts w:eastAsia="Calibri" w:cs="Calibri"/>
          <w:lang w:val="en"/>
        </w:rPr>
        <w:t>clients;</w:t>
      </w:r>
      <w:proofErr w:type="gramEnd"/>
    </w:p>
    <w:p w14:paraId="28CDEF48" w14:textId="77777777" w:rsidR="008B1736" w:rsidRPr="0083048B" w:rsidRDefault="008B1736" w:rsidP="00FD56EE">
      <w:pPr>
        <w:widowControl w:val="0"/>
        <w:numPr>
          <w:ilvl w:val="0"/>
          <w:numId w:val="20"/>
        </w:numPr>
        <w:spacing w:before="1" w:after="0" w:line="240" w:lineRule="auto"/>
        <w:ind w:left="567" w:right="-36" w:hanging="283"/>
        <w:contextualSpacing/>
        <w:rPr>
          <w:rFonts w:eastAsia="Calibri" w:cs="Calibri"/>
        </w:rPr>
      </w:pPr>
      <w:r w:rsidRPr="0083048B">
        <w:rPr>
          <w:rFonts w:eastAsia="Calibri" w:cs="Calibri"/>
          <w:lang w:val="en"/>
        </w:rPr>
        <w:t xml:space="preserve">MNB Decree No 36/2015 (IX. 24.) on the methodology of generating the log-in ID and password for securities accounts and client accounts, the related data reporting and mandatory elements of the regulation on data security </w:t>
      </w:r>
      <w:proofErr w:type="gramStart"/>
      <w:r w:rsidRPr="0083048B">
        <w:rPr>
          <w:rFonts w:eastAsia="Calibri" w:cs="Calibri"/>
          <w:lang w:val="en"/>
        </w:rPr>
        <w:t>requirements;</w:t>
      </w:r>
      <w:proofErr w:type="gramEnd"/>
    </w:p>
    <w:p w14:paraId="7F615CD7" w14:textId="77777777" w:rsidR="00046C1F" w:rsidRPr="0083048B" w:rsidRDefault="00046C1F" w:rsidP="00915585">
      <w:pPr>
        <w:widowControl w:val="0"/>
        <w:spacing w:before="5" w:after="0" w:line="240" w:lineRule="exact"/>
        <w:ind w:left="567" w:hanging="283"/>
        <w:rPr>
          <w:rFonts w:eastAsia="Calibri" w:cs="Times New Roman"/>
          <w:sz w:val="24"/>
          <w:szCs w:val="24"/>
        </w:rPr>
      </w:pPr>
    </w:p>
    <w:p w14:paraId="5533B371" w14:textId="77777777" w:rsidR="00046C1F" w:rsidRPr="0083048B" w:rsidRDefault="00046C1F" w:rsidP="00915585">
      <w:pPr>
        <w:widowControl w:val="0"/>
        <w:spacing w:after="0" w:line="240" w:lineRule="auto"/>
        <w:ind w:left="567" w:right="3166" w:hanging="283"/>
        <w:rPr>
          <w:rFonts w:eastAsia="Calibri" w:cs="Calibri"/>
          <w:b/>
          <w:bCs/>
        </w:rPr>
      </w:pPr>
      <w:r w:rsidRPr="0083048B">
        <w:rPr>
          <w:rFonts w:eastAsia="Calibri" w:cs="Calibri"/>
          <w:b/>
          <w:bCs/>
          <w:lang w:val="en"/>
        </w:rPr>
        <w:t>MNB recommendations:</w:t>
      </w:r>
    </w:p>
    <w:p w14:paraId="3B77E253" w14:textId="77777777" w:rsidR="00046C1F" w:rsidRPr="0083048B" w:rsidRDefault="00046C1F" w:rsidP="00915585">
      <w:pPr>
        <w:widowControl w:val="0"/>
        <w:spacing w:after="0" w:line="240" w:lineRule="auto"/>
        <w:ind w:left="567" w:right="3166" w:hanging="283"/>
        <w:rPr>
          <w:rFonts w:eastAsia="Calibri" w:cs="Calibri"/>
          <w:bCs/>
        </w:rPr>
      </w:pPr>
    </w:p>
    <w:p w14:paraId="01324FB1" w14:textId="77777777" w:rsidR="00031E2A" w:rsidRPr="0083048B" w:rsidRDefault="00031E2A" w:rsidP="00D4027D">
      <w:pPr>
        <w:pStyle w:val="ListParagraph"/>
        <w:numPr>
          <w:ilvl w:val="0"/>
          <w:numId w:val="26"/>
        </w:numPr>
        <w:spacing w:after="0" w:line="240" w:lineRule="auto"/>
        <w:ind w:left="567" w:hanging="283"/>
        <w:rPr>
          <w:rFonts w:eastAsia="Calibri" w:cs="Calibri"/>
        </w:rPr>
      </w:pPr>
      <w:r w:rsidRPr="0083048B">
        <w:rPr>
          <w:rFonts w:eastAsia="Calibri" w:cs="Calibri"/>
          <w:lang w:val="en"/>
        </w:rPr>
        <w:t xml:space="preserve">Recommendation No 1/2024 (III. 6) of the Magyar Nemzeti Bank on Certain aspects of the obligation to obtain preliminary information applicable to the provision of investment advice and portfolio management </w:t>
      </w:r>
      <w:proofErr w:type="gramStart"/>
      <w:r w:rsidRPr="0083048B">
        <w:rPr>
          <w:rFonts w:eastAsia="Calibri" w:cs="Calibri"/>
          <w:lang w:val="en"/>
        </w:rPr>
        <w:t>services;</w:t>
      </w:r>
      <w:proofErr w:type="gramEnd"/>
    </w:p>
    <w:p w14:paraId="0227DBFF" w14:textId="77777777" w:rsidR="005E6DA0" w:rsidRPr="0083048B" w:rsidRDefault="005E6DA0" w:rsidP="00D4027D">
      <w:pPr>
        <w:pStyle w:val="ListParagraph"/>
        <w:numPr>
          <w:ilvl w:val="0"/>
          <w:numId w:val="26"/>
        </w:numPr>
        <w:spacing w:after="0" w:line="240" w:lineRule="auto"/>
        <w:ind w:left="567" w:hanging="283"/>
        <w:rPr>
          <w:rFonts w:eastAsia="Calibri" w:cs="Calibri"/>
        </w:rPr>
      </w:pPr>
      <w:r w:rsidRPr="0083048B">
        <w:rPr>
          <w:rFonts w:eastAsia="Calibri" w:cs="Calibri"/>
          <w:lang w:val="en"/>
        </w:rPr>
        <w:t xml:space="preserve">Recommendation No 13/2023 (XII. 15.) of the Magyar Nemzeti Bank on Issuing the units, setting up the liquidity profile and managing the concentration risks of public, open-end real estate </w:t>
      </w:r>
      <w:proofErr w:type="gramStart"/>
      <w:r w:rsidRPr="0083048B">
        <w:rPr>
          <w:rFonts w:eastAsia="Calibri" w:cs="Calibri"/>
          <w:lang w:val="en"/>
        </w:rPr>
        <w:t>funds;</w:t>
      </w:r>
      <w:proofErr w:type="gramEnd"/>
    </w:p>
    <w:p w14:paraId="4E2F7CEF" w14:textId="77777777" w:rsidR="00B41A98" w:rsidRPr="0083048B" w:rsidRDefault="00B41A98" w:rsidP="00D4027D">
      <w:pPr>
        <w:pStyle w:val="ListParagraph"/>
        <w:numPr>
          <w:ilvl w:val="0"/>
          <w:numId w:val="26"/>
        </w:numPr>
        <w:spacing w:after="0" w:line="240" w:lineRule="auto"/>
        <w:ind w:left="567" w:hanging="283"/>
        <w:rPr>
          <w:rFonts w:eastAsia="Calibri" w:cs="Calibri"/>
        </w:rPr>
      </w:pPr>
      <w:r w:rsidRPr="0083048B">
        <w:rPr>
          <w:rFonts w:eastAsia="Calibri" w:cs="Calibri"/>
          <w:lang w:val="en"/>
        </w:rPr>
        <w:t xml:space="preserve">Recommendation No 11/2023 (XI. 15.) of the Magyar Nemzeti Bank on the Remuneration policy and practice to be applied in relation to the rendering of investment </w:t>
      </w:r>
      <w:proofErr w:type="gramStart"/>
      <w:r w:rsidRPr="0083048B">
        <w:rPr>
          <w:rFonts w:eastAsia="Calibri" w:cs="Calibri"/>
          <w:lang w:val="en"/>
        </w:rPr>
        <w:t>services;</w:t>
      </w:r>
      <w:proofErr w:type="gramEnd"/>
    </w:p>
    <w:p w14:paraId="0ED8C41D" w14:textId="77777777" w:rsidR="002B1E92" w:rsidRPr="0083048B" w:rsidRDefault="002B1E92" w:rsidP="00D4027D">
      <w:pPr>
        <w:pStyle w:val="ListParagraph"/>
        <w:numPr>
          <w:ilvl w:val="0"/>
          <w:numId w:val="26"/>
        </w:numPr>
        <w:spacing w:after="0" w:line="240" w:lineRule="auto"/>
        <w:ind w:left="567" w:hanging="283"/>
        <w:rPr>
          <w:rFonts w:eastAsia="Calibri" w:cs="Calibri"/>
        </w:rPr>
      </w:pPr>
      <w:r w:rsidRPr="0083048B">
        <w:rPr>
          <w:rFonts w:eastAsia="Calibri" w:cs="Calibri"/>
          <w:lang w:val="en"/>
        </w:rPr>
        <w:t xml:space="preserve">Recommendation No 9/2023 (IX. 15.) of the Magyar Nemzeti Bank on the Internal policies of capital market institutions related to personal </w:t>
      </w:r>
      <w:proofErr w:type="gramStart"/>
      <w:r w:rsidRPr="0083048B">
        <w:rPr>
          <w:rFonts w:eastAsia="Calibri" w:cs="Calibri"/>
          <w:lang w:val="en"/>
        </w:rPr>
        <w:t>transactions;</w:t>
      </w:r>
      <w:proofErr w:type="gramEnd"/>
    </w:p>
    <w:p w14:paraId="2CE84B40" w14:textId="77777777" w:rsidR="00ED4BC5" w:rsidRPr="0083048B" w:rsidRDefault="00ED4BC5" w:rsidP="00D4027D">
      <w:pPr>
        <w:widowControl w:val="0"/>
        <w:numPr>
          <w:ilvl w:val="0"/>
          <w:numId w:val="26"/>
        </w:numPr>
        <w:spacing w:after="0" w:line="240" w:lineRule="auto"/>
        <w:ind w:left="567" w:right="-36" w:hanging="283"/>
        <w:contextualSpacing/>
        <w:rPr>
          <w:rFonts w:eastAsia="Calibri" w:cs="Calibri"/>
        </w:rPr>
      </w:pPr>
      <w:r w:rsidRPr="0083048B">
        <w:rPr>
          <w:rFonts w:eastAsia="Calibri" w:cs="Calibri"/>
          <w:lang w:val="en"/>
        </w:rPr>
        <w:t xml:space="preserve">Recommendation No 4/2023 (IV. 4.) of the Magyar Nemzeti Bank on the distribution requirements under the Regulation on facilitating cross-border distribution of collective investment </w:t>
      </w:r>
      <w:proofErr w:type="gramStart"/>
      <w:r w:rsidRPr="0083048B">
        <w:rPr>
          <w:rFonts w:eastAsia="Calibri" w:cs="Calibri"/>
          <w:lang w:val="en"/>
        </w:rPr>
        <w:t>undertakings;</w:t>
      </w:r>
      <w:proofErr w:type="gramEnd"/>
    </w:p>
    <w:p w14:paraId="669BB15C" w14:textId="77777777" w:rsidR="0089074A" w:rsidRPr="0083048B" w:rsidRDefault="0089074A" w:rsidP="00D4027D">
      <w:pPr>
        <w:widowControl w:val="0"/>
        <w:numPr>
          <w:ilvl w:val="0"/>
          <w:numId w:val="26"/>
        </w:numPr>
        <w:spacing w:after="0" w:line="240" w:lineRule="auto"/>
        <w:ind w:left="567" w:right="-36" w:hanging="283"/>
        <w:contextualSpacing/>
        <w:rPr>
          <w:rFonts w:eastAsia="Calibri" w:cs="Calibri"/>
        </w:rPr>
      </w:pPr>
      <w:r w:rsidRPr="0083048B">
        <w:rPr>
          <w:rFonts w:eastAsia="Calibri" w:cs="Calibri"/>
          <w:lang w:val="en"/>
        </w:rPr>
        <w:t xml:space="preserve">Recommendation No 3/2023 (III. 7.) of the Magyar Nemzeti Bank on Delaying the disclosure of insider information and its interactions with prudential </w:t>
      </w:r>
      <w:proofErr w:type="gramStart"/>
      <w:r w:rsidRPr="0083048B">
        <w:rPr>
          <w:rFonts w:eastAsia="Calibri" w:cs="Calibri"/>
          <w:lang w:val="en"/>
        </w:rPr>
        <w:t>supervision;</w:t>
      </w:r>
      <w:proofErr w:type="gramEnd"/>
    </w:p>
    <w:p w14:paraId="7DF011D3" w14:textId="77777777" w:rsidR="0089074A" w:rsidRPr="0083048B" w:rsidRDefault="0089074A" w:rsidP="004614D9">
      <w:pPr>
        <w:widowControl w:val="0"/>
        <w:numPr>
          <w:ilvl w:val="0"/>
          <w:numId w:val="26"/>
        </w:numPr>
        <w:spacing w:after="200" w:line="240" w:lineRule="auto"/>
        <w:ind w:left="567" w:right="-36" w:hanging="283"/>
        <w:contextualSpacing/>
        <w:rPr>
          <w:rFonts w:eastAsia="Calibri" w:cs="Calibri"/>
        </w:rPr>
      </w:pPr>
      <w:r w:rsidRPr="0083048B">
        <w:rPr>
          <w:rFonts w:eastAsia="Calibri" w:cs="Calibri"/>
          <w:lang w:val="en"/>
        </w:rPr>
        <w:t xml:space="preserve">Recommendation No 2/2023 (I. 30.) of the Magyar Nemzeti Bank on certain aspects of the fulfilment of obligations related to the assessment of suitability governing the provision of investment services and to the services solely connected to </w:t>
      </w:r>
      <w:proofErr w:type="gramStart"/>
      <w:r w:rsidRPr="0083048B">
        <w:rPr>
          <w:rFonts w:eastAsia="Calibri" w:cs="Calibri"/>
          <w:lang w:val="en"/>
        </w:rPr>
        <w:t>execution;</w:t>
      </w:r>
      <w:proofErr w:type="gramEnd"/>
    </w:p>
    <w:p w14:paraId="7DE8D212" w14:textId="77777777" w:rsidR="004A659C" w:rsidRPr="0083048B" w:rsidRDefault="004A659C" w:rsidP="004614D9">
      <w:pPr>
        <w:widowControl w:val="0"/>
        <w:numPr>
          <w:ilvl w:val="0"/>
          <w:numId w:val="26"/>
        </w:numPr>
        <w:spacing w:after="200" w:line="240" w:lineRule="auto"/>
        <w:ind w:left="567" w:right="-36" w:hanging="283"/>
        <w:contextualSpacing/>
        <w:rPr>
          <w:rFonts w:eastAsia="Calibri" w:cs="Calibri"/>
        </w:rPr>
      </w:pPr>
      <w:r w:rsidRPr="0083048B">
        <w:rPr>
          <w:rFonts w:eastAsia="Calibri" w:cs="Calibri"/>
          <w:lang w:val="en"/>
        </w:rPr>
        <w:t xml:space="preserve">Recommendation No 16/2022 (IX. 20.) of the Magyar Nemzeti Bank on the monitoring of compliance with the threshold value applicable to the establishment of an intermediate EU parent company under Section 105/B of Act CCXXXVII of 2013 on Credit Institutions and Financial </w:t>
      </w:r>
      <w:proofErr w:type="gramStart"/>
      <w:r w:rsidRPr="0083048B">
        <w:rPr>
          <w:rFonts w:eastAsia="Calibri" w:cs="Calibri"/>
          <w:lang w:val="en"/>
        </w:rPr>
        <w:t>Enterprises;</w:t>
      </w:r>
      <w:proofErr w:type="gramEnd"/>
    </w:p>
    <w:p w14:paraId="67CFF7A5" w14:textId="77777777" w:rsidR="004A659C" w:rsidRPr="0083048B" w:rsidRDefault="004A659C" w:rsidP="004614D9">
      <w:pPr>
        <w:widowControl w:val="0"/>
        <w:numPr>
          <w:ilvl w:val="0"/>
          <w:numId w:val="26"/>
        </w:numPr>
        <w:spacing w:after="200" w:line="240" w:lineRule="auto"/>
        <w:ind w:left="567" w:right="-36" w:hanging="283"/>
        <w:contextualSpacing/>
        <w:rPr>
          <w:rFonts w:eastAsia="Calibri" w:cs="Calibri"/>
        </w:rPr>
      </w:pPr>
      <w:r w:rsidRPr="0083048B">
        <w:rPr>
          <w:rFonts w:eastAsia="Calibri" w:cs="Calibri"/>
          <w:lang w:val="en"/>
        </w:rPr>
        <w:lastRenderedPageBreak/>
        <w:t xml:space="preserve">Recommendation No 14/2022 (VIII. 15.) of the Magyar Nemzeti Bank on the application of the remuneration policy under the Act on Investment Firms and Commodity Dealers, and on the Regulations Governing their </w:t>
      </w:r>
      <w:proofErr w:type="gramStart"/>
      <w:r w:rsidRPr="0083048B">
        <w:rPr>
          <w:rFonts w:eastAsia="Calibri" w:cs="Calibri"/>
          <w:lang w:val="en"/>
        </w:rPr>
        <w:t>Activities;</w:t>
      </w:r>
      <w:proofErr w:type="gramEnd"/>
    </w:p>
    <w:p w14:paraId="305C5F91" w14:textId="77777777" w:rsidR="001A5599" w:rsidRPr="0083048B" w:rsidRDefault="001A5599" w:rsidP="004614D9">
      <w:pPr>
        <w:widowControl w:val="0"/>
        <w:numPr>
          <w:ilvl w:val="0"/>
          <w:numId w:val="26"/>
        </w:numPr>
        <w:spacing w:after="200" w:line="240" w:lineRule="auto"/>
        <w:ind w:left="567" w:right="-36" w:hanging="283"/>
        <w:contextualSpacing/>
        <w:rPr>
          <w:rFonts w:eastAsia="Calibri" w:cs="Calibri"/>
        </w:rPr>
      </w:pPr>
      <w:r w:rsidRPr="0083048B">
        <w:rPr>
          <w:rFonts w:eastAsia="Calibri" w:cs="Calibri"/>
          <w:lang w:val="en"/>
        </w:rPr>
        <w:t xml:space="preserve">Recommendation 8/2022 (V. 13.) of the Magyar Nemzeti Bank on the resolution plan to be prepared by credit institutions and investment firms on a mandatory </w:t>
      </w:r>
      <w:proofErr w:type="gramStart"/>
      <w:r w:rsidRPr="0083048B">
        <w:rPr>
          <w:rFonts w:eastAsia="Calibri" w:cs="Calibri"/>
          <w:lang w:val="en"/>
        </w:rPr>
        <w:t>basis;</w:t>
      </w:r>
      <w:proofErr w:type="gramEnd"/>
    </w:p>
    <w:p w14:paraId="62CB035B" w14:textId="77777777" w:rsidR="004C6ADE" w:rsidRPr="0083048B" w:rsidRDefault="004C6ADE" w:rsidP="004614D9">
      <w:pPr>
        <w:widowControl w:val="0"/>
        <w:numPr>
          <w:ilvl w:val="0"/>
          <w:numId w:val="26"/>
        </w:numPr>
        <w:spacing w:after="200" w:line="240" w:lineRule="auto"/>
        <w:ind w:left="567" w:right="-36" w:hanging="283"/>
        <w:contextualSpacing/>
        <w:rPr>
          <w:rFonts w:eastAsia="Calibri" w:cs="Calibri"/>
        </w:rPr>
      </w:pPr>
      <w:r w:rsidRPr="0083048B">
        <w:rPr>
          <w:rFonts w:eastAsia="Calibri" w:cs="Calibri"/>
          <w:lang w:val="en"/>
        </w:rPr>
        <w:t xml:space="preserve">Recommendation No 7/2022 (IV. 22.) of the Magyar Nemzeti Bank on the general requirements of disclosure practices under the Act on Credit Institutions and Financial Enterprises, and the </w:t>
      </w:r>
      <w:proofErr w:type="gramStart"/>
      <w:r w:rsidRPr="0083048B">
        <w:rPr>
          <w:rFonts w:eastAsia="Calibri" w:cs="Calibri"/>
          <w:lang w:val="en"/>
        </w:rPr>
        <w:t>CRR;</w:t>
      </w:r>
      <w:proofErr w:type="gramEnd"/>
    </w:p>
    <w:p w14:paraId="214CB76A" w14:textId="77777777" w:rsidR="004C6ADE" w:rsidRPr="0083048B" w:rsidRDefault="004C6ADE" w:rsidP="004614D9">
      <w:pPr>
        <w:widowControl w:val="0"/>
        <w:numPr>
          <w:ilvl w:val="0"/>
          <w:numId w:val="26"/>
        </w:numPr>
        <w:spacing w:after="200" w:line="240" w:lineRule="auto"/>
        <w:ind w:left="567" w:right="-36" w:hanging="283"/>
        <w:contextualSpacing/>
        <w:rPr>
          <w:rFonts w:eastAsia="Calibri" w:cs="Calibri"/>
        </w:rPr>
      </w:pPr>
      <w:r w:rsidRPr="0083048B">
        <w:rPr>
          <w:rFonts w:eastAsia="Calibri" w:cs="Calibri"/>
          <w:lang w:val="en"/>
        </w:rPr>
        <w:t xml:space="preserve">Recommendation No 6/2022 (IV. 22.) of the Magyar Nemzeti Bank on the Uniform disclosure related to the temporary treatment of </w:t>
      </w:r>
      <w:proofErr w:type="spellStart"/>
      <w:r w:rsidRPr="0083048B">
        <w:rPr>
          <w:rFonts w:eastAsia="Calibri" w:cs="Calibri"/>
          <w:lang w:val="en"/>
        </w:rPr>
        <w:t>unrealised</w:t>
      </w:r>
      <w:proofErr w:type="spellEnd"/>
      <w:r w:rsidRPr="0083048B">
        <w:rPr>
          <w:rFonts w:eastAsia="Calibri" w:cs="Calibri"/>
          <w:lang w:val="en"/>
        </w:rPr>
        <w:t xml:space="preserve"> gain or loss on government securities measured at fair value through other comprehensive income and to the transitional rules serving the mitigation of the impact of the introduction of the IFRS 9 standard on own </w:t>
      </w:r>
      <w:proofErr w:type="gramStart"/>
      <w:r w:rsidRPr="0083048B">
        <w:rPr>
          <w:rFonts w:eastAsia="Calibri" w:cs="Calibri"/>
          <w:lang w:val="en"/>
        </w:rPr>
        <w:t>funds;</w:t>
      </w:r>
      <w:proofErr w:type="gramEnd"/>
    </w:p>
    <w:p w14:paraId="172532EE" w14:textId="77777777" w:rsidR="00056F44" w:rsidRPr="0083048B" w:rsidRDefault="00056F44" w:rsidP="00FD56EE">
      <w:pPr>
        <w:widowControl w:val="0"/>
        <w:numPr>
          <w:ilvl w:val="0"/>
          <w:numId w:val="26"/>
        </w:numPr>
        <w:spacing w:after="200" w:line="240" w:lineRule="auto"/>
        <w:ind w:left="567" w:right="-36" w:hanging="283"/>
        <w:contextualSpacing/>
        <w:rPr>
          <w:rFonts w:eastAsia="Calibri" w:cs="Calibri"/>
          <w:bCs/>
        </w:rPr>
      </w:pPr>
      <w:r w:rsidRPr="0083048B">
        <w:rPr>
          <w:rFonts w:eastAsia="Calibri" w:cs="Calibri"/>
          <w:lang w:val="en"/>
        </w:rPr>
        <w:t xml:space="preserve">Recommendation No 3/2022 (IV. 8.) of the Magyar Nemzeti Bank on the </w:t>
      </w:r>
      <w:proofErr w:type="spellStart"/>
      <w:r w:rsidRPr="0083048B">
        <w:rPr>
          <w:rFonts w:eastAsia="Calibri" w:cs="Calibri"/>
          <w:lang w:val="en"/>
        </w:rPr>
        <w:t>standardised</w:t>
      </w:r>
      <w:proofErr w:type="spellEnd"/>
      <w:r w:rsidRPr="0083048B">
        <w:rPr>
          <w:rFonts w:eastAsia="Calibri" w:cs="Calibri"/>
          <w:lang w:val="en"/>
        </w:rPr>
        <w:t xml:space="preserve"> procedures and messaging protocols related to settlement </w:t>
      </w:r>
      <w:proofErr w:type="gramStart"/>
      <w:r w:rsidRPr="0083048B">
        <w:rPr>
          <w:rFonts w:eastAsia="Calibri" w:cs="Calibri"/>
          <w:lang w:val="en"/>
        </w:rPr>
        <w:t>discipline;</w:t>
      </w:r>
      <w:proofErr w:type="gramEnd"/>
    </w:p>
    <w:p w14:paraId="091F8AA3" w14:textId="77777777" w:rsidR="0042739A" w:rsidRPr="0083048B" w:rsidRDefault="0042739A" w:rsidP="004614D9">
      <w:pPr>
        <w:widowControl w:val="0"/>
        <w:numPr>
          <w:ilvl w:val="0"/>
          <w:numId w:val="26"/>
        </w:numPr>
        <w:spacing w:after="200" w:line="240" w:lineRule="auto"/>
        <w:ind w:left="567" w:right="-36" w:hanging="283"/>
        <w:contextualSpacing/>
        <w:rPr>
          <w:rFonts w:eastAsia="Calibri" w:cs="Calibri"/>
        </w:rPr>
      </w:pPr>
      <w:r w:rsidRPr="0083048B">
        <w:rPr>
          <w:rFonts w:eastAsia="Calibri" w:cs="Calibri"/>
          <w:lang w:val="en"/>
        </w:rPr>
        <w:t xml:space="preserve">Recommendation No 1/2022 (I. 17.) of the Magyar Nemzeti Bank on the assessment of the eligibility of the members of executive bodies and persons in key </w:t>
      </w:r>
      <w:proofErr w:type="gramStart"/>
      <w:r w:rsidRPr="0083048B">
        <w:rPr>
          <w:rFonts w:eastAsia="Calibri" w:cs="Calibri"/>
          <w:lang w:val="en"/>
        </w:rPr>
        <w:t>position;</w:t>
      </w:r>
      <w:proofErr w:type="gramEnd"/>
    </w:p>
    <w:p w14:paraId="1A164F35" w14:textId="77777777" w:rsidR="00302377" w:rsidRPr="0083048B" w:rsidRDefault="00302377" w:rsidP="00FD56EE">
      <w:pPr>
        <w:widowControl w:val="0"/>
        <w:numPr>
          <w:ilvl w:val="0"/>
          <w:numId w:val="26"/>
        </w:numPr>
        <w:spacing w:after="200" w:line="240" w:lineRule="auto"/>
        <w:ind w:left="567" w:right="-36" w:hanging="283"/>
        <w:contextualSpacing/>
        <w:rPr>
          <w:rFonts w:eastAsia="Calibri" w:cs="Calibri"/>
          <w:bCs/>
        </w:rPr>
      </w:pPr>
      <w:r w:rsidRPr="0083048B">
        <w:rPr>
          <w:rFonts w:eastAsia="Calibri" w:cs="Calibri"/>
          <w:lang w:val="en"/>
        </w:rPr>
        <w:t xml:space="preserve">Recommendation No 17/2021(XII. 8.) of the Magyar Nemzeti Bank on the pre- and post-trading publication of market data for the purposes of the rules of </w:t>
      </w:r>
      <w:proofErr w:type="gramStart"/>
      <w:r w:rsidRPr="0083048B">
        <w:rPr>
          <w:rFonts w:eastAsia="Calibri" w:cs="Calibri"/>
          <w:lang w:val="en"/>
        </w:rPr>
        <w:t>transparency;</w:t>
      </w:r>
      <w:proofErr w:type="gramEnd"/>
    </w:p>
    <w:p w14:paraId="64E95C60" w14:textId="77777777" w:rsidR="00BB7EA3" w:rsidRPr="0083048B" w:rsidRDefault="00707A81" w:rsidP="00FD56EE">
      <w:pPr>
        <w:widowControl w:val="0"/>
        <w:numPr>
          <w:ilvl w:val="0"/>
          <w:numId w:val="26"/>
        </w:numPr>
        <w:spacing w:after="200" w:line="240" w:lineRule="auto"/>
        <w:ind w:left="567" w:right="-36" w:hanging="283"/>
        <w:contextualSpacing/>
        <w:rPr>
          <w:rFonts w:eastAsia="Calibri" w:cs="Calibri"/>
          <w:bCs/>
        </w:rPr>
      </w:pPr>
      <w:r w:rsidRPr="0083048B">
        <w:rPr>
          <w:rFonts w:eastAsia="Calibri" w:cs="Calibri"/>
          <w:lang w:val="en"/>
        </w:rPr>
        <w:t xml:space="preserve">Recommendation No 13/2021 (VIII. 24.) of the Magyar Nemzeti Bank on the requirements pertaining to the operation on index-tracking UCITS and exchange-traded funds qualifying as </w:t>
      </w:r>
      <w:proofErr w:type="gramStart"/>
      <w:r w:rsidRPr="0083048B">
        <w:rPr>
          <w:rFonts w:eastAsia="Calibri" w:cs="Calibri"/>
          <w:lang w:val="en"/>
        </w:rPr>
        <w:t>UCITS;</w:t>
      </w:r>
      <w:proofErr w:type="gramEnd"/>
    </w:p>
    <w:p w14:paraId="6789AA96" w14:textId="77777777" w:rsidR="00BB7EA3" w:rsidRPr="0083048B" w:rsidRDefault="00BB7EA3" w:rsidP="00FD56EE">
      <w:pPr>
        <w:widowControl w:val="0"/>
        <w:numPr>
          <w:ilvl w:val="0"/>
          <w:numId w:val="26"/>
        </w:numPr>
        <w:spacing w:after="200" w:line="240" w:lineRule="auto"/>
        <w:ind w:left="567" w:right="-36" w:hanging="283"/>
        <w:contextualSpacing/>
        <w:rPr>
          <w:rFonts w:eastAsia="Calibri" w:cs="Calibri"/>
          <w:bCs/>
        </w:rPr>
      </w:pPr>
      <w:r w:rsidRPr="0083048B">
        <w:rPr>
          <w:rFonts w:eastAsia="Calibri" w:cs="Calibri"/>
          <w:lang w:val="en"/>
        </w:rPr>
        <w:t xml:space="preserve">Recommendation No 12/2021 (VIII. 24) of the Magyar Nemzeti Bank related to the measurement and calculation of the total exposure and counterparty risk of UCITS and UCITS fund </w:t>
      </w:r>
      <w:proofErr w:type="gramStart"/>
      <w:r w:rsidRPr="0083048B">
        <w:rPr>
          <w:rFonts w:eastAsia="Calibri" w:cs="Calibri"/>
          <w:lang w:val="en"/>
        </w:rPr>
        <w:t>managers;</w:t>
      </w:r>
      <w:proofErr w:type="gramEnd"/>
    </w:p>
    <w:p w14:paraId="276222EC" w14:textId="77777777" w:rsidR="00BB7EA3" w:rsidRPr="0083048B" w:rsidRDefault="00BB7EA3" w:rsidP="00FD56EE">
      <w:pPr>
        <w:widowControl w:val="0"/>
        <w:numPr>
          <w:ilvl w:val="0"/>
          <w:numId w:val="26"/>
        </w:numPr>
        <w:spacing w:after="200" w:line="240" w:lineRule="auto"/>
        <w:ind w:left="567" w:right="-36" w:hanging="283"/>
        <w:contextualSpacing/>
        <w:rPr>
          <w:rFonts w:eastAsia="Calibri" w:cs="Calibri"/>
          <w:bCs/>
        </w:rPr>
      </w:pPr>
      <w:r w:rsidRPr="0083048B">
        <w:rPr>
          <w:rFonts w:eastAsia="Calibri" w:cs="Calibri"/>
          <w:lang w:val="en"/>
        </w:rPr>
        <w:t xml:space="preserve">Recommendation No 11/2021 (VII. 1.) of the Magyar Nemzeti Bank on success fees applied by investment fund </w:t>
      </w:r>
      <w:proofErr w:type="gramStart"/>
      <w:r w:rsidRPr="0083048B">
        <w:rPr>
          <w:rFonts w:eastAsia="Calibri" w:cs="Calibri"/>
          <w:lang w:val="en"/>
        </w:rPr>
        <w:t>managers;</w:t>
      </w:r>
      <w:proofErr w:type="gramEnd"/>
    </w:p>
    <w:p w14:paraId="7AE276D2" w14:textId="77777777" w:rsidR="00BB7EA3" w:rsidRPr="0083048B" w:rsidRDefault="00BB7EA3" w:rsidP="00FD56EE">
      <w:pPr>
        <w:widowControl w:val="0"/>
        <w:numPr>
          <w:ilvl w:val="0"/>
          <w:numId w:val="26"/>
        </w:numPr>
        <w:spacing w:after="200" w:line="240" w:lineRule="auto"/>
        <w:ind w:left="567" w:right="-36" w:hanging="283"/>
        <w:contextualSpacing/>
        <w:rPr>
          <w:rFonts w:eastAsia="Calibri" w:cs="Calibri"/>
          <w:bCs/>
        </w:rPr>
      </w:pPr>
      <w:r w:rsidRPr="0083048B">
        <w:rPr>
          <w:rFonts w:eastAsia="Calibri" w:cs="Calibri"/>
          <w:lang w:val="en"/>
        </w:rPr>
        <w:t xml:space="preserve">Recommendation No 6/2021 (IV. 29.) of the Magyar Nemzeti Bank on the liquidity stress testing for UCITS and </w:t>
      </w:r>
      <w:proofErr w:type="gramStart"/>
      <w:r w:rsidRPr="0083048B">
        <w:rPr>
          <w:rFonts w:eastAsia="Calibri" w:cs="Calibri"/>
          <w:lang w:val="en"/>
        </w:rPr>
        <w:t>AIFs;</w:t>
      </w:r>
      <w:proofErr w:type="gramEnd"/>
    </w:p>
    <w:p w14:paraId="5CF5543E" w14:textId="77777777" w:rsidR="00BB7EA3" w:rsidRPr="0083048B" w:rsidRDefault="00BB7EA3" w:rsidP="00FD56EE">
      <w:pPr>
        <w:widowControl w:val="0"/>
        <w:numPr>
          <w:ilvl w:val="0"/>
          <w:numId w:val="26"/>
        </w:numPr>
        <w:spacing w:after="200" w:line="240" w:lineRule="auto"/>
        <w:ind w:left="567" w:right="-36" w:hanging="283"/>
        <w:contextualSpacing/>
        <w:rPr>
          <w:rFonts w:eastAsia="Calibri" w:cs="Calibri"/>
          <w:bCs/>
        </w:rPr>
      </w:pPr>
      <w:r w:rsidRPr="0083048B">
        <w:rPr>
          <w:rFonts w:eastAsia="Calibri" w:cs="Calibri"/>
          <w:lang w:val="en"/>
        </w:rPr>
        <w:t xml:space="preserve">Recommendation No 3/2021 (III. 4) of the Magyar Nemzeti Bank on money market fund stress testing </w:t>
      </w:r>
      <w:proofErr w:type="gramStart"/>
      <w:r w:rsidRPr="0083048B">
        <w:rPr>
          <w:rFonts w:eastAsia="Calibri" w:cs="Calibri"/>
          <w:lang w:val="en"/>
        </w:rPr>
        <w:t>scenarios;</w:t>
      </w:r>
      <w:proofErr w:type="gramEnd"/>
    </w:p>
    <w:p w14:paraId="4AADB566" w14:textId="77777777" w:rsidR="00671063" w:rsidRPr="0083048B" w:rsidRDefault="00671063" w:rsidP="00FD56EE">
      <w:pPr>
        <w:widowControl w:val="0"/>
        <w:numPr>
          <w:ilvl w:val="0"/>
          <w:numId w:val="26"/>
        </w:numPr>
        <w:spacing w:after="200" w:line="240" w:lineRule="auto"/>
        <w:ind w:left="567" w:right="-36" w:hanging="283"/>
        <w:contextualSpacing/>
        <w:rPr>
          <w:rFonts w:eastAsia="Calibri" w:cs="Calibri"/>
          <w:bCs/>
        </w:rPr>
      </w:pPr>
      <w:r w:rsidRPr="0083048B">
        <w:rPr>
          <w:rFonts w:eastAsia="Calibri" w:cs="Calibri"/>
          <w:lang w:val="en"/>
        </w:rPr>
        <w:t xml:space="preserve">Recommendation No 4/2020 (III. 24.) of the Magyar Nemzeti Bank on the Requirements pertaining to simple, transparent and </w:t>
      </w:r>
      <w:proofErr w:type="spellStart"/>
      <w:r w:rsidRPr="0083048B">
        <w:rPr>
          <w:rFonts w:eastAsia="Calibri" w:cs="Calibri"/>
          <w:lang w:val="en"/>
        </w:rPr>
        <w:t>standardised</w:t>
      </w:r>
      <w:proofErr w:type="spellEnd"/>
      <w:r w:rsidRPr="0083048B">
        <w:rPr>
          <w:rFonts w:eastAsia="Calibri" w:cs="Calibri"/>
          <w:lang w:val="en"/>
        </w:rPr>
        <w:t xml:space="preserve"> </w:t>
      </w:r>
      <w:proofErr w:type="spellStart"/>
      <w:r w:rsidRPr="0083048B">
        <w:rPr>
          <w:rFonts w:eastAsia="Calibri" w:cs="Calibri"/>
          <w:lang w:val="en"/>
        </w:rPr>
        <w:t>securitisation</w:t>
      </w:r>
      <w:proofErr w:type="spellEnd"/>
      <w:r w:rsidRPr="0083048B">
        <w:rPr>
          <w:rFonts w:eastAsia="Calibri" w:cs="Calibri"/>
          <w:lang w:val="en"/>
        </w:rPr>
        <w:t xml:space="preserve"> not qualifying as asset-backed commercial paper (ABCP</w:t>
      </w:r>
      <w:proofErr w:type="gramStart"/>
      <w:r w:rsidRPr="0083048B">
        <w:rPr>
          <w:rFonts w:eastAsia="Calibri" w:cs="Calibri"/>
          <w:lang w:val="en"/>
        </w:rPr>
        <w:t>);</w:t>
      </w:r>
      <w:proofErr w:type="gramEnd"/>
      <w:r w:rsidRPr="0083048B">
        <w:rPr>
          <w:rFonts w:eastAsia="Calibri" w:cs="Calibri"/>
          <w:lang w:val="en"/>
        </w:rPr>
        <w:t xml:space="preserve"> </w:t>
      </w:r>
    </w:p>
    <w:p w14:paraId="0514F2F5" w14:textId="77777777" w:rsidR="00671063" w:rsidRPr="0083048B" w:rsidRDefault="00671063" w:rsidP="00FD56EE">
      <w:pPr>
        <w:widowControl w:val="0"/>
        <w:numPr>
          <w:ilvl w:val="0"/>
          <w:numId w:val="26"/>
        </w:numPr>
        <w:spacing w:after="200" w:line="240" w:lineRule="auto"/>
        <w:ind w:left="567" w:right="-36" w:hanging="283"/>
        <w:contextualSpacing/>
        <w:rPr>
          <w:rFonts w:eastAsia="Calibri" w:cs="Calibri"/>
          <w:bCs/>
        </w:rPr>
      </w:pPr>
      <w:r w:rsidRPr="0083048B">
        <w:rPr>
          <w:rFonts w:eastAsia="Calibri" w:cs="Calibri"/>
          <w:lang w:val="en"/>
        </w:rPr>
        <w:t xml:space="preserve">Recommendation No 3/2020 (III. 24.) of the Magyar Nemzeti Bank on the Requirements pertaining to simple, transparent and </w:t>
      </w:r>
      <w:proofErr w:type="spellStart"/>
      <w:r w:rsidRPr="0083048B">
        <w:rPr>
          <w:rFonts w:eastAsia="Calibri" w:cs="Calibri"/>
          <w:lang w:val="en"/>
        </w:rPr>
        <w:t>standardised</w:t>
      </w:r>
      <w:proofErr w:type="spellEnd"/>
      <w:r w:rsidRPr="0083048B">
        <w:rPr>
          <w:rFonts w:eastAsia="Calibri" w:cs="Calibri"/>
          <w:lang w:val="en"/>
        </w:rPr>
        <w:t xml:space="preserve"> </w:t>
      </w:r>
      <w:proofErr w:type="spellStart"/>
      <w:r w:rsidRPr="0083048B">
        <w:rPr>
          <w:rFonts w:eastAsia="Calibri" w:cs="Calibri"/>
          <w:lang w:val="en"/>
        </w:rPr>
        <w:t>ABCP</w:t>
      </w:r>
      <w:proofErr w:type="spellEnd"/>
      <w:r w:rsidRPr="0083048B">
        <w:rPr>
          <w:rFonts w:eastAsia="Calibri" w:cs="Calibri"/>
          <w:lang w:val="en"/>
        </w:rPr>
        <w:t xml:space="preserve"> </w:t>
      </w:r>
      <w:proofErr w:type="spellStart"/>
      <w:proofErr w:type="gramStart"/>
      <w:r w:rsidRPr="0083048B">
        <w:rPr>
          <w:rFonts w:eastAsia="Calibri" w:cs="Calibri"/>
          <w:lang w:val="en"/>
        </w:rPr>
        <w:t>securitisation</w:t>
      </w:r>
      <w:proofErr w:type="spellEnd"/>
      <w:r w:rsidRPr="0083048B">
        <w:rPr>
          <w:rFonts w:eastAsia="Calibri" w:cs="Calibri"/>
          <w:lang w:val="en"/>
        </w:rPr>
        <w:t>;</w:t>
      </w:r>
      <w:proofErr w:type="gramEnd"/>
      <w:r w:rsidRPr="0083048B">
        <w:rPr>
          <w:rFonts w:eastAsia="Calibri" w:cs="Calibri"/>
          <w:lang w:val="en"/>
        </w:rPr>
        <w:t xml:space="preserve"> </w:t>
      </w:r>
    </w:p>
    <w:p w14:paraId="0FB95FDF" w14:textId="77777777" w:rsidR="00671063" w:rsidRPr="0083048B" w:rsidRDefault="00671063" w:rsidP="00FD56EE">
      <w:pPr>
        <w:widowControl w:val="0"/>
        <w:numPr>
          <w:ilvl w:val="0"/>
          <w:numId w:val="26"/>
        </w:numPr>
        <w:spacing w:after="200" w:line="240" w:lineRule="auto"/>
        <w:ind w:left="567" w:right="-36" w:hanging="283"/>
        <w:contextualSpacing/>
        <w:rPr>
          <w:rFonts w:eastAsia="Calibri" w:cs="Calibri"/>
          <w:bCs/>
        </w:rPr>
      </w:pPr>
      <w:r w:rsidRPr="0083048B">
        <w:rPr>
          <w:rFonts w:eastAsia="Calibri" w:cs="Calibri"/>
          <w:lang w:val="en"/>
        </w:rPr>
        <w:t xml:space="preserve">Recommendation No 19/2019 (IX. 20.) of the Magyar Nemzeti Bank on the Definition of exposures of particularly high </w:t>
      </w:r>
      <w:proofErr w:type="gramStart"/>
      <w:r w:rsidRPr="0083048B">
        <w:rPr>
          <w:rFonts w:eastAsia="Calibri" w:cs="Calibri"/>
          <w:lang w:val="en"/>
        </w:rPr>
        <w:t>risk;</w:t>
      </w:r>
      <w:proofErr w:type="gramEnd"/>
      <w:r w:rsidRPr="0083048B">
        <w:rPr>
          <w:rFonts w:eastAsia="Calibri" w:cs="Calibri"/>
          <w:lang w:val="en"/>
        </w:rPr>
        <w:t xml:space="preserve"> </w:t>
      </w:r>
    </w:p>
    <w:p w14:paraId="559FB0B2" w14:textId="77777777" w:rsidR="00046C1F" w:rsidRPr="0083048B" w:rsidRDefault="00046C1F"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t xml:space="preserve">Recommendation No 1/2019 (I. 30.) of the Magyar Nemzeti Bank on the reporting of transactions, recording orders and </w:t>
      </w:r>
      <w:proofErr w:type="spellStart"/>
      <w:r w:rsidRPr="0083048B">
        <w:rPr>
          <w:rFonts w:eastAsia="Calibri" w:cs="Calibri"/>
          <w:lang w:val="en"/>
        </w:rPr>
        <w:t>synchronising</w:t>
      </w:r>
      <w:proofErr w:type="spellEnd"/>
      <w:r w:rsidRPr="0083048B">
        <w:rPr>
          <w:rFonts w:eastAsia="Calibri" w:cs="Calibri"/>
          <w:lang w:val="en"/>
        </w:rPr>
        <w:t xml:space="preserve"> </w:t>
      </w:r>
      <w:proofErr w:type="gramStart"/>
      <w:r w:rsidRPr="0083048B">
        <w:rPr>
          <w:rFonts w:eastAsia="Calibri" w:cs="Calibri"/>
          <w:lang w:val="en"/>
        </w:rPr>
        <w:t>watches;</w:t>
      </w:r>
      <w:proofErr w:type="gramEnd"/>
    </w:p>
    <w:p w14:paraId="6A4A8FD4" w14:textId="77777777" w:rsidR="00046C1F" w:rsidRPr="0083048B" w:rsidRDefault="00046C1F"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t xml:space="preserve">Recommendation No 1/2018 (I. 3) of the Magyar Nemzeti Bank on complex debt instruments and structured </w:t>
      </w:r>
      <w:proofErr w:type="gramStart"/>
      <w:r w:rsidRPr="0083048B">
        <w:rPr>
          <w:rFonts w:eastAsia="Calibri" w:cs="Calibri"/>
          <w:lang w:val="en"/>
        </w:rPr>
        <w:t>deposits;</w:t>
      </w:r>
      <w:proofErr w:type="gramEnd"/>
    </w:p>
    <w:p w14:paraId="497C98D3" w14:textId="77777777" w:rsidR="00046C1F" w:rsidRPr="0083048B" w:rsidRDefault="00046C1F"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t xml:space="preserve">Recommendation No 2/2018 (I. 3) of the Magyar Nemzeti Bank on cross-selling </w:t>
      </w:r>
      <w:proofErr w:type="gramStart"/>
      <w:r w:rsidRPr="0083048B">
        <w:rPr>
          <w:rFonts w:eastAsia="Calibri" w:cs="Calibri"/>
          <w:lang w:val="en"/>
        </w:rPr>
        <w:t>practices;</w:t>
      </w:r>
      <w:proofErr w:type="gramEnd"/>
      <w:r w:rsidRPr="0083048B">
        <w:rPr>
          <w:rFonts w:eastAsia="Calibri" w:cs="Calibri"/>
          <w:lang w:val="en"/>
        </w:rPr>
        <w:t xml:space="preserve"> </w:t>
      </w:r>
    </w:p>
    <w:p w14:paraId="4BFFA434" w14:textId="77777777" w:rsidR="00237F58" w:rsidRPr="0083048B" w:rsidRDefault="00237F58"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t xml:space="preserve">Recommendation No 4/2018 (I. 16.) of the Magyar Nemzeti Bank on remuneration policies to be applied by alternative investment fund </w:t>
      </w:r>
      <w:proofErr w:type="gramStart"/>
      <w:r w:rsidRPr="0083048B">
        <w:rPr>
          <w:rFonts w:eastAsia="Calibri" w:cs="Calibri"/>
          <w:lang w:val="en"/>
        </w:rPr>
        <w:t>managers;</w:t>
      </w:r>
      <w:proofErr w:type="gramEnd"/>
    </w:p>
    <w:p w14:paraId="294B38A8" w14:textId="77777777" w:rsidR="00237F58" w:rsidRPr="0083048B" w:rsidRDefault="00237F58"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t xml:space="preserve">Recommendation No 3/2018 (I. 16.) of the Magyar Nemzeti Bank on the remuneration policies to be applied by UCITS fund </w:t>
      </w:r>
      <w:proofErr w:type="gramStart"/>
      <w:r w:rsidRPr="0083048B">
        <w:rPr>
          <w:rFonts w:eastAsia="Calibri" w:cs="Calibri"/>
          <w:lang w:val="en"/>
        </w:rPr>
        <w:t>managers;</w:t>
      </w:r>
      <w:proofErr w:type="gramEnd"/>
    </w:p>
    <w:p w14:paraId="45C94FBC" w14:textId="77777777" w:rsidR="00100699" w:rsidRPr="0083048B" w:rsidRDefault="00100699"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t>Recommendation 28/2018 (XII. 10.) of the Magyar Nemzeti Bank on the definition of the notion of “group of connected clients” as specified in Article 4(1)39) of Regulation 575/2013/</w:t>
      </w:r>
      <w:proofErr w:type="gramStart"/>
      <w:r w:rsidRPr="0083048B">
        <w:rPr>
          <w:rFonts w:eastAsia="Calibri" w:cs="Calibri"/>
          <w:lang w:val="en"/>
        </w:rPr>
        <w:t>EU;</w:t>
      </w:r>
      <w:proofErr w:type="gramEnd"/>
    </w:p>
    <w:p w14:paraId="5704BCCE" w14:textId="77777777" w:rsidR="00237F58" w:rsidRPr="0083048B" w:rsidRDefault="00046C1F"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t xml:space="preserve">Recommendation No 25/2018 (VII. 5.) of the Magyar Nemzeti Bank on the Requirements governing the approval of capital market </w:t>
      </w:r>
      <w:proofErr w:type="gramStart"/>
      <w:r w:rsidRPr="0083048B">
        <w:rPr>
          <w:rFonts w:eastAsia="Calibri" w:cs="Calibri"/>
          <w:lang w:val="en"/>
        </w:rPr>
        <w:t>products;</w:t>
      </w:r>
      <w:proofErr w:type="gramEnd"/>
    </w:p>
    <w:p w14:paraId="6BCC1F0C" w14:textId="77777777" w:rsidR="00B662AF" w:rsidRPr="0083048B" w:rsidRDefault="00B662AF"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t xml:space="preserve">Recommendation No 23/2018 (V. 14.) of the Magyar Nemzeti Bank on the Executive bodies of market operators and data supplier </w:t>
      </w:r>
      <w:proofErr w:type="gramStart"/>
      <w:r w:rsidRPr="0083048B">
        <w:rPr>
          <w:rFonts w:eastAsia="Calibri" w:cs="Calibri"/>
          <w:lang w:val="en"/>
        </w:rPr>
        <w:t>entities;</w:t>
      </w:r>
      <w:proofErr w:type="gramEnd"/>
    </w:p>
    <w:p w14:paraId="10D00500" w14:textId="77777777" w:rsidR="00B662AF" w:rsidRPr="0083048B" w:rsidRDefault="00B662AF"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t xml:space="preserve">Recommendation No 22/2018 (V. 14) of the Magyar Nemzeti Bank on the Setting of suspension mechanisms of trading venues and announcement of the discontinuance of the </w:t>
      </w:r>
      <w:proofErr w:type="gramStart"/>
      <w:r w:rsidRPr="0083048B">
        <w:rPr>
          <w:rFonts w:eastAsia="Calibri" w:cs="Calibri"/>
          <w:lang w:val="en"/>
        </w:rPr>
        <w:t>trading;</w:t>
      </w:r>
      <w:proofErr w:type="gramEnd"/>
    </w:p>
    <w:p w14:paraId="175C8B5F" w14:textId="77777777" w:rsidR="00472D96" w:rsidRPr="0083048B" w:rsidRDefault="00472D96"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t xml:space="preserve">Recommendation No 16/2018 (IV. 3.) of the Magyar Nemzeti Bank on the Comprehensive risk assessment prior to the data reporting by central counterparties and trading </w:t>
      </w:r>
      <w:proofErr w:type="gramStart"/>
      <w:r w:rsidRPr="0083048B">
        <w:rPr>
          <w:rFonts w:eastAsia="Calibri" w:cs="Calibri"/>
          <w:lang w:val="en"/>
        </w:rPr>
        <w:t>venues;</w:t>
      </w:r>
      <w:proofErr w:type="gramEnd"/>
    </w:p>
    <w:p w14:paraId="545B8218" w14:textId="77777777" w:rsidR="00472D96" w:rsidRPr="0083048B" w:rsidRDefault="00472D96"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t xml:space="preserve">Recommendation No 15/2018 (IV. 3) of the Magyar Nemzeti Bank on the Rules and procedures of central depositories related to payment restriction procedures initiated against </w:t>
      </w:r>
      <w:proofErr w:type="gramStart"/>
      <w:r w:rsidRPr="0083048B">
        <w:rPr>
          <w:rFonts w:eastAsia="Calibri" w:cs="Calibri"/>
          <w:lang w:val="en"/>
        </w:rPr>
        <w:t>participants;</w:t>
      </w:r>
      <w:proofErr w:type="gramEnd"/>
    </w:p>
    <w:p w14:paraId="559AB09A" w14:textId="77777777" w:rsidR="00472D96" w:rsidRPr="0083048B" w:rsidRDefault="00472D96"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t xml:space="preserve">Recommendation No 14/2018 (III. 6) of the Magyar Nemzeti Bank on the Management of risks related to encumbered </w:t>
      </w:r>
      <w:proofErr w:type="gramStart"/>
      <w:r w:rsidRPr="0083048B">
        <w:rPr>
          <w:rFonts w:eastAsia="Calibri" w:cs="Calibri"/>
          <w:lang w:val="en"/>
        </w:rPr>
        <w:t>assets;</w:t>
      </w:r>
      <w:proofErr w:type="gramEnd"/>
    </w:p>
    <w:p w14:paraId="2A75F4A4" w14:textId="77777777" w:rsidR="004F3ECF" w:rsidRPr="0083048B" w:rsidRDefault="004F3ECF"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t xml:space="preserve">Recommendation No 10/2017 (VIII. 8.) of the Magyar Nemzeti Bank on Defining </w:t>
      </w:r>
      <w:proofErr w:type="spellStart"/>
      <w:r w:rsidRPr="0083048B">
        <w:rPr>
          <w:rFonts w:eastAsia="Calibri" w:cs="Calibri"/>
          <w:lang w:val="en"/>
        </w:rPr>
        <w:t>specialised</w:t>
      </w:r>
      <w:proofErr w:type="spellEnd"/>
      <w:r w:rsidRPr="0083048B">
        <w:rPr>
          <w:rFonts w:eastAsia="Calibri" w:cs="Calibri"/>
          <w:lang w:val="en"/>
        </w:rPr>
        <w:t xml:space="preserve"> lending exposures and speculative real property </w:t>
      </w:r>
      <w:proofErr w:type="gramStart"/>
      <w:r w:rsidRPr="0083048B">
        <w:rPr>
          <w:rFonts w:eastAsia="Calibri" w:cs="Calibri"/>
          <w:lang w:val="en"/>
        </w:rPr>
        <w:t>financing;</w:t>
      </w:r>
      <w:proofErr w:type="gramEnd"/>
    </w:p>
    <w:p w14:paraId="0A36F240" w14:textId="77777777" w:rsidR="00F84206" w:rsidRPr="0083048B" w:rsidRDefault="004F3ECF"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lastRenderedPageBreak/>
        <w:t xml:space="preserve">Recommendation No 5/2017 (V. 24) of the Magyar Nemzeti Bank on Alternative performance measurement </w:t>
      </w:r>
      <w:proofErr w:type="gramStart"/>
      <w:r w:rsidRPr="0083048B">
        <w:rPr>
          <w:rFonts w:eastAsia="Calibri" w:cs="Calibri"/>
          <w:lang w:val="en"/>
        </w:rPr>
        <w:t>indices;</w:t>
      </w:r>
      <w:proofErr w:type="gramEnd"/>
    </w:p>
    <w:p w14:paraId="78F83D57" w14:textId="77777777" w:rsidR="00D92CBB" w:rsidRPr="0083048B" w:rsidRDefault="00D92CBB"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t xml:space="preserve">Recommendation No 11/2016 (XII. 1.) of the Magyar Nemzeti Bank on the limitation of exposures to </w:t>
      </w:r>
      <w:proofErr w:type="spellStart"/>
      <w:r w:rsidRPr="0083048B">
        <w:rPr>
          <w:rFonts w:eastAsia="Calibri" w:cs="Calibri"/>
          <w:lang w:val="en"/>
        </w:rPr>
        <w:t>organisations</w:t>
      </w:r>
      <w:proofErr w:type="spellEnd"/>
      <w:r w:rsidRPr="0083048B">
        <w:rPr>
          <w:rFonts w:eastAsia="Calibri" w:cs="Calibri"/>
          <w:lang w:val="en"/>
        </w:rPr>
        <w:t xml:space="preserve"> performing shadow banking </w:t>
      </w:r>
      <w:proofErr w:type="gramStart"/>
      <w:r w:rsidRPr="0083048B">
        <w:rPr>
          <w:rFonts w:eastAsia="Calibri" w:cs="Calibri"/>
          <w:lang w:val="en"/>
        </w:rPr>
        <w:t>activity;</w:t>
      </w:r>
      <w:proofErr w:type="gramEnd"/>
    </w:p>
    <w:p w14:paraId="6656265E" w14:textId="77777777" w:rsidR="00D92CBB" w:rsidRPr="0083048B" w:rsidRDefault="00D92CBB"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t xml:space="preserve">Recommendation No 7/2016 (VI. 22.) of the Magyar Nemzeti Bank on the Management of OTC derivative leveraged brokerage transactions executed with the involvement of third </w:t>
      </w:r>
      <w:proofErr w:type="gramStart"/>
      <w:r w:rsidRPr="0083048B">
        <w:rPr>
          <w:rFonts w:eastAsia="Calibri" w:cs="Calibri"/>
          <w:lang w:val="en"/>
        </w:rPr>
        <w:t>party;</w:t>
      </w:r>
      <w:proofErr w:type="gramEnd"/>
    </w:p>
    <w:p w14:paraId="120AD66B" w14:textId="77777777" w:rsidR="00046C1F" w:rsidRPr="0083048B" w:rsidRDefault="00FC38F5" w:rsidP="00FD56EE">
      <w:pPr>
        <w:widowControl w:val="0"/>
        <w:numPr>
          <w:ilvl w:val="0"/>
          <w:numId w:val="26"/>
        </w:numPr>
        <w:spacing w:after="0" w:line="240" w:lineRule="auto"/>
        <w:ind w:left="567" w:right="-36" w:hanging="283"/>
        <w:contextualSpacing/>
        <w:rPr>
          <w:rFonts w:eastAsia="Calibri" w:cs="Calibri"/>
          <w:bCs/>
        </w:rPr>
      </w:pPr>
      <w:r w:rsidRPr="0083048B">
        <w:rPr>
          <w:rFonts w:eastAsia="Calibri" w:cs="Calibri"/>
          <w:lang w:val="en"/>
        </w:rPr>
        <w:t xml:space="preserve">Recommendation No 12/2015 (VIII. 24.) of the Magyar Nemzeti Bank on the Measurement, </w:t>
      </w:r>
      <w:proofErr w:type="gramStart"/>
      <w:r w:rsidRPr="0083048B">
        <w:rPr>
          <w:rFonts w:eastAsia="Calibri" w:cs="Calibri"/>
          <w:lang w:val="en"/>
        </w:rPr>
        <w:t>management</w:t>
      </w:r>
      <w:proofErr w:type="gramEnd"/>
      <w:r w:rsidRPr="0083048B">
        <w:rPr>
          <w:rFonts w:eastAsia="Calibri" w:cs="Calibri"/>
          <w:lang w:val="en"/>
        </w:rPr>
        <w:t xml:space="preserve"> and control of liquidity risks.</w:t>
      </w:r>
    </w:p>
    <w:p w14:paraId="44D07A6C" w14:textId="77777777" w:rsidR="00D4027D" w:rsidRPr="0083048B" w:rsidRDefault="00D4027D" w:rsidP="00D4027D">
      <w:pPr>
        <w:widowControl w:val="0"/>
        <w:spacing w:after="0" w:line="240" w:lineRule="auto"/>
        <w:ind w:right="-36"/>
        <w:contextualSpacing/>
        <w:rPr>
          <w:rFonts w:eastAsia="Calibri" w:cs="Calibri"/>
          <w:bCs/>
        </w:rPr>
      </w:pPr>
    </w:p>
    <w:p w14:paraId="0CF559E1" w14:textId="77777777" w:rsidR="00D4027D" w:rsidRPr="0083048B" w:rsidRDefault="00D4027D" w:rsidP="00D4027D">
      <w:pPr>
        <w:widowControl w:val="0"/>
        <w:spacing w:after="0" w:line="240" w:lineRule="auto"/>
        <w:ind w:right="-36"/>
        <w:contextualSpacing/>
        <w:rPr>
          <w:rFonts w:eastAsia="Calibri" w:cs="Calibri"/>
          <w:bCs/>
        </w:rPr>
      </w:pPr>
    </w:p>
    <w:p w14:paraId="3B85BBA5" w14:textId="77777777" w:rsidR="00046C1F" w:rsidRPr="0083048B" w:rsidRDefault="00046C1F" w:rsidP="00915585">
      <w:pPr>
        <w:widowControl w:val="0"/>
        <w:spacing w:before="8" w:after="0" w:line="280" w:lineRule="exact"/>
        <w:ind w:left="567" w:hanging="283"/>
        <w:rPr>
          <w:rFonts w:eastAsia="Calibri" w:cs="Times New Roman"/>
          <w:sz w:val="28"/>
          <w:szCs w:val="28"/>
        </w:rPr>
      </w:pPr>
    </w:p>
    <w:p w14:paraId="147C778B" w14:textId="77777777" w:rsidR="00046C1F" w:rsidRPr="0083048B" w:rsidRDefault="00046C1F" w:rsidP="00915585">
      <w:pPr>
        <w:widowControl w:val="0"/>
        <w:spacing w:after="0" w:line="240" w:lineRule="auto"/>
        <w:ind w:left="567" w:right="3166" w:hanging="283"/>
        <w:rPr>
          <w:rFonts w:eastAsia="Calibri" w:cs="Calibri"/>
          <w:b/>
          <w:bCs/>
        </w:rPr>
      </w:pPr>
      <w:r w:rsidRPr="0083048B">
        <w:rPr>
          <w:rFonts w:eastAsia="Calibri" w:cs="Calibri"/>
          <w:b/>
          <w:bCs/>
          <w:lang w:val="en"/>
        </w:rPr>
        <w:t>2.3 Insurance undertakings, insurance intermediaries</w:t>
      </w:r>
    </w:p>
    <w:p w14:paraId="0602D7BB" w14:textId="77777777" w:rsidR="00046C1F" w:rsidRPr="0083048B" w:rsidRDefault="00046C1F" w:rsidP="00915585">
      <w:pPr>
        <w:widowControl w:val="0"/>
        <w:spacing w:before="2" w:after="0" w:line="240" w:lineRule="exact"/>
        <w:ind w:left="567" w:hanging="283"/>
        <w:rPr>
          <w:rFonts w:eastAsia="Calibri" w:cs="Times New Roman"/>
          <w:sz w:val="24"/>
          <w:szCs w:val="24"/>
        </w:rPr>
      </w:pPr>
    </w:p>
    <w:p w14:paraId="361AD84E" w14:textId="77777777" w:rsidR="00046C1F" w:rsidRPr="0083048B" w:rsidRDefault="00046C1F" w:rsidP="00915585">
      <w:pPr>
        <w:widowControl w:val="0"/>
        <w:spacing w:after="0" w:line="242" w:lineRule="exact"/>
        <w:ind w:left="567" w:right="60" w:hanging="283"/>
        <w:rPr>
          <w:rFonts w:eastAsia="Calibri" w:cs="Calibri"/>
        </w:rPr>
      </w:pPr>
      <w:r w:rsidRPr="0083048B">
        <w:rPr>
          <w:rFonts w:eastAsia="Calibri" w:cs="Calibri"/>
          <w:lang w:val="en"/>
        </w:rPr>
        <w:t>Pursuant to Sections 283(1), 286 and 423 of Insurance Act, the MNB provides the following statutory information.</w:t>
      </w:r>
    </w:p>
    <w:p w14:paraId="3EE90B18" w14:textId="77777777" w:rsidR="00046C1F" w:rsidRPr="0083048B" w:rsidRDefault="00046C1F" w:rsidP="00915585">
      <w:pPr>
        <w:widowControl w:val="0"/>
        <w:spacing w:before="11" w:after="0" w:line="240" w:lineRule="exact"/>
        <w:ind w:left="567" w:hanging="283"/>
        <w:rPr>
          <w:rFonts w:eastAsia="Calibri" w:cs="Times New Roman"/>
          <w:sz w:val="24"/>
          <w:szCs w:val="24"/>
        </w:rPr>
      </w:pPr>
    </w:p>
    <w:p w14:paraId="0D5B5AA2" w14:textId="77777777" w:rsidR="00046C1F" w:rsidRPr="0083048B" w:rsidRDefault="00046C1F" w:rsidP="00915585">
      <w:pPr>
        <w:widowControl w:val="0"/>
        <w:spacing w:after="0" w:line="239" w:lineRule="auto"/>
        <w:ind w:left="284" w:right="65"/>
        <w:rPr>
          <w:rFonts w:eastAsia="Calibri" w:cs="Calibri"/>
        </w:rPr>
      </w:pPr>
      <w:r w:rsidRPr="0083048B">
        <w:rPr>
          <w:rFonts w:eastAsia="Calibri" w:cs="Calibri"/>
          <w:b/>
          <w:bCs/>
          <w:u w:val="single"/>
          <w:lang w:val="en"/>
        </w:rPr>
        <w:t>Insurance undertakings and insurance intermediaries</w:t>
      </w:r>
      <w:r w:rsidRPr="0083048B">
        <w:rPr>
          <w:rFonts w:eastAsia="Calibri" w:cs="Calibri"/>
          <w:b/>
          <w:bCs/>
          <w:lang w:val="en"/>
        </w:rPr>
        <w:t xml:space="preserve"> with registered office in an EEA state and operating in Hungary as a branch office or cross-border service provider must pay special attention to compliance with the following legal provisions:</w:t>
      </w:r>
    </w:p>
    <w:p w14:paraId="04B0B433" w14:textId="77777777" w:rsidR="000B5418" w:rsidRPr="0083048B" w:rsidRDefault="000B5418" w:rsidP="00915585">
      <w:pPr>
        <w:widowControl w:val="0"/>
        <w:spacing w:before="56" w:after="0" w:line="240" w:lineRule="auto"/>
        <w:ind w:left="567" w:right="-20" w:hanging="283"/>
        <w:rPr>
          <w:rFonts w:eastAsia="Calibri" w:cs="Calibri"/>
          <w:b/>
          <w:bCs/>
        </w:rPr>
      </w:pPr>
    </w:p>
    <w:p w14:paraId="09FDB69D" w14:textId="77777777" w:rsidR="00B725B2" w:rsidRPr="0083048B" w:rsidRDefault="00046C1F" w:rsidP="00915585">
      <w:pPr>
        <w:widowControl w:val="0"/>
        <w:spacing w:before="56" w:after="0" w:line="240" w:lineRule="auto"/>
        <w:ind w:left="567" w:right="-20" w:hanging="283"/>
        <w:rPr>
          <w:rFonts w:eastAsia="Calibri" w:cs="Calibri"/>
        </w:rPr>
      </w:pPr>
      <w:r w:rsidRPr="0083048B">
        <w:rPr>
          <w:rFonts w:eastAsia="Calibri" w:cs="Calibri"/>
          <w:b/>
          <w:bCs/>
          <w:lang w:val="en"/>
        </w:rPr>
        <w:t>Laws:</w:t>
      </w:r>
    </w:p>
    <w:p w14:paraId="65534D58" w14:textId="77777777" w:rsidR="00046C1F" w:rsidRPr="0083048B" w:rsidRDefault="00046C1F" w:rsidP="00915585">
      <w:pPr>
        <w:widowControl w:val="0"/>
        <w:spacing w:before="56" w:after="0" w:line="240" w:lineRule="auto"/>
        <w:ind w:left="567" w:right="-20" w:hanging="283"/>
        <w:rPr>
          <w:rFonts w:eastAsia="Calibri" w:cs="Times New Roman"/>
          <w:sz w:val="24"/>
          <w:szCs w:val="24"/>
        </w:rPr>
      </w:pPr>
    </w:p>
    <w:p w14:paraId="47CB1E88" w14:textId="77777777" w:rsidR="00046C1F" w:rsidRPr="0083048B" w:rsidRDefault="00046C1F" w:rsidP="000B5418">
      <w:pPr>
        <w:pStyle w:val="ListParagraph"/>
        <w:widowControl w:val="0"/>
        <w:numPr>
          <w:ilvl w:val="0"/>
          <w:numId w:val="46"/>
        </w:numPr>
        <w:tabs>
          <w:tab w:val="left" w:pos="540"/>
        </w:tabs>
        <w:spacing w:after="0" w:line="240" w:lineRule="auto"/>
        <w:ind w:right="-20"/>
        <w:rPr>
          <w:rFonts w:eastAsia="Calibri" w:cs="Calibri"/>
        </w:rPr>
      </w:pPr>
      <w:r w:rsidRPr="0083048B">
        <w:rPr>
          <w:rFonts w:eastAsia="Calibri" w:cs="Calibri"/>
          <w:lang w:val="en"/>
        </w:rPr>
        <w:t xml:space="preserve">Insurance </w:t>
      </w:r>
      <w:proofErr w:type="gramStart"/>
      <w:r w:rsidRPr="0083048B">
        <w:rPr>
          <w:rFonts w:eastAsia="Calibri" w:cs="Calibri"/>
          <w:lang w:val="en"/>
        </w:rPr>
        <w:t>Act;</w:t>
      </w:r>
      <w:proofErr w:type="gramEnd"/>
    </w:p>
    <w:p w14:paraId="565F2105" w14:textId="77777777" w:rsidR="00046C1F" w:rsidRPr="0083048B" w:rsidRDefault="00046C1F" w:rsidP="000B5418">
      <w:pPr>
        <w:pStyle w:val="ListParagraph"/>
        <w:widowControl w:val="0"/>
        <w:numPr>
          <w:ilvl w:val="0"/>
          <w:numId w:val="46"/>
        </w:numPr>
        <w:tabs>
          <w:tab w:val="left" w:pos="540"/>
        </w:tabs>
        <w:spacing w:after="0" w:line="240" w:lineRule="auto"/>
        <w:ind w:right="-20"/>
        <w:rPr>
          <w:rFonts w:eastAsia="Calibri" w:cs="Calibri"/>
        </w:rPr>
      </w:pPr>
      <w:r w:rsidRPr="0083048B">
        <w:rPr>
          <w:rFonts w:eastAsia="Calibri" w:cs="Calibri"/>
          <w:lang w:val="en"/>
        </w:rPr>
        <w:t xml:space="preserve">Investment Firms </w:t>
      </w:r>
      <w:proofErr w:type="gramStart"/>
      <w:r w:rsidRPr="0083048B">
        <w:rPr>
          <w:rFonts w:eastAsia="Calibri" w:cs="Calibri"/>
          <w:lang w:val="en"/>
        </w:rPr>
        <w:t>Act;</w:t>
      </w:r>
      <w:proofErr w:type="gramEnd"/>
    </w:p>
    <w:p w14:paraId="1A829FF3" w14:textId="77777777" w:rsidR="00046C1F" w:rsidRPr="0083048B" w:rsidRDefault="00046C1F" w:rsidP="000B5418">
      <w:pPr>
        <w:pStyle w:val="ListParagraph"/>
        <w:widowControl w:val="0"/>
        <w:numPr>
          <w:ilvl w:val="0"/>
          <w:numId w:val="46"/>
        </w:numPr>
        <w:tabs>
          <w:tab w:val="left" w:pos="540"/>
        </w:tabs>
        <w:spacing w:after="0" w:line="242" w:lineRule="exact"/>
        <w:ind w:right="-20"/>
        <w:rPr>
          <w:rFonts w:eastAsia="Calibri" w:cs="Calibri"/>
        </w:rPr>
      </w:pPr>
      <w:r w:rsidRPr="0083048B">
        <w:rPr>
          <w:rFonts w:eastAsia="Calibri" w:cs="Calibri"/>
          <w:lang w:val="en"/>
        </w:rPr>
        <w:t xml:space="preserve">Credit Institutions </w:t>
      </w:r>
      <w:proofErr w:type="gramStart"/>
      <w:r w:rsidRPr="0083048B">
        <w:rPr>
          <w:rFonts w:eastAsia="Calibri" w:cs="Calibri"/>
          <w:lang w:val="en"/>
        </w:rPr>
        <w:t>Act;</w:t>
      </w:r>
      <w:proofErr w:type="gramEnd"/>
    </w:p>
    <w:p w14:paraId="203EECAB" w14:textId="77777777" w:rsidR="00046C1F" w:rsidRPr="0083048B" w:rsidRDefault="00046C1F" w:rsidP="000B5418">
      <w:pPr>
        <w:pStyle w:val="ListParagraph"/>
        <w:widowControl w:val="0"/>
        <w:numPr>
          <w:ilvl w:val="0"/>
          <w:numId w:val="46"/>
        </w:numPr>
        <w:tabs>
          <w:tab w:val="left" w:pos="540"/>
        </w:tabs>
        <w:spacing w:after="0" w:line="240" w:lineRule="auto"/>
        <w:ind w:right="-20"/>
        <w:rPr>
          <w:rFonts w:eastAsia="Calibri" w:cs="Calibri"/>
        </w:rPr>
      </w:pPr>
      <w:r w:rsidRPr="0083048B">
        <w:rPr>
          <w:rFonts w:eastAsia="Calibri" w:cs="Calibri"/>
          <w:lang w:val="en"/>
        </w:rPr>
        <w:t xml:space="preserve">Motor Third-party Liability Insurance (MTPL) </w:t>
      </w:r>
      <w:proofErr w:type="gramStart"/>
      <w:r w:rsidRPr="0083048B">
        <w:rPr>
          <w:rFonts w:eastAsia="Calibri" w:cs="Calibri"/>
          <w:lang w:val="en"/>
        </w:rPr>
        <w:t>Act;</w:t>
      </w:r>
      <w:proofErr w:type="gramEnd"/>
    </w:p>
    <w:p w14:paraId="290A2939" w14:textId="77777777" w:rsidR="000B5418" w:rsidRPr="0083048B" w:rsidRDefault="00046C1F" w:rsidP="000B5418">
      <w:pPr>
        <w:pStyle w:val="ListParagraph"/>
        <w:widowControl w:val="0"/>
        <w:numPr>
          <w:ilvl w:val="0"/>
          <w:numId w:val="46"/>
        </w:numPr>
        <w:tabs>
          <w:tab w:val="left" w:pos="540"/>
        </w:tabs>
        <w:spacing w:after="0" w:line="240" w:lineRule="auto"/>
        <w:ind w:right="-20"/>
        <w:rPr>
          <w:rFonts w:eastAsia="Calibri" w:cs="Calibri"/>
        </w:rPr>
      </w:pPr>
      <w:r w:rsidRPr="0083048B">
        <w:rPr>
          <w:rFonts w:eastAsia="Calibri" w:cs="Calibri"/>
          <w:lang w:val="en"/>
        </w:rPr>
        <w:t xml:space="preserve">Act XXXI of 1996 on the protection against fire, technical rescue and the Fire </w:t>
      </w:r>
      <w:proofErr w:type="gramStart"/>
      <w:r w:rsidRPr="0083048B">
        <w:rPr>
          <w:rFonts w:eastAsia="Calibri" w:cs="Calibri"/>
          <w:lang w:val="en"/>
        </w:rPr>
        <w:t>Department;</w:t>
      </w:r>
      <w:proofErr w:type="gramEnd"/>
    </w:p>
    <w:p w14:paraId="05DC4607" w14:textId="5E097A79" w:rsidR="000B5418" w:rsidRPr="0083048B" w:rsidRDefault="00046C1F" w:rsidP="000B5418">
      <w:pPr>
        <w:pStyle w:val="ListParagraph"/>
        <w:widowControl w:val="0"/>
        <w:numPr>
          <w:ilvl w:val="0"/>
          <w:numId w:val="46"/>
        </w:numPr>
        <w:tabs>
          <w:tab w:val="left" w:pos="540"/>
        </w:tabs>
        <w:spacing w:after="0" w:line="240" w:lineRule="auto"/>
        <w:ind w:right="-20"/>
        <w:rPr>
          <w:rFonts w:eastAsia="Calibri" w:cs="Calibri"/>
        </w:rPr>
      </w:pPr>
      <w:r w:rsidRPr="0083048B">
        <w:rPr>
          <w:rFonts w:eastAsia="Calibri" w:cs="Calibri"/>
          <w:lang w:val="en"/>
        </w:rPr>
        <w:t>Act CII of 2012 on Insurance Tax</w:t>
      </w:r>
      <w:r w:rsidR="00C87DA3">
        <w:rPr>
          <w:rFonts w:eastAsia="Calibri" w:cs="Calibri"/>
          <w:lang w:val="en"/>
        </w:rPr>
        <w:t>.</w:t>
      </w:r>
    </w:p>
    <w:p w14:paraId="6E77379B" w14:textId="77777777" w:rsidR="00046C1F" w:rsidRPr="0083048B" w:rsidRDefault="00046C1F" w:rsidP="00915585">
      <w:pPr>
        <w:widowControl w:val="0"/>
        <w:spacing w:before="3" w:after="0" w:line="240" w:lineRule="exact"/>
        <w:ind w:left="567" w:hanging="283"/>
        <w:rPr>
          <w:rFonts w:eastAsia="Calibri" w:cs="Times New Roman"/>
          <w:sz w:val="24"/>
          <w:szCs w:val="24"/>
        </w:rPr>
      </w:pPr>
    </w:p>
    <w:p w14:paraId="6E9D36EF" w14:textId="77777777" w:rsidR="00046C1F" w:rsidRPr="0083048B" w:rsidRDefault="00046C1F" w:rsidP="00915585">
      <w:pPr>
        <w:widowControl w:val="0"/>
        <w:spacing w:after="0" w:line="240" w:lineRule="auto"/>
        <w:ind w:left="567" w:right="-20" w:hanging="283"/>
        <w:rPr>
          <w:rFonts w:eastAsia="Calibri" w:cs="Calibri"/>
        </w:rPr>
      </w:pPr>
      <w:r w:rsidRPr="0083048B">
        <w:rPr>
          <w:rFonts w:eastAsia="Calibri" w:cs="Calibri"/>
          <w:lang w:val="en"/>
        </w:rPr>
        <w:t>The knowledge of particularly the following legal provisions is indispensable for the pursuit of business activities:</w:t>
      </w:r>
    </w:p>
    <w:p w14:paraId="205151F5" w14:textId="77777777" w:rsidR="00046C1F" w:rsidRPr="0083048B" w:rsidRDefault="00046C1F" w:rsidP="00915585">
      <w:pPr>
        <w:widowControl w:val="0"/>
        <w:spacing w:before="5" w:after="0" w:line="240" w:lineRule="exact"/>
        <w:ind w:left="567" w:hanging="283"/>
        <w:rPr>
          <w:rFonts w:eastAsia="Calibri" w:cs="Times New Roman"/>
          <w:sz w:val="24"/>
          <w:szCs w:val="24"/>
        </w:rPr>
      </w:pPr>
    </w:p>
    <w:p w14:paraId="6AC1E377" w14:textId="77777777" w:rsidR="00046C1F" w:rsidRPr="0083048B" w:rsidRDefault="00046C1F" w:rsidP="00915585">
      <w:pPr>
        <w:widowControl w:val="0"/>
        <w:tabs>
          <w:tab w:val="left" w:pos="540"/>
        </w:tabs>
        <w:spacing w:after="0" w:line="240" w:lineRule="auto"/>
        <w:ind w:left="567" w:right="-20" w:hanging="283"/>
        <w:rPr>
          <w:rFonts w:eastAsia="Calibri" w:cs="Calibri"/>
        </w:rPr>
      </w:pPr>
      <w:r w:rsidRPr="0083048B">
        <w:rPr>
          <w:rFonts w:eastAsia="Calibri" w:cs="Calibri"/>
          <w:lang w:val="en"/>
        </w:rPr>
        <w:t>1.</w:t>
      </w:r>
      <w:r w:rsidRPr="0083048B">
        <w:rPr>
          <w:rFonts w:eastAsia="Calibri" w:cs="Calibri"/>
          <w:lang w:val="en"/>
        </w:rPr>
        <w:tab/>
      </w:r>
      <w:r w:rsidRPr="0083048B">
        <w:rPr>
          <w:rFonts w:eastAsia="Calibri" w:cs="Calibri"/>
          <w:b/>
          <w:bCs/>
          <w:lang w:val="en"/>
        </w:rPr>
        <w:t xml:space="preserve">Insurance Act: </w:t>
      </w:r>
      <w:r w:rsidRPr="0083048B">
        <w:rPr>
          <w:rFonts w:eastAsia="Calibri" w:cs="Calibri"/>
          <w:lang w:val="en"/>
        </w:rPr>
        <w:t>Sections 35–37, Sections 38–39, Section 407, Section 383, Sections 422–423, Sections 279–286, Section 121, Sections 135–159 and Sections 288–</w:t>
      </w:r>
      <w:proofErr w:type="gramStart"/>
      <w:r w:rsidRPr="0083048B">
        <w:rPr>
          <w:rFonts w:eastAsia="Calibri" w:cs="Calibri"/>
          <w:lang w:val="en"/>
        </w:rPr>
        <w:t>290;</w:t>
      </w:r>
      <w:proofErr w:type="gramEnd"/>
    </w:p>
    <w:p w14:paraId="2B4046AA" w14:textId="77777777" w:rsidR="00046C1F" w:rsidRPr="0083048B" w:rsidRDefault="00046C1F" w:rsidP="00915585">
      <w:pPr>
        <w:widowControl w:val="0"/>
        <w:tabs>
          <w:tab w:val="left" w:pos="540"/>
        </w:tabs>
        <w:spacing w:after="0" w:line="240" w:lineRule="auto"/>
        <w:ind w:left="567" w:right="-20" w:hanging="283"/>
        <w:rPr>
          <w:rFonts w:eastAsia="Calibri" w:cs="Calibri"/>
        </w:rPr>
      </w:pPr>
      <w:r w:rsidRPr="0083048B">
        <w:rPr>
          <w:rFonts w:eastAsia="Calibri" w:cs="Calibri"/>
          <w:lang w:val="en"/>
        </w:rPr>
        <w:t>2.</w:t>
      </w:r>
      <w:r w:rsidRPr="0083048B">
        <w:rPr>
          <w:rFonts w:eastAsia="Calibri" w:cs="Calibri"/>
          <w:lang w:val="en"/>
        </w:rPr>
        <w:tab/>
        <w:t xml:space="preserve">Act IV of 1978 on the Criminal Code, effective until 30 June 2013: Section 177/A, Section 298/D, Section 300, Sections 303-303/C and Criminal Code effective as of 1 July 2013: Section 219, Sections 399–402 and Sections 408 to </w:t>
      </w:r>
      <w:proofErr w:type="gramStart"/>
      <w:r w:rsidRPr="0083048B">
        <w:rPr>
          <w:rFonts w:eastAsia="Calibri" w:cs="Calibri"/>
          <w:lang w:val="en"/>
        </w:rPr>
        <w:t>414;</w:t>
      </w:r>
      <w:proofErr w:type="gramEnd"/>
    </w:p>
    <w:p w14:paraId="5BE3B9F4" w14:textId="77777777" w:rsidR="00046C1F" w:rsidRPr="0083048B" w:rsidRDefault="00046C1F" w:rsidP="00915585">
      <w:pPr>
        <w:widowControl w:val="0"/>
        <w:tabs>
          <w:tab w:val="left" w:pos="540"/>
        </w:tabs>
        <w:spacing w:before="2" w:after="0" w:line="238" w:lineRule="auto"/>
        <w:ind w:left="567" w:right="65" w:hanging="283"/>
        <w:rPr>
          <w:rFonts w:eastAsia="Calibri" w:cs="Calibri"/>
        </w:rPr>
      </w:pPr>
      <w:r w:rsidRPr="0083048B">
        <w:rPr>
          <w:rFonts w:eastAsia="Calibri" w:cs="Calibri"/>
          <w:lang w:val="en"/>
        </w:rPr>
        <w:t>3.</w:t>
      </w:r>
      <w:r w:rsidRPr="0083048B">
        <w:rPr>
          <w:rFonts w:eastAsia="Calibri" w:cs="Calibri"/>
          <w:lang w:val="en"/>
        </w:rPr>
        <w:tab/>
      </w:r>
      <w:r w:rsidRPr="0083048B">
        <w:rPr>
          <w:rFonts w:eastAsia="Calibri" w:cs="Calibri"/>
          <w:b/>
          <w:bCs/>
          <w:lang w:val="en"/>
        </w:rPr>
        <w:t xml:space="preserve">Civil Code: </w:t>
      </w:r>
      <w:r w:rsidRPr="0083048B">
        <w:rPr>
          <w:rFonts w:eastAsia="Calibri" w:cs="Calibri"/>
          <w:lang w:val="en"/>
        </w:rPr>
        <w:t>Book Six (Contract Law), Part Three (Certain Contracts), Heading XXII (Insurance Contracts), Sections 6:439-6:490.</w:t>
      </w:r>
    </w:p>
    <w:p w14:paraId="4A61A972" w14:textId="77777777" w:rsidR="00046C1F" w:rsidRPr="0083048B" w:rsidRDefault="00046C1F" w:rsidP="00915585">
      <w:pPr>
        <w:widowControl w:val="0"/>
        <w:spacing w:before="6" w:after="0" w:line="240" w:lineRule="exact"/>
        <w:ind w:left="567" w:hanging="283"/>
        <w:rPr>
          <w:rFonts w:eastAsia="Calibri" w:cs="Times New Roman"/>
          <w:sz w:val="24"/>
          <w:szCs w:val="24"/>
        </w:rPr>
      </w:pPr>
    </w:p>
    <w:p w14:paraId="1FAE5228" w14:textId="77777777" w:rsidR="00046C1F" w:rsidRPr="0083048B" w:rsidRDefault="00046C1F" w:rsidP="00915585">
      <w:pPr>
        <w:widowControl w:val="0"/>
        <w:spacing w:after="0" w:line="240" w:lineRule="auto"/>
        <w:ind w:left="567" w:right="-20" w:hanging="283"/>
        <w:rPr>
          <w:rFonts w:eastAsia="Calibri" w:cs="Calibri"/>
        </w:rPr>
      </w:pPr>
      <w:r w:rsidRPr="0083048B">
        <w:rPr>
          <w:rFonts w:eastAsia="Calibri" w:cs="Calibri"/>
          <w:b/>
          <w:bCs/>
          <w:lang w:val="en"/>
        </w:rPr>
        <w:t>Government Decrees:</w:t>
      </w:r>
    </w:p>
    <w:p w14:paraId="7D9296E7" w14:textId="77777777" w:rsidR="00046C1F" w:rsidRPr="0083048B" w:rsidRDefault="00046C1F" w:rsidP="00D4027D">
      <w:pPr>
        <w:pStyle w:val="ListParagraph"/>
        <w:widowControl w:val="0"/>
        <w:numPr>
          <w:ilvl w:val="0"/>
          <w:numId w:val="0"/>
        </w:numPr>
        <w:tabs>
          <w:tab w:val="left" w:pos="540"/>
        </w:tabs>
        <w:spacing w:after="0" w:line="240" w:lineRule="auto"/>
        <w:ind w:left="567" w:right="67"/>
        <w:rPr>
          <w:rFonts w:eastAsia="Calibri" w:cs="Calibri"/>
        </w:rPr>
      </w:pPr>
    </w:p>
    <w:p w14:paraId="7BB41BF8" w14:textId="77777777" w:rsidR="006F78F6" w:rsidRPr="0083048B" w:rsidRDefault="00EF4A1C" w:rsidP="006F78F6">
      <w:pPr>
        <w:pStyle w:val="ListParagraph"/>
        <w:widowControl w:val="0"/>
        <w:numPr>
          <w:ilvl w:val="0"/>
          <w:numId w:val="41"/>
        </w:numPr>
        <w:tabs>
          <w:tab w:val="left" w:pos="540"/>
        </w:tabs>
        <w:spacing w:after="0" w:line="240" w:lineRule="auto"/>
        <w:ind w:left="567" w:right="67" w:hanging="283"/>
        <w:rPr>
          <w:rFonts w:eastAsia="Calibri" w:cs="Calibri"/>
        </w:rPr>
      </w:pPr>
      <w:r w:rsidRPr="0083048B">
        <w:rPr>
          <w:rFonts w:eastAsia="Calibri" w:cs="Calibri"/>
          <w:lang w:val="en"/>
        </w:rPr>
        <w:t>Government Decree No 89/2023 (III. 22.) on Economic/financing measures</w:t>
      </w:r>
      <w:r w:rsidRPr="0083048B">
        <w:rPr>
          <w:rStyle w:val="FootnoteReference"/>
          <w:rFonts w:eastAsia="Calibri" w:cs="Calibri"/>
          <w:lang w:val="en"/>
        </w:rPr>
        <w:footnoteReference w:id="9"/>
      </w:r>
      <w:r w:rsidRPr="0083048B">
        <w:rPr>
          <w:rFonts w:eastAsia="Calibri" w:cs="Calibri"/>
          <w:lang w:val="en"/>
        </w:rPr>
        <w:t>;</w:t>
      </w:r>
    </w:p>
    <w:p w14:paraId="47A1E344" w14:textId="77777777" w:rsidR="006F78F6" w:rsidRPr="0083048B" w:rsidRDefault="006F78F6" w:rsidP="006F78F6">
      <w:pPr>
        <w:pStyle w:val="ListParagraph"/>
        <w:widowControl w:val="0"/>
        <w:numPr>
          <w:ilvl w:val="0"/>
          <w:numId w:val="41"/>
        </w:numPr>
        <w:tabs>
          <w:tab w:val="left" w:pos="540"/>
        </w:tabs>
        <w:spacing w:after="0" w:line="240" w:lineRule="auto"/>
        <w:ind w:left="567" w:right="67" w:hanging="283"/>
        <w:rPr>
          <w:rFonts w:eastAsia="Calibri" w:cs="Calibri"/>
        </w:rPr>
      </w:pPr>
      <w:r w:rsidRPr="0083048B">
        <w:rPr>
          <w:rFonts w:eastAsia="Calibri" w:cs="Calibri"/>
          <w:lang w:val="en"/>
        </w:rPr>
        <w:t>Government Decree No 471/2022 (XI. 21.) on Certain economic measures</w:t>
      </w:r>
      <w:r w:rsidRPr="0083048B">
        <w:rPr>
          <w:rStyle w:val="FootnoteReference"/>
          <w:rFonts w:eastAsia="Calibri" w:cs="Calibri"/>
          <w:lang w:val="en"/>
        </w:rPr>
        <w:footnoteReference w:id="10"/>
      </w:r>
      <w:r w:rsidRPr="0083048B">
        <w:rPr>
          <w:rFonts w:eastAsia="Calibri" w:cs="Calibri"/>
          <w:lang w:val="en"/>
        </w:rPr>
        <w:t>;</w:t>
      </w:r>
    </w:p>
    <w:p w14:paraId="28989061" w14:textId="77777777" w:rsidR="0047318F" w:rsidRPr="0083048B" w:rsidRDefault="0047318F" w:rsidP="0047318F">
      <w:pPr>
        <w:pStyle w:val="ListParagraph"/>
        <w:widowControl w:val="0"/>
        <w:numPr>
          <w:ilvl w:val="0"/>
          <w:numId w:val="41"/>
        </w:numPr>
        <w:tabs>
          <w:tab w:val="left" w:pos="540"/>
        </w:tabs>
        <w:spacing w:after="0" w:line="240" w:lineRule="auto"/>
        <w:ind w:left="567" w:right="67" w:hanging="283"/>
        <w:rPr>
          <w:rFonts w:eastAsia="Calibri" w:cs="Calibri"/>
        </w:rPr>
      </w:pPr>
      <w:r w:rsidRPr="0083048B">
        <w:rPr>
          <w:rFonts w:eastAsia="Calibri" w:cs="Calibri"/>
          <w:lang w:val="en"/>
        </w:rPr>
        <w:t xml:space="preserve">Government Decree No 437/2016 (XII. 16.) on the Detailed Rules relating to the Complaint Management Procedure and Complaint Management Regulation of Insurance Companies, Multiple Agents and </w:t>
      </w:r>
      <w:proofErr w:type="gramStart"/>
      <w:r w:rsidRPr="0083048B">
        <w:rPr>
          <w:rFonts w:eastAsia="Calibri" w:cs="Calibri"/>
          <w:lang w:val="en"/>
        </w:rPr>
        <w:t>Brokers;</w:t>
      </w:r>
      <w:proofErr w:type="gramEnd"/>
    </w:p>
    <w:p w14:paraId="7FE7A98F" w14:textId="77777777" w:rsidR="002920DE" w:rsidRPr="0083048B" w:rsidRDefault="002920DE" w:rsidP="002920DE">
      <w:pPr>
        <w:pStyle w:val="ListParagraph"/>
        <w:widowControl w:val="0"/>
        <w:numPr>
          <w:ilvl w:val="0"/>
          <w:numId w:val="41"/>
        </w:numPr>
        <w:tabs>
          <w:tab w:val="left" w:pos="540"/>
        </w:tabs>
        <w:spacing w:after="0"/>
        <w:ind w:left="567" w:right="67" w:hanging="283"/>
        <w:rPr>
          <w:rFonts w:eastAsia="Calibri" w:cs="Calibri"/>
        </w:rPr>
      </w:pPr>
      <w:r w:rsidRPr="0083048B">
        <w:rPr>
          <w:rFonts w:eastAsia="Calibri" w:cs="Calibri"/>
          <w:lang w:val="en"/>
        </w:rPr>
        <w:t xml:space="preserve">Government Decree 436/2016 (XII. 16.) on the Detailed Rules of the Group supervision of insurance and reinsurance </w:t>
      </w:r>
      <w:proofErr w:type="gramStart"/>
      <w:r w:rsidRPr="0083048B">
        <w:rPr>
          <w:rFonts w:eastAsia="Calibri" w:cs="Calibri"/>
          <w:lang w:val="en"/>
        </w:rPr>
        <w:t>undertakings;</w:t>
      </w:r>
      <w:proofErr w:type="gramEnd"/>
    </w:p>
    <w:p w14:paraId="7560C85C" w14:textId="77777777" w:rsidR="00046C1F" w:rsidRPr="0083048B" w:rsidRDefault="00046C1F" w:rsidP="00F574BE">
      <w:pPr>
        <w:pStyle w:val="ListParagraph"/>
        <w:widowControl w:val="0"/>
        <w:numPr>
          <w:ilvl w:val="0"/>
          <w:numId w:val="41"/>
        </w:numPr>
        <w:tabs>
          <w:tab w:val="left" w:pos="540"/>
        </w:tabs>
        <w:spacing w:after="0" w:line="240" w:lineRule="auto"/>
        <w:ind w:left="567" w:right="67" w:hanging="283"/>
        <w:rPr>
          <w:rFonts w:eastAsia="Calibri" w:cs="Calibri"/>
        </w:rPr>
      </w:pPr>
      <w:r w:rsidRPr="0083048B">
        <w:rPr>
          <w:rFonts w:eastAsia="Calibri" w:cs="Calibri"/>
          <w:lang w:val="en"/>
        </w:rPr>
        <w:t xml:space="preserve">Government Decree No 44/2015 (III. 12.) on the minimum content requirements of liability insurance contracts of multiple agents and </w:t>
      </w:r>
      <w:proofErr w:type="gramStart"/>
      <w:r w:rsidRPr="0083048B">
        <w:rPr>
          <w:rFonts w:eastAsia="Calibri" w:cs="Calibri"/>
          <w:lang w:val="en"/>
        </w:rPr>
        <w:t>brokers;</w:t>
      </w:r>
      <w:proofErr w:type="gramEnd"/>
    </w:p>
    <w:p w14:paraId="1CF3638A" w14:textId="77777777" w:rsidR="00F574BE" w:rsidRPr="0083048B" w:rsidRDefault="00046C1F" w:rsidP="00F574BE">
      <w:pPr>
        <w:pStyle w:val="ListParagraph"/>
        <w:widowControl w:val="0"/>
        <w:numPr>
          <w:ilvl w:val="0"/>
          <w:numId w:val="41"/>
        </w:numPr>
        <w:tabs>
          <w:tab w:val="left" w:pos="540"/>
        </w:tabs>
        <w:spacing w:after="0" w:line="240" w:lineRule="auto"/>
        <w:ind w:left="567" w:right="67" w:hanging="283"/>
        <w:rPr>
          <w:rFonts w:eastAsia="Calibri" w:cs="Calibri"/>
        </w:rPr>
      </w:pPr>
      <w:r w:rsidRPr="0083048B">
        <w:rPr>
          <w:rFonts w:eastAsia="Calibri" w:cs="Calibri"/>
          <w:lang w:val="en"/>
        </w:rPr>
        <w:t xml:space="preserve">Government Decree No 259/2011 (XII. 7.) on fire protection authority </w:t>
      </w:r>
      <w:proofErr w:type="spellStart"/>
      <w:r w:rsidRPr="0083048B">
        <w:rPr>
          <w:rFonts w:eastAsia="Calibri" w:cs="Calibri"/>
          <w:lang w:val="en"/>
        </w:rPr>
        <w:t>organisations</w:t>
      </w:r>
      <w:proofErr w:type="spellEnd"/>
      <w:r w:rsidRPr="0083048B">
        <w:rPr>
          <w:rFonts w:eastAsia="Calibri" w:cs="Calibri"/>
          <w:lang w:val="en"/>
        </w:rPr>
        <w:t xml:space="preserve">, fire protection fines and compulsory accident insurance for fire protection </w:t>
      </w:r>
      <w:proofErr w:type="gramStart"/>
      <w:r w:rsidRPr="0083048B">
        <w:rPr>
          <w:rFonts w:eastAsia="Calibri" w:cs="Calibri"/>
          <w:lang w:val="en"/>
        </w:rPr>
        <w:t>employees;</w:t>
      </w:r>
      <w:proofErr w:type="gramEnd"/>
    </w:p>
    <w:p w14:paraId="403E712F" w14:textId="77777777" w:rsidR="00F574BE" w:rsidRPr="0083048B" w:rsidRDefault="00046C1F" w:rsidP="00F574BE">
      <w:pPr>
        <w:pStyle w:val="ListParagraph"/>
        <w:widowControl w:val="0"/>
        <w:numPr>
          <w:ilvl w:val="0"/>
          <w:numId w:val="41"/>
        </w:numPr>
        <w:tabs>
          <w:tab w:val="left" w:pos="540"/>
        </w:tabs>
        <w:spacing w:after="0" w:line="240" w:lineRule="auto"/>
        <w:ind w:left="567" w:right="67" w:hanging="283"/>
        <w:rPr>
          <w:rFonts w:eastAsia="Calibri" w:cs="Calibri"/>
        </w:rPr>
      </w:pPr>
      <w:r w:rsidRPr="0083048B">
        <w:rPr>
          <w:rFonts w:eastAsia="Calibri" w:cs="Calibri"/>
          <w:lang w:val="en"/>
        </w:rPr>
        <w:t xml:space="preserve">Government Decree No 192/2000 (XI. 24.) on the special features of related to the obligations of insurers to prepare financial statements and </w:t>
      </w:r>
      <w:proofErr w:type="gramStart"/>
      <w:r w:rsidRPr="0083048B">
        <w:rPr>
          <w:rFonts w:eastAsia="Calibri" w:cs="Calibri"/>
          <w:lang w:val="en"/>
        </w:rPr>
        <w:t>bookkeeping;</w:t>
      </w:r>
      <w:proofErr w:type="gramEnd"/>
    </w:p>
    <w:p w14:paraId="3688FFED" w14:textId="77777777" w:rsidR="00CB357A" w:rsidRPr="0083048B" w:rsidRDefault="00CB357A" w:rsidP="00F574BE">
      <w:pPr>
        <w:pStyle w:val="ListParagraph"/>
        <w:widowControl w:val="0"/>
        <w:numPr>
          <w:ilvl w:val="0"/>
          <w:numId w:val="41"/>
        </w:numPr>
        <w:tabs>
          <w:tab w:val="left" w:pos="540"/>
        </w:tabs>
        <w:spacing w:after="0" w:line="240" w:lineRule="auto"/>
        <w:ind w:left="567" w:right="67" w:hanging="283"/>
        <w:rPr>
          <w:rFonts w:eastAsia="Calibri" w:cs="Calibri"/>
        </w:rPr>
      </w:pPr>
      <w:r w:rsidRPr="0083048B">
        <w:rPr>
          <w:rFonts w:eastAsia="Calibri" w:cs="Calibri"/>
          <w:lang w:val="en"/>
        </w:rPr>
        <w:lastRenderedPageBreak/>
        <w:t xml:space="preserve">Government Decree No 314/2015 (X. 28.) on the detailed rules for the solvency and financial condition report on insurance and reinsurance </w:t>
      </w:r>
      <w:proofErr w:type="gramStart"/>
      <w:r w:rsidRPr="0083048B">
        <w:rPr>
          <w:rFonts w:eastAsia="Calibri" w:cs="Calibri"/>
          <w:lang w:val="en"/>
        </w:rPr>
        <w:t>activities;</w:t>
      </w:r>
      <w:proofErr w:type="gramEnd"/>
    </w:p>
    <w:p w14:paraId="40CEF77F" w14:textId="77777777" w:rsidR="0047318F" w:rsidRPr="0083048B" w:rsidRDefault="0047318F" w:rsidP="00F574BE">
      <w:pPr>
        <w:pStyle w:val="ListParagraph"/>
        <w:widowControl w:val="0"/>
        <w:numPr>
          <w:ilvl w:val="0"/>
          <w:numId w:val="41"/>
        </w:numPr>
        <w:tabs>
          <w:tab w:val="left" w:pos="540"/>
        </w:tabs>
        <w:spacing w:after="0" w:line="240" w:lineRule="auto"/>
        <w:ind w:left="567" w:right="67" w:hanging="283"/>
        <w:rPr>
          <w:rFonts w:eastAsia="Calibri" w:cs="Calibri"/>
        </w:rPr>
      </w:pPr>
      <w:r w:rsidRPr="0083048B">
        <w:rPr>
          <w:rFonts w:eastAsia="Calibri" w:cs="Calibri"/>
          <w:lang w:val="en"/>
        </w:rPr>
        <w:t>Government Decree No 43/2015 (III. 12.) on the solvency capital and technical provisions of insurance and reinsurance companies.</w:t>
      </w:r>
    </w:p>
    <w:p w14:paraId="5EF99927" w14:textId="77777777" w:rsidR="003C5866" w:rsidRPr="0083048B" w:rsidRDefault="003C5866">
      <w:pPr>
        <w:widowControl w:val="0"/>
        <w:spacing w:after="200"/>
        <w:rPr>
          <w:rFonts w:eastAsia="Calibri" w:cs="Calibri"/>
          <w:b/>
          <w:bCs/>
        </w:rPr>
      </w:pPr>
    </w:p>
    <w:p w14:paraId="28755B17" w14:textId="77777777" w:rsidR="00046C1F" w:rsidRPr="0083048B" w:rsidRDefault="00046C1F" w:rsidP="00915585">
      <w:pPr>
        <w:widowControl w:val="0"/>
        <w:spacing w:after="0" w:line="240" w:lineRule="auto"/>
        <w:ind w:left="567" w:right="-20" w:hanging="283"/>
        <w:rPr>
          <w:rFonts w:eastAsia="Calibri" w:cs="Calibri"/>
        </w:rPr>
      </w:pPr>
      <w:r w:rsidRPr="0083048B">
        <w:rPr>
          <w:rFonts w:eastAsia="Calibri" w:cs="Calibri"/>
          <w:b/>
          <w:bCs/>
          <w:lang w:val="en"/>
        </w:rPr>
        <w:t>Decrees of the Minister of Finance:</w:t>
      </w:r>
    </w:p>
    <w:p w14:paraId="393446BD" w14:textId="77777777" w:rsidR="00046C1F" w:rsidRPr="0083048B" w:rsidRDefault="00046C1F" w:rsidP="00915585">
      <w:pPr>
        <w:widowControl w:val="0"/>
        <w:spacing w:before="3" w:after="0" w:line="240" w:lineRule="exact"/>
        <w:ind w:left="567" w:hanging="283"/>
        <w:rPr>
          <w:rFonts w:eastAsia="Calibri" w:cs="Times New Roman"/>
          <w:sz w:val="24"/>
          <w:szCs w:val="24"/>
        </w:rPr>
      </w:pPr>
    </w:p>
    <w:p w14:paraId="258AA225" w14:textId="351153FA" w:rsidR="00046C1F" w:rsidRPr="0083048B" w:rsidRDefault="00046C1F" w:rsidP="00915585">
      <w:pPr>
        <w:widowControl w:val="0"/>
        <w:tabs>
          <w:tab w:val="left" w:pos="284"/>
        </w:tabs>
        <w:spacing w:after="0" w:line="240" w:lineRule="auto"/>
        <w:ind w:left="284" w:right="68"/>
        <w:rPr>
          <w:rFonts w:eastAsia="Calibri" w:cs="Calibri"/>
        </w:rPr>
      </w:pPr>
      <w:r w:rsidRPr="0083048B">
        <w:rPr>
          <w:rFonts w:eastAsia="Calibri" w:cs="Calibri"/>
          <w:lang w:val="en"/>
        </w:rPr>
        <w:t>Decree No 2/2019 (III. 28.) of the Minister of Finance on the form and content of customer information to be provided in respect of unit-linked life insurance products</w:t>
      </w:r>
    </w:p>
    <w:p w14:paraId="59468C38" w14:textId="77777777" w:rsidR="00D4027D" w:rsidRPr="0083048B" w:rsidRDefault="00D4027D" w:rsidP="00CD26D7">
      <w:pPr>
        <w:widowControl w:val="0"/>
        <w:tabs>
          <w:tab w:val="left" w:pos="284"/>
        </w:tabs>
        <w:spacing w:after="0" w:line="240" w:lineRule="auto"/>
        <w:ind w:right="68"/>
        <w:rPr>
          <w:rFonts w:eastAsia="Calibri" w:cs="Calibri"/>
        </w:rPr>
      </w:pPr>
    </w:p>
    <w:p w14:paraId="027E34C9" w14:textId="77777777" w:rsidR="00046C1F" w:rsidRPr="0083048B" w:rsidRDefault="00046C1F" w:rsidP="00915585">
      <w:pPr>
        <w:widowControl w:val="0"/>
        <w:spacing w:before="3" w:after="0" w:line="240" w:lineRule="exact"/>
        <w:ind w:left="567" w:hanging="283"/>
        <w:rPr>
          <w:rFonts w:eastAsia="Calibri" w:cs="Times New Roman"/>
          <w:sz w:val="24"/>
          <w:szCs w:val="24"/>
        </w:rPr>
      </w:pPr>
    </w:p>
    <w:p w14:paraId="3EBBC0D6" w14:textId="77777777" w:rsidR="00046C1F" w:rsidRPr="0083048B" w:rsidRDefault="00046C1F" w:rsidP="00915585">
      <w:pPr>
        <w:widowControl w:val="0"/>
        <w:spacing w:after="0" w:line="240" w:lineRule="auto"/>
        <w:ind w:left="567" w:right="-20" w:hanging="283"/>
        <w:rPr>
          <w:rFonts w:eastAsia="Calibri" w:cs="Calibri"/>
        </w:rPr>
      </w:pPr>
      <w:r w:rsidRPr="0083048B">
        <w:rPr>
          <w:rFonts w:eastAsia="Calibri" w:cs="Calibri"/>
          <w:b/>
          <w:bCs/>
          <w:lang w:val="en"/>
        </w:rPr>
        <w:t>Decrees of the Minister for National Economy:</w:t>
      </w:r>
    </w:p>
    <w:p w14:paraId="43E1A5F7" w14:textId="77777777" w:rsidR="00046C1F" w:rsidRPr="0083048B" w:rsidRDefault="00046C1F" w:rsidP="00915585">
      <w:pPr>
        <w:widowControl w:val="0"/>
        <w:spacing w:before="5" w:after="0" w:line="240" w:lineRule="exact"/>
        <w:ind w:left="567" w:hanging="283"/>
        <w:rPr>
          <w:rFonts w:eastAsia="Calibri" w:cs="Times New Roman"/>
          <w:sz w:val="24"/>
          <w:szCs w:val="24"/>
        </w:rPr>
      </w:pPr>
    </w:p>
    <w:p w14:paraId="42A8C581" w14:textId="77777777" w:rsidR="002920DE" w:rsidRPr="0083048B" w:rsidRDefault="002920DE" w:rsidP="002920DE">
      <w:pPr>
        <w:pStyle w:val="ListParagraph"/>
        <w:widowControl w:val="0"/>
        <w:numPr>
          <w:ilvl w:val="0"/>
          <w:numId w:val="44"/>
        </w:numPr>
        <w:spacing w:after="0"/>
        <w:ind w:left="567" w:right="-20" w:hanging="283"/>
        <w:rPr>
          <w:rFonts w:eastAsia="Calibri" w:cs="Calibri"/>
        </w:rPr>
      </w:pPr>
      <w:r w:rsidRPr="0083048B">
        <w:rPr>
          <w:rFonts w:eastAsia="Calibri" w:cs="Calibri"/>
          <w:lang w:val="en"/>
        </w:rPr>
        <w:t xml:space="preserve">Decree No 28/2015 (X. 21.) of the Minister for National Economy on the method of separation of life and non-life insurance branches in </w:t>
      </w:r>
      <w:proofErr w:type="gramStart"/>
      <w:r w:rsidRPr="0083048B">
        <w:rPr>
          <w:rFonts w:eastAsia="Calibri" w:cs="Calibri"/>
          <w:lang w:val="en"/>
        </w:rPr>
        <w:t>insurance;</w:t>
      </w:r>
      <w:proofErr w:type="gramEnd"/>
    </w:p>
    <w:p w14:paraId="5FADB85C" w14:textId="77777777" w:rsidR="0047318F" w:rsidRPr="0083048B" w:rsidRDefault="0047318F" w:rsidP="0047318F">
      <w:pPr>
        <w:pStyle w:val="ListParagraph"/>
        <w:widowControl w:val="0"/>
        <w:numPr>
          <w:ilvl w:val="0"/>
          <w:numId w:val="44"/>
        </w:numPr>
        <w:spacing w:after="0" w:line="240" w:lineRule="auto"/>
        <w:ind w:left="567" w:right="-20" w:hanging="283"/>
        <w:rPr>
          <w:rFonts w:eastAsia="Calibri" w:cs="Calibri"/>
        </w:rPr>
      </w:pPr>
      <w:r w:rsidRPr="0083048B">
        <w:rPr>
          <w:rFonts w:eastAsia="Calibri" w:cs="Calibri"/>
          <w:lang w:val="en"/>
        </w:rPr>
        <w:t xml:space="preserve">Decree No 57/2013 (XII. 5.) of the Minister for National Economy on the annual business report of the separate </w:t>
      </w:r>
      <w:proofErr w:type="spellStart"/>
      <w:r w:rsidRPr="0083048B">
        <w:rPr>
          <w:rFonts w:eastAsia="Calibri" w:cs="Calibri"/>
          <w:lang w:val="en"/>
        </w:rPr>
        <w:t>organisational</w:t>
      </w:r>
      <w:proofErr w:type="spellEnd"/>
      <w:r w:rsidRPr="0083048B">
        <w:rPr>
          <w:rFonts w:eastAsia="Calibri" w:cs="Calibri"/>
          <w:lang w:val="en"/>
        </w:rPr>
        <w:t xml:space="preserve"> unit of the Association of Hungarian Insurance Companies (MABISZ</w:t>
      </w:r>
      <w:proofErr w:type="gramStart"/>
      <w:r w:rsidRPr="0083048B">
        <w:rPr>
          <w:rFonts w:eastAsia="Calibri" w:cs="Calibri"/>
          <w:lang w:val="en"/>
        </w:rPr>
        <w:t>);</w:t>
      </w:r>
      <w:proofErr w:type="gramEnd"/>
    </w:p>
    <w:p w14:paraId="26867ABD" w14:textId="77777777" w:rsidR="002920DE" w:rsidRPr="0083048B" w:rsidRDefault="00046C1F" w:rsidP="0047318F">
      <w:pPr>
        <w:pStyle w:val="ListParagraph"/>
        <w:widowControl w:val="0"/>
        <w:numPr>
          <w:ilvl w:val="0"/>
          <w:numId w:val="44"/>
        </w:numPr>
        <w:spacing w:after="0" w:line="240" w:lineRule="auto"/>
        <w:ind w:left="567" w:right="-20" w:hanging="283"/>
        <w:rPr>
          <w:rFonts w:eastAsia="Calibri" w:cs="Calibri"/>
        </w:rPr>
      </w:pPr>
      <w:r w:rsidRPr="0083048B">
        <w:rPr>
          <w:rFonts w:eastAsia="Calibri" w:cs="Calibri"/>
          <w:lang w:val="en"/>
        </w:rPr>
        <w:t xml:space="preserve">Decree No 45/2011 (XII. 21.) of the Minister for National Economy on accounting for the profit/loss of compulsory motor third party liability insurance products offered by </w:t>
      </w:r>
      <w:proofErr w:type="gramStart"/>
      <w:r w:rsidRPr="0083048B">
        <w:rPr>
          <w:rFonts w:eastAsia="Calibri" w:cs="Calibri"/>
          <w:lang w:val="en"/>
        </w:rPr>
        <w:t>insurers;</w:t>
      </w:r>
      <w:proofErr w:type="gramEnd"/>
    </w:p>
    <w:p w14:paraId="101F6BEC" w14:textId="77777777" w:rsidR="00203E8F" w:rsidRPr="0083048B" w:rsidRDefault="002920DE" w:rsidP="0047318F">
      <w:pPr>
        <w:pStyle w:val="ListParagraph"/>
        <w:widowControl w:val="0"/>
        <w:numPr>
          <w:ilvl w:val="0"/>
          <w:numId w:val="44"/>
        </w:numPr>
        <w:spacing w:after="0" w:line="240" w:lineRule="auto"/>
        <w:ind w:left="567" w:right="-20" w:hanging="283"/>
        <w:rPr>
          <w:rFonts w:eastAsia="Calibri" w:cs="Calibri"/>
        </w:rPr>
      </w:pPr>
      <w:r w:rsidRPr="0083048B">
        <w:rPr>
          <w:rFonts w:eastAsia="Calibri" w:cs="Calibri"/>
          <w:lang w:val="en"/>
        </w:rPr>
        <w:t>Decree No 21/2011 (VI. 10.) of the Minister for National Economy on the Rules pertaining to the bonus-malus system, the allocation to the categories of it and the issue of the claim history certificate.</w:t>
      </w:r>
    </w:p>
    <w:p w14:paraId="207BE63F" w14:textId="77777777" w:rsidR="00B725B2" w:rsidRPr="0083048B" w:rsidRDefault="00B725B2" w:rsidP="00392029">
      <w:pPr>
        <w:widowControl w:val="0"/>
        <w:spacing w:after="0" w:line="240" w:lineRule="auto"/>
        <w:ind w:left="567" w:right="-20" w:hanging="283"/>
        <w:rPr>
          <w:rFonts w:eastAsia="Calibri" w:cs="Calibri"/>
          <w:b/>
          <w:bCs/>
          <w:spacing w:val="1"/>
        </w:rPr>
      </w:pPr>
    </w:p>
    <w:p w14:paraId="4C3CCA7D" w14:textId="77777777" w:rsidR="00046C1F" w:rsidRPr="0083048B" w:rsidRDefault="00046C1F" w:rsidP="00915585">
      <w:pPr>
        <w:widowControl w:val="0"/>
        <w:spacing w:after="0" w:line="240" w:lineRule="auto"/>
        <w:ind w:left="567" w:right="-20" w:hanging="283"/>
        <w:rPr>
          <w:rFonts w:eastAsia="Calibri" w:cs="Calibri"/>
        </w:rPr>
      </w:pPr>
      <w:r w:rsidRPr="0083048B">
        <w:rPr>
          <w:rFonts w:eastAsia="Calibri" w:cs="Calibri"/>
          <w:b/>
          <w:bCs/>
          <w:lang w:val="en"/>
        </w:rPr>
        <w:t>MNB Decrees:</w:t>
      </w:r>
    </w:p>
    <w:p w14:paraId="533101D0" w14:textId="77777777" w:rsidR="00046C1F" w:rsidRPr="0083048B" w:rsidRDefault="00046C1F" w:rsidP="00915585">
      <w:pPr>
        <w:widowControl w:val="0"/>
        <w:spacing w:before="5" w:after="0" w:line="240" w:lineRule="exact"/>
        <w:ind w:left="567" w:hanging="283"/>
        <w:rPr>
          <w:rFonts w:eastAsia="Calibri" w:cs="Times New Roman"/>
          <w:sz w:val="24"/>
          <w:szCs w:val="24"/>
        </w:rPr>
      </w:pPr>
    </w:p>
    <w:p w14:paraId="1A1F71B1" w14:textId="77777777" w:rsidR="00E02778" w:rsidRPr="0083048B" w:rsidRDefault="00E02778" w:rsidP="00D4027D">
      <w:pPr>
        <w:pStyle w:val="ListParagraph"/>
        <w:numPr>
          <w:ilvl w:val="0"/>
          <w:numId w:val="21"/>
        </w:numPr>
        <w:spacing w:after="0" w:line="240" w:lineRule="auto"/>
        <w:ind w:left="567" w:hanging="283"/>
        <w:rPr>
          <w:rFonts w:eastAsia="Calibri" w:cs="Calibri"/>
        </w:rPr>
      </w:pPr>
      <w:r w:rsidRPr="0083048B">
        <w:rPr>
          <w:rFonts w:eastAsia="Calibri" w:cs="Calibri"/>
          <w:lang w:val="en"/>
        </w:rPr>
        <w:t xml:space="preserve">MNB Decree No 66/2023 (XII. 18.) on the Minimum requirements for operating the information system for the transmission of declarations, as well as the detailed rules on the method of its auditing and on data transmissions carried out by the IT </w:t>
      </w:r>
      <w:proofErr w:type="gramStart"/>
      <w:r w:rsidRPr="0083048B">
        <w:rPr>
          <w:rFonts w:eastAsia="Calibri" w:cs="Calibri"/>
          <w:lang w:val="en"/>
        </w:rPr>
        <w:t>system;</w:t>
      </w:r>
      <w:proofErr w:type="gramEnd"/>
    </w:p>
    <w:p w14:paraId="435940B5" w14:textId="77777777" w:rsidR="00F173F9" w:rsidRPr="0083048B" w:rsidRDefault="00046C1F" w:rsidP="00E02778">
      <w:pPr>
        <w:widowControl w:val="0"/>
        <w:numPr>
          <w:ilvl w:val="0"/>
          <w:numId w:val="21"/>
        </w:numPr>
        <w:spacing w:after="0" w:line="240" w:lineRule="auto"/>
        <w:ind w:left="567" w:right="-20" w:hanging="283"/>
        <w:contextualSpacing/>
        <w:rPr>
          <w:rFonts w:eastAsia="Calibri" w:cs="Calibri"/>
        </w:rPr>
      </w:pPr>
      <w:r w:rsidRPr="0083048B">
        <w:rPr>
          <w:rFonts w:eastAsia="Calibri" w:cs="Calibri"/>
          <w:lang w:val="en"/>
        </w:rPr>
        <w:t xml:space="preserve">MNB Decree No 53/2022 (XI. 20.) on the obligations of insurance market </w:t>
      </w:r>
      <w:proofErr w:type="spellStart"/>
      <w:r w:rsidRPr="0083048B">
        <w:rPr>
          <w:rFonts w:eastAsia="Calibri" w:cs="Calibri"/>
          <w:lang w:val="en"/>
        </w:rPr>
        <w:t>organisations</w:t>
      </w:r>
      <w:proofErr w:type="spellEnd"/>
      <w:r w:rsidRPr="0083048B">
        <w:rPr>
          <w:rFonts w:eastAsia="Calibri" w:cs="Calibri"/>
          <w:lang w:val="en"/>
        </w:rPr>
        <w:t xml:space="preserve"> to report data to the central bank’s information system primarily to enable the Magyar Nemzeti Bank to carry out its supervisory </w:t>
      </w:r>
      <w:proofErr w:type="gramStart"/>
      <w:r w:rsidRPr="0083048B">
        <w:rPr>
          <w:rFonts w:eastAsia="Calibri" w:cs="Calibri"/>
          <w:lang w:val="en"/>
        </w:rPr>
        <w:t>duties;</w:t>
      </w:r>
      <w:proofErr w:type="gramEnd"/>
    </w:p>
    <w:p w14:paraId="52143C70" w14:textId="77777777" w:rsidR="00A17D69" w:rsidRPr="0083048B" w:rsidRDefault="00A17D69" w:rsidP="00E02778">
      <w:pPr>
        <w:widowControl w:val="0"/>
        <w:numPr>
          <w:ilvl w:val="0"/>
          <w:numId w:val="21"/>
        </w:numPr>
        <w:spacing w:after="0" w:line="240" w:lineRule="auto"/>
        <w:ind w:left="567" w:right="-20" w:hanging="283"/>
        <w:contextualSpacing/>
        <w:rPr>
          <w:rFonts w:eastAsia="Calibri" w:cs="Calibri"/>
        </w:rPr>
      </w:pPr>
      <w:r w:rsidRPr="0083048B">
        <w:rPr>
          <w:rFonts w:eastAsia="Calibri" w:cs="Calibri"/>
          <w:lang w:val="en"/>
        </w:rPr>
        <w:t xml:space="preserve">MNB Decree No 42/2019 (XII. 3.) on the detailed rules of data requests from the policy and damage database covering motor third- party liability </w:t>
      </w:r>
      <w:proofErr w:type="gramStart"/>
      <w:r w:rsidRPr="0083048B">
        <w:rPr>
          <w:rFonts w:eastAsia="Calibri" w:cs="Calibri"/>
          <w:lang w:val="en"/>
        </w:rPr>
        <w:t>insurance;</w:t>
      </w:r>
      <w:proofErr w:type="gramEnd"/>
    </w:p>
    <w:p w14:paraId="6D5F88F9" w14:textId="77777777" w:rsidR="00046C1F" w:rsidRPr="0083048B" w:rsidRDefault="00046C1F" w:rsidP="00E02778">
      <w:pPr>
        <w:widowControl w:val="0"/>
        <w:numPr>
          <w:ilvl w:val="0"/>
          <w:numId w:val="21"/>
        </w:numPr>
        <w:spacing w:before="1" w:after="0" w:line="240" w:lineRule="auto"/>
        <w:ind w:left="567" w:right="-21" w:hanging="283"/>
        <w:contextualSpacing/>
        <w:rPr>
          <w:rFonts w:eastAsia="Calibri" w:cs="Calibri"/>
        </w:rPr>
      </w:pPr>
      <w:r w:rsidRPr="0083048B">
        <w:rPr>
          <w:rFonts w:eastAsia="Calibri" w:cs="Calibri"/>
          <w:lang w:val="en"/>
        </w:rPr>
        <w:t xml:space="preserve">MNB Decree No 26/2013 (XII. 7.) on the rules pertaining to the announcement of the premiums of compulsory motor third-party liability insurance and the tariff for lack of coverage calculated for one calendar year, on the website of the Magyar Nemzeti </w:t>
      </w:r>
      <w:proofErr w:type="gramStart"/>
      <w:r w:rsidRPr="0083048B">
        <w:rPr>
          <w:rFonts w:eastAsia="Calibri" w:cs="Calibri"/>
          <w:lang w:val="en"/>
        </w:rPr>
        <w:t>Bank;</w:t>
      </w:r>
      <w:proofErr w:type="gramEnd"/>
    </w:p>
    <w:p w14:paraId="0516B511" w14:textId="77777777" w:rsidR="00046C1F" w:rsidRPr="0083048B" w:rsidRDefault="00046C1F" w:rsidP="00E02778">
      <w:pPr>
        <w:widowControl w:val="0"/>
        <w:numPr>
          <w:ilvl w:val="0"/>
          <w:numId w:val="21"/>
        </w:numPr>
        <w:spacing w:before="1" w:after="0" w:line="240" w:lineRule="auto"/>
        <w:ind w:left="567" w:right="-21" w:hanging="283"/>
        <w:contextualSpacing/>
        <w:rPr>
          <w:rFonts w:eastAsia="Calibri" w:cs="Calibri"/>
        </w:rPr>
      </w:pPr>
      <w:r w:rsidRPr="0083048B">
        <w:rPr>
          <w:rFonts w:eastAsia="Calibri" w:cs="Calibri"/>
          <w:lang w:val="en"/>
        </w:rPr>
        <w:t>MNB Decree No 54/2015 (II. 21.) on the Maximum Technical Rate of Interest.</w:t>
      </w:r>
    </w:p>
    <w:p w14:paraId="532D0359" w14:textId="77777777" w:rsidR="00344DD0" w:rsidRPr="0083048B" w:rsidRDefault="00344DD0" w:rsidP="00915585">
      <w:pPr>
        <w:widowControl w:val="0"/>
        <w:spacing w:after="0" w:line="240" w:lineRule="auto"/>
        <w:ind w:left="567" w:right="-20" w:hanging="283"/>
        <w:rPr>
          <w:rFonts w:eastAsia="Calibri" w:cs="Calibri"/>
          <w:b/>
          <w:bCs/>
          <w:spacing w:val="1"/>
        </w:rPr>
      </w:pPr>
    </w:p>
    <w:p w14:paraId="00E653B0" w14:textId="77777777" w:rsidR="00046C1F" w:rsidRPr="0083048B" w:rsidRDefault="00046C1F" w:rsidP="00915585">
      <w:pPr>
        <w:widowControl w:val="0"/>
        <w:spacing w:after="0" w:line="240" w:lineRule="auto"/>
        <w:ind w:left="567" w:right="-20" w:hanging="283"/>
        <w:rPr>
          <w:rFonts w:eastAsia="Calibri" w:cs="Calibri"/>
          <w:b/>
          <w:bCs/>
        </w:rPr>
      </w:pPr>
      <w:r w:rsidRPr="0083048B">
        <w:rPr>
          <w:rFonts w:eastAsia="Calibri" w:cs="Calibri"/>
          <w:b/>
          <w:bCs/>
          <w:lang w:val="en"/>
        </w:rPr>
        <w:t>MNB recommendations:</w:t>
      </w:r>
    </w:p>
    <w:p w14:paraId="1F253F10" w14:textId="77777777" w:rsidR="009E6387" w:rsidRPr="0083048B" w:rsidRDefault="009E6387" w:rsidP="00915585">
      <w:pPr>
        <w:widowControl w:val="0"/>
        <w:spacing w:after="0" w:line="240" w:lineRule="auto"/>
        <w:ind w:left="567" w:right="-20" w:hanging="283"/>
        <w:rPr>
          <w:rFonts w:eastAsia="Calibri" w:cs="Calibri"/>
        </w:rPr>
      </w:pPr>
    </w:p>
    <w:p w14:paraId="72F0FE29" w14:textId="77777777" w:rsidR="00E02778" w:rsidRPr="0083048B" w:rsidRDefault="00E02778" w:rsidP="00D4027D">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12/2023 (XI. 27.) of the Magyar Nemzeti Bank on Environmental risks related to the climate change and the enforcement of environmental sustainability criteria in the activities of insurance </w:t>
      </w:r>
      <w:proofErr w:type="gramStart"/>
      <w:r w:rsidRPr="0083048B">
        <w:rPr>
          <w:rFonts w:eastAsia="Calibri" w:cs="Calibri"/>
          <w:lang w:val="en"/>
        </w:rPr>
        <w:t>firms;</w:t>
      </w:r>
      <w:proofErr w:type="gramEnd"/>
    </w:p>
    <w:p w14:paraId="22535CD3" w14:textId="77777777" w:rsidR="00344DD0" w:rsidRPr="0083048B" w:rsidRDefault="00344DD0" w:rsidP="00344DD0">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21/2022 (XII. 12.) of the Magyar Nemzeti Bank on the Determination of the insurance technical </w:t>
      </w:r>
      <w:proofErr w:type="gramStart"/>
      <w:r w:rsidRPr="0083048B">
        <w:rPr>
          <w:rFonts w:eastAsia="Calibri" w:cs="Calibri"/>
          <w:lang w:val="en"/>
        </w:rPr>
        <w:t>reserves;</w:t>
      </w:r>
      <w:proofErr w:type="gramEnd"/>
    </w:p>
    <w:p w14:paraId="731CD880" w14:textId="77777777" w:rsidR="00344DD0" w:rsidRPr="0083048B" w:rsidRDefault="00344DD0" w:rsidP="00344DD0">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20/2022 (XII. 12.) of the Magyar Nemzeti Bank on the boundaries of insurance and reinsurance </w:t>
      </w:r>
      <w:proofErr w:type="gramStart"/>
      <w:r w:rsidRPr="0083048B">
        <w:rPr>
          <w:rFonts w:eastAsia="Calibri" w:cs="Calibri"/>
          <w:lang w:val="en"/>
        </w:rPr>
        <w:t>contracts;</w:t>
      </w:r>
      <w:proofErr w:type="gramEnd"/>
    </w:p>
    <w:p w14:paraId="34AA9C23" w14:textId="77777777" w:rsidR="00344DD0" w:rsidRPr="0083048B" w:rsidRDefault="00344DD0" w:rsidP="00344DD0">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11/2022 (VIII. 2.) of the Magyar Nemzeti Bank on taking on, measurement, management and control of credit </w:t>
      </w:r>
      <w:proofErr w:type="gramStart"/>
      <w:r w:rsidRPr="0083048B">
        <w:rPr>
          <w:rFonts w:eastAsia="Calibri" w:cs="Calibri"/>
          <w:lang w:val="en"/>
        </w:rPr>
        <w:t>risk;</w:t>
      </w:r>
      <w:proofErr w:type="gramEnd"/>
    </w:p>
    <w:p w14:paraId="1034CB73" w14:textId="77777777" w:rsidR="009E1E58" w:rsidRPr="0083048B" w:rsidRDefault="009E1E58" w:rsidP="00344DD0">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2/2022 (II. 11.) of the Magyar Nemzeti Bank on fostering the admission of credit institutions and insurance companies to the Budapest Stock </w:t>
      </w:r>
      <w:proofErr w:type="gramStart"/>
      <w:r w:rsidRPr="0083048B">
        <w:rPr>
          <w:rFonts w:eastAsia="Calibri" w:cs="Calibri"/>
          <w:lang w:val="en"/>
        </w:rPr>
        <w:t>Exchange;</w:t>
      </w:r>
      <w:proofErr w:type="gramEnd"/>
    </w:p>
    <w:p w14:paraId="546DC15C" w14:textId="77777777" w:rsidR="009E6387" w:rsidRPr="0083048B" w:rsidRDefault="009E6387"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7/2021 (VI. 21.) of the Magyar Nemzeti Bank on the prudential and consumer protection principles regarding automatic portfolio management services available for unit-linked life insurance </w:t>
      </w:r>
      <w:proofErr w:type="gramStart"/>
      <w:r w:rsidRPr="0083048B">
        <w:rPr>
          <w:rFonts w:eastAsia="Calibri" w:cs="Calibri"/>
          <w:lang w:val="en"/>
        </w:rPr>
        <w:t>policies;</w:t>
      </w:r>
      <w:proofErr w:type="gramEnd"/>
    </w:p>
    <w:p w14:paraId="119FC44F" w14:textId="77777777" w:rsidR="0013639D" w:rsidRPr="0083048B" w:rsidRDefault="0013639D"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4/2020 (III. 24.) of the Magyar Nemzeti Bank on the Requirements pertaining to simple, transparent and </w:t>
      </w:r>
      <w:proofErr w:type="spellStart"/>
      <w:r w:rsidRPr="0083048B">
        <w:rPr>
          <w:rFonts w:eastAsia="Calibri" w:cs="Calibri"/>
          <w:lang w:val="en"/>
        </w:rPr>
        <w:t>standardised</w:t>
      </w:r>
      <w:proofErr w:type="spellEnd"/>
      <w:r w:rsidRPr="0083048B">
        <w:rPr>
          <w:rFonts w:eastAsia="Calibri" w:cs="Calibri"/>
          <w:lang w:val="en"/>
        </w:rPr>
        <w:t xml:space="preserve"> </w:t>
      </w:r>
      <w:proofErr w:type="spellStart"/>
      <w:r w:rsidRPr="0083048B">
        <w:rPr>
          <w:rFonts w:eastAsia="Calibri" w:cs="Calibri"/>
          <w:lang w:val="en"/>
        </w:rPr>
        <w:t>securitisation</w:t>
      </w:r>
      <w:proofErr w:type="spellEnd"/>
      <w:r w:rsidRPr="0083048B">
        <w:rPr>
          <w:rFonts w:eastAsia="Calibri" w:cs="Calibri"/>
          <w:lang w:val="en"/>
        </w:rPr>
        <w:t xml:space="preserve"> not qualifying as asset-backed commercial paper (ABCP</w:t>
      </w:r>
      <w:proofErr w:type="gramStart"/>
      <w:r w:rsidRPr="0083048B">
        <w:rPr>
          <w:rFonts w:eastAsia="Calibri" w:cs="Calibri"/>
          <w:lang w:val="en"/>
        </w:rPr>
        <w:t>);</w:t>
      </w:r>
      <w:proofErr w:type="gramEnd"/>
      <w:r w:rsidRPr="0083048B">
        <w:rPr>
          <w:rFonts w:eastAsia="Calibri" w:cs="Calibri"/>
          <w:lang w:val="en"/>
        </w:rPr>
        <w:t xml:space="preserve"> </w:t>
      </w:r>
    </w:p>
    <w:p w14:paraId="393AD507" w14:textId="77777777" w:rsidR="0013639D" w:rsidRPr="0083048B" w:rsidRDefault="0013639D"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3/2020 (III. 24.) of the Magyar Nemzeti Bank on the Requirements pertaining to simple, transparent and </w:t>
      </w:r>
      <w:proofErr w:type="spellStart"/>
      <w:r w:rsidRPr="0083048B">
        <w:rPr>
          <w:rFonts w:eastAsia="Calibri" w:cs="Calibri"/>
          <w:lang w:val="en"/>
        </w:rPr>
        <w:t>standardised</w:t>
      </w:r>
      <w:proofErr w:type="spellEnd"/>
      <w:r w:rsidRPr="0083048B">
        <w:rPr>
          <w:rFonts w:eastAsia="Calibri" w:cs="Calibri"/>
          <w:lang w:val="en"/>
        </w:rPr>
        <w:t xml:space="preserve"> </w:t>
      </w:r>
      <w:proofErr w:type="spellStart"/>
      <w:r w:rsidRPr="0083048B">
        <w:rPr>
          <w:rFonts w:eastAsia="Calibri" w:cs="Calibri"/>
          <w:lang w:val="en"/>
        </w:rPr>
        <w:t>ABCP</w:t>
      </w:r>
      <w:proofErr w:type="spellEnd"/>
      <w:r w:rsidRPr="0083048B">
        <w:rPr>
          <w:rFonts w:eastAsia="Calibri" w:cs="Calibri"/>
          <w:lang w:val="en"/>
        </w:rPr>
        <w:t xml:space="preserve"> </w:t>
      </w:r>
      <w:proofErr w:type="spellStart"/>
      <w:proofErr w:type="gramStart"/>
      <w:r w:rsidRPr="0083048B">
        <w:rPr>
          <w:rFonts w:eastAsia="Calibri" w:cs="Calibri"/>
          <w:lang w:val="en"/>
        </w:rPr>
        <w:t>securitisation</w:t>
      </w:r>
      <w:proofErr w:type="spellEnd"/>
      <w:r w:rsidRPr="0083048B">
        <w:rPr>
          <w:rFonts w:eastAsia="Calibri" w:cs="Calibri"/>
          <w:lang w:val="en"/>
        </w:rPr>
        <w:t>;</w:t>
      </w:r>
      <w:proofErr w:type="gramEnd"/>
      <w:r w:rsidRPr="0083048B">
        <w:rPr>
          <w:rFonts w:eastAsia="Calibri" w:cs="Calibri"/>
          <w:lang w:val="en"/>
        </w:rPr>
        <w:t xml:space="preserve"> </w:t>
      </w:r>
    </w:p>
    <w:p w14:paraId="210B4E94" w14:textId="77777777" w:rsidR="0013639D" w:rsidRPr="0083048B" w:rsidRDefault="0013639D"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20/2019 (IX. 20.) of the Magyar Nemzeti Bank on the Calculation and publication of the </w:t>
      </w:r>
      <w:r w:rsidRPr="0083048B">
        <w:rPr>
          <w:rFonts w:eastAsia="Calibri" w:cs="Calibri"/>
          <w:lang w:val="en"/>
        </w:rPr>
        <w:lastRenderedPageBreak/>
        <w:t xml:space="preserve">annual cost ratio of voluntary pension </w:t>
      </w:r>
      <w:proofErr w:type="gramStart"/>
      <w:r w:rsidRPr="0083048B">
        <w:rPr>
          <w:rFonts w:eastAsia="Calibri" w:cs="Calibri"/>
          <w:lang w:val="en"/>
        </w:rPr>
        <w:t>funds;</w:t>
      </w:r>
      <w:proofErr w:type="gramEnd"/>
      <w:r w:rsidRPr="0083048B">
        <w:rPr>
          <w:rFonts w:eastAsia="Calibri" w:cs="Calibri"/>
          <w:lang w:val="en"/>
        </w:rPr>
        <w:t xml:space="preserve"> </w:t>
      </w:r>
    </w:p>
    <w:p w14:paraId="49D23FDC" w14:textId="77777777" w:rsidR="0013639D" w:rsidRPr="0083048B" w:rsidRDefault="0013639D"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17/2019 (IX. 20.) of the Magyar Nemzeti Bank on the Governance system of insurers and </w:t>
      </w:r>
      <w:proofErr w:type="gramStart"/>
      <w:r w:rsidRPr="0083048B">
        <w:rPr>
          <w:rFonts w:eastAsia="Calibri" w:cs="Calibri"/>
          <w:lang w:val="en"/>
        </w:rPr>
        <w:t>reinsurers;</w:t>
      </w:r>
      <w:proofErr w:type="gramEnd"/>
    </w:p>
    <w:p w14:paraId="21E8A853" w14:textId="77777777" w:rsidR="009E6387" w:rsidRPr="0083048B" w:rsidRDefault="0013639D"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14/2019 (VII. 3) of the Magyar Nemzeti Bank on the Conditions of resorting to exemption from the reserve </w:t>
      </w:r>
      <w:proofErr w:type="gramStart"/>
      <w:r w:rsidRPr="0083048B">
        <w:rPr>
          <w:rFonts w:eastAsia="Calibri" w:cs="Calibri"/>
          <w:lang w:val="en"/>
        </w:rPr>
        <w:t>mechanism;</w:t>
      </w:r>
      <w:proofErr w:type="gramEnd"/>
    </w:p>
    <w:p w14:paraId="758E43FA" w14:textId="77777777" w:rsidR="009E6387" w:rsidRPr="0083048B" w:rsidRDefault="000C4E70"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19/2018 (IV. 9.) of the Magyar Nemzeti Bank on the Recognition and valuation of assets and liabilities other than insurance technical </w:t>
      </w:r>
      <w:proofErr w:type="gramStart"/>
      <w:r w:rsidRPr="0083048B">
        <w:rPr>
          <w:rFonts w:eastAsia="Calibri" w:cs="Calibri"/>
          <w:lang w:val="en"/>
        </w:rPr>
        <w:t>reserves;</w:t>
      </w:r>
      <w:proofErr w:type="gramEnd"/>
    </w:p>
    <w:p w14:paraId="6DD2C720" w14:textId="77777777" w:rsidR="009E6387" w:rsidRPr="0083048B" w:rsidRDefault="000C4E70"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18/2018 (IV. 9.) of the Magyar Nemzeti Bank on the Implementation of measures related to long-term guarantees and transitional </w:t>
      </w:r>
      <w:proofErr w:type="gramStart"/>
      <w:r w:rsidRPr="0083048B">
        <w:rPr>
          <w:rFonts w:eastAsia="Calibri" w:cs="Calibri"/>
          <w:lang w:val="en"/>
        </w:rPr>
        <w:t>measures;</w:t>
      </w:r>
      <w:proofErr w:type="gramEnd"/>
    </w:p>
    <w:p w14:paraId="4A2E19D3" w14:textId="77777777" w:rsidR="009E6387" w:rsidRPr="0083048B" w:rsidRDefault="000C4E70"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17/2018 (IV. 9.) of the Magyar Nemzeti Bank on the </w:t>
      </w:r>
      <w:proofErr w:type="gramStart"/>
      <w:r w:rsidRPr="0083048B">
        <w:rPr>
          <w:rFonts w:eastAsia="Calibri" w:cs="Calibri"/>
          <w:lang w:val="en"/>
        </w:rPr>
        <w:t>insurers’</w:t>
      </w:r>
      <w:proofErr w:type="gramEnd"/>
      <w:r w:rsidRPr="0083048B">
        <w:rPr>
          <w:rFonts w:eastAsia="Calibri" w:cs="Calibri"/>
          <w:lang w:val="en"/>
        </w:rPr>
        <w:t xml:space="preserve"> and reinsurers’ supervisory reporting and disclosure under Solvency II;</w:t>
      </w:r>
    </w:p>
    <w:p w14:paraId="65A18F96" w14:textId="77777777" w:rsidR="009E6387" w:rsidRPr="0083048B" w:rsidRDefault="00626B91"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9/2018 (II. 21.) of the Magyar Nemzeti Bank on the Application of internal rating </w:t>
      </w:r>
      <w:proofErr w:type="gramStart"/>
      <w:r w:rsidRPr="0083048B">
        <w:rPr>
          <w:rFonts w:eastAsia="Calibri" w:cs="Calibri"/>
          <w:lang w:val="en"/>
        </w:rPr>
        <w:t>model;</w:t>
      </w:r>
      <w:proofErr w:type="gramEnd"/>
    </w:p>
    <w:p w14:paraId="020E68D4" w14:textId="77777777" w:rsidR="009E6387" w:rsidRPr="0083048B" w:rsidRDefault="00626B91"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8/2018 (II. 21.) of the Magyar Nemzeti Bank on the application of insurer-specific </w:t>
      </w:r>
      <w:proofErr w:type="gramStart"/>
      <w:r w:rsidRPr="0083048B">
        <w:rPr>
          <w:rFonts w:eastAsia="Calibri" w:cs="Calibri"/>
          <w:lang w:val="en"/>
        </w:rPr>
        <w:t>parameters;</w:t>
      </w:r>
      <w:proofErr w:type="gramEnd"/>
    </w:p>
    <w:p w14:paraId="7DD83FBD" w14:textId="77777777" w:rsidR="009E6387" w:rsidRPr="0083048B" w:rsidRDefault="00626B91"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7/2018 (II. 21.) of the Magyar Nemzeti Bank on the treatment of related companies – including shareholdings – by insurers and </w:t>
      </w:r>
      <w:proofErr w:type="gramStart"/>
      <w:r w:rsidRPr="0083048B">
        <w:rPr>
          <w:rFonts w:eastAsia="Calibri" w:cs="Calibri"/>
          <w:lang w:val="en"/>
        </w:rPr>
        <w:t>reinsurers;</w:t>
      </w:r>
      <w:proofErr w:type="gramEnd"/>
    </w:p>
    <w:p w14:paraId="6C1234BD" w14:textId="77777777" w:rsidR="009E6387" w:rsidRPr="0083048B" w:rsidRDefault="00626B91"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6/2018 (II. 21.) of the Magyar Nemzeti Bank on reporting by insurers and reinsurers for financial stability </w:t>
      </w:r>
      <w:proofErr w:type="gramStart"/>
      <w:r w:rsidRPr="0083048B">
        <w:rPr>
          <w:rFonts w:eastAsia="Calibri" w:cs="Calibri"/>
          <w:lang w:val="en"/>
        </w:rPr>
        <w:t>purposes;</w:t>
      </w:r>
      <w:proofErr w:type="gramEnd"/>
    </w:p>
    <w:p w14:paraId="117E29FA" w14:textId="77777777" w:rsidR="009E6387" w:rsidRPr="0083048B" w:rsidRDefault="00046C1F"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1/2017 (I. 12.) of the Magyar Nemzeti Bank on pension </w:t>
      </w:r>
      <w:proofErr w:type="gramStart"/>
      <w:r w:rsidRPr="0083048B">
        <w:rPr>
          <w:rFonts w:eastAsia="Calibri" w:cs="Calibri"/>
          <w:lang w:val="en"/>
        </w:rPr>
        <w:t>insurances;</w:t>
      </w:r>
      <w:proofErr w:type="gramEnd"/>
    </w:p>
    <w:p w14:paraId="301D2447" w14:textId="77777777" w:rsidR="009E6387" w:rsidRPr="0083048B" w:rsidRDefault="00046C1F"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8/2016 (VI. 30.) of the Magyar Nemzeti Bank on the application of the prudential and consumer protection principles regarding unit-linked life insurance </w:t>
      </w:r>
      <w:proofErr w:type="gramStart"/>
      <w:r w:rsidRPr="0083048B">
        <w:rPr>
          <w:rFonts w:eastAsia="Calibri" w:cs="Calibri"/>
          <w:lang w:val="en"/>
        </w:rPr>
        <w:t>policies;</w:t>
      </w:r>
      <w:proofErr w:type="gramEnd"/>
    </w:p>
    <w:p w14:paraId="69058411" w14:textId="77777777" w:rsidR="009E6387" w:rsidRPr="0083048B" w:rsidRDefault="00D92CBB"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6/2016 (VI. 14.) of the Magyar Nemzeti Bank on holding the volatility capital buffer ensuring continuous capital </w:t>
      </w:r>
      <w:proofErr w:type="gramStart"/>
      <w:r w:rsidRPr="0083048B">
        <w:rPr>
          <w:rFonts w:eastAsia="Calibri" w:cs="Calibri"/>
          <w:lang w:val="en"/>
        </w:rPr>
        <w:t>adequacy;</w:t>
      </w:r>
      <w:proofErr w:type="gramEnd"/>
    </w:p>
    <w:p w14:paraId="13A87CEF" w14:textId="77777777" w:rsidR="009E6387" w:rsidRPr="0083048B" w:rsidRDefault="00D92CBB"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3/2016 (VI. 6.) of the Magyar Nemzeti Bank on own risk and solvency capital valuation </w:t>
      </w:r>
      <w:proofErr w:type="gramStart"/>
      <w:r w:rsidRPr="0083048B">
        <w:rPr>
          <w:rFonts w:eastAsia="Calibri" w:cs="Calibri"/>
          <w:lang w:val="en"/>
        </w:rPr>
        <w:t>system;</w:t>
      </w:r>
      <w:proofErr w:type="gramEnd"/>
    </w:p>
    <w:p w14:paraId="41CDA0DC" w14:textId="77777777" w:rsidR="009E6387" w:rsidRPr="0083048B" w:rsidRDefault="00F657BC"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22/2015 (XII. 8.) of the Magyar Nemzeti Bank on the management of market and counterparty exposures defined using the </w:t>
      </w:r>
      <w:proofErr w:type="spellStart"/>
      <w:r w:rsidRPr="0083048B">
        <w:rPr>
          <w:rFonts w:eastAsia="Calibri" w:cs="Calibri"/>
          <w:lang w:val="en"/>
        </w:rPr>
        <w:t>standardised</w:t>
      </w:r>
      <w:proofErr w:type="spellEnd"/>
      <w:r w:rsidRPr="0083048B">
        <w:rPr>
          <w:rFonts w:eastAsia="Calibri" w:cs="Calibri"/>
          <w:lang w:val="en"/>
        </w:rPr>
        <w:t xml:space="preserve"> </w:t>
      </w:r>
      <w:proofErr w:type="gramStart"/>
      <w:r w:rsidRPr="0083048B">
        <w:rPr>
          <w:rFonts w:eastAsia="Calibri" w:cs="Calibri"/>
          <w:lang w:val="en"/>
        </w:rPr>
        <w:t>approach;</w:t>
      </w:r>
      <w:proofErr w:type="gramEnd"/>
    </w:p>
    <w:p w14:paraId="08A0EF11" w14:textId="77777777" w:rsidR="009E6387" w:rsidRPr="0083048B" w:rsidRDefault="00F657BC"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21/2015 (XII. 8.) of the Magyar Nemzeti Bank on the loss absorbing capacity of insurance technical reserves and deferred </w:t>
      </w:r>
      <w:proofErr w:type="gramStart"/>
      <w:r w:rsidRPr="0083048B">
        <w:rPr>
          <w:rFonts w:eastAsia="Calibri" w:cs="Calibri"/>
          <w:lang w:val="en"/>
        </w:rPr>
        <w:t>taxes;</w:t>
      </w:r>
      <w:proofErr w:type="gramEnd"/>
    </w:p>
    <w:p w14:paraId="21001C2B" w14:textId="77777777" w:rsidR="009E6387" w:rsidRPr="0083048B" w:rsidRDefault="005E0859"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Recommendation No 20/2015 (XII. 8.) of the Magyar Nemzeti Bank on the Application of health insurance disaster risk sub-</w:t>
      </w:r>
      <w:proofErr w:type="gramStart"/>
      <w:r w:rsidRPr="0083048B">
        <w:rPr>
          <w:rFonts w:eastAsia="Calibri" w:cs="Calibri"/>
          <w:lang w:val="en"/>
        </w:rPr>
        <w:t>module;</w:t>
      </w:r>
      <w:proofErr w:type="gramEnd"/>
    </w:p>
    <w:p w14:paraId="1C4571EB" w14:textId="77777777" w:rsidR="009E6387" w:rsidRPr="0083048B" w:rsidRDefault="005E0859"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19/2015 (XII. 8.) of the Magyar Nemzeti Bank on the classification of solvency </w:t>
      </w:r>
      <w:proofErr w:type="gramStart"/>
      <w:r w:rsidRPr="0083048B">
        <w:rPr>
          <w:rFonts w:eastAsia="Calibri" w:cs="Calibri"/>
          <w:lang w:val="en"/>
        </w:rPr>
        <w:t>capital;</w:t>
      </w:r>
      <w:proofErr w:type="gramEnd"/>
    </w:p>
    <w:p w14:paraId="2F30051C" w14:textId="77777777" w:rsidR="009E6387" w:rsidRPr="0083048B" w:rsidRDefault="005E0859"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18/2015 (XII. 8.) of the Magyar Nemzeti Bank on ring-fenced </w:t>
      </w:r>
      <w:proofErr w:type="gramStart"/>
      <w:r w:rsidRPr="0083048B">
        <w:rPr>
          <w:rFonts w:eastAsia="Calibri" w:cs="Calibri"/>
          <w:lang w:val="en"/>
        </w:rPr>
        <w:t>funds;</w:t>
      </w:r>
      <w:proofErr w:type="gramEnd"/>
    </w:p>
    <w:p w14:paraId="6040DA9D" w14:textId="77777777" w:rsidR="009E6387" w:rsidRPr="0083048B" w:rsidRDefault="005E0859"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17/2015 (XII. 8.) of the Magyar Nemzeti Bank on solvency capital adequacy at group </w:t>
      </w:r>
      <w:proofErr w:type="gramStart"/>
      <w:r w:rsidRPr="0083048B">
        <w:rPr>
          <w:rFonts w:eastAsia="Calibri" w:cs="Calibri"/>
          <w:lang w:val="en"/>
        </w:rPr>
        <w:t>level;</w:t>
      </w:r>
      <w:proofErr w:type="gramEnd"/>
    </w:p>
    <w:p w14:paraId="330F91E7" w14:textId="77777777" w:rsidR="009E6387" w:rsidRPr="0083048B" w:rsidRDefault="005E0859"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16/2015 (XII. 8.) of the Magyar Nemzeti Bank on the application of the look-through </w:t>
      </w:r>
      <w:proofErr w:type="gramStart"/>
      <w:r w:rsidRPr="0083048B">
        <w:rPr>
          <w:rFonts w:eastAsia="Calibri" w:cs="Calibri"/>
          <w:lang w:val="en"/>
        </w:rPr>
        <w:t>approach;</w:t>
      </w:r>
      <w:proofErr w:type="gramEnd"/>
    </w:p>
    <w:p w14:paraId="775D0EBA" w14:textId="77777777" w:rsidR="009E6387" w:rsidRPr="0083048B" w:rsidRDefault="00FC38F5"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10/2015 (VII. 22) of the Magyar Nemzeti Bank on solvency </w:t>
      </w:r>
      <w:proofErr w:type="gramStart"/>
      <w:r w:rsidRPr="0083048B">
        <w:rPr>
          <w:rFonts w:eastAsia="Calibri" w:cs="Calibri"/>
          <w:lang w:val="en"/>
        </w:rPr>
        <w:t>capital;</w:t>
      </w:r>
      <w:proofErr w:type="gramEnd"/>
    </w:p>
    <w:p w14:paraId="480ADE2C" w14:textId="77777777" w:rsidR="009E6387" w:rsidRPr="0083048B" w:rsidRDefault="001A4284"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9/2015 (VII. 22.) of the Magyar Nemzeti Bank on the application of life insurance risk </w:t>
      </w:r>
      <w:proofErr w:type="gramStart"/>
      <w:r w:rsidRPr="0083048B">
        <w:rPr>
          <w:rFonts w:eastAsia="Calibri" w:cs="Calibri"/>
          <w:lang w:val="en"/>
        </w:rPr>
        <w:t>module;</w:t>
      </w:r>
      <w:proofErr w:type="gramEnd"/>
    </w:p>
    <w:p w14:paraId="63FA0756" w14:textId="77777777" w:rsidR="009E6387" w:rsidRPr="0083048B" w:rsidRDefault="001A4284"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 xml:space="preserve">Recommendation No 8/2015 (VII. 22.) of the Magyar Nemzeti Bank on basis </w:t>
      </w:r>
      <w:proofErr w:type="gramStart"/>
      <w:r w:rsidRPr="0083048B">
        <w:rPr>
          <w:rFonts w:eastAsia="Calibri" w:cs="Calibri"/>
          <w:lang w:val="en"/>
        </w:rPr>
        <w:t>risk;</w:t>
      </w:r>
      <w:proofErr w:type="gramEnd"/>
    </w:p>
    <w:p w14:paraId="09F867C8" w14:textId="77777777" w:rsidR="009E6387" w:rsidRPr="0083048B" w:rsidRDefault="001A4284"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Recommendation No 7/2015 (VII. 22.) of the Magyar Nemzeti Bank on the consideration of reinsurance agreement in the non-life disaster risk sub-</w:t>
      </w:r>
      <w:proofErr w:type="gramStart"/>
      <w:r w:rsidRPr="0083048B">
        <w:rPr>
          <w:rFonts w:eastAsia="Calibri" w:cs="Calibri"/>
          <w:lang w:val="en"/>
        </w:rPr>
        <w:t>module;</w:t>
      </w:r>
      <w:proofErr w:type="gramEnd"/>
    </w:p>
    <w:p w14:paraId="19B20899" w14:textId="77777777" w:rsidR="00B725B2" w:rsidRPr="0083048B" w:rsidRDefault="001A4284" w:rsidP="00FD56EE">
      <w:pPr>
        <w:widowControl w:val="0"/>
        <w:numPr>
          <w:ilvl w:val="0"/>
          <w:numId w:val="33"/>
        </w:numPr>
        <w:spacing w:after="0" w:line="240" w:lineRule="auto"/>
        <w:ind w:left="567" w:right="-36" w:hanging="283"/>
        <w:contextualSpacing/>
        <w:rPr>
          <w:rFonts w:eastAsia="Calibri" w:cs="Calibri"/>
        </w:rPr>
      </w:pPr>
      <w:r w:rsidRPr="0083048B">
        <w:rPr>
          <w:rFonts w:eastAsia="Calibri" w:cs="Calibri"/>
          <w:lang w:val="en"/>
        </w:rPr>
        <w:t>Recommendation No 5/2015 (V. 05.) of the Magyar Nemzeti Bank on the electronic interfaces serving the presentation and comparison of insurance products and used during insurance mediation.</w:t>
      </w:r>
    </w:p>
    <w:p w14:paraId="6164A9DE" w14:textId="77777777" w:rsidR="00046C1F" w:rsidRPr="0083048B" w:rsidRDefault="00046C1F" w:rsidP="00B61A31">
      <w:pPr>
        <w:widowControl w:val="0"/>
        <w:spacing w:before="8" w:after="0" w:line="280" w:lineRule="exact"/>
        <w:rPr>
          <w:rFonts w:eastAsia="Calibri" w:cs="Times New Roman"/>
          <w:sz w:val="28"/>
          <w:szCs w:val="28"/>
        </w:rPr>
      </w:pPr>
    </w:p>
    <w:p w14:paraId="6DD5A3A1" w14:textId="77777777" w:rsidR="00046C1F" w:rsidRPr="0083048B" w:rsidRDefault="00046C1F" w:rsidP="00915585">
      <w:pPr>
        <w:widowControl w:val="0"/>
        <w:spacing w:after="0" w:line="240" w:lineRule="auto"/>
        <w:ind w:left="567" w:right="4866" w:hanging="283"/>
        <w:rPr>
          <w:rFonts w:eastAsia="Calibri" w:cs="Calibri"/>
        </w:rPr>
      </w:pPr>
      <w:r w:rsidRPr="0083048B">
        <w:rPr>
          <w:rFonts w:eastAsia="Calibri" w:cs="Calibri"/>
          <w:b/>
          <w:bCs/>
          <w:lang w:val="en"/>
        </w:rPr>
        <w:t>2.4 Occupational pension providers</w:t>
      </w:r>
    </w:p>
    <w:p w14:paraId="37F34C9A" w14:textId="77777777" w:rsidR="00046C1F" w:rsidRPr="0083048B" w:rsidRDefault="00046C1F" w:rsidP="00915585">
      <w:pPr>
        <w:widowControl w:val="0"/>
        <w:spacing w:before="5" w:after="0" w:line="240" w:lineRule="exact"/>
        <w:ind w:left="567" w:hanging="283"/>
        <w:rPr>
          <w:rFonts w:eastAsia="Calibri" w:cs="Times New Roman"/>
          <w:sz w:val="24"/>
          <w:szCs w:val="24"/>
        </w:rPr>
      </w:pPr>
    </w:p>
    <w:p w14:paraId="0BCE8631" w14:textId="77777777" w:rsidR="005D58BC" w:rsidRPr="0083048B" w:rsidRDefault="005D58BC" w:rsidP="005D58BC">
      <w:pPr>
        <w:widowControl w:val="0"/>
        <w:spacing w:after="0" w:line="240" w:lineRule="auto"/>
        <w:ind w:left="567" w:right="152" w:hanging="283"/>
        <w:rPr>
          <w:rFonts w:eastAsia="Calibri" w:cs="Calibri"/>
        </w:rPr>
      </w:pPr>
      <w:r w:rsidRPr="0083048B">
        <w:rPr>
          <w:rFonts w:eastAsia="Calibri" w:cs="Calibri"/>
          <w:lang w:val="en"/>
        </w:rPr>
        <w:t>Pursuant to Section 83(2) of Occupational Pension Act, the MNB provides the following statutory information.</w:t>
      </w:r>
    </w:p>
    <w:p w14:paraId="0CFEBBE7" w14:textId="77777777" w:rsidR="005D58BC" w:rsidRPr="0083048B" w:rsidRDefault="005D58BC" w:rsidP="005D58BC">
      <w:pPr>
        <w:widowControl w:val="0"/>
        <w:spacing w:before="5" w:after="0" w:line="240" w:lineRule="exact"/>
        <w:ind w:left="567" w:hanging="283"/>
        <w:rPr>
          <w:rFonts w:eastAsia="Calibri" w:cs="Times New Roman"/>
          <w:sz w:val="24"/>
          <w:szCs w:val="24"/>
        </w:rPr>
      </w:pPr>
    </w:p>
    <w:p w14:paraId="237B45F1" w14:textId="77777777" w:rsidR="005D58BC" w:rsidRPr="0083048B" w:rsidRDefault="005D58BC" w:rsidP="005D58BC">
      <w:pPr>
        <w:widowControl w:val="0"/>
        <w:spacing w:after="0" w:line="240" w:lineRule="auto"/>
        <w:ind w:left="284" w:right="152"/>
        <w:rPr>
          <w:rFonts w:eastAsia="Calibri" w:cs="Calibri"/>
          <w:b/>
          <w:bCs/>
        </w:rPr>
      </w:pPr>
      <w:r w:rsidRPr="0083048B">
        <w:rPr>
          <w:rFonts w:eastAsia="Calibri" w:cs="Calibri"/>
          <w:b/>
          <w:bCs/>
          <w:lang w:val="en"/>
        </w:rPr>
        <w:t>Occupational pension providers with registered office in an EEA state and operating in Hungary as a branch office or cross-border service provider must pay special attention to compliance with the following legal provisions:</w:t>
      </w:r>
    </w:p>
    <w:p w14:paraId="4B36EACB" w14:textId="77777777" w:rsidR="005D58BC" w:rsidRPr="0083048B" w:rsidRDefault="005D58BC" w:rsidP="00915585">
      <w:pPr>
        <w:widowControl w:val="0"/>
        <w:spacing w:before="5" w:after="0" w:line="240" w:lineRule="exact"/>
        <w:ind w:left="567" w:hanging="283"/>
        <w:rPr>
          <w:rFonts w:eastAsia="Calibri" w:cs="Times New Roman"/>
          <w:sz w:val="24"/>
          <w:szCs w:val="24"/>
        </w:rPr>
      </w:pPr>
    </w:p>
    <w:p w14:paraId="14DA4916" w14:textId="77777777" w:rsidR="00046C1F" w:rsidRPr="0083048B" w:rsidRDefault="00046C1F" w:rsidP="00915585">
      <w:pPr>
        <w:widowControl w:val="0"/>
        <w:spacing w:after="0" w:line="240" w:lineRule="auto"/>
        <w:ind w:left="567" w:hanging="283"/>
        <w:rPr>
          <w:rFonts w:eastAsia="Calibri" w:cs="Calibri"/>
        </w:rPr>
      </w:pPr>
      <w:r w:rsidRPr="0083048B">
        <w:rPr>
          <w:rFonts w:eastAsia="Calibri" w:cs="Calibri"/>
          <w:b/>
          <w:bCs/>
          <w:lang w:val="en"/>
        </w:rPr>
        <w:t>Laws:</w:t>
      </w:r>
    </w:p>
    <w:p w14:paraId="15329495" w14:textId="77777777" w:rsidR="00046C1F" w:rsidRPr="0083048B" w:rsidRDefault="00046C1F" w:rsidP="00915585">
      <w:pPr>
        <w:widowControl w:val="0"/>
        <w:spacing w:before="3" w:after="0" w:line="240" w:lineRule="exact"/>
        <w:ind w:left="567" w:hanging="283"/>
        <w:rPr>
          <w:rFonts w:eastAsia="Calibri" w:cs="Times New Roman"/>
          <w:sz w:val="24"/>
          <w:szCs w:val="24"/>
        </w:rPr>
      </w:pPr>
    </w:p>
    <w:p w14:paraId="507AC576" w14:textId="77777777" w:rsidR="00046C1F" w:rsidRPr="00C87DA3" w:rsidRDefault="00046C1F" w:rsidP="00C87DA3">
      <w:pPr>
        <w:widowControl w:val="0"/>
        <w:numPr>
          <w:ilvl w:val="0"/>
          <w:numId w:val="22"/>
        </w:numPr>
        <w:spacing w:after="0" w:line="240" w:lineRule="auto"/>
        <w:ind w:left="709" w:right="-20" w:hanging="425"/>
        <w:contextualSpacing/>
        <w:rPr>
          <w:rFonts w:eastAsia="Calibri" w:cs="Calibri"/>
          <w:lang w:val="en-GB"/>
        </w:rPr>
      </w:pPr>
      <w:r w:rsidRPr="00C87DA3">
        <w:rPr>
          <w:rFonts w:eastAsia="Calibri" w:cs="Calibri"/>
          <w:lang w:val="en-GB"/>
        </w:rPr>
        <w:t xml:space="preserve">Occupational Pension </w:t>
      </w:r>
      <w:proofErr w:type="gramStart"/>
      <w:r w:rsidRPr="00C87DA3">
        <w:rPr>
          <w:rFonts w:eastAsia="Calibri" w:cs="Calibri"/>
          <w:lang w:val="en-GB"/>
        </w:rPr>
        <w:t>Act;</w:t>
      </w:r>
      <w:proofErr w:type="gramEnd"/>
    </w:p>
    <w:p w14:paraId="10F61597" w14:textId="77777777" w:rsidR="00B141CB" w:rsidRPr="0083048B" w:rsidRDefault="00046C1F" w:rsidP="00FD56EE">
      <w:pPr>
        <w:widowControl w:val="0"/>
        <w:numPr>
          <w:ilvl w:val="0"/>
          <w:numId w:val="22"/>
        </w:numPr>
        <w:spacing w:after="0" w:line="240" w:lineRule="auto"/>
        <w:ind w:left="567" w:right="71" w:hanging="283"/>
        <w:contextualSpacing/>
        <w:rPr>
          <w:rFonts w:eastAsia="Calibri" w:cs="Calibri"/>
        </w:rPr>
      </w:pPr>
      <w:r w:rsidRPr="0083048B">
        <w:rPr>
          <w:rFonts w:eastAsia="Calibri" w:cs="Calibri"/>
          <w:lang w:val="en"/>
        </w:rPr>
        <w:t>Act CXXII of 2019 on the Eligibility for Social Security Benefits and the funding for these benefits (</w:t>
      </w:r>
      <w:r w:rsidRPr="0083048B">
        <w:rPr>
          <w:rFonts w:eastAsia="Calibri" w:cs="Calibri"/>
          <w:b/>
          <w:bCs/>
          <w:lang w:val="en"/>
        </w:rPr>
        <w:t xml:space="preserve">Social Security </w:t>
      </w:r>
      <w:r w:rsidRPr="0083048B">
        <w:rPr>
          <w:rFonts w:eastAsia="Calibri" w:cs="Calibri"/>
          <w:b/>
          <w:bCs/>
          <w:lang w:val="en"/>
        </w:rPr>
        <w:lastRenderedPageBreak/>
        <w:t>Eligibility Act</w:t>
      </w:r>
      <w:proofErr w:type="gramStart"/>
      <w:r w:rsidRPr="0083048B">
        <w:rPr>
          <w:rFonts w:eastAsia="Calibri" w:cs="Calibri"/>
          <w:lang w:val="en"/>
        </w:rPr>
        <w:t>);</w:t>
      </w:r>
      <w:proofErr w:type="gramEnd"/>
    </w:p>
    <w:p w14:paraId="4BA6ED8A" w14:textId="4679FBDC" w:rsidR="00E619C4" w:rsidRPr="0083048B" w:rsidRDefault="00E619C4" w:rsidP="00FD56EE">
      <w:pPr>
        <w:widowControl w:val="0"/>
        <w:numPr>
          <w:ilvl w:val="0"/>
          <w:numId w:val="22"/>
        </w:numPr>
        <w:spacing w:after="0" w:line="240" w:lineRule="auto"/>
        <w:ind w:left="567" w:right="71" w:hanging="283"/>
        <w:contextualSpacing/>
        <w:rPr>
          <w:rFonts w:eastAsia="Calibri" w:cs="Calibri"/>
        </w:rPr>
      </w:pPr>
      <w:r w:rsidRPr="0083048B">
        <w:rPr>
          <w:rFonts w:eastAsia="Calibri" w:cs="Calibri"/>
          <w:lang w:val="en"/>
        </w:rPr>
        <w:t>Act LXXXI of 1997 on Social Insurance Pensions (</w:t>
      </w:r>
      <w:r w:rsidRPr="0083048B">
        <w:rPr>
          <w:rFonts w:eastAsia="Calibri" w:cs="Calibri"/>
          <w:b/>
          <w:bCs/>
          <w:lang w:val="en"/>
        </w:rPr>
        <w:t>Pension Act</w:t>
      </w:r>
      <w:r w:rsidRPr="0083048B">
        <w:rPr>
          <w:rFonts w:eastAsia="Calibri" w:cs="Calibri"/>
          <w:lang w:val="en"/>
        </w:rPr>
        <w:t>)</w:t>
      </w:r>
      <w:r w:rsidR="00C87DA3">
        <w:rPr>
          <w:rFonts w:eastAsia="Calibri" w:cs="Calibri"/>
          <w:lang w:val="en"/>
        </w:rPr>
        <w:t>.</w:t>
      </w:r>
    </w:p>
    <w:p w14:paraId="5DF39D00" w14:textId="77777777" w:rsidR="00080763" w:rsidRPr="0083048B" w:rsidRDefault="00080763">
      <w:pPr>
        <w:widowControl w:val="0"/>
        <w:spacing w:after="0" w:line="240" w:lineRule="auto"/>
        <w:rPr>
          <w:rFonts w:eastAsia="Calibri" w:cs="Times New Roman"/>
          <w:sz w:val="24"/>
          <w:szCs w:val="24"/>
        </w:rPr>
      </w:pPr>
    </w:p>
    <w:p w14:paraId="65DAE8FB" w14:textId="77777777" w:rsidR="00046C1F" w:rsidRPr="0083048B" w:rsidRDefault="00046C1F" w:rsidP="00915585">
      <w:pPr>
        <w:widowControl w:val="0"/>
        <w:spacing w:after="0" w:line="240" w:lineRule="auto"/>
        <w:ind w:left="567" w:right="7346" w:hanging="283"/>
        <w:rPr>
          <w:rFonts w:eastAsia="Calibri" w:cs="Calibri"/>
        </w:rPr>
      </w:pPr>
      <w:r w:rsidRPr="0083048B">
        <w:rPr>
          <w:rFonts w:eastAsia="Calibri" w:cs="Calibri"/>
          <w:b/>
          <w:bCs/>
          <w:lang w:val="en"/>
        </w:rPr>
        <w:t>Government Decrees:</w:t>
      </w:r>
    </w:p>
    <w:p w14:paraId="1A28D92D" w14:textId="77777777" w:rsidR="00046C1F" w:rsidRPr="0083048B" w:rsidRDefault="00046C1F" w:rsidP="00915585">
      <w:pPr>
        <w:widowControl w:val="0"/>
        <w:spacing w:before="2" w:after="0" w:line="240" w:lineRule="exact"/>
        <w:ind w:left="567" w:hanging="283"/>
        <w:rPr>
          <w:rFonts w:eastAsia="Calibri" w:cs="Times New Roman"/>
          <w:sz w:val="24"/>
          <w:szCs w:val="24"/>
        </w:rPr>
      </w:pPr>
    </w:p>
    <w:p w14:paraId="2C204DB8" w14:textId="77777777" w:rsidR="00046C1F" w:rsidRPr="0083048B" w:rsidRDefault="00046C1F" w:rsidP="00FD56EE">
      <w:pPr>
        <w:widowControl w:val="0"/>
        <w:numPr>
          <w:ilvl w:val="0"/>
          <w:numId w:val="27"/>
        </w:numPr>
        <w:spacing w:after="0" w:line="242" w:lineRule="exact"/>
        <w:ind w:left="567" w:right="68" w:hanging="283"/>
        <w:contextualSpacing/>
        <w:rPr>
          <w:rFonts w:eastAsia="Calibri" w:cs="Calibri"/>
        </w:rPr>
      </w:pPr>
      <w:r w:rsidRPr="0083048B">
        <w:rPr>
          <w:rFonts w:eastAsia="Calibri" w:cs="Calibri"/>
          <w:lang w:val="en"/>
        </w:rPr>
        <w:t xml:space="preserve">Government Decree No 399/2007 (XII. 27.) on the Special features of the annual financial </w:t>
      </w:r>
      <w:proofErr w:type="gramStart"/>
      <w:r w:rsidRPr="0083048B">
        <w:rPr>
          <w:rFonts w:eastAsia="Calibri" w:cs="Calibri"/>
          <w:lang w:val="en"/>
        </w:rPr>
        <w:t>statements</w:t>
      </w:r>
      <w:proofErr w:type="gramEnd"/>
      <w:r w:rsidRPr="0083048B">
        <w:rPr>
          <w:rFonts w:eastAsia="Calibri" w:cs="Calibri"/>
          <w:lang w:val="en"/>
        </w:rPr>
        <w:t xml:space="preserve"> preparation and bookkeeping obligations of occupational pension provider institutions;</w:t>
      </w:r>
    </w:p>
    <w:p w14:paraId="6E52526C" w14:textId="77777777" w:rsidR="00046C1F" w:rsidRPr="0083048B" w:rsidRDefault="00046C1F" w:rsidP="00FD56EE">
      <w:pPr>
        <w:widowControl w:val="0"/>
        <w:numPr>
          <w:ilvl w:val="0"/>
          <w:numId w:val="27"/>
        </w:numPr>
        <w:spacing w:after="0" w:line="242" w:lineRule="exact"/>
        <w:ind w:left="567" w:right="68" w:hanging="283"/>
        <w:contextualSpacing/>
        <w:rPr>
          <w:rFonts w:eastAsia="Calibri" w:cs="Calibri"/>
        </w:rPr>
      </w:pPr>
      <w:r w:rsidRPr="0083048B">
        <w:rPr>
          <w:rFonts w:eastAsia="Calibri" w:cs="Calibri"/>
          <w:lang w:val="en"/>
        </w:rPr>
        <w:t xml:space="preserve">Government Decree No 461/2015 (XII. 29.) on the Calculation of the solvency capital requirements of occupational pension provider </w:t>
      </w:r>
      <w:proofErr w:type="gramStart"/>
      <w:r w:rsidRPr="0083048B">
        <w:rPr>
          <w:rFonts w:eastAsia="Calibri" w:cs="Calibri"/>
          <w:lang w:val="en"/>
        </w:rPr>
        <w:t>institutions;</w:t>
      </w:r>
      <w:proofErr w:type="gramEnd"/>
    </w:p>
    <w:p w14:paraId="6730FD7B" w14:textId="77777777" w:rsidR="00D50CD9" w:rsidRPr="0083048B" w:rsidRDefault="00D50CD9" w:rsidP="00FD56EE">
      <w:pPr>
        <w:widowControl w:val="0"/>
        <w:numPr>
          <w:ilvl w:val="0"/>
          <w:numId w:val="27"/>
        </w:numPr>
        <w:spacing w:after="0" w:line="242" w:lineRule="exact"/>
        <w:ind w:left="567" w:right="68" w:hanging="283"/>
        <w:contextualSpacing/>
        <w:rPr>
          <w:rFonts w:eastAsia="Calibri" w:cs="Calibri"/>
        </w:rPr>
      </w:pPr>
      <w:r w:rsidRPr="0083048B">
        <w:rPr>
          <w:rFonts w:eastAsia="Calibri" w:cs="Calibri"/>
          <w:lang w:val="en"/>
        </w:rPr>
        <w:t>Government Decree No 276/2018 (XII. 21.) on the rules for the forecasting of expected pension benefits provided by occupational pension providers</w:t>
      </w:r>
    </w:p>
    <w:p w14:paraId="5D794873" w14:textId="77777777" w:rsidR="00824E0B" w:rsidRPr="0083048B" w:rsidRDefault="00824E0B" w:rsidP="00D4027D">
      <w:pPr>
        <w:widowControl w:val="0"/>
        <w:spacing w:before="11" w:after="0" w:line="240" w:lineRule="exact"/>
        <w:rPr>
          <w:rFonts w:eastAsia="Calibri" w:cs="Times New Roman"/>
          <w:sz w:val="24"/>
          <w:szCs w:val="24"/>
        </w:rPr>
      </w:pPr>
    </w:p>
    <w:p w14:paraId="10DD4BC8" w14:textId="77777777" w:rsidR="00046C1F" w:rsidRPr="0083048B" w:rsidRDefault="00046C1F" w:rsidP="00915585">
      <w:pPr>
        <w:widowControl w:val="0"/>
        <w:spacing w:after="0" w:line="240" w:lineRule="auto"/>
        <w:ind w:left="567" w:right="7631" w:hanging="283"/>
        <w:rPr>
          <w:rFonts w:eastAsia="Calibri" w:cs="Calibri"/>
        </w:rPr>
      </w:pPr>
      <w:r w:rsidRPr="0083048B">
        <w:rPr>
          <w:rFonts w:eastAsia="Calibri" w:cs="Calibri"/>
          <w:b/>
          <w:bCs/>
          <w:lang w:val="en"/>
        </w:rPr>
        <w:t>MNB Decree:</w:t>
      </w:r>
    </w:p>
    <w:p w14:paraId="14B0EFA1" w14:textId="77777777" w:rsidR="00046C1F" w:rsidRPr="0083048B" w:rsidRDefault="00046C1F" w:rsidP="00915585">
      <w:pPr>
        <w:widowControl w:val="0"/>
        <w:spacing w:before="3" w:after="0" w:line="240" w:lineRule="exact"/>
        <w:ind w:left="567" w:hanging="283"/>
        <w:rPr>
          <w:rFonts w:eastAsia="Calibri" w:cs="Times New Roman"/>
          <w:sz w:val="24"/>
          <w:szCs w:val="24"/>
        </w:rPr>
      </w:pPr>
    </w:p>
    <w:p w14:paraId="62E5C143" w14:textId="77777777" w:rsidR="0020724C" w:rsidRPr="00FB11F1" w:rsidRDefault="00046C1F" w:rsidP="00824E0B">
      <w:pPr>
        <w:spacing w:line="240" w:lineRule="auto"/>
        <w:ind w:left="284"/>
      </w:pPr>
      <w:r w:rsidRPr="0083048B">
        <w:rPr>
          <w:lang w:val="en"/>
        </w:rPr>
        <w:t>MNB Decree No 60/2023 (XI. 24.) on the obligations of funds and occupational pension provider institutions to report data to the central bank’s information system primarily to enable the Magyar Nemzeti Bank to carry out its supervisory duties.</w:t>
      </w:r>
    </w:p>
    <w:sectPr w:rsidR="0020724C" w:rsidRPr="00FB11F1" w:rsidSect="00426992">
      <w:headerReference w:type="default" r:id="rId9"/>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30AD" w14:textId="77777777" w:rsidR="00DD3CEC" w:rsidRDefault="00DD3CEC">
      <w:r>
        <w:separator/>
      </w:r>
    </w:p>
  </w:endnote>
  <w:endnote w:type="continuationSeparator" w:id="0">
    <w:p w14:paraId="629DDE26" w14:textId="77777777" w:rsidR="00DD3CEC" w:rsidRDefault="00DD3CEC">
      <w:r>
        <w:continuationSeparator/>
      </w:r>
    </w:p>
  </w:endnote>
  <w:endnote w:type="continuationNotice" w:id="1">
    <w:p w14:paraId="51291869" w14:textId="77777777" w:rsidR="00DD3CEC" w:rsidRDefault="00DD3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1603" w14:textId="77777777" w:rsidR="00DD3CEC" w:rsidRDefault="00DD3CEC">
      <w:r>
        <w:separator/>
      </w:r>
    </w:p>
  </w:footnote>
  <w:footnote w:type="continuationSeparator" w:id="0">
    <w:p w14:paraId="66516D98" w14:textId="77777777" w:rsidR="00DD3CEC" w:rsidRDefault="00DD3CEC">
      <w:r>
        <w:continuationSeparator/>
      </w:r>
    </w:p>
  </w:footnote>
  <w:footnote w:type="continuationNotice" w:id="1">
    <w:p w14:paraId="09ACA7D6" w14:textId="77777777" w:rsidR="00DD3CEC" w:rsidRDefault="00DD3CEC">
      <w:pPr>
        <w:spacing w:after="0" w:line="240" w:lineRule="auto"/>
      </w:pPr>
    </w:p>
  </w:footnote>
  <w:footnote w:id="2">
    <w:p w14:paraId="7075D7D1" w14:textId="77777777" w:rsidR="002903E1" w:rsidRPr="007A750A" w:rsidRDefault="002903E1" w:rsidP="00D4027D">
      <w:pPr>
        <w:pStyle w:val="FootnoteText"/>
        <w:spacing w:after="0" w:line="240" w:lineRule="auto"/>
        <w:rPr>
          <w:color w:val="auto"/>
        </w:rPr>
      </w:pPr>
      <w:r w:rsidRPr="007A750A">
        <w:rPr>
          <w:rStyle w:val="FootnoteReference"/>
          <w:color w:val="auto"/>
          <w:lang w:val="en"/>
        </w:rPr>
        <w:footnoteRef/>
      </w:r>
      <w:r w:rsidRPr="007A750A">
        <w:rPr>
          <w:color w:val="auto"/>
          <w:lang w:val="en"/>
        </w:rPr>
        <w:t xml:space="preserve"> </w:t>
      </w:r>
      <w:proofErr w:type="gramStart"/>
      <w:r w:rsidRPr="007A750A">
        <w:rPr>
          <w:color w:val="auto"/>
          <w:lang w:val="en"/>
        </w:rPr>
        <w:t>As a general rule</w:t>
      </w:r>
      <w:proofErr w:type="gramEnd"/>
      <w:r w:rsidRPr="007A750A">
        <w:rPr>
          <w:color w:val="auto"/>
          <w:lang w:val="en"/>
        </w:rPr>
        <w:t>, it will enter into effect on 28 June 2025.</w:t>
      </w:r>
    </w:p>
  </w:footnote>
  <w:footnote w:id="3">
    <w:p w14:paraId="73E5684A" w14:textId="77777777" w:rsidR="00024072" w:rsidRDefault="00024072" w:rsidP="00D4027D">
      <w:pPr>
        <w:pStyle w:val="FootnoteText"/>
        <w:spacing w:after="0" w:line="240" w:lineRule="auto"/>
      </w:pPr>
      <w:r w:rsidRPr="007A750A">
        <w:rPr>
          <w:rStyle w:val="FootnoteReference"/>
          <w:color w:val="auto"/>
          <w:lang w:val="en"/>
        </w:rPr>
        <w:footnoteRef/>
      </w:r>
      <w:r w:rsidRPr="007A750A">
        <w:rPr>
          <w:color w:val="auto"/>
          <w:lang w:val="en"/>
        </w:rPr>
        <w:t xml:space="preserve"> </w:t>
      </w:r>
      <w:proofErr w:type="gramStart"/>
      <w:r w:rsidRPr="007A750A">
        <w:rPr>
          <w:color w:val="auto"/>
          <w:lang w:val="en"/>
        </w:rPr>
        <w:t>As a general rule</w:t>
      </w:r>
      <w:proofErr w:type="gramEnd"/>
      <w:r w:rsidRPr="007A750A">
        <w:rPr>
          <w:color w:val="auto"/>
          <w:lang w:val="en"/>
        </w:rPr>
        <w:t>, the Digital Services Act will enter into effect on 1 July 2024, with Part Five entering into effect on 1 June 2025.</w:t>
      </w:r>
    </w:p>
  </w:footnote>
  <w:footnote w:id="4">
    <w:p w14:paraId="42DEDE09" w14:textId="77777777" w:rsidR="00C822EA" w:rsidRDefault="00C822EA" w:rsidP="00D4027D">
      <w:pPr>
        <w:pStyle w:val="FootnoteText"/>
        <w:spacing w:after="0" w:line="240" w:lineRule="auto"/>
      </w:pPr>
      <w:r w:rsidRPr="00156EB7">
        <w:rPr>
          <w:rStyle w:val="FootnoteReference"/>
          <w:color w:val="auto"/>
          <w:lang w:val="en"/>
        </w:rPr>
        <w:footnoteRef/>
      </w:r>
      <w:r w:rsidRPr="00156EB7">
        <w:rPr>
          <w:color w:val="auto"/>
          <w:lang w:val="en"/>
        </w:rPr>
        <w:t xml:space="preserve"> In consideration of Sections 80–81 of Act XCIII of 2021 on the Coordination of </w:t>
      </w:r>
      <w:proofErr w:type="spellStart"/>
      <w:r w:rsidRPr="00156EB7">
        <w:rPr>
          <w:color w:val="auto"/>
          <w:lang w:val="en"/>
        </w:rPr>
        <w:t>Defence</w:t>
      </w:r>
      <w:proofErr w:type="spellEnd"/>
      <w:r w:rsidRPr="00156EB7">
        <w:rPr>
          <w:color w:val="auto"/>
          <w:lang w:val="en"/>
        </w:rPr>
        <w:t xml:space="preserve"> and Security Activities.</w:t>
      </w:r>
    </w:p>
  </w:footnote>
  <w:footnote w:id="5">
    <w:p w14:paraId="7AF8E28C" w14:textId="77777777" w:rsidR="000E217B" w:rsidRPr="00F83EF2" w:rsidRDefault="000E217B" w:rsidP="00D4027D">
      <w:pPr>
        <w:pStyle w:val="FootnoteText"/>
        <w:spacing w:after="0" w:line="240" w:lineRule="auto"/>
        <w:rPr>
          <w:color w:val="auto"/>
        </w:rPr>
      </w:pPr>
      <w:r w:rsidRPr="00F83EF2">
        <w:rPr>
          <w:rStyle w:val="FootnoteReference"/>
          <w:color w:val="auto"/>
          <w:lang w:val="en"/>
        </w:rPr>
        <w:footnoteRef/>
      </w:r>
      <w:r w:rsidRPr="00F83EF2">
        <w:rPr>
          <w:color w:val="auto"/>
          <w:lang w:val="en"/>
        </w:rPr>
        <w:t xml:space="preserve"> In consideration of Sections 80–81 of Act XCIII of 2021 on the Coordination of </w:t>
      </w:r>
      <w:proofErr w:type="spellStart"/>
      <w:r w:rsidRPr="00F83EF2">
        <w:rPr>
          <w:color w:val="auto"/>
          <w:lang w:val="en"/>
        </w:rPr>
        <w:t>Defence</w:t>
      </w:r>
      <w:proofErr w:type="spellEnd"/>
      <w:r w:rsidRPr="00F83EF2">
        <w:rPr>
          <w:color w:val="auto"/>
          <w:lang w:val="en"/>
        </w:rPr>
        <w:t xml:space="preserve"> and Security Activities.</w:t>
      </w:r>
    </w:p>
  </w:footnote>
  <w:footnote w:id="6">
    <w:p w14:paraId="3918088D" w14:textId="77777777" w:rsidR="000E217B" w:rsidRPr="00F83EF2" w:rsidRDefault="000E217B" w:rsidP="00D4027D">
      <w:pPr>
        <w:pStyle w:val="FootnoteText"/>
        <w:spacing w:after="0" w:line="240" w:lineRule="auto"/>
        <w:rPr>
          <w:color w:val="auto"/>
        </w:rPr>
      </w:pPr>
      <w:r w:rsidRPr="00F83EF2">
        <w:rPr>
          <w:rStyle w:val="FootnoteReference"/>
          <w:color w:val="auto"/>
          <w:lang w:val="en"/>
        </w:rPr>
        <w:footnoteRef/>
      </w:r>
      <w:r w:rsidRPr="00F83EF2">
        <w:rPr>
          <w:color w:val="auto"/>
          <w:lang w:val="en"/>
        </w:rPr>
        <w:t xml:space="preserve"> In consideration of Sections 80–81 of Act XCIII of 2021 on the Coordination of </w:t>
      </w:r>
      <w:proofErr w:type="spellStart"/>
      <w:r w:rsidRPr="00F83EF2">
        <w:rPr>
          <w:color w:val="auto"/>
          <w:lang w:val="en"/>
        </w:rPr>
        <w:t>Defence</w:t>
      </w:r>
      <w:proofErr w:type="spellEnd"/>
      <w:r w:rsidRPr="00F83EF2">
        <w:rPr>
          <w:color w:val="auto"/>
          <w:lang w:val="en"/>
        </w:rPr>
        <w:t xml:space="preserve"> and Security Activities.</w:t>
      </w:r>
    </w:p>
  </w:footnote>
  <w:footnote w:id="7">
    <w:p w14:paraId="6A0CCE14" w14:textId="77777777" w:rsidR="000E217B" w:rsidRPr="00F83EF2" w:rsidRDefault="000E217B" w:rsidP="00D4027D">
      <w:pPr>
        <w:pStyle w:val="FootnoteText"/>
        <w:spacing w:after="0" w:line="240" w:lineRule="auto"/>
        <w:rPr>
          <w:color w:val="auto"/>
        </w:rPr>
      </w:pPr>
      <w:r w:rsidRPr="00F83EF2">
        <w:rPr>
          <w:rStyle w:val="FootnoteReference"/>
          <w:color w:val="auto"/>
          <w:lang w:val="en"/>
        </w:rPr>
        <w:footnoteRef/>
      </w:r>
      <w:r w:rsidRPr="00F83EF2">
        <w:rPr>
          <w:color w:val="auto"/>
          <w:lang w:val="en"/>
        </w:rPr>
        <w:t xml:space="preserve"> In consideration of Sections 80–81 of Act XCIII of 2021 on the Coordination of </w:t>
      </w:r>
      <w:proofErr w:type="spellStart"/>
      <w:r w:rsidRPr="00F83EF2">
        <w:rPr>
          <w:color w:val="auto"/>
          <w:lang w:val="en"/>
        </w:rPr>
        <w:t>Defence</w:t>
      </w:r>
      <w:proofErr w:type="spellEnd"/>
      <w:r w:rsidRPr="00F83EF2">
        <w:rPr>
          <w:color w:val="auto"/>
          <w:lang w:val="en"/>
        </w:rPr>
        <w:t xml:space="preserve"> and Security Activities.</w:t>
      </w:r>
    </w:p>
  </w:footnote>
  <w:footnote w:id="8">
    <w:p w14:paraId="084AD2B3" w14:textId="77777777" w:rsidR="000E217B" w:rsidRDefault="000E217B" w:rsidP="00D4027D">
      <w:pPr>
        <w:pStyle w:val="FootnoteText"/>
        <w:spacing w:after="0" w:line="240" w:lineRule="auto"/>
      </w:pPr>
      <w:r w:rsidRPr="00F83EF2">
        <w:rPr>
          <w:rStyle w:val="FootnoteReference"/>
          <w:color w:val="auto"/>
          <w:lang w:val="en"/>
        </w:rPr>
        <w:footnoteRef/>
      </w:r>
      <w:r w:rsidRPr="00F83EF2">
        <w:rPr>
          <w:color w:val="auto"/>
          <w:lang w:val="en"/>
        </w:rPr>
        <w:t xml:space="preserve"> In consideration of Sections 80–81 of Act XCIII of 2021 on the Coordination of </w:t>
      </w:r>
      <w:proofErr w:type="spellStart"/>
      <w:r w:rsidRPr="00F83EF2">
        <w:rPr>
          <w:color w:val="auto"/>
          <w:lang w:val="en"/>
        </w:rPr>
        <w:t>Defence</w:t>
      </w:r>
      <w:proofErr w:type="spellEnd"/>
      <w:r w:rsidRPr="00F83EF2">
        <w:rPr>
          <w:color w:val="auto"/>
          <w:lang w:val="en"/>
        </w:rPr>
        <w:t xml:space="preserve"> and Security Activities.</w:t>
      </w:r>
    </w:p>
  </w:footnote>
  <w:footnote w:id="9">
    <w:p w14:paraId="3981D30D" w14:textId="77777777" w:rsidR="004F2F08" w:rsidRPr="00776DAA" w:rsidRDefault="004F2F08" w:rsidP="00D4027D">
      <w:pPr>
        <w:pStyle w:val="FootnoteText"/>
        <w:spacing w:after="0" w:line="240" w:lineRule="auto"/>
        <w:rPr>
          <w:color w:val="auto"/>
        </w:rPr>
      </w:pPr>
      <w:r w:rsidRPr="00776DAA">
        <w:rPr>
          <w:rStyle w:val="FootnoteReference"/>
          <w:color w:val="auto"/>
          <w:lang w:val="en"/>
        </w:rPr>
        <w:footnoteRef/>
      </w:r>
      <w:r w:rsidRPr="00776DAA">
        <w:rPr>
          <w:color w:val="auto"/>
          <w:lang w:val="en"/>
        </w:rPr>
        <w:t xml:space="preserve"> In consideration of Sections 80–81 of Act XCIII of 2021 on the Coordination of </w:t>
      </w:r>
      <w:proofErr w:type="spellStart"/>
      <w:r w:rsidRPr="00776DAA">
        <w:rPr>
          <w:color w:val="auto"/>
          <w:lang w:val="en"/>
        </w:rPr>
        <w:t>Defence</w:t>
      </w:r>
      <w:proofErr w:type="spellEnd"/>
      <w:r w:rsidRPr="00776DAA">
        <w:rPr>
          <w:color w:val="auto"/>
          <w:lang w:val="en"/>
        </w:rPr>
        <w:t xml:space="preserve"> and Security Activities.</w:t>
      </w:r>
    </w:p>
  </w:footnote>
  <w:footnote w:id="10">
    <w:p w14:paraId="448A7223" w14:textId="77777777" w:rsidR="004F2F08" w:rsidRDefault="004F2F08" w:rsidP="00D4027D">
      <w:pPr>
        <w:pStyle w:val="FootnoteText"/>
        <w:spacing w:after="0" w:line="240" w:lineRule="auto"/>
      </w:pPr>
      <w:r w:rsidRPr="00776DAA">
        <w:rPr>
          <w:rStyle w:val="FootnoteReference"/>
          <w:color w:val="auto"/>
          <w:lang w:val="en"/>
        </w:rPr>
        <w:footnoteRef/>
      </w:r>
      <w:r w:rsidRPr="00776DAA">
        <w:rPr>
          <w:color w:val="auto"/>
          <w:lang w:val="en"/>
        </w:rPr>
        <w:t xml:space="preserve"> In consideration of Sections 80–81 of Act XCIII of 2021 on the Coordination of </w:t>
      </w:r>
      <w:proofErr w:type="spellStart"/>
      <w:r w:rsidRPr="00776DAA">
        <w:rPr>
          <w:color w:val="auto"/>
          <w:lang w:val="en"/>
        </w:rPr>
        <w:t>Defence</w:t>
      </w:r>
      <w:proofErr w:type="spellEnd"/>
      <w:r w:rsidRPr="00776DAA">
        <w:rPr>
          <w:color w:val="auto"/>
          <w:lang w:val="en"/>
        </w:rPr>
        <w:t xml:space="preserve"> and Security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1E50"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E87"/>
    <w:multiLevelType w:val="hybridMultilevel"/>
    <w:tmpl w:val="6F18555A"/>
    <w:lvl w:ilvl="0" w:tplc="8FB8FA42">
      <w:start w:val="1"/>
      <w:numFmt w:val="decimal"/>
      <w:lvlText w:val="%1."/>
      <w:lvlJc w:val="left"/>
      <w:pPr>
        <w:ind w:left="928"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4913A1"/>
    <w:multiLevelType w:val="hybridMultilevel"/>
    <w:tmpl w:val="5B52AA78"/>
    <w:lvl w:ilvl="0" w:tplc="FFFFFFFF">
      <w:start w:val="1"/>
      <w:numFmt w:val="decimal"/>
      <w:lvlText w:val="%1."/>
      <w:lvlJc w:val="left"/>
      <w:pPr>
        <w:ind w:left="54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39670C"/>
    <w:multiLevelType w:val="hybridMultilevel"/>
    <w:tmpl w:val="F768F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75746C"/>
    <w:multiLevelType w:val="hybridMultilevel"/>
    <w:tmpl w:val="5F965FD2"/>
    <w:lvl w:ilvl="0" w:tplc="2F1221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8" w15:restartNumberingAfterBreak="0">
    <w:nsid w:val="148A1566"/>
    <w:multiLevelType w:val="hybridMultilevel"/>
    <w:tmpl w:val="3EF0E5CE"/>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9"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79B43F8"/>
    <w:multiLevelType w:val="hybridMultilevel"/>
    <w:tmpl w:val="9488B4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8B34D5E"/>
    <w:multiLevelType w:val="hybridMultilevel"/>
    <w:tmpl w:val="90EC22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C3E33D6"/>
    <w:multiLevelType w:val="hybridMultilevel"/>
    <w:tmpl w:val="26E6C2A6"/>
    <w:lvl w:ilvl="0" w:tplc="FFFFFFFF">
      <w:start w:val="1"/>
      <w:numFmt w:val="decimal"/>
      <w:lvlText w:val="%1."/>
      <w:lvlJc w:val="left"/>
      <w:pPr>
        <w:ind w:left="54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4" w15:restartNumberingAfterBreak="0">
    <w:nsid w:val="21666EA0"/>
    <w:multiLevelType w:val="hybridMultilevel"/>
    <w:tmpl w:val="72AA4926"/>
    <w:lvl w:ilvl="0" w:tplc="040E000F">
      <w:start w:val="1"/>
      <w:numFmt w:val="decimal"/>
      <w:lvlText w:val="%1."/>
      <w:lvlJc w:val="left"/>
      <w:pPr>
        <w:ind w:left="1196" w:hanging="360"/>
      </w:pPr>
    </w:lvl>
    <w:lvl w:ilvl="1" w:tplc="040E000F">
      <w:start w:val="1"/>
      <w:numFmt w:val="decimal"/>
      <w:lvlText w:val="%2."/>
      <w:lvlJc w:val="left"/>
      <w:pPr>
        <w:ind w:left="1916" w:hanging="360"/>
      </w:pPr>
    </w:lvl>
    <w:lvl w:ilvl="2" w:tplc="040E001B" w:tentative="1">
      <w:start w:val="1"/>
      <w:numFmt w:val="lowerRoman"/>
      <w:lvlText w:val="%3."/>
      <w:lvlJc w:val="right"/>
      <w:pPr>
        <w:ind w:left="2636" w:hanging="180"/>
      </w:pPr>
    </w:lvl>
    <w:lvl w:ilvl="3" w:tplc="040E000F" w:tentative="1">
      <w:start w:val="1"/>
      <w:numFmt w:val="decimal"/>
      <w:lvlText w:val="%4."/>
      <w:lvlJc w:val="left"/>
      <w:pPr>
        <w:ind w:left="3356" w:hanging="360"/>
      </w:pPr>
    </w:lvl>
    <w:lvl w:ilvl="4" w:tplc="040E0019" w:tentative="1">
      <w:start w:val="1"/>
      <w:numFmt w:val="lowerLetter"/>
      <w:lvlText w:val="%5."/>
      <w:lvlJc w:val="left"/>
      <w:pPr>
        <w:ind w:left="4076" w:hanging="360"/>
      </w:pPr>
    </w:lvl>
    <w:lvl w:ilvl="5" w:tplc="040E001B" w:tentative="1">
      <w:start w:val="1"/>
      <w:numFmt w:val="lowerRoman"/>
      <w:lvlText w:val="%6."/>
      <w:lvlJc w:val="right"/>
      <w:pPr>
        <w:ind w:left="4796" w:hanging="180"/>
      </w:pPr>
    </w:lvl>
    <w:lvl w:ilvl="6" w:tplc="040E000F" w:tentative="1">
      <w:start w:val="1"/>
      <w:numFmt w:val="decimal"/>
      <w:lvlText w:val="%7."/>
      <w:lvlJc w:val="left"/>
      <w:pPr>
        <w:ind w:left="5516" w:hanging="360"/>
      </w:pPr>
    </w:lvl>
    <w:lvl w:ilvl="7" w:tplc="040E0019" w:tentative="1">
      <w:start w:val="1"/>
      <w:numFmt w:val="lowerLetter"/>
      <w:lvlText w:val="%8."/>
      <w:lvlJc w:val="left"/>
      <w:pPr>
        <w:ind w:left="6236" w:hanging="360"/>
      </w:pPr>
    </w:lvl>
    <w:lvl w:ilvl="8" w:tplc="040E001B" w:tentative="1">
      <w:start w:val="1"/>
      <w:numFmt w:val="lowerRoman"/>
      <w:lvlText w:val="%9."/>
      <w:lvlJc w:val="right"/>
      <w:pPr>
        <w:ind w:left="6956" w:hanging="180"/>
      </w:pPr>
    </w:lvl>
  </w:abstractNum>
  <w:abstractNum w:abstractNumId="15" w15:restartNumberingAfterBreak="0">
    <w:nsid w:val="247F60DE"/>
    <w:multiLevelType w:val="hybridMultilevel"/>
    <w:tmpl w:val="79341F56"/>
    <w:lvl w:ilvl="0" w:tplc="DF1CF0F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26CE67D2"/>
    <w:multiLevelType w:val="hybridMultilevel"/>
    <w:tmpl w:val="E2DA7030"/>
    <w:lvl w:ilvl="0" w:tplc="12AA6C5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3257008C"/>
    <w:multiLevelType w:val="hybridMultilevel"/>
    <w:tmpl w:val="3EF0E5CE"/>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0" w15:restartNumberingAfterBreak="0">
    <w:nsid w:val="333F2B1D"/>
    <w:multiLevelType w:val="hybridMultilevel"/>
    <w:tmpl w:val="28C6A854"/>
    <w:lvl w:ilvl="0" w:tplc="4B044726">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6F34E44"/>
    <w:multiLevelType w:val="hybridMultilevel"/>
    <w:tmpl w:val="B33A4CDC"/>
    <w:lvl w:ilvl="0" w:tplc="207CBFE2">
      <w:start w:val="1"/>
      <w:numFmt w:val="decimal"/>
      <w:lvlText w:val="%1."/>
      <w:lvlJc w:val="left"/>
      <w:pPr>
        <w:ind w:left="720" w:hanging="360"/>
      </w:pPr>
      <w:rPr>
        <w:rFonts w:ascii="Calibri" w:eastAsia="Calibri" w:hAnsi="Calibri"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7957FBA"/>
    <w:multiLevelType w:val="hybridMultilevel"/>
    <w:tmpl w:val="D1A68A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B253520"/>
    <w:multiLevelType w:val="hybridMultilevel"/>
    <w:tmpl w:val="28C6A85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F51B8E"/>
    <w:multiLevelType w:val="hybridMultilevel"/>
    <w:tmpl w:val="A560CA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436D71DE"/>
    <w:multiLevelType w:val="multilevel"/>
    <w:tmpl w:val="A7388A36"/>
    <w:lvl w:ilvl="0">
      <w:start w:val="1"/>
      <w:numFmt w:val="decimal"/>
      <w:lvlText w:val="%1."/>
      <w:lvlJc w:val="left"/>
      <w:pPr>
        <w:ind w:left="720" w:hanging="360"/>
      </w:pPr>
    </w:lvl>
    <w:lvl w:ilvl="1">
      <w:start w:val="3"/>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1908" w:hanging="72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27"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4DA464D8"/>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15:restartNumberingAfterBreak="0">
    <w:nsid w:val="4E444025"/>
    <w:multiLevelType w:val="hybridMultilevel"/>
    <w:tmpl w:val="EF78955E"/>
    <w:lvl w:ilvl="0" w:tplc="01B28028">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30" w15:restartNumberingAfterBreak="0">
    <w:nsid w:val="4E513BBB"/>
    <w:multiLevelType w:val="hybridMultilevel"/>
    <w:tmpl w:val="53F2DDBE"/>
    <w:lvl w:ilvl="0" w:tplc="040E000F">
      <w:start w:val="1"/>
      <w:numFmt w:val="decimal"/>
      <w:lvlText w:val="%1."/>
      <w:lvlJc w:val="left"/>
      <w:pPr>
        <w:ind w:left="5463"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0DB279D"/>
    <w:multiLevelType w:val="hybridMultilevel"/>
    <w:tmpl w:val="F130880E"/>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2" w15:restartNumberingAfterBreak="0">
    <w:nsid w:val="55A26B57"/>
    <w:multiLevelType w:val="hybridMultilevel"/>
    <w:tmpl w:val="2A02E1EA"/>
    <w:lvl w:ilvl="0" w:tplc="6D4ED0E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C7F2F44"/>
    <w:multiLevelType w:val="hybridMultilevel"/>
    <w:tmpl w:val="F670D644"/>
    <w:lvl w:ilvl="0" w:tplc="F952449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CC366DD"/>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5" w15:restartNumberingAfterBreak="0">
    <w:nsid w:val="62C435CB"/>
    <w:multiLevelType w:val="hybridMultilevel"/>
    <w:tmpl w:val="F538240E"/>
    <w:lvl w:ilvl="0" w:tplc="B4EC4FB8">
      <w:start w:val="1"/>
      <w:numFmt w:val="decimal"/>
      <w:lvlText w:val="%1."/>
      <w:lvlJc w:val="left"/>
      <w:pPr>
        <w:ind w:left="720" w:hanging="360"/>
      </w:pPr>
      <w:rPr>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410079F"/>
    <w:multiLevelType w:val="hybridMultilevel"/>
    <w:tmpl w:val="5B52AA78"/>
    <w:lvl w:ilvl="0" w:tplc="FFFFFFFF">
      <w:start w:val="1"/>
      <w:numFmt w:val="decimal"/>
      <w:lvlText w:val="%1."/>
      <w:lvlJc w:val="left"/>
      <w:pPr>
        <w:ind w:left="54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7573A7"/>
    <w:multiLevelType w:val="hybridMultilevel"/>
    <w:tmpl w:val="357A08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9AE0B05"/>
    <w:multiLevelType w:val="hybridMultilevel"/>
    <w:tmpl w:val="E95CFE9C"/>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9" w15:restartNumberingAfterBreak="0">
    <w:nsid w:val="6B304DE0"/>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0" w15:restartNumberingAfterBreak="0">
    <w:nsid w:val="6BC64BA4"/>
    <w:multiLevelType w:val="hybridMultilevel"/>
    <w:tmpl w:val="51D81E50"/>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1"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2" w15:restartNumberingAfterBreak="0">
    <w:nsid w:val="70415056"/>
    <w:multiLevelType w:val="hybridMultilevel"/>
    <w:tmpl w:val="5AD035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4" w15:restartNumberingAfterBreak="0">
    <w:nsid w:val="76492380"/>
    <w:multiLevelType w:val="hybridMultilevel"/>
    <w:tmpl w:val="6F18555A"/>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0C03AB"/>
    <w:multiLevelType w:val="hybridMultilevel"/>
    <w:tmpl w:val="1C9A8CA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7" w15:restartNumberingAfterBreak="0">
    <w:nsid w:val="7B0E24CF"/>
    <w:multiLevelType w:val="hybridMultilevel"/>
    <w:tmpl w:val="81FE51E2"/>
    <w:lvl w:ilvl="0" w:tplc="B4C2F47E">
      <w:start w:val="1"/>
      <w:numFmt w:val="decimal"/>
      <w:lvlText w:val="%1."/>
      <w:lvlJc w:val="left"/>
      <w:pPr>
        <w:ind w:left="1778" w:hanging="360"/>
      </w:pPr>
      <w:rPr>
        <w:rFonts w:ascii="Calibri" w:eastAsia="Calibri" w:hAnsi="Calibri" w:cs="Calibri"/>
      </w:rPr>
    </w:lvl>
    <w:lvl w:ilvl="1" w:tplc="65A02F32">
      <w:numFmt w:val="bullet"/>
      <w:lvlText w:val="-"/>
      <w:lvlJc w:val="left"/>
      <w:pPr>
        <w:ind w:left="2498" w:hanging="360"/>
      </w:pPr>
      <w:rPr>
        <w:rFonts w:ascii="Times New Roman" w:eastAsia="Times New Roman" w:hAnsi="Times New Roman" w:cs="Times New Roman" w:hint="default"/>
      </w:r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48" w15:restartNumberingAfterBreak="0">
    <w:nsid w:val="7DF91E45"/>
    <w:multiLevelType w:val="hybridMultilevel"/>
    <w:tmpl w:val="CC4873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83903236">
    <w:abstractNumId w:val="13"/>
  </w:num>
  <w:num w:numId="2" w16cid:durableId="1805999220">
    <w:abstractNumId w:val="6"/>
  </w:num>
  <w:num w:numId="3" w16cid:durableId="1264612719">
    <w:abstractNumId w:val="2"/>
  </w:num>
  <w:num w:numId="4" w16cid:durableId="1874802302">
    <w:abstractNumId w:val="3"/>
  </w:num>
  <w:num w:numId="5" w16cid:durableId="1399934600">
    <w:abstractNumId w:val="9"/>
  </w:num>
  <w:num w:numId="6" w16cid:durableId="1987586424">
    <w:abstractNumId w:val="41"/>
  </w:num>
  <w:num w:numId="7" w16cid:durableId="33966804">
    <w:abstractNumId w:val="43"/>
  </w:num>
  <w:num w:numId="8" w16cid:durableId="1940605514">
    <w:abstractNumId w:val="17"/>
  </w:num>
  <w:num w:numId="9" w16cid:durableId="2057391752">
    <w:abstractNumId w:val="29"/>
  </w:num>
  <w:num w:numId="10" w16cid:durableId="2118714956">
    <w:abstractNumId w:val="0"/>
  </w:num>
  <w:num w:numId="11" w16cid:durableId="1259942384">
    <w:abstractNumId w:val="47"/>
  </w:num>
  <w:num w:numId="12" w16cid:durableId="1121728765">
    <w:abstractNumId w:val="32"/>
  </w:num>
  <w:num w:numId="13" w16cid:durableId="660742482">
    <w:abstractNumId w:val="26"/>
  </w:num>
  <w:num w:numId="14" w16cid:durableId="258754376">
    <w:abstractNumId w:val="30"/>
  </w:num>
  <w:num w:numId="15" w16cid:durableId="1176770284">
    <w:abstractNumId w:val="28"/>
  </w:num>
  <w:num w:numId="16" w16cid:durableId="856965540">
    <w:abstractNumId w:val="10"/>
  </w:num>
  <w:num w:numId="17" w16cid:durableId="426657958">
    <w:abstractNumId w:val="39"/>
  </w:num>
  <w:num w:numId="18" w16cid:durableId="209002800">
    <w:abstractNumId w:val="34"/>
  </w:num>
  <w:num w:numId="19" w16cid:durableId="2074813515">
    <w:abstractNumId w:val="20"/>
  </w:num>
  <w:num w:numId="20" w16cid:durableId="1111783352">
    <w:abstractNumId w:val="37"/>
  </w:num>
  <w:num w:numId="21" w16cid:durableId="2066836696">
    <w:abstractNumId w:val="35"/>
  </w:num>
  <w:num w:numId="22" w16cid:durableId="1282154490">
    <w:abstractNumId w:val="11"/>
  </w:num>
  <w:num w:numId="23" w16cid:durableId="2082874456">
    <w:abstractNumId w:val="8"/>
  </w:num>
  <w:num w:numId="24" w16cid:durableId="1835533642">
    <w:abstractNumId w:val="14"/>
  </w:num>
  <w:num w:numId="25" w16cid:durableId="1967344505">
    <w:abstractNumId w:val="24"/>
  </w:num>
  <w:num w:numId="26" w16cid:durableId="845821696">
    <w:abstractNumId w:val="21"/>
  </w:num>
  <w:num w:numId="27" w16cid:durableId="1593392378">
    <w:abstractNumId w:val="48"/>
  </w:num>
  <w:num w:numId="28" w16cid:durableId="215901302">
    <w:abstractNumId w:val="46"/>
  </w:num>
  <w:num w:numId="29" w16cid:durableId="319584091">
    <w:abstractNumId w:val="7"/>
  </w:num>
  <w:num w:numId="30" w16cid:durableId="2066759940">
    <w:abstractNumId w:val="42"/>
  </w:num>
  <w:num w:numId="31" w16cid:durableId="1938833059">
    <w:abstractNumId w:val="25"/>
    <w:lvlOverride w:ilvl="0">
      <w:startOverride w:val="1"/>
    </w:lvlOverride>
  </w:num>
  <w:num w:numId="32" w16cid:durableId="1040320467">
    <w:abstractNumId w:val="33"/>
  </w:num>
  <w:num w:numId="33" w16cid:durableId="430585637">
    <w:abstractNumId w:val="19"/>
  </w:num>
  <w:num w:numId="34" w16cid:durableId="1233851058">
    <w:abstractNumId w:val="25"/>
  </w:num>
  <w:num w:numId="35" w16cid:durableId="523134463">
    <w:abstractNumId w:val="27"/>
  </w:num>
  <w:num w:numId="36" w16cid:durableId="998997933">
    <w:abstractNumId w:val="18"/>
  </w:num>
  <w:num w:numId="37" w16cid:durableId="1181696541">
    <w:abstractNumId w:val="12"/>
  </w:num>
  <w:num w:numId="38" w16cid:durableId="497383989">
    <w:abstractNumId w:val="22"/>
  </w:num>
  <w:num w:numId="39" w16cid:durableId="466974872">
    <w:abstractNumId w:val="25"/>
    <w:lvlOverride w:ilvl="0">
      <w:startOverride w:val="1"/>
    </w:lvlOverride>
  </w:num>
  <w:num w:numId="40" w16cid:durableId="1472865869">
    <w:abstractNumId w:val="4"/>
  </w:num>
  <w:num w:numId="41" w16cid:durableId="916551491">
    <w:abstractNumId w:val="38"/>
  </w:num>
  <w:num w:numId="42" w16cid:durableId="410473030">
    <w:abstractNumId w:val="25"/>
    <w:lvlOverride w:ilvl="0">
      <w:startOverride w:val="1"/>
    </w:lvlOverride>
  </w:num>
  <w:num w:numId="43" w16cid:durableId="845367822">
    <w:abstractNumId w:val="25"/>
    <w:lvlOverride w:ilvl="0">
      <w:startOverride w:val="1"/>
    </w:lvlOverride>
  </w:num>
  <w:num w:numId="44" w16cid:durableId="1579092754">
    <w:abstractNumId w:val="31"/>
  </w:num>
  <w:num w:numId="45" w16cid:durableId="2043818033">
    <w:abstractNumId w:val="40"/>
  </w:num>
  <w:num w:numId="46" w16cid:durableId="997266308">
    <w:abstractNumId w:val="15"/>
  </w:num>
  <w:num w:numId="47" w16cid:durableId="732505747">
    <w:abstractNumId w:val="16"/>
  </w:num>
  <w:num w:numId="48" w16cid:durableId="1471245218">
    <w:abstractNumId w:val="25"/>
    <w:lvlOverride w:ilvl="0">
      <w:startOverride w:val="1"/>
    </w:lvlOverride>
  </w:num>
  <w:num w:numId="49" w16cid:durableId="525871417">
    <w:abstractNumId w:val="45"/>
  </w:num>
  <w:num w:numId="50" w16cid:durableId="273945014">
    <w:abstractNumId w:val="5"/>
  </w:num>
  <w:num w:numId="51" w16cid:durableId="901257089">
    <w:abstractNumId w:val="36"/>
  </w:num>
  <w:num w:numId="52" w16cid:durableId="1247229722">
    <w:abstractNumId w:val="23"/>
  </w:num>
  <w:num w:numId="53" w16cid:durableId="580411866">
    <w:abstractNumId w:val="25"/>
    <w:lvlOverride w:ilvl="0">
      <w:startOverride w:val="1"/>
    </w:lvlOverride>
  </w:num>
  <w:num w:numId="54" w16cid:durableId="1546983283">
    <w:abstractNumId w:val="1"/>
  </w:num>
  <w:num w:numId="55" w16cid:durableId="786042687">
    <w:abstractNumId w:val="44"/>
  </w:num>
  <w:num w:numId="56" w16cid:durableId="1489595301">
    <w:abstractNumId w:val="25"/>
    <w:lvlOverride w:ilvl="0">
      <w:startOverride w:val="1"/>
    </w:lvlOverride>
  </w:num>
  <w:num w:numId="57" w16cid:durableId="450708408">
    <w:abstractNumId w:val="25"/>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C1F"/>
    <w:rsid w:val="000006E3"/>
    <w:rsid w:val="00000CD1"/>
    <w:rsid w:val="0000273C"/>
    <w:rsid w:val="000068A4"/>
    <w:rsid w:val="00011287"/>
    <w:rsid w:val="0001650D"/>
    <w:rsid w:val="00017B1B"/>
    <w:rsid w:val="00020EF2"/>
    <w:rsid w:val="00021B75"/>
    <w:rsid w:val="00024072"/>
    <w:rsid w:val="0002498B"/>
    <w:rsid w:val="000250E6"/>
    <w:rsid w:val="00027695"/>
    <w:rsid w:val="00027B62"/>
    <w:rsid w:val="00031ACD"/>
    <w:rsid w:val="00031E2A"/>
    <w:rsid w:val="00033357"/>
    <w:rsid w:val="000354A0"/>
    <w:rsid w:val="00035697"/>
    <w:rsid w:val="00035EBC"/>
    <w:rsid w:val="00045053"/>
    <w:rsid w:val="00046C1F"/>
    <w:rsid w:val="0005577F"/>
    <w:rsid w:val="00056F44"/>
    <w:rsid w:val="00057A77"/>
    <w:rsid w:val="00060148"/>
    <w:rsid w:val="00063216"/>
    <w:rsid w:val="0006374F"/>
    <w:rsid w:val="00064546"/>
    <w:rsid w:val="000674BE"/>
    <w:rsid w:val="00067BE2"/>
    <w:rsid w:val="00067C0C"/>
    <w:rsid w:val="000700E9"/>
    <w:rsid w:val="00075D75"/>
    <w:rsid w:val="00080763"/>
    <w:rsid w:val="0008131E"/>
    <w:rsid w:val="00081934"/>
    <w:rsid w:val="000831EC"/>
    <w:rsid w:val="00085528"/>
    <w:rsid w:val="00087B77"/>
    <w:rsid w:val="00087E97"/>
    <w:rsid w:val="000904C4"/>
    <w:rsid w:val="00091EA1"/>
    <w:rsid w:val="00092232"/>
    <w:rsid w:val="000933F2"/>
    <w:rsid w:val="00096129"/>
    <w:rsid w:val="000A3A63"/>
    <w:rsid w:val="000A4427"/>
    <w:rsid w:val="000A71F3"/>
    <w:rsid w:val="000B0F22"/>
    <w:rsid w:val="000B5418"/>
    <w:rsid w:val="000B5CE4"/>
    <w:rsid w:val="000C2918"/>
    <w:rsid w:val="000C3019"/>
    <w:rsid w:val="000C4E70"/>
    <w:rsid w:val="000C701E"/>
    <w:rsid w:val="000C701F"/>
    <w:rsid w:val="000D1C8B"/>
    <w:rsid w:val="000D1E44"/>
    <w:rsid w:val="000D2E4E"/>
    <w:rsid w:val="000D40AE"/>
    <w:rsid w:val="000D4F61"/>
    <w:rsid w:val="000D5F26"/>
    <w:rsid w:val="000E217B"/>
    <w:rsid w:val="000E2CBD"/>
    <w:rsid w:val="000E4EE3"/>
    <w:rsid w:val="000E61EA"/>
    <w:rsid w:val="000F2858"/>
    <w:rsid w:val="000F2AE0"/>
    <w:rsid w:val="000F30B8"/>
    <w:rsid w:val="000F5155"/>
    <w:rsid w:val="000F68FE"/>
    <w:rsid w:val="00100699"/>
    <w:rsid w:val="00101654"/>
    <w:rsid w:val="00101916"/>
    <w:rsid w:val="0010447E"/>
    <w:rsid w:val="0010496C"/>
    <w:rsid w:val="00110868"/>
    <w:rsid w:val="001132C6"/>
    <w:rsid w:val="00113C88"/>
    <w:rsid w:val="001255A4"/>
    <w:rsid w:val="00132260"/>
    <w:rsid w:val="00133A51"/>
    <w:rsid w:val="001356A6"/>
    <w:rsid w:val="001357D0"/>
    <w:rsid w:val="00136260"/>
    <w:rsid w:val="001362BE"/>
    <w:rsid w:val="0013639D"/>
    <w:rsid w:val="00136A81"/>
    <w:rsid w:val="001421CC"/>
    <w:rsid w:val="00143691"/>
    <w:rsid w:val="00150045"/>
    <w:rsid w:val="00152DBF"/>
    <w:rsid w:val="00156EB7"/>
    <w:rsid w:val="00162D7D"/>
    <w:rsid w:val="00166F6C"/>
    <w:rsid w:val="00167157"/>
    <w:rsid w:val="001747F6"/>
    <w:rsid w:val="00175D8C"/>
    <w:rsid w:val="001772D9"/>
    <w:rsid w:val="0018359E"/>
    <w:rsid w:val="0018406C"/>
    <w:rsid w:val="00184D8D"/>
    <w:rsid w:val="00185681"/>
    <w:rsid w:val="0018619A"/>
    <w:rsid w:val="001870A7"/>
    <w:rsid w:val="00193A36"/>
    <w:rsid w:val="00197350"/>
    <w:rsid w:val="001974E9"/>
    <w:rsid w:val="001A2BAA"/>
    <w:rsid w:val="001A4066"/>
    <w:rsid w:val="001A4284"/>
    <w:rsid w:val="001A54B8"/>
    <w:rsid w:val="001A5599"/>
    <w:rsid w:val="001B1DD9"/>
    <w:rsid w:val="001B3486"/>
    <w:rsid w:val="001B611A"/>
    <w:rsid w:val="001C0FAA"/>
    <w:rsid w:val="001C24F1"/>
    <w:rsid w:val="001C466F"/>
    <w:rsid w:val="001C5C33"/>
    <w:rsid w:val="001D2DDA"/>
    <w:rsid w:val="001D4211"/>
    <w:rsid w:val="001D5999"/>
    <w:rsid w:val="001D59FD"/>
    <w:rsid w:val="001D60A8"/>
    <w:rsid w:val="001D7401"/>
    <w:rsid w:val="001E0CD2"/>
    <w:rsid w:val="001E34FF"/>
    <w:rsid w:val="001E4231"/>
    <w:rsid w:val="001E621D"/>
    <w:rsid w:val="001F0ADA"/>
    <w:rsid w:val="001F0E5D"/>
    <w:rsid w:val="001F1610"/>
    <w:rsid w:val="001F2EDC"/>
    <w:rsid w:val="001F6474"/>
    <w:rsid w:val="002012AD"/>
    <w:rsid w:val="00201BBC"/>
    <w:rsid w:val="00203E8F"/>
    <w:rsid w:val="00206642"/>
    <w:rsid w:val="0020724C"/>
    <w:rsid w:val="00212164"/>
    <w:rsid w:val="00214230"/>
    <w:rsid w:val="0021484C"/>
    <w:rsid w:val="0022056B"/>
    <w:rsid w:val="00222AC5"/>
    <w:rsid w:val="0022764E"/>
    <w:rsid w:val="00233EE6"/>
    <w:rsid w:val="002345E0"/>
    <w:rsid w:val="00237F58"/>
    <w:rsid w:val="00240C97"/>
    <w:rsid w:val="0024525F"/>
    <w:rsid w:val="00250565"/>
    <w:rsid w:val="00250F42"/>
    <w:rsid w:val="002522F1"/>
    <w:rsid w:val="002602F5"/>
    <w:rsid w:val="00260439"/>
    <w:rsid w:val="002611AE"/>
    <w:rsid w:val="0026180A"/>
    <w:rsid w:val="00270724"/>
    <w:rsid w:val="00271371"/>
    <w:rsid w:val="00271603"/>
    <w:rsid w:val="00273052"/>
    <w:rsid w:val="0027402D"/>
    <w:rsid w:val="002751D4"/>
    <w:rsid w:val="0028561D"/>
    <w:rsid w:val="002866DE"/>
    <w:rsid w:val="00287D15"/>
    <w:rsid w:val="002903E1"/>
    <w:rsid w:val="00290D47"/>
    <w:rsid w:val="002920DE"/>
    <w:rsid w:val="00292177"/>
    <w:rsid w:val="002A3B0E"/>
    <w:rsid w:val="002B1E92"/>
    <w:rsid w:val="002B3674"/>
    <w:rsid w:val="002B4D45"/>
    <w:rsid w:val="002B5CD9"/>
    <w:rsid w:val="002B62BB"/>
    <w:rsid w:val="002B6B78"/>
    <w:rsid w:val="002B6D25"/>
    <w:rsid w:val="002B78E0"/>
    <w:rsid w:val="002B7D3F"/>
    <w:rsid w:val="002C1CB4"/>
    <w:rsid w:val="002C1F70"/>
    <w:rsid w:val="002C728F"/>
    <w:rsid w:val="002C7AB8"/>
    <w:rsid w:val="002C7D4D"/>
    <w:rsid w:val="002C7DD0"/>
    <w:rsid w:val="002D2133"/>
    <w:rsid w:val="002D5E55"/>
    <w:rsid w:val="002E4750"/>
    <w:rsid w:val="002E7880"/>
    <w:rsid w:val="002F34ED"/>
    <w:rsid w:val="002F602F"/>
    <w:rsid w:val="00300EE3"/>
    <w:rsid w:val="00302136"/>
    <w:rsid w:val="00302377"/>
    <w:rsid w:val="00303201"/>
    <w:rsid w:val="00305088"/>
    <w:rsid w:val="00306B18"/>
    <w:rsid w:val="0031177B"/>
    <w:rsid w:val="00313246"/>
    <w:rsid w:val="003137C7"/>
    <w:rsid w:val="00317472"/>
    <w:rsid w:val="003225C9"/>
    <w:rsid w:val="003231ED"/>
    <w:rsid w:val="00327A74"/>
    <w:rsid w:val="00332BED"/>
    <w:rsid w:val="00333CE5"/>
    <w:rsid w:val="00340018"/>
    <w:rsid w:val="00341BB5"/>
    <w:rsid w:val="00343614"/>
    <w:rsid w:val="00343C94"/>
    <w:rsid w:val="00344DD0"/>
    <w:rsid w:val="0035125C"/>
    <w:rsid w:val="0035153B"/>
    <w:rsid w:val="003524A6"/>
    <w:rsid w:val="003548F7"/>
    <w:rsid w:val="00355AFC"/>
    <w:rsid w:val="003701D4"/>
    <w:rsid w:val="003704B1"/>
    <w:rsid w:val="003707F0"/>
    <w:rsid w:val="00370B6C"/>
    <w:rsid w:val="0037175B"/>
    <w:rsid w:val="003728FE"/>
    <w:rsid w:val="00373BD2"/>
    <w:rsid w:val="003748CA"/>
    <w:rsid w:val="0037696F"/>
    <w:rsid w:val="00380643"/>
    <w:rsid w:val="003824BF"/>
    <w:rsid w:val="003827F0"/>
    <w:rsid w:val="003842C1"/>
    <w:rsid w:val="0039023D"/>
    <w:rsid w:val="003904C5"/>
    <w:rsid w:val="00391B59"/>
    <w:rsid w:val="00392029"/>
    <w:rsid w:val="00395B14"/>
    <w:rsid w:val="00395BD5"/>
    <w:rsid w:val="00395D13"/>
    <w:rsid w:val="00397F34"/>
    <w:rsid w:val="003A0193"/>
    <w:rsid w:val="003A1C14"/>
    <w:rsid w:val="003A1E6A"/>
    <w:rsid w:val="003B12B2"/>
    <w:rsid w:val="003B46BE"/>
    <w:rsid w:val="003C5699"/>
    <w:rsid w:val="003C5866"/>
    <w:rsid w:val="003D04DD"/>
    <w:rsid w:val="003D21B9"/>
    <w:rsid w:val="003D4624"/>
    <w:rsid w:val="003D52BC"/>
    <w:rsid w:val="003E19A9"/>
    <w:rsid w:val="003E4D66"/>
    <w:rsid w:val="003F128A"/>
    <w:rsid w:val="004040F0"/>
    <w:rsid w:val="0041484F"/>
    <w:rsid w:val="004159C9"/>
    <w:rsid w:val="00417BA8"/>
    <w:rsid w:val="00420986"/>
    <w:rsid w:val="00423D50"/>
    <w:rsid w:val="00423E54"/>
    <w:rsid w:val="00425B7F"/>
    <w:rsid w:val="00426992"/>
    <w:rsid w:val="0042739A"/>
    <w:rsid w:val="0043276D"/>
    <w:rsid w:val="004330EA"/>
    <w:rsid w:val="00434DC6"/>
    <w:rsid w:val="004413FF"/>
    <w:rsid w:val="00442ABF"/>
    <w:rsid w:val="00442D3C"/>
    <w:rsid w:val="004451FE"/>
    <w:rsid w:val="00453087"/>
    <w:rsid w:val="00455A38"/>
    <w:rsid w:val="004614D9"/>
    <w:rsid w:val="00461C51"/>
    <w:rsid w:val="004620EF"/>
    <w:rsid w:val="00465939"/>
    <w:rsid w:val="00466B21"/>
    <w:rsid w:val="0047029F"/>
    <w:rsid w:val="00471C15"/>
    <w:rsid w:val="004729CE"/>
    <w:rsid w:val="00472D96"/>
    <w:rsid w:val="0047318F"/>
    <w:rsid w:val="00474131"/>
    <w:rsid w:val="00474392"/>
    <w:rsid w:val="0047745E"/>
    <w:rsid w:val="0048183A"/>
    <w:rsid w:val="00481BA2"/>
    <w:rsid w:val="004873FA"/>
    <w:rsid w:val="00491483"/>
    <w:rsid w:val="004919C2"/>
    <w:rsid w:val="004924CA"/>
    <w:rsid w:val="00494C89"/>
    <w:rsid w:val="004A58E3"/>
    <w:rsid w:val="004A5F09"/>
    <w:rsid w:val="004A659C"/>
    <w:rsid w:val="004B1A68"/>
    <w:rsid w:val="004B6B91"/>
    <w:rsid w:val="004C195A"/>
    <w:rsid w:val="004C6ADE"/>
    <w:rsid w:val="004C78F9"/>
    <w:rsid w:val="004D270F"/>
    <w:rsid w:val="004D455D"/>
    <w:rsid w:val="004D7635"/>
    <w:rsid w:val="004E2835"/>
    <w:rsid w:val="004E2BA2"/>
    <w:rsid w:val="004F1BAA"/>
    <w:rsid w:val="004F2F08"/>
    <w:rsid w:val="004F3ECF"/>
    <w:rsid w:val="004F3F92"/>
    <w:rsid w:val="004F42D5"/>
    <w:rsid w:val="004F72B9"/>
    <w:rsid w:val="0050045B"/>
    <w:rsid w:val="00501172"/>
    <w:rsid w:val="0050156E"/>
    <w:rsid w:val="00503A99"/>
    <w:rsid w:val="0050657B"/>
    <w:rsid w:val="00513B1F"/>
    <w:rsid w:val="00513D76"/>
    <w:rsid w:val="0051486A"/>
    <w:rsid w:val="005149CD"/>
    <w:rsid w:val="00516455"/>
    <w:rsid w:val="00517847"/>
    <w:rsid w:val="005178AC"/>
    <w:rsid w:val="0052546E"/>
    <w:rsid w:val="0052584F"/>
    <w:rsid w:val="005312FD"/>
    <w:rsid w:val="00531A51"/>
    <w:rsid w:val="005341D8"/>
    <w:rsid w:val="00544851"/>
    <w:rsid w:val="00544934"/>
    <w:rsid w:val="00557A68"/>
    <w:rsid w:val="00561175"/>
    <w:rsid w:val="005648EE"/>
    <w:rsid w:val="00567325"/>
    <w:rsid w:val="00571C3C"/>
    <w:rsid w:val="00571DA6"/>
    <w:rsid w:val="005763C5"/>
    <w:rsid w:val="00581D24"/>
    <w:rsid w:val="00581F90"/>
    <w:rsid w:val="0058459E"/>
    <w:rsid w:val="00586D4D"/>
    <w:rsid w:val="0059055E"/>
    <w:rsid w:val="005A011E"/>
    <w:rsid w:val="005A3531"/>
    <w:rsid w:val="005A3DDE"/>
    <w:rsid w:val="005A3E4A"/>
    <w:rsid w:val="005A4253"/>
    <w:rsid w:val="005A5B99"/>
    <w:rsid w:val="005A788E"/>
    <w:rsid w:val="005B0A26"/>
    <w:rsid w:val="005C3F73"/>
    <w:rsid w:val="005C41C1"/>
    <w:rsid w:val="005C498A"/>
    <w:rsid w:val="005C5BB7"/>
    <w:rsid w:val="005C68E1"/>
    <w:rsid w:val="005D06AE"/>
    <w:rsid w:val="005D0F6F"/>
    <w:rsid w:val="005D1A2C"/>
    <w:rsid w:val="005D58BC"/>
    <w:rsid w:val="005D5DF6"/>
    <w:rsid w:val="005D5E69"/>
    <w:rsid w:val="005D72F6"/>
    <w:rsid w:val="005E0859"/>
    <w:rsid w:val="005E2171"/>
    <w:rsid w:val="005E6DA0"/>
    <w:rsid w:val="005E728B"/>
    <w:rsid w:val="005F3818"/>
    <w:rsid w:val="005F3E3D"/>
    <w:rsid w:val="005F7073"/>
    <w:rsid w:val="00602F0C"/>
    <w:rsid w:val="00603723"/>
    <w:rsid w:val="00605FAE"/>
    <w:rsid w:val="00610E45"/>
    <w:rsid w:val="00625B46"/>
    <w:rsid w:val="00626B91"/>
    <w:rsid w:val="00627BFA"/>
    <w:rsid w:val="00632367"/>
    <w:rsid w:val="00634C5A"/>
    <w:rsid w:val="006402D1"/>
    <w:rsid w:val="00642A07"/>
    <w:rsid w:val="00643529"/>
    <w:rsid w:val="00643CB4"/>
    <w:rsid w:val="00644BE4"/>
    <w:rsid w:val="006477E5"/>
    <w:rsid w:val="00670CAC"/>
    <w:rsid w:val="00671063"/>
    <w:rsid w:val="0067570F"/>
    <w:rsid w:val="00676005"/>
    <w:rsid w:val="00681108"/>
    <w:rsid w:val="00681152"/>
    <w:rsid w:val="00690C97"/>
    <w:rsid w:val="00693A4F"/>
    <w:rsid w:val="00693A86"/>
    <w:rsid w:val="0069412C"/>
    <w:rsid w:val="0069441B"/>
    <w:rsid w:val="006A54BA"/>
    <w:rsid w:val="006A66EB"/>
    <w:rsid w:val="006B0392"/>
    <w:rsid w:val="006B2726"/>
    <w:rsid w:val="006B4271"/>
    <w:rsid w:val="006B6D09"/>
    <w:rsid w:val="006C2C3D"/>
    <w:rsid w:val="006C4871"/>
    <w:rsid w:val="006C4A91"/>
    <w:rsid w:val="006C669C"/>
    <w:rsid w:val="006C6D81"/>
    <w:rsid w:val="006C700F"/>
    <w:rsid w:val="006D0881"/>
    <w:rsid w:val="006D0CC5"/>
    <w:rsid w:val="006D1352"/>
    <w:rsid w:val="006D3867"/>
    <w:rsid w:val="006D4AE8"/>
    <w:rsid w:val="006D50C1"/>
    <w:rsid w:val="006E45F8"/>
    <w:rsid w:val="006E5F78"/>
    <w:rsid w:val="006F0376"/>
    <w:rsid w:val="006F0E94"/>
    <w:rsid w:val="006F39C8"/>
    <w:rsid w:val="006F5D02"/>
    <w:rsid w:val="006F6144"/>
    <w:rsid w:val="006F78F6"/>
    <w:rsid w:val="00702E90"/>
    <w:rsid w:val="00703E97"/>
    <w:rsid w:val="0070653D"/>
    <w:rsid w:val="00707A81"/>
    <w:rsid w:val="00707C38"/>
    <w:rsid w:val="00711D3D"/>
    <w:rsid w:val="00715D39"/>
    <w:rsid w:val="00720441"/>
    <w:rsid w:val="007236B8"/>
    <w:rsid w:val="0072398E"/>
    <w:rsid w:val="00732D87"/>
    <w:rsid w:val="00737660"/>
    <w:rsid w:val="007376E0"/>
    <w:rsid w:val="00742125"/>
    <w:rsid w:val="007449DD"/>
    <w:rsid w:val="00744A1F"/>
    <w:rsid w:val="00746D82"/>
    <w:rsid w:val="007474DD"/>
    <w:rsid w:val="00750AF4"/>
    <w:rsid w:val="007529E1"/>
    <w:rsid w:val="00754A11"/>
    <w:rsid w:val="00767D3F"/>
    <w:rsid w:val="007733BC"/>
    <w:rsid w:val="00773717"/>
    <w:rsid w:val="00774306"/>
    <w:rsid w:val="00775452"/>
    <w:rsid w:val="00776DAA"/>
    <w:rsid w:val="00777BE5"/>
    <w:rsid w:val="00782B80"/>
    <w:rsid w:val="00786EF4"/>
    <w:rsid w:val="007876D3"/>
    <w:rsid w:val="00791092"/>
    <w:rsid w:val="007913EE"/>
    <w:rsid w:val="00792C7B"/>
    <w:rsid w:val="00794893"/>
    <w:rsid w:val="007978A5"/>
    <w:rsid w:val="007A2BE7"/>
    <w:rsid w:val="007A3208"/>
    <w:rsid w:val="007A750A"/>
    <w:rsid w:val="007B1174"/>
    <w:rsid w:val="007B2C52"/>
    <w:rsid w:val="007B39B9"/>
    <w:rsid w:val="007B7FC8"/>
    <w:rsid w:val="007C7263"/>
    <w:rsid w:val="007D1565"/>
    <w:rsid w:val="007D1B06"/>
    <w:rsid w:val="007D67A3"/>
    <w:rsid w:val="007D7E92"/>
    <w:rsid w:val="007E0286"/>
    <w:rsid w:val="007F0C0C"/>
    <w:rsid w:val="007F197C"/>
    <w:rsid w:val="007F1D57"/>
    <w:rsid w:val="007F576A"/>
    <w:rsid w:val="007F5BE5"/>
    <w:rsid w:val="007F5FB8"/>
    <w:rsid w:val="007F7E59"/>
    <w:rsid w:val="0080035C"/>
    <w:rsid w:val="00810C82"/>
    <w:rsid w:val="00812BCE"/>
    <w:rsid w:val="0082016D"/>
    <w:rsid w:val="008219F4"/>
    <w:rsid w:val="00823B7E"/>
    <w:rsid w:val="00824E0B"/>
    <w:rsid w:val="0083048B"/>
    <w:rsid w:val="0083252A"/>
    <w:rsid w:val="00832B3D"/>
    <w:rsid w:val="008349B3"/>
    <w:rsid w:val="0083571D"/>
    <w:rsid w:val="0083670C"/>
    <w:rsid w:val="008370C0"/>
    <w:rsid w:val="00840065"/>
    <w:rsid w:val="00840127"/>
    <w:rsid w:val="0084025C"/>
    <w:rsid w:val="00844283"/>
    <w:rsid w:val="0084582F"/>
    <w:rsid w:val="00846252"/>
    <w:rsid w:val="00847C0A"/>
    <w:rsid w:val="008512C4"/>
    <w:rsid w:val="00852120"/>
    <w:rsid w:val="008528A0"/>
    <w:rsid w:val="00860131"/>
    <w:rsid w:val="00860860"/>
    <w:rsid w:val="00863EAE"/>
    <w:rsid w:val="00864147"/>
    <w:rsid w:val="00864468"/>
    <w:rsid w:val="00866547"/>
    <w:rsid w:val="00866E71"/>
    <w:rsid w:val="008705C7"/>
    <w:rsid w:val="008736DE"/>
    <w:rsid w:val="00873D96"/>
    <w:rsid w:val="00875A8A"/>
    <w:rsid w:val="00877F95"/>
    <w:rsid w:val="008834D0"/>
    <w:rsid w:val="0089074A"/>
    <w:rsid w:val="00891740"/>
    <w:rsid w:val="008935BD"/>
    <w:rsid w:val="008936DF"/>
    <w:rsid w:val="008A1C40"/>
    <w:rsid w:val="008A5F52"/>
    <w:rsid w:val="008B1736"/>
    <w:rsid w:val="008B61E3"/>
    <w:rsid w:val="008B76AA"/>
    <w:rsid w:val="008C474C"/>
    <w:rsid w:val="008C56D8"/>
    <w:rsid w:val="008D0733"/>
    <w:rsid w:val="008D2665"/>
    <w:rsid w:val="008D6221"/>
    <w:rsid w:val="008E26F2"/>
    <w:rsid w:val="008E3579"/>
    <w:rsid w:val="008E5307"/>
    <w:rsid w:val="008E581E"/>
    <w:rsid w:val="008F4F38"/>
    <w:rsid w:val="008F662C"/>
    <w:rsid w:val="00903AC3"/>
    <w:rsid w:val="009075AA"/>
    <w:rsid w:val="0091008A"/>
    <w:rsid w:val="0091180A"/>
    <w:rsid w:val="00913E02"/>
    <w:rsid w:val="00915585"/>
    <w:rsid w:val="0091617C"/>
    <w:rsid w:val="0091620C"/>
    <w:rsid w:val="009228DF"/>
    <w:rsid w:val="009251CE"/>
    <w:rsid w:val="00925712"/>
    <w:rsid w:val="00926EA9"/>
    <w:rsid w:val="00930F98"/>
    <w:rsid w:val="00933E50"/>
    <w:rsid w:val="00934193"/>
    <w:rsid w:val="00934F6E"/>
    <w:rsid w:val="00937A0B"/>
    <w:rsid w:val="00941C36"/>
    <w:rsid w:val="0094233D"/>
    <w:rsid w:val="0094254F"/>
    <w:rsid w:val="00950ACA"/>
    <w:rsid w:val="00956857"/>
    <w:rsid w:val="00957F22"/>
    <w:rsid w:val="00961F15"/>
    <w:rsid w:val="00962FE4"/>
    <w:rsid w:val="00964BAF"/>
    <w:rsid w:val="0096635D"/>
    <w:rsid w:val="009665AC"/>
    <w:rsid w:val="009716EF"/>
    <w:rsid w:val="00974D3F"/>
    <w:rsid w:val="0098722A"/>
    <w:rsid w:val="00990B18"/>
    <w:rsid w:val="00995E9A"/>
    <w:rsid w:val="009A4F0C"/>
    <w:rsid w:val="009B2208"/>
    <w:rsid w:val="009B7F1B"/>
    <w:rsid w:val="009C09A6"/>
    <w:rsid w:val="009C6632"/>
    <w:rsid w:val="009D0800"/>
    <w:rsid w:val="009D1272"/>
    <w:rsid w:val="009D2629"/>
    <w:rsid w:val="009D3021"/>
    <w:rsid w:val="009D3B3D"/>
    <w:rsid w:val="009D4156"/>
    <w:rsid w:val="009D4CDB"/>
    <w:rsid w:val="009D5358"/>
    <w:rsid w:val="009E1E58"/>
    <w:rsid w:val="009E3A57"/>
    <w:rsid w:val="009E6387"/>
    <w:rsid w:val="009E7AC9"/>
    <w:rsid w:val="009F10C8"/>
    <w:rsid w:val="009F413A"/>
    <w:rsid w:val="00A00F2A"/>
    <w:rsid w:val="00A03212"/>
    <w:rsid w:val="00A05DE6"/>
    <w:rsid w:val="00A13B16"/>
    <w:rsid w:val="00A15B4B"/>
    <w:rsid w:val="00A167D0"/>
    <w:rsid w:val="00A16867"/>
    <w:rsid w:val="00A17909"/>
    <w:rsid w:val="00A17D69"/>
    <w:rsid w:val="00A2173F"/>
    <w:rsid w:val="00A22198"/>
    <w:rsid w:val="00A244C7"/>
    <w:rsid w:val="00A26654"/>
    <w:rsid w:val="00A26ED3"/>
    <w:rsid w:val="00A3105B"/>
    <w:rsid w:val="00A3223D"/>
    <w:rsid w:val="00A32ACC"/>
    <w:rsid w:val="00A34F95"/>
    <w:rsid w:val="00A41E83"/>
    <w:rsid w:val="00A4208C"/>
    <w:rsid w:val="00A425B8"/>
    <w:rsid w:val="00A44AA5"/>
    <w:rsid w:val="00A44C60"/>
    <w:rsid w:val="00A5096A"/>
    <w:rsid w:val="00A56BCD"/>
    <w:rsid w:val="00A57D44"/>
    <w:rsid w:val="00A60012"/>
    <w:rsid w:val="00A603EC"/>
    <w:rsid w:val="00A61263"/>
    <w:rsid w:val="00A616F5"/>
    <w:rsid w:val="00A64C6E"/>
    <w:rsid w:val="00A67877"/>
    <w:rsid w:val="00A77604"/>
    <w:rsid w:val="00A800A3"/>
    <w:rsid w:val="00A80FE3"/>
    <w:rsid w:val="00A8495F"/>
    <w:rsid w:val="00A914C4"/>
    <w:rsid w:val="00A917E0"/>
    <w:rsid w:val="00A94C01"/>
    <w:rsid w:val="00AA1260"/>
    <w:rsid w:val="00AA45AB"/>
    <w:rsid w:val="00AA47F5"/>
    <w:rsid w:val="00AA6FD2"/>
    <w:rsid w:val="00AA7D28"/>
    <w:rsid w:val="00AB3E83"/>
    <w:rsid w:val="00AB5B26"/>
    <w:rsid w:val="00AB7DBF"/>
    <w:rsid w:val="00AB7EB2"/>
    <w:rsid w:val="00AC32E7"/>
    <w:rsid w:val="00AC3ADF"/>
    <w:rsid w:val="00AC6950"/>
    <w:rsid w:val="00AD3A81"/>
    <w:rsid w:val="00AD4285"/>
    <w:rsid w:val="00AD6959"/>
    <w:rsid w:val="00AD7374"/>
    <w:rsid w:val="00AE3CD1"/>
    <w:rsid w:val="00AE41D5"/>
    <w:rsid w:val="00AE4D73"/>
    <w:rsid w:val="00AE6E41"/>
    <w:rsid w:val="00AF1C92"/>
    <w:rsid w:val="00AF7B9B"/>
    <w:rsid w:val="00B00896"/>
    <w:rsid w:val="00B01A60"/>
    <w:rsid w:val="00B06F8B"/>
    <w:rsid w:val="00B077D3"/>
    <w:rsid w:val="00B1225B"/>
    <w:rsid w:val="00B126B6"/>
    <w:rsid w:val="00B141CB"/>
    <w:rsid w:val="00B15880"/>
    <w:rsid w:val="00B1673D"/>
    <w:rsid w:val="00B21C51"/>
    <w:rsid w:val="00B21DD5"/>
    <w:rsid w:val="00B22B87"/>
    <w:rsid w:val="00B24F11"/>
    <w:rsid w:val="00B250ED"/>
    <w:rsid w:val="00B25C26"/>
    <w:rsid w:val="00B261BA"/>
    <w:rsid w:val="00B3064A"/>
    <w:rsid w:val="00B3473A"/>
    <w:rsid w:val="00B36061"/>
    <w:rsid w:val="00B36A9C"/>
    <w:rsid w:val="00B37755"/>
    <w:rsid w:val="00B37787"/>
    <w:rsid w:val="00B41A98"/>
    <w:rsid w:val="00B4230E"/>
    <w:rsid w:val="00B43827"/>
    <w:rsid w:val="00B43A86"/>
    <w:rsid w:val="00B4506F"/>
    <w:rsid w:val="00B45D0C"/>
    <w:rsid w:val="00B46F92"/>
    <w:rsid w:val="00B4727E"/>
    <w:rsid w:val="00B514D3"/>
    <w:rsid w:val="00B51E64"/>
    <w:rsid w:val="00B53C3B"/>
    <w:rsid w:val="00B54E70"/>
    <w:rsid w:val="00B55827"/>
    <w:rsid w:val="00B56865"/>
    <w:rsid w:val="00B602C9"/>
    <w:rsid w:val="00B607FF"/>
    <w:rsid w:val="00B61A31"/>
    <w:rsid w:val="00B620F3"/>
    <w:rsid w:val="00B62845"/>
    <w:rsid w:val="00B64835"/>
    <w:rsid w:val="00B64E27"/>
    <w:rsid w:val="00B662AF"/>
    <w:rsid w:val="00B66A7E"/>
    <w:rsid w:val="00B702D5"/>
    <w:rsid w:val="00B723C6"/>
    <w:rsid w:val="00B725B2"/>
    <w:rsid w:val="00B743AD"/>
    <w:rsid w:val="00B800CB"/>
    <w:rsid w:val="00B8074B"/>
    <w:rsid w:val="00B8101A"/>
    <w:rsid w:val="00B8116F"/>
    <w:rsid w:val="00B842D5"/>
    <w:rsid w:val="00B84C12"/>
    <w:rsid w:val="00B861AB"/>
    <w:rsid w:val="00B944EB"/>
    <w:rsid w:val="00B951FC"/>
    <w:rsid w:val="00BA2A45"/>
    <w:rsid w:val="00BA5D07"/>
    <w:rsid w:val="00BB27C2"/>
    <w:rsid w:val="00BB7777"/>
    <w:rsid w:val="00BB7D50"/>
    <w:rsid w:val="00BB7EA3"/>
    <w:rsid w:val="00BC14C1"/>
    <w:rsid w:val="00BC21B7"/>
    <w:rsid w:val="00BC6FF2"/>
    <w:rsid w:val="00BD0575"/>
    <w:rsid w:val="00BD0608"/>
    <w:rsid w:val="00BD12AC"/>
    <w:rsid w:val="00BD29BB"/>
    <w:rsid w:val="00BD4ECB"/>
    <w:rsid w:val="00BD75B8"/>
    <w:rsid w:val="00BE125E"/>
    <w:rsid w:val="00BE5440"/>
    <w:rsid w:val="00BE5843"/>
    <w:rsid w:val="00BE72A3"/>
    <w:rsid w:val="00BF0359"/>
    <w:rsid w:val="00BF3AF0"/>
    <w:rsid w:val="00C011C8"/>
    <w:rsid w:val="00C01E8F"/>
    <w:rsid w:val="00C0501F"/>
    <w:rsid w:val="00C0558A"/>
    <w:rsid w:val="00C06F2F"/>
    <w:rsid w:val="00C07885"/>
    <w:rsid w:val="00C1024D"/>
    <w:rsid w:val="00C136F8"/>
    <w:rsid w:val="00C14698"/>
    <w:rsid w:val="00C146F6"/>
    <w:rsid w:val="00C1563C"/>
    <w:rsid w:val="00C17469"/>
    <w:rsid w:val="00C20799"/>
    <w:rsid w:val="00C22FB8"/>
    <w:rsid w:val="00C31F64"/>
    <w:rsid w:val="00C3311A"/>
    <w:rsid w:val="00C43AC5"/>
    <w:rsid w:val="00C472C2"/>
    <w:rsid w:val="00C504DB"/>
    <w:rsid w:val="00C522BD"/>
    <w:rsid w:val="00C6146A"/>
    <w:rsid w:val="00C63F2A"/>
    <w:rsid w:val="00C64F11"/>
    <w:rsid w:val="00C70E4E"/>
    <w:rsid w:val="00C72FB8"/>
    <w:rsid w:val="00C75510"/>
    <w:rsid w:val="00C777A9"/>
    <w:rsid w:val="00C822EA"/>
    <w:rsid w:val="00C85765"/>
    <w:rsid w:val="00C87DA3"/>
    <w:rsid w:val="00C907C0"/>
    <w:rsid w:val="00C92071"/>
    <w:rsid w:val="00C93742"/>
    <w:rsid w:val="00C93837"/>
    <w:rsid w:val="00CA26D5"/>
    <w:rsid w:val="00CA2727"/>
    <w:rsid w:val="00CA398B"/>
    <w:rsid w:val="00CA639E"/>
    <w:rsid w:val="00CB357A"/>
    <w:rsid w:val="00CC4CB1"/>
    <w:rsid w:val="00CC6938"/>
    <w:rsid w:val="00CD26D7"/>
    <w:rsid w:val="00CD36BC"/>
    <w:rsid w:val="00CD6E8D"/>
    <w:rsid w:val="00CD724F"/>
    <w:rsid w:val="00CE188C"/>
    <w:rsid w:val="00CF148C"/>
    <w:rsid w:val="00CF5E31"/>
    <w:rsid w:val="00CF61D7"/>
    <w:rsid w:val="00D00D53"/>
    <w:rsid w:val="00D02170"/>
    <w:rsid w:val="00D03058"/>
    <w:rsid w:val="00D0775C"/>
    <w:rsid w:val="00D11D8B"/>
    <w:rsid w:val="00D144FA"/>
    <w:rsid w:val="00D15E3A"/>
    <w:rsid w:val="00D16C7D"/>
    <w:rsid w:val="00D21043"/>
    <w:rsid w:val="00D22BB8"/>
    <w:rsid w:val="00D265EF"/>
    <w:rsid w:val="00D2761D"/>
    <w:rsid w:val="00D33775"/>
    <w:rsid w:val="00D4027D"/>
    <w:rsid w:val="00D463F1"/>
    <w:rsid w:val="00D50CD9"/>
    <w:rsid w:val="00D524BB"/>
    <w:rsid w:val="00D531F1"/>
    <w:rsid w:val="00D550F7"/>
    <w:rsid w:val="00D561C8"/>
    <w:rsid w:val="00D57CCE"/>
    <w:rsid w:val="00D60AC9"/>
    <w:rsid w:val="00D6326C"/>
    <w:rsid w:val="00D65E8E"/>
    <w:rsid w:val="00D6703D"/>
    <w:rsid w:val="00D717DA"/>
    <w:rsid w:val="00D7659E"/>
    <w:rsid w:val="00D815CF"/>
    <w:rsid w:val="00D821A5"/>
    <w:rsid w:val="00D84BA5"/>
    <w:rsid w:val="00D87228"/>
    <w:rsid w:val="00D92784"/>
    <w:rsid w:val="00D92CBB"/>
    <w:rsid w:val="00D93AB1"/>
    <w:rsid w:val="00D946B0"/>
    <w:rsid w:val="00D9720E"/>
    <w:rsid w:val="00DA2679"/>
    <w:rsid w:val="00DA3039"/>
    <w:rsid w:val="00DA6B88"/>
    <w:rsid w:val="00DA73B6"/>
    <w:rsid w:val="00DB0E0D"/>
    <w:rsid w:val="00DB127D"/>
    <w:rsid w:val="00DC725F"/>
    <w:rsid w:val="00DD0017"/>
    <w:rsid w:val="00DD3CEC"/>
    <w:rsid w:val="00DD62AD"/>
    <w:rsid w:val="00DD7153"/>
    <w:rsid w:val="00DF2529"/>
    <w:rsid w:val="00DF4F58"/>
    <w:rsid w:val="00DF5663"/>
    <w:rsid w:val="00E008F4"/>
    <w:rsid w:val="00E0182A"/>
    <w:rsid w:val="00E02778"/>
    <w:rsid w:val="00E06746"/>
    <w:rsid w:val="00E11F2F"/>
    <w:rsid w:val="00E1269A"/>
    <w:rsid w:val="00E13A3A"/>
    <w:rsid w:val="00E13B8A"/>
    <w:rsid w:val="00E14CD2"/>
    <w:rsid w:val="00E21756"/>
    <w:rsid w:val="00E26FAC"/>
    <w:rsid w:val="00E2726E"/>
    <w:rsid w:val="00E301AE"/>
    <w:rsid w:val="00E315BC"/>
    <w:rsid w:val="00E33610"/>
    <w:rsid w:val="00E35139"/>
    <w:rsid w:val="00E44555"/>
    <w:rsid w:val="00E44B8B"/>
    <w:rsid w:val="00E4526A"/>
    <w:rsid w:val="00E46D71"/>
    <w:rsid w:val="00E50608"/>
    <w:rsid w:val="00E5165B"/>
    <w:rsid w:val="00E52ABA"/>
    <w:rsid w:val="00E5314F"/>
    <w:rsid w:val="00E55357"/>
    <w:rsid w:val="00E619C4"/>
    <w:rsid w:val="00E62D76"/>
    <w:rsid w:val="00E653E3"/>
    <w:rsid w:val="00E66AEE"/>
    <w:rsid w:val="00E70B8C"/>
    <w:rsid w:val="00E70FF5"/>
    <w:rsid w:val="00E736A7"/>
    <w:rsid w:val="00E8186C"/>
    <w:rsid w:val="00E84526"/>
    <w:rsid w:val="00E85BEA"/>
    <w:rsid w:val="00E87C26"/>
    <w:rsid w:val="00E90184"/>
    <w:rsid w:val="00E92E9A"/>
    <w:rsid w:val="00E95E90"/>
    <w:rsid w:val="00E96E1F"/>
    <w:rsid w:val="00EA2361"/>
    <w:rsid w:val="00EA4260"/>
    <w:rsid w:val="00EA6D0F"/>
    <w:rsid w:val="00EA72F1"/>
    <w:rsid w:val="00EB11D4"/>
    <w:rsid w:val="00EB25E8"/>
    <w:rsid w:val="00EB2886"/>
    <w:rsid w:val="00EB398E"/>
    <w:rsid w:val="00EC35CE"/>
    <w:rsid w:val="00EC4096"/>
    <w:rsid w:val="00EC429C"/>
    <w:rsid w:val="00EC6A51"/>
    <w:rsid w:val="00EC792C"/>
    <w:rsid w:val="00ED0199"/>
    <w:rsid w:val="00ED05AC"/>
    <w:rsid w:val="00ED10E2"/>
    <w:rsid w:val="00ED4BC5"/>
    <w:rsid w:val="00EE05E8"/>
    <w:rsid w:val="00EE4050"/>
    <w:rsid w:val="00EE4149"/>
    <w:rsid w:val="00EF4796"/>
    <w:rsid w:val="00EF4A1C"/>
    <w:rsid w:val="00F01B55"/>
    <w:rsid w:val="00F04867"/>
    <w:rsid w:val="00F04A50"/>
    <w:rsid w:val="00F04E3E"/>
    <w:rsid w:val="00F10771"/>
    <w:rsid w:val="00F1455E"/>
    <w:rsid w:val="00F15A90"/>
    <w:rsid w:val="00F173F9"/>
    <w:rsid w:val="00F205E5"/>
    <w:rsid w:val="00F327A4"/>
    <w:rsid w:val="00F37AAD"/>
    <w:rsid w:val="00F512A3"/>
    <w:rsid w:val="00F51AB4"/>
    <w:rsid w:val="00F523A8"/>
    <w:rsid w:val="00F533DE"/>
    <w:rsid w:val="00F54723"/>
    <w:rsid w:val="00F54CE7"/>
    <w:rsid w:val="00F57359"/>
    <w:rsid w:val="00F574BE"/>
    <w:rsid w:val="00F57AF5"/>
    <w:rsid w:val="00F60A86"/>
    <w:rsid w:val="00F62B87"/>
    <w:rsid w:val="00F65208"/>
    <w:rsid w:val="00F657BC"/>
    <w:rsid w:val="00F67BE6"/>
    <w:rsid w:val="00F67E20"/>
    <w:rsid w:val="00F702E1"/>
    <w:rsid w:val="00F71262"/>
    <w:rsid w:val="00F818CD"/>
    <w:rsid w:val="00F83726"/>
    <w:rsid w:val="00F83BD5"/>
    <w:rsid w:val="00F83EF2"/>
    <w:rsid w:val="00F84206"/>
    <w:rsid w:val="00F8481F"/>
    <w:rsid w:val="00F863E5"/>
    <w:rsid w:val="00F86B33"/>
    <w:rsid w:val="00F91C17"/>
    <w:rsid w:val="00F949B1"/>
    <w:rsid w:val="00F958EE"/>
    <w:rsid w:val="00F96EEB"/>
    <w:rsid w:val="00F96F8A"/>
    <w:rsid w:val="00F9761F"/>
    <w:rsid w:val="00FA102C"/>
    <w:rsid w:val="00FB11F1"/>
    <w:rsid w:val="00FB1A79"/>
    <w:rsid w:val="00FB3124"/>
    <w:rsid w:val="00FB32EE"/>
    <w:rsid w:val="00FB5C0D"/>
    <w:rsid w:val="00FB6507"/>
    <w:rsid w:val="00FC2688"/>
    <w:rsid w:val="00FC38F5"/>
    <w:rsid w:val="00FC3F05"/>
    <w:rsid w:val="00FC5616"/>
    <w:rsid w:val="00FC6412"/>
    <w:rsid w:val="00FD1074"/>
    <w:rsid w:val="00FD328C"/>
    <w:rsid w:val="00FD553F"/>
    <w:rsid w:val="00FD56EE"/>
    <w:rsid w:val="00FD7299"/>
    <w:rsid w:val="00FE2094"/>
    <w:rsid w:val="00FE6142"/>
    <w:rsid w:val="00FE6617"/>
    <w:rsid w:val="00FE764B"/>
    <w:rsid w:val="00FE7971"/>
    <w:rsid w:val="00FF0A29"/>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3009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A31"/>
    <w:pPr>
      <w:spacing w:after="150" w:line="276" w:lineRule="auto"/>
      <w:jc w:val="both"/>
    </w:pPr>
  </w:style>
  <w:style w:type="paragraph" w:styleId="Heading1">
    <w:name w:val="heading 1"/>
    <w:basedOn w:val="Normal"/>
    <w:next w:val="Normal"/>
    <w:link w:val="Heading1Char"/>
    <w:qFormat/>
    <w:rsid w:val="00B61A31"/>
    <w:pPr>
      <w:keepNext/>
      <w:keepLines/>
      <w:numPr>
        <w:numId w:val="8"/>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B61A31"/>
    <w:pPr>
      <w:numPr>
        <w:ilvl w:val="1"/>
        <w:numId w:val="8"/>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B61A31"/>
    <w:pPr>
      <w:numPr>
        <w:ilvl w:val="2"/>
        <w:numId w:val="8"/>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B61A31"/>
    <w:pPr>
      <w:numPr>
        <w:ilvl w:val="3"/>
        <w:numId w:val="8"/>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B61A31"/>
    <w:pPr>
      <w:numPr>
        <w:ilvl w:val="4"/>
        <w:numId w:val="8"/>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B61A31"/>
    <w:pPr>
      <w:numPr>
        <w:ilvl w:val="5"/>
        <w:numId w:val="8"/>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B61A31"/>
    <w:pPr>
      <w:keepNext/>
      <w:keepLines/>
      <w:numPr>
        <w:ilvl w:val="6"/>
        <w:numId w:val="8"/>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B61A31"/>
    <w:pPr>
      <w:keepNext/>
      <w:keepLines/>
      <w:numPr>
        <w:ilvl w:val="7"/>
        <w:numId w:val="8"/>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B61A31"/>
    <w:pPr>
      <w:keepNext/>
      <w:keepLines/>
      <w:numPr>
        <w:ilvl w:val="8"/>
        <w:numId w:val="8"/>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B61A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1A31"/>
  </w:style>
  <w:style w:type="table" w:customStyle="1" w:styleId="tblzat-mtrix">
    <w:name w:val="táblázat - mátrix"/>
    <w:basedOn w:val="TableNormal"/>
    <w:uiPriority w:val="2"/>
    <w:qFormat/>
    <w:rsid w:val="00B61A31"/>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B61A31"/>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B61A31"/>
    <w:pPr>
      <w:numPr>
        <w:numId w:val="31"/>
      </w:numPr>
      <w:contextualSpacing/>
    </w:pPr>
  </w:style>
  <w:style w:type="character" w:styleId="Hyperlink">
    <w:name w:val="Hyperlink"/>
    <w:basedOn w:val="EndnoteReference"/>
    <w:uiPriority w:val="99"/>
    <w:rsid w:val="00B61A31"/>
    <w:rPr>
      <w:rFonts w:ascii="Calibri" w:hAnsi="Calibri"/>
      <w:color w:val="0000FF"/>
      <w:sz w:val="20"/>
      <w:u w:val="single"/>
      <w:vertAlign w:val="superscript"/>
    </w:rPr>
  </w:style>
  <w:style w:type="table" w:customStyle="1" w:styleId="tblzat-oldallces">
    <w:name w:val="táblázat - oldalléces"/>
    <w:basedOn w:val="TableNormal"/>
    <w:uiPriority w:val="3"/>
    <w:qFormat/>
    <w:rsid w:val="00B61A31"/>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B61A31"/>
    <w:rPr>
      <w:vertAlign w:val="superscript"/>
    </w:rPr>
  </w:style>
  <w:style w:type="paragraph" w:styleId="BalloonText">
    <w:name w:val="Balloon Text"/>
    <w:basedOn w:val="Normal"/>
    <w:link w:val="BalloonTextChar"/>
    <w:uiPriority w:val="99"/>
    <w:semiHidden/>
    <w:unhideWhenUsed/>
    <w:rsid w:val="00B61A31"/>
    <w:rPr>
      <w:rFonts w:ascii="Tahoma" w:hAnsi="Tahoma" w:cs="Tahoma"/>
      <w:sz w:val="16"/>
      <w:szCs w:val="16"/>
    </w:rPr>
  </w:style>
  <w:style w:type="paragraph" w:customStyle="1" w:styleId="Magyarzszveg">
    <w:name w:val="Magyarázó szöveg"/>
    <w:basedOn w:val="Normal"/>
    <w:next w:val="Normal"/>
    <w:uiPriority w:val="7"/>
    <w:rsid w:val="00B61A31"/>
    <w:rPr>
      <w:color w:val="F6A800" w:themeColor="accent5"/>
      <w:sz w:val="18"/>
    </w:rPr>
  </w:style>
  <w:style w:type="character" w:customStyle="1" w:styleId="BalloonTextChar">
    <w:name w:val="Balloon Text Char"/>
    <w:basedOn w:val="DefaultParagraphFont"/>
    <w:link w:val="BalloonText"/>
    <w:uiPriority w:val="99"/>
    <w:semiHidden/>
    <w:rsid w:val="00B61A31"/>
    <w:rPr>
      <w:rFonts w:ascii="Tahoma" w:hAnsi="Tahoma" w:cs="Tahoma"/>
      <w:sz w:val="16"/>
      <w:szCs w:val="16"/>
    </w:rPr>
  </w:style>
  <w:style w:type="paragraph" w:styleId="Header">
    <w:name w:val="header"/>
    <w:basedOn w:val="Normal"/>
    <w:link w:val="HeaderChar"/>
    <w:uiPriority w:val="99"/>
    <w:unhideWhenUsed/>
    <w:rsid w:val="00B61A31"/>
    <w:pPr>
      <w:tabs>
        <w:tab w:val="center" w:pos="4536"/>
        <w:tab w:val="right" w:pos="9072"/>
      </w:tabs>
    </w:pPr>
  </w:style>
  <w:style w:type="character" w:customStyle="1" w:styleId="HeaderChar">
    <w:name w:val="Header Char"/>
    <w:basedOn w:val="DefaultParagraphFont"/>
    <w:link w:val="Header"/>
    <w:uiPriority w:val="99"/>
    <w:rsid w:val="00B61A31"/>
  </w:style>
  <w:style w:type="paragraph" w:styleId="Footer">
    <w:name w:val="footer"/>
    <w:basedOn w:val="Normal"/>
    <w:link w:val="FooterChar"/>
    <w:uiPriority w:val="99"/>
    <w:unhideWhenUsed/>
    <w:rsid w:val="00B61A31"/>
    <w:pPr>
      <w:tabs>
        <w:tab w:val="center" w:pos="4536"/>
        <w:tab w:val="right" w:pos="9072"/>
      </w:tabs>
    </w:pPr>
  </w:style>
  <w:style w:type="character" w:customStyle="1" w:styleId="FooterChar">
    <w:name w:val="Footer Char"/>
    <w:basedOn w:val="DefaultParagraphFont"/>
    <w:link w:val="Footer"/>
    <w:uiPriority w:val="99"/>
    <w:rsid w:val="00B61A31"/>
  </w:style>
  <w:style w:type="paragraph" w:customStyle="1" w:styleId="Szmozs">
    <w:name w:val="Számozás"/>
    <w:basedOn w:val="Normal"/>
    <w:uiPriority w:val="4"/>
    <w:qFormat/>
    <w:rsid w:val="00B61A31"/>
    <w:pPr>
      <w:numPr>
        <w:numId w:val="3"/>
      </w:numPr>
      <w:spacing w:before="120"/>
      <w:contextualSpacing/>
    </w:pPr>
  </w:style>
  <w:style w:type="table" w:styleId="TableGrid">
    <w:name w:val="Table Grid"/>
    <w:aliases w:val="Szegély nélküli"/>
    <w:basedOn w:val="TableNormal"/>
    <w:uiPriority w:val="59"/>
    <w:rsid w:val="00B61A31"/>
    <w:pPr>
      <w:contextualSpacing/>
    </w:pPr>
    <w:tblPr/>
    <w:tcPr>
      <w:vAlign w:val="center"/>
    </w:tcPr>
  </w:style>
  <w:style w:type="character" w:customStyle="1" w:styleId="Heading4Char">
    <w:name w:val="Heading 4 Char"/>
    <w:basedOn w:val="DefaultParagraphFont"/>
    <w:link w:val="Heading4"/>
    <w:rsid w:val="00B61A31"/>
    <w:rPr>
      <w:iCs/>
      <w:color w:val="0C2148" w:themeColor="text2"/>
      <w:szCs w:val="30"/>
    </w:rPr>
  </w:style>
  <w:style w:type="character" w:customStyle="1" w:styleId="Heading5Char">
    <w:name w:val="Heading 5 Char"/>
    <w:basedOn w:val="DefaultParagraphFont"/>
    <w:link w:val="Heading5"/>
    <w:rsid w:val="00B61A31"/>
    <w:rPr>
      <w:color w:val="0C2148" w:themeColor="text2"/>
      <w:szCs w:val="26"/>
    </w:rPr>
  </w:style>
  <w:style w:type="character" w:customStyle="1" w:styleId="Heading6Char">
    <w:name w:val="Heading 6 Char"/>
    <w:basedOn w:val="DefaultParagraphFont"/>
    <w:link w:val="Heading6"/>
    <w:rsid w:val="00B61A31"/>
    <w:rPr>
      <w:color w:val="0C2148" w:themeColor="text2"/>
    </w:rPr>
  </w:style>
  <w:style w:type="character" w:customStyle="1" w:styleId="Heading1Char">
    <w:name w:val="Heading 1 Char"/>
    <w:basedOn w:val="DefaultParagraphFont"/>
    <w:link w:val="Heading1"/>
    <w:rsid w:val="00B61A31"/>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B61A31"/>
    <w:rPr>
      <w:b/>
      <w:color w:val="0C2148" w:themeColor="text2"/>
      <w:sz w:val="24"/>
      <w:szCs w:val="38"/>
    </w:rPr>
  </w:style>
  <w:style w:type="character" w:customStyle="1" w:styleId="Heading3Char">
    <w:name w:val="Heading 3 Char"/>
    <w:basedOn w:val="DefaultParagraphFont"/>
    <w:link w:val="Heading3"/>
    <w:rsid w:val="00B61A31"/>
    <w:rPr>
      <w:bCs/>
      <w:color w:val="0C2148" w:themeColor="text2"/>
      <w:szCs w:val="34"/>
    </w:rPr>
  </w:style>
  <w:style w:type="paragraph" w:styleId="Title">
    <w:name w:val="Title"/>
    <w:basedOn w:val="Normal"/>
    <w:next w:val="Normal"/>
    <w:link w:val="TitleChar"/>
    <w:uiPriority w:val="3"/>
    <w:qFormat/>
    <w:rsid w:val="00B61A31"/>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B61A31"/>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B61A31"/>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B61A31"/>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B61A31"/>
    <w:rPr>
      <w:rFonts w:eastAsiaTheme="majorEastAsia" w:cstheme="majorBidi"/>
      <w:i/>
      <w:iCs/>
      <w:color w:val="404040" w:themeColor="text1" w:themeTint="BF"/>
    </w:rPr>
  </w:style>
  <w:style w:type="numbering" w:customStyle="1" w:styleId="Style1">
    <w:name w:val="Style1"/>
    <w:uiPriority w:val="99"/>
    <w:rsid w:val="00B61A31"/>
    <w:pPr>
      <w:numPr>
        <w:numId w:val="1"/>
      </w:numPr>
    </w:pPr>
  </w:style>
  <w:style w:type="paragraph" w:styleId="TOC7">
    <w:name w:val="toc 7"/>
    <w:basedOn w:val="Normal"/>
    <w:next w:val="Normal"/>
    <w:autoRedefine/>
    <w:uiPriority w:val="99"/>
    <w:semiHidden/>
    <w:locked/>
    <w:rsid w:val="00B61A31"/>
    <w:pPr>
      <w:spacing w:after="100"/>
      <w:ind w:left="1200"/>
    </w:pPr>
    <w:rPr>
      <w:color w:val="385623" w:themeColor="accent6" w:themeShade="80"/>
    </w:rPr>
  </w:style>
  <w:style w:type="paragraph" w:styleId="TOC8">
    <w:name w:val="toc 8"/>
    <w:basedOn w:val="Normal"/>
    <w:next w:val="Normal"/>
    <w:autoRedefine/>
    <w:uiPriority w:val="99"/>
    <w:semiHidden/>
    <w:locked/>
    <w:rsid w:val="00B61A31"/>
    <w:pPr>
      <w:spacing w:after="100"/>
      <w:ind w:left="1400"/>
    </w:pPr>
    <w:rPr>
      <w:color w:val="385623" w:themeColor="accent6" w:themeShade="80"/>
    </w:rPr>
  </w:style>
  <w:style w:type="paragraph" w:styleId="TOC9">
    <w:name w:val="toc 9"/>
    <w:basedOn w:val="Normal"/>
    <w:next w:val="Normal"/>
    <w:autoRedefine/>
    <w:uiPriority w:val="99"/>
    <w:semiHidden/>
    <w:locked/>
    <w:rsid w:val="00B61A31"/>
    <w:pPr>
      <w:spacing w:after="100"/>
      <w:ind w:left="1600"/>
    </w:pPr>
    <w:rPr>
      <w:color w:val="385623" w:themeColor="accent6" w:themeShade="80"/>
    </w:rPr>
  </w:style>
  <w:style w:type="table" w:customStyle="1" w:styleId="Calendar2">
    <w:name w:val="Calendar 2"/>
    <w:basedOn w:val="TableNormal"/>
    <w:uiPriority w:val="99"/>
    <w:qFormat/>
    <w:rsid w:val="00B61A31"/>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B61A31"/>
    <w:rPr>
      <w:rFonts w:eastAsiaTheme="minorEastAsia"/>
      <w:color w:val="0C2148" w:themeColor="text2"/>
      <w:sz w:val="16"/>
    </w:rPr>
  </w:style>
  <w:style w:type="character" w:customStyle="1" w:styleId="FootnoteTextChar">
    <w:name w:val="Footnote Text Char"/>
    <w:basedOn w:val="DefaultParagraphFont"/>
    <w:link w:val="FootnoteText"/>
    <w:uiPriority w:val="99"/>
    <w:rsid w:val="00B61A31"/>
    <w:rPr>
      <w:rFonts w:eastAsiaTheme="minorEastAsia"/>
      <w:color w:val="0C2148" w:themeColor="text2"/>
      <w:sz w:val="16"/>
    </w:rPr>
  </w:style>
  <w:style w:type="character" w:styleId="SubtleEmphasis">
    <w:name w:val="Subtle Emphasis"/>
    <w:basedOn w:val="DefaultParagraphFont"/>
    <w:uiPriority w:val="19"/>
    <w:qFormat/>
    <w:rsid w:val="00B61A31"/>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B61A31"/>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B61A31"/>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B61A31"/>
    <w:rPr>
      <w:color w:val="385623" w:themeColor="accent6" w:themeShade="80"/>
    </w:rPr>
  </w:style>
  <w:style w:type="character" w:customStyle="1" w:styleId="EndnoteTextChar">
    <w:name w:val="Endnote Text Char"/>
    <w:basedOn w:val="DefaultParagraphFont"/>
    <w:link w:val="EndnoteText"/>
    <w:uiPriority w:val="99"/>
    <w:semiHidden/>
    <w:rsid w:val="00B61A31"/>
    <w:rPr>
      <w:color w:val="385623" w:themeColor="accent6" w:themeShade="80"/>
    </w:rPr>
  </w:style>
  <w:style w:type="table" w:customStyle="1" w:styleId="Vilgosrnykols1jellszn1">
    <w:name w:val="Világos árnyékolás – 1. jelölőszín1"/>
    <w:basedOn w:val="TableNormal"/>
    <w:uiPriority w:val="60"/>
    <w:rsid w:val="00B61A31"/>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B61A31"/>
    <w:pPr>
      <w:numPr>
        <w:numId w:val="4"/>
      </w:numPr>
    </w:pPr>
  </w:style>
  <w:style w:type="paragraph" w:customStyle="1" w:styleId="Tblaszvegstlus">
    <w:name w:val="Tábla szöveg stílus"/>
    <w:basedOn w:val="Normal"/>
    <w:link w:val="TblaszvegstlusChar"/>
    <w:uiPriority w:val="8"/>
    <w:qFormat/>
    <w:rsid w:val="00B61A31"/>
  </w:style>
  <w:style w:type="character" w:customStyle="1" w:styleId="ListParagraphChar">
    <w:name w:val="List Paragraph Char"/>
    <w:basedOn w:val="DefaultParagraphFont"/>
    <w:link w:val="ListParagraph"/>
    <w:uiPriority w:val="4"/>
    <w:rsid w:val="00B61A31"/>
  </w:style>
  <w:style w:type="character" w:customStyle="1" w:styleId="Listaszerbekezds2Char">
    <w:name w:val="Listaszerű bekezdés 2 Char"/>
    <w:basedOn w:val="ListParagraphChar"/>
    <w:link w:val="Listaszerbekezds2"/>
    <w:uiPriority w:val="4"/>
    <w:rsid w:val="00B61A31"/>
  </w:style>
  <w:style w:type="character" w:customStyle="1" w:styleId="TblaszvegstlusChar">
    <w:name w:val="Tábla szöveg stílus Char"/>
    <w:basedOn w:val="DefaultParagraphFont"/>
    <w:link w:val="Tblaszvegstlus"/>
    <w:uiPriority w:val="8"/>
    <w:rsid w:val="00B61A31"/>
  </w:style>
  <w:style w:type="character" w:styleId="SubtleReference">
    <w:name w:val="Subtle Reference"/>
    <w:basedOn w:val="DefaultParagraphFont"/>
    <w:uiPriority w:val="31"/>
    <w:rsid w:val="00B61A31"/>
    <w:rPr>
      <w:sz w:val="24"/>
      <w:szCs w:val="24"/>
      <w:u w:val="single"/>
    </w:rPr>
  </w:style>
  <w:style w:type="character" w:styleId="IntenseReference">
    <w:name w:val="Intense Reference"/>
    <w:basedOn w:val="DefaultParagraphFont"/>
    <w:uiPriority w:val="32"/>
    <w:rsid w:val="00B61A31"/>
    <w:rPr>
      <w:b/>
      <w:sz w:val="24"/>
      <w:u w:val="single"/>
    </w:rPr>
  </w:style>
  <w:style w:type="paragraph" w:customStyle="1" w:styleId="Listaszerbekezds2szint">
    <w:name w:val="Listaszerű bekezdés 2. szint"/>
    <w:basedOn w:val="ListParagraph"/>
    <w:link w:val="Listaszerbekezds2szintChar"/>
    <w:uiPriority w:val="4"/>
    <w:qFormat/>
    <w:rsid w:val="00B61A31"/>
    <w:pPr>
      <w:numPr>
        <w:numId w:val="6"/>
      </w:numPr>
    </w:pPr>
  </w:style>
  <w:style w:type="paragraph" w:customStyle="1" w:styleId="Listaszerbekezds3szint">
    <w:name w:val="Listaszerű bekezdés 3. szint"/>
    <w:basedOn w:val="ListParagraph"/>
    <w:link w:val="Listaszerbekezds3szintChar"/>
    <w:uiPriority w:val="4"/>
    <w:qFormat/>
    <w:rsid w:val="00B61A31"/>
    <w:pPr>
      <w:numPr>
        <w:ilvl w:val="2"/>
        <w:numId w:val="7"/>
      </w:numPr>
    </w:pPr>
  </w:style>
  <w:style w:type="character" w:customStyle="1" w:styleId="Listaszerbekezds2szintChar">
    <w:name w:val="Listaszerű bekezdés 2. szint Char"/>
    <w:basedOn w:val="ListParagraphChar"/>
    <w:link w:val="Listaszerbekezds2szint"/>
    <w:uiPriority w:val="4"/>
    <w:rsid w:val="00B61A31"/>
  </w:style>
  <w:style w:type="character" w:customStyle="1" w:styleId="Listaszerbekezds3szintChar">
    <w:name w:val="Listaszerű bekezdés 3. szint Char"/>
    <w:basedOn w:val="ListParagraphChar"/>
    <w:link w:val="Listaszerbekezds3szint"/>
    <w:uiPriority w:val="4"/>
    <w:rsid w:val="00B61A31"/>
  </w:style>
  <w:style w:type="paragraph" w:styleId="Subtitle">
    <w:name w:val="Subtitle"/>
    <w:basedOn w:val="Normal"/>
    <w:next w:val="Normal"/>
    <w:link w:val="SubtitleChar"/>
    <w:uiPriority w:val="11"/>
    <w:rsid w:val="00B61A31"/>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B61A31"/>
    <w:rPr>
      <w:rFonts w:eastAsiaTheme="majorEastAsia" w:cstheme="majorBidi"/>
    </w:rPr>
  </w:style>
  <w:style w:type="paragraph" w:customStyle="1" w:styleId="Listabetvel">
    <w:name w:val="Lista betűvel"/>
    <w:basedOn w:val="ListParagraph"/>
    <w:link w:val="ListabetvelChar"/>
    <w:uiPriority w:val="4"/>
    <w:qFormat/>
    <w:rsid w:val="00B61A31"/>
    <w:pPr>
      <w:numPr>
        <w:numId w:val="5"/>
      </w:numPr>
    </w:pPr>
  </w:style>
  <w:style w:type="character" w:customStyle="1" w:styleId="ListabetvelChar">
    <w:name w:val="Lista betűvel Char"/>
    <w:basedOn w:val="ListParagraphChar"/>
    <w:link w:val="Listabetvel"/>
    <w:uiPriority w:val="4"/>
    <w:rsid w:val="00B61A31"/>
  </w:style>
  <w:style w:type="paragraph" w:customStyle="1" w:styleId="Erskiemels1">
    <w:name w:val="Erős kiemelés1"/>
    <w:basedOn w:val="Normal"/>
    <w:uiPriority w:val="5"/>
    <w:qFormat/>
    <w:rsid w:val="00045053"/>
    <w:rPr>
      <w:b/>
      <w:i/>
    </w:rPr>
  </w:style>
  <w:style w:type="character" w:customStyle="1" w:styleId="ErskiemelsChar">
    <w:name w:val="Erős kiemelés Char"/>
    <w:basedOn w:val="DefaultParagraphFont"/>
    <w:link w:val="Erskiemels"/>
    <w:uiPriority w:val="5"/>
    <w:rsid w:val="00B61A31"/>
    <w:rPr>
      <w:b/>
      <w:i/>
    </w:rPr>
  </w:style>
  <w:style w:type="paragraph" w:customStyle="1" w:styleId="Bold">
    <w:name w:val="Bold"/>
    <w:basedOn w:val="Normal"/>
    <w:link w:val="BoldChar"/>
    <w:uiPriority w:val="6"/>
    <w:qFormat/>
    <w:rsid w:val="00B61A31"/>
    <w:rPr>
      <w:b/>
    </w:rPr>
  </w:style>
  <w:style w:type="character" w:customStyle="1" w:styleId="BoldChar">
    <w:name w:val="Bold Char"/>
    <w:basedOn w:val="DefaultParagraphFont"/>
    <w:link w:val="Bold"/>
    <w:uiPriority w:val="6"/>
    <w:rsid w:val="00B61A31"/>
    <w:rPr>
      <w:b/>
    </w:rPr>
  </w:style>
  <w:style w:type="character" w:styleId="FollowedHyperlink">
    <w:name w:val="FollowedHyperlink"/>
    <w:basedOn w:val="DefaultParagraphFont"/>
    <w:uiPriority w:val="99"/>
    <w:semiHidden/>
    <w:unhideWhenUsed/>
    <w:rsid w:val="00B61A31"/>
    <w:rPr>
      <w:color w:val="954F72" w:themeColor="followedHyperlink"/>
      <w:u w:val="single"/>
    </w:rPr>
  </w:style>
  <w:style w:type="paragraph" w:styleId="TOCHeading">
    <w:name w:val="TOC Heading"/>
    <w:basedOn w:val="Heading1"/>
    <w:next w:val="Normal"/>
    <w:uiPriority w:val="39"/>
    <w:unhideWhenUsed/>
    <w:qFormat/>
    <w:rsid w:val="00B61A31"/>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B61A31"/>
    <w:pPr>
      <w:spacing w:after="100"/>
      <w:ind w:left="220"/>
      <w:jc w:val="left"/>
    </w:pPr>
    <w:rPr>
      <w:rFonts w:eastAsiaTheme="minorEastAsia"/>
    </w:rPr>
  </w:style>
  <w:style w:type="paragraph" w:styleId="TOC1">
    <w:name w:val="toc 1"/>
    <w:basedOn w:val="Normal"/>
    <w:next w:val="Normal"/>
    <w:autoRedefine/>
    <w:uiPriority w:val="39"/>
    <w:unhideWhenUsed/>
    <w:qFormat/>
    <w:locked/>
    <w:rsid w:val="00B61A31"/>
    <w:pPr>
      <w:spacing w:after="100"/>
      <w:jc w:val="left"/>
    </w:pPr>
    <w:rPr>
      <w:rFonts w:eastAsiaTheme="minorEastAsia"/>
    </w:rPr>
  </w:style>
  <w:style w:type="paragraph" w:styleId="TOC3">
    <w:name w:val="toc 3"/>
    <w:basedOn w:val="Normal"/>
    <w:next w:val="Normal"/>
    <w:uiPriority w:val="39"/>
    <w:unhideWhenUsed/>
    <w:qFormat/>
    <w:locked/>
    <w:rsid w:val="00B61A31"/>
    <w:pPr>
      <w:spacing w:after="100"/>
      <w:ind w:left="400"/>
    </w:pPr>
  </w:style>
  <w:style w:type="paragraph" w:customStyle="1" w:styleId="StyleTOC2Left015">
    <w:name w:val="Style TOC 2 + Left:  0.15&quot;"/>
    <w:basedOn w:val="TOC2"/>
    <w:rsid w:val="00B61A31"/>
    <w:pPr>
      <w:ind w:left="216"/>
    </w:pPr>
    <w:rPr>
      <w:rFonts w:eastAsia="Times New Roman" w:cs="Times New Roman"/>
    </w:rPr>
  </w:style>
  <w:style w:type="paragraph" w:customStyle="1" w:styleId="StyleTOC3Left031">
    <w:name w:val="Style TOC 3 + Left:  0.31&quot;"/>
    <w:basedOn w:val="TOC3"/>
    <w:rsid w:val="00B61A31"/>
    <w:pPr>
      <w:ind w:left="446"/>
    </w:pPr>
    <w:rPr>
      <w:rFonts w:eastAsia="Times New Roman" w:cs="Times New Roman"/>
    </w:rPr>
  </w:style>
  <w:style w:type="numbering" w:customStyle="1" w:styleId="Hierarchikuslista">
    <w:name w:val="Hierarchikus lista"/>
    <w:uiPriority w:val="99"/>
    <w:rsid w:val="00B61A31"/>
    <w:pPr>
      <w:numPr>
        <w:numId w:val="2"/>
      </w:numPr>
    </w:pPr>
  </w:style>
  <w:style w:type="paragraph" w:customStyle="1" w:styleId="HierarchikusLista0">
    <w:name w:val="Hierarchikus Lista"/>
    <w:basedOn w:val="ListParagraph"/>
    <w:link w:val="HierarchikusListaChar"/>
    <w:qFormat/>
    <w:rsid w:val="00B61A31"/>
    <w:pPr>
      <w:numPr>
        <w:numId w:val="0"/>
      </w:numPr>
    </w:pPr>
  </w:style>
  <w:style w:type="character" w:customStyle="1" w:styleId="HierarchikusListaChar">
    <w:name w:val="Hierarchikus Lista Char"/>
    <w:basedOn w:val="ListParagraphChar"/>
    <w:link w:val="HierarchikusLista0"/>
    <w:rsid w:val="00B61A31"/>
  </w:style>
  <w:style w:type="character" w:styleId="Strong">
    <w:name w:val="Strong"/>
    <w:basedOn w:val="DefaultParagraphFont"/>
    <w:uiPriority w:val="22"/>
    <w:rsid w:val="00B61A31"/>
    <w:rPr>
      <w:b/>
      <w:bCs/>
    </w:rPr>
  </w:style>
  <w:style w:type="character" w:styleId="Emphasis">
    <w:name w:val="Emphasis"/>
    <w:basedOn w:val="DefaultParagraphFont"/>
    <w:uiPriority w:val="6"/>
    <w:qFormat/>
    <w:rsid w:val="00B61A31"/>
    <w:rPr>
      <w:i/>
      <w:iCs/>
    </w:rPr>
  </w:style>
  <w:style w:type="paragraph" w:styleId="NoSpacing">
    <w:name w:val="No Spacing"/>
    <w:basedOn w:val="Normal"/>
    <w:uiPriority w:val="1"/>
    <w:rsid w:val="00B61A31"/>
    <w:rPr>
      <w:szCs w:val="32"/>
    </w:rPr>
  </w:style>
  <w:style w:type="paragraph" w:styleId="Quote">
    <w:name w:val="Quote"/>
    <w:basedOn w:val="Normal"/>
    <w:next w:val="Normal"/>
    <w:link w:val="QuoteChar"/>
    <w:uiPriority w:val="29"/>
    <w:rsid w:val="00B61A31"/>
    <w:rPr>
      <w:i/>
    </w:rPr>
  </w:style>
  <w:style w:type="character" w:customStyle="1" w:styleId="QuoteChar">
    <w:name w:val="Quote Char"/>
    <w:basedOn w:val="DefaultParagraphFont"/>
    <w:link w:val="Quote"/>
    <w:uiPriority w:val="29"/>
    <w:rsid w:val="00B61A31"/>
    <w:rPr>
      <w:i/>
    </w:rPr>
  </w:style>
  <w:style w:type="paragraph" w:styleId="IntenseQuote">
    <w:name w:val="Intense Quote"/>
    <w:basedOn w:val="Normal"/>
    <w:next w:val="Normal"/>
    <w:link w:val="IntenseQuoteChar"/>
    <w:uiPriority w:val="30"/>
    <w:rsid w:val="00B61A31"/>
    <w:pPr>
      <w:ind w:left="720" w:right="720"/>
    </w:pPr>
    <w:rPr>
      <w:b/>
      <w:i/>
    </w:rPr>
  </w:style>
  <w:style w:type="character" w:customStyle="1" w:styleId="IntenseQuoteChar">
    <w:name w:val="Intense Quote Char"/>
    <w:basedOn w:val="DefaultParagraphFont"/>
    <w:link w:val="IntenseQuote"/>
    <w:uiPriority w:val="30"/>
    <w:rsid w:val="00B61A31"/>
    <w:rPr>
      <w:b/>
      <w:i/>
    </w:rPr>
  </w:style>
  <w:style w:type="character" w:styleId="IntenseEmphasis">
    <w:name w:val="Intense Emphasis"/>
    <w:basedOn w:val="DefaultParagraphFont"/>
    <w:uiPriority w:val="21"/>
    <w:rsid w:val="00B61A31"/>
    <w:rPr>
      <w:b/>
      <w:i/>
      <w:sz w:val="24"/>
      <w:szCs w:val="24"/>
      <w:u w:val="single"/>
    </w:rPr>
  </w:style>
  <w:style w:type="character" w:styleId="BookTitle">
    <w:name w:val="Book Title"/>
    <w:basedOn w:val="DefaultParagraphFont"/>
    <w:uiPriority w:val="33"/>
    <w:rsid w:val="00B61A31"/>
    <w:rPr>
      <w:rFonts w:ascii="Calibri" w:eastAsiaTheme="majorEastAsia" w:hAnsi="Calibri"/>
      <w:b/>
      <w:i/>
      <w:sz w:val="24"/>
      <w:szCs w:val="24"/>
    </w:rPr>
  </w:style>
  <w:style w:type="paragraph" w:customStyle="1" w:styleId="Szvegdobozstlus">
    <w:name w:val="Szövegdoboz stílus"/>
    <w:basedOn w:val="HierarchikusLista0"/>
    <w:qFormat/>
    <w:rsid w:val="00B61A31"/>
    <w:rPr>
      <w:b/>
      <w:i/>
      <w:color w:val="009EE0"/>
    </w:rPr>
  </w:style>
  <w:style w:type="table" w:customStyle="1" w:styleId="Rcsos">
    <w:name w:val="Rácsos"/>
    <w:basedOn w:val="TableNormal"/>
    <w:uiPriority w:val="99"/>
    <w:rsid w:val="00B61A31"/>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B61A3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B61A31"/>
    <w:pPr>
      <w:keepNext/>
      <w:spacing w:after="40"/>
      <w:jc w:val="center"/>
    </w:pPr>
    <w:rPr>
      <w:b/>
      <w:bCs/>
      <w:color w:val="808080"/>
      <w:szCs w:val="18"/>
    </w:rPr>
  </w:style>
  <w:style w:type="paragraph" w:customStyle="1" w:styleId="ENCaption2Col">
    <w:name w:val="EN_Caption_2Col"/>
    <w:basedOn w:val="Normal"/>
    <w:next w:val="Normal"/>
    <w:uiPriority w:val="1"/>
    <w:qFormat/>
    <w:rsid w:val="00B61A31"/>
    <w:pPr>
      <w:keepNext/>
      <w:spacing w:after="40"/>
      <w:jc w:val="left"/>
    </w:pPr>
    <w:rPr>
      <w:b/>
      <w:bCs/>
      <w:color w:val="808080"/>
      <w:szCs w:val="18"/>
    </w:rPr>
  </w:style>
  <w:style w:type="paragraph" w:customStyle="1" w:styleId="ENCaptionBox">
    <w:name w:val="EN_Caption_Box"/>
    <w:basedOn w:val="Normal"/>
    <w:next w:val="Normal"/>
    <w:uiPriority w:val="1"/>
    <w:qFormat/>
    <w:rsid w:val="00B61A3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B61A31"/>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B61A31"/>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B61A31"/>
    <w:rPr>
      <w:rFonts w:eastAsiaTheme="minorEastAsia"/>
      <w:color w:val="808080"/>
      <w:sz w:val="18"/>
    </w:rPr>
  </w:style>
  <w:style w:type="paragraph" w:customStyle="1" w:styleId="ENNormal">
    <w:name w:val="EN_Normal"/>
    <w:basedOn w:val="Normal"/>
    <w:uiPriority w:val="1"/>
    <w:qFormat/>
    <w:rsid w:val="00B61A31"/>
  </w:style>
  <w:style w:type="paragraph" w:customStyle="1" w:styleId="ENNormalBox">
    <w:name w:val="EN_Normal_Box"/>
    <w:basedOn w:val="Normal"/>
    <w:uiPriority w:val="1"/>
    <w:qFormat/>
    <w:rsid w:val="00B61A31"/>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B61A31"/>
    <w:pPr>
      <w:keepLines/>
      <w:jc w:val="center"/>
    </w:pPr>
    <w:rPr>
      <w:color w:val="808080"/>
      <w:sz w:val="18"/>
    </w:rPr>
  </w:style>
  <w:style w:type="paragraph" w:customStyle="1" w:styleId="ENNote2Col">
    <w:name w:val="EN_Note_2Col"/>
    <w:basedOn w:val="Normal"/>
    <w:next w:val="ENNormal"/>
    <w:uiPriority w:val="1"/>
    <w:qFormat/>
    <w:rsid w:val="00B61A31"/>
    <w:pPr>
      <w:keepLines/>
    </w:pPr>
    <w:rPr>
      <w:color w:val="808080"/>
      <w:sz w:val="18"/>
    </w:rPr>
  </w:style>
  <w:style w:type="paragraph" w:customStyle="1" w:styleId="ENNoteBox">
    <w:name w:val="EN_Note_Box"/>
    <w:basedOn w:val="Normal"/>
    <w:next w:val="ENNormalBox"/>
    <w:uiPriority w:val="1"/>
    <w:qFormat/>
    <w:rsid w:val="00B61A31"/>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B61A31"/>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B61A31"/>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B61A3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B61A31"/>
    <w:pPr>
      <w:keepNext/>
      <w:spacing w:after="40"/>
      <w:jc w:val="center"/>
    </w:pPr>
    <w:rPr>
      <w:sz w:val="20"/>
    </w:rPr>
  </w:style>
  <w:style w:type="paragraph" w:customStyle="1" w:styleId="HUCaption2Col">
    <w:name w:val="HU_Caption_2Col"/>
    <w:basedOn w:val="Caption"/>
    <w:next w:val="Normal"/>
    <w:uiPriority w:val="1"/>
    <w:qFormat/>
    <w:rsid w:val="00B61A31"/>
    <w:pPr>
      <w:keepNext/>
      <w:spacing w:after="40"/>
    </w:pPr>
    <w:rPr>
      <w:sz w:val="20"/>
    </w:rPr>
  </w:style>
  <w:style w:type="paragraph" w:customStyle="1" w:styleId="HUCaptionBox">
    <w:name w:val="HU_Caption_Box"/>
    <w:basedOn w:val="Caption"/>
    <w:next w:val="Normal"/>
    <w:uiPriority w:val="1"/>
    <w:qFormat/>
    <w:rsid w:val="00B61A3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B61A31"/>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B61A31"/>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B61A31"/>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B61A31"/>
    <w:rPr>
      <w:caps/>
      <w:color w:val="0C2148" w:themeColor="text2"/>
    </w:rPr>
  </w:style>
  <w:style w:type="paragraph" w:customStyle="1" w:styleId="HUFootnote">
    <w:name w:val="HU_Footnote"/>
    <w:basedOn w:val="FootnoteText"/>
    <w:uiPriority w:val="1"/>
    <w:qFormat/>
    <w:rsid w:val="00B61A31"/>
    <w:rPr>
      <w:color w:val="808080"/>
      <w:sz w:val="18"/>
    </w:rPr>
  </w:style>
  <w:style w:type="paragraph" w:customStyle="1" w:styleId="HUNormalBox">
    <w:name w:val="HU_Normal_Box"/>
    <w:basedOn w:val="Normal"/>
    <w:uiPriority w:val="1"/>
    <w:qFormat/>
    <w:rsid w:val="00B61A31"/>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B61A31"/>
    <w:pPr>
      <w:keepLines/>
      <w:jc w:val="center"/>
    </w:pPr>
    <w:rPr>
      <w:color w:val="808080"/>
      <w:sz w:val="18"/>
    </w:rPr>
  </w:style>
  <w:style w:type="paragraph" w:customStyle="1" w:styleId="HUNote2Col">
    <w:name w:val="HU_Note_2Col"/>
    <w:basedOn w:val="Normal"/>
    <w:next w:val="Normal"/>
    <w:uiPriority w:val="1"/>
    <w:qFormat/>
    <w:rsid w:val="00B61A31"/>
    <w:pPr>
      <w:keepLines/>
    </w:pPr>
    <w:rPr>
      <w:color w:val="808080"/>
      <w:sz w:val="18"/>
    </w:rPr>
  </w:style>
  <w:style w:type="paragraph" w:customStyle="1" w:styleId="HUNoteBox">
    <w:name w:val="HU_Note_Box"/>
    <w:basedOn w:val="Normal"/>
    <w:next w:val="HUNormalBox"/>
    <w:link w:val="HUNoteBoxChar"/>
    <w:uiPriority w:val="1"/>
    <w:qFormat/>
    <w:rsid w:val="00B61A31"/>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B61A31"/>
    <w:rPr>
      <w:color w:val="808080"/>
      <w:sz w:val="18"/>
      <w:shd w:val="clear" w:color="auto" w:fill="C6EEFF"/>
    </w:rPr>
  </w:style>
  <w:style w:type="paragraph" w:customStyle="1" w:styleId="HUSectionTitle">
    <w:name w:val="HU_Section_Title"/>
    <w:basedOn w:val="Heading2"/>
    <w:next w:val="Normal"/>
    <w:link w:val="HUSectionTitleChar"/>
    <w:uiPriority w:val="1"/>
    <w:rsid w:val="00B61A31"/>
    <w:pPr>
      <w:keepNext/>
    </w:pPr>
  </w:style>
  <w:style w:type="character" w:customStyle="1" w:styleId="HUSectionTitleChar">
    <w:name w:val="HU_Section_Title Char"/>
    <w:basedOn w:val="Heading2Char"/>
    <w:link w:val="HUSectionTitle"/>
    <w:uiPriority w:val="1"/>
    <w:rsid w:val="00B61A31"/>
    <w:rPr>
      <w:b/>
      <w:color w:val="0C2148" w:themeColor="text2"/>
      <w:sz w:val="24"/>
      <w:szCs w:val="38"/>
    </w:rPr>
  </w:style>
  <w:style w:type="paragraph" w:customStyle="1" w:styleId="HUSubsectionTitle">
    <w:name w:val="HU_Subsection_Title"/>
    <w:basedOn w:val="Heading3"/>
    <w:next w:val="Normal"/>
    <w:link w:val="HUSubsectionTitleChar"/>
    <w:uiPriority w:val="1"/>
    <w:rsid w:val="00B61A31"/>
    <w:pPr>
      <w:keepNext/>
      <w:ind w:left="595" w:hanging="595"/>
    </w:pPr>
  </w:style>
  <w:style w:type="character" w:customStyle="1" w:styleId="HUSubsectionTitleChar">
    <w:name w:val="HU_Subsection_Title Char"/>
    <w:basedOn w:val="Heading3Char"/>
    <w:link w:val="HUSubsectionTitle"/>
    <w:uiPriority w:val="1"/>
    <w:rsid w:val="00B61A31"/>
    <w:rPr>
      <w:bCs/>
      <w:color w:val="0C2148" w:themeColor="text2"/>
      <w:szCs w:val="34"/>
    </w:rPr>
  </w:style>
  <w:style w:type="paragraph" w:customStyle="1" w:styleId="Heading1Kiadvny">
    <w:name w:val="Heading 1 Kiadvány"/>
    <w:basedOn w:val="Heading1"/>
    <w:qFormat/>
    <w:rsid w:val="00B61A31"/>
    <w:rPr>
      <w:b w:val="0"/>
      <w:caps w:val="0"/>
      <w:sz w:val="52"/>
    </w:rPr>
  </w:style>
  <w:style w:type="numbering" w:customStyle="1" w:styleId="Nemlista1">
    <w:name w:val="Nem lista1"/>
    <w:next w:val="NoList"/>
    <w:uiPriority w:val="99"/>
    <w:semiHidden/>
    <w:unhideWhenUsed/>
    <w:rsid w:val="00046C1F"/>
  </w:style>
  <w:style w:type="character" w:styleId="CommentReference">
    <w:name w:val="annotation reference"/>
    <w:basedOn w:val="DefaultParagraphFont"/>
    <w:uiPriority w:val="99"/>
    <w:semiHidden/>
    <w:unhideWhenUsed/>
    <w:rsid w:val="00046C1F"/>
    <w:rPr>
      <w:sz w:val="16"/>
      <w:szCs w:val="16"/>
    </w:rPr>
  </w:style>
  <w:style w:type="paragraph" w:styleId="CommentText">
    <w:name w:val="annotation text"/>
    <w:basedOn w:val="Normal"/>
    <w:link w:val="CommentTextChar"/>
    <w:uiPriority w:val="99"/>
    <w:unhideWhenUsed/>
    <w:rsid w:val="00046C1F"/>
    <w:pPr>
      <w:widowControl w:val="0"/>
      <w:spacing w:after="200" w:line="240" w:lineRule="auto"/>
    </w:pPr>
    <w:rPr>
      <w:lang w:val="en-US"/>
    </w:rPr>
  </w:style>
  <w:style w:type="character" w:customStyle="1" w:styleId="CommentTextChar">
    <w:name w:val="Comment Text Char"/>
    <w:basedOn w:val="DefaultParagraphFont"/>
    <w:link w:val="CommentText"/>
    <w:uiPriority w:val="99"/>
    <w:rsid w:val="00046C1F"/>
    <w:rPr>
      <w:lang w:val="en-US" w:eastAsia="en-US"/>
    </w:rPr>
  </w:style>
  <w:style w:type="paragraph" w:styleId="CommentSubject">
    <w:name w:val="annotation subject"/>
    <w:basedOn w:val="CommentText"/>
    <w:next w:val="CommentText"/>
    <w:link w:val="CommentSubjectChar"/>
    <w:uiPriority w:val="99"/>
    <w:semiHidden/>
    <w:unhideWhenUsed/>
    <w:rsid w:val="00046C1F"/>
    <w:rPr>
      <w:b/>
      <w:bCs/>
    </w:rPr>
  </w:style>
  <w:style w:type="character" w:customStyle="1" w:styleId="CommentSubjectChar">
    <w:name w:val="Comment Subject Char"/>
    <w:basedOn w:val="CommentTextChar"/>
    <w:link w:val="CommentSubject"/>
    <w:uiPriority w:val="99"/>
    <w:semiHidden/>
    <w:rsid w:val="00046C1F"/>
    <w:rPr>
      <w:b/>
      <w:bCs/>
      <w:lang w:val="en-US" w:eastAsia="en-US"/>
    </w:rPr>
  </w:style>
  <w:style w:type="character" w:styleId="FootnoteReference">
    <w:name w:val="footnote reference"/>
    <w:basedOn w:val="DefaultParagraphFont"/>
    <w:uiPriority w:val="99"/>
    <w:semiHidden/>
    <w:unhideWhenUsed/>
    <w:rsid w:val="00046C1F"/>
    <w:rPr>
      <w:vertAlign w:val="superscript"/>
    </w:rPr>
  </w:style>
  <w:style w:type="numbering" w:customStyle="1" w:styleId="Style11">
    <w:name w:val="Style11"/>
    <w:uiPriority w:val="99"/>
    <w:rsid w:val="00046C1F"/>
    <w:pPr>
      <w:numPr>
        <w:numId w:val="28"/>
      </w:numPr>
    </w:pPr>
  </w:style>
  <w:style w:type="numbering" w:customStyle="1" w:styleId="Hierarchikuslista1">
    <w:name w:val="Hierarchikus lista1"/>
    <w:uiPriority w:val="99"/>
    <w:rsid w:val="00046C1F"/>
    <w:pPr>
      <w:numPr>
        <w:numId w:val="29"/>
      </w:numPr>
    </w:pPr>
  </w:style>
  <w:style w:type="paragraph" w:customStyle="1" w:styleId="Erskiemels2">
    <w:name w:val="Erős kiemelés2"/>
    <w:basedOn w:val="Normal"/>
    <w:uiPriority w:val="5"/>
    <w:qFormat/>
    <w:rsid w:val="00CA26D5"/>
    <w:rPr>
      <w:b/>
      <w:i/>
    </w:rPr>
  </w:style>
  <w:style w:type="paragraph" w:customStyle="1" w:styleId="Erskiemels3">
    <w:name w:val="Erős kiemelés3"/>
    <w:basedOn w:val="Normal"/>
    <w:uiPriority w:val="5"/>
    <w:qFormat/>
    <w:rsid w:val="00BC14C1"/>
    <w:rPr>
      <w:b/>
      <w:i/>
    </w:rPr>
  </w:style>
  <w:style w:type="paragraph" w:customStyle="1" w:styleId="Erskiemels4">
    <w:name w:val="Erős kiemelés4"/>
    <w:basedOn w:val="Normal"/>
    <w:uiPriority w:val="5"/>
    <w:qFormat/>
    <w:rsid w:val="001B1DD9"/>
    <w:rPr>
      <w:b/>
      <w:i/>
    </w:rPr>
  </w:style>
  <w:style w:type="paragraph" w:customStyle="1" w:styleId="Erskiemels5">
    <w:name w:val="Erős kiemelés5"/>
    <w:basedOn w:val="Normal"/>
    <w:uiPriority w:val="5"/>
    <w:qFormat/>
    <w:rsid w:val="00941C36"/>
    <w:rPr>
      <w:b/>
      <w:i/>
    </w:rPr>
  </w:style>
  <w:style w:type="paragraph" w:styleId="Revision">
    <w:name w:val="Revision"/>
    <w:hidden/>
    <w:uiPriority w:val="99"/>
    <w:semiHidden/>
    <w:rsid w:val="00FE7971"/>
  </w:style>
  <w:style w:type="character" w:customStyle="1" w:styleId="Feloldatlanmegemlts1">
    <w:name w:val="Feloldatlan megemlítés1"/>
    <w:basedOn w:val="DefaultParagraphFont"/>
    <w:uiPriority w:val="99"/>
    <w:semiHidden/>
    <w:unhideWhenUsed/>
    <w:rsid w:val="00DC725F"/>
    <w:rPr>
      <w:color w:val="605E5C"/>
      <w:shd w:val="clear" w:color="auto" w:fill="E1DFDD"/>
    </w:rPr>
  </w:style>
  <w:style w:type="paragraph" w:customStyle="1" w:styleId="Erskiemels6">
    <w:name w:val="Erős kiemelés6"/>
    <w:basedOn w:val="Normal"/>
    <w:uiPriority w:val="5"/>
    <w:qFormat/>
    <w:rsid w:val="00EC792C"/>
    <w:rPr>
      <w:b/>
      <w:i/>
    </w:rPr>
  </w:style>
  <w:style w:type="character" w:customStyle="1" w:styleId="highlighted">
    <w:name w:val="highlighted"/>
    <w:basedOn w:val="DefaultParagraphFont"/>
    <w:rsid w:val="00011287"/>
  </w:style>
  <w:style w:type="paragraph" w:customStyle="1" w:styleId="Erskiemels7">
    <w:name w:val="Erős kiemelés7"/>
    <w:basedOn w:val="Normal"/>
    <w:uiPriority w:val="5"/>
    <w:qFormat/>
    <w:rsid w:val="000A4427"/>
    <w:rPr>
      <w:b/>
      <w:i/>
    </w:rPr>
  </w:style>
  <w:style w:type="paragraph" w:customStyle="1" w:styleId="Erskiemels8">
    <w:name w:val="Erős kiemelés8"/>
    <w:basedOn w:val="Normal"/>
    <w:uiPriority w:val="5"/>
    <w:qFormat/>
    <w:rsid w:val="004620EF"/>
    <w:rPr>
      <w:b/>
      <w:i/>
    </w:rPr>
  </w:style>
  <w:style w:type="character" w:customStyle="1" w:styleId="HideTWBExt">
    <w:name w:val="HideTWBExt"/>
    <w:basedOn w:val="DefaultParagraphFont"/>
    <w:rsid w:val="0082016D"/>
    <w:rPr>
      <w:rFonts w:ascii="Arial" w:hAnsi="Arial"/>
      <w:noProof/>
      <w:vanish/>
      <w:color w:val="000080"/>
      <w:sz w:val="20"/>
    </w:rPr>
  </w:style>
  <w:style w:type="paragraph" w:customStyle="1" w:styleId="Szveg">
    <w:name w:val="Szöveg"/>
    <w:basedOn w:val="Normal"/>
    <w:qFormat/>
    <w:rsid w:val="0082016D"/>
    <w:pPr>
      <w:spacing w:after="0" w:line="240" w:lineRule="auto"/>
    </w:pPr>
    <w:rPr>
      <w:rFonts w:ascii="Arial" w:hAnsi="Arial" w:cs="Arial"/>
      <w:sz w:val="21"/>
      <w:szCs w:val="21"/>
    </w:rPr>
  </w:style>
  <w:style w:type="paragraph" w:customStyle="1" w:styleId="Tblafej">
    <w:name w:val="Táblafej"/>
    <w:basedOn w:val="Normal"/>
    <w:qFormat/>
    <w:rsid w:val="0082016D"/>
    <w:pPr>
      <w:spacing w:after="0" w:line="240" w:lineRule="auto"/>
    </w:pPr>
    <w:rPr>
      <w:rFonts w:ascii="Arial" w:eastAsia="Times New Roman" w:hAnsi="Arial" w:cs="Arial"/>
      <w:b/>
      <w:i/>
      <w:color w:val="000000"/>
      <w:sz w:val="21"/>
      <w:szCs w:val="21"/>
    </w:rPr>
  </w:style>
  <w:style w:type="paragraph" w:customStyle="1" w:styleId="Tblasor">
    <w:name w:val="Táblasor"/>
    <w:basedOn w:val="Normal"/>
    <w:qFormat/>
    <w:rsid w:val="0082016D"/>
    <w:pPr>
      <w:spacing w:after="0" w:line="240" w:lineRule="auto"/>
    </w:pPr>
    <w:rPr>
      <w:rFonts w:ascii="Arial" w:eastAsia="Times New Roman" w:hAnsi="Arial" w:cs="Arial"/>
      <w:i/>
      <w:color w:val="000000"/>
      <w:sz w:val="21"/>
      <w:szCs w:val="21"/>
    </w:rPr>
  </w:style>
  <w:style w:type="character" w:customStyle="1" w:styleId="tw4winExternal">
    <w:name w:val="tw4winExternal"/>
    <w:basedOn w:val="DefaultParagraphFont"/>
    <w:rsid w:val="0082016D"/>
    <w:rPr>
      <w:rFonts w:ascii="Courier New" w:hAnsi="Courier New"/>
      <w:color w:val="808080"/>
    </w:rPr>
  </w:style>
  <w:style w:type="character" w:customStyle="1" w:styleId="tw4winInternal">
    <w:name w:val="tw4winInternal"/>
    <w:rsid w:val="0082016D"/>
    <w:rPr>
      <w:rFonts w:ascii="Courier New" w:hAnsi="Courier New"/>
      <w:noProof/>
      <w:color w:val="FF0000"/>
    </w:rPr>
  </w:style>
  <w:style w:type="character" w:customStyle="1" w:styleId="tw4winMark">
    <w:name w:val="tw4winMark"/>
    <w:uiPriority w:val="99"/>
    <w:rsid w:val="0082016D"/>
    <w:rPr>
      <w:rFonts w:ascii="Courier New" w:hAnsi="Courier New"/>
      <w:vanish/>
      <w:color w:val="800080"/>
      <w:sz w:val="24"/>
      <w:vertAlign w:val="subscript"/>
    </w:rPr>
  </w:style>
  <w:style w:type="paragraph" w:customStyle="1" w:styleId="Vissza">
    <w:name w:val="Vissza"/>
    <w:basedOn w:val="Normal"/>
    <w:next w:val="Normal"/>
    <w:uiPriority w:val="99"/>
    <w:rsid w:val="0082016D"/>
    <w:pPr>
      <w:spacing w:after="0" w:line="240" w:lineRule="auto"/>
      <w:jc w:val="right"/>
    </w:pPr>
    <w:rPr>
      <w:rFonts w:ascii="Arial" w:hAnsi="Arial" w:cs="Times New Roman"/>
      <w:color w:val="0000FF"/>
      <w:sz w:val="21"/>
      <w:szCs w:val="24"/>
      <w:u w:val="single"/>
    </w:rPr>
  </w:style>
  <w:style w:type="paragraph" w:customStyle="1" w:styleId="Erskiemels">
    <w:name w:val="Erős kiemelés"/>
    <w:basedOn w:val="Normal"/>
    <w:link w:val="ErskiemelsChar"/>
    <w:uiPriority w:val="5"/>
    <w:qFormat/>
    <w:rsid w:val="00B61A31"/>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851">
      <w:bodyDiv w:val="1"/>
      <w:marLeft w:val="0"/>
      <w:marRight w:val="0"/>
      <w:marTop w:val="0"/>
      <w:marBottom w:val="0"/>
      <w:divBdr>
        <w:top w:val="none" w:sz="0" w:space="0" w:color="auto"/>
        <w:left w:val="none" w:sz="0" w:space="0" w:color="auto"/>
        <w:bottom w:val="none" w:sz="0" w:space="0" w:color="auto"/>
        <w:right w:val="none" w:sz="0" w:space="0" w:color="auto"/>
      </w:divBdr>
    </w:div>
    <w:div w:id="124351294">
      <w:bodyDiv w:val="1"/>
      <w:marLeft w:val="0"/>
      <w:marRight w:val="0"/>
      <w:marTop w:val="0"/>
      <w:marBottom w:val="0"/>
      <w:divBdr>
        <w:top w:val="none" w:sz="0" w:space="0" w:color="auto"/>
        <w:left w:val="none" w:sz="0" w:space="0" w:color="auto"/>
        <w:bottom w:val="none" w:sz="0" w:space="0" w:color="auto"/>
        <w:right w:val="none" w:sz="0" w:space="0" w:color="auto"/>
      </w:divBdr>
    </w:div>
    <w:div w:id="247738900">
      <w:bodyDiv w:val="1"/>
      <w:marLeft w:val="0"/>
      <w:marRight w:val="0"/>
      <w:marTop w:val="0"/>
      <w:marBottom w:val="0"/>
      <w:divBdr>
        <w:top w:val="none" w:sz="0" w:space="0" w:color="auto"/>
        <w:left w:val="none" w:sz="0" w:space="0" w:color="auto"/>
        <w:bottom w:val="none" w:sz="0" w:space="0" w:color="auto"/>
        <w:right w:val="none" w:sz="0" w:space="0" w:color="auto"/>
      </w:divBdr>
    </w:div>
    <w:div w:id="332489908">
      <w:bodyDiv w:val="1"/>
      <w:marLeft w:val="0"/>
      <w:marRight w:val="0"/>
      <w:marTop w:val="0"/>
      <w:marBottom w:val="0"/>
      <w:divBdr>
        <w:top w:val="none" w:sz="0" w:space="0" w:color="auto"/>
        <w:left w:val="none" w:sz="0" w:space="0" w:color="auto"/>
        <w:bottom w:val="none" w:sz="0" w:space="0" w:color="auto"/>
        <w:right w:val="none" w:sz="0" w:space="0" w:color="auto"/>
      </w:divBdr>
    </w:div>
    <w:div w:id="333147095">
      <w:bodyDiv w:val="1"/>
      <w:marLeft w:val="0"/>
      <w:marRight w:val="0"/>
      <w:marTop w:val="0"/>
      <w:marBottom w:val="0"/>
      <w:divBdr>
        <w:top w:val="none" w:sz="0" w:space="0" w:color="auto"/>
        <w:left w:val="none" w:sz="0" w:space="0" w:color="auto"/>
        <w:bottom w:val="none" w:sz="0" w:space="0" w:color="auto"/>
        <w:right w:val="none" w:sz="0" w:space="0" w:color="auto"/>
      </w:divBdr>
    </w:div>
    <w:div w:id="577400962">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238787498">
      <w:bodyDiv w:val="1"/>
      <w:marLeft w:val="0"/>
      <w:marRight w:val="0"/>
      <w:marTop w:val="0"/>
      <w:marBottom w:val="0"/>
      <w:divBdr>
        <w:top w:val="none" w:sz="0" w:space="0" w:color="auto"/>
        <w:left w:val="none" w:sz="0" w:space="0" w:color="auto"/>
        <w:bottom w:val="none" w:sz="0" w:space="0" w:color="auto"/>
        <w:right w:val="none" w:sz="0" w:space="0" w:color="auto"/>
      </w:divBdr>
    </w:div>
    <w:div w:id="1265962893">
      <w:bodyDiv w:val="1"/>
      <w:marLeft w:val="0"/>
      <w:marRight w:val="0"/>
      <w:marTop w:val="0"/>
      <w:marBottom w:val="0"/>
      <w:divBdr>
        <w:top w:val="none" w:sz="0" w:space="0" w:color="auto"/>
        <w:left w:val="none" w:sz="0" w:space="0" w:color="auto"/>
        <w:bottom w:val="none" w:sz="0" w:space="0" w:color="auto"/>
        <w:right w:val="none" w:sz="0" w:space="0" w:color="auto"/>
      </w:divBdr>
    </w:div>
    <w:div w:id="1420567464">
      <w:bodyDiv w:val="1"/>
      <w:marLeft w:val="0"/>
      <w:marRight w:val="0"/>
      <w:marTop w:val="0"/>
      <w:marBottom w:val="0"/>
      <w:divBdr>
        <w:top w:val="none" w:sz="0" w:space="0" w:color="auto"/>
        <w:left w:val="none" w:sz="0" w:space="0" w:color="auto"/>
        <w:bottom w:val="none" w:sz="0" w:space="0" w:color="auto"/>
        <w:right w:val="none" w:sz="0" w:space="0" w:color="auto"/>
      </w:divBdr>
    </w:div>
    <w:div w:id="1443841227">
      <w:bodyDiv w:val="1"/>
      <w:marLeft w:val="0"/>
      <w:marRight w:val="0"/>
      <w:marTop w:val="0"/>
      <w:marBottom w:val="0"/>
      <w:divBdr>
        <w:top w:val="none" w:sz="0" w:space="0" w:color="auto"/>
        <w:left w:val="none" w:sz="0" w:space="0" w:color="auto"/>
        <w:bottom w:val="none" w:sz="0" w:space="0" w:color="auto"/>
        <w:right w:val="none" w:sz="0" w:space="0" w:color="auto"/>
      </w:divBdr>
    </w:div>
    <w:div w:id="1711298981">
      <w:bodyDiv w:val="1"/>
      <w:marLeft w:val="0"/>
      <w:marRight w:val="0"/>
      <w:marTop w:val="0"/>
      <w:marBottom w:val="0"/>
      <w:divBdr>
        <w:top w:val="none" w:sz="0" w:space="0" w:color="auto"/>
        <w:left w:val="none" w:sz="0" w:space="0" w:color="auto"/>
        <w:bottom w:val="none" w:sz="0" w:space="0" w:color="auto"/>
        <w:right w:val="none" w:sz="0" w:space="0" w:color="auto"/>
      </w:divBdr>
    </w:div>
    <w:div w:id="18406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jt.hu/eli/v01/R/2018/MNB/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F22286F8-9F8B-445D-8D7B-81C0F492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7575</Words>
  <Characters>41077</Characters>
  <Application>Microsoft Office Word</Application>
  <DocSecurity>0</DocSecurity>
  <Lines>342</Lines>
  <Paragraphs>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2024-05-13T06:55:00Z</dcterms:created>
  <dcterms:modified xsi:type="dcterms:W3CDTF">2024-05-13T11:36:00Z</dcterms:modified>
</cp:coreProperties>
</file>