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6" w:space="0" w:color="7AC142"/>
          <w:left w:val="single" w:sz="6" w:space="0" w:color="7AC142"/>
          <w:bottom w:val="single" w:sz="6" w:space="0" w:color="7AC142"/>
          <w:right w:val="single" w:sz="6" w:space="0" w:color="7AC1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3"/>
        <w:gridCol w:w="6951"/>
      </w:tblGrid>
      <w:tr w:rsidR="00476EC6" w:rsidRPr="00476EC6" w:rsidTr="005435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76EC6" w:rsidRPr="00476EC6" w:rsidRDefault="00476EC6" w:rsidP="00476EC6">
            <w:pPr>
              <w:jc w:val="left"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Ellenőrzés tárgya:</w:t>
            </w:r>
          </w:p>
          <w:p w:rsidR="00476EC6" w:rsidRPr="00476EC6" w:rsidRDefault="00476EC6" w:rsidP="00476EC6">
            <w:pPr>
              <w:jc w:val="left"/>
              <w:rPr>
                <w:rFonts w:eastAsia="Trebuchet MS" w:cs="Times New Roman"/>
              </w:rPr>
            </w:pPr>
          </w:p>
          <w:p w:rsidR="00476EC6" w:rsidRPr="00476EC6" w:rsidRDefault="00476EC6" w:rsidP="00476EC6">
            <w:pPr>
              <w:jc w:val="left"/>
              <w:rPr>
                <w:rFonts w:eastAsia="Trebuchet MS" w:cs="Times New Roman"/>
              </w:rPr>
            </w:pPr>
          </w:p>
          <w:p w:rsidR="00476EC6" w:rsidRPr="00476EC6" w:rsidRDefault="00476EC6" w:rsidP="00476EC6">
            <w:pPr>
              <w:jc w:val="left"/>
              <w:rPr>
                <w:rFonts w:eastAsia="Trebuchet MS" w:cs="Times New Roman"/>
              </w:rPr>
            </w:pPr>
          </w:p>
          <w:p w:rsidR="00476EC6" w:rsidRPr="00476EC6" w:rsidRDefault="00476EC6" w:rsidP="00476EC6">
            <w:pPr>
              <w:jc w:val="left"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  <w:bCs/>
              </w:rPr>
              <w:t>Ellenőrzési szempontrendszer: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6EC6" w:rsidRPr="00476EC6" w:rsidRDefault="00476EC6" w:rsidP="00476EC6">
            <w:pPr>
              <w:spacing w:after="80"/>
              <w:rPr>
                <w:rFonts w:eastAsia="Trebuchet MS" w:cs="Times New Roman"/>
                <w:bCs/>
              </w:rPr>
            </w:pPr>
            <w:r w:rsidRPr="00476EC6">
              <w:rPr>
                <w:rFonts w:eastAsia="Trebuchet MS" w:cs="Times New Roman"/>
              </w:rPr>
              <w:t>A </w:t>
            </w:r>
            <w:r w:rsidRPr="00476EC6">
              <w:rPr>
                <w:rFonts w:eastAsia="Trebuchet MS" w:cs="Times New Roman"/>
                <w:bCs/>
              </w:rPr>
              <w:t xml:space="preserve">pénzforgalmi szolgáltatás nyújtásáról szóló 2009. évi </w:t>
            </w:r>
            <w:proofErr w:type="spellStart"/>
            <w:r w:rsidRPr="00476EC6">
              <w:rPr>
                <w:rFonts w:eastAsia="Trebuchet MS" w:cs="Times New Roman"/>
                <w:bCs/>
              </w:rPr>
              <w:t>LXXXV</w:t>
            </w:r>
            <w:proofErr w:type="spellEnd"/>
            <w:r w:rsidRPr="00476EC6">
              <w:rPr>
                <w:rFonts w:eastAsia="Trebuchet MS" w:cs="Times New Roman"/>
                <w:bCs/>
              </w:rPr>
              <w:t>. törvény,</w:t>
            </w:r>
          </w:p>
          <w:p w:rsidR="00476EC6" w:rsidRPr="00476EC6" w:rsidRDefault="00476EC6" w:rsidP="00476EC6">
            <w:pPr>
              <w:spacing w:after="80"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pénzforgalom lebonyolításáról szóló 18/2009. (</w:t>
            </w:r>
            <w:proofErr w:type="spellStart"/>
            <w:r w:rsidRPr="00476EC6">
              <w:rPr>
                <w:rFonts w:eastAsia="Trebuchet MS" w:cs="Times New Roman"/>
              </w:rPr>
              <w:t>VIII</w:t>
            </w:r>
            <w:proofErr w:type="spellEnd"/>
            <w:r w:rsidRPr="00476EC6">
              <w:rPr>
                <w:rFonts w:eastAsia="Trebuchet MS" w:cs="Times New Roman"/>
              </w:rPr>
              <w:t>. 6.) MNB rendelet,</w:t>
            </w:r>
          </w:p>
          <w:p w:rsidR="00476EC6" w:rsidRPr="00476EC6" w:rsidRDefault="00476EC6" w:rsidP="00476EC6">
            <w:pPr>
              <w:spacing w:after="80"/>
              <w:rPr>
                <w:rFonts w:eastAsia="Trebuchet MS" w:cs="Times New Roman"/>
              </w:rPr>
            </w:pPr>
            <w:r w:rsidRPr="00476EC6">
              <w:rPr>
                <w:rFonts w:eastAsia="Times New Roman" w:cs="Arial"/>
              </w:rPr>
              <w:t xml:space="preserve">az egyes fizetési szolgáltatókról szóló </w:t>
            </w:r>
            <w:r w:rsidRPr="00476EC6">
              <w:rPr>
                <w:rFonts w:eastAsia="Trebuchet MS" w:cs="Times New Roman"/>
              </w:rPr>
              <w:t xml:space="preserve">2013. évi </w:t>
            </w:r>
            <w:proofErr w:type="spellStart"/>
            <w:r w:rsidRPr="00476EC6">
              <w:rPr>
                <w:rFonts w:eastAsia="Trebuchet MS" w:cs="Times New Roman"/>
              </w:rPr>
              <w:t>CCXXXV</w:t>
            </w:r>
            <w:proofErr w:type="spellEnd"/>
            <w:r w:rsidRPr="00476EC6">
              <w:rPr>
                <w:rFonts w:eastAsia="Trebuchet MS" w:cs="Times New Roman"/>
              </w:rPr>
              <w:t>. törvény és</w:t>
            </w:r>
          </w:p>
          <w:p w:rsidR="00476EC6" w:rsidRPr="00476EC6" w:rsidRDefault="00476EC6" w:rsidP="00476EC6">
            <w:pPr>
              <w:spacing w:after="80" w:line="240" w:lineRule="auto"/>
              <w:jc w:val="left"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kártyaalapú fizetési műveletek bankközi jutalékairól szóló 2015/751 európai pa</w:t>
            </w:r>
            <w:r w:rsidRPr="00476EC6">
              <w:rPr>
                <w:rFonts w:eastAsia="Trebuchet MS" w:cs="Times New Roman"/>
              </w:rPr>
              <w:t>r</w:t>
            </w:r>
            <w:r w:rsidRPr="00476EC6">
              <w:rPr>
                <w:rFonts w:eastAsia="Trebuchet MS" w:cs="Times New Roman"/>
              </w:rPr>
              <w:t>lamenti és tanácsi rendelet.</w:t>
            </w:r>
          </w:p>
          <w:p w:rsidR="00476EC6" w:rsidRPr="00476EC6" w:rsidRDefault="00476EC6" w:rsidP="00476EC6">
            <w:pPr>
              <w:spacing w:after="120" w:line="240" w:lineRule="auto"/>
              <w:rPr>
                <w:rFonts w:eastAsia="Trebuchet MS" w:cs="Times New Roman"/>
                <w:bCs/>
                <w:u w:val="single"/>
              </w:rPr>
            </w:pPr>
            <w:r w:rsidRPr="00476EC6">
              <w:rPr>
                <w:rFonts w:eastAsia="Trebuchet MS" w:cs="Times New Roman"/>
                <w:u w:val="single"/>
              </w:rPr>
              <w:t xml:space="preserve">A pénzforgalmi szolgáltatás nyújtásáról szóló 2009. évi </w:t>
            </w:r>
            <w:proofErr w:type="spellStart"/>
            <w:r w:rsidRPr="00476EC6">
              <w:rPr>
                <w:rFonts w:eastAsia="Trebuchet MS" w:cs="Times New Roman"/>
                <w:u w:val="single"/>
              </w:rPr>
              <w:t>LXXXV</w:t>
            </w:r>
            <w:proofErr w:type="spellEnd"/>
            <w:r w:rsidRPr="00476EC6">
              <w:rPr>
                <w:rFonts w:eastAsia="Trebuchet MS" w:cs="Times New Roman"/>
                <w:u w:val="single"/>
              </w:rPr>
              <w:t>. törvényre vonatkoz</w:t>
            </w:r>
            <w:r w:rsidRPr="00476EC6">
              <w:rPr>
                <w:rFonts w:eastAsia="Trebuchet MS" w:cs="Times New Roman"/>
                <w:u w:val="single"/>
              </w:rPr>
              <w:t>ó</w:t>
            </w:r>
            <w:r w:rsidRPr="00476EC6">
              <w:rPr>
                <w:rFonts w:eastAsia="Trebuchet MS" w:cs="Times New Roman"/>
                <w:u w:val="single"/>
              </w:rPr>
              <w:t>an</w:t>
            </w:r>
          </w:p>
          <w:p w:rsidR="00476EC6" w:rsidRPr="00476EC6" w:rsidRDefault="00476EC6" w:rsidP="00476EC6">
            <w:pPr>
              <w:numPr>
                <w:ilvl w:val="0"/>
                <w:numId w:val="10"/>
              </w:numPr>
              <w:spacing w:after="120" w:line="240" w:lineRule="auto"/>
              <w:contextualSpacing/>
              <w:rPr>
                <w:rFonts w:eastAsia="Trebuchet MS" w:cs="Times New Roman"/>
                <w:bCs/>
              </w:rPr>
            </w:pPr>
            <w:r w:rsidRPr="00476EC6">
              <w:rPr>
                <w:rFonts w:eastAsia="Trebuchet MS" w:cs="Times New Roman"/>
                <w:bCs/>
              </w:rPr>
              <w:t>ügyfelek szerződéskötést megelőző tájékoztatása és szerződéskötés,</w:t>
            </w:r>
          </w:p>
          <w:p w:rsidR="00476EC6" w:rsidRPr="00476EC6" w:rsidRDefault="00476EC6" w:rsidP="00476EC6">
            <w:pPr>
              <w:numPr>
                <w:ilvl w:val="0"/>
                <w:numId w:val="10"/>
              </w:numPr>
              <w:spacing w:after="120" w:line="240" w:lineRule="auto"/>
              <w:contextualSpacing/>
              <w:rPr>
                <w:rFonts w:eastAsia="Trebuchet MS" w:cs="Times New Roman"/>
                <w:bCs/>
              </w:rPr>
            </w:pPr>
            <w:r w:rsidRPr="00476EC6">
              <w:rPr>
                <w:rFonts w:eastAsia="Trebuchet MS" w:cs="Times New Roman"/>
                <w:bCs/>
              </w:rPr>
              <w:t>fizetési számla megnyitása,</w:t>
            </w:r>
          </w:p>
          <w:p w:rsidR="00476EC6" w:rsidRPr="00476EC6" w:rsidRDefault="00476EC6" w:rsidP="00476EC6">
            <w:pPr>
              <w:numPr>
                <w:ilvl w:val="0"/>
                <w:numId w:val="10"/>
              </w:numPr>
              <w:spacing w:after="120" w:line="240" w:lineRule="auto"/>
              <w:contextualSpacing/>
              <w:rPr>
                <w:rFonts w:eastAsia="Trebuchet MS" w:cs="Times New Roman"/>
                <w:bCs/>
              </w:rPr>
            </w:pPr>
            <w:r w:rsidRPr="00476EC6">
              <w:rPr>
                <w:rFonts w:eastAsia="Trebuchet MS" w:cs="Times New Roman"/>
                <w:bCs/>
              </w:rPr>
              <w:t>a fizetési megbízásokhoz kapcsolódó előzetes és utólagos tájékoztatás,</w:t>
            </w:r>
          </w:p>
          <w:p w:rsidR="00476EC6" w:rsidRPr="00476EC6" w:rsidRDefault="00476EC6" w:rsidP="00476EC6">
            <w:pPr>
              <w:numPr>
                <w:ilvl w:val="0"/>
                <w:numId w:val="10"/>
              </w:numPr>
              <w:spacing w:after="120" w:line="240" w:lineRule="auto"/>
              <w:contextualSpacing/>
              <w:rPr>
                <w:rFonts w:eastAsia="Trebuchet MS" w:cs="Times New Roman"/>
                <w:bCs/>
              </w:rPr>
            </w:pPr>
            <w:r w:rsidRPr="00476EC6">
              <w:rPr>
                <w:rFonts w:eastAsia="Trebuchet MS" w:cs="Times New Roman"/>
                <w:bCs/>
              </w:rPr>
              <w:t>fizetési műveletek jóváhagyása,</w:t>
            </w:r>
          </w:p>
          <w:p w:rsidR="00476EC6" w:rsidRPr="00476EC6" w:rsidRDefault="00476EC6" w:rsidP="00476EC6">
            <w:pPr>
              <w:numPr>
                <w:ilvl w:val="0"/>
                <w:numId w:val="10"/>
              </w:numPr>
              <w:spacing w:after="120" w:line="240" w:lineRule="auto"/>
              <w:contextualSpacing/>
              <w:rPr>
                <w:rFonts w:eastAsia="Trebuchet MS" w:cs="Times New Roman"/>
                <w:bCs/>
              </w:rPr>
            </w:pPr>
            <w:proofErr w:type="spellStart"/>
            <w:r w:rsidRPr="00476EC6">
              <w:rPr>
                <w:rFonts w:eastAsia="Trebuchet MS" w:cs="Times New Roman"/>
                <w:bCs/>
              </w:rPr>
              <w:t>sorbaállítás</w:t>
            </w:r>
            <w:proofErr w:type="spellEnd"/>
            <w:r w:rsidRPr="00476EC6">
              <w:rPr>
                <w:rFonts w:eastAsia="Trebuchet MS" w:cs="Times New Roman"/>
                <w:bCs/>
              </w:rPr>
              <w:t>,</w:t>
            </w:r>
          </w:p>
          <w:p w:rsidR="00476EC6" w:rsidRPr="00476EC6" w:rsidRDefault="00476EC6" w:rsidP="00476EC6">
            <w:pPr>
              <w:numPr>
                <w:ilvl w:val="0"/>
                <w:numId w:val="10"/>
              </w:numPr>
              <w:spacing w:after="120" w:line="240" w:lineRule="auto"/>
              <w:contextualSpacing/>
              <w:rPr>
                <w:rFonts w:eastAsia="Trebuchet MS" w:cs="Times New Roman"/>
                <w:bCs/>
              </w:rPr>
            </w:pPr>
            <w:r w:rsidRPr="00476EC6">
              <w:rPr>
                <w:rFonts w:eastAsia="Trebuchet MS" w:cs="Times New Roman"/>
                <w:bCs/>
              </w:rPr>
              <w:t>a hatósági átutalás és az átutalási végzés alapján történő átutalás.</w:t>
            </w:r>
          </w:p>
          <w:p w:rsidR="00476EC6" w:rsidRPr="00476EC6" w:rsidRDefault="00476EC6" w:rsidP="00476EC6">
            <w:pPr>
              <w:spacing w:after="120" w:line="240" w:lineRule="auto"/>
              <w:ind w:left="669"/>
              <w:rPr>
                <w:rFonts w:eastAsia="Trebuchet MS" w:cs="Times New Roman"/>
                <w:bCs/>
              </w:rPr>
            </w:pPr>
          </w:p>
          <w:p w:rsidR="00476EC6" w:rsidRPr="00476EC6" w:rsidRDefault="00476EC6" w:rsidP="00476EC6">
            <w:pPr>
              <w:spacing w:before="240" w:after="120" w:line="240" w:lineRule="auto"/>
              <w:rPr>
                <w:rFonts w:eastAsia="Trebuchet MS" w:cs="Times New Roman"/>
                <w:u w:val="single"/>
              </w:rPr>
            </w:pPr>
            <w:r w:rsidRPr="00476EC6">
              <w:rPr>
                <w:rFonts w:eastAsia="Trebuchet MS" w:cs="Times New Roman"/>
                <w:u w:val="single"/>
              </w:rPr>
              <w:t>A pénzforgalom lebonyolításáról szóló 18/2009. (</w:t>
            </w:r>
            <w:proofErr w:type="spellStart"/>
            <w:r w:rsidRPr="00476EC6">
              <w:rPr>
                <w:rFonts w:eastAsia="Trebuchet MS" w:cs="Times New Roman"/>
                <w:u w:val="single"/>
              </w:rPr>
              <w:t>VIII</w:t>
            </w:r>
            <w:proofErr w:type="spellEnd"/>
            <w:r w:rsidRPr="00476EC6">
              <w:rPr>
                <w:rFonts w:eastAsia="Trebuchet MS" w:cs="Times New Roman"/>
                <w:u w:val="single"/>
              </w:rPr>
              <w:t>. 6.) MNB rendeletre vonatk</w:t>
            </w:r>
            <w:r w:rsidRPr="00476EC6">
              <w:rPr>
                <w:rFonts w:eastAsia="Trebuchet MS" w:cs="Times New Roman"/>
                <w:u w:val="single"/>
              </w:rPr>
              <w:t>o</w:t>
            </w:r>
            <w:r w:rsidRPr="00476EC6">
              <w:rPr>
                <w:rFonts w:eastAsia="Trebuchet MS" w:cs="Times New Roman"/>
                <w:u w:val="single"/>
              </w:rPr>
              <w:t>zóan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fizetési megbízások teljesítésének általános szabályai (fizetési megb</w:t>
            </w:r>
            <w:r w:rsidRPr="00476EC6">
              <w:rPr>
                <w:rFonts w:eastAsia="Trebuchet MS" w:cs="Times New Roman"/>
              </w:rPr>
              <w:t>í</w:t>
            </w:r>
            <w:r w:rsidRPr="00476EC6">
              <w:rPr>
                <w:rFonts w:eastAsia="Trebuchet MS" w:cs="Times New Roman"/>
              </w:rPr>
              <w:t xml:space="preserve">zások befogadása, teljesítési sorrendje, </w:t>
            </w:r>
            <w:proofErr w:type="spellStart"/>
            <w:r w:rsidRPr="00476EC6">
              <w:rPr>
                <w:rFonts w:eastAsia="Trebuchet MS" w:cs="Times New Roman"/>
              </w:rPr>
              <w:t>sorbaállítása</w:t>
            </w:r>
            <w:proofErr w:type="spellEnd"/>
            <w:r w:rsidRPr="00476EC6">
              <w:rPr>
                <w:rFonts w:eastAsia="Trebuchet MS" w:cs="Times New Roman"/>
              </w:rPr>
              <w:t>, visszautasítása),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proofErr w:type="spellStart"/>
            <w:r w:rsidRPr="00476EC6">
              <w:rPr>
                <w:rFonts w:eastAsia="Trebuchet MS" w:cs="Times New Roman"/>
              </w:rPr>
              <w:t>EGT-n</w:t>
            </w:r>
            <w:proofErr w:type="spellEnd"/>
            <w:r w:rsidRPr="00476EC6">
              <w:rPr>
                <w:rFonts w:eastAsia="Trebuchet MS" w:cs="Times New Roman"/>
              </w:rPr>
              <w:t xml:space="preserve"> belül forintban, euróban és egyéb </w:t>
            </w:r>
            <w:proofErr w:type="spellStart"/>
            <w:r w:rsidRPr="00476EC6">
              <w:rPr>
                <w:rFonts w:eastAsia="Trebuchet MS" w:cs="Times New Roman"/>
              </w:rPr>
              <w:t>EGT-állam</w:t>
            </w:r>
            <w:proofErr w:type="spellEnd"/>
            <w:r w:rsidRPr="00476EC6">
              <w:rPr>
                <w:rFonts w:eastAsia="Trebuchet MS" w:cs="Times New Roman"/>
              </w:rPr>
              <w:t xml:space="preserve"> pénznemében l</w:t>
            </w:r>
            <w:r w:rsidRPr="00476EC6">
              <w:rPr>
                <w:rFonts w:eastAsia="Trebuchet MS" w:cs="Times New Roman"/>
              </w:rPr>
              <w:t>e</w:t>
            </w:r>
            <w:r w:rsidRPr="00476EC6">
              <w:rPr>
                <w:rFonts w:eastAsia="Trebuchet MS" w:cs="Times New Roman"/>
              </w:rPr>
              <w:t>bonyolított fizetési forgalom teljesítése, különös tekintettel a 2012. j</w:t>
            </w:r>
            <w:r w:rsidRPr="00476EC6">
              <w:rPr>
                <w:rFonts w:eastAsia="Trebuchet MS" w:cs="Times New Roman"/>
              </w:rPr>
              <w:t>a</w:t>
            </w:r>
            <w:r w:rsidRPr="00476EC6">
              <w:rPr>
                <w:rFonts w:eastAsia="Trebuchet MS" w:cs="Times New Roman"/>
              </w:rPr>
              <w:t>nuár 1-jei, a 2012. július 1-jei, valamint a 2013. január 1-jei változáso</w:t>
            </w:r>
            <w:r w:rsidRPr="00476EC6">
              <w:rPr>
                <w:rFonts w:eastAsia="Trebuchet MS" w:cs="Times New Roman"/>
              </w:rPr>
              <w:t>k</w:t>
            </w:r>
            <w:r w:rsidRPr="00476EC6">
              <w:rPr>
                <w:rFonts w:eastAsia="Trebuchet MS" w:cs="Times New Roman"/>
              </w:rPr>
              <w:t>ra,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szolgáltatón belüli fizetési műveletek haladéktalan jóváírása,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jóváírásokra vonatkozó záró időpont meghatározása,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levelezőbanki tevékenység,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hatósági átutalások feldolgozásának azonnali megkezdése,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 xml:space="preserve">nem euróban és </w:t>
            </w:r>
            <w:proofErr w:type="spellStart"/>
            <w:r w:rsidRPr="00476EC6">
              <w:rPr>
                <w:rFonts w:eastAsia="Trebuchet MS" w:cs="Times New Roman"/>
              </w:rPr>
              <w:t>EGT-állam</w:t>
            </w:r>
            <w:proofErr w:type="spellEnd"/>
            <w:r w:rsidRPr="00476EC6">
              <w:rPr>
                <w:rFonts w:eastAsia="Trebuchet MS" w:cs="Times New Roman"/>
              </w:rPr>
              <w:t xml:space="preserve"> pénznemében lebonyolított fizetési forg</w:t>
            </w:r>
            <w:r w:rsidRPr="00476EC6">
              <w:rPr>
                <w:rFonts w:eastAsia="Trebuchet MS" w:cs="Times New Roman"/>
              </w:rPr>
              <w:t>a</w:t>
            </w:r>
            <w:r w:rsidRPr="00476EC6">
              <w:rPr>
                <w:rFonts w:eastAsia="Trebuchet MS" w:cs="Times New Roman"/>
              </w:rPr>
              <w:t>lom teljesítése,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értéknap alkalmazására vonatkozó követelmények,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kedvezményezett pénzforgalmi szolgáltatójaként a felhatalmazáson alapuló beszedési megbízások kezelése,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hatósági átutalási megbízások és átutalási végzések teljesítése,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az átutalásokat kísérő adatok továbbítása,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csoportos beszedési megbízások kezelése a kedvezményezett, illetve a fizető fél pénzforgalmi szolgáltatójaként, valamint a csoportos besz</w:t>
            </w:r>
            <w:r w:rsidRPr="00476EC6">
              <w:rPr>
                <w:rFonts w:eastAsia="Trebuchet MS" w:cs="Times New Roman"/>
              </w:rPr>
              <w:t>e</w:t>
            </w:r>
            <w:r w:rsidRPr="00476EC6">
              <w:rPr>
                <w:rFonts w:eastAsia="Trebuchet MS" w:cs="Times New Roman"/>
              </w:rPr>
              <w:t>dési megbízás fizető fél általi letiltása,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belföldön bankkártyával bonyolított olyan fizetések elszámolása, am</w:t>
            </w:r>
            <w:r w:rsidRPr="00476EC6">
              <w:rPr>
                <w:rFonts w:eastAsia="Trebuchet MS" w:cs="Times New Roman"/>
              </w:rPr>
              <w:t>e</w:t>
            </w:r>
            <w:r w:rsidRPr="00476EC6">
              <w:rPr>
                <w:rFonts w:eastAsia="Trebuchet MS" w:cs="Times New Roman"/>
              </w:rPr>
              <w:t xml:space="preserve">lyek esetében az eredeti tranzakció összegének pénzneme megegyezik a bankkártya fedezeti számla pénznemével. </w:t>
            </w:r>
          </w:p>
          <w:p w:rsidR="00476EC6" w:rsidRPr="00476EC6" w:rsidRDefault="00476EC6" w:rsidP="00476EC6">
            <w:pPr>
              <w:spacing w:after="120" w:line="240" w:lineRule="auto"/>
              <w:ind w:left="357"/>
              <w:rPr>
                <w:rFonts w:eastAsia="Trebuchet MS" w:cs="Times New Roman"/>
              </w:rPr>
            </w:pPr>
          </w:p>
          <w:p w:rsidR="00476EC6" w:rsidRPr="00476EC6" w:rsidRDefault="00476EC6" w:rsidP="00476EC6">
            <w:pPr>
              <w:rPr>
                <w:rFonts w:eastAsia="Trebuchet MS" w:cs="Times New Roman"/>
                <w:u w:val="single"/>
              </w:rPr>
            </w:pPr>
            <w:r w:rsidRPr="00476EC6">
              <w:rPr>
                <w:rFonts w:eastAsia="Times New Roman" w:cs="Arial"/>
                <w:u w:val="single"/>
              </w:rPr>
              <w:t xml:space="preserve">Az egyes fizetési szolgáltatókról szóló </w:t>
            </w:r>
            <w:r w:rsidRPr="00476EC6">
              <w:rPr>
                <w:rFonts w:eastAsia="Trebuchet MS" w:cs="Times New Roman"/>
                <w:u w:val="single"/>
              </w:rPr>
              <w:t xml:space="preserve">2013. évi </w:t>
            </w:r>
            <w:proofErr w:type="spellStart"/>
            <w:r w:rsidRPr="00476EC6">
              <w:rPr>
                <w:rFonts w:eastAsia="Trebuchet MS" w:cs="Times New Roman"/>
                <w:u w:val="single"/>
              </w:rPr>
              <w:t>CCXXXV</w:t>
            </w:r>
            <w:proofErr w:type="spellEnd"/>
            <w:r w:rsidRPr="00476EC6">
              <w:rPr>
                <w:rFonts w:eastAsia="Trebuchet MS" w:cs="Times New Roman"/>
                <w:u w:val="single"/>
              </w:rPr>
              <w:t>. törvényre vonatkozóan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imes New Roman" w:cs="Arial"/>
              </w:rPr>
              <w:t>a töke követelménynek való megfelelésre,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az utalvány tartalmi követelményeire,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imes New Roman" w:cs="Arial"/>
              </w:rPr>
              <w:t>a kibocsátott utalványokkal kapcsolatos nyilvántartásra,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imes New Roman" w:cs="Arial"/>
              </w:rPr>
              <w:t>az utalványbirtokosok pénzkövetelésének a fedezetére és annak kez</w:t>
            </w:r>
            <w:r w:rsidRPr="00476EC6">
              <w:rPr>
                <w:rFonts w:eastAsia="Times New Roman" w:cs="Arial"/>
              </w:rPr>
              <w:t>e</w:t>
            </w:r>
            <w:r w:rsidRPr="00476EC6">
              <w:rPr>
                <w:rFonts w:eastAsia="Times New Roman" w:cs="Arial"/>
              </w:rPr>
              <w:t>lésére,</w:t>
            </w:r>
          </w:p>
          <w:p w:rsidR="00476EC6" w:rsidRPr="00476EC6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imes New Roman" w:cs="Arial"/>
              </w:rPr>
              <w:t xml:space="preserve">az üzleti feltételekre, az utalvány visszaváltására, felszámított díjakra és mindezek módosítására, valamint </w:t>
            </w:r>
          </w:p>
          <w:p w:rsidR="00476EC6" w:rsidRPr="009768CB" w:rsidRDefault="00476EC6" w:rsidP="00476EC6">
            <w:pPr>
              <w:numPr>
                <w:ilvl w:val="0"/>
                <w:numId w:val="11"/>
              </w:numPr>
              <w:spacing w:after="120" w:line="240" w:lineRule="auto"/>
              <w:contextualSpacing/>
              <w:rPr>
                <w:rFonts w:eastAsia="Trebuchet MS" w:cs="Times New Roman"/>
              </w:rPr>
            </w:pPr>
            <w:r w:rsidRPr="00476EC6">
              <w:rPr>
                <w:rFonts w:eastAsia="Times New Roman" w:cs="Arial"/>
              </w:rPr>
              <w:t>a panaszkezelésre.</w:t>
            </w:r>
          </w:p>
          <w:p w:rsidR="009768CB" w:rsidRPr="00476EC6" w:rsidRDefault="009768CB" w:rsidP="00164ADE">
            <w:pPr>
              <w:spacing w:after="120" w:line="240" w:lineRule="auto"/>
              <w:ind w:left="1077"/>
              <w:contextualSpacing/>
              <w:rPr>
                <w:rFonts w:eastAsia="Trebuchet MS" w:cs="Times New Roman"/>
              </w:rPr>
            </w:pPr>
          </w:p>
          <w:p w:rsidR="00476EC6" w:rsidRPr="00476EC6" w:rsidRDefault="00476EC6" w:rsidP="00476EC6">
            <w:pPr>
              <w:spacing w:after="120" w:line="240" w:lineRule="auto"/>
              <w:jc w:val="left"/>
              <w:rPr>
                <w:rFonts w:eastAsia="Trebuchet MS" w:cs="Times New Roman"/>
                <w:u w:val="single"/>
              </w:rPr>
            </w:pPr>
            <w:r w:rsidRPr="00476EC6">
              <w:rPr>
                <w:rFonts w:eastAsia="Trebuchet MS" w:cs="Times New Roman"/>
                <w:u w:val="single"/>
              </w:rPr>
              <w:lastRenderedPageBreak/>
              <w:t>A kártyaalapú fizetési műveletek bankközi jutalékairól szóló 2015/751 európai pa</w:t>
            </w:r>
            <w:r w:rsidRPr="00476EC6">
              <w:rPr>
                <w:rFonts w:eastAsia="Trebuchet MS" w:cs="Times New Roman"/>
                <w:u w:val="single"/>
              </w:rPr>
              <w:t>r</w:t>
            </w:r>
            <w:r w:rsidRPr="00476EC6">
              <w:rPr>
                <w:rFonts w:eastAsia="Trebuchet MS" w:cs="Times New Roman"/>
                <w:u w:val="single"/>
              </w:rPr>
              <w:t>lamenti és tanácsi rendeletre vonatkozóan</w:t>
            </w:r>
          </w:p>
          <w:p w:rsidR="00476EC6" w:rsidRPr="00476EC6" w:rsidRDefault="00476EC6" w:rsidP="00476EC6">
            <w:pPr>
              <w:numPr>
                <w:ilvl w:val="0"/>
                <w:numId w:val="12"/>
              </w:numPr>
              <w:spacing w:after="120" w:line="240" w:lineRule="auto"/>
              <w:ind w:left="1111"/>
              <w:contextualSpacing/>
              <w:jc w:val="left"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 xml:space="preserve">a </w:t>
            </w:r>
            <w:proofErr w:type="spellStart"/>
            <w:r w:rsidRPr="00476EC6">
              <w:rPr>
                <w:rFonts w:eastAsia="Trebuchet MS" w:cs="Times New Roman"/>
              </w:rPr>
              <w:t>betétikártya-műveletekre</w:t>
            </w:r>
            <w:proofErr w:type="spellEnd"/>
            <w:r w:rsidRPr="00476EC6">
              <w:rPr>
                <w:rFonts w:eastAsia="Trebuchet MS" w:cs="Times New Roman"/>
              </w:rPr>
              <w:t xml:space="preserve"> vonatkozó műveletenkénti bankközi jut</w:t>
            </w:r>
            <w:r w:rsidRPr="00476EC6">
              <w:rPr>
                <w:rFonts w:eastAsia="Trebuchet MS" w:cs="Times New Roman"/>
              </w:rPr>
              <w:t>a</w:t>
            </w:r>
            <w:r w:rsidRPr="00476EC6">
              <w:rPr>
                <w:rFonts w:eastAsia="Trebuchet MS" w:cs="Times New Roman"/>
              </w:rPr>
              <w:t>lék mértékére,</w:t>
            </w:r>
          </w:p>
          <w:p w:rsidR="00476EC6" w:rsidRPr="00476EC6" w:rsidRDefault="00476EC6" w:rsidP="00476EC6">
            <w:pPr>
              <w:numPr>
                <w:ilvl w:val="0"/>
                <w:numId w:val="12"/>
              </w:numPr>
              <w:spacing w:after="120" w:line="240" w:lineRule="auto"/>
              <w:ind w:left="1111"/>
              <w:contextualSpacing/>
              <w:jc w:val="left"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hitelkártya-műveletekre vonatkozó műveletenkénti bankközi jutalék mértékére,</w:t>
            </w:r>
          </w:p>
          <w:p w:rsidR="00476EC6" w:rsidRPr="00476EC6" w:rsidRDefault="00476EC6" w:rsidP="00476EC6">
            <w:pPr>
              <w:numPr>
                <w:ilvl w:val="0"/>
                <w:numId w:val="12"/>
              </w:numPr>
              <w:spacing w:after="120" w:line="240" w:lineRule="auto"/>
              <w:ind w:left="1111"/>
              <w:contextualSpacing/>
              <w:jc w:val="left"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fizetési kártyák különböző kategóriái és márkái után egyedileg megá</w:t>
            </w:r>
            <w:r w:rsidRPr="00476EC6">
              <w:rPr>
                <w:rFonts w:eastAsia="Trebuchet MS" w:cs="Times New Roman"/>
              </w:rPr>
              <w:t>l</w:t>
            </w:r>
            <w:r w:rsidRPr="00476EC6">
              <w:rPr>
                <w:rFonts w:eastAsia="Trebuchet MS" w:cs="Times New Roman"/>
              </w:rPr>
              <w:t xml:space="preserve">lapított kereskedői díjak </w:t>
            </w:r>
            <w:proofErr w:type="gramStart"/>
            <w:r w:rsidRPr="00476EC6">
              <w:rPr>
                <w:rFonts w:eastAsia="Trebuchet MS" w:cs="Times New Roman"/>
              </w:rPr>
              <w:t>felajánlására</w:t>
            </w:r>
            <w:proofErr w:type="gramEnd"/>
            <w:r w:rsidRPr="00476EC6">
              <w:rPr>
                <w:rFonts w:eastAsia="Trebuchet MS" w:cs="Times New Roman"/>
              </w:rPr>
              <w:t xml:space="preserve"> ill. felszámítására,</w:t>
            </w:r>
          </w:p>
          <w:p w:rsidR="00476EC6" w:rsidRPr="00476EC6" w:rsidRDefault="00476EC6" w:rsidP="00476EC6">
            <w:pPr>
              <w:numPr>
                <w:ilvl w:val="0"/>
                <w:numId w:val="12"/>
              </w:numPr>
              <w:spacing w:after="120" w:line="240" w:lineRule="auto"/>
              <w:ind w:left="1111"/>
              <w:contextualSpacing/>
              <w:jc w:val="left"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pénzforgalmi szolgáltató, mint elfogadó és a kedvezményezettek k</w:t>
            </w:r>
            <w:r w:rsidRPr="00476EC6">
              <w:rPr>
                <w:rFonts w:eastAsia="Trebuchet MS" w:cs="Times New Roman"/>
              </w:rPr>
              <w:t>ö</w:t>
            </w:r>
            <w:r w:rsidRPr="00476EC6">
              <w:rPr>
                <w:rFonts w:eastAsia="Trebuchet MS" w:cs="Times New Roman"/>
              </w:rPr>
              <w:t>zött létrejött megállapodásokra,</w:t>
            </w:r>
          </w:p>
          <w:p w:rsidR="00476EC6" w:rsidRPr="00476EC6" w:rsidRDefault="00476EC6" w:rsidP="00476EC6">
            <w:pPr>
              <w:numPr>
                <w:ilvl w:val="0"/>
                <w:numId w:val="12"/>
              </w:numPr>
              <w:spacing w:after="120" w:line="240" w:lineRule="auto"/>
              <w:ind w:left="1111"/>
              <w:contextualSpacing/>
              <w:jc w:val="left"/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kártyaalapú fizetési művelet teljesítését követő tájékoztatásra.</w:t>
            </w:r>
          </w:p>
        </w:tc>
      </w:tr>
      <w:tr w:rsidR="00476EC6" w:rsidRPr="00476EC6" w:rsidTr="005435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lastRenderedPageBreak/>
              <w:t>Ellenőrzött intézmények típusa, tervezett ellenőrzések száma intézménytípusonként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 xml:space="preserve">Összesen 19 hitelintézet – ebből 3 bank, illetve </w:t>
            </w:r>
            <w:proofErr w:type="spellStart"/>
            <w:r w:rsidRPr="00476EC6">
              <w:rPr>
                <w:rFonts w:eastAsia="Trebuchet MS" w:cs="Times New Roman"/>
              </w:rPr>
              <w:t>EGT-fióktelep</w:t>
            </w:r>
            <w:proofErr w:type="spellEnd"/>
            <w:r w:rsidRPr="00476EC6">
              <w:rPr>
                <w:rFonts w:eastAsia="Trebuchet MS" w:cs="Times New Roman"/>
              </w:rPr>
              <w:t xml:space="preserve"> és 16 szövetkezeti hitelintézet –, 1 pénzforgalmi intézmény és 4 </w:t>
            </w:r>
            <w:proofErr w:type="spellStart"/>
            <w:r w:rsidRPr="00476EC6">
              <w:rPr>
                <w:rFonts w:eastAsia="Trebuchet MS" w:cs="Times New Roman"/>
              </w:rPr>
              <w:t>utalványkibocsátó</w:t>
            </w:r>
            <w:proofErr w:type="spellEnd"/>
            <w:r w:rsidRPr="00476EC6">
              <w:rPr>
                <w:rFonts w:eastAsia="Trebuchet MS" w:cs="Times New Roman"/>
              </w:rPr>
              <w:t>.</w:t>
            </w:r>
          </w:p>
        </w:tc>
      </w:tr>
      <w:tr w:rsidR="00476EC6" w:rsidRPr="00476EC6" w:rsidTr="005435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Ellenőrzések ütemezése: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 xml:space="preserve">A pénzforgalmi témavizsgálatok az év során folyamatosan zajlanak. </w:t>
            </w:r>
          </w:p>
        </w:tc>
      </w:tr>
      <w:tr w:rsidR="00476EC6" w:rsidRPr="00476EC6" w:rsidTr="005435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Ellenőrzési időszak: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hatósági ellenőrzés annak megkezdése időpontjától a helyszíni vizsgálat befejez</w:t>
            </w:r>
            <w:r w:rsidRPr="00476EC6">
              <w:rPr>
                <w:rFonts w:eastAsia="Trebuchet MS" w:cs="Times New Roman"/>
              </w:rPr>
              <w:t>é</w:t>
            </w:r>
            <w:r w:rsidRPr="00476EC6">
              <w:rPr>
                <w:rFonts w:eastAsia="Trebuchet MS" w:cs="Times New Roman"/>
              </w:rPr>
              <w:t>sének, illetve a tényállás megállapításához szükséges dokumentumok beérkezés</w:t>
            </w:r>
            <w:r w:rsidRPr="00476EC6">
              <w:rPr>
                <w:rFonts w:eastAsia="Trebuchet MS" w:cs="Times New Roman"/>
              </w:rPr>
              <w:t>é</w:t>
            </w:r>
            <w:r w:rsidRPr="00476EC6">
              <w:rPr>
                <w:rFonts w:eastAsia="Trebuchet MS" w:cs="Times New Roman"/>
              </w:rPr>
              <w:t xml:space="preserve">nek időpontjáig tart. </w:t>
            </w:r>
          </w:p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>A fizetési forgalom tekintetében a hatósági ellenőrzés megindításáról szóló értesítés megküldését vagy az ellenőrzési eljárás megindításának időpontját megelőző naptári hónap, egyebekben a fizetési forgalom ellenőrzési időszakának kezdetét egy évvel megelőző időponttól a helyszíni vizsgálat megkezdéséig terjedő időszak.</w:t>
            </w:r>
          </w:p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proofErr w:type="spellStart"/>
            <w:r w:rsidRPr="00476EC6">
              <w:rPr>
                <w:rFonts w:eastAsia="Trebuchet MS" w:cs="Times New Roman"/>
              </w:rPr>
              <w:t>Utalványkibocsátók</w:t>
            </w:r>
            <w:proofErr w:type="spellEnd"/>
            <w:r w:rsidRPr="00476EC6">
              <w:rPr>
                <w:rFonts w:eastAsia="Trebuchet MS" w:cs="Times New Roman"/>
              </w:rPr>
              <w:t xml:space="preserve"> esetében 2015. január 1-től a helyszíni ellenőrzés megkezdésig terjedő időszak.</w:t>
            </w:r>
          </w:p>
        </w:tc>
      </w:tr>
      <w:tr w:rsidR="00476EC6" w:rsidRPr="00476EC6" w:rsidTr="005435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</w:rPr>
              <w:t xml:space="preserve">Ellenőrzés </w:t>
            </w:r>
            <w:proofErr w:type="gramStart"/>
            <w:r w:rsidRPr="00476EC6">
              <w:rPr>
                <w:rFonts w:eastAsia="Trebuchet MS" w:cs="Times New Roman"/>
              </w:rPr>
              <w:t>eszköze(</w:t>
            </w:r>
            <w:proofErr w:type="gramEnd"/>
            <w:r w:rsidRPr="00476EC6">
              <w:rPr>
                <w:rFonts w:eastAsia="Trebuchet MS" w:cs="Times New Roman"/>
              </w:rPr>
              <w:t>i):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  <w:u w:val="single"/>
              </w:rPr>
              <w:t>helyszínen kívüli vizsgálat:</w:t>
            </w:r>
            <w:r w:rsidRPr="00476EC6">
              <w:rPr>
                <w:rFonts w:eastAsia="Trebuchet MS" w:cs="Times New Roman"/>
              </w:rPr>
              <w:t xml:space="preserve"> a belső folyamatokat szabályozó, valamint a keretszerz</w:t>
            </w:r>
            <w:r w:rsidRPr="00476EC6">
              <w:rPr>
                <w:rFonts w:eastAsia="Trebuchet MS" w:cs="Times New Roman"/>
              </w:rPr>
              <w:t>ő</w:t>
            </w:r>
            <w:r w:rsidRPr="00476EC6">
              <w:rPr>
                <w:rFonts w:eastAsia="Trebuchet MS" w:cs="Times New Roman"/>
              </w:rPr>
              <w:t>dés és az annak részét képező, az ügyfeleket tájékoztató dokumentumok (eljárá</w:t>
            </w:r>
            <w:r w:rsidRPr="00476EC6">
              <w:rPr>
                <w:rFonts w:eastAsia="Trebuchet MS" w:cs="Times New Roman"/>
              </w:rPr>
              <w:t>s</w:t>
            </w:r>
            <w:r w:rsidRPr="00476EC6">
              <w:rPr>
                <w:rFonts w:eastAsia="Trebuchet MS" w:cs="Times New Roman"/>
              </w:rPr>
              <w:t>rendek, folyamatleírások, belső utasítások, üzletszabályzatok, általános szerződési feltételek, kondíciós listák, hirdetmények, tájékoztató dokumentumok stb.) és ada</w:t>
            </w:r>
            <w:r w:rsidRPr="00476EC6">
              <w:rPr>
                <w:rFonts w:eastAsia="Trebuchet MS" w:cs="Times New Roman"/>
              </w:rPr>
              <w:t>t</w:t>
            </w:r>
            <w:r w:rsidRPr="00476EC6">
              <w:rPr>
                <w:rFonts w:eastAsia="Trebuchet MS" w:cs="Times New Roman"/>
              </w:rPr>
              <w:t>táblák bekérése és vizsgálata</w:t>
            </w:r>
          </w:p>
          <w:p w:rsidR="00476EC6" w:rsidRPr="00476EC6" w:rsidRDefault="00476EC6" w:rsidP="00476EC6">
            <w:pPr>
              <w:rPr>
                <w:rFonts w:eastAsia="Trebuchet MS" w:cs="Times New Roman"/>
              </w:rPr>
            </w:pPr>
            <w:r w:rsidRPr="00476EC6">
              <w:rPr>
                <w:rFonts w:eastAsia="Trebuchet MS" w:cs="Times New Roman"/>
                <w:u w:val="single"/>
              </w:rPr>
              <w:t>helyszíni vizsgálat:</w:t>
            </w:r>
            <w:r w:rsidRPr="00476EC6">
              <w:rPr>
                <w:rFonts w:eastAsia="Trebuchet MS" w:cs="Times New Roman"/>
              </w:rPr>
              <w:t xml:space="preserve"> az adattáblákban </w:t>
            </w:r>
            <w:proofErr w:type="gramStart"/>
            <w:r w:rsidRPr="00476EC6">
              <w:rPr>
                <w:rFonts w:eastAsia="Trebuchet MS" w:cs="Times New Roman"/>
              </w:rPr>
              <w:t>szereplő fizetési</w:t>
            </w:r>
            <w:proofErr w:type="gramEnd"/>
            <w:r w:rsidRPr="00476EC6">
              <w:rPr>
                <w:rFonts w:eastAsia="Trebuchet MS" w:cs="Times New Roman"/>
              </w:rPr>
              <w:t xml:space="preserve"> műveletek, illetve egyéb ad</w:t>
            </w:r>
            <w:r w:rsidRPr="00476EC6">
              <w:rPr>
                <w:rFonts w:eastAsia="Trebuchet MS" w:cs="Times New Roman"/>
              </w:rPr>
              <w:t>a</w:t>
            </w:r>
            <w:r w:rsidRPr="00476EC6">
              <w:rPr>
                <w:rFonts w:eastAsia="Trebuchet MS" w:cs="Times New Roman"/>
              </w:rPr>
              <w:t>tok, az azokhoz tartozó bizonylatok vizsgálata, a pénzforgalom lebonyolítását tám</w:t>
            </w:r>
            <w:r w:rsidRPr="00476EC6">
              <w:rPr>
                <w:rFonts w:eastAsia="Trebuchet MS" w:cs="Times New Roman"/>
              </w:rPr>
              <w:t>o</w:t>
            </w:r>
            <w:r w:rsidRPr="00476EC6">
              <w:rPr>
                <w:rFonts w:eastAsia="Trebuchet MS" w:cs="Times New Roman"/>
              </w:rPr>
              <w:t>gató informatikai rendszerek és munkafolyamatok vizsgálata, helyszíni interjúk, számlanyitás dokumentálásnak vizsgálata</w:t>
            </w:r>
          </w:p>
        </w:tc>
      </w:tr>
    </w:tbl>
    <w:p w:rsidR="00476EC6" w:rsidRPr="00476EC6" w:rsidRDefault="00476EC6" w:rsidP="00476EC6">
      <w:pPr>
        <w:spacing w:after="120"/>
        <w:rPr>
          <w:rFonts w:eastAsia="Trebuchet MS" w:cs="Times New Roman"/>
        </w:rPr>
      </w:pPr>
    </w:p>
    <w:p w:rsidR="0018619A" w:rsidRPr="0018619A" w:rsidRDefault="0018619A" w:rsidP="0018619A"/>
    <w:sectPr w:rsidR="0018619A" w:rsidRPr="0018619A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C6" w:rsidRDefault="00476EC6">
      <w:r>
        <w:separator/>
      </w:r>
    </w:p>
  </w:endnote>
  <w:endnote w:type="continuationSeparator" w:id="0">
    <w:p w:rsidR="00476EC6" w:rsidRDefault="0047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675436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675436" w:rsidRPr="00AC6950">
      <w:rPr>
        <w:sz w:val="18"/>
        <w:szCs w:val="18"/>
      </w:rPr>
      <w:fldChar w:fldCharType="separate"/>
    </w:r>
    <w:r w:rsidR="00164ADE">
      <w:rPr>
        <w:noProof/>
        <w:sz w:val="18"/>
        <w:szCs w:val="18"/>
      </w:rPr>
      <w:t>2</w:t>
    </w:r>
    <w:r w:rsidR="00675436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675436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675436" w:rsidRPr="00AC6950">
      <w:rPr>
        <w:sz w:val="18"/>
        <w:szCs w:val="18"/>
      </w:rPr>
      <w:fldChar w:fldCharType="separate"/>
    </w:r>
    <w:r w:rsidR="00164ADE">
      <w:rPr>
        <w:noProof/>
        <w:sz w:val="18"/>
        <w:szCs w:val="18"/>
      </w:rPr>
      <w:t>2</w:t>
    </w:r>
    <w:r w:rsidR="00675436"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C6" w:rsidRDefault="00476EC6">
      <w:r>
        <w:separator/>
      </w:r>
    </w:p>
  </w:footnote>
  <w:footnote w:type="continuationSeparator" w:id="0">
    <w:p w:rsidR="00476EC6" w:rsidRDefault="00476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6BD13F5"/>
    <w:multiLevelType w:val="hybridMultilevel"/>
    <w:tmpl w:val="7FB825A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E64C3"/>
    <w:multiLevelType w:val="hybridMultilevel"/>
    <w:tmpl w:val="C8783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>
    <w:nsid w:val="32687A25"/>
    <w:multiLevelType w:val="hybridMultilevel"/>
    <w:tmpl w:val="847029D2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18C66E8"/>
    <w:multiLevelType w:val="hybridMultilevel"/>
    <w:tmpl w:val="52562992"/>
    <w:lvl w:ilvl="0" w:tplc="1B88AE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9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linkStyles/>
  <w:stylePaneFormatFilter w:val="7004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8CB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4ADE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76EC6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436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768CB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qFormat="1"/>
    <w:lsdException w:name="caption" w:uiPriority="35" w:qFormat="1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81"/>
    <w:pPr>
      <w:spacing w:after="150" w:line="276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F197C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blzat-mtrix">
    <w:name w:val="táblázat - mátrix"/>
    <w:basedOn w:val="TableNormal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05577F"/>
    <w:pPr>
      <w:numPr>
        <w:numId w:val="6"/>
      </w:numPr>
      <w:contextualSpacing/>
    </w:pPr>
  </w:style>
  <w:style w:type="character" w:styleId="Hyperlink">
    <w:name w:val="Hyperlink"/>
    <w:basedOn w:val="EndnoteReference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754A1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05577F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a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AE3CD1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Heading4Char">
    <w:name w:val="Heading 4 Char"/>
    <w:basedOn w:val="DefaultParagraphFont"/>
    <w:link w:val="Heading4"/>
    <w:uiPriority w:val="1"/>
    <w:rsid w:val="007F197C"/>
    <w:rPr>
      <w:rFonts w:cstheme="minorBidi"/>
      <w:iCs/>
      <w:color w:val="202653" w:themeColor="accent5"/>
      <w:szCs w:val="3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7F197C"/>
    <w:rPr>
      <w:rFonts w:cstheme="minorBidi"/>
      <w:color w:val="202653" w:themeColor="accent5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7F197C"/>
    <w:rPr>
      <w:rFonts w:cstheme="minorBidi"/>
      <w:color w:val="202653" w:themeColor="accent5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7F197C"/>
    <w:rPr>
      <w:rFonts w:eastAsiaTheme="majorEastAsia" w:cstheme="majorBidi"/>
      <w:bCs/>
      <w:caps/>
      <w:color w:val="202653" w:themeColor="accent5"/>
      <w:szCs w:val="4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7F197C"/>
    <w:rPr>
      <w:rFonts w:cstheme="minorBidi"/>
      <w:b/>
      <w:color w:val="202653" w:themeColor="accent5"/>
      <w:szCs w:val="3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7F197C"/>
    <w:rPr>
      <w:rFonts w:cstheme="minorBidi"/>
      <w:bCs/>
      <w:color w:val="202653" w:themeColor="accent5"/>
      <w:szCs w:val="34"/>
      <w:lang w:eastAsia="en-US"/>
    </w:rPr>
  </w:style>
  <w:style w:type="paragraph" w:styleId="Title">
    <w:name w:val="Title"/>
    <w:basedOn w:val="Normal"/>
    <w:next w:val="Normal"/>
    <w:link w:val="TitleChar"/>
    <w:uiPriority w:val="3"/>
    <w:qFormat/>
    <w:rsid w:val="007F197C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7F197C"/>
    <w:rPr>
      <w:rFonts w:eastAsiaTheme="majorEastAsia" w:cstheme="majorBidi"/>
      <w:caps/>
      <w:color w:val="202653" w:themeColor="accent5"/>
      <w:spacing w:val="5"/>
      <w:kern w:val="28"/>
      <w:sz w:val="24"/>
      <w:szCs w:val="5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3231ED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3231ED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3231E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133A51"/>
    <w:rPr>
      <w:rFonts w:eastAsiaTheme="minorEastAsia"/>
      <w:color w:val="898D8D" w:themeColor="text2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A51"/>
    <w:rPr>
      <w:rFonts w:eastAsiaTheme="minorEastAsia" w:cstheme="minorBidi"/>
      <w:color w:val="898D8D" w:themeColor="text2"/>
      <w:sz w:val="16"/>
      <w:lang w:eastAsia="en-US"/>
    </w:rPr>
  </w:style>
  <w:style w:type="character" w:styleId="SubtleEmphasis">
    <w:name w:val="Subtle Emphasis"/>
    <w:basedOn w:val="DefaultParagraphFont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643C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90D47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A99"/>
    <w:rPr>
      <w:color w:val="295A7E" w:themeColor="accent6" w:themeShade="8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A99"/>
    <w:rPr>
      <w:rFonts w:eastAsiaTheme="minorHAnsi" w:cstheme="minorBidi"/>
      <w:color w:val="295A7E" w:themeColor="accent6" w:themeShade="80"/>
      <w:lang w:eastAsia="en-US"/>
    </w:rPr>
  </w:style>
  <w:style w:type="table" w:customStyle="1" w:styleId="Vilgosrnykols1jellszn1">
    <w:name w:val="Világos árnyékolás – 1. jelölőszín1"/>
    <w:basedOn w:val="TableNormal"/>
    <w:uiPriority w:val="60"/>
    <w:rsid w:val="00643CB4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133A51"/>
  </w:style>
  <w:style w:type="character" w:customStyle="1" w:styleId="ListParagraphChar">
    <w:name w:val="List Paragraph Char"/>
    <w:basedOn w:val="DefaultParagraphFont"/>
    <w:link w:val="ListParagraph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133A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">
    <w:name w:val="Erős kiemelés"/>
    <w:basedOn w:val="Norma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a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82B80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D65E8E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D65E8E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F523A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OC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133A51"/>
    <w:rPr>
      <w:rFonts w:cstheme="minorBidi"/>
      <w:szCs w:val="22"/>
      <w:lang w:eastAsia="en-US"/>
    </w:rPr>
  </w:style>
  <w:style w:type="character" w:styleId="Strong">
    <w:name w:val="Strong"/>
    <w:basedOn w:val="DefaultParagraphFont"/>
    <w:uiPriority w:val="22"/>
    <w:rsid w:val="00133A51"/>
    <w:rPr>
      <w:b/>
      <w:bCs/>
    </w:rPr>
  </w:style>
  <w:style w:type="character" w:styleId="Emphasis">
    <w:name w:val="Emphasis"/>
    <w:basedOn w:val="DefaultParagraphFont"/>
    <w:uiPriority w:val="6"/>
    <w:qFormat/>
    <w:rsid w:val="00133A51"/>
    <w:rPr>
      <w:i/>
      <w:iCs/>
    </w:rPr>
  </w:style>
  <w:style w:type="paragraph" w:styleId="NoSpacing">
    <w:name w:val="No Spacing"/>
    <w:basedOn w:val="Normal"/>
    <w:uiPriority w:val="1"/>
    <w:rsid w:val="00133A51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133A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33A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33A5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51"/>
    <w:rPr>
      <w:b/>
      <w:i/>
      <w:sz w:val="24"/>
    </w:rPr>
  </w:style>
  <w:style w:type="character" w:styleId="IntenseEmphasis">
    <w:name w:val="Intense Emphasis"/>
    <w:basedOn w:val="DefaultParagraphFont"/>
    <w:uiPriority w:val="21"/>
    <w:rsid w:val="00133A51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 w:themeColor="accent1"/>
    </w:rPr>
  </w:style>
  <w:style w:type="table" w:customStyle="1" w:styleId="Rcsos">
    <w:name w:val="Rácsos"/>
    <w:basedOn w:val="TableNormal"/>
    <w:uiPriority w:val="99"/>
    <w:rsid w:val="007376E0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DF0268DD-C8E1-487D-9C22-9021D6F3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4167</Characters>
  <Application>Microsoft Office Word</Application>
  <DocSecurity>0</DocSecurity>
  <Lines>34</Lines>
  <Paragraphs>9</Paragraphs>
  <ScaleCrop>false</ScaleCrop>
  <Company>Magyar Nemzeti Bank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fenyvesim</dc:creator>
  <cp:lastModifiedBy>fenyvesim</cp:lastModifiedBy>
  <cp:revision>3</cp:revision>
  <cp:lastPrinted>1900-12-31T23:00:00Z</cp:lastPrinted>
  <dcterms:created xsi:type="dcterms:W3CDTF">2015-10-21T09:28:00Z</dcterms:created>
  <dcterms:modified xsi:type="dcterms:W3CDTF">2015-10-21T09:30:00Z</dcterms:modified>
</cp:coreProperties>
</file>