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638" w:rsidRDefault="00EE1638" w:rsidP="00EE1638">
      <w:pPr>
        <w:spacing w:before="120" w:after="240" w:line="240" w:lineRule="auto"/>
        <w:jc w:val="center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>
        <w:rPr>
          <w:rFonts w:asciiTheme="minorHAnsi" w:eastAsia="Times New Roman" w:hAnsiTheme="minorHAnsi" w:cs="Times New Roman"/>
          <w:b/>
          <w:bCs/>
          <w:sz w:val="24"/>
          <w:szCs w:val="24"/>
        </w:rPr>
        <w:t>A Magyar Nemzeti Bank 2020. évi prudenciális ellenőrzési terve</w:t>
      </w:r>
    </w:p>
    <w:p w:rsidR="00F05C29" w:rsidRPr="00F05C29" w:rsidRDefault="00F05C29" w:rsidP="00F05C29">
      <w:pPr>
        <w:spacing w:before="120" w:after="240" w:line="240" w:lineRule="auto"/>
        <w:jc w:val="center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tbl>
      <w:tblPr>
        <w:tblW w:w="9526" w:type="dxa"/>
        <w:tblBorders>
          <w:top w:val="thinThickSmallGap" w:sz="24" w:space="0" w:color="1F497D"/>
          <w:left w:val="thinThickSmallGap" w:sz="24" w:space="0" w:color="1F497D"/>
          <w:bottom w:val="thickThinSmallGap" w:sz="24" w:space="0" w:color="1F497D"/>
          <w:right w:val="thickThinSmallGap" w:sz="24" w:space="0" w:color="1F497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433"/>
      </w:tblGrid>
      <w:tr w:rsidR="00F05C29" w:rsidRPr="00BE7CBF" w:rsidTr="00626D01">
        <w:trPr>
          <w:trHeight w:val="1898"/>
        </w:trPr>
        <w:tc>
          <w:tcPr>
            <w:tcW w:w="2093" w:type="dxa"/>
            <w:vAlign w:val="center"/>
          </w:tcPr>
          <w:p w:rsidR="00F05C29" w:rsidRPr="00BE7CBF" w:rsidRDefault="00F05C29" w:rsidP="00626D01">
            <w:pPr>
              <w:pStyle w:val="Default"/>
              <w:rPr>
                <w:sz w:val="20"/>
                <w:szCs w:val="20"/>
              </w:rPr>
            </w:pPr>
            <w:r w:rsidRPr="00BE7CBF">
              <w:rPr>
                <w:b/>
                <w:sz w:val="20"/>
                <w:szCs w:val="20"/>
              </w:rPr>
              <w:t xml:space="preserve">Ellenőrzés tárgya: </w:t>
            </w:r>
          </w:p>
        </w:tc>
        <w:tc>
          <w:tcPr>
            <w:tcW w:w="7433" w:type="dxa"/>
            <w:vAlign w:val="center"/>
          </w:tcPr>
          <w:p w:rsidR="00F05C29" w:rsidRPr="00BE7CBF" w:rsidRDefault="00F05C29" w:rsidP="00626D01">
            <w:pPr>
              <w:pStyle w:val="Default"/>
              <w:spacing w:before="12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E7CB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Az MNB tv. 4. § (9) bekezdése szerinti felügyeleti feladatok ellátása érdekében az MNB tv. 39. §-ában meghatározott törvények hatálya alá tartozó személy és szervezet működésére és tevékenységére vonatkozó, törvényben, MNB rendeletben és egyéb jogszabályban – ideértve az MNB tv. 40. §-ában hivatkozott uniós jogi aktusokat is– foglalt rendelkezések betartásának ellenőrzése, valamint a kockázatok feltárása és a kockázatkezelési folyamatok megfelelőségének értékelése. </w:t>
            </w:r>
          </w:p>
          <w:p w:rsidR="00F05C29" w:rsidRPr="00BE7CBF" w:rsidRDefault="00F05C29" w:rsidP="00626D01">
            <w:pPr>
              <w:pStyle w:val="Default"/>
              <w:spacing w:before="120"/>
              <w:jc w:val="both"/>
              <w:rPr>
                <w:sz w:val="20"/>
                <w:szCs w:val="20"/>
              </w:rPr>
            </w:pPr>
            <w:r w:rsidRPr="00BE7CBF">
              <w:rPr>
                <w:rFonts w:eastAsia="Times New Roman" w:cs="Times New Roman"/>
                <w:color w:val="auto"/>
                <w:sz w:val="20"/>
                <w:szCs w:val="20"/>
              </w:rPr>
              <w:t>A folyamatos felügyelés és a törvény által előírt ellenőrzési eljárások keretében vizsgált generális keretrendszeren túlmenően az MNB az alábbi kiemelt ellenőrzési célterületek vizsgálatát irányozza elő a felügyeleti és fogyasztóvédelmi eljárások során.</w:t>
            </w:r>
          </w:p>
        </w:tc>
      </w:tr>
      <w:tr w:rsidR="00F05C29" w:rsidRPr="00BE7CBF" w:rsidTr="00626D01">
        <w:trPr>
          <w:trHeight w:val="6375"/>
        </w:trPr>
        <w:tc>
          <w:tcPr>
            <w:tcW w:w="2093" w:type="dxa"/>
            <w:vAlign w:val="center"/>
          </w:tcPr>
          <w:p w:rsidR="00F05C29" w:rsidRPr="009846F2" w:rsidRDefault="00F05C29" w:rsidP="00626D01">
            <w:pPr>
              <w:pStyle w:val="Default"/>
              <w:rPr>
                <w:b/>
                <w:sz w:val="20"/>
                <w:szCs w:val="20"/>
              </w:rPr>
            </w:pPr>
            <w:r w:rsidRPr="009846F2">
              <w:rPr>
                <w:b/>
                <w:sz w:val="20"/>
                <w:szCs w:val="20"/>
              </w:rPr>
              <w:t xml:space="preserve">Ellenőrzések kiemelt szempontjai: </w:t>
            </w:r>
          </w:p>
        </w:tc>
        <w:tc>
          <w:tcPr>
            <w:tcW w:w="7433" w:type="dxa"/>
            <w:vAlign w:val="center"/>
          </w:tcPr>
          <w:p w:rsidR="00F05C29" w:rsidRPr="00664DCC" w:rsidRDefault="00F05C29" w:rsidP="00626D01">
            <w:pPr>
              <w:pStyle w:val="Default"/>
              <w:spacing w:before="120"/>
              <w:jc w:val="both"/>
              <w:rPr>
                <w:b/>
                <w:sz w:val="20"/>
                <w:szCs w:val="20"/>
              </w:rPr>
            </w:pPr>
            <w:r w:rsidRPr="00664DCC">
              <w:rPr>
                <w:b/>
                <w:sz w:val="20"/>
                <w:szCs w:val="20"/>
              </w:rPr>
              <w:t>Pénzpiac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>IFRS</w:t>
            </w:r>
            <w:r>
              <w:t xml:space="preserve"> alkalmazás </w:t>
            </w:r>
            <w:r w:rsidRPr="00664DCC">
              <w:t xml:space="preserve">megfelelősége 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>Fedezetek értékelési gyakorlata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>Makroprudenciális előírásoknak való megfelelés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>Nemteljesító hitelek (NPL) szektorszintű arányának további csökkenése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>Hitelezési tevékenység megfelelősége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>A projekthitelezés kockázatainak monitoringja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 xml:space="preserve">A felügyelt intézmények belső védelmi vonalainak működése és függetlensége 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>A pénzmosás és a terrorizmus-finanszírozás kockázata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>A fogyasztókkal kötendő hitelkártya-szerződések általános szerződési feltételei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 xml:space="preserve">A nem bankcsoporti pénzügyi vállalkozások </w:t>
            </w:r>
            <w:r w:rsidRPr="00B60427">
              <w:t>saját és jegyzett tőkéjére vonatkozó jogszabályi előírások betartásának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664DCC">
              <w:t>fokozott figyelemmel kísérése, és ezen intézmények adatszolgáltatási mulasztásainak hatékony szankcionálása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>Az Azonnali Fizetési Rendszer követelmények ellenőrzése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 xml:space="preserve">Elavult IT rendszerek </w:t>
            </w:r>
            <w:r>
              <w:t>kiemelt vizsgálata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>PSD2 követelmények ellenőrzése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>A fizetési számla-, hitel- és betéti termékekhez kapcsolódó, szerződéskötést, illetve a szerződés megszűnését követő tájékoztatások megfelelőségének ellenőrzése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>A Minősített Fogyasztóbarát Lakáshitelek ellenőrzése</w:t>
            </w:r>
          </w:p>
          <w:p w:rsidR="00F05C29" w:rsidRPr="00664DCC" w:rsidRDefault="00F05C29" w:rsidP="00626D01">
            <w:pPr>
              <w:pStyle w:val="Default"/>
              <w:spacing w:before="120"/>
              <w:jc w:val="both"/>
              <w:rPr>
                <w:b/>
                <w:sz w:val="20"/>
                <w:szCs w:val="20"/>
              </w:rPr>
            </w:pPr>
            <w:r w:rsidRPr="00664DCC">
              <w:rPr>
                <w:b/>
                <w:sz w:val="20"/>
                <w:szCs w:val="20"/>
              </w:rPr>
              <w:t>Biztosítási szektor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>Az IDD szabályozás biztosítók általi maradéktalan implementálása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 xml:space="preserve">Személyi sérüléses KGFB károk rendezésének tartalma és összegszerűsége 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 xml:space="preserve">Biztosítói unit-linked eszközalapok befektetési tranzakcióinak célszerűségi, piacszerűségi, költséghatékony szempontú napi monitorozása 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>A biztosítási szektort érintő új előírások érvényesülése, különös tekintettel a KID-es tájékoztatásra és az igényfelmérésre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 xml:space="preserve">A </w:t>
            </w:r>
            <w:r w:rsidR="00134B60">
              <w:t>m</w:t>
            </w:r>
            <w:bookmarkStart w:id="0" w:name="_GoBack"/>
            <w:bookmarkEnd w:id="0"/>
            <w:r w:rsidRPr="00664DCC">
              <w:t xml:space="preserve">inősített </w:t>
            </w:r>
            <w:r w:rsidR="00134B60">
              <w:t>f</w:t>
            </w:r>
            <w:r w:rsidRPr="00664DCC">
              <w:t xml:space="preserve">ogyasztóbarát </w:t>
            </w:r>
            <w:r w:rsidR="00D53D17">
              <w:t>termékek</w:t>
            </w:r>
            <w:r w:rsidRPr="00664DCC">
              <w:t xml:space="preserve"> megfelelőségének ellenőrzése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 xml:space="preserve">Elavult IT rendszerek </w:t>
            </w:r>
            <w:r>
              <w:t>kiemelt vizsgálata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>Az IDD-ben foglalt előírások teljesülése az utasbiztosítások területén</w:t>
            </w:r>
          </w:p>
          <w:p w:rsidR="00F05C29" w:rsidRPr="00664DCC" w:rsidRDefault="00F05C29" w:rsidP="00626D01">
            <w:pPr>
              <w:spacing w:before="120" w:after="0"/>
              <w:rPr>
                <w:b/>
              </w:rPr>
            </w:pPr>
            <w:r w:rsidRPr="00664DCC">
              <w:rPr>
                <w:b/>
              </w:rPr>
              <w:t>Tőkepiac, piacfelügyelet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 xml:space="preserve">Ügyfélkövetelések rendelkezésre állását, prudens kezelését veszélyeztető magatartások, visszaélések visszaszorítása 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 xml:space="preserve">A nyilvánosan forgalomba hozott értékpapírok kibocsátóit terhelő rendszeres és rendkívüli tájékoztatási kötelezettség, kiemelt figyelemmel a szabályozott piacra </w:t>
            </w:r>
            <w:r w:rsidRPr="00664DCC">
              <w:lastRenderedPageBreak/>
              <w:t>bevezetett értékpapírt kibocsátókra, valamint azon kibocsátókra, melyek a transzparens működés elveit több esetben vagy súlyosan sértették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 xml:space="preserve">A befektetési alapok piaci sérülékenysége, likviditási kockázatai </w:t>
            </w:r>
          </w:p>
          <w:p w:rsidR="00F05C29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 xml:space="preserve">Engedély nélkül működő szereplők visszaszorítása, kiemelt figyelemmel a jogosulatlanul végzett forrásgyűjtési tevékenységek térnyerésének megelőzésére 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>A MiFIDII/MiFIR szabályozás fogyasztóvédelmi előírásainak</w:t>
            </w:r>
            <w:r>
              <w:t xml:space="preserve"> ellenőrzése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>A MiFIDII szabályozás ösztönzőkre vonatkozó előírásainak ellenőrzése a befektetési szolgáltatók forgalmazási tevékenységének keretében elfogadott jutalékok tekintetében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 xml:space="preserve">Elavult IT rendszerek </w:t>
            </w:r>
            <w:r>
              <w:t>kiemelt vizsgálata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>PSD2 követelmények ellenőrzése</w:t>
            </w:r>
          </w:p>
          <w:p w:rsidR="00F05C29" w:rsidRPr="00664DCC" w:rsidRDefault="00F05C29" w:rsidP="00626D01">
            <w:pPr>
              <w:pStyle w:val="Default"/>
              <w:spacing w:before="120"/>
              <w:jc w:val="both"/>
              <w:rPr>
                <w:b/>
                <w:sz w:val="20"/>
                <w:szCs w:val="20"/>
              </w:rPr>
            </w:pPr>
            <w:r w:rsidRPr="00664DCC">
              <w:rPr>
                <w:b/>
                <w:sz w:val="20"/>
                <w:szCs w:val="20"/>
              </w:rPr>
              <w:t xml:space="preserve">Független biztosítási- és pénzpiaci közvetítők 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>Etikus közvetítői értékesítés tematikus vizsgálatokkal történő ellenőrzése</w:t>
            </w:r>
          </w:p>
          <w:p w:rsidR="00F05C29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 xml:space="preserve">Elavult IT rendszerek </w:t>
            </w:r>
            <w:r>
              <w:t>kiemelt vizsgálata</w:t>
            </w:r>
            <w:r w:rsidRPr="00664DCC">
              <w:t xml:space="preserve"> 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>
              <w:t>Közvetítői adatszolgáltatások határidőben való, hibátlan teljesítése</w:t>
            </w:r>
          </w:p>
          <w:p w:rsidR="00F05C29" w:rsidRPr="00664DCC" w:rsidRDefault="00F05C29" w:rsidP="00626D01">
            <w:pPr>
              <w:pStyle w:val="Default"/>
              <w:spacing w:before="120"/>
              <w:jc w:val="both"/>
              <w:rPr>
                <w:b/>
                <w:sz w:val="20"/>
                <w:szCs w:val="20"/>
              </w:rPr>
            </w:pPr>
            <w:r w:rsidRPr="00664DCC">
              <w:rPr>
                <w:b/>
                <w:sz w:val="20"/>
                <w:szCs w:val="20"/>
              </w:rPr>
              <w:t>Pénztári szektor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 xml:space="preserve">A pénztári befektetési tranzakciók célszerűségi, piacszerűségi, költséghatékony szempontú napi monitorozása 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 xml:space="preserve">Belső kontrollrendszer hatékonysága 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>A pénztárak üzleti modellj</w:t>
            </w:r>
            <w:r>
              <w:t>ének</w:t>
            </w:r>
            <w:r w:rsidRPr="00664DCC">
              <w:t xml:space="preserve"> megalapozottsága 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>IT biztonság megfelelőségének vizsgálata a pénztáraknál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>A befektetési politika megfelelőségének és a tényleges eszközösszetétellel való összhangjának vizsgálata</w:t>
            </w:r>
          </w:p>
          <w:p w:rsidR="00F05C29" w:rsidRPr="00664DCC" w:rsidRDefault="00F05C29" w:rsidP="00F05C29">
            <w:pPr>
              <w:pStyle w:val="Listaszerbekezds"/>
              <w:numPr>
                <w:ilvl w:val="0"/>
                <w:numId w:val="19"/>
              </w:numPr>
              <w:spacing w:after="0"/>
            </w:pPr>
            <w:r w:rsidRPr="00664DCC">
              <w:t xml:space="preserve">Elavult IT rendszerek </w:t>
            </w:r>
            <w:r>
              <w:t>kiemelt vizsgálata</w:t>
            </w:r>
          </w:p>
        </w:tc>
      </w:tr>
      <w:tr w:rsidR="00F05C29" w:rsidRPr="00BE7CBF" w:rsidTr="00626D01">
        <w:trPr>
          <w:trHeight w:val="380"/>
        </w:trPr>
        <w:tc>
          <w:tcPr>
            <w:tcW w:w="2093" w:type="dxa"/>
            <w:vAlign w:val="center"/>
          </w:tcPr>
          <w:p w:rsidR="00F05C29" w:rsidRPr="00BE7CBF" w:rsidRDefault="00F05C29" w:rsidP="00626D01">
            <w:pPr>
              <w:pStyle w:val="Default"/>
              <w:rPr>
                <w:b/>
                <w:sz w:val="20"/>
                <w:szCs w:val="20"/>
              </w:rPr>
            </w:pPr>
            <w:r w:rsidRPr="00BE7CBF">
              <w:rPr>
                <w:b/>
                <w:sz w:val="20"/>
                <w:szCs w:val="20"/>
              </w:rPr>
              <w:lastRenderedPageBreak/>
              <w:t xml:space="preserve">Ellenőrzött intézmények típusa, tervezett ellenőrzések száma intézménytípusonként </w:t>
            </w:r>
          </w:p>
        </w:tc>
        <w:tc>
          <w:tcPr>
            <w:tcW w:w="7433" w:type="dxa"/>
            <w:vAlign w:val="center"/>
          </w:tcPr>
          <w:p w:rsidR="00F05C29" w:rsidRPr="00BE7CBF" w:rsidRDefault="00F05C29" w:rsidP="00626D01">
            <w:pPr>
              <w:pStyle w:val="Default"/>
              <w:spacing w:after="240"/>
              <w:jc w:val="both"/>
              <w:rPr>
                <w:sz w:val="20"/>
                <w:szCs w:val="20"/>
              </w:rPr>
            </w:pPr>
            <w:r w:rsidRPr="00BE7CBF">
              <w:rPr>
                <w:sz w:val="20"/>
                <w:szCs w:val="20"/>
              </w:rPr>
              <w:t xml:space="preserve">Összesen </w:t>
            </w:r>
            <w:r>
              <w:rPr>
                <w:sz w:val="20"/>
                <w:szCs w:val="20"/>
              </w:rPr>
              <w:t xml:space="preserve">44 </w:t>
            </w:r>
            <w:r w:rsidRPr="00BE7CBF">
              <w:rPr>
                <w:sz w:val="20"/>
                <w:szCs w:val="20"/>
              </w:rPr>
              <w:t xml:space="preserve">pénzpiaci, </w:t>
            </w:r>
            <w:r>
              <w:rPr>
                <w:sz w:val="20"/>
                <w:szCs w:val="20"/>
              </w:rPr>
              <w:t xml:space="preserve">9 </w:t>
            </w:r>
            <w:r w:rsidRPr="00BE7CBF">
              <w:rPr>
                <w:sz w:val="20"/>
                <w:szCs w:val="20"/>
              </w:rPr>
              <w:t>biztosít</w:t>
            </w:r>
            <w:r>
              <w:rPr>
                <w:sz w:val="20"/>
                <w:szCs w:val="20"/>
              </w:rPr>
              <w:t xml:space="preserve">ói, 21 </w:t>
            </w:r>
            <w:r w:rsidRPr="00BE7CBF">
              <w:rPr>
                <w:sz w:val="20"/>
                <w:szCs w:val="20"/>
              </w:rPr>
              <w:t xml:space="preserve">pénztári, </w:t>
            </w:r>
            <w:r>
              <w:rPr>
                <w:sz w:val="20"/>
                <w:szCs w:val="20"/>
              </w:rPr>
              <w:t xml:space="preserve">5 közvetítői és 27 </w:t>
            </w:r>
            <w:r w:rsidRPr="00BE7CBF">
              <w:rPr>
                <w:sz w:val="20"/>
                <w:szCs w:val="20"/>
              </w:rPr>
              <w:t>tőkepiaci ellenőrzés</w:t>
            </w:r>
            <w:r>
              <w:rPr>
                <w:sz w:val="20"/>
                <w:szCs w:val="20"/>
              </w:rPr>
              <w:t xml:space="preserve">, valamint 5 önálló pénzmosás- és terrorizmus-finanszírozási témavizsgálat lefolytatására </w:t>
            </w:r>
            <w:r w:rsidRPr="00BE7CBF">
              <w:rPr>
                <w:sz w:val="20"/>
                <w:szCs w:val="20"/>
              </w:rPr>
              <w:t xml:space="preserve">kerül </w:t>
            </w:r>
            <w:r>
              <w:rPr>
                <w:sz w:val="20"/>
                <w:szCs w:val="20"/>
              </w:rPr>
              <w:t xml:space="preserve">sor. </w:t>
            </w:r>
            <w:r w:rsidRPr="00BE7CBF">
              <w:rPr>
                <w:sz w:val="20"/>
                <w:szCs w:val="20"/>
              </w:rPr>
              <w:t xml:space="preserve"> </w:t>
            </w:r>
          </w:p>
        </w:tc>
      </w:tr>
      <w:tr w:rsidR="00F05C29" w:rsidRPr="00BE7CBF" w:rsidTr="00626D01">
        <w:trPr>
          <w:trHeight w:val="380"/>
        </w:trPr>
        <w:tc>
          <w:tcPr>
            <w:tcW w:w="2093" w:type="dxa"/>
            <w:vAlign w:val="center"/>
          </w:tcPr>
          <w:p w:rsidR="00F05C29" w:rsidRPr="00BE7CBF" w:rsidRDefault="00F05C29" w:rsidP="00626D01">
            <w:pPr>
              <w:pStyle w:val="Default"/>
              <w:rPr>
                <w:b/>
                <w:sz w:val="20"/>
                <w:szCs w:val="20"/>
              </w:rPr>
            </w:pPr>
            <w:r w:rsidRPr="00BE7CBF">
              <w:rPr>
                <w:b/>
                <w:sz w:val="20"/>
                <w:szCs w:val="20"/>
              </w:rPr>
              <w:t xml:space="preserve">Ellenőrzések ütemezése: </w:t>
            </w:r>
          </w:p>
        </w:tc>
        <w:tc>
          <w:tcPr>
            <w:tcW w:w="7433" w:type="dxa"/>
            <w:vAlign w:val="center"/>
          </w:tcPr>
          <w:p w:rsidR="00F05C29" w:rsidRPr="00BE7CBF" w:rsidRDefault="00F05C29" w:rsidP="00626D01">
            <w:pPr>
              <w:pStyle w:val="Default"/>
              <w:jc w:val="both"/>
              <w:rPr>
                <w:sz w:val="20"/>
                <w:szCs w:val="20"/>
              </w:rPr>
            </w:pPr>
            <w:r w:rsidRPr="00BE7CBF">
              <w:rPr>
                <w:sz w:val="20"/>
                <w:szCs w:val="20"/>
              </w:rPr>
              <w:t xml:space="preserve">Az ellenőrzések az év során folyamatosan zajlanak. </w:t>
            </w:r>
          </w:p>
        </w:tc>
      </w:tr>
      <w:tr w:rsidR="00F05C29" w:rsidRPr="00BE7CBF" w:rsidTr="00626D01">
        <w:trPr>
          <w:trHeight w:val="380"/>
        </w:trPr>
        <w:tc>
          <w:tcPr>
            <w:tcW w:w="2093" w:type="dxa"/>
            <w:vAlign w:val="center"/>
          </w:tcPr>
          <w:p w:rsidR="00F05C29" w:rsidRPr="00BE7CBF" w:rsidRDefault="00F05C29" w:rsidP="00626D01">
            <w:pPr>
              <w:pStyle w:val="Default"/>
              <w:rPr>
                <w:b/>
                <w:sz w:val="20"/>
                <w:szCs w:val="20"/>
              </w:rPr>
            </w:pPr>
            <w:r w:rsidRPr="00BE7CBF">
              <w:rPr>
                <w:b/>
                <w:sz w:val="20"/>
                <w:szCs w:val="20"/>
              </w:rPr>
              <w:t xml:space="preserve">Ellenőrzési időszak: </w:t>
            </w:r>
          </w:p>
        </w:tc>
        <w:tc>
          <w:tcPr>
            <w:tcW w:w="7433" w:type="dxa"/>
            <w:vAlign w:val="center"/>
          </w:tcPr>
          <w:p w:rsidR="00F05C29" w:rsidRPr="00BE7CBF" w:rsidRDefault="00F05C29" w:rsidP="00626D01">
            <w:pPr>
              <w:pStyle w:val="Default"/>
              <w:jc w:val="both"/>
              <w:rPr>
                <w:sz w:val="20"/>
                <w:szCs w:val="20"/>
              </w:rPr>
            </w:pPr>
            <w:r w:rsidRPr="00BE7CBF">
              <w:rPr>
                <w:sz w:val="20"/>
                <w:szCs w:val="20"/>
              </w:rPr>
              <w:t xml:space="preserve">A hatósági ellenőrzés </w:t>
            </w:r>
            <w:r>
              <w:rPr>
                <w:sz w:val="20"/>
                <w:szCs w:val="20"/>
              </w:rPr>
              <w:t xml:space="preserve">a </w:t>
            </w:r>
            <w:r w:rsidRPr="00BE7CBF">
              <w:rPr>
                <w:sz w:val="20"/>
                <w:szCs w:val="20"/>
              </w:rPr>
              <w:t xml:space="preserve">megkezdésének időpontjától a helyszíni vizsgálat befejezésének, illetve a tényállás megállapításához szükséges utolsó dokumentumok beérkezésének időpontjáig tart. </w:t>
            </w:r>
          </w:p>
        </w:tc>
      </w:tr>
      <w:tr w:rsidR="00F05C29" w:rsidRPr="00D34057" w:rsidTr="00626D01">
        <w:trPr>
          <w:trHeight w:val="380"/>
        </w:trPr>
        <w:tc>
          <w:tcPr>
            <w:tcW w:w="2093" w:type="dxa"/>
            <w:vAlign w:val="center"/>
          </w:tcPr>
          <w:p w:rsidR="00F05C29" w:rsidRPr="00BE7CBF" w:rsidRDefault="00F05C29" w:rsidP="00626D01">
            <w:pPr>
              <w:pStyle w:val="Default"/>
              <w:rPr>
                <w:b/>
                <w:sz w:val="20"/>
                <w:szCs w:val="20"/>
              </w:rPr>
            </w:pPr>
            <w:r w:rsidRPr="00BE7CBF">
              <w:rPr>
                <w:b/>
                <w:sz w:val="20"/>
                <w:szCs w:val="20"/>
              </w:rPr>
              <w:t xml:space="preserve">Ellenőrzés eszköze(i): </w:t>
            </w:r>
          </w:p>
        </w:tc>
        <w:tc>
          <w:tcPr>
            <w:tcW w:w="7433" w:type="dxa"/>
            <w:vAlign w:val="center"/>
          </w:tcPr>
          <w:p w:rsidR="00F05C29" w:rsidRPr="00BE7CBF" w:rsidRDefault="00F05C29" w:rsidP="00626D01">
            <w:pPr>
              <w:pStyle w:val="Default"/>
              <w:spacing w:before="120"/>
              <w:jc w:val="both"/>
              <w:rPr>
                <w:sz w:val="20"/>
                <w:szCs w:val="20"/>
              </w:rPr>
            </w:pPr>
            <w:r w:rsidRPr="00BE7CBF">
              <w:rPr>
                <w:sz w:val="20"/>
                <w:szCs w:val="20"/>
              </w:rPr>
              <w:t>Az ellenőrzési eljárás során az MNB átfogó vizsgálatot, célvizsgálatot, több személynél és szervezetnél témavizsgálatot végez, illetve felügyeleti ellenőrzést folytat. Az MNB a határozatainak teljesülését utóvizsgálat keretében vagy adatszolgáltatás alapján ellenőrzi.</w:t>
            </w:r>
          </w:p>
          <w:p w:rsidR="00F05C29" w:rsidRPr="00BE7CBF" w:rsidRDefault="00F05C29" w:rsidP="00626D01">
            <w:pPr>
              <w:pStyle w:val="Default"/>
              <w:spacing w:before="120"/>
              <w:jc w:val="both"/>
              <w:rPr>
                <w:sz w:val="20"/>
                <w:szCs w:val="20"/>
              </w:rPr>
            </w:pPr>
            <w:r w:rsidRPr="00BE7CBF">
              <w:rPr>
                <w:sz w:val="20"/>
                <w:szCs w:val="20"/>
              </w:rPr>
              <w:t>Az ellenőrzés lehet helyszíni vagy helyszínen kívüli.</w:t>
            </w:r>
          </w:p>
          <w:p w:rsidR="00F05C29" w:rsidRPr="00BE7CBF" w:rsidRDefault="00F05C29" w:rsidP="00626D01">
            <w:pPr>
              <w:spacing w:before="120" w:after="0" w:line="240" w:lineRule="auto"/>
              <w:rPr>
                <w:rFonts w:cs="Times New Roman"/>
                <w:bCs/>
              </w:rPr>
            </w:pPr>
            <w:r w:rsidRPr="00BE7CBF">
              <w:t xml:space="preserve">A vizsgálat során értékelésre kerülnek az intézmények </w:t>
            </w:r>
            <w:r w:rsidRPr="00BE7CBF">
              <w:rPr>
                <w:rFonts w:cs="Times New Roman"/>
                <w:bCs/>
              </w:rPr>
              <w:t>által rendelkezésre bocsátott dokumentumok és adatok, az intézmény munkatársaitól és vezetőitől szóban kapott tájékoztatások.</w:t>
            </w:r>
          </w:p>
          <w:p w:rsidR="00F05C29" w:rsidRPr="00D34057" w:rsidRDefault="00F05C29" w:rsidP="00626D01">
            <w:pPr>
              <w:spacing w:before="120" w:after="0" w:line="240" w:lineRule="auto"/>
            </w:pPr>
            <w:r w:rsidRPr="00BE7CBF">
              <w:rPr>
                <w:rFonts w:cs="Times New Roman"/>
                <w:bCs/>
              </w:rPr>
              <w:t>A folyamatok megismerésének eszközei a szabályzatok meglétének és gyakorlati alkalmazásának vizsgálata, az interjúkészítés, az alkalmazott informatikai rendszerek áttekintése és az ott rögzített, valamint az MNB részére küldött jelentések adataiból szerzett információk.</w:t>
            </w:r>
            <w:r w:rsidRPr="00D34057">
              <w:rPr>
                <w:rFonts w:cs="Times New Roman"/>
                <w:bCs/>
              </w:rPr>
              <w:t xml:space="preserve"> </w:t>
            </w:r>
          </w:p>
        </w:tc>
      </w:tr>
    </w:tbl>
    <w:p w:rsidR="00F05C29" w:rsidRDefault="00F05C29" w:rsidP="00F05C29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</w:rPr>
      </w:pPr>
    </w:p>
    <w:sectPr w:rsidR="00F05C29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638" w:rsidRDefault="00EE1638">
      <w:r>
        <w:separator/>
      </w:r>
    </w:p>
  </w:endnote>
  <w:endnote w:type="continuationSeparator" w:id="0">
    <w:p w:rsidR="00EE1638" w:rsidRDefault="00EE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638" w:rsidRDefault="00EE1638">
      <w:r>
        <w:separator/>
      </w:r>
    </w:p>
  </w:footnote>
  <w:footnote w:type="continuationSeparator" w:id="0">
    <w:p w:rsidR="00EE1638" w:rsidRDefault="00EE1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123725E"/>
    <w:multiLevelType w:val="hybridMultilevel"/>
    <w:tmpl w:val="F5D4579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782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A1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A0EC7"/>
    <w:multiLevelType w:val="hybridMultilevel"/>
    <w:tmpl w:val="105CF244"/>
    <w:lvl w:ilvl="0" w:tplc="19623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8"/>
    <w:lvlOverride w:ilvl="0">
      <w:startOverride w:val="1"/>
    </w:lvlOverride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5"/>
  </w:num>
  <w:num w:numId="2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38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4B60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3D17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1638"/>
    <w:rsid w:val="00EE4050"/>
    <w:rsid w:val="00EE4149"/>
    <w:rsid w:val="00F04867"/>
    <w:rsid w:val="00F04E3E"/>
    <w:rsid w:val="00F05C29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EAEF14"/>
  <w15:chartTrackingRefBased/>
  <w15:docId w15:val="{C2A72D64-0ED2-4C32-8D55-5484D7D6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53D17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D53D17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D53D17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D53D17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D53D17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D53D17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D53D17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3D17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3D17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3D17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D53D17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D53D17"/>
  </w:style>
  <w:style w:type="table" w:customStyle="1" w:styleId="tblzat-mtrix">
    <w:name w:val="táblázat - mátrix"/>
    <w:basedOn w:val="Normltblzat"/>
    <w:uiPriority w:val="2"/>
    <w:qFormat/>
    <w:rsid w:val="00D53D1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D53D1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aliases w:val="Paragraphe EI,Paragraphe de liste1,EC,Paragraphe de liste,lista_2,Welt L Char,Welt L,Bullet List,FooterText,numbered,Bulletr List Paragraph,列出段落,列出段落1,Listeafsnit1,Parágrafo da Lista1,List Paragraph21,リスト段落1,Párrafo de lista1"/>
    <w:basedOn w:val="Norml"/>
    <w:link w:val="ListaszerbekezdsChar"/>
    <w:uiPriority w:val="4"/>
    <w:qFormat/>
    <w:rsid w:val="00D53D17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D53D17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D53D1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D53D1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3D1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D53D17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3D1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D53D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53D17"/>
  </w:style>
  <w:style w:type="paragraph" w:styleId="llb">
    <w:name w:val="footer"/>
    <w:basedOn w:val="Norml"/>
    <w:link w:val="llbChar"/>
    <w:uiPriority w:val="99"/>
    <w:semiHidden/>
    <w:unhideWhenUsed/>
    <w:rsid w:val="00D53D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53D17"/>
  </w:style>
  <w:style w:type="paragraph" w:customStyle="1" w:styleId="Szmozs">
    <w:name w:val="Számozás"/>
    <w:basedOn w:val="Norml"/>
    <w:uiPriority w:val="4"/>
    <w:qFormat/>
    <w:rsid w:val="00D53D17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D53D17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D53D17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D53D17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D53D17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D53D17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D53D17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D53D17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D53D17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D53D17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3D17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3D17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3D17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D53D17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D53D17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D53D17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D53D17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D53D17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D53D17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53D17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D53D17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D53D17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D53D17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53D17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53D17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D53D17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D53D17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D53D17"/>
  </w:style>
  <w:style w:type="character" w:customStyle="1" w:styleId="ListaszerbekezdsChar">
    <w:name w:val="Listaszerű bekezdés Char"/>
    <w:aliases w:val="Paragraphe EI Char,Paragraphe de liste1 Char,EC Char,Paragraphe de liste Char,lista_2 Char,Welt L Char Char,Welt L Char1,Bullet List Char,FooterText Char,numbered Char,Bulletr List Paragraph Char,列出段落 Char,列出段落1 Char,リスト段落1 Char"/>
    <w:basedOn w:val="Bekezdsalapbettpusa"/>
    <w:link w:val="Listaszerbekezds"/>
    <w:uiPriority w:val="4"/>
    <w:rsid w:val="00D53D17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D53D17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D53D17"/>
  </w:style>
  <w:style w:type="character" w:styleId="Finomhivatkozs">
    <w:name w:val="Subtle Reference"/>
    <w:basedOn w:val="Bekezdsalapbettpusa"/>
    <w:uiPriority w:val="31"/>
    <w:rsid w:val="00D53D17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D53D17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D53D17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D53D17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D53D17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D53D17"/>
  </w:style>
  <w:style w:type="paragraph" w:styleId="Alcm">
    <w:name w:val="Subtitle"/>
    <w:basedOn w:val="Norml"/>
    <w:next w:val="Norml"/>
    <w:link w:val="AlcmChar"/>
    <w:uiPriority w:val="11"/>
    <w:rsid w:val="00D53D17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D53D17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D53D17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D53D17"/>
  </w:style>
  <w:style w:type="paragraph" w:customStyle="1" w:styleId="Erskiemels1">
    <w:name w:val="Erős kiemelés1"/>
    <w:basedOn w:val="Norml"/>
    <w:link w:val="ErskiemelsChar"/>
    <w:uiPriority w:val="5"/>
    <w:qFormat/>
    <w:rsid w:val="00D53D17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D53D17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D53D17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D53D17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D53D17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53D17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53D17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53D17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D53D17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D53D17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D53D17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D53D17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D53D17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D53D17"/>
  </w:style>
  <w:style w:type="character" w:styleId="Kiemels2">
    <w:name w:val="Strong"/>
    <w:basedOn w:val="Bekezdsalapbettpusa"/>
    <w:uiPriority w:val="22"/>
    <w:rsid w:val="00D53D17"/>
    <w:rPr>
      <w:b/>
      <w:bCs/>
    </w:rPr>
  </w:style>
  <w:style w:type="character" w:styleId="Kiemels">
    <w:name w:val="Emphasis"/>
    <w:basedOn w:val="Bekezdsalapbettpusa"/>
    <w:uiPriority w:val="6"/>
    <w:qFormat/>
    <w:rsid w:val="00D53D17"/>
    <w:rPr>
      <w:i/>
      <w:iCs/>
    </w:rPr>
  </w:style>
  <w:style w:type="paragraph" w:styleId="Nincstrkz">
    <w:name w:val="No Spacing"/>
    <w:basedOn w:val="Norml"/>
    <w:uiPriority w:val="1"/>
    <w:rsid w:val="00D53D17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D53D17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D53D17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D53D17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53D17"/>
    <w:rPr>
      <w:b/>
      <w:i/>
    </w:rPr>
  </w:style>
  <w:style w:type="character" w:styleId="Erskiemels">
    <w:name w:val="Intense Emphasis"/>
    <w:basedOn w:val="Bekezdsalapbettpusa"/>
    <w:uiPriority w:val="21"/>
    <w:rsid w:val="00D53D17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53D17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D53D17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D53D17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D53D1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D53D17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D53D17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D53D1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D53D17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D53D17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D53D17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D53D17"/>
  </w:style>
  <w:style w:type="paragraph" w:customStyle="1" w:styleId="ENNormalBox">
    <w:name w:val="EN_Normal_Box"/>
    <w:basedOn w:val="Norml"/>
    <w:uiPriority w:val="1"/>
    <w:qFormat/>
    <w:rsid w:val="00D53D17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D53D17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D53D17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D53D17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D53D17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D53D17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D53D1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D53D17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D53D17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D53D1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D53D17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D53D17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D53D17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D53D17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D53D17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D53D17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D53D17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D53D17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D53D17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D53D17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D53D17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D53D17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D53D17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D53D17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D53D17"/>
    <w:rPr>
      <w:b w:val="0"/>
      <w:caps w:val="0"/>
      <w:sz w:val="52"/>
    </w:rPr>
  </w:style>
  <w:style w:type="paragraph" w:customStyle="1" w:styleId="Default">
    <w:name w:val="Default"/>
    <w:rsid w:val="00EE1638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20FD01DF-D5C0-4135-A959-C7FEB04B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624</Words>
  <Characters>4849</Characters>
  <Application>Microsoft Office Word</Application>
  <DocSecurity>0</DocSecurity>
  <Lines>40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Vámosi Anikó</cp:lastModifiedBy>
  <cp:revision>4</cp:revision>
  <cp:lastPrinted>1900-12-31T23:00:00Z</cp:lastPrinted>
  <dcterms:created xsi:type="dcterms:W3CDTF">2019-12-17T09:04:00Z</dcterms:created>
  <dcterms:modified xsi:type="dcterms:W3CDTF">2019-12-30T13:00:00Z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grofk@mnb.hu</vt:lpwstr>
  </property>
  <property fmtid="{D5CDD505-2E9C-101B-9397-08002B2CF9AE}" pid="6" name="MSIP_Label_b0d11092-50c9-4e74-84b5-b1af078dc3d0_SetDate">
    <vt:lpwstr>2019-12-17T10:06:45.8875885+01:00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2024-12-17T09:06:45Z</vt:filetime>
  </property>
  <property fmtid="{D5CDD505-2E9C-101B-9397-08002B2CF9AE}" pid="12" name="Érvényességet beállító">
    <vt:lpwstr>grofk</vt:lpwstr>
  </property>
  <property fmtid="{D5CDD505-2E9C-101B-9397-08002B2CF9AE}" pid="13" name="Érvényességi idő első beállítása">
    <vt:filetime>2019-12-17T09:06:47Z</vt:filetime>
  </property>
</Properties>
</file>