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A2" w:rsidRPr="00306882" w:rsidRDefault="00A545A2" w:rsidP="00A545A2">
      <w:pPr>
        <w:spacing w:before="120" w:after="120"/>
        <w:rPr>
          <w:rFonts w:asciiTheme="minorHAnsi" w:hAnsiTheme="minorHAnsi"/>
          <w:b/>
          <w:sz w:val="24"/>
          <w:szCs w:val="24"/>
        </w:rPr>
      </w:pPr>
      <w:bookmarkStart w:id="0" w:name="_GoBack"/>
      <w:r w:rsidRPr="00306882">
        <w:rPr>
          <w:rFonts w:asciiTheme="minorHAnsi" w:hAnsiTheme="minorHAnsi"/>
          <w:b/>
          <w:sz w:val="24"/>
          <w:szCs w:val="24"/>
        </w:rPr>
        <w:t>A</w:t>
      </w:r>
      <w:r>
        <w:rPr>
          <w:rFonts w:asciiTheme="minorHAnsi" w:hAnsiTheme="minorHAnsi"/>
          <w:b/>
          <w:sz w:val="24"/>
          <w:szCs w:val="24"/>
        </w:rPr>
        <w:t xml:space="preserve"> 2020-ban </w:t>
      </w:r>
      <w:r w:rsidRPr="00306882">
        <w:rPr>
          <w:rFonts w:asciiTheme="minorHAnsi" w:hAnsiTheme="minorHAnsi"/>
          <w:b/>
          <w:sz w:val="24"/>
          <w:szCs w:val="24"/>
        </w:rPr>
        <w:t xml:space="preserve">lefolytatásra kerülő komplex felügyeleti felülvizsgálatok során az </w:t>
      </w:r>
      <w:r>
        <w:rPr>
          <w:rFonts w:asciiTheme="minorHAnsi" w:hAnsiTheme="minorHAnsi"/>
          <w:b/>
          <w:sz w:val="24"/>
          <w:szCs w:val="24"/>
        </w:rPr>
        <w:t xml:space="preserve">MNB az </w:t>
      </w:r>
      <w:r w:rsidRPr="00306882">
        <w:rPr>
          <w:rFonts w:asciiTheme="minorHAnsi" w:hAnsiTheme="minorHAnsi"/>
          <w:b/>
          <w:sz w:val="24"/>
          <w:szCs w:val="24"/>
        </w:rPr>
        <w:t>alábbi területeket vizsgálja kiemelten:</w:t>
      </w:r>
    </w:p>
    <w:p w:rsidR="00A545A2" w:rsidRPr="00306882" w:rsidRDefault="00A545A2" w:rsidP="00A545A2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306882">
        <w:rPr>
          <w:rFonts w:asciiTheme="minorHAnsi" w:hAnsiTheme="minorHAnsi"/>
          <w:b/>
          <w:sz w:val="24"/>
          <w:szCs w:val="24"/>
        </w:rPr>
        <w:t>ICAAP</w:t>
      </w:r>
      <w:r>
        <w:rPr>
          <w:rFonts w:asciiTheme="minorHAnsi" w:hAnsiTheme="minorHAnsi"/>
          <w:b/>
          <w:sz w:val="24"/>
          <w:szCs w:val="24"/>
        </w:rPr>
        <w:t>-BMA</w:t>
      </w:r>
      <w:r w:rsidRPr="00306882">
        <w:rPr>
          <w:rFonts w:asciiTheme="minorHAnsi" w:hAnsiTheme="minorHAnsi"/>
          <w:b/>
          <w:sz w:val="24"/>
          <w:szCs w:val="24"/>
        </w:rPr>
        <w:t>:</w:t>
      </w:r>
    </w:p>
    <w:p w:rsidR="00A545A2" w:rsidRPr="00306882" w:rsidRDefault="00A545A2" w:rsidP="00A545A2">
      <w:pPr>
        <w:pStyle w:val="Listaszerbekezds"/>
        <w:numPr>
          <w:ilvl w:val="0"/>
          <w:numId w:val="19"/>
        </w:numPr>
        <w:spacing w:before="120" w:after="180" w:line="264" w:lineRule="auto"/>
        <w:ind w:hanging="357"/>
        <w:rPr>
          <w:sz w:val="24"/>
          <w:szCs w:val="24"/>
        </w:rPr>
      </w:pPr>
      <w:r w:rsidRPr="00306882">
        <w:rPr>
          <w:sz w:val="24"/>
          <w:szCs w:val="24"/>
        </w:rPr>
        <w:t>A hitelezési kockázat kezelésén belül különösen:</w:t>
      </w:r>
    </w:p>
    <w:p w:rsidR="00A545A2" w:rsidRPr="0030688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 w:rsidRPr="00306882">
        <w:rPr>
          <w:sz w:val="24"/>
          <w:szCs w:val="24"/>
        </w:rPr>
        <w:t xml:space="preserve">ciklikus változók és összetételhatás a hitelkockázati modellekben: </w:t>
      </w:r>
      <w:proofErr w:type="spellStart"/>
      <w:r w:rsidRPr="00306882">
        <w:rPr>
          <w:sz w:val="24"/>
          <w:szCs w:val="24"/>
        </w:rPr>
        <w:t>TTC</w:t>
      </w:r>
      <w:proofErr w:type="spellEnd"/>
      <w:r w:rsidRPr="00306882">
        <w:rPr>
          <w:sz w:val="24"/>
          <w:szCs w:val="24"/>
        </w:rPr>
        <w:t xml:space="preserve"> </w:t>
      </w:r>
      <w:proofErr w:type="spellStart"/>
      <w:r w:rsidRPr="00306882">
        <w:rPr>
          <w:sz w:val="24"/>
          <w:szCs w:val="24"/>
        </w:rPr>
        <w:t>PD</w:t>
      </w:r>
      <w:proofErr w:type="spellEnd"/>
      <w:r w:rsidRPr="00306882">
        <w:rPr>
          <w:sz w:val="24"/>
          <w:szCs w:val="24"/>
        </w:rPr>
        <w:t xml:space="preserve"> és </w:t>
      </w:r>
      <w:proofErr w:type="spellStart"/>
      <w:r w:rsidRPr="00306882">
        <w:rPr>
          <w:sz w:val="24"/>
          <w:szCs w:val="24"/>
        </w:rPr>
        <w:t>downturn</w:t>
      </w:r>
      <w:proofErr w:type="spellEnd"/>
      <w:r w:rsidRPr="00306882">
        <w:rPr>
          <w:sz w:val="24"/>
          <w:szCs w:val="24"/>
        </w:rPr>
        <w:t xml:space="preserve"> </w:t>
      </w:r>
      <w:proofErr w:type="spellStart"/>
      <w:r w:rsidRPr="00306882">
        <w:rPr>
          <w:sz w:val="24"/>
          <w:szCs w:val="24"/>
        </w:rPr>
        <w:t>LGD</w:t>
      </w:r>
      <w:proofErr w:type="spellEnd"/>
      <w:r w:rsidRPr="00306882">
        <w:rPr>
          <w:sz w:val="24"/>
          <w:szCs w:val="24"/>
        </w:rPr>
        <w:t>/</w:t>
      </w:r>
      <w:proofErr w:type="spellStart"/>
      <w:r w:rsidRPr="00306882">
        <w:rPr>
          <w:sz w:val="24"/>
          <w:szCs w:val="24"/>
        </w:rPr>
        <w:t>CCF</w:t>
      </w:r>
      <w:proofErr w:type="spellEnd"/>
      <w:r w:rsidRPr="00306882">
        <w:rPr>
          <w:sz w:val="24"/>
          <w:szCs w:val="24"/>
        </w:rPr>
        <w:t>;</w:t>
      </w:r>
    </w:p>
    <w:p w:rsidR="00A545A2" w:rsidRPr="0030688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 w:rsidRPr="00306882">
        <w:rPr>
          <w:sz w:val="24"/>
          <w:szCs w:val="24"/>
        </w:rPr>
        <w:t>a hitelkockázati súlyok esetleges változásának feltárása;</w:t>
      </w:r>
    </w:p>
    <w:p w:rsidR="00A545A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default</w:t>
      </w:r>
      <w:proofErr w:type="spellEnd"/>
      <w:r>
        <w:rPr>
          <w:sz w:val="24"/>
          <w:szCs w:val="24"/>
        </w:rPr>
        <w:t xml:space="preserve"> portfóliók kapcsán a </w:t>
      </w:r>
      <w:proofErr w:type="spellStart"/>
      <w:r>
        <w:rPr>
          <w:sz w:val="24"/>
          <w:szCs w:val="24"/>
        </w:rPr>
        <w:t>PD</w:t>
      </w:r>
      <w:proofErr w:type="spellEnd"/>
      <w:r>
        <w:rPr>
          <w:sz w:val="24"/>
          <w:szCs w:val="24"/>
        </w:rPr>
        <w:t xml:space="preserve"> értékek </w:t>
      </w:r>
      <w:proofErr w:type="spellStart"/>
      <w:r>
        <w:rPr>
          <w:sz w:val="24"/>
          <w:szCs w:val="24"/>
        </w:rPr>
        <w:t>EBA</w:t>
      </w:r>
      <w:proofErr w:type="spellEnd"/>
      <w:r>
        <w:rPr>
          <w:sz w:val="24"/>
          <w:szCs w:val="24"/>
        </w:rPr>
        <w:t xml:space="preserve"> benchmark eredményekkel való összevetése; </w:t>
      </w:r>
    </w:p>
    <w:p w:rsidR="00A545A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 w:rsidRPr="00E13622">
        <w:rPr>
          <w:sz w:val="24"/>
          <w:szCs w:val="24"/>
        </w:rPr>
        <w:t>koncentrációs kockázat számszerűsítése</w:t>
      </w:r>
      <w:r>
        <w:rPr>
          <w:sz w:val="24"/>
          <w:szCs w:val="24"/>
        </w:rPr>
        <w:t xml:space="preserve">; </w:t>
      </w:r>
    </w:p>
    <w:p w:rsidR="00A545A2" w:rsidRPr="00E16474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 w:rsidRPr="00E16474">
        <w:rPr>
          <w:sz w:val="24"/>
          <w:szCs w:val="24"/>
        </w:rPr>
        <w:t>a KHR pozitív lekérések elmaradása miatti kiemelten kockázatos többlet tőkekövetelmény figyelembevétele a tőkekövetelmény számításban a pénzügyi vállalkozásokkal szemben nyújtott hitelekre.</w:t>
      </w:r>
    </w:p>
    <w:p w:rsidR="00A545A2" w:rsidRPr="00306882" w:rsidRDefault="00A545A2" w:rsidP="00A545A2">
      <w:pPr>
        <w:pStyle w:val="Listaszerbekezds"/>
        <w:numPr>
          <w:ilvl w:val="0"/>
          <w:numId w:val="19"/>
        </w:numPr>
        <w:spacing w:before="120" w:after="180" w:line="264" w:lineRule="auto"/>
        <w:ind w:hanging="357"/>
        <w:rPr>
          <w:sz w:val="24"/>
          <w:szCs w:val="24"/>
        </w:rPr>
      </w:pPr>
      <w:r w:rsidRPr="00306882">
        <w:rPr>
          <w:sz w:val="24"/>
          <w:szCs w:val="24"/>
        </w:rPr>
        <w:t>A működési kockázat kezelésén belül különösen:</w:t>
      </w:r>
    </w:p>
    <w:p w:rsidR="00A545A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működési kockázati veszteségadat-gyűjtés teljeskörűsége, a gyűjtött adatok minősége, illetve az adatgyűjtés belső kontrolljai; </w:t>
      </w:r>
    </w:p>
    <w:p w:rsidR="00A545A2" w:rsidRPr="0050281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a kockázatkezelési keretrendszer azonosítja-e az üzleti környezet és a belső működés változásából eredő, új típusú működési kockázatokat;</w:t>
      </w:r>
    </w:p>
    <w:p w:rsidR="00A545A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a működési kockázatok csökkentésére hozott intézkedések nyilvántartása, nyomon követése és az ahhoz kapcsolódó belső jelentések.</w:t>
      </w:r>
    </w:p>
    <w:p w:rsidR="00A545A2" w:rsidRPr="00306882" w:rsidRDefault="00A545A2" w:rsidP="00A545A2">
      <w:pPr>
        <w:pStyle w:val="Listaszerbekezds"/>
        <w:numPr>
          <w:ilvl w:val="0"/>
          <w:numId w:val="19"/>
        </w:numPr>
        <w:spacing w:before="120" w:after="180" w:line="264" w:lineRule="auto"/>
        <w:ind w:hanging="357"/>
        <w:rPr>
          <w:sz w:val="24"/>
          <w:szCs w:val="24"/>
        </w:rPr>
      </w:pPr>
      <w:r w:rsidRPr="00306882">
        <w:rPr>
          <w:sz w:val="24"/>
          <w:szCs w:val="24"/>
        </w:rPr>
        <w:t>Piaci kockázat kezelésén belül különösen:</w:t>
      </w:r>
    </w:p>
    <w:p w:rsidR="00A545A2" w:rsidRPr="0030688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 w:rsidRPr="00306882">
        <w:rPr>
          <w:sz w:val="24"/>
          <w:szCs w:val="24"/>
        </w:rPr>
        <w:t>lejárat nélküli termékek kamatkockázat szerinti modellezésének megfelelősége;</w:t>
      </w:r>
    </w:p>
    <w:p w:rsidR="00A545A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 w:rsidRPr="00306882">
        <w:rPr>
          <w:sz w:val="24"/>
          <w:szCs w:val="24"/>
        </w:rPr>
        <w:t>a Bank által számolt kamatérzékenység magas részletezettségű adatokon alapuló ellenőrzése</w:t>
      </w:r>
      <w:r>
        <w:rPr>
          <w:sz w:val="24"/>
          <w:szCs w:val="24"/>
        </w:rPr>
        <w:t>;</w:t>
      </w:r>
    </w:p>
    <w:p w:rsidR="00A545A2" w:rsidRDefault="00A545A2" w:rsidP="00A545A2">
      <w:pPr>
        <w:pStyle w:val="Listaszerbekezds"/>
        <w:numPr>
          <w:ilvl w:val="0"/>
          <w:numId w:val="19"/>
        </w:numPr>
        <w:spacing w:before="120" w:after="180" w:line="264" w:lineRule="auto"/>
        <w:ind w:hanging="357"/>
        <w:rPr>
          <w:sz w:val="24"/>
          <w:szCs w:val="24"/>
        </w:rPr>
      </w:pPr>
      <w:r w:rsidRPr="002C40E1">
        <w:rPr>
          <w:sz w:val="24"/>
          <w:szCs w:val="24"/>
        </w:rPr>
        <w:t>Felügyeleti stressz tesztek végrehajtása</w:t>
      </w:r>
      <w:r>
        <w:rPr>
          <w:sz w:val="24"/>
          <w:szCs w:val="24"/>
        </w:rPr>
        <w:t xml:space="preserve"> </w:t>
      </w:r>
      <w:r w:rsidRPr="001C16EE">
        <w:rPr>
          <w:sz w:val="24"/>
          <w:szCs w:val="24"/>
        </w:rPr>
        <w:t xml:space="preserve">és ennek eredményeként P2G Capital </w:t>
      </w:r>
      <w:proofErr w:type="spellStart"/>
      <w:r w:rsidRPr="001C16EE">
        <w:rPr>
          <w:sz w:val="24"/>
          <w:szCs w:val="24"/>
        </w:rPr>
        <w:t>Guidance</w:t>
      </w:r>
      <w:proofErr w:type="spellEnd"/>
      <w:r w:rsidRPr="001C16EE">
        <w:rPr>
          <w:sz w:val="24"/>
          <w:szCs w:val="24"/>
        </w:rPr>
        <w:t xml:space="preserve"> meghatározása</w:t>
      </w:r>
      <w:r>
        <w:rPr>
          <w:sz w:val="24"/>
          <w:szCs w:val="24"/>
        </w:rPr>
        <w:t>.</w:t>
      </w:r>
      <w:r w:rsidRPr="001C16EE">
        <w:rPr>
          <w:sz w:val="24"/>
          <w:szCs w:val="24"/>
        </w:rPr>
        <w:t xml:space="preserve"> </w:t>
      </w:r>
    </w:p>
    <w:p w:rsidR="00A545A2" w:rsidRPr="007233EA" w:rsidRDefault="00A545A2" w:rsidP="00A545A2">
      <w:pPr>
        <w:pStyle w:val="Listaszerbekezds"/>
        <w:numPr>
          <w:ilvl w:val="0"/>
          <w:numId w:val="19"/>
        </w:numPr>
        <w:spacing w:before="120" w:after="180" w:line="264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Saját banki stressztesztek módszertana és megfelelés az </w:t>
      </w:r>
      <w:proofErr w:type="spellStart"/>
      <w:r>
        <w:rPr>
          <w:sz w:val="24"/>
          <w:szCs w:val="24"/>
        </w:rPr>
        <w:t>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guideline</w:t>
      </w:r>
      <w:proofErr w:type="spellEnd"/>
      <w:r>
        <w:rPr>
          <w:sz w:val="24"/>
          <w:szCs w:val="24"/>
        </w:rPr>
        <w:t xml:space="preserve"> előírásainak.</w:t>
      </w:r>
    </w:p>
    <w:p w:rsidR="00A545A2" w:rsidRPr="002C40E1" w:rsidRDefault="00A545A2" w:rsidP="00A545A2">
      <w:pPr>
        <w:pStyle w:val="Listaszerbekezds"/>
        <w:numPr>
          <w:ilvl w:val="0"/>
          <w:numId w:val="19"/>
        </w:numPr>
        <w:spacing w:before="120" w:after="180" w:line="264" w:lineRule="auto"/>
        <w:ind w:hanging="357"/>
        <w:rPr>
          <w:sz w:val="24"/>
          <w:szCs w:val="24"/>
        </w:rPr>
      </w:pPr>
      <w:r w:rsidRPr="002C40E1">
        <w:rPr>
          <w:sz w:val="24"/>
          <w:szCs w:val="24"/>
        </w:rPr>
        <w:t>Stratégia és üzleti modellek vizsgálatán belül különösen:</w:t>
      </w:r>
    </w:p>
    <w:p w:rsidR="00A545A2" w:rsidRPr="002C40E1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C40E1">
        <w:rPr>
          <w:sz w:val="24"/>
          <w:szCs w:val="24"/>
        </w:rPr>
        <w:t>jövedelemtermelő képességre ható főbb tényezők</w:t>
      </w:r>
      <w:r>
        <w:rPr>
          <w:sz w:val="24"/>
          <w:szCs w:val="24"/>
        </w:rPr>
        <w:t xml:space="preserve">, valamint </w:t>
      </w:r>
    </w:p>
    <w:p w:rsidR="00A545A2" w:rsidRDefault="00A545A2" w:rsidP="00A545A2">
      <w:pPr>
        <w:pStyle w:val="Listaszerbekezds"/>
        <w:numPr>
          <w:ilvl w:val="0"/>
          <w:numId w:val="20"/>
        </w:numPr>
        <w:spacing w:before="120" w:after="180" w:line="264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tőke alakulására ható tényezők feltérképezése.</w:t>
      </w:r>
      <w:r w:rsidRPr="002C40E1" w:rsidDel="00E16474">
        <w:rPr>
          <w:sz w:val="24"/>
          <w:szCs w:val="24"/>
        </w:rPr>
        <w:t xml:space="preserve"> </w:t>
      </w:r>
    </w:p>
    <w:p w:rsidR="00A545A2" w:rsidRPr="00306882" w:rsidRDefault="00A545A2" w:rsidP="00A545A2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306882">
        <w:rPr>
          <w:rFonts w:asciiTheme="minorHAnsi" w:hAnsiTheme="minorHAnsi"/>
          <w:b/>
          <w:sz w:val="24"/>
          <w:szCs w:val="24"/>
        </w:rPr>
        <w:t>ILAAP:</w:t>
      </w:r>
    </w:p>
    <w:p w:rsidR="00A545A2" w:rsidRPr="00306882" w:rsidRDefault="00A545A2" w:rsidP="00A545A2">
      <w:pPr>
        <w:pStyle w:val="Listaszerbekezds"/>
        <w:numPr>
          <w:ilvl w:val="0"/>
          <w:numId w:val="21"/>
        </w:numPr>
        <w:spacing w:before="120" w:after="240"/>
        <w:rPr>
          <w:sz w:val="24"/>
          <w:szCs w:val="24"/>
        </w:rPr>
      </w:pPr>
      <w:r w:rsidRPr="00306882">
        <w:rPr>
          <w:sz w:val="24"/>
          <w:szCs w:val="24"/>
        </w:rPr>
        <w:t xml:space="preserve">Monetáris eszköztár </w:t>
      </w:r>
      <w:r>
        <w:rPr>
          <w:sz w:val="24"/>
          <w:szCs w:val="24"/>
        </w:rPr>
        <w:t>használata</w:t>
      </w:r>
      <w:r w:rsidRPr="00306882">
        <w:rPr>
          <w:sz w:val="24"/>
          <w:szCs w:val="24"/>
        </w:rPr>
        <w:t>, jövőbeli stratégiája;</w:t>
      </w:r>
    </w:p>
    <w:p w:rsidR="00A545A2" w:rsidRDefault="00A545A2" w:rsidP="00A545A2">
      <w:pPr>
        <w:pStyle w:val="Listaszerbekezds"/>
        <w:numPr>
          <w:ilvl w:val="0"/>
          <w:numId w:val="21"/>
        </w:num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likvid eszközök rendelkezésre állása az Azonnali Fizetési Rendszer zavartalan működése érdekében;</w:t>
      </w:r>
    </w:p>
    <w:p w:rsidR="00A545A2" w:rsidRPr="00306882" w:rsidRDefault="00A545A2" w:rsidP="00A545A2">
      <w:pPr>
        <w:pStyle w:val="Listaszerbekezds"/>
        <w:numPr>
          <w:ilvl w:val="0"/>
          <w:numId w:val="21"/>
        </w:numPr>
        <w:spacing w:before="120" w:after="240"/>
        <w:rPr>
          <w:sz w:val="24"/>
          <w:szCs w:val="24"/>
        </w:rPr>
      </w:pPr>
      <w:r w:rsidRPr="00306882">
        <w:rPr>
          <w:sz w:val="24"/>
          <w:szCs w:val="24"/>
        </w:rPr>
        <w:t>likviditási szabályozói mutatóknak való megfelelés hosszú</w:t>
      </w:r>
      <w:r>
        <w:rPr>
          <w:sz w:val="24"/>
          <w:szCs w:val="24"/>
        </w:rPr>
        <w:t xml:space="preserve"> </w:t>
      </w:r>
      <w:r w:rsidRPr="00306882">
        <w:rPr>
          <w:sz w:val="24"/>
          <w:szCs w:val="24"/>
        </w:rPr>
        <w:t>távú biztosításának ellenőrzése;</w:t>
      </w:r>
    </w:p>
    <w:p w:rsidR="00A545A2" w:rsidRDefault="00A545A2" w:rsidP="00A545A2">
      <w:pPr>
        <w:pStyle w:val="Listaszerbekezds"/>
        <w:numPr>
          <w:ilvl w:val="0"/>
          <w:numId w:val="21"/>
        </w:numPr>
        <w:spacing w:before="120" w:after="240"/>
        <w:rPr>
          <w:sz w:val="24"/>
          <w:szCs w:val="24"/>
        </w:rPr>
      </w:pPr>
      <w:r w:rsidRPr="00306882">
        <w:rPr>
          <w:sz w:val="24"/>
          <w:szCs w:val="24"/>
        </w:rPr>
        <w:t>finanszírozási struktúra fenntarthatóságának vizsgálata;</w:t>
      </w:r>
    </w:p>
    <w:p w:rsidR="00A545A2" w:rsidRDefault="00A545A2" w:rsidP="00A545A2">
      <w:pPr>
        <w:pStyle w:val="Listaszerbekezds"/>
        <w:numPr>
          <w:ilvl w:val="0"/>
          <w:numId w:val="21"/>
        </w:num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nettó stabil finanszírozási mutató (</w:t>
      </w:r>
      <w:proofErr w:type="spellStart"/>
      <w:r>
        <w:rPr>
          <w:sz w:val="24"/>
          <w:szCs w:val="24"/>
        </w:rPr>
        <w:t>NSFR</w:t>
      </w:r>
      <w:proofErr w:type="spellEnd"/>
      <w:r>
        <w:rPr>
          <w:sz w:val="24"/>
          <w:szCs w:val="24"/>
        </w:rPr>
        <w:t>) minimum követelményeire való intézményi felkészülés nyomonkövetése;</w:t>
      </w:r>
    </w:p>
    <w:p w:rsidR="00A545A2" w:rsidRDefault="00A545A2" w:rsidP="00A545A2">
      <w:pPr>
        <w:pStyle w:val="Listaszerbekezds"/>
        <w:numPr>
          <w:ilvl w:val="0"/>
          <w:numId w:val="21"/>
        </w:num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napi gyakoriságú adatszolgáltatások minőségének javítása;</w:t>
      </w:r>
    </w:p>
    <w:p w:rsidR="00A545A2" w:rsidRPr="00306882" w:rsidRDefault="00A545A2" w:rsidP="00A545A2">
      <w:pPr>
        <w:pStyle w:val="Listaszerbekezds"/>
        <w:numPr>
          <w:ilvl w:val="0"/>
          <w:numId w:val="21"/>
        </w:num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betétklasszifikáció helyességének ellenőrzése;</w:t>
      </w:r>
    </w:p>
    <w:p w:rsidR="00B944EB" w:rsidRPr="00B944EB" w:rsidRDefault="00A545A2" w:rsidP="00A31A3D">
      <w:pPr>
        <w:pStyle w:val="Listaszerbekezds"/>
        <w:numPr>
          <w:ilvl w:val="0"/>
          <w:numId w:val="21"/>
        </w:numPr>
        <w:spacing w:before="120" w:after="240"/>
      </w:pPr>
      <w:r w:rsidRPr="00A545A2">
        <w:rPr>
          <w:sz w:val="24"/>
          <w:szCs w:val="24"/>
        </w:rPr>
        <w:t xml:space="preserve">Felügyeleti Likviditási Stressz Teszt kalibrálása. </w:t>
      </w:r>
      <w:bookmarkEnd w:id="0"/>
    </w:p>
    <w:sectPr w:rsidR="00B944EB" w:rsidRPr="00B944EB" w:rsidSect="00A545A2">
      <w:headerReference w:type="default" r:id="rId8"/>
      <w:footerReference w:type="default" r:id="rId9"/>
      <w:pgSz w:w="11906" w:h="16838" w:code="9"/>
      <w:pgMar w:top="1135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5A2" w:rsidRDefault="00A545A2">
      <w:r>
        <w:separator/>
      </w:r>
    </w:p>
  </w:endnote>
  <w:endnote w:type="continuationSeparator" w:id="0">
    <w:p w:rsidR="00A545A2" w:rsidRDefault="00A5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5A2" w:rsidRDefault="00A545A2">
      <w:r>
        <w:separator/>
      </w:r>
    </w:p>
  </w:footnote>
  <w:footnote w:type="continuationSeparator" w:id="0">
    <w:p w:rsidR="00A545A2" w:rsidRDefault="00A5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7493"/>
    <w:multiLevelType w:val="hybridMultilevel"/>
    <w:tmpl w:val="FA7CF7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9277E"/>
    <w:multiLevelType w:val="hybridMultilevel"/>
    <w:tmpl w:val="69986A5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C169F"/>
    <w:multiLevelType w:val="hybridMultilevel"/>
    <w:tmpl w:val="69986A5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7"/>
  </w:num>
  <w:num w:numId="20">
    <w:abstractNumId w:val="4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A2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11C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45A2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D8477C3-BF15-4090-AE45-DF49A6D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211C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15211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15211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15211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15211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15211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15211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211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211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211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15211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5211C"/>
  </w:style>
  <w:style w:type="table" w:customStyle="1" w:styleId="tblzat-mtrix">
    <w:name w:val="táblázat - mátrix"/>
    <w:basedOn w:val="Normltblzat"/>
    <w:uiPriority w:val="2"/>
    <w:qFormat/>
    <w:rsid w:val="0015211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5211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Paragraphe EI,Paragraphe de liste1,EC,Paragraphe de liste,lista_2,Welt L Char,Welt L,Bullet List,FooterText,numbered,Bulletr List Paragraph,列出段落,列出段落1,Listeafsnit1,Parágrafo da Lista1,List Paragraph21,リスト段落1,Párrafo de lista1"/>
    <w:basedOn w:val="Norml"/>
    <w:link w:val="ListaszerbekezdsChar"/>
    <w:uiPriority w:val="4"/>
    <w:qFormat/>
    <w:rsid w:val="0015211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5211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5211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1521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211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5211C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21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521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5211C"/>
  </w:style>
  <w:style w:type="paragraph" w:styleId="llb">
    <w:name w:val="footer"/>
    <w:basedOn w:val="Norml"/>
    <w:link w:val="llbChar"/>
    <w:uiPriority w:val="99"/>
    <w:semiHidden/>
    <w:unhideWhenUsed/>
    <w:rsid w:val="001521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5211C"/>
  </w:style>
  <w:style w:type="paragraph" w:customStyle="1" w:styleId="Szmozs">
    <w:name w:val="Számozás"/>
    <w:basedOn w:val="Norml"/>
    <w:uiPriority w:val="4"/>
    <w:qFormat/>
    <w:rsid w:val="0015211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5211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15211C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15211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15211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15211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15211C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15211C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5211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5211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211C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211C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211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5211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5211C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5211C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5211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15211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5211C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5211C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15211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5211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5211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5211C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5211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15211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5211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5211C"/>
  </w:style>
  <w:style w:type="character" w:customStyle="1" w:styleId="ListaszerbekezdsChar">
    <w:name w:val="Listaszerű bekezdés Char"/>
    <w:aliases w:val="Paragraphe EI Char,Paragraphe de liste1 Char,EC Char,Paragraphe de liste Char,lista_2 Char,Welt L Char Char,Welt L Char1,Bullet List Char,FooterText Char,numbered Char,Bulletr List Paragraph Char,列出段落 Char,列出段落1 Char,リスト段落1 Char"/>
    <w:basedOn w:val="Bekezdsalapbettpusa"/>
    <w:link w:val="Listaszerbekezds"/>
    <w:uiPriority w:val="4"/>
    <w:rsid w:val="0015211C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5211C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15211C"/>
  </w:style>
  <w:style w:type="character" w:styleId="Finomhivatkozs">
    <w:name w:val="Subtle Reference"/>
    <w:basedOn w:val="Bekezdsalapbettpusa"/>
    <w:uiPriority w:val="31"/>
    <w:rsid w:val="0015211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5211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5211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5211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5211C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5211C"/>
  </w:style>
  <w:style w:type="paragraph" w:styleId="Alcm">
    <w:name w:val="Subtitle"/>
    <w:basedOn w:val="Norml"/>
    <w:next w:val="Norml"/>
    <w:link w:val="AlcmChar"/>
    <w:uiPriority w:val="11"/>
    <w:rsid w:val="0015211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5211C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5211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5211C"/>
  </w:style>
  <w:style w:type="paragraph" w:customStyle="1" w:styleId="Erskiemels1">
    <w:name w:val="Erős kiemelés1"/>
    <w:basedOn w:val="Norml"/>
    <w:link w:val="ErskiemelsChar"/>
    <w:uiPriority w:val="5"/>
    <w:qFormat/>
    <w:rsid w:val="0015211C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5211C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15211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5211C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5211C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5211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5211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5211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5211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5211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15211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5211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5211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5211C"/>
  </w:style>
  <w:style w:type="character" w:styleId="Kiemels2">
    <w:name w:val="Strong"/>
    <w:basedOn w:val="Bekezdsalapbettpusa"/>
    <w:uiPriority w:val="22"/>
    <w:rsid w:val="0015211C"/>
    <w:rPr>
      <w:b/>
      <w:bCs/>
    </w:rPr>
  </w:style>
  <w:style w:type="character" w:styleId="Kiemels">
    <w:name w:val="Emphasis"/>
    <w:basedOn w:val="Bekezdsalapbettpusa"/>
    <w:uiPriority w:val="6"/>
    <w:qFormat/>
    <w:rsid w:val="0015211C"/>
    <w:rPr>
      <w:i/>
      <w:iCs/>
    </w:rPr>
  </w:style>
  <w:style w:type="paragraph" w:styleId="Nincstrkz">
    <w:name w:val="No Spacing"/>
    <w:basedOn w:val="Norml"/>
    <w:uiPriority w:val="1"/>
    <w:rsid w:val="0015211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5211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5211C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5211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211C"/>
    <w:rPr>
      <w:b/>
      <w:i/>
    </w:rPr>
  </w:style>
  <w:style w:type="character" w:styleId="Erskiemels">
    <w:name w:val="Intense Emphasis"/>
    <w:basedOn w:val="Bekezdsalapbettpusa"/>
    <w:uiPriority w:val="21"/>
    <w:rsid w:val="0015211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5211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5211C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15211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15211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15211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15211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15211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15211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15211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15211C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15211C"/>
  </w:style>
  <w:style w:type="paragraph" w:customStyle="1" w:styleId="ENNormalBox">
    <w:name w:val="EN_Normal_Box"/>
    <w:basedOn w:val="Norml"/>
    <w:uiPriority w:val="1"/>
    <w:qFormat/>
    <w:rsid w:val="0015211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15211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15211C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15211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15211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15211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15211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15211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15211C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15211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15211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15211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15211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15211C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15211C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15211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15211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15211C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15211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15211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15211C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15211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15211C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15211C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15211C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CD4188B-6E18-493B-82FD-ABCDD98D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Vámosi Anikó</cp:lastModifiedBy>
  <cp:revision>2</cp:revision>
  <cp:lastPrinted>1900-12-31T23:00:00Z</cp:lastPrinted>
  <dcterms:created xsi:type="dcterms:W3CDTF">2019-12-17T09:03:00Z</dcterms:created>
  <dcterms:modified xsi:type="dcterms:W3CDTF">2019-12-17T14:02:00Z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grofk@mnb.hu</vt:lpwstr>
  </property>
  <property fmtid="{D5CDD505-2E9C-101B-9397-08002B2CF9AE}" pid="6" name="MSIP_Label_b0d11092-50c9-4e74-84b5-b1af078dc3d0_SetDate">
    <vt:lpwstr>2019-12-17T10:04:20.9401376+01:00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2024-12-17T09:04:21Z</vt:filetime>
  </property>
  <property fmtid="{D5CDD505-2E9C-101B-9397-08002B2CF9AE}" pid="12" name="Érvényességet beállító">
    <vt:lpwstr>grofk</vt:lpwstr>
  </property>
  <property fmtid="{D5CDD505-2E9C-101B-9397-08002B2CF9AE}" pid="13" name="Érvényességi idő első beállítása">
    <vt:filetime>2019-12-17T09:04:25Z</vt:filetime>
  </property>
</Properties>
</file>