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030C" w14:textId="77777777" w:rsidR="00DB3BC3" w:rsidRPr="00022984" w:rsidRDefault="00DB3BC3" w:rsidP="00030E37">
      <w:pPr>
        <w:pStyle w:val="Default"/>
        <w:rPr>
          <w:b/>
          <w:bCs/>
          <w:color w:val="auto"/>
          <w:lang w:val="en-GB"/>
        </w:rPr>
      </w:pPr>
      <w:r w:rsidRPr="00022984">
        <w:rPr>
          <w:b/>
          <w:bCs/>
          <w:color w:val="auto"/>
          <w:lang w:val="en-GB"/>
        </w:rPr>
        <w:t>Annex 4</w:t>
      </w:r>
      <w:bookmarkStart w:id="0" w:name="HUMANSOFTdatumHUN"/>
      <w:bookmarkEnd w:id="0"/>
    </w:p>
    <w:p w14:paraId="5903030D" w14:textId="77777777" w:rsidR="00DB3BC3" w:rsidRPr="00022984" w:rsidRDefault="00DB3BC3" w:rsidP="00460C0D">
      <w:pPr>
        <w:pStyle w:val="Default"/>
        <w:jc w:val="both"/>
        <w:rPr>
          <w:color w:val="auto"/>
          <w:lang w:val="en-GB"/>
        </w:rPr>
      </w:pPr>
    </w:p>
    <w:p w14:paraId="5903030E" w14:textId="77777777" w:rsidR="00DB3BC3" w:rsidRPr="00022984" w:rsidRDefault="00DB3BC3" w:rsidP="00460C0D">
      <w:pPr>
        <w:pStyle w:val="Default"/>
        <w:jc w:val="both"/>
        <w:rPr>
          <w:b/>
          <w:bCs/>
          <w:color w:val="auto"/>
          <w:lang w:val="en-GB"/>
        </w:rPr>
      </w:pPr>
      <w:r w:rsidRPr="00022984">
        <w:rPr>
          <w:b/>
          <w:bCs/>
          <w:color w:val="auto"/>
          <w:lang w:val="en-GB"/>
        </w:rPr>
        <w:t>Information on high-risk portfolios subject to priority treatment in the supervisory review process and the related additional capital requirement</w:t>
      </w:r>
    </w:p>
    <w:p w14:paraId="5903030F" w14:textId="77777777" w:rsidR="00DB3BC3" w:rsidRPr="00022984" w:rsidRDefault="00DB3BC3" w:rsidP="00460C0D">
      <w:pPr>
        <w:pStyle w:val="Default"/>
        <w:jc w:val="both"/>
        <w:rPr>
          <w:color w:val="auto"/>
          <w:lang w:val="en-GB"/>
        </w:rPr>
      </w:pPr>
    </w:p>
    <w:p w14:paraId="59030310"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Annex 4 forms part of the methodological manual entitled “The Internal Capital Adequacy Assessment Process (ICAAP), the Internal Liquidity Adequacy Assessment Process (</w:t>
      </w:r>
      <w:proofErr w:type="spellStart"/>
      <w:r w:rsidRPr="00022984">
        <w:rPr>
          <w:color w:val="auto"/>
          <w:sz w:val="22"/>
          <w:szCs w:val="22"/>
          <w:lang w:val="en-GB"/>
        </w:rPr>
        <w:t>ILAAP</w:t>
      </w:r>
      <w:proofErr w:type="spellEnd"/>
      <w:r w:rsidRPr="00022984">
        <w:rPr>
          <w:color w:val="auto"/>
          <w:sz w:val="22"/>
          <w:szCs w:val="22"/>
          <w:lang w:val="en-GB"/>
        </w:rPr>
        <w:t xml:space="preserve">) and their supervisory review, and the Business Model Analysis (BMA)” (hereinafter referred to as the “ICAAP, </w:t>
      </w:r>
      <w:proofErr w:type="spellStart"/>
      <w:r w:rsidRPr="00022984">
        <w:rPr>
          <w:color w:val="auto"/>
          <w:sz w:val="22"/>
          <w:szCs w:val="22"/>
          <w:lang w:val="en-GB"/>
        </w:rPr>
        <w:t>ILAAP</w:t>
      </w:r>
      <w:proofErr w:type="spellEnd"/>
      <w:r w:rsidRPr="00022984">
        <w:rPr>
          <w:color w:val="auto"/>
          <w:sz w:val="22"/>
          <w:szCs w:val="22"/>
          <w:lang w:val="en-GB"/>
        </w:rPr>
        <w:t xml:space="preserve"> and BMA Review Manual”), and it provides an overview of the risk exposures and high-risk portfolios for which the </w:t>
      </w:r>
      <w:proofErr w:type="spellStart"/>
      <w:r w:rsidRPr="00022984">
        <w:rPr>
          <w:color w:val="auto"/>
          <w:sz w:val="22"/>
          <w:szCs w:val="22"/>
          <w:lang w:val="en-GB"/>
        </w:rPr>
        <w:t>MNB</w:t>
      </w:r>
      <w:proofErr w:type="spellEnd"/>
      <w:r w:rsidRPr="00022984">
        <w:rPr>
          <w:color w:val="auto"/>
          <w:sz w:val="22"/>
          <w:szCs w:val="22"/>
          <w:lang w:val="en-GB"/>
        </w:rPr>
        <w:t xml:space="preserve"> imposes additional capital requirements on the institutions when calculating their internal capital requirement, and which are closely monitored by the </w:t>
      </w:r>
      <w:proofErr w:type="spellStart"/>
      <w:r w:rsidRPr="00022984">
        <w:rPr>
          <w:color w:val="auto"/>
          <w:sz w:val="22"/>
          <w:szCs w:val="22"/>
          <w:lang w:val="en-GB"/>
        </w:rPr>
        <w:t>MNB</w:t>
      </w:r>
      <w:proofErr w:type="spellEnd"/>
      <w:r w:rsidRPr="00022984">
        <w:rPr>
          <w:color w:val="auto"/>
          <w:sz w:val="22"/>
          <w:szCs w:val="22"/>
          <w:lang w:val="en-GB"/>
        </w:rPr>
        <w:t xml:space="preserve">. The high-risk portfolios disclosed in this Annex are annually reviewed by the </w:t>
      </w:r>
      <w:proofErr w:type="spellStart"/>
      <w:r w:rsidRPr="00022984">
        <w:rPr>
          <w:color w:val="auto"/>
          <w:sz w:val="22"/>
          <w:szCs w:val="22"/>
          <w:lang w:val="en-GB"/>
        </w:rPr>
        <w:t>MNB</w:t>
      </w:r>
      <w:proofErr w:type="spellEnd"/>
      <w:r w:rsidRPr="00022984">
        <w:rPr>
          <w:color w:val="auto"/>
          <w:sz w:val="22"/>
          <w:szCs w:val="22"/>
          <w:lang w:val="en-GB"/>
        </w:rPr>
        <w:t>.</w:t>
      </w:r>
    </w:p>
    <w:p w14:paraId="59030311" w14:textId="109E5A5F"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Pursuant to Article 97</w:t>
      </w:r>
      <w:r w:rsidRPr="00022984">
        <w:rPr>
          <w:color w:val="auto"/>
          <w:sz w:val="22"/>
          <w:szCs w:val="22"/>
          <w:vertAlign w:val="superscript"/>
          <w:lang w:val="en-GB"/>
        </w:rPr>
        <w:footnoteReference w:id="2"/>
      </w:r>
      <w:r w:rsidRPr="00022984">
        <w:rPr>
          <w:color w:val="auto"/>
          <w:sz w:val="22"/>
          <w:szCs w:val="22"/>
          <w:lang w:val="en-GB"/>
        </w:rPr>
        <w:t xml:space="preserve"> of the </w:t>
      </w:r>
      <w:proofErr w:type="spellStart"/>
      <w:r w:rsidRPr="00022984">
        <w:rPr>
          <w:color w:val="auto"/>
          <w:sz w:val="22"/>
          <w:szCs w:val="22"/>
          <w:lang w:val="en-GB"/>
        </w:rPr>
        <w:t>CRD</w:t>
      </w:r>
      <w:proofErr w:type="spellEnd"/>
      <w:r w:rsidRPr="00022984">
        <w:rPr>
          <w:color w:val="auto"/>
          <w:sz w:val="22"/>
          <w:szCs w:val="22"/>
          <w:lang w:val="en-GB"/>
        </w:rPr>
        <w:t>,</w:t>
      </w:r>
      <w:r w:rsidRPr="00022984">
        <w:rPr>
          <w:rStyle w:val="Lbjegyzet-hivatkozs"/>
          <w:i/>
          <w:iCs/>
          <w:color w:val="auto"/>
          <w:sz w:val="22"/>
          <w:szCs w:val="22"/>
          <w:lang w:val="en-GB"/>
        </w:rPr>
        <w:footnoteReference w:id="3"/>
      </w:r>
      <w:r w:rsidRPr="00022984">
        <w:rPr>
          <w:color w:val="auto"/>
          <w:sz w:val="22"/>
          <w:szCs w:val="22"/>
          <w:lang w:val="en-GB"/>
        </w:rPr>
        <w:t xml:space="preserve"> if the </w:t>
      </w:r>
      <w:proofErr w:type="spellStart"/>
      <w:r w:rsidRPr="00022984">
        <w:rPr>
          <w:color w:val="auto"/>
          <w:sz w:val="22"/>
          <w:szCs w:val="22"/>
          <w:lang w:val="en-GB"/>
        </w:rPr>
        <w:t>MNB</w:t>
      </w:r>
      <w:proofErr w:type="spellEnd"/>
      <w:r w:rsidRPr="00022984">
        <w:rPr>
          <w:color w:val="auto"/>
          <w:sz w:val="22"/>
          <w:szCs w:val="22"/>
          <w:lang w:val="en-GB"/>
        </w:rPr>
        <w:t xml:space="preserve"> identifies risks at institutions with a similar risk profile or business model that could pose significant risk to the overall financial system, it has the option of applying tailored methodology for the management of the institutional risks, during the ICAAP supervisory reviews (hereinafter referred to as the “supervisory review”). The </w:t>
      </w:r>
      <w:proofErr w:type="spellStart"/>
      <w:r w:rsidRPr="00022984">
        <w:rPr>
          <w:color w:val="auto"/>
          <w:sz w:val="22"/>
          <w:szCs w:val="22"/>
          <w:lang w:val="en-GB"/>
        </w:rPr>
        <w:t>MNB’s</w:t>
      </w:r>
      <w:proofErr w:type="spellEnd"/>
      <w:r w:rsidRPr="00022984">
        <w:rPr>
          <w:color w:val="auto"/>
          <w:sz w:val="22"/>
          <w:szCs w:val="22"/>
          <w:lang w:val="en-GB"/>
        </w:rPr>
        <w:t xml:space="preserve"> key instrument for this is the identification of high-risk portfolios.</w:t>
      </w:r>
    </w:p>
    <w:p w14:paraId="59030312"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This Information Notice discloses the portfolios which represent risks that give rise to particular supervisory concerns for the Hungarian market (including the foreign exposures of Hungarian entities), based on analytical and supervisory information. Therefore, it is expected and justified that the institutions concerned provide additional capital to manage these risks. As a general rule, regarding the risks and activities specified in the high-risk portfolios, the additional capital requirement must be met for the Pillar 1 capital requirement of the existing portfolio (any deviation from this is specifically indicated for the given portfolio). The </w:t>
      </w:r>
      <w:proofErr w:type="spellStart"/>
      <w:r w:rsidRPr="00022984">
        <w:rPr>
          <w:color w:val="auto"/>
          <w:sz w:val="22"/>
          <w:szCs w:val="22"/>
          <w:lang w:val="en-GB"/>
        </w:rPr>
        <w:t>MNB</w:t>
      </w:r>
      <w:proofErr w:type="spellEnd"/>
      <w:r w:rsidRPr="00022984">
        <w:rPr>
          <w:color w:val="auto"/>
          <w:sz w:val="22"/>
          <w:szCs w:val="22"/>
          <w:lang w:val="en-GB"/>
        </w:rPr>
        <w:t xml:space="preserve"> expects the institutions to demonstrate how they manage their high-risk portfolios under Pillar 1 and Pillar 2 for all portfolios.</w:t>
      </w:r>
    </w:p>
    <w:p w14:paraId="59030313"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The </w:t>
      </w:r>
      <w:proofErr w:type="spellStart"/>
      <w:r w:rsidRPr="00022984">
        <w:rPr>
          <w:color w:val="auto"/>
          <w:sz w:val="22"/>
          <w:szCs w:val="22"/>
          <w:lang w:val="en-GB"/>
        </w:rPr>
        <w:t>MNB</w:t>
      </w:r>
      <w:proofErr w:type="spellEnd"/>
      <w:r w:rsidRPr="00022984">
        <w:rPr>
          <w:color w:val="auto"/>
          <w:sz w:val="22"/>
          <w:szCs w:val="22"/>
          <w:lang w:val="en-GB"/>
        </w:rPr>
        <w:t xml:space="preserve"> aims to achieve the following main objectives by imposing this requirement:</w:t>
      </w:r>
    </w:p>
    <w:p w14:paraId="59030314" w14:textId="77777777" w:rsidR="00DB3BC3" w:rsidRPr="00022984" w:rsidRDefault="00DB3BC3" w:rsidP="00460C0D">
      <w:pPr>
        <w:pStyle w:val="Default"/>
        <w:numPr>
          <w:ilvl w:val="0"/>
          <w:numId w:val="11"/>
        </w:numPr>
        <w:spacing w:before="120" w:after="47"/>
        <w:jc w:val="both"/>
        <w:rPr>
          <w:color w:val="auto"/>
          <w:sz w:val="22"/>
          <w:szCs w:val="22"/>
          <w:lang w:val="en-GB"/>
        </w:rPr>
      </w:pPr>
      <w:r w:rsidRPr="00022984">
        <w:rPr>
          <w:color w:val="auto"/>
          <w:sz w:val="22"/>
          <w:szCs w:val="22"/>
          <w:lang w:val="en-GB"/>
        </w:rPr>
        <w:t>Regarding certain specific risks, it is necessary to draw the attention of the institutions concerned to the fact that the supervisory authority considers the risk associated with the given activity to be so significant that it considers it justified to impose an additional capital requirement.</w:t>
      </w:r>
    </w:p>
    <w:p w14:paraId="59030315" w14:textId="77777777" w:rsidR="00DB3BC3" w:rsidRPr="00022984" w:rsidRDefault="00DB3BC3" w:rsidP="00B33E4C">
      <w:pPr>
        <w:pStyle w:val="Default"/>
        <w:numPr>
          <w:ilvl w:val="0"/>
          <w:numId w:val="11"/>
        </w:numPr>
        <w:spacing w:after="120"/>
        <w:ind w:left="714" w:hanging="357"/>
        <w:jc w:val="both"/>
        <w:rPr>
          <w:color w:val="auto"/>
          <w:sz w:val="22"/>
          <w:szCs w:val="22"/>
          <w:lang w:val="en-GB"/>
        </w:rPr>
      </w:pPr>
      <w:r w:rsidRPr="00022984">
        <w:rPr>
          <w:color w:val="auto"/>
          <w:sz w:val="22"/>
          <w:szCs w:val="22"/>
          <w:lang w:val="en-GB"/>
        </w:rPr>
        <w:t xml:space="preserve">For other risks (related to certain products, activities or practices), the supervisory authority’s objective is to protect the market from an uncontrolled spread of risk. In such cases, the </w:t>
      </w:r>
      <w:proofErr w:type="spellStart"/>
      <w:r w:rsidRPr="00022984">
        <w:rPr>
          <w:color w:val="auto"/>
          <w:sz w:val="22"/>
          <w:szCs w:val="22"/>
          <w:lang w:val="en-GB"/>
        </w:rPr>
        <w:t>MNB</w:t>
      </w:r>
      <w:proofErr w:type="spellEnd"/>
      <w:r w:rsidRPr="00022984">
        <w:rPr>
          <w:color w:val="auto"/>
          <w:sz w:val="22"/>
          <w:szCs w:val="22"/>
          <w:lang w:val="en-GB"/>
        </w:rPr>
        <w:t xml:space="preserve"> considers the related risk to be so significant that it poses serious dangers to the institution concerned, its customers, and in the event of simultaneous risk-taking by several institutions, to the market as a whole.</w:t>
      </w:r>
    </w:p>
    <w:p w14:paraId="59030316"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The level of the imposed capital requirement depends on the given institution’s risk management standards and the sophistication of the methodology used. </w:t>
      </w:r>
    </w:p>
    <w:p w14:paraId="59030317"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If the examined institution is able to provide sufficient evidence of the adequacy of the model it uses or the practices it has established, the </w:t>
      </w:r>
      <w:proofErr w:type="spellStart"/>
      <w:r w:rsidRPr="00022984">
        <w:rPr>
          <w:color w:val="auto"/>
          <w:sz w:val="22"/>
          <w:szCs w:val="22"/>
          <w:lang w:val="en-GB"/>
        </w:rPr>
        <w:t>MNB</w:t>
      </w:r>
      <w:proofErr w:type="spellEnd"/>
      <w:r w:rsidRPr="00022984">
        <w:rPr>
          <w:color w:val="auto"/>
          <w:sz w:val="22"/>
          <w:szCs w:val="22"/>
          <w:lang w:val="en-GB"/>
        </w:rPr>
        <w:t xml:space="preserve"> may decide to deviate from this Information Notice for certain high-risk portfolios.</w:t>
      </w:r>
    </w:p>
    <w:p w14:paraId="59030318"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lastRenderedPageBreak/>
        <w:t xml:space="preserve">The </w:t>
      </w:r>
      <w:proofErr w:type="spellStart"/>
      <w:r w:rsidRPr="00022984">
        <w:rPr>
          <w:color w:val="auto"/>
          <w:sz w:val="22"/>
          <w:szCs w:val="22"/>
          <w:lang w:val="en-GB"/>
        </w:rPr>
        <w:t>MNB</w:t>
      </w:r>
      <w:proofErr w:type="spellEnd"/>
      <w:r w:rsidRPr="00022984">
        <w:rPr>
          <w:color w:val="auto"/>
          <w:sz w:val="22"/>
          <w:szCs w:val="22"/>
          <w:lang w:val="en-GB"/>
        </w:rPr>
        <w:t xml:space="preserve"> applies the principles of competitive neutrality and equal treatment and continues to regard these requirements as part of the general good;</w:t>
      </w:r>
      <w:r w:rsidRPr="00022984">
        <w:rPr>
          <w:sz w:val="22"/>
          <w:szCs w:val="22"/>
          <w:vertAlign w:val="superscript"/>
          <w:lang w:val="en-GB"/>
        </w:rPr>
        <w:footnoteReference w:id="4"/>
      </w:r>
      <w:r w:rsidRPr="00022984">
        <w:rPr>
          <w:color w:val="auto"/>
          <w:sz w:val="22"/>
          <w:szCs w:val="22"/>
          <w:lang w:val="en-GB"/>
        </w:rPr>
        <w:t xml:space="preserve"> therefore, it applies the requirements in a uniform manner to all relevant market participants. This also means that it also expects the various financial and capital market participants not subject to consolidated supervision in Hungary (including branches of foreign institutions operating in Hungary) to operate in compliance with the following conditions, which it also enforces through other supervisory measures and international cooperation.</w:t>
      </w:r>
    </w:p>
    <w:p w14:paraId="59030319"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Compliance with the additional capital requirement for high-risk portfolios is checked by the </w:t>
      </w:r>
      <w:proofErr w:type="spellStart"/>
      <w:r w:rsidRPr="00022984">
        <w:rPr>
          <w:color w:val="auto"/>
          <w:sz w:val="22"/>
          <w:szCs w:val="22"/>
          <w:lang w:val="en-GB"/>
        </w:rPr>
        <w:t>MNB</w:t>
      </w:r>
      <w:proofErr w:type="spellEnd"/>
      <w:r w:rsidRPr="00022984">
        <w:rPr>
          <w:color w:val="auto"/>
          <w:sz w:val="22"/>
          <w:szCs w:val="22"/>
          <w:lang w:val="en-GB"/>
        </w:rPr>
        <w:t xml:space="preserve"> during its annual ICAAP reviews, using the data request form entitled “Data disclosure request for the review of high-risk portfolios” provided on its website. The form must be completed for the date specified in the review, for the given level of review (individual/consolidated) and the type of accounting standard applied (IFRS). In case of a consolidated ICAAP review, deviations from this Information Notice may be possible for the portfolios of foreign subsidiaries, if justified by the local circumstances. Exposures that are considered high-risk from multiple aspects must be indicated for each portfolio concerned, and the additional capital requirement must be met for each risk separately, in accordance with the regulations applying to the given portfolio. The additional capital requirement must also be met for the off-balance sheet part of the exposures concerned. Any specific terms that are not defined in this Information Notice (e.g. non-performance) shall be interpreted as provided for in Regulation (EU) No 575/2013 (CRR).</w:t>
      </w:r>
    </w:p>
    <w:p w14:paraId="5903031A" w14:textId="77777777" w:rsidR="00DB3BC3" w:rsidRPr="00022984" w:rsidRDefault="00DB3BC3" w:rsidP="00003494">
      <w:pPr>
        <w:pStyle w:val="Default"/>
        <w:spacing w:before="120"/>
        <w:jc w:val="both"/>
        <w:rPr>
          <w:b/>
          <w:bCs/>
          <w:i/>
          <w:iCs/>
          <w:color w:val="auto"/>
          <w:sz w:val="22"/>
          <w:szCs w:val="22"/>
          <w:lang w:val="en-GB"/>
        </w:rPr>
      </w:pPr>
      <w:r w:rsidRPr="00022984">
        <w:rPr>
          <w:b/>
          <w:bCs/>
          <w:i/>
          <w:iCs/>
          <w:color w:val="auto"/>
          <w:sz w:val="22"/>
          <w:szCs w:val="22"/>
          <w:lang w:val="en-GB"/>
        </w:rPr>
        <w:t xml:space="preserve">List of risks subject to high priority treatment by the </w:t>
      </w:r>
      <w:proofErr w:type="spellStart"/>
      <w:r w:rsidRPr="00022984">
        <w:rPr>
          <w:b/>
          <w:bCs/>
          <w:i/>
          <w:iCs/>
          <w:color w:val="auto"/>
          <w:sz w:val="22"/>
          <w:szCs w:val="22"/>
          <w:lang w:val="en-GB"/>
        </w:rPr>
        <w:t>MNB</w:t>
      </w:r>
      <w:proofErr w:type="spellEnd"/>
      <w:r w:rsidRPr="00022984">
        <w:rPr>
          <w:b/>
          <w:bCs/>
          <w:i/>
          <w:iCs/>
          <w:color w:val="auto"/>
          <w:sz w:val="22"/>
          <w:szCs w:val="22"/>
          <w:lang w:val="en-GB"/>
        </w:rPr>
        <w:t xml:space="preserve"> that may arise at the institutions subject to the </w:t>
      </w:r>
      <w:proofErr w:type="spellStart"/>
      <w:r w:rsidRPr="00022984">
        <w:rPr>
          <w:b/>
          <w:bCs/>
          <w:i/>
          <w:iCs/>
          <w:color w:val="auto"/>
          <w:sz w:val="22"/>
          <w:szCs w:val="22"/>
          <w:lang w:val="en-GB"/>
        </w:rPr>
        <w:t>CRD</w:t>
      </w:r>
      <w:proofErr w:type="spellEnd"/>
      <w:r w:rsidRPr="00022984">
        <w:rPr>
          <w:b/>
          <w:bCs/>
          <w:i/>
          <w:iCs/>
          <w:color w:val="auto"/>
          <w:sz w:val="22"/>
          <w:szCs w:val="22"/>
          <w:lang w:val="en-GB"/>
        </w:rPr>
        <w:t>/CRR:</w:t>
      </w:r>
    </w:p>
    <w:p w14:paraId="5903031B" w14:textId="77777777" w:rsidR="00DB3BC3" w:rsidRPr="00022984" w:rsidRDefault="00DB3BC3" w:rsidP="00003494">
      <w:pPr>
        <w:pStyle w:val="Default"/>
        <w:spacing w:before="120"/>
        <w:jc w:val="both"/>
        <w:rPr>
          <w:b/>
          <w:bCs/>
          <w:color w:val="auto"/>
          <w:sz w:val="22"/>
          <w:szCs w:val="22"/>
          <w:lang w:val="en-GB"/>
        </w:rPr>
      </w:pPr>
      <w:r w:rsidRPr="00022984">
        <w:rPr>
          <w:b/>
          <w:bCs/>
          <w:color w:val="auto"/>
          <w:sz w:val="22"/>
          <w:szCs w:val="22"/>
          <w:lang w:val="en-GB"/>
        </w:rPr>
        <w:t>1. Coverage level of the expected losses on non-performing exposures</w:t>
      </w:r>
    </w:p>
    <w:p w14:paraId="5903031C"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The </w:t>
      </w:r>
      <w:proofErr w:type="spellStart"/>
      <w:r w:rsidRPr="00022984">
        <w:rPr>
          <w:color w:val="auto"/>
          <w:sz w:val="22"/>
          <w:szCs w:val="22"/>
          <w:lang w:val="en-GB"/>
        </w:rPr>
        <w:t>MNB</w:t>
      </w:r>
      <w:proofErr w:type="spellEnd"/>
      <w:r w:rsidRPr="00022984">
        <w:rPr>
          <w:color w:val="auto"/>
          <w:sz w:val="22"/>
          <w:szCs w:val="22"/>
          <w:lang w:val="en-GB"/>
        </w:rPr>
        <w:t xml:space="preserve"> considers it important that the expected losses on non-performing exposures are covered by the institutions through a prudent collateral valuation and the recognition of impairment losses, as necessary.</w:t>
      </w:r>
    </w:p>
    <w:p w14:paraId="5903031D"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When setting the requirements for high-risk portfolios, the </w:t>
      </w:r>
      <w:proofErr w:type="spellStart"/>
      <w:r w:rsidRPr="00022984">
        <w:rPr>
          <w:color w:val="auto"/>
          <w:sz w:val="22"/>
          <w:szCs w:val="22"/>
          <w:lang w:val="en-GB"/>
        </w:rPr>
        <w:t>MNB</w:t>
      </w:r>
      <w:proofErr w:type="spellEnd"/>
      <w:r w:rsidRPr="00022984">
        <w:rPr>
          <w:color w:val="auto"/>
          <w:sz w:val="22"/>
          <w:szCs w:val="22"/>
          <w:lang w:val="en-GB"/>
        </w:rPr>
        <w:t xml:space="preserve"> places emphasis on the recognition of adequate impairment losses, for the following reasons:</w:t>
      </w:r>
    </w:p>
    <w:p w14:paraId="5903031E" w14:textId="77777777" w:rsidR="00DB3BC3" w:rsidRPr="00022984" w:rsidRDefault="00DB3BC3" w:rsidP="00003494">
      <w:pPr>
        <w:pStyle w:val="Default"/>
        <w:numPr>
          <w:ilvl w:val="0"/>
          <w:numId w:val="12"/>
        </w:numPr>
        <w:spacing w:before="120" w:after="44"/>
        <w:jc w:val="both"/>
        <w:rPr>
          <w:color w:val="auto"/>
          <w:sz w:val="22"/>
          <w:szCs w:val="22"/>
          <w:lang w:val="en-GB"/>
        </w:rPr>
      </w:pPr>
      <w:r w:rsidRPr="00022984">
        <w:rPr>
          <w:color w:val="auto"/>
          <w:sz w:val="22"/>
          <w:szCs w:val="22"/>
          <w:lang w:val="en-GB"/>
        </w:rPr>
        <w:t>the collateral valuation practices differ by each institution,</w:t>
      </w:r>
    </w:p>
    <w:p w14:paraId="5903031F" w14:textId="77777777" w:rsidR="00DB3BC3" w:rsidRPr="00022984" w:rsidRDefault="00DB3BC3" w:rsidP="00003494">
      <w:pPr>
        <w:pStyle w:val="Default"/>
        <w:numPr>
          <w:ilvl w:val="0"/>
          <w:numId w:val="12"/>
        </w:numPr>
        <w:spacing w:before="120"/>
        <w:jc w:val="both"/>
        <w:rPr>
          <w:color w:val="auto"/>
          <w:sz w:val="22"/>
          <w:szCs w:val="22"/>
          <w:lang w:val="en-GB"/>
        </w:rPr>
      </w:pPr>
      <w:r w:rsidRPr="00022984">
        <w:rPr>
          <w:color w:val="auto"/>
          <w:sz w:val="22"/>
          <w:szCs w:val="22"/>
          <w:lang w:val="en-GB"/>
        </w:rPr>
        <w:t>in some cases, lower market liquidity may limit the return on the collateral used.</w:t>
      </w:r>
    </w:p>
    <w:p w14:paraId="59030320" w14:textId="77777777" w:rsidR="00DB3BC3" w:rsidRPr="00022984" w:rsidRDefault="00DB3BC3" w:rsidP="00D933F4">
      <w:pPr>
        <w:pStyle w:val="Default"/>
        <w:spacing w:after="120"/>
        <w:jc w:val="both"/>
        <w:rPr>
          <w:bCs/>
          <w:color w:val="auto"/>
          <w:sz w:val="22"/>
          <w:szCs w:val="22"/>
          <w:lang w:val="en-GB"/>
        </w:rPr>
      </w:pPr>
      <w:r w:rsidRPr="00022984">
        <w:rPr>
          <w:color w:val="auto"/>
          <w:sz w:val="22"/>
          <w:szCs w:val="22"/>
          <w:lang w:val="en-GB"/>
        </w:rPr>
        <w:t xml:space="preserve">Based on historical data related to returns, the </w:t>
      </w:r>
      <w:proofErr w:type="spellStart"/>
      <w:r w:rsidRPr="00022984">
        <w:rPr>
          <w:color w:val="auto"/>
          <w:sz w:val="22"/>
          <w:szCs w:val="22"/>
          <w:lang w:val="en-GB"/>
        </w:rPr>
        <w:t>MNB</w:t>
      </w:r>
      <w:proofErr w:type="spellEnd"/>
      <w:r w:rsidRPr="00022984">
        <w:rPr>
          <w:color w:val="auto"/>
          <w:sz w:val="22"/>
          <w:szCs w:val="22"/>
          <w:lang w:val="en-GB"/>
        </w:rPr>
        <w:t xml:space="preserve"> has set an average loss rate of 40 percent for the following loan portfolios: household segment secured loans (mortgages), business loans, project loans, and other non-household loans, and expects credit institutions to cover at least 40 percent of the expected losses on non-performing exposures by recognising impairment losses. Further, based on the impairment coverage data, the </w:t>
      </w:r>
      <w:proofErr w:type="spellStart"/>
      <w:r w:rsidRPr="00022984">
        <w:rPr>
          <w:color w:val="auto"/>
          <w:sz w:val="22"/>
          <w:szCs w:val="22"/>
          <w:lang w:val="en-GB"/>
        </w:rPr>
        <w:t>MNB</w:t>
      </w:r>
      <w:proofErr w:type="spellEnd"/>
      <w:r w:rsidRPr="00022984">
        <w:rPr>
          <w:color w:val="auto"/>
          <w:sz w:val="22"/>
          <w:szCs w:val="22"/>
          <w:lang w:val="en-GB"/>
        </w:rPr>
        <w:t xml:space="preserve"> also expects credit institutions to cover the expected losses on non-performing exposures in the micro enterprises segment with a 50-percent minimum impairment provision. As historical return related data show a higher loss rate of around 80 percent for unsecured household sector exposures (other than mortgages), a minimum impairment of 80 percent is required for unsecured household loan portfolios. Given the guarantee provided by the Hungarian state for non-performing childbirth incentive loans</w:t>
      </w:r>
      <w:r w:rsidRPr="00022984">
        <w:rPr>
          <w:rStyle w:val="Lbjegyzet-hivatkozs"/>
          <w:color w:val="auto"/>
          <w:sz w:val="22"/>
          <w:szCs w:val="22"/>
          <w:lang w:val="en-GB"/>
        </w:rPr>
        <w:footnoteReference w:id="5"/>
      </w:r>
      <w:r w:rsidRPr="00022984">
        <w:rPr>
          <w:color w:val="auto"/>
          <w:sz w:val="22"/>
          <w:szCs w:val="22"/>
          <w:lang w:val="en-GB"/>
        </w:rPr>
        <w:t xml:space="preserve"> within the high-risk portfolio, no additional capital requirement is deemed justified by the </w:t>
      </w:r>
      <w:proofErr w:type="spellStart"/>
      <w:r w:rsidRPr="00022984">
        <w:rPr>
          <w:color w:val="auto"/>
          <w:sz w:val="22"/>
          <w:szCs w:val="22"/>
          <w:lang w:val="en-GB"/>
        </w:rPr>
        <w:t>MNB</w:t>
      </w:r>
      <w:proofErr w:type="spellEnd"/>
      <w:r w:rsidRPr="00022984">
        <w:rPr>
          <w:color w:val="auto"/>
          <w:sz w:val="22"/>
          <w:szCs w:val="22"/>
          <w:lang w:val="en-GB"/>
        </w:rPr>
        <w:t xml:space="preserve"> for these loans.</w:t>
      </w:r>
    </w:p>
    <w:p w14:paraId="59030321" w14:textId="33534680" w:rsidR="00DB3BC3" w:rsidRPr="00022984" w:rsidRDefault="00DB3BC3" w:rsidP="00AB3D45">
      <w:pPr>
        <w:pStyle w:val="Default"/>
        <w:spacing w:after="120"/>
        <w:jc w:val="both"/>
        <w:rPr>
          <w:b/>
          <w:bCs/>
          <w:lang w:val="en-GB"/>
        </w:rPr>
      </w:pPr>
      <w:r w:rsidRPr="00022984">
        <w:rPr>
          <w:b/>
          <w:bCs/>
          <w:color w:val="auto"/>
          <w:sz w:val="22"/>
          <w:szCs w:val="22"/>
          <w:lang w:val="en-GB"/>
        </w:rPr>
        <w:t xml:space="preserve">The additional capital requirement </w:t>
      </w:r>
      <w:proofErr w:type="gramStart"/>
      <w:r w:rsidRPr="00022984">
        <w:rPr>
          <w:b/>
          <w:bCs/>
          <w:color w:val="auto"/>
          <w:sz w:val="22"/>
          <w:szCs w:val="22"/>
          <w:lang w:val="en-GB"/>
        </w:rPr>
        <w:t>set:</w:t>
      </w:r>
      <w:proofErr w:type="gramEnd"/>
      <w:r w:rsidRPr="00022984">
        <w:rPr>
          <w:b/>
          <w:bCs/>
          <w:color w:val="auto"/>
          <w:sz w:val="22"/>
          <w:szCs w:val="22"/>
          <w:lang w:val="en-GB"/>
        </w:rPr>
        <w:t xml:space="preserve"> </w:t>
      </w:r>
      <w:r w:rsidRPr="00022984">
        <w:rPr>
          <w:color w:val="auto"/>
          <w:sz w:val="22"/>
          <w:szCs w:val="22"/>
          <w:lang w:val="en-GB"/>
        </w:rPr>
        <w:t xml:space="preserve">for non-performing exposures, the difference between the minimum average portfolio-level impairment required by the </w:t>
      </w:r>
      <w:proofErr w:type="spellStart"/>
      <w:r w:rsidRPr="00022984">
        <w:rPr>
          <w:color w:val="auto"/>
          <w:sz w:val="22"/>
          <w:szCs w:val="22"/>
          <w:lang w:val="en-GB"/>
        </w:rPr>
        <w:t>MNB</w:t>
      </w:r>
      <w:proofErr w:type="spellEnd"/>
      <w:r w:rsidRPr="00022984">
        <w:rPr>
          <w:color w:val="auto"/>
          <w:sz w:val="22"/>
          <w:szCs w:val="22"/>
          <w:lang w:val="en-GB"/>
        </w:rPr>
        <w:t xml:space="preserve"> and the impairment recognised by </w:t>
      </w:r>
      <w:r w:rsidRPr="00022984">
        <w:rPr>
          <w:color w:val="auto"/>
          <w:sz w:val="22"/>
          <w:szCs w:val="22"/>
          <w:lang w:val="en-GB"/>
        </w:rPr>
        <w:lastRenderedPageBreak/>
        <w:t xml:space="preserve">the institution on the given portfolio. When determining the level of the required additional capital, transactions with </w:t>
      </w:r>
      <w:proofErr w:type="spellStart"/>
      <w:r w:rsidRPr="00022984">
        <w:rPr>
          <w:color w:val="auto"/>
          <w:sz w:val="22"/>
          <w:szCs w:val="22"/>
          <w:lang w:val="en-GB"/>
        </w:rPr>
        <w:t>MNB</w:t>
      </w:r>
      <w:proofErr w:type="spellEnd"/>
      <w:r w:rsidRPr="00022984">
        <w:rPr>
          <w:color w:val="auto"/>
          <w:sz w:val="22"/>
          <w:szCs w:val="22"/>
          <w:lang w:val="en-GB"/>
        </w:rPr>
        <w:t xml:space="preserve"> sector code ‘J’ (households) must be classified as household sector </w:t>
      </w:r>
      <w:r w:rsidRPr="00022984">
        <w:rPr>
          <w:color w:val="auto"/>
          <w:lang w:val="en-GB"/>
        </w:rPr>
        <w:t>exposures, and once this is done, the mortgage and other household sector exposures (except for sole proprietors) shall be separated for each product, to enable checking compliance with the required impairment level. The amount deducted from the own funds in accordance with Article 47c of the CRR must be added to the impairment coverage.</w:t>
      </w:r>
    </w:p>
    <w:p w14:paraId="59030322" w14:textId="77777777" w:rsidR="00DB3BC3" w:rsidRPr="00022984" w:rsidRDefault="00DB3BC3" w:rsidP="00003494">
      <w:pPr>
        <w:pStyle w:val="Default"/>
        <w:spacing w:before="120"/>
        <w:jc w:val="both"/>
        <w:rPr>
          <w:b/>
          <w:bCs/>
          <w:color w:val="auto"/>
          <w:sz w:val="22"/>
          <w:szCs w:val="22"/>
          <w:lang w:val="en-GB"/>
        </w:rPr>
      </w:pPr>
      <w:r w:rsidRPr="00022984">
        <w:rPr>
          <w:b/>
          <w:bCs/>
          <w:color w:val="auto"/>
          <w:sz w:val="22"/>
          <w:szCs w:val="22"/>
          <w:lang w:val="en-GB"/>
        </w:rPr>
        <w:t xml:space="preserve">2. </w:t>
      </w:r>
      <w:bookmarkStart w:id="1" w:name="_Hlk23852729"/>
      <w:r w:rsidRPr="00022984">
        <w:rPr>
          <w:b/>
          <w:bCs/>
          <w:color w:val="auto"/>
          <w:sz w:val="22"/>
          <w:szCs w:val="22"/>
          <w:lang w:val="en-GB"/>
        </w:rPr>
        <w:t>Balloon/bullet transactions</w:t>
      </w:r>
    </w:p>
    <w:p w14:paraId="59030323" w14:textId="60E0F3F6"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Based on the findings of recent periods, the </w:t>
      </w:r>
      <w:proofErr w:type="spellStart"/>
      <w:r w:rsidRPr="00022984">
        <w:rPr>
          <w:color w:val="auto"/>
          <w:sz w:val="22"/>
          <w:szCs w:val="22"/>
          <w:lang w:val="en-GB"/>
        </w:rPr>
        <w:t>MNB</w:t>
      </w:r>
      <w:proofErr w:type="spellEnd"/>
      <w:r w:rsidRPr="00022984">
        <w:rPr>
          <w:color w:val="auto"/>
          <w:sz w:val="22"/>
          <w:szCs w:val="22"/>
          <w:lang w:val="en-GB"/>
        </w:rPr>
        <w:t xml:space="preserve"> continues to consider loans with an original maturity of more than one year, where interest and fees are paid during the loan term, while the entire principal repayment, or a significant – 60 percent or higher –</w:t>
      </w:r>
      <w:r w:rsidRPr="00022984">
        <w:rPr>
          <w:rStyle w:val="Lbjegyzet-hivatkozs"/>
          <w:color w:val="auto"/>
          <w:sz w:val="22"/>
          <w:szCs w:val="22"/>
          <w:lang w:val="en-GB"/>
        </w:rPr>
        <w:footnoteReference w:id="6"/>
      </w:r>
      <w:r w:rsidRPr="00022984">
        <w:rPr>
          <w:color w:val="auto"/>
          <w:sz w:val="22"/>
          <w:szCs w:val="22"/>
          <w:lang w:val="en-GB"/>
        </w:rPr>
        <w:t xml:space="preserve"> portion of it is due only in the last 20 percent of the term, as high-risk loans. If 20 percent of the original term is less than one year, the last 1-year period of the term shall be taken into account. The definitions provided for in Annex 1 of </w:t>
      </w:r>
      <w:proofErr w:type="spellStart"/>
      <w:r w:rsidRPr="00022984">
        <w:rPr>
          <w:lang w:val="en-GB"/>
        </w:rPr>
        <w:t>MNB</w:t>
      </w:r>
      <w:proofErr w:type="spellEnd"/>
      <w:r w:rsidRPr="00022984">
        <w:rPr>
          <w:lang w:val="en-GB"/>
        </w:rPr>
        <w:t xml:space="preserve"> Decree No. 51/2022 (XI.2</w:t>
      </w:r>
      <w:r w:rsidRPr="00022984">
        <w:rPr>
          <w:color w:val="auto"/>
          <w:sz w:val="22"/>
          <w:szCs w:val="22"/>
          <w:lang w:val="en-GB"/>
        </w:rPr>
        <w:t>9)</w:t>
      </w:r>
      <w:r w:rsidRPr="00022984">
        <w:rPr>
          <w:rStyle w:val="Lbjegyzet-hivatkozs"/>
          <w:color w:val="auto"/>
          <w:sz w:val="22"/>
          <w:szCs w:val="22"/>
          <w:lang w:val="en-GB"/>
        </w:rPr>
        <w:footnoteReference w:id="7"/>
      </w:r>
      <w:r w:rsidRPr="00022984">
        <w:rPr>
          <w:color w:val="auto"/>
          <w:sz w:val="22"/>
          <w:szCs w:val="22"/>
          <w:lang w:val="en-GB"/>
        </w:rPr>
        <w:t xml:space="preserve"> shall apply to identify the balloon-bullet transactions.</w:t>
      </w:r>
    </w:p>
    <w:p w14:paraId="59030324" w14:textId="77777777" w:rsidR="00DB3BC3" w:rsidRPr="00022984" w:rsidRDefault="00DB3BC3" w:rsidP="005D705C">
      <w:pPr>
        <w:pStyle w:val="Default"/>
        <w:spacing w:after="120"/>
        <w:jc w:val="both"/>
        <w:rPr>
          <w:color w:val="auto"/>
          <w:sz w:val="22"/>
          <w:szCs w:val="22"/>
          <w:lang w:val="en-GB"/>
        </w:rPr>
      </w:pPr>
      <w:r w:rsidRPr="00022984">
        <w:rPr>
          <w:color w:val="auto"/>
          <w:sz w:val="22"/>
          <w:szCs w:val="22"/>
          <w:lang w:val="en-GB"/>
        </w:rPr>
        <w:t xml:space="preserve">The balloon/bullet transactions executed under the Funding for Growth Scheme/Market-Based Lending Scheme are not exempt from the additional capital requirement either, as in the </w:t>
      </w:r>
      <w:proofErr w:type="spellStart"/>
      <w:r w:rsidRPr="00022984">
        <w:rPr>
          <w:color w:val="auto"/>
          <w:sz w:val="22"/>
          <w:szCs w:val="22"/>
          <w:lang w:val="en-GB"/>
        </w:rPr>
        <w:t>MNB’s</w:t>
      </w:r>
      <w:proofErr w:type="spellEnd"/>
      <w:r w:rsidRPr="00022984">
        <w:rPr>
          <w:color w:val="auto"/>
          <w:sz w:val="22"/>
          <w:szCs w:val="22"/>
          <w:lang w:val="en-GB"/>
        </w:rPr>
        <w:t xml:space="preserve"> view, the scheme on its own does not ensure the risks arising from the balloon/bullet nature of these transactions being mitigated. </w:t>
      </w:r>
    </w:p>
    <w:p w14:paraId="59030325" w14:textId="77777777" w:rsidR="00DB3BC3" w:rsidRPr="00022984" w:rsidRDefault="00DB3BC3" w:rsidP="005D705C">
      <w:pPr>
        <w:pStyle w:val="Default"/>
        <w:spacing w:after="120"/>
        <w:jc w:val="both"/>
        <w:rPr>
          <w:color w:val="auto"/>
          <w:sz w:val="22"/>
          <w:szCs w:val="22"/>
          <w:lang w:val="en-GB"/>
        </w:rPr>
      </w:pPr>
      <w:r w:rsidRPr="00022984">
        <w:rPr>
          <w:color w:val="auto"/>
          <w:sz w:val="22"/>
          <w:szCs w:val="22"/>
          <w:lang w:val="en-GB"/>
        </w:rPr>
        <w:t xml:space="preserve">A </w:t>
      </w:r>
      <w:r w:rsidRPr="00022984">
        <w:rPr>
          <w:b/>
          <w:bCs/>
          <w:color w:val="auto"/>
          <w:sz w:val="22"/>
          <w:szCs w:val="22"/>
          <w:lang w:val="en-GB"/>
        </w:rPr>
        <w:t>Management Circular</w:t>
      </w:r>
      <w:r w:rsidRPr="00022984">
        <w:rPr>
          <w:color w:val="auto"/>
          <w:sz w:val="22"/>
          <w:szCs w:val="22"/>
          <w:lang w:val="en-GB"/>
        </w:rPr>
        <w:t xml:space="preserve"> was issued by the </w:t>
      </w:r>
      <w:proofErr w:type="spellStart"/>
      <w:r w:rsidRPr="00022984">
        <w:rPr>
          <w:color w:val="auto"/>
          <w:sz w:val="22"/>
          <w:szCs w:val="22"/>
          <w:lang w:val="en-GB"/>
        </w:rPr>
        <w:t>MNB</w:t>
      </w:r>
      <w:proofErr w:type="spellEnd"/>
      <w:r w:rsidRPr="00022984">
        <w:rPr>
          <w:color w:val="auto"/>
          <w:sz w:val="22"/>
          <w:szCs w:val="22"/>
          <w:lang w:val="en-GB"/>
        </w:rPr>
        <w:t xml:space="preserve"> on 26 February 2019 (and amended on 15 January 2020) </w:t>
      </w:r>
      <w:r w:rsidRPr="00022984">
        <w:rPr>
          <w:b/>
          <w:bCs/>
          <w:color w:val="auto"/>
          <w:sz w:val="22"/>
          <w:szCs w:val="22"/>
          <w:lang w:val="en-GB"/>
        </w:rPr>
        <w:t>on the management of risks associated with loans with balloon/bullet type repayment</w:t>
      </w:r>
      <w:r w:rsidRPr="00022984">
        <w:rPr>
          <w:color w:val="auto"/>
          <w:sz w:val="22"/>
          <w:szCs w:val="22"/>
          <w:lang w:val="en-GB"/>
        </w:rPr>
        <w:t>,</w:t>
      </w:r>
      <w:r w:rsidRPr="00022984">
        <w:rPr>
          <w:rStyle w:val="Lbjegyzet-hivatkozs"/>
          <w:color w:val="auto"/>
          <w:sz w:val="22"/>
          <w:szCs w:val="22"/>
          <w:lang w:val="en-GB"/>
        </w:rPr>
        <w:footnoteReference w:id="8"/>
      </w:r>
      <w:r w:rsidRPr="00022984">
        <w:rPr>
          <w:color w:val="auto"/>
          <w:sz w:val="22"/>
          <w:szCs w:val="22"/>
          <w:lang w:val="en-GB"/>
        </w:rPr>
        <w:t xml:space="preserve"> informing the financial institutions about the requirement to introduce the </w:t>
      </w:r>
      <w:proofErr w:type="spellStart"/>
      <w:r w:rsidRPr="00022984">
        <w:rPr>
          <w:color w:val="auto"/>
          <w:sz w:val="22"/>
          <w:szCs w:val="22"/>
          <w:lang w:val="en-GB"/>
        </w:rPr>
        <w:t>MNB</w:t>
      </w:r>
      <w:proofErr w:type="spellEnd"/>
      <w:r w:rsidRPr="00022984">
        <w:rPr>
          <w:color w:val="auto"/>
          <w:sz w:val="22"/>
          <w:szCs w:val="22"/>
          <w:lang w:val="en-GB"/>
        </w:rPr>
        <w:t xml:space="preserve"> required best practices for the management of risks associated with balloon/bullet type repayment loans, in order to ensure a uniform interpretation, measurement, and management of the prudential risks arising from balloon/bullet type repayment loans at a sector level.</w:t>
      </w:r>
    </w:p>
    <w:p w14:paraId="59030327" w14:textId="5B944DA1" w:rsidR="00DB3BC3" w:rsidRPr="00022984" w:rsidRDefault="00DB3BC3" w:rsidP="00D933F4">
      <w:pPr>
        <w:pStyle w:val="Default"/>
        <w:spacing w:after="120"/>
        <w:jc w:val="both"/>
        <w:rPr>
          <w:sz w:val="22"/>
          <w:szCs w:val="22"/>
          <w:lang w:val="en-GB"/>
        </w:rPr>
      </w:pPr>
      <w:bookmarkStart w:id="2" w:name="OLE_LINK1"/>
      <w:r w:rsidRPr="00022984">
        <w:rPr>
          <w:color w:val="auto"/>
          <w:sz w:val="22"/>
          <w:szCs w:val="22"/>
          <w:lang w:val="en-GB"/>
        </w:rPr>
        <w:t xml:space="preserve">The Management Circular lists certain exceptions. In addition to these, no additional capital requirement is imposed on certain exposures </w:t>
      </w:r>
      <w:r w:rsidRPr="00022984">
        <w:rPr>
          <w:sz w:val="22"/>
          <w:szCs w:val="22"/>
          <w:lang w:val="en-GB"/>
        </w:rPr>
        <w:t>when all of the following conditions are met:</w:t>
      </w:r>
    </w:p>
    <w:p w14:paraId="59030328" w14:textId="77777777" w:rsidR="00DB3BC3" w:rsidRPr="00022984" w:rsidRDefault="00DB3BC3" w:rsidP="008C3A54">
      <w:pPr>
        <w:pStyle w:val="Default"/>
        <w:numPr>
          <w:ilvl w:val="0"/>
          <w:numId w:val="20"/>
        </w:numPr>
        <w:spacing w:before="120"/>
        <w:jc w:val="both"/>
        <w:rPr>
          <w:sz w:val="22"/>
          <w:szCs w:val="22"/>
          <w:lang w:val="en-GB"/>
        </w:rPr>
      </w:pPr>
      <w:r w:rsidRPr="00022984">
        <w:rPr>
          <w:sz w:val="22"/>
          <w:szCs w:val="22"/>
          <w:lang w:val="en-GB"/>
        </w:rPr>
        <w:t>the exposure is to entities that operate or finance physical structures or facilities, systems, and networks that provide or support essential public services;</w:t>
      </w:r>
    </w:p>
    <w:p w14:paraId="59030329" w14:textId="77777777" w:rsidR="00DB3BC3" w:rsidRPr="00022984" w:rsidRDefault="00DB3BC3" w:rsidP="008C3A54">
      <w:pPr>
        <w:pStyle w:val="Default"/>
        <w:numPr>
          <w:ilvl w:val="0"/>
          <w:numId w:val="20"/>
        </w:numPr>
        <w:spacing w:before="120"/>
        <w:jc w:val="both"/>
        <w:rPr>
          <w:sz w:val="22"/>
          <w:szCs w:val="22"/>
          <w:lang w:val="en-GB"/>
        </w:rPr>
      </w:pPr>
      <w:r w:rsidRPr="00022984">
        <w:rPr>
          <w:sz w:val="22"/>
          <w:szCs w:val="22"/>
          <w:lang w:val="en-GB"/>
        </w:rPr>
        <w:t>the cash flow generated by the debtor has a low credit risk, which is guaranteed by a state-run scheme, as defined by law;</w:t>
      </w:r>
    </w:p>
    <w:p w14:paraId="5903032A" w14:textId="77777777" w:rsidR="00DB3BC3" w:rsidRPr="00022984" w:rsidRDefault="00DB3BC3" w:rsidP="008C3A54">
      <w:pPr>
        <w:pStyle w:val="Default"/>
        <w:numPr>
          <w:ilvl w:val="0"/>
          <w:numId w:val="20"/>
        </w:numPr>
        <w:spacing w:before="120"/>
        <w:jc w:val="both"/>
        <w:rPr>
          <w:sz w:val="22"/>
          <w:szCs w:val="22"/>
          <w:lang w:val="en-GB"/>
        </w:rPr>
      </w:pPr>
      <w:r w:rsidRPr="00022984">
        <w:rPr>
          <w:sz w:val="22"/>
          <w:szCs w:val="22"/>
          <w:lang w:val="en-GB"/>
        </w:rPr>
        <w:t>the credit institution applies what is stated in the Management Circular on the management of risks associated with balloon/bullet type repayment loans in a documented manner, for the given exposure.</w:t>
      </w:r>
    </w:p>
    <w:p w14:paraId="5903032B" w14:textId="77777777" w:rsidR="00DB3BC3" w:rsidRPr="00022984" w:rsidRDefault="00DB3BC3" w:rsidP="00D933F4">
      <w:pPr>
        <w:pStyle w:val="Default"/>
        <w:spacing w:after="120"/>
        <w:jc w:val="both"/>
        <w:rPr>
          <w:color w:val="auto"/>
          <w:sz w:val="22"/>
          <w:szCs w:val="22"/>
          <w:lang w:val="en-GB"/>
        </w:rPr>
      </w:pPr>
      <w:r w:rsidRPr="00022984">
        <w:rPr>
          <w:sz w:val="22"/>
          <w:szCs w:val="22"/>
          <w:lang w:val="en-GB"/>
        </w:rPr>
        <w:t xml:space="preserve">Regarding subsection (b) above, the mandatory purchase price and the subsidised price </w:t>
      </w:r>
      <w:r w:rsidRPr="00022984">
        <w:rPr>
          <w:color w:val="auto"/>
          <w:sz w:val="22"/>
          <w:szCs w:val="22"/>
          <w:lang w:val="en-GB"/>
        </w:rPr>
        <w:t xml:space="preserve">of premium-type support, as defined in Act LXXXVI of 2007 on Electricity, are currently used by the </w:t>
      </w:r>
      <w:proofErr w:type="spellStart"/>
      <w:r w:rsidRPr="00022984">
        <w:rPr>
          <w:color w:val="auto"/>
          <w:sz w:val="22"/>
          <w:szCs w:val="22"/>
          <w:lang w:val="en-GB"/>
        </w:rPr>
        <w:t>MNB</w:t>
      </w:r>
      <w:proofErr w:type="spellEnd"/>
      <w:r w:rsidRPr="00022984">
        <w:rPr>
          <w:color w:val="auto"/>
          <w:sz w:val="22"/>
          <w:szCs w:val="22"/>
          <w:lang w:val="en-GB"/>
        </w:rPr>
        <w:t>.</w:t>
      </w:r>
    </w:p>
    <w:bookmarkEnd w:id="2"/>
    <w:p w14:paraId="5903032C"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Further exceptions to the additional capital requirement:</w:t>
      </w:r>
    </w:p>
    <w:p w14:paraId="5903032D" w14:textId="77777777" w:rsidR="00DB3BC3" w:rsidRPr="00022984" w:rsidRDefault="00DB3BC3" w:rsidP="00DB774A">
      <w:pPr>
        <w:pStyle w:val="Default"/>
        <w:numPr>
          <w:ilvl w:val="0"/>
          <w:numId w:val="23"/>
        </w:numPr>
        <w:spacing w:after="120"/>
        <w:jc w:val="both"/>
        <w:rPr>
          <w:sz w:val="22"/>
          <w:szCs w:val="22"/>
          <w:lang w:val="en-GB"/>
        </w:rPr>
      </w:pPr>
      <w:r w:rsidRPr="00022984">
        <w:rPr>
          <w:color w:val="auto"/>
          <w:sz w:val="22"/>
          <w:szCs w:val="22"/>
          <w:lang w:val="en-GB"/>
        </w:rPr>
        <w:t>corporate, government and institutional bonds with external credit ratings,</w:t>
      </w:r>
    </w:p>
    <w:p w14:paraId="5903032E" w14:textId="77777777" w:rsidR="00DB3BC3" w:rsidRPr="00022984" w:rsidRDefault="00DB3BC3" w:rsidP="00DB774A">
      <w:pPr>
        <w:pStyle w:val="Default"/>
        <w:numPr>
          <w:ilvl w:val="0"/>
          <w:numId w:val="23"/>
        </w:numPr>
        <w:spacing w:after="120"/>
        <w:jc w:val="both"/>
        <w:rPr>
          <w:sz w:val="22"/>
          <w:szCs w:val="22"/>
          <w:lang w:val="en-GB"/>
        </w:rPr>
      </w:pPr>
      <w:r w:rsidRPr="00022984">
        <w:rPr>
          <w:sz w:val="22"/>
          <w:szCs w:val="22"/>
          <w:lang w:val="en-GB"/>
        </w:rPr>
        <w:t>secured loans, where the collateral used is a securities deposit or a forint or foreign currency deposit, which provides sufficient risk-mitigating effect, and which are therefore not considered high-risk exposures,</w:t>
      </w:r>
    </w:p>
    <w:p w14:paraId="5903032F" w14:textId="77777777" w:rsidR="00DB3BC3" w:rsidRPr="00022984" w:rsidRDefault="00DB3BC3" w:rsidP="007B664E">
      <w:pPr>
        <w:pStyle w:val="Default"/>
        <w:numPr>
          <w:ilvl w:val="0"/>
          <w:numId w:val="23"/>
        </w:numPr>
        <w:spacing w:after="120"/>
        <w:jc w:val="both"/>
        <w:rPr>
          <w:sz w:val="22"/>
          <w:szCs w:val="22"/>
          <w:lang w:val="en-GB"/>
        </w:rPr>
      </w:pPr>
      <w:r w:rsidRPr="00022984">
        <w:rPr>
          <w:sz w:val="22"/>
          <w:szCs w:val="22"/>
          <w:lang w:val="en-GB"/>
        </w:rPr>
        <w:t>current asset loans with an original maturity of not more than three years,</w:t>
      </w:r>
    </w:p>
    <w:p w14:paraId="59030330" w14:textId="77777777" w:rsidR="00DB3BC3" w:rsidRPr="00022984" w:rsidRDefault="00DB3BC3" w:rsidP="007B664E">
      <w:pPr>
        <w:pStyle w:val="Default"/>
        <w:numPr>
          <w:ilvl w:val="0"/>
          <w:numId w:val="23"/>
        </w:numPr>
        <w:spacing w:after="120"/>
        <w:jc w:val="both"/>
        <w:rPr>
          <w:sz w:val="22"/>
          <w:szCs w:val="22"/>
          <w:lang w:val="en-GB"/>
        </w:rPr>
      </w:pPr>
      <w:r w:rsidRPr="00022984">
        <w:rPr>
          <w:sz w:val="22"/>
          <w:szCs w:val="22"/>
          <w:lang w:val="en-GB"/>
        </w:rPr>
        <w:lastRenderedPageBreak/>
        <w:t>loans for residential property development projects intended for sale</w:t>
      </w:r>
      <w:r w:rsidRPr="00022984">
        <w:rPr>
          <w:rStyle w:val="Lbjegyzet-hivatkozs"/>
          <w:sz w:val="22"/>
          <w:szCs w:val="22"/>
          <w:lang w:val="en-GB"/>
        </w:rPr>
        <w:footnoteReference w:id="9"/>
      </w:r>
    </w:p>
    <w:bookmarkEnd w:id="1"/>
    <w:p w14:paraId="59030332" w14:textId="77777777" w:rsidR="00DB3BC3" w:rsidRPr="00022984" w:rsidRDefault="00DB3BC3" w:rsidP="00AA7DBF">
      <w:pPr>
        <w:pStyle w:val="Default"/>
        <w:spacing w:after="120"/>
        <w:jc w:val="both"/>
        <w:rPr>
          <w:color w:val="auto"/>
          <w:sz w:val="22"/>
          <w:szCs w:val="22"/>
          <w:lang w:val="en-GB"/>
        </w:rPr>
      </w:pPr>
      <w:r w:rsidRPr="00022984">
        <w:rPr>
          <w:b/>
          <w:bCs/>
          <w:color w:val="auto"/>
          <w:sz w:val="22"/>
          <w:szCs w:val="22"/>
          <w:lang w:val="en-GB"/>
        </w:rPr>
        <w:t>The additional capital requirement set:</w:t>
      </w:r>
      <w:r w:rsidRPr="00022984">
        <w:rPr>
          <w:color w:val="auto"/>
          <w:sz w:val="22"/>
          <w:szCs w:val="22"/>
          <w:lang w:val="en-GB"/>
        </w:rPr>
        <w:t xml:space="preserve"> The additional capital requirement imposed on credit institutions subject to simplified, comprehensive, and focused supervisory review is 50 percent of the Pillar 1 capital requirement for the relevant performing portfolio. For balloon-bullet portfolios, the </w:t>
      </w:r>
      <w:proofErr w:type="spellStart"/>
      <w:r w:rsidRPr="00022984">
        <w:rPr>
          <w:color w:val="auto"/>
          <w:sz w:val="22"/>
          <w:szCs w:val="22"/>
          <w:lang w:val="en-GB"/>
        </w:rPr>
        <w:t>MNB</w:t>
      </w:r>
      <w:proofErr w:type="spellEnd"/>
      <w:r w:rsidRPr="00022984">
        <w:rPr>
          <w:color w:val="auto"/>
          <w:sz w:val="22"/>
          <w:szCs w:val="22"/>
          <w:lang w:val="en-GB"/>
        </w:rPr>
        <w:t xml:space="preserve"> requires the off-balance sheet exposures to also be taken into account, in the case of exposures where it is assumed that a balloon-bullet exposure will arise after becoming a balance sheet item, and the applicable CCF is not 0.  As a general rule, the </w:t>
      </w:r>
      <w:proofErr w:type="spellStart"/>
      <w:r w:rsidRPr="00022984">
        <w:rPr>
          <w:color w:val="auto"/>
          <w:sz w:val="22"/>
          <w:szCs w:val="22"/>
          <w:lang w:val="en-GB"/>
        </w:rPr>
        <w:t>MNB</w:t>
      </w:r>
      <w:proofErr w:type="spellEnd"/>
      <w:r w:rsidRPr="00022984">
        <w:rPr>
          <w:color w:val="auto"/>
          <w:sz w:val="22"/>
          <w:szCs w:val="22"/>
          <w:lang w:val="en-GB"/>
        </w:rPr>
        <w:t xml:space="preserve"> requires the institutions to apply a higher risk weight to balloon/bullet transactions than to non-balloon/bullet transactions in the given portfolio.</w:t>
      </w:r>
    </w:p>
    <w:p w14:paraId="59030333" w14:textId="77777777" w:rsidR="00DB3BC3" w:rsidRPr="00022984" w:rsidRDefault="00DB3BC3" w:rsidP="00003494">
      <w:pPr>
        <w:pStyle w:val="Default"/>
        <w:spacing w:before="120"/>
        <w:jc w:val="both"/>
        <w:rPr>
          <w:b/>
          <w:bCs/>
          <w:color w:val="auto"/>
          <w:sz w:val="22"/>
          <w:szCs w:val="22"/>
          <w:lang w:val="en-GB"/>
        </w:rPr>
      </w:pPr>
      <w:r w:rsidRPr="00022984">
        <w:rPr>
          <w:b/>
          <w:bCs/>
          <w:color w:val="auto"/>
          <w:sz w:val="22"/>
          <w:szCs w:val="22"/>
          <w:lang w:val="en-GB"/>
        </w:rPr>
        <w:t>3. Lending in foreign currencies</w:t>
      </w:r>
    </w:p>
    <w:p w14:paraId="59030334"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The increased foreign exchange rate related risk resulting from the recent crisis caused significant difficulties, primarily in the repayment of foreign currency loans by households and SMEs, due to the difference between the currency of the loan and the income of the debtor, which resulted in a further increase in the credit risk of institutions, as compared to the exposures denominated in the same currency as the debtor’s income or the collateral. With regard to household loans, the legislator has already addressed the issue of different denominations, i.e. the currency of the loan and the income of the debtor being different, but in the non-household sector the resulting risk may still exist.</w:t>
      </w:r>
    </w:p>
    <w:p w14:paraId="59030335"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Lending in foreign currencies may also entail higher residual risk if the value of the loan collateral does not keep pace with the increase in the exposure’s value resulting from the exchange rate increase. In addition, credit risk concentration may arise at the institution, if a large portion of its loan portfolio is denominated in the same currency or in currencies with high correlation.</w:t>
      </w:r>
    </w:p>
    <w:p w14:paraId="59030336"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Based on the European Systemic Risk Board’s recommendation on lending in foreign currencies and the </w:t>
      </w:r>
      <w:proofErr w:type="spellStart"/>
      <w:r w:rsidRPr="00022984">
        <w:rPr>
          <w:color w:val="auto"/>
          <w:sz w:val="22"/>
          <w:szCs w:val="22"/>
          <w:lang w:val="en-GB"/>
        </w:rPr>
        <w:t>EBA’s</w:t>
      </w:r>
      <w:proofErr w:type="spellEnd"/>
      <w:r w:rsidRPr="00022984">
        <w:rPr>
          <w:color w:val="auto"/>
          <w:sz w:val="22"/>
          <w:szCs w:val="22"/>
          <w:lang w:val="en-GB"/>
        </w:rPr>
        <w:t xml:space="preserve"> related guideline,</w:t>
      </w:r>
      <w:r w:rsidRPr="00022984">
        <w:rPr>
          <w:sz w:val="22"/>
          <w:szCs w:val="22"/>
          <w:vertAlign w:val="superscript"/>
          <w:lang w:val="en-GB"/>
        </w:rPr>
        <w:footnoteReference w:id="10"/>
      </w:r>
      <w:r w:rsidRPr="00022984">
        <w:rPr>
          <w:color w:val="auto"/>
          <w:sz w:val="22"/>
          <w:szCs w:val="22"/>
          <w:lang w:val="en-GB"/>
        </w:rPr>
        <w:t xml:space="preserve"> the </w:t>
      </w:r>
      <w:proofErr w:type="spellStart"/>
      <w:r w:rsidRPr="00022984">
        <w:rPr>
          <w:color w:val="auto"/>
          <w:sz w:val="22"/>
          <w:szCs w:val="22"/>
          <w:lang w:val="en-GB"/>
        </w:rPr>
        <w:t>MNB</w:t>
      </w:r>
      <w:proofErr w:type="spellEnd"/>
      <w:r w:rsidRPr="00022984">
        <w:rPr>
          <w:color w:val="auto"/>
          <w:sz w:val="22"/>
          <w:szCs w:val="22"/>
          <w:lang w:val="en-GB"/>
        </w:rPr>
        <w:t xml:space="preserve"> continues to consider it important that the institutions adequately manage the risks associated with lending in foreign currencies, and where necessary, provide adequate coverage via capital requirements. The specific </w:t>
      </w:r>
      <w:proofErr w:type="spellStart"/>
      <w:r w:rsidRPr="00022984">
        <w:rPr>
          <w:color w:val="auto"/>
          <w:sz w:val="22"/>
          <w:szCs w:val="22"/>
          <w:lang w:val="en-GB"/>
        </w:rPr>
        <w:t>MNB</w:t>
      </w:r>
      <w:proofErr w:type="spellEnd"/>
      <w:r w:rsidRPr="00022984">
        <w:rPr>
          <w:color w:val="auto"/>
          <w:sz w:val="22"/>
          <w:szCs w:val="22"/>
          <w:lang w:val="en-GB"/>
        </w:rPr>
        <w:t xml:space="preserve"> requirements relating to lending in foreign currencies are set out in detail in the ICAAP, </w:t>
      </w:r>
      <w:proofErr w:type="spellStart"/>
      <w:r w:rsidRPr="00022984">
        <w:rPr>
          <w:color w:val="auto"/>
          <w:sz w:val="22"/>
          <w:szCs w:val="22"/>
          <w:lang w:val="en-GB"/>
        </w:rPr>
        <w:t>ILAAP</w:t>
      </w:r>
      <w:proofErr w:type="spellEnd"/>
      <w:r w:rsidRPr="00022984">
        <w:rPr>
          <w:color w:val="auto"/>
          <w:sz w:val="22"/>
          <w:szCs w:val="22"/>
          <w:lang w:val="en-GB"/>
        </w:rPr>
        <w:t xml:space="preserve"> and BMA Review Manual. The specific capital requirement is to be determined depending on the level of compliance with the applicable regulations. </w:t>
      </w:r>
    </w:p>
    <w:p w14:paraId="59030337" w14:textId="77777777" w:rsidR="00DB3BC3" w:rsidRPr="00022984" w:rsidRDefault="00DB3BC3" w:rsidP="00AA7DBF">
      <w:pPr>
        <w:pStyle w:val="Default"/>
        <w:spacing w:after="120"/>
        <w:jc w:val="both"/>
        <w:rPr>
          <w:color w:val="auto"/>
          <w:sz w:val="22"/>
          <w:szCs w:val="22"/>
          <w:lang w:val="en-GB"/>
        </w:rPr>
      </w:pPr>
      <w:r w:rsidRPr="00022984">
        <w:rPr>
          <w:b/>
          <w:bCs/>
          <w:color w:val="auto"/>
          <w:sz w:val="22"/>
          <w:szCs w:val="22"/>
          <w:lang w:val="en-GB"/>
        </w:rPr>
        <w:t xml:space="preserve">The additional capital requirement </w:t>
      </w:r>
      <w:proofErr w:type="gramStart"/>
      <w:r w:rsidRPr="00022984">
        <w:rPr>
          <w:b/>
          <w:bCs/>
          <w:color w:val="auto"/>
          <w:sz w:val="22"/>
          <w:szCs w:val="22"/>
          <w:lang w:val="en-GB"/>
        </w:rPr>
        <w:t>set</w:t>
      </w:r>
      <w:r w:rsidRPr="00022984">
        <w:rPr>
          <w:color w:val="auto"/>
          <w:sz w:val="22"/>
          <w:szCs w:val="22"/>
          <w:lang w:val="en-GB"/>
        </w:rPr>
        <w:t>:</w:t>
      </w:r>
      <w:proofErr w:type="gramEnd"/>
      <w:r w:rsidRPr="00022984">
        <w:rPr>
          <w:color w:val="auto"/>
          <w:sz w:val="22"/>
          <w:szCs w:val="22"/>
          <w:lang w:val="en-GB"/>
        </w:rPr>
        <w:t xml:space="preserve"> for the entire existing performing foreign currency loan portfolio granted to unsecured borrowers,</w:t>
      </w:r>
      <w:r w:rsidRPr="00022984">
        <w:rPr>
          <w:rStyle w:val="Lbjegyzet-hivatkozs"/>
          <w:color w:val="auto"/>
          <w:sz w:val="22"/>
          <w:szCs w:val="22"/>
          <w:lang w:val="en-GB"/>
        </w:rPr>
        <w:footnoteReference w:id="11"/>
      </w:r>
      <w:r w:rsidRPr="00022984">
        <w:rPr>
          <w:color w:val="auto"/>
          <w:sz w:val="22"/>
          <w:szCs w:val="22"/>
          <w:lang w:val="en-GB"/>
        </w:rPr>
        <w:t xml:space="preserve"> 0–30 percent of the Pillar 1 capital requirement, uniformly applied to all institutions subject to simplified, comprehensive and focused ICAAP reviews. If the credit institution sets a 0-percent additional capital requirement, it must submit the relevant documentation to the </w:t>
      </w:r>
      <w:proofErr w:type="spellStart"/>
      <w:r w:rsidRPr="00022984">
        <w:rPr>
          <w:color w:val="auto"/>
          <w:sz w:val="22"/>
          <w:szCs w:val="22"/>
          <w:lang w:val="en-GB"/>
        </w:rPr>
        <w:t>MNB</w:t>
      </w:r>
      <w:proofErr w:type="spellEnd"/>
      <w:r w:rsidRPr="00022984">
        <w:rPr>
          <w:color w:val="auto"/>
          <w:sz w:val="22"/>
          <w:szCs w:val="22"/>
          <w:lang w:val="en-GB"/>
        </w:rPr>
        <w:t xml:space="preserve"> justifying the 0-percent rate.</w:t>
      </w:r>
    </w:p>
    <w:p w14:paraId="59030338" w14:textId="77777777" w:rsidR="00DB3BC3" w:rsidRPr="00022984" w:rsidRDefault="00DB3BC3" w:rsidP="00003494">
      <w:pPr>
        <w:pStyle w:val="Default"/>
        <w:spacing w:before="120"/>
        <w:jc w:val="both"/>
        <w:rPr>
          <w:b/>
          <w:bCs/>
          <w:color w:val="auto"/>
          <w:sz w:val="22"/>
          <w:szCs w:val="22"/>
          <w:lang w:val="en-GB"/>
        </w:rPr>
      </w:pPr>
      <w:r w:rsidRPr="00022984">
        <w:rPr>
          <w:b/>
          <w:bCs/>
          <w:color w:val="auto"/>
          <w:sz w:val="22"/>
          <w:szCs w:val="22"/>
          <w:lang w:val="en-GB"/>
        </w:rPr>
        <w:t>4. Multiple restructuring</w:t>
      </w:r>
    </w:p>
    <w:p w14:paraId="59030339" w14:textId="77777777" w:rsidR="00DB3BC3" w:rsidRPr="00022984" w:rsidRDefault="00DB3BC3" w:rsidP="00AA7DBF">
      <w:pPr>
        <w:pStyle w:val="Default"/>
        <w:spacing w:after="120"/>
        <w:jc w:val="both"/>
        <w:rPr>
          <w:sz w:val="22"/>
          <w:szCs w:val="22"/>
          <w:lang w:val="en-GB"/>
        </w:rPr>
      </w:pPr>
      <w:r w:rsidRPr="00022984">
        <w:rPr>
          <w:sz w:val="22"/>
          <w:szCs w:val="22"/>
          <w:lang w:val="en-GB"/>
        </w:rPr>
        <w:t xml:space="preserve">Based on the experience of previous supervisory reviews, it is becoming increasingly common for certain transactions to be repeatedly </w:t>
      </w:r>
      <w:r w:rsidRPr="00022984">
        <w:rPr>
          <w:color w:val="auto"/>
          <w:sz w:val="22"/>
          <w:szCs w:val="22"/>
          <w:lang w:val="en-GB"/>
        </w:rPr>
        <w:t>restructured</w:t>
      </w:r>
      <w:r w:rsidRPr="00022984">
        <w:rPr>
          <w:sz w:val="22"/>
          <w:szCs w:val="22"/>
          <w:lang w:val="en-GB"/>
        </w:rPr>
        <w:t xml:space="preserve">, when no impairment losses corresponding to the quality of the portfolio are </w:t>
      </w:r>
      <w:r w:rsidRPr="00022984">
        <w:rPr>
          <w:color w:val="auto"/>
          <w:sz w:val="22"/>
          <w:szCs w:val="22"/>
          <w:lang w:val="en-GB"/>
        </w:rPr>
        <w:t>recognised</w:t>
      </w:r>
      <w:r w:rsidRPr="00022984">
        <w:rPr>
          <w:sz w:val="22"/>
          <w:szCs w:val="22"/>
          <w:lang w:val="en-GB"/>
        </w:rPr>
        <w:t xml:space="preserve"> for the restructured transactions.</w:t>
      </w:r>
      <w:r w:rsidRPr="00022984">
        <w:rPr>
          <w:sz w:val="22"/>
          <w:szCs w:val="22"/>
          <w:vertAlign w:val="superscript"/>
          <w:lang w:val="en-GB"/>
        </w:rPr>
        <w:footnoteReference w:id="12"/>
      </w:r>
      <w:r w:rsidRPr="00022984">
        <w:rPr>
          <w:sz w:val="22"/>
          <w:szCs w:val="22"/>
          <w:lang w:val="en-GB"/>
        </w:rPr>
        <w:t xml:space="preserve"> Such practice poses a significant risk to the given institutions. Therefore, for transactions that have been restructured at least </w:t>
      </w:r>
      <w:r w:rsidRPr="00022984">
        <w:rPr>
          <w:sz w:val="22"/>
          <w:szCs w:val="22"/>
          <w:lang w:val="en-GB"/>
        </w:rPr>
        <w:lastRenderedPageBreak/>
        <w:t>twice since 1 January 2011, in accordance with the regulations</w:t>
      </w:r>
      <w:r w:rsidRPr="00022984">
        <w:rPr>
          <w:rStyle w:val="Lbjegyzet-hivatkozs"/>
          <w:sz w:val="22"/>
          <w:szCs w:val="22"/>
          <w:lang w:val="en-GB"/>
        </w:rPr>
        <w:footnoteReference w:id="13"/>
      </w:r>
      <w:r w:rsidRPr="00022984">
        <w:rPr>
          <w:sz w:val="22"/>
          <w:szCs w:val="22"/>
          <w:lang w:val="en-GB"/>
        </w:rPr>
        <w:t xml:space="preserve"> in force (in addition to participation in the state debt relief programme), and in the course of which the credit institution has granted the debtor additional grace periods for the interest and/or principal repayments, the </w:t>
      </w:r>
      <w:proofErr w:type="spellStart"/>
      <w:r w:rsidRPr="00022984">
        <w:rPr>
          <w:sz w:val="22"/>
          <w:szCs w:val="22"/>
          <w:lang w:val="en-GB"/>
        </w:rPr>
        <w:t>MNB</w:t>
      </w:r>
      <w:proofErr w:type="spellEnd"/>
      <w:r w:rsidRPr="00022984">
        <w:rPr>
          <w:sz w:val="22"/>
          <w:szCs w:val="22"/>
          <w:lang w:val="en-GB"/>
        </w:rPr>
        <w:t xml:space="preserve"> imposes an additional capital requirement. </w:t>
      </w:r>
    </w:p>
    <w:p w14:paraId="5903033A" w14:textId="77777777" w:rsidR="00DB3BC3" w:rsidRPr="00022984" w:rsidRDefault="00DB3BC3" w:rsidP="00AA7DBF">
      <w:pPr>
        <w:pStyle w:val="Default"/>
        <w:spacing w:after="120"/>
        <w:jc w:val="both"/>
        <w:rPr>
          <w:rFonts w:ascii="Times" w:eastAsia="Times New Roman" w:hAnsi="Times" w:cs="Times"/>
          <w:b/>
          <w:bCs/>
          <w:sz w:val="22"/>
          <w:szCs w:val="22"/>
          <w:lang w:val="en-GB"/>
        </w:rPr>
      </w:pPr>
      <w:r w:rsidRPr="00022984">
        <w:rPr>
          <w:sz w:val="22"/>
          <w:szCs w:val="22"/>
          <w:lang w:val="en-GB"/>
        </w:rPr>
        <w:t>Regarding the management of transactions considered restructured due to the expiry of the 9-month moratorium, further information can be found in the Frequently Asked Questions</w:t>
      </w:r>
      <w:r w:rsidRPr="00022984">
        <w:rPr>
          <w:rStyle w:val="Lbjegyzet-hivatkozs"/>
          <w:sz w:val="22"/>
          <w:szCs w:val="22"/>
          <w:lang w:val="en-GB"/>
        </w:rPr>
        <w:footnoteReference w:id="14"/>
      </w:r>
      <w:r w:rsidRPr="00022984">
        <w:rPr>
          <w:sz w:val="22"/>
          <w:szCs w:val="22"/>
          <w:lang w:val="en-GB"/>
        </w:rPr>
        <w:t xml:space="preserve"> section of the </w:t>
      </w:r>
      <w:proofErr w:type="spellStart"/>
      <w:r w:rsidRPr="00022984">
        <w:rPr>
          <w:sz w:val="22"/>
          <w:szCs w:val="22"/>
          <w:lang w:val="en-GB"/>
        </w:rPr>
        <w:t>MNB</w:t>
      </w:r>
      <w:proofErr w:type="spellEnd"/>
      <w:r w:rsidRPr="00022984">
        <w:rPr>
          <w:sz w:val="22"/>
          <w:szCs w:val="22"/>
          <w:lang w:val="en-GB"/>
        </w:rPr>
        <w:t xml:space="preserve"> website.</w:t>
      </w:r>
    </w:p>
    <w:p w14:paraId="5903033B" w14:textId="77777777" w:rsidR="00DB3BC3" w:rsidRPr="00022984" w:rsidRDefault="00DB3BC3" w:rsidP="00AA7DBF">
      <w:pPr>
        <w:pStyle w:val="Default"/>
        <w:spacing w:after="120"/>
        <w:jc w:val="both"/>
        <w:rPr>
          <w:sz w:val="22"/>
          <w:szCs w:val="22"/>
          <w:lang w:val="en-GB"/>
        </w:rPr>
      </w:pPr>
      <w:r w:rsidRPr="00022984">
        <w:rPr>
          <w:b/>
          <w:bCs/>
          <w:sz w:val="22"/>
          <w:szCs w:val="22"/>
          <w:lang w:val="en-GB"/>
        </w:rPr>
        <w:t>The additional capital requirement set:</w:t>
      </w:r>
      <w:r w:rsidRPr="00022984">
        <w:rPr>
          <w:sz w:val="22"/>
          <w:szCs w:val="22"/>
          <w:lang w:val="en-GB"/>
        </w:rPr>
        <w:t xml:space="preserve"> The additional capital requirement imposed on </w:t>
      </w:r>
      <w:r w:rsidRPr="00022984">
        <w:rPr>
          <w:color w:val="auto"/>
          <w:sz w:val="22"/>
          <w:szCs w:val="22"/>
          <w:lang w:val="en-GB"/>
        </w:rPr>
        <w:t>credit institutions</w:t>
      </w:r>
      <w:r w:rsidRPr="00022984">
        <w:rPr>
          <w:sz w:val="22"/>
          <w:szCs w:val="22"/>
          <w:lang w:val="en-GB"/>
        </w:rPr>
        <w:t xml:space="preserve"> subject to </w:t>
      </w:r>
      <w:r w:rsidRPr="00022984">
        <w:rPr>
          <w:color w:val="auto"/>
          <w:sz w:val="22"/>
          <w:szCs w:val="22"/>
          <w:lang w:val="en-GB"/>
        </w:rPr>
        <w:t>simplified</w:t>
      </w:r>
      <w:r w:rsidRPr="00022984">
        <w:rPr>
          <w:sz w:val="22"/>
          <w:szCs w:val="22"/>
          <w:lang w:val="en-GB"/>
        </w:rPr>
        <w:t xml:space="preserve">, comprehensive, and focused supervisory review is uniformly 50 percent of the Pillar 1 capital requirement, for the relevant performing portfolio.  </w:t>
      </w:r>
    </w:p>
    <w:p w14:paraId="5903033C" w14:textId="77777777" w:rsidR="00DB3BC3" w:rsidRPr="00022984" w:rsidRDefault="00DB3BC3" w:rsidP="00AA7DBF">
      <w:pPr>
        <w:pStyle w:val="Default"/>
        <w:spacing w:after="120"/>
        <w:jc w:val="both"/>
        <w:rPr>
          <w:sz w:val="22"/>
          <w:szCs w:val="22"/>
          <w:lang w:val="en-GB"/>
        </w:rPr>
      </w:pPr>
    </w:p>
    <w:p w14:paraId="5903033D" w14:textId="77777777" w:rsidR="00DB3BC3" w:rsidRPr="00022984" w:rsidRDefault="00DB3BC3" w:rsidP="00003494">
      <w:pPr>
        <w:pStyle w:val="Default"/>
        <w:spacing w:before="120"/>
        <w:jc w:val="both"/>
        <w:rPr>
          <w:b/>
          <w:color w:val="auto"/>
          <w:sz w:val="22"/>
          <w:szCs w:val="22"/>
          <w:lang w:val="en-GB"/>
        </w:rPr>
      </w:pPr>
      <w:bookmarkStart w:id="3" w:name="_Hlk532836641"/>
      <w:r w:rsidRPr="00022984">
        <w:rPr>
          <w:b/>
          <w:bCs/>
          <w:color w:val="auto"/>
          <w:sz w:val="22"/>
          <w:szCs w:val="22"/>
          <w:lang w:val="en-GB"/>
        </w:rPr>
        <w:t>5. Household loan transactions based on contracts breaching the DTI rules, or managed by not sufficiently prudent banking practices</w:t>
      </w:r>
    </w:p>
    <w:p w14:paraId="5903033E"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The purpose of the DTI Regulation</w:t>
      </w:r>
      <w:r w:rsidRPr="00022984">
        <w:rPr>
          <w:rStyle w:val="Lbjegyzet-hivatkozs"/>
          <w:color w:val="auto"/>
          <w:sz w:val="22"/>
          <w:szCs w:val="22"/>
          <w:lang w:val="en-GB"/>
        </w:rPr>
        <w:footnoteReference w:id="15"/>
      </w:r>
      <w:r w:rsidRPr="00022984">
        <w:rPr>
          <w:color w:val="auto"/>
          <w:sz w:val="22"/>
          <w:szCs w:val="22"/>
          <w:lang w:val="en-GB"/>
        </w:rPr>
        <w:t xml:space="preserve"> is to prevent excessive consumer indebtedness and mitigate the resulting systemic credit risks. The </w:t>
      </w:r>
      <w:proofErr w:type="spellStart"/>
      <w:r w:rsidRPr="00022984">
        <w:rPr>
          <w:color w:val="auto"/>
          <w:sz w:val="22"/>
          <w:szCs w:val="22"/>
          <w:lang w:val="en-GB"/>
        </w:rPr>
        <w:t>MNB</w:t>
      </w:r>
      <w:proofErr w:type="spellEnd"/>
      <w:r w:rsidRPr="00022984">
        <w:rPr>
          <w:color w:val="auto"/>
          <w:sz w:val="22"/>
          <w:szCs w:val="22"/>
          <w:lang w:val="en-GB"/>
        </w:rPr>
        <w:t xml:space="preserve"> pays special attention to the achievement of these objectives, and intends to take decisive action against institutional practices that violate the DTI rules and pose a risk, by taking the necessary measures and applying sanctions. A Bank engages in unlawful or risky conduct, inter alia, when it violates the maximum credit limit rule or fails to act with sufficient prudence (even if in accordance with the DTI Regulation) when checking the borrower’s monthly net income and determining their total debt service. Transactions that violate the DTI rules include cases where the Bank does not or does not fully comply with the rules on how to calculate the debt-service-to-income ratio (DTI), how to apply the DTI, the applicable exemptions, or any other DTI-related requirement, during the lending process.</w:t>
      </w:r>
    </w:p>
    <w:p w14:paraId="5903033F"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If the law is violated, or in case of an insufficiently prudent management of the transactions concerned, the </w:t>
      </w:r>
      <w:proofErr w:type="spellStart"/>
      <w:r w:rsidRPr="00022984">
        <w:rPr>
          <w:color w:val="auto"/>
          <w:sz w:val="22"/>
          <w:szCs w:val="22"/>
          <w:lang w:val="en-GB"/>
        </w:rPr>
        <w:t>MNB</w:t>
      </w:r>
      <w:proofErr w:type="spellEnd"/>
      <w:r w:rsidRPr="00022984">
        <w:rPr>
          <w:color w:val="auto"/>
          <w:sz w:val="22"/>
          <w:szCs w:val="22"/>
          <w:lang w:val="en-GB"/>
        </w:rPr>
        <w:t xml:space="preserve"> considers it justified to impose an additional capital requirement. </w:t>
      </w:r>
    </w:p>
    <w:p w14:paraId="59030340"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The </w:t>
      </w:r>
      <w:proofErr w:type="spellStart"/>
      <w:r w:rsidRPr="00022984">
        <w:rPr>
          <w:color w:val="auto"/>
          <w:sz w:val="22"/>
          <w:szCs w:val="22"/>
          <w:lang w:val="en-GB"/>
        </w:rPr>
        <w:t>MNB</w:t>
      </w:r>
      <w:proofErr w:type="spellEnd"/>
      <w:r w:rsidRPr="00022984">
        <w:rPr>
          <w:color w:val="auto"/>
          <w:sz w:val="22"/>
          <w:szCs w:val="22"/>
          <w:lang w:val="en-GB"/>
        </w:rPr>
        <w:t xml:space="preserve"> also imposes additional capital requirement on institutions that do not violate the DTI rules but fail to act conservatively, if the Bank does not sufficiently thoroughly investigate the borrower’s income situation and total monthly debt service. The </w:t>
      </w:r>
      <w:proofErr w:type="spellStart"/>
      <w:r w:rsidRPr="00022984">
        <w:rPr>
          <w:color w:val="auto"/>
          <w:sz w:val="22"/>
          <w:szCs w:val="22"/>
          <w:lang w:val="en-GB"/>
        </w:rPr>
        <w:t>MNB</w:t>
      </w:r>
      <w:proofErr w:type="spellEnd"/>
      <w:r w:rsidRPr="00022984">
        <w:rPr>
          <w:color w:val="auto"/>
          <w:sz w:val="22"/>
          <w:szCs w:val="22"/>
          <w:lang w:val="en-GB"/>
        </w:rPr>
        <w:t xml:space="preserve"> believes that it is necessary to conduct a comprehensive query of the information available on the borrower (negative events and positive credit history) from the Central Credit Information System (</w:t>
      </w:r>
      <w:proofErr w:type="spellStart"/>
      <w:r w:rsidRPr="00022984">
        <w:rPr>
          <w:color w:val="auto"/>
          <w:sz w:val="22"/>
          <w:szCs w:val="22"/>
          <w:lang w:val="en-GB"/>
        </w:rPr>
        <w:t>CCIS</w:t>
      </w:r>
      <w:proofErr w:type="spellEnd"/>
      <w:r w:rsidRPr="00022984">
        <w:rPr>
          <w:color w:val="auto"/>
          <w:sz w:val="22"/>
          <w:szCs w:val="22"/>
          <w:lang w:val="en-GB"/>
        </w:rPr>
        <w:t>), in order to thoroughly examine the borrower’s income situation and check their other loan debts.</w:t>
      </w:r>
      <w:r w:rsidRPr="00022984">
        <w:rPr>
          <w:sz w:val="22"/>
          <w:szCs w:val="22"/>
          <w:lang w:val="en-GB"/>
        </w:rPr>
        <w:t xml:space="preserve"> </w:t>
      </w:r>
      <w:r w:rsidRPr="00022984">
        <w:rPr>
          <w:color w:val="auto"/>
          <w:sz w:val="22"/>
          <w:szCs w:val="22"/>
          <w:lang w:val="en-GB"/>
        </w:rPr>
        <w:t xml:space="preserve"> </w:t>
      </w:r>
    </w:p>
    <w:p w14:paraId="59030341" w14:textId="77777777" w:rsidR="00DB3BC3" w:rsidRPr="00022984" w:rsidRDefault="00DB3BC3" w:rsidP="00D933F4">
      <w:pPr>
        <w:pStyle w:val="Default"/>
        <w:spacing w:after="120"/>
        <w:jc w:val="both"/>
        <w:rPr>
          <w:color w:val="auto"/>
          <w:sz w:val="22"/>
          <w:szCs w:val="22"/>
          <w:lang w:val="en-GB"/>
        </w:rPr>
      </w:pPr>
      <w:r w:rsidRPr="00022984">
        <w:rPr>
          <w:b/>
          <w:bCs/>
          <w:color w:val="auto"/>
          <w:sz w:val="22"/>
          <w:szCs w:val="22"/>
          <w:lang w:val="en-GB"/>
        </w:rPr>
        <w:t>The additional capital requirement set:</w:t>
      </w:r>
      <w:r w:rsidRPr="00022984">
        <w:rPr>
          <w:color w:val="auto"/>
          <w:sz w:val="22"/>
          <w:szCs w:val="22"/>
          <w:lang w:val="en-GB"/>
        </w:rPr>
        <w:t xml:space="preserve"> For all institutions (regardless of which type of supervisory review they are subject to), additional capital is required for household sector transactions falling under the scope of the DTI Regulation but contracted in a manner that deviates from the applicable DTI rules, to cover the total gross exposure. If the borrower did not consent to the checking of their </w:t>
      </w:r>
      <w:proofErr w:type="spellStart"/>
      <w:r w:rsidRPr="00022984">
        <w:rPr>
          <w:color w:val="auto"/>
          <w:sz w:val="22"/>
          <w:szCs w:val="22"/>
          <w:lang w:val="en-GB"/>
        </w:rPr>
        <w:t>CCIS</w:t>
      </w:r>
      <w:proofErr w:type="spellEnd"/>
      <w:r w:rsidRPr="00022984">
        <w:rPr>
          <w:color w:val="auto"/>
          <w:sz w:val="22"/>
          <w:szCs w:val="22"/>
          <w:lang w:val="en-GB"/>
        </w:rPr>
        <w:t xml:space="preserve"> data, and thus the Bank was unable to retrieve their positive credit history data from the </w:t>
      </w:r>
      <w:proofErr w:type="spellStart"/>
      <w:r w:rsidRPr="00022984">
        <w:rPr>
          <w:color w:val="auto"/>
          <w:sz w:val="22"/>
          <w:szCs w:val="22"/>
          <w:lang w:val="en-GB"/>
        </w:rPr>
        <w:t>CCIS</w:t>
      </w:r>
      <w:proofErr w:type="spellEnd"/>
      <w:r w:rsidRPr="00022984">
        <w:rPr>
          <w:color w:val="auto"/>
          <w:sz w:val="22"/>
          <w:szCs w:val="22"/>
          <w:lang w:val="en-GB"/>
        </w:rPr>
        <w:t xml:space="preserve"> system, but the Bank’s relevant internal regulations do not stipulate that such loan application must be rejected (excluded), as the creditworthiness can be assessed based on data available from other sources, the Bank must clearly record such transactions (mark them in the systems/analytics) – from the application deadline (1 October 2019) –, and additional capital is required to cover the related full gross exposure. In cases where the Bank does not identify the transactions for which positive credit history data was not retrieved from the </w:t>
      </w:r>
      <w:proofErr w:type="spellStart"/>
      <w:r w:rsidRPr="00022984">
        <w:rPr>
          <w:color w:val="auto"/>
          <w:sz w:val="22"/>
          <w:szCs w:val="22"/>
          <w:lang w:val="en-GB"/>
        </w:rPr>
        <w:t>CCIS</w:t>
      </w:r>
      <w:proofErr w:type="spellEnd"/>
      <w:r w:rsidRPr="00022984">
        <w:rPr>
          <w:color w:val="auto"/>
          <w:sz w:val="22"/>
          <w:szCs w:val="22"/>
          <w:lang w:val="en-GB"/>
        </w:rPr>
        <w:t xml:space="preserve"> system prior to the assessment of the loan application, </w:t>
      </w:r>
      <w:r w:rsidRPr="00022984">
        <w:rPr>
          <w:color w:val="auto"/>
          <w:sz w:val="22"/>
          <w:szCs w:val="22"/>
          <w:lang w:val="en-GB"/>
        </w:rPr>
        <w:lastRenderedPageBreak/>
        <w:t>additional capital is required for the entire relevant portfolio subject to the DTI Regulation – for loans disbursed after the application deadline – for the entire related gross exposure. In other words, the Pillar 2 capital requirement and the impairment loss must cover the total gross exposure. If this is not met, for high-risk portfolios, the institution is required to have additional capital for the difference between the gross exposure and the Pillar 2 capital requirement + impairment.</w:t>
      </w:r>
    </w:p>
    <w:p w14:paraId="59030342"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In order to avoid a situation where financial enterprises finance customers who do not consent to a query of their positive </w:t>
      </w:r>
      <w:proofErr w:type="spellStart"/>
      <w:r w:rsidRPr="00022984">
        <w:rPr>
          <w:color w:val="auto"/>
          <w:sz w:val="22"/>
          <w:szCs w:val="22"/>
          <w:lang w:val="en-GB"/>
        </w:rPr>
        <w:t>CCIS</w:t>
      </w:r>
      <w:proofErr w:type="spellEnd"/>
      <w:r w:rsidRPr="00022984">
        <w:rPr>
          <w:color w:val="auto"/>
          <w:sz w:val="22"/>
          <w:szCs w:val="22"/>
          <w:lang w:val="en-GB"/>
        </w:rPr>
        <w:t xml:space="preserve"> data, indirectly from bank sources, before the Bank lends to or refinances a financial enterprise engaged in household sector lending activities, it must verify that the given financial enterprise has stipulated in its own internal regulations and/or in the general terms and conditions of its products that the customer’s consent to a query of their positive credit information from the </w:t>
      </w:r>
      <w:proofErr w:type="spellStart"/>
      <w:r w:rsidRPr="00022984">
        <w:rPr>
          <w:color w:val="auto"/>
          <w:sz w:val="22"/>
          <w:szCs w:val="22"/>
          <w:lang w:val="en-GB"/>
        </w:rPr>
        <w:t>CCIS</w:t>
      </w:r>
      <w:proofErr w:type="spellEnd"/>
      <w:r w:rsidRPr="00022984">
        <w:rPr>
          <w:color w:val="auto"/>
          <w:sz w:val="22"/>
          <w:szCs w:val="22"/>
          <w:lang w:val="en-GB"/>
        </w:rPr>
        <w:t xml:space="preserve"> system is a condition of the loan application assessment. If this is missed, an additional capital requirement applies for the entire new exposure to such financial enterprise, to cover the entire gross exposure (in accordance with the above), regardless of the loan purpose. </w:t>
      </w:r>
    </w:p>
    <w:p w14:paraId="59030343"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The amended provisions relating to such high-risk portfolios (5) subject to the DTI Regulation shall be applied to all of the following services provided after 1 October 2019: </w:t>
      </w:r>
      <w:bookmarkEnd w:id="3"/>
      <w:r w:rsidRPr="00022984">
        <w:rPr>
          <w:sz w:val="22"/>
          <w:szCs w:val="22"/>
          <w:lang w:val="en-GB"/>
        </w:rPr>
        <w:t xml:space="preserve">(a) loans granted to customers and (b) the refinancing of financial enterprises or regularly extending revolving or other loans granted to financial enterprises. If the financial enterprises involved provide the Bank concerned with data on the ratio of their lending transactions – </w:t>
      </w:r>
      <w:r w:rsidRPr="00022984">
        <w:rPr>
          <w:color w:val="auto"/>
          <w:sz w:val="22"/>
          <w:szCs w:val="22"/>
          <w:lang w:val="en-GB"/>
        </w:rPr>
        <w:t>executed</w:t>
      </w:r>
      <w:r w:rsidRPr="00022984">
        <w:rPr>
          <w:sz w:val="22"/>
          <w:szCs w:val="22"/>
          <w:lang w:val="en-GB"/>
        </w:rPr>
        <w:t xml:space="preserve"> after the above date – assessed without positive </w:t>
      </w:r>
      <w:proofErr w:type="spellStart"/>
      <w:r w:rsidRPr="00022984">
        <w:rPr>
          <w:sz w:val="22"/>
          <w:szCs w:val="22"/>
          <w:lang w:val="en-GB"/>
        </w:rPr>
        <w:t>CCIS</w:t>
      </w:r>
      <w:proofErr w:type="spellEnd"/>
      <w:r w:rsidRPr="00022984">
        <w:rPr>
          <w:sz w:val="22"/>
          <w:szCs w:val="22"/>
          <w:lang w:val="en-GB"/>
        </w:rPr>
        <w:t xml:space="preserve"> data, the general rule, i.e. that additional capital is required for the total gross exposure, only applies to the part of the portfolio that was assessed without the positive </w:t>
      </w:r>
      <w:proofErr w:type="spellStart"/>
      <w:r w:rsidRPr="00022984">
        <w:rPr>
          <w:sz w:val="22"/>
          <w:szCs w:val="22"/>
          <w:lang w:val="en-GB"/>
        </w:rPr>
        <w:t>CCIS</w:t>
      </w:r>
      <w:proofErr w:type="spellEnd"/>
      <w:r w:rsidRPr="00022984">
        <w:rPr>
          <w:sz w:val="22"/>
          <w:szCs w:val="22"/>
          <w:lang w:val="en-GB"/>
        </w:rPr>
        <w:t xml:space="preserve"> data.</w:t>
      </w:r>
    </w:p>
    <w:p w14:paraId="59030344" w14:textId="77777777" w:rsidR="00DB3BC3" w:rsidRPr="00022984" w:rsidRDefault="00DB3BC3" w:rsidP="00003494">
      <w:pPr>
        <w:pStyle w:val="Default"/>
        <w:spacing w:before="120"/>
        <w:jc w:val="both"/>
        <w:rPr>
          <w:b/>
          <w:color w:val="auto"/>
          <w:sz w:val="22"/>
          <w:szCs w:val="22"/>
          <w:lang w:val="en-GB"/>
        </w:rPr>
      </w:pPr>
      <w:r w:rsidRPr="00022984">
        <w:rPr>
          <w:b/>
          <w:bCs/>
          <w:color w:val="auto"/>
          <w:sz w:val="22"/>
          <w:szCs w:val="22"/>
          <w:lang w:val="en-GB"/>
        </w:rPr>
        <w:t>6. Repossessed real estate portfolio</w:t>
      </w:r>
    </w:p>
    <w:p w14:paraId="59030345"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Based on the experiences of previous </w:t>
      </w:r>
      <w:proofErr w:type="spellStart"/>
      <w:r w:rsidRPr="00022984">
        <w:rPr>
          <w:color w:val="auto"/>
          <w:sz w:val="22"/>
          <w:szCs w:val="22"/>
          <w:lang w:val="en-GB"/>
        </w:rPr>
        <w:t>MNB</w:t>
      </w:r>
      <w:proofErr w:type="spellEnd"/>
      <w:r w:rsidRPr="00022984">
        <w:rPr>
          <w:color w:val="auto"/>
          <w:sz w:val="22"/>
          <w:szCs w:val="22"/>
          <w:lang w:val="en-GB"/>
        </w:rPr>
        <w:t xml:space="preserve"> reviews, during the years of the crisis, repossessed real estate assets have suffered significant impairment due to the status of the real estate market. Repossessed real estate assets often perform poorly from the outset, and the acquiring institution is often facing a challenge when trying to operate them economically. The operating and maintenance costs of such real estate require considerable resources, appearing as significant costs in the profit and loss statement, and the uncertainties inherent in the valuation factors (e.g. the changing utilisation rates) result in significant volatility in their book value. </w:t>
      </w:r>
    </w:p>
    <w:p w14:paraId="59030346"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The experiences of previous reviews also show that the calculation of the additional capital requirement for repossessed real estate varies significantly between the institutions. The </w:t>
      </w:r>
      <w:proofErr w:type="spellStart"/>
      <w:r w:rsidRPr="00022984">
        <w:rPr>
          <w:color w:val="auto"/>
          <w:sz w:val="22"/>
          <w:szCs w:val="22"/>
          <w:lang w:val="en-GB"/>
        </w:rPr>
        <w:t>MNB</w:t>
      </w:r>
      <w:proofErr w:type="spellEnd"/>
      <w:r w:rsidRPr="00022984">
        <w:rPr>
          <w:color w:val="auto"/>
          <w:sz w:val="22"/>
          <w:szCs w:val="22"/>
          <w:lang w:val="en-GB"/>
        </w:rPr>
        <w:t xml:space="preserve"> believes that if crisis reoccurs, the 100-percent risk weighting (i.e. the 8-percent capital requirement) applied by credit institutions using the standard method would not provide adequate coverage for the risks of the repossessed real estate assets. Therefore, the </w:t>
      </w:r>
      <w:proofErr w:type="spellStart"/>
      <w:r w:rsidRPr="00022984">
        <w:rPr>
          <w:color w:val="auto"/>
          <w:sz w:val="22"/>
          <w:szCs w:val="22"/>
          <w:lang w:val="en-GB"/>
        </w:rPr>
        <w:t>MNB</w:t>
      </w:r>
      <w:proofErr w:type="spellEnd"/>
      <w:r w:rsidRPr="00022984">
        <w:rPr>
          <w:color w:val="auto"/>
          <w:sz w:val="22"/>
          <w:szCs w:val="22"/>
          <w:lang w:val="en-GB"/>
        </w:rPr>
        <w:t xml:space="preserve"> has set a uniform additional capital requirement for such credit institutions, and also for credit institutions that use a model, regarding which the </w:t>
      </w:r>
      <w:proofErr w:type="spellStart"/>
      <w:r w:rsidRPr="00022984">
        <w:rPr>
          <w:color w:val="auto"/>
          <w:sz w:val="22"/>
          <w:szCs w:val="22"/>
          <w:lang w:val="en-GB"/>
        </w:rPr>
        <w:t>MNB</w:t>
      </w:r>
      <w:proofErr w:type="spellEnd"/>
      <w:r w:rsidRPr="00022984">
        <w:rPr>
          <w:color w:val="auto"/>
          <w:sz w:val="22"/>
          <w:szCs w:val="22"/>
          <w:lang w:val="en-GB"/>
        </w:rPr>
        <w:t xml:space="preserve"> has not accepted the internal model-based capital requirement calculation under Pillar 2. </w:t>
      </w:r>
    </w:p>
    <w:p w14:paraId="59030347"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Further, if the institution grants loans to finance repossessed real estate to entities falling outside the scope of consolidated supervision (third parties), with the aim of directly supporting the purchase of real estate underlying problematic transactions, in such a way that it does not appear on the institution’s own or consolidated balance sheet, the additional capital requirement also applies.</w:t>
      </w:r>
    </w:p>
    <w:p w14:paraId="59030348" w14:textId="77777777" w:rsidR="00DB3BC3" w:rsidRPr="00022984" w:rsidRDefault="00DB3BC3" w:rsidP="00D933F4">
      <w:pPr>
        <w:pStyle w:val="Default"/>
        <w:spacing w:after="120"/>
        <w:jc w:val="both"/>
        <w:rPr>
          <w:color w:val="auto"/>
          <w:sz w:val="22"/>
          <w:szCs w:val="22"/>
          <w:lang w:val="en-GB"/>
        </w:rPr>
      </w:pPr>
      <w:r w:rsidRPr="00022984">
        <w:rPr>
          <w:b/>
          <w:bCs/>
          <w:color w:val="auto"/>
          <w:sz w:val="22"/>
          <w:szCs w:val="22"/>
          <w:lang w:val="en-GB"/>
        </w:rPr>
        <w:t xml:space="preserve">The additional capital requirement set: </w:t>
      </w:r>
      <w:r w:rsidRPr="00022984">
        <w:rPr>
          <w:color w:val="auto"/>
          <w:sz w:val="22"/>
          <w:szCs w:val="22"/>
          <w:lang w:val="en-GB"/>
        </w:rPr>
        <w:t>The additional capital required for a repossessed real estate portfolio is 100 percent of the Pillar 1 capital requirement.</w:t>
      </w:r>
    </w:p>
    <w:p w14:paraId="59030349" w14:textId="77777777" w:rsidR="00DB3BC3" w:rsidRPr="00022984" w:rsidRDefault="00DB3BC3" w:rsidP="00D933F4">
      <w:pPr>
        <w:pStyle w:val="Default"/>
        <w:spacing w:after="120"/>
        <w:jc w:val="both"/>
        <w:rPr>
          <w:color w:val="auto"/>
          <w:sz w:val="22"/>
          <w:szCs w:val="22"/>
          <w:lang w:val="en-GB"/>
        </w:rPr>
      </w:pPr>
      <w:r w:rsidRPr="00022984">
        <w:rPr>
          <w:sz w:val="22"/>
          <w:szCs w:val="22"/>
          <w:lang w:val="en-GB"/>
        </w:rPr>
        <w:t xml:space="preserve">For loans granted to entities falling outside the scope of consolidated supervision </w:t>
      </w:r>
      <w:r w:rsidRPr="00022984">
        <w:rPr>
          <w:color w:val="auto"/>
          <w:sz w:val="22"/>
          <w:szCs w:val="22"/>
          <w:lang w:val="en-GB"/>
        </w:rPr>
        <w:t>to finance repossessed real estate, the additional capital requirement is also 100 percent of the Pillar 1 capital requirement.</w:t>
      </w:r>
    </w:p>
    <w:p w14:paraId="5903034A" w14:textId="77777777" w:rsidR="00DB3BC3" w:rsidRPr="00022984" w:rsidRDefault="00DB3BC3" w:rsidP="00D933F4">
      <w:pPr>
        <w:pStyle w:val="Default"/>
        <w:spacing w:after="120"/>
        <w:jc w:val="both"/>
        <w:rPr>
          <w:color w:val="auto"/>
          <w:sz w:val="22"/>
          <w:szCs w:val="22"/>
          <w:lang w:val="en-GB"/>
        </w:rPr>
      </w:pPr>
      <w:r w:rsidRPr="00022984">
        <w:rPr>
          <w:color w:val="auto"/>
          <w:sz w:val="22"/>
          <w:szCs w:val="22"/>
          <w:lang w:val="en-GB"/>
        </w:rPr>
        <w:t xml:space="preserve">If there is a significant concentration of repossessed real estate (e.g. relative to the own funds), the </w:t>
      </w:r>
      <w:proofErr w:type="spellStart"/>
      <w:r w:rsidRPr="00022984">
        <w:rPr>
          <w:color w:val="auto"/>
          <w:sz w:val="22"/>
          <w:szCs w:val="22"/>
          <w:lang w:val="en-GB"/>
        </w:rPr>
        <w:t>MNB</w:t>
      </w:r>
      <w:proofErr w:type="spellEnd"/>
      <w:r w:rsidRPr="00022984">
        <w:rPr>
          <w:color w:val="auto"/>
          <w:sz w:val="22"/>
          <w:szCs w:val="22"/>
          <w:lang w:val="en-GB"/>
        </w:rPr>
        <w:t xml:space="preserve"> may deem it necessary to impose further additional capital requirements, in addition to those described above. </w:t>
      </w:r>
    </w:p>
    <w:p w14:paraId="5903034B" w14:textId="77777777" w:rsidR="00DB3BC3" w:rsidRPr="00022984" w:rsidRDefault="00DB3BC3" w:rsidP="00D933F4">
      <w:pPr>
        <w:pStyle w:val="Default"/>
        <w:spacing w:after="120"/>
        <w:jc w:val="both"/>
        <w:rPr>
          <w:b/>
          <w:bCs/>
          <w:color w:val="auto"/>
          <w:sz w:val="22"/>
          <w:szCs w:val="22"/>
          <w:lang w:val="en-GB"/>
        </w:rPr>
      </w:pPr>
      <w:r w:rsidRPr="00022984">
        <w:rPr>
          <w:b/>
          <w:bCs/>
          <w:color w:val="auto"/>
          <w:sz w:val="22"/>
          <w:szCs w:val="22"/>
          <w:lang w:val="en-GB"/>
        </w:rPr>
        <w:lastRenderedPageBreak/>
        <w:t>7.</w:t>
      </w:r>
      <w:r w:rsidRPr="00022984">
        <w:rPr>
          <w:color w:val="auto"/>
          <w:sz w:val="22"/>
          <w:szCs w:val="22"/>
          <w:lang w:val="en-GB"/>
        </w:rPr>
        <w:t xml:space="preserve"> </w:t>
      </w:r>
      <w:r w:rsidRPr="00022984">
        <w:rPr>
          <w:b/>
          <w:bCs/>
          <w:sz w:val="22"/>
          <w:szCs w:val="22"/>
          <w:lang w:val="en-GB"/>
        </w:rPr>
        <w:t>Unsecured exposures to the parent company and its controlled subsidiaries outside Hungary</w:t>
      </w:r>
    </w:p>
    <w:p w14:paraId="5903034C" w14:textId="77777777" w:rsidR="00DB3BC3" w:rsidRPr="00022984" w:rsidRDefault="00DB3BC3" w:rsidP="007B1F1B">
      <w:pPr>
        <w:pStyle w:val="Default"/>
        <w:spacing w:after="120"/>
        <w:jc w:val="both"/>
        <w:rPr>
          <w:color w:val="auto"/>
          <w:sz w:val="22"/>
          <w:szCs w:val="22"/>
          <w:lang w:val="en-GB"/>
        </w:rPr>
      </w:pPr>
      <w:r w:rsidRPr="00022984">
        <w:rPr>
          <w:color w:val="auto"/>
          <w:sz w:val="22"/>
          <w:szCs w:val="22"/>
          <w:lang w:val="en-GB"/>
        </w:rPr>
        <w:t>In 2022, the war situation and the related sanctions highlighted the risk that Hungarian banks forming part of an international banking group, despite having adequate liquidity and capital from a regulatory perspective, may also find themselves in a strained liquidity situation within a short period of time, due to the spillover effects of the difficulties of their parent bank and other members of their banking group.</w:t>
      </w:r>
    </w:p>
    <w:p w14:paraId="5903034D" w14:textId="77777777" w:rsidR="00DB3BC3" w:rsidRPr="00022984" w:rsidRDefault="00DB3BC3" w:rsidP="007B1F1B">
      <w:pPr>
        <w:pStyle w:val="Default"/>
        <w:spacing w:after="120"/>
        <w:jc w:val="both"/>
        <w:rPr>
          <w:color w:val="auto"/>
          <w:sz w:val="22"/>
          <w:szCs w:val="22"/>
          <w:lang w:val="en-GB"/>
        </w:rPr>
      </w:pPr>
      <w:r w:rsidRPr="00022984">
        <w:rPr>
          <w:color w:val="auto"/>
          <w:sz w:val="22"/>
          <w:szCs w:val="22"/>
          <w:lang w:val="en-GB"/>
        </w:rPr>
        <w:t xml:space="preserve">As such risks are not adequately addressed by the current minimum regulatory requirements trying to limit large exposures, the </w:t>
      </w:r>
      <w:proofErr w:type="spellStart"/>
      <w:r w:rsidRPr="00022984">
        <w:rPr>
          <w:color w:val="auto"/>
          <w:sz w:val="22"/>
          <w:szCs w:val="22"/>
          <w:lang w:val="en-GB"/>
        </w:rPr>
        <w:t>MNB</w:t>
      </w:r>
      <w:proofErr w:type="spellEnd"/>
      <w:r w:rsidRPr="00022984">
        <w:rPr>
          <w:color w:val="auto"/>
          <w:sz w:val="22"/>
          <w:szCs w:val="22"/>
          <w:lang w:val="en-GB"/>
        </w:rPr>
        <w:t xml:space="preserve"> requires the related institutions to ensure that the total amount of their unsecured exposures to their parent company and its controlled subsidiaries outside Hungary do not exceed 25 percent of their current sub-consolidated own funds. </w:t>
      </w:r>
    </w:p>
    <w:p w14:paraId="5903034E" w14:textId="5B5ACA5C" w:rsidR="00DB3BC3" w:rsidRPr="00022984" w:rsidRDefault="00DB3BC3" w:rsidP="00A16825">
      <w:pPr>
        <w:pStyle w:val="Default"/>
        <w:spacing w:after="120"/>
        <w:jc w:val="both"/>
        <w:rPr>
          <w:color w:val="auto"/>
          <w:sz w:val="22"/>
          <w:szCs w:val="22"/>
          <w:lang w:val="en-GB"/>
        </w:rPr>
      </w:pPr>
      <w:bookmarkStart w:id="4" w:name="_Hlk104891568"/>
      <w:r w:rsidRPr="00022984">
        <w:rPr>
          <w:color w:val="auto"/>
          <w:sz w:val="22"/>
          <w:szCs w:val="22"/>
          <w:lang w:val="en-GB"/>
        </w:rPr>
        <w:t xml:space="preserve">Exposure means debt instruments shown on the balance sheet. This does not apply to maximum 1-day account balances related to payment services, and other items that are not subject to the large exposure rules (Article 390 of the CRR). The credit risk mitigation techniques generally recognised and applied for large exposures (Article 399 of the CRR) are automatically accepted by the </w:t>
      </w:r>
      <w:proofErr w:type="spellStart"/>
      <w:r w:rsidRPr="00022984">
        <w:rPr>
          <w:color w:val="auto"/>
          <w:sz w:val="22"/>
          <w:szCs w:val="22"/>
          <w:lang w:val="en-GB"/>
        </w:rPr>
        <w:t>MNB</w:t>
      </w:r>
      <w:proofErr w:type="spellEnd"/>
      <w:r w:rsidRPr="00022984">
        <w:rPr>
          <w:color w:val="auto"/>
          <w:sz w:val="22"/>
          <w:szCs w:val="22"/>
          <w:lang w:val="en-GB"/>
        </w:rPr>
        <w:t xml:space="preserve"> as collateral.</w:t>
      </w:r>
    </w:p>
    <w:bookmarkEnd w:id="4"/>
    <w:p w14:paraId="5903034F" w14:textId="446EFA4E" w:rsidR="00DB3BC3" w:rsidRPr="00022984" w:rsidRDefault="00DB3BC3" w:rsidP="007B1F1B">
      <w:pPr>
        <w:pStyle w:val="Default"/>
        <w:spacing w:after="120"/>
        <w:jc w:val="both"/>
        <w:rPr>
          <w:color w:val="auto"/>
          <w:sz w:val="22"/>
          <w:szCs w:val="22"/>
          <w:lang w:val="en-GB"/>
        </w:rPr>
      </w:pPr>
      <w:r w:rsidRPr="00022984">
        <w:rPr>
          <w:color w:val="auto"/>
          <w:sz w:val="22"/>
          <w:szCs w:val="22"/>
          <w:lang w:val="en-GB"/>
        </w:rPr>
        <w:t xml:space="preserve">If such exposures exceed 25 percent of the institution’s sub-consolidated own funds (at the Hungarian level) (Limit), then in calculating the Pillar 2 capital requirement, the given institution must generate additional capital for the portion exceeding the Limit within the high-risk portfolios, at a rate of 45 percent of the exposure. The 45-percent ratio was determined based on Article 161 of the CRR on unfunded credit protection statutory </w:t>
      </w:r>
      <w:proofErr w:type="spellStart"/>
      <w:r w:rsidRPr="00022984">
        <w:rPr>
          <w:color w:val="auto"/>
          <w:sz w:val="22"/>
          <w:szCs w:val="22"/>
          <w:lang w:val="en-GB"/>
        </w:rPr>
        <w:t>LGD</w:t>
      </w:r>
      <w:proofErr w:type="spellEnd"/>
      <w:r w:rsidRPr="00022984">
        <w:rPr>
          <w:color w:val="auto"/>
          <w:sz w:val="22"/>
          <w:szCs w:val="22"/>
          <w:lang w:val="en-GB"/>
        </w:rPr>
        <w:t xml:space="preserve">. </w:t>
      </w:r>
    </w:p>
    <w:p w14:paraId="59030350" w14:textId="3A2CDED4" w:rsidR="00DB3BC3" w:rsidRPr="00022984" w:rsidRDefault="00DB3BC3" w:rsidP="00D933F4">
      <w:pPr>
        <w:pStyle w:val="Default"/>
        <w:spacing w:after="120"/>
        <w:jc w:val="both"/>
        <w:rPr>
          <w:color w:val="auto"/>
          <w:sz w:val="22"/>
          <w:szCs w:val="22"/>
          <w:lang w:val="en-GB"/>
        </w:rPr>
      </w:pPr>
      <w:r w:rsidRPr="00022984">
        <w:rPr>
          <w:b/>
          <w:bCs/>
          <w:color w:val="auto"/>
          <w:sz w:val="22"/>
          <w:szCs w:val="22"/>
          <w:lang w:val="en-GB"/>
        </w:rPr>
        <w:t>The additional capital requirement set:</w:t>
      </w:r>
      <w:r w:rsidRPr="00022984">
        <w:rPr>
          <w:color w:val="auto"/>
          <w:sz w:val="22"/>
          <w:szCs w:val="22"/>
          <w:lang w:val="en-GB"/>
        </w:rPr>
        <w:t xml:space="preserve"> In calculating the Pillar 2 capital requirement, within the high-risk portfolios, the given institution must provide additional capital for the exposure corresponding to the arithmetic mean of the highest limit overruns for the given quarter and the preceding 3 quarters, at a ratio of 45 percent of the given exposure, which means applying a risk weight of 1,250 percent * 45 percent = 562.5 percent. </w:t>
      </w:r>
    </w:p>
    <w:p w14:paraId="59030351" w14:textId="77777777" w:rsidR="00DB3BC3" w:rsidRPr="00022984" w:rsidRDefault="00DB3BC3" w:rsidP="00D933F4">
      <w:pPr>
        <w:pStyle w:val="Default"/>
        <w:spacing w:after="120"/>
        <w:jc w:val="both"/>
        <w:rPr>
          <w:color w:val="auto"/>
          <w:sz w:val="22"/>
          <w:szCs w:val="22"/>
          <w:lang w:val="en-GB"/>
        </w:rPr>
      </w:pPr>
    </w:p>
    <w:sectPr w:rsidR="00DB3BC3" w:rsidRPr="00022984" w:rsidSect="00F8511D">
      <w:headerReference w:type="default" r:id="rId8"/>
      <w:footerReference w:type="default" r:id="rId9"/>
      <w:footnotePr>
        <w:pos w:val="beneathText"/>
      </w:footnotePr>
      <w:pgSz w:w="11907" w:h="16840" w:code="9"/>
      <w:pgMar w:top="1276" w:right="1418" w:bottom="1134"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2026" w14:textId="77777777" w:rsidR="009C6377" w:rsidRDefault="009C6377">
      <w:pPr>
        <w:spacing w:after="0" w:line="240" w:lineRule="auto"/>
      </w:pPr>
      <w:r>
        <w:separator/>
      </w:r>
    </w:p>
  </w:endnote>
  <w:endnote w:type="continuationSeparator" w:id="0">
    <w:p w14:paraId="2535287D" w14:textId="77777777" w:rsidR="009C6377" w:rsidRDefault="009C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swiss"/>
    <w:notTrueType/>
    <w:pitch w:val="default"/>
    <w:sig w:usb0="00000005" w:usb1="00000000" w:usb2="00000000" w:usb3="00000000" w:csb0="00000002"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0356" w14:textId="77777777" w:rsidR="00DB3BC3" w:rsidRPr="00022984" w:rsidRDefault="00DB3BC3">
    <w:pPr>
      <w:pStyle w:val="llb"/>
      <w:jc w:val="center"/>
      <w:rPr>
        <w:lang w:val="en-GB"/>
      </w:rPr>
    </w:pPr>
    <w:r w:rsidRPr="00022984">
      <w:rPr>
        <w:lang w:val="en-GB"/>
      </w:rPr>
      <w:fldChar w:fldCharType="begin"/>
    </w:r>
    <w:r w:rsidRPr="00022984">
      <w:rPr>
        <w:lang w:val="en-GB"/>
      </w:rPr>
      <w:instrText xml:space="preserve"> PAGE   \* MERGEFORMAT </w:instrText>
    </w:r>
    <w:r w:rsidRPr="00022984">
      <w:rPr>
        <w:lang w:val="en-GB"/>
      </w:rPr>
      <w:fldChar w:fldCharType="separate"/>
    </w:r>
    <w:r w:rsidRPr="00022984">
      <w:rPr>
        <w:noProof/>
        <w:lang w:val="en-GB"/>
      </w:rPr>
      <w:t>4</w:t>
    </w:r>
    <w:r w:rsidRPr="00022984">
      <w:rPr>
        <w:noProof/>
        <w:lang w:val="en-GB"/>
      </w:rPr>
      <w:fldChar w:fldCharType="end"/>
    </w:r>
  </w:p>
  <w:p w14:paraId="59030357" w14:textId="77777777" w:rsidR="00DB3BC3" w:rsidRPr="00022984" w:rsidRDefault="00DB3BC3" w:rsidP="00AC6950">
    <w:pPr>
      <w:tabs>
        <w:tab w:val="left" w:pos="8460"/>
      </w:tabs>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BC33" w14:textId="77777777" w:rsidR="009C6377" w:rsidRDefault="009C6377">
      <w:r>
        <w:separator/>
      </w:r>
    </w:p>
  </w:footnote>
  <w:footnote w:type="continuationSeparator" w:id="0">
    <w:p w14:paraId="1A7A2DB8" w14:textId="77777777" w:rsidR="009C6377" w:rsidRDefault="009C6377">
      <w:r>
        <w:continuationSeparator/>
      </w:r>
    </w:p>
  </w:footnote>
  <w:footnote w:type="continuationNotice" w:id="1">
    <w:p w14:paraId="057B24FD" w14:textId="77777777" w:rsidR="009C6377" w:rsidRDefault="009C6377">
      <w:pPr>
        <w:spacing w:after="0" w:line="240" w:lineRule="auto"/>
      </w:pPr>
    </w:p>
  </w:footnote>
  <w:footnote w:id="2">
    <w:p w14:paraId="59030359" w14:textId="77777777" w:rsidR="00DB3BC3" w:rsidRPr="00022984" w:rsidRDefault="00DB3BC3" w:rsidP="00460C0D">
      <w:pPr>
        <w:pStyle w:val="Lbjegyzetszveg"/>
        <w:spacing w:after="0" w:line="240" w:lineRule="auto"/>
        <w:rPr>
          <w:color w:val="auto"/>
          <w:szCs w:val="16"/>
          <w:lang w:val="en-GB"/>
        </w:rPr>
      </w:pPr>
      <w:r w:rsidRPr="00022984">
        <w:rPr>
          <w:rStyle w:val="Lbjegyzet-hivatkozs"/>
          <w:color w:val="auto"/>
          <w:szCs w:val="16"/>
          <w:lang w:val="en-GB"/>
        </w:rPr>
        <w:footnoteRef/>
      </w:r>
      <w:r w:rsidRPr="00022984">
        <w:rPr>
          <w:rFonts w:ascii="Times New Roman" w:hAnsi="Times New Roman"/>
          <w:color w:val="auto"/>
          <w:szCs w:val="16"/>
          <w:lang w:val="en-GB"/>
        </w:rPr>
        <w:t xml:space="preserve"> </w:t>
      </w:r>
      <w:r w:rsidRPr="00022984">
        <w:rPr>
          <w:color w:val="auto"/>
          <w:szCs w:val="16"/>
          <w:lang w:val="en-GB"/>
        </w:rPr>
        <w:t>Article 97: Supervisory review and evaluation</w:t>
      </w:r>
    </w:p>
    <w:p w14:paraId="5903035A" w14:textId="77777777" w:rsidR="00DB3BC3" w:rsidRPr="00022984" w:rsidRDefault="00DB3BC3" w:rsidP="00460C0D">
      <w:pPr>
        <w:pStyle w:val="Lbjegyzetszveg"/>
        <w:spacing w:after="0" w:line="240" w:lineRule="auto"/>
        <w:rPr>
          <w:rFonts w:ascii="Times New Roman" w:hAnsi="Times New Roman"/>
          <w:color w:val="auto"/>
          <w:szCs w:val="16"/>
          <w:lang w:val="en-GB"/>
        </w:rPr>
      </w:pPr>
      <w:r w:rsidRPr="00022984">
        <w:rPr>
          <w:color w:val="auto"/>
          <w:szCs w:val="16"/>
          <w:lang w:val="en-GB"/>
        </w:rPr>
        <w:t xml:space="preserve">(4a) Competent authorities may tailor the methodologies for the application of the review and evaluation referred to in paragraph (1) of this Article to take into account institutions with a similar risk profile, such as similar business models or geographical location of exposures. Such tailored methodologies may include risk-oriented benchmarks and quantitative indicators, shall allow for due consideration of the specific risks that each institution may be exposed to, and shall not affect the institution-specific nature of measures imposed in accordance with Article 104. </w:t>
      </w:r>
    </w:p>
  </w:footnote>
  <w:footnote w:id="3">
    <w:p w14:paraId="59030358" w14:textId="77777777" w:rsidR="00DB3BC3" w:rsidRPr="00022984" w:rsidRDefault="00DB3BC3" w:rsidP="00460C0D">
      <w:pPr>
        <w:pStyle w:val="doc-ti"/>
        <w:spacing w:before="0" w:after="0"/>
        <w:jc w:val="both"/>
        <w:rPr>
          <w:rFonts w:ascii="Calibri" w:hAnsi="Calibri"/>
          <w:b w:val="0"/>
          <w:sz w:val="16"/>
          <w:szCs w:val="16"/>
          <w:lang w:val="en-GB"/>
        </w:rPr>
      </w:pPr>
      <w:r w:rsidRPr="00022984">
        <w:rPr>
          <w:rStyle w:val="Lbjegyzet-hivatkozs"/>
          <w:rFonts w:ascii="Calibri" w:hAnsi="Calibri"/>
          <w:b w:val="0"/>
          <w:bCs w:val="0"/>
          <w:sz w:val="16"/>
          <w:szCs w:val="16"/>
          <w:lang w:val="en-GB"/>
        </w:rPr>
        <w:footnoteRef/>
      </w:r>
      <w:r w:rsidRPr="00022984">
        <w:rPr>
          <w:rFonts w:ascii="Calibri" w:hAnsi="Calibri"/>
          <w:b w:val="0"/>
          <w:bCs w:val="0"/>
          <w:sz w:val="16"/>
          <w:szCs w:val="16"/>
          <w:vertAlign w:val="superscript"/>
          <w:lang w:val="en-GB"/>
        </w:rPr>
        <w:t xml:space="preserve"> </w:t>
      </w:r>
      <w:r w:rsidRPr="00022984">
        <w:rPr>
          <w:rFonts w:ascii="Calibri" w:hAnsi="Calibri"/>
          <w:b w:val="0"/>
          <w:bCs w:val="0"/>
          <w:color w:val="000000"/>
          <w:sz w:val="16"/>
          <w:szCs w:val="16"/>
          <w:lang w:val="en-GB"/>
        </w:rPr>
        <w:t>Directive (EU) 2019/878 of the European Parliament and of the</w:t>
      </w:r>
      <w:r w:rsidRPr="00022984">
        <w:rPr>
          <w:rFonts w:ascii="Calibri" w:hAnsi="Calibri"/>
          <w:b w:val="0"/>
          <w:bCs w:val="0"/>
          <w:color w:val="000000"/>
          <w:sz w:val="16"/>
          <w:szCs w:val="16"/>
          <w:lang w:val="en-GB"/>
        </w:rPr>
        <w:t xml:space="preserve"> Council amending Directive 2013/36/EU as regards exempted entities, financial holding companies, mixed financial holding companies, remuneration, supervisory measures and powers and capital conservation measures</w:t>
      </w:r>
    </w:p>
  </w:footnote>
  <w:footnote w:id="4">
    <w:p w14:paraId="5903035B" w14:textId="77777777" w:rsidR="00DB3BC3" w:rsidRPr="00022984" w:rsidRDefault="00DB3BC3" w:rsidP="00460C0D">
      <w:pPr>
        <w:pStyle w:val="Lbjegyzetszveg"/>
        <w:spacing w:after="0" w:line="240" w:lineRule="auto"/>
        <w:rPr>
          <w:color w:val="auto"/>
          <w:szCs w:val="16"/>
          <w:lang w:val="en-GB"/>
        </w:rPr>
      </w:pPr>
      <w:r w:rsidRPr="00022984">
        <w:rPr>
          <w:rStyle w:val="Lbjegyzet-hivatkozs"/>
          <w:color w:val="auto"/>
          <w:szCs w:val="16"/>
          <w:lang w:val="en-GB"/>
        </w:rPr>
        <w:footnoteRef/>
      </w:r>
      <w:r w:rsidRPr="00022984">
        <w:rPr>
          <w:color w:val="auto"/>
          <w:szCs w:val="16"/>
          <w:lang w:val="en-GB"/>
        </w:rPr>
        <w:t xml:space="preserve"> According to Commission Interpretative Communication 97/209/6, the following objectives are recognised as imperative reasons in the general good interest: “Protection of the recipients of services, protection of workers, including social protection, consumer protection, preservation of the good reputation of the national financial sector, protection of social order, protection of intellectual property, cultural policy, preservation of the national historical and artistic heritage, cohesion of the tax system, protection of road safety, protection of creditors, protection of the proper administration of justice and the prevention of fraud.” </w:t>
      </w:r>
    </w:p>
  </w:footnote>
  <w:footnote w:id="5">
    <w:p w14:paraId="5903035C" w14:textId="77777777" w:rsidR="00DB3BC3" w:rsidRPr="00022984" w:rsidRDefault="00DB3BC3" w:rsidP="00BB732C">
      <w:pPr>
        <w:pStyle w:val="Lbjegyzetszveg"/>
        <w:rPr>
          <w:lang w:val="en-GB"/>
        </w:rPr>
      </w:pPr>
      <w:r w:rsidRPr="00022984">
        <w:rPr>
          <w:rStyle w:val="Lbjegyzet-hivatkozs"/>
          <w:lang w:val="en-GB"/>
        </w:rPr>
        <w:footnoteRef/>
      </w:r>
      <w:r w:rsidRPr="00022984">
        <w:rPr>
          <w:lang w:val="en-GB"/>
        </w:rPr>
        <w:t xml:space="preserve"> Government Decree No. 44/2019 (III. 12.) on childbirth incentive support</w:t>
      </w:r>
    </w:p>
  </w:footnote>
  <w:footnote w:id="6">
    <w:p w14:paraId="5903035D" w14:textId="77777777" w:rsidR="00DB3BC3" w:rsidRPr="00022984" w:rsidRDefault="00DB3BC3" w:rsidP="000362E4">
      <w:pPr>
        <w:pStyle w:val="Lbjegyzetszveg"/>
        <w:spacing w:after="0"/>
        <w:rPr>
          <w:color w:val="000000" w:themeColor="text1"/>
          <w:lang w:val="en-GB"/>
        </w:rPr>
      </w:pPr>
      <w:r w:rsidRPr="00022984">
        <w:rPr>
          <w:rStyle w:val="Lbjegyzet-hivatkozs"/>
          <w:color w:val="000000" w:themeColor="text1"/>
          <w:lang w:val="en-GB"/>
        </w:rPr>
        <w:footnoteRef/>
      </w:r>
      <w:r w:rsidRPr="00022984">
        <w:rPr>
          <w:color w:val="000000" w:themeColor="text1"/>
          <w:lang w:val="en-GB"/>
        </w:rPr>
        <w:t xml:space="preserve"> the ratio must be examined at the time of disbursement or when amending the contract; normal depreciation shall be disregarded</w:t>
      </w:r>
    </w:p>
  </w:footnote>
  <w:footnote w:id="7">
    <w:p w14:paraId="5903035E" w14:textId="77777777" w:rsidR="00DB3BC3" w:rsidRPr="00022984" w:rsidRDefault="00DB3BC3">
      <w:pPr>
        <w:pStyle w:val="Lbjegyzetszveg"/>
        <w:rPr>
          <w:lang w:val="en-GB"/>
        </w:rPr>
      </w:pPr>
      <w:r w:rsidRPr="00022984">
        <w:rPr>
          <w:rStyle w:val="Lbjegyzet-hivatkozs"/>
          <w:lang w:val="en-GB"/>
        </w:rPr>
        <w:footnoteRef/>
      </w:r>
      <w:r w:rsidRPr="00022984">
        <w:rPr>
          <w:lang w:val="en-GB"/>
        </w:rPr>
        <w:t xml:space="preserve"> https://njt.hu/jogszabaly/2022-51-20-2C.0#SZ3@BE2</w:t>
      </w:r>
    </w:p>
  </w:footnote>
  <w:footnote w:id="8">
    <w:p w14:paraId="5903035F" w14:textId="77777777" w:rsidR="00DB3BC3" w:rsidRPr="00022984" w:rsidRDefault="00DB3BC3" w:rsidP="005D705C">
      <w:pPr>
        <w:pStyle w:val="Lbjegyzetszveg"/>
        <w:rPr>
          <w:lang w:val="en-GB"/>
        </w:rPr>
      </w:pPr>
      <w:r w:rsidRPr="00022984">
        <w:rPr>
          <w:rStyle w:val="Lbjegyzet-hivatkozs"/>
          <w:lang w:val="en-GB"/>
        </w:rPr>
        <w:footnoteRef/>
      </w:r>
      <w:r w:rsidRPr="00022984">
        <w:rPr>
          <w:lang w:val="en-GB"/>
        </w:rPr>
        <w:t xml:space="preserve"> https://www.mnb.hu/letoltes/file.pdf</w:t>
      </w:r>
    </w:p>
  </w:footnote>
  <w:footnote w:id="9">
    <w:p w14:paraId="59030360" w14:textId="77777777" w:rsidR="00DB3BC3" w:rsidRPr="00022984" w:rsidRDefault="00DB3BC3" w:rsidP="000362E4">
      <w:pPr>
        <w:pStyle w:val="Lbjegyzetszveg"/>
        <w:spacing w:after="0"/>
        <w:rPr>
          <w:lang w:val="en-GB"/>
        </w:rPr>
      </w:pPr>
      <w:r w:rsidRPr="00022984">
        <w:rPr>
          <w:rStyle w:val="Lbjegyzet-hivatkozs"/>
          <w:color w:val="000000" w:themeColor="text1"/>
          <w:lang w:val="en-GB"/>
        </w:rPr>
        <w:footnoteRef/>
      </w:r>
      <w:r w:rsidRPr="00022984">
        <w:rPr>
          <w:color w:val="000000" w:themeColor="text1"/>
          <w:lang w:val="en-GB"/>
        </w:rPr>
        <w:t xml:space="preserve"> In accordance with MNB Recommendation No. 1/2021 (I.27.), a project loan for residential property development means a real estate financing project loan, where the return is expected to come in whole or in part from the sale of the completed apartments, registered in the land register as apartments.</w:t>
      </w:r>
    </w:p>
  </w:footnote>
  <w:footnote w:id="10">
    <w:p w14:paraId="59030362" w14:textId="77777777" w:rsidR="00DB3BC3" w:rsidRPr="00022984" w:rsidRDefault="00DB3BC3" w:rsidP="00E258F2">
      <w:pPr>
        <w:pStyle w:val="Lbjegyzetszveg"/>
        <w:spacing w:after="0" w:line="240" w:lineRule="auto"/>
        <w:rPr>
          <w:color w:val="000000"/>
          <w:szCs w:val="16"/>
          <w:lang w:val="en-GB"/>
        </w:rPr>
      </w:pPr>
      <w:r w:rsidRPr="00022984">
        <w:rPr>
          <w:rStyle w:val="Lbjegyzet-hivatkozs"/>
          <w:color w:val="000000"/>
          <w:lang w:val="en-GB"/>
        </w:rPr>
        <w:footnoteRef/>
      </w:r>
      <w:r w:rsidRPr="00022984">
        <w:rPr>
          <w:color w:val="000000"/>
          <w:lang w:val="en-GB"/>
        </w:rPr>
        <w:t xml:space="preserve"> </w:t>
      </w:r>
      <w:hyperlink r:id="rId1" w:history="1">
        <w:r w:rsidRPr="00022984">
          <w:rPr>
            <w:rStyle w:val="Hiperhivatkozs"/>
            <w:color w:val="000000"/>
            <w:u w:val="none"/>
            <w:lang w:val="en-GB"/>
          </w:rPr>
          <w:t>Recommendation of the European Systemic Risk Board (21 September 2011) on lending in foreign currencies (ESRB/2011/1)</w:t>
        </w:r>
      </w:hyperlink>
      <w:r w:rsidRPr="00022984">
        <w:rPr>
          <w:color w:val="000000"/>
          <w:lang w:val="en-GB"/>
        </w:rPr>
        <w:t xml:space="preserve"> and </w:t>
      </w:r>
      <w:hyperlink r:id="rId2" w:history="1">
        <w:r w:rsidRPr="00022984">
          <w:rPr>
            <w:rStyle w:val="Hiperhivatkozs"/>
            <w:color w:val="000000"/>
            <w:u w:val="none"/>
            <w:lang w:val="en-GB"/>
          </w:rPr>
          <w:t>http://www.eba.europa.eu/documents/10180/655339/EBA_2014_00040000_HU.pdf/16205104-550a-4183-9155-c803a86bbce9</w:t>
        </w:r>
      </w:hyperlink>
      <w:r w:rsidRPr="00022984">
        <w:rPr>
          <w:color w:val="000000"/>
          <w:lang w:val="en-GB"/>
        </w:rPr>
        <w:t xml:space="preserve">. </w:t>
      </w:r>
    </w:p>
  </w:footnote>
  <w:footnote w:id="11">
    <w:p w14:paraId="59030363" w14:textId="77777777" w:rsidR="00DB3BC3" w:rsidRPr="00022984" w:rsidRDefault="00DB3BC3" w:rsidP="008B2C00">
      <w:pPr>
        <w:autoSpaceDE w:val="0"/>
        <w:autoSpaceDN w:val="0"/>
        <w:adjustRightInd w:val="0"/>
        <w:spacing w:after="0" w:line="240" w:lineRule="auto"/>
        <w:rPr>
          <w:lang w:val="en-GB"/>
        </w:rPr>
      </w:pPr>
      <w:r w:rsidRPr="00022984">
        <w:rPr>
          <w:rStyle w:val="Lbjegyzet-hivatkozs"/>
          <w:rFonts w:eastAsia="Times New Roman"/>
          <w:color w:val="1F497D"/>
          <w:sz w:val="16"/>
          <w:lang w:val="en-GB"/>
        </w:rPr>
        <w:footnoteRef/>
      </w:r>
      <w:r w:rsidRPr="00022984">
        <w:rPr>
          <w:rFonts w:cs="ArialMT"/>
          <w:sz w:val="16"/>
          <w:szCs w:val="16"/>
          <w:lang w:val="en-GB"/>
        </w:rPr>
        <w:t>“Unsecured borrower”: a borrower who is exposed to a risk as the currency of the loan and the currency of the collateral are different, and who did not provide a natural or financial hedge. Natural hedge includes, in particular, cases where the borrower has foreign currency income (e.g. remittances/export revenues), while financial hedge usually involves a contract with a financial institution;</w:t>
      </w:r>
    </w:p>
  </w:footnote>
  <w:footnote w:id="12">
    <w:p w14:paraId="59030364" w14:textId="77777777" w:rsidR="00DB3BC3" w:rsidRPr="00022984" w:rsidRDefault="00DB3BC3" w:rsidP="00AA5B31">
      <w:pPr>
        <w:pStyle w:val="Lbjegyzetszveg"/>
        <w:spacing w:after="0" w:line="240" w:lineRule="auto"/>
        <w:rPr>
          <w:color w:val="auto"/>
          <w:lang w:val="en-GB"/>
        </w:rPr>
      </w:pPr>
      <w:r w:rsidRPr="00022984">
        <w:rPr>
          <w:rStyle w:val="Lbjegyzet-hivatkozs"/>
          <w:color w:val="auto"/>
          <w:lang w:val="en-GB"/>
        </w:rPr>
        <w:footnoteRef/>
      </w:r>
      <w:r w:rsidRPr="00022984">
        <w:rPr>
          <w:color w:val="auto"/>
          <w:lang w:val="en-GB"/>
        </w:rPr>
        <w:t xml:space="preserve"> The term “restructuring” has the following meaning: until 31.12.2016, it was defined in Government Decree No. 250/2000 (XII. 24.) on the specific annual reporting and bookkeeping obligations of credit institutions and financial enterprises, and from 01.01.2017, it is defined in MNB Decree No. 39/2016. (X.11.) on the prudential requirements for non-performing exposures and restructured claims.</w:t>
      </w:r>
    </w:p>
  </w:footnote>
  <w:footnote w:id="13">
    <w:p w14:paraId="59030365" w14:textId="77777777" w:rsidR="00DB3BC3" w:rsidRPr="00022984" w:rsidRDefault="00DB3BC3" w:rsidP="00921501">
      <w:pPr>
        <w:pStyle w:val="Lbjegyzetszveg"/>
        <w:spacing w:after="0"/>
        <w:rPr>
          <w:lang w:val="en-GB"/>
        </w:rPr>
      </w:pPr>
      <w:r w:rsidRPr="00022984">
        <w:rPr>
          <w:rStyle w:val="Lbjegyzet-hivatkozs"/>
          <w:lang w:val="en-GB"/>
        </w:rPr>
        <w:footnoteRef/>
      </w:r>
      <w:r w:rsidRPr="00022984">
        <w:rPr>
          <w:lang w:val="en-GB"/>
        </w:rPr>
        <w:t xml:space="preserve"> </w:t>
      </w:r>
      <w:r w:rsidRPr="00022984">
        <w:rPr>
          <w:color w:val="auto"/>
          <w:lang w:val="en-GB"/>
        </w:rPr>
        <w:t>until 31.12.2016, it was defined in Government Decree No. 250/2000 (XII. 24.) on the specific annual reporting and bookkeeping obligations of credit institutions and financial enterprises, and from 01.01.2017, it is defined in MNB Decree No. 39/2016. (X.11.) on the prudential requirements for non-performing exposures and restructured claims</w:t>
      </w:r>
      <w:r w:rsidRPr="00022984">
        <w:rPr>
          <w:lang w:val="en-GB"/>
        </w:rPr>
        <w:t xml:space="preserve"> </w:t>
      </w:r>
    </w:p>
  </w:footnote>
  <w:footnote w:id="14">
    <w:p w14:paraId="59030366" w14:textId="77777777" w:rsidR="00DB3BC3" w:rsidRPr="00022984" w:rsidRDefault="00DB3BC3" w:rsidP="00DF5E0E">
      <w:pPr>
        <w:pStyle w:val="Lbjegyzetszveg"/>
        <w:spacing w:after="0"/>
        <w:rPr>
          <w:lang w:val="en-GB"/>
        </w:rPr>
      </w:pPr>
      <w:r w:rsidRPr="00022984">
        <w:rPr>
          <w:color w:val="auto"/>
          <w:lang w:val="en-GB"/>
        </w:rPr>
        <w:footnoteRef/>
      </w:r>
      <w:r w:rsidRPr="00022984">
        <w:rPr>
          <w:color w:val="auto"/>
          <w:lang w:val="en-GB"/>
        </w:rPr>
        <w:t xml:space="preserve"> https://www.mnb.hu/letoltes/moratorium2-gyik-0423-final.pdf</w:t>
      </w:r>
    </w:p>
  </w:footnote>
  <w:footnote w:id="15">
    <w:p w14:paraId="59030367" w14:textId="77777777" w:rsidR="00DB3BC3" w:rsidRPr="00022984" w:rsidRDefault="00DB3BC3" w:rsidP="00921501">
      <w:pPr>
        <w:pStyle w:val="Lbjegyzetszveg"/>
        <w:spacing w:after="0"/>
        <w:rPr>
          <w:color w:val="000000"/>
          <w:lang w:val="en-GB"/>
        </w:rPr>
      </w:pPr>
      <w:r w:rsidRPr="00022984">
        <w:rPr>
          <w:rStyle w:val="Lbjegyzet-hivatkozs"/>
          <w:color w:val="000000"/>
          <w:lang w:val="en-GB"/>
        </w:rPr>
        <w:footnoteRef/>
      </w:r>
      <w:r w:rsidRPr="00022984">
        <w:rPr>
          <w:color w:val="000000"/>
          <w:lang w:val="en-GB"/>
        </w:rPr>
        <w:t xml:space="preserve"> MNB Decree No. 32/2014 (IX. 10.) regulating debt-service-to-income and loan-to-value ratios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0355" w14:textId="77777777" w:rsidR="00DB3BC3" w:rsidRPr="00AC6950" w:rsidRDefault="00DB3BC3"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9EBFA"/>
    <w:multiLevelType w:val="hybridMultilevel"/>
    <w:tmpl w:val="FFFFFFFF"/>
    <w:lvl w:ilvl="0" w:tplc="D0AE5DBE">
      <w:start w:val="1"/>
      <w:numFmt w:val="bullet"/>
      <w:lvlText w:val="•"/>
      <w:lvlJc w:val="left"/>
    </w:lvl>
    <w:lvl w:ilvl="1" w:tplc="DAB4D84A">
      <w:numFmt w:val="decimal"/>
      <w:lvlText w:val=""/>
      <w:lvlJc w:val="left"/>
    </w:lvl>
    <w:lvl w:ilvl="2" w:tplc="34B8EF48">
      <w:numFmt w:val="decimal"/>
      <w:lvlText w:val=""/>
      <w:lvlJc w:val="left"/>
    </w:lvl>
    <w:lvl w:ilvl="3" w:tplc="54965D0C">
      <w:numFmt w:val="decimal"/>
      <w:lvlText w:val=""/>
      <w:lvlJc w:val="left"/>
    </w:lvl>
    <w:lvl w:ilvl="4" w:tplc="EE142870">
      <w:numFmt w:val="decimal"/>
      <w:lvlText w:val=""/>
      <w:lvlJc w:val="left"/>
    </w:lvl>
    <w:lvl w:ilvl="5" w:tplc="B024D5E2">
      <w:numFmt w:val="decimal"/>
      <w:lvlText w:val=""/>
      <w:lvlJc w:val="left"/>
    </w:lvl>
    <w:lvl w:ilvl="6" w:tplc="E77032BC">
      <w:numFmt w:val="decimal"/>
      <w:lvlText w:val=""/>
      <w:lvlJc w:val="left"/>
    </w:lvl>
    <w:lvl w:ilvl="7" w:tplc="B058D76C">
      <w:numFmt w:val="decimal"/>
      <w:lvlText w:val=""/>
      <w:lvlJc w:val="left"/>
    </w:lvl>
    <w:lvl w:ilvl="8" w:tplc="EB9EB71A">
      <w:numFmt w:val="decimal"/>
      <w:lvlText w:val=""/>
      <w:lvlJc w:val="left"/>
    </w:lvl>
  </w:abstractNum>
  <w:abstractNum w:abstractNumId="1" w15:restartNumberingAfterBreak="0">
    <w:nsid w:val="088A478D"/>
    <w:multiLevelType w:val="hybridMultilevel"/>
    <w:tmpl w:val="4E80F422"/>
    <w:lvl w:ilvl="0" w:tplc="A4FE2A56">
      <w:start w:val="1"/>
      <w:numFmt w:val="decimal"/>
      <w:lvlText w:val="%1."/>
      <w:lvlJc w:val="left"/>
      <w:pPr>
        <w:ind w:left="720" w:hanging="360"/>
      </w:pPr>
    </w:lvl>
    <w:lvl w:ilvl="1" w:tplc="8FE48364" w:tentative="1">
      <w:start w:val="1"/>
      <w:numFmt w:val="lowerLetter"/>
      <w:lvlText w:val="%2."/>
      <w:lvlJc w:val="left"/>
      <w:pPr>
        <w:ind w:left="1440" w:hanging="360"/>
      </w:pPr>
    </w:lvl>
    <w:lvl w:ilvl="2" w:tplc="0C9C0096" w:tentative="1">
      <w:start w:val="1"/>
      <w:numFmt w:val="lowerRoman"/>
      <w:lvlText w:val="%3."/>
      <w:lvlJc w:val="right"/>
      <w:pPr>
        <w:ind w:left="2160" w:hanging="180"/>
      </w:pPr>
    </w:lvl>
    <w:lvl w:ilvl="3" w:tplc="DE1C7068" w:tentative="1">
      <w:start w:val="1"/>
      <w:numFmt w:val="decimal"/>
      <w:lvlText w:val="%4."/>
      <w:lvlJc w:val="left"/>
      <w:pPr>
        <w:ind w:left="2880" w:hanging="360"/>
      </w:pPr>
    </w:lvl>
    <w:lvl w:ilvl="4" w:tplc="AC54B05C" w:tentative="1">
      <w:start w:val="1"/>
      <w:numFmt w:val="lowerLetter"/>
      <w:lvlText w:val="%5."/>
      <w:lvlJc w:val="left"/>
      <w:pPr>
        <w:ind w:left="3600" w:hanging="360"/>
      </w:pPr>
    </w:lvl>
    <w:lvl w:ilvl="5" w:tplc="333272C8" w:tentative="1">
      <w:start w:val="1"/>
      <w:numFmt w:val="lowerRoman"/>
      <w:lvlText w:val="%6."/>
      <w:lvlJc w:val="right"/>
      <w:pPr>
        <w:ind w:left="4320" w:hanging="180"/>
      </w:pPr>
    </w:lvl>
    <w:lvl w:ilvl="6" w:tplc="E8BAE528" w:tentative="1">
      <w:start w:val="1"/>
      <w:numFmt w:val="decimal"/>
      <w:lvlText w:val="%7."/>
      <w:lvlJc w:val="left"/>
      <w:pPr>
        <w:ind w:left="5040" w:hanging="360"/>
      </w:pPr>
    </w:lvl>
    <w:lvl w:ilvl="7" w:tplc="C7988786" w:tentative="1">
      <w:start w:val="1"/>
      <w:numFmt w:val="lowerLetter"/>
      <w:lvlText w:val="%8."/>
      <w:lvlJc w:val="left"/>
      <w:pPr>
        <w:ind w:left="5760" w:hanging="360"/>
      </w:pPr>
    </w:lvl>
    <w:lvl w:ilvl="8" w:tplc="C3F290E0" w:tentative="1">
      <w:start w:val="1"/>
      <w:numFmt w:val="lowerRoman"/>
      <w:lvlText w:val="%9."/>
      <w:lvlJc w:val="right"/>
      <w:pPr>
        <w:ind w:left="6480" w:hanging="180"/>
      </w:pPr>
    </w:lvl>
  </w:abstractNum>
  <w:abstractNum w:abstractNumId="2"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2F7906"/>
    <w:multiLevelType w:val="hybridMultilevel"/>
    <w:tmpl w:val="47CA85E8"/>
    <w:lvl w:ilvl="0" w:tplc="28742EB8">
      <w:start w:val="1"/>
      <w:numFmt w:val="lowerLetter"/>
      <w:lvlText w:val="%1)"/>
      <w:lvlJc w:val="left"/>
      <w:pPr>
        <w:ind w:left="720" w:hanging="360"/>
      </w:pPr>
    </w:lvl>
    <w:lvl w:ilvl="1" w:tplc="D002876E" w:tentative="1">
      <w:start w:val="1"/>
      <w:numFmt w:val="lowerLetter"/>
      <w:lvlText w:val="%2."/>
      <w:lvlJc w:val="left"/>
      <w:pPr>
        <w:ind w:left="1440" w:hanging="360"/>
      </w:pPr>
    </w:lvl>
    <w:lvl w:ilvl="2" w:tplc="F1CA8AA2" w:tentative="1">
      <w:start w:val="1"/>
      <w:numFmt w:val="lowerRoman"/>
      <w:lvlText w:val="%3."/>
      <w:lvlJc w:val="right"/>
      <w:pPr>
        <w:ind w:left="2160" w:hanging="180"/>
      </w:pPr>
    </w:lvl>
    <w:lvl w:ilvl="3" w:tplc="040A4ECC" w:tentative="1">
      <w:start w:val="1"/>
      <w:numFmt w:val="decimal"/>
      <w:lvlText w:val="%4."/>
      <w:lvlJc w:val="left"/>
      <w:pPr>
        <w:ind w:left="2880" w:hanging="360"/>
      </w:pPr>
    </w:lvl>
    <w:lvl w:ilvl="4" w:tplc="74904870" w:tentative="1">
      <w:start w:val="1"/>
      <w:numFmt w:val="lowerLetter"/>
      <w:lvlText w:val="%5."/>
      <w:lvlJc w:val="left"/>
      <w:pPr>
        <w:ind w:left="3600" w:hanging="360"/>
      </w:pPr>
    </w:lvl>
    <w:lvl w:ilvl="5" w:tplc="739A703C" w:tentative="1">
      <w:start w:val="1"/>
      <w:numFmt w:val="lowerRoman"/>
      <w:lvlText w:val="%6."/>
      <w:lvlJc w:val="right"/>
      <w:pPr>
        <w:ind w:left="4320" w:hanging="180"/>
      </w:pPr>
    </w:lvl>
    <w:lvl w:ilvl="6" w:tplc="3918CA58" w:tentative="1">
      <w:start w:val="1"/>
      <w:numFmt w:val="decimal"/>
      <w:lvlText w:val="%7."/>
      <w:lvlJc w:val="left"/>
      <w:pPr>
        <w:ind w:left="5040" w:hanging="360"/>
      </w:pPr>
    </w:lvl>
    <w:lvl w:ilvl="7" w:tplc="3530FCCC" w:tentative="1">
      <w:start w:val="1"/>
      <w:numFmt w:val="lowerLetter"/>
      <w:lvlText w:val="%8."/>
      <w:lvlJc w:val="left"/>
      <w:pPr>
        <w:ind w:left="5760" w:hanging="360"/>
      </w:pPr>
    </w:lvl>
    <w:lvl w:ilvl="8" w:tplc="E356192E" w:tentative="1">
      <w:start w:val="1"/>
      <w:numFmt w:val="lowerRoman"/>
      <w:lvlText w:val="%9."/>
      <w:lvlJc w:val="right"/>
      <w:pPr>
        <w:ind w:left="6480" w:hanging="180"/>
      </w:pPr>
    </w:lvl>
  </w:abstractNum>
  <w:abstractNum w:abstractNumId="5"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C342C8D"/>
    <w:multiLevelType w:val="hybridMultilevel"/>
    <w:tmpl w:val="96F605F8"/>
    <w:lvl w:ilvl="0" w:tplc="65B2EA66">
      <w:start w:val="1"/>
      <w:numFmt w:val="lowerLetter"/>
      <w:lvlText w:val="%1)"/>
      <w:lvlJc w:val="left"/>
      <w:pPr>
        <w:ind w:left="720" w:hanging="360"/>
      </w:pPr>
      <w:rPr>
        <w:rFonts w:hint="default"/>
      </w:rPr>
    </w:lvl>
    <w:lvl w:ilvl="1" w:tplc="E9447220" w:tentative="1">
      <w:start w:val="1"/>
      <w:numFmt w:val="bullet"/>
      <w:lvlText w:val="o"/>
      <w:lvlJc w:val="left"/>
      <w:pPr>
        <w:ind w:left="1440" w:hanging="360"/>
      </w:pPr>
      <w:rPr>
        <w:rFonts w:ascii="Courier New" w:hAnsi="Courier New" w:cs="Courier New" w:hint="default"/>
      </w:rPr>
    </w:lvl>
    <w:lvl w:ilvl="2" w:tplc="8E140358" w:tentative="1">
      <w:start w:val="1"/>
      <w:numFmt w:val="bullet"/>
      <w:lvlText w:val=""/>
      <w:lvlJc w:val="left"/>
      <w:pPr>
        <w:ind w:left="2160" w:hanging="360"/>
      </w:pPr>
      <w:rPr>
        <w:rFonts w:ascii="Wingdings" w:hAnsi="Wingdings" w:hint="default"/>
      </w:rPr>
    </w:lvl>
    <w:lvl w:ilvl="3" w:tplc="C246ADFE" w:tentative="1">
      <w:start w:val="1"/>
      <w:numFmt w:val="bullet"/>
      <w:lvlText w:val=""/>
      <w:lvlJc w:val="left"/>
      <w:pPr>
        <w:ind w:left="2880" w:hanging="360"/>
      </w:pPr>
      <w:rPr>
        <w:rFonts w:ascii="Symbol" w:hAnsi="Symbol" w:hint="default"/>
      </w:rPr>
    </w:lvl>
    <w:lvl w:ilvl="4" w:tplc="87705258" w:tentative="1">
      <w:start w:val="1"/>
      <w:numFmt w:val="bullet"/>
      <w:lvlText w:val="o"/>
      <w:lvlJc w:val="left"/>
      <w:pPr>
        <w:ind w:left="3600" w:hanging="360"/>
      </w:pPr>
      <w:rPr>
        <w:rFonts w:ascii="Courier New" w:hAnsi="Courier New" w:cs="Courier New" w:hint="default"/>
      </w:rPr>
    </w:lvl>
    <w:lvl w:ilvl="5" w:tplc="5DF2A3DA" w:tentative="1">
      <w:start w:val="1"/>
      <w:numFmt w:val="bullet"/>
      <w:lvlText w:val=""/>
      <w:lvlJc w:val="left"/>
      <w:pPr>
        <w:ind w:left="4320" w:hanging="360"/>
      </w:pPr>
      <w:rPr>
        <w:rFonts w:ascii="Wingdings" w:hAnsi="Wingdings" w:hint="default"/>
      </w:rPr>
    </w:lvl>
    <w:lvl w:ilvl="6" w:tplc="662887A0" w:tentative="1">
      <w:start w:val="1"/>
      <w:numFmt w:val="bullet"/>
      <w:lvlText w:val=""/>
      <w:lvlJc w:val="left"/>
      <w:pPr>
        <w:ind w:left="5040" w:hanging="360"/>
      </w:pPr>
      <w:rPr>
        <w:rFonts w:ascii="Symbol" w:hAnsi="Symbol" w:hint="default"/>
      </w:rPr>
    </w:lvl>
    <w:lvl w:ilvl="7" w:tplc="94B6804A" w:tentative="1">
      <w:start w:val="1"/>
      <w:numFmt w:val="bullet"/>
      <w:lvlText w:val="o"/>
      <w:lvlJc w:val="left"/>
      <w:pPr>
        <w:ind w:left="5760" w:hanging="360"/>
      </w:pPr>
      <w:rPr>
        <w:rFonts w:ascii="Courier New" w:hAnsi="Courier New" w:cs="Courier New" w:hint="default"/>
      </w:rPr>
    </w:lvl>
    <w:lvl w:ilvl="8" w:tplc="063A49EA" w:tentative="1">
      <w:start w:val="1"/>
      <w:numFmt w:val="bullet"/>
      <w:lvlText w:val=""/>
      <w:lvlJc w:val="left"/>
      <w:pPr>
        <w:ind w:left="6480" w:hanging="360"/>
      </w:pPr>
      <w:rPr>
        <w:rFonts w:ascii="Wingdings" w:hAnsi="Wingdings" w:hint="default"/>
      </w:rPr>
    </w:lvl>
  </w:abstractNum>
  <w:abstractNum w:abstractNumId="8"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9"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10"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1F497D" w:themeColor="text2"/>
        <w:sz w:val="24"/>
      </w:rPr>
    </w:lvl>
    <w:lvl w:ilvl="1" w:tplc="41420328">
      <w:start w:val="1"/>
      <w:numFmt w:val="bullet"/>
      <w:lvlText w:val="o"/>
      <w:lvlJc w:val="left"/>
      <w:pPr>
        <w:ind w:left="1440" w:hanging="360"/>
      </w:pPr>
      <w:rPr>
        <w:rFonts w:ascii="Courier New" w:hAnsi="Courier New" w:hint="default"/>
        <w:b/>
        <w:color w:val="1F497D" w:themeColor="text2"/>
        <w:sz w:val="24"/>
      </w:rPr>
    </w:lvl>
    <w:lvl w:ilvl="2" w:tplc="EA2C5BBE">
      <w:start w:val="1"/>
      <w:numFmt w:val="bullet"/>
      <w:lvlText w:val=""/>
      <w:lvlJc w:val="left"/>
      <w:pPr>
        <w:ind w:left="2160" w:hanging="360"/>
      </w:pPr>
      <w:rPr>
        <w:rFonts w:ascii="Wingdings" w:hAnsi="Wingdings" w:cstheme="minorHAnsi" w:hint="default"/>
        <w:b/>
        <w:color w:val="1F497D" w:themeColor="text2"/>
        <w:sz w:val="24"/>
      </w:rPr>
    </w:lvl>
    <w:lvl w:ilvl="3" w:tplc="6C34901E">
      <w:start w:val="1"/>
      <w:numFmt w:val="bullet"/>
      <w:lvlText w:val=""/>
      <w:lvlJc w:val="left"/>
      <w:pPr>
        <w:ind w:left="2880" w:hanging="360"/>
      </w:pPr>
      <w:rPr>
        <w:rFonts w:ascii="Symbol" w:hAnsi="Symbol" w:cstheme="minorHAnsi" w:hint="default"/>
        <w:b/>
        <w:color w:val="1F497D"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331B58B8"/>
    <w:multiLevelType w:val="hybridMultilevel"/>
    <w:tmpl w:val="FBB2A404"/>
    <w:lvl w:ilvl="0" w:tplc="065C5296">
      <w:start w:val="1"/>
      <w:numFmt w:val="bullet"/>
      <w:pStyle w:val="felsorolsos"/>
      <w:lvlText w:val=""/>
      <w:lvlJc w:val="left"/>
      <w:pPr>
        <w:tabs>
          <w:tab w:val="num" w:pos="1068"/>
        </w:tabs>
        <w:ind w:left="1068" w:hanging="360"/>
      </w:pPr>
      <w:rPr>
        <w:rFonts w:ascii="Symbol" w:hAnsi="Symbol" w:hint="default"/>
      </w:rPr>
    </w:lvl>
    <w:lvl w:ilvl="1" w:tplc="DBD05E4A">
      <w:start w:val="1"/>
      <w:numFmt w:val="bullet"/>
      <w:lvlText w:val="o"/>
      <w:lvlJc w:val="left"/>
      <w:pPr>
        <w:tabs>
          <w:tab w:val="num" w:pos="1788"/>
        </w:tabs>
        <w:ind w:left="1788" w:hanging="360"/>
      </w:pPr>
      <w:rPr>
        <w:rFonts w:ascii="Courier New" w:hAnsi="Courier New" w:cs="Courier New" w:hint="default"/>
      </w:rPr>
    </w:lvl>
    <w:lvl w:ilvl="2" w:tplc="CF1CDE5A">
      <w:start w:val="1"/>
      <w:numFmt w:val="bullet"/>
      <w:lvlText w:val=""/>
      <w:lvlJc w:val="left"/>
      <w:pPr>
        <w:tabs>
          <w:tab w:val="num" w:pos="2508"/>
        </w:tabs>
        <w:ind w:left="2508" w:hanging="360"/>
      </w:pPr>
      <w:rPr>
        <w:rFonts w:ascii="Wingdings" w:hAnsi="Wingdings" w:hint="default"/>
      </w:rPr>
    </w:lvl>
    <w:lvl w:ilvl="3" w:tplc="B254B622" w:tentative="1">
      <w:start w:val="1"/>
      <w:numFmt w:val="bullet"/>
      <w:lvlText w:val=""/>
      <w:lvlJc w:val="left"/>
      <w:pPr>
        <w:tabs>
          <w:tab w:val="num" w:pos="3228"/>
        </w:tabs>
        <w:ind w:left="3228" w:hanging="360"/>
      </w:pPr>
      <w:rPr>
        <w:rFonts w:ascii="Symbol" w:hAnsi="Symbol" w:hint="default"/>
      </w:rPr>
    </w:lvl>
    <w:lvl w:ilvl="4" w:tplc="BB505B76">
      <w:start w:val="1"/>
      <w:numFmt w:val="bullet"/>
      <w:lvlText w:val="o"/>
      <w:lvlJc w:val="left"/>
      <w:pPr>
        <w:tabs>
          <w:tab w:val="num" w:pos="3948"/>
        </w:tabs>
        <w:ind w:left="3948" w:hanging="360"/>
      </w:pPr>
      <w:rPr>
        <w:rFonts w:ascii="Courier New" w:hAnsi="Courier New" w:cs="Courier New" w:hint="default"/>
      </w:rPr>
    </w:lvl>
    <w:lvl w:ilvl="5" w:tplc="40DA4290" w:tentative="1">
      <w:start w:val="1"/>
      <w:numFmt w:val="bullet"/>
      <w:lvlText w:val=""/>
      <w:lvlJc w:val="left"/>
      <w:pPr>
        <w:tabs>
          <w:tab w:val="num" w:pos="4668"/>
        </w:tabs>
        <w:ind w:left="4668" w:hanging="360"/>
      </w:pPr>
      <w:rPr>
        <w:rFonts w:ascii="Wingdings" w:hAnsi="Wingdings" w:hint="default"/>
      </w:rPr>
    </w:lvl>
    <w:lvl w:ilvl="6" w:tplc="0ECCFD02" w:tentative="1">
      <w:start w:val="1"/>
      <w:numFmt w:val="bullet"/>
      <w:lvlText w:val=""/>
      <w:lvlJc w:val="left"/>
      <w:pPr>
        <w:tabs>
          <w:tab w:val="num" w:pos="5388"/>
        </w:tabs>
        <w:ind w:left="5388" w:hanging="360"/>
      </w:pPr>
      <w:rPr>
        <w:rFonts w:ascii="Symbol" w:hAnsi="Symbol" w:hint="default"/>
      </w:rPr>
    </w:lvl>
    <w:lvl w:ilvl="7" w:tplc="BFB893AC" w:tentative="1">
      <w:start w:val="1"/>
      <w:numFmt w:val="bullet"/>
      <w:lvlText w:val="o"/>
      <w:lvlJc w:val="left"/>
      <w:pPr>
        <w:tabs>
          <w:tab w:val="num" w:pos="6108"/>
        </w:tabs>
        <w:ind w:left="6108" w:hanging="360"/>
      </w:pPr>
      <w:rPr>
        <w:rFonts w:ascii="Courier New" w:hAnsi="Courier New" w:cs="Courier New" w:hint="default"/>
      </w:rPr>
    </w:lvl>
    <w:lvl w:ilvl="8" w:tplc="96C6CD14"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AA782C4A">
      <w:start w:val="1"/>
      <w:numFmt w:val="bullet"/>
      <w:lvlText w:val=""/>
      <w:lvlJc w:val="left"/>
      <w:pPr>
        <w:ind w:left="2160" w:hanging="360"/>
      </w:pPr>
      <w:rPr>
        <w:rFonts w:ascii="Wingdings" w:hAnsi="Wingdings" w:cstheme="minorHAnsi" w:hint="default"/>
        <w:b/>
        <w:color w:val="4BACC6" w:themeColor="accent5"/>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1F497D" w:themeColor="text2"/>
        <w:sz w:val="24"/>
      </w:rPr>
    </w:lvl>
    <w:lvl w:ilvl="1" w:tplc="41420328">
      <w:start w:val="1"/>
      <w:numFmt w:val="bullet"/>
      <w:lvlText w:val="o"/>
      <w:lvlJc w:val="left"/>
      <w:pPr>
        <w:ind w:left="1440" w:hanging="360"/>
      </w:pPr>
      <w:rPr>
        <w:rFonts w:ascii="Courier New" w:hAnsi="Courier New" w:hint="default"/>
        <w:b/>
        <w:color w:val="1F497D" w:themeColor="text2"/>
        <w:sz w:val="24"/>
      </w:rPr>
    </w:lvl>
    <w:lvl w:ilvl="2" w:tplc="EA2C5BBE">
      <w:start w:val="1"/>
      <w:numFmt w:val="bullet"/>
      <w:lvlText w:val=""/>
      <w:lvlJc w:val="left"/>
      <w:pPr>
        <w:ind w:left="2160" w:hanging="360"/>
      </w:pPr>
      <w:rPr>
        <w:rFonts w:ascii="Wingdings" w:hAnsi="Wingdings" w:cstheme="minorHAnsi" w:hint="default"/>
        <w:b/>
        <w:color w:val="1F497D" w:themeColor="text2"/>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62B04DFC"/>
    <w:multiLevelType w:val="hybridMultilevel"/>
    <w:tmpl w:val="24DEA910"/>
    <w:lvl w:ilvl="0" w:tplc="25C68936">
      <w:start w:val="1"/>
      <w:numFmt w:val="bullet"/>
      <w:lvlText w:val=""/>
      <w:lvlJc w:val="left"/>
      <w:pPr>
        <w:ind w:left="720" w:hanging="360"/>
      </w:pPr>
      <w:rPr>
        <w:rFonts w:ascii="Symbol" w:hAnsi="Symbol" w:cs="Symbol" w:hint="default"/>
      </w:rPr>
    </w:lvl>
    <w:lvl w:ilvl="1" w:tplc="72BE69B0" w:tentative="1">
      <w:start w:val="1"/>
      <w:numFmt w:val="bullet"/>
      <w:lvlText w:val="o"/>
      <w:lvlJc w:val="left"/>
      <w:pPr>
        <w:ind w:left="1440" w:hanging="360"/>
      </w:pPr>
      <w:rPr>
        <w:rFonts w:ascii="Courier New" w:hAnsi="Courier New" w:cs="Courier New" w:hint="default"/>
      </w:rPr>
    </w:lvl>
    <w:lvl w:ilvl="2" w:tplc="0ED2E242" w:tentative="1">
      <w:start w:val="1"/>
      <w:numFmt w:val="bullet"/>
      <w:lvlText w:val=""/>
      <w:lvlJc w:val="left"/>
      <w:pPr>
        <w:ind w:left="2160" w:hanging="360"/>
      </w:pPr>
      <w:rPr>
        <w:rFonts w:ascii="Wingdings" w:hAnsi="Wingdings" w:cs="Wingdings" w:hint="default"/>
      </w:rPr>
    </w:lvl>
    <w:lvl w:ilvl="3" w:tplc="B0229BD0" w:tentative="1">
      <w:start w:val="1"/>
      <w:numFmt w:val="bullet"/>
      <w:lvlText w:val=""/>
      <w:lvlJc w:val="left"/>
      <w:pPr>
        <w:ind w:left="2880" w:hanging="360"/>
      </w:pPr>
      <w:rPr>
        <w:rFonts w:ascii="Symbol" w:hAnsi="Symbol" w:cs="Symbol" w:hint="default"/>
      </w:rPr>
    </w:lvl>
    <w:lvl w:ilvl="4" w:tplc="1E9E15DC" w:tentative="1">
      <w:start w:val="1"/>
      <w:numFmt w:val="bullet"/>
      <w:lvlText w:val="o"/>
      <w:lvlJc w:val="left"/>
      <w:pPr>
        <w:ind w:left="3600" w:hanging="360"/>
      </w:pPr>
      <w:rPr>
        <w:rFonts w:ascii="Courier New" w:hAnsi="Courier New" w:cs="Courier New" w:hint="default"/>
      </w:rPr>
    </w:lvl>
    <w:lvl w:ilvl="5" w:tplc="EACAE5D0" w:tentative="1">
      <w:start w:val="1"/>
      <w:numFmt w:val="bullet"/>
      <w:lvlText w:val=""/>
      <w:lvlJc w:val="left"/>
      <w:pPr>
        <w:ind w:left="4320" w:hanging="360"/>
      </w:pPr>
      <w:rPr>
        <w:rFonts w:ascii="Wingdings" w:hAnsi="Wingdings" w:cs="Wingdings" w:hint="default"/>
      </w:rPr>
    </w:lvl>
    <w:lvl w:ilvl="6" w:tplc="DBD03F62" w:tentative="1">
      <w:start w:val="1"/>
      <w:numFmt w:val="bullet"/>
      <w:lvlText w:val=""/>
      <w:lvlJc w:val="left"/>
      <w:pPr>
        <w:ind w:left="5040" w:hanging="360"/>
      </w:pPr>
      <w:rPr>
        <w:rFonts w:ascii="Symbol" w:hAnsi="Symbol" w:cs="Symbol" w:hint="default"/>
      </w:rPr>
    </w:lvl>
    <w:lvl w:ilvl="7" w:tplc="09C4289C" w:tentative="1">
      <w:start w:val="1"/>
      <w:numFmt w:val="bullet"/>
      <w:lvlText w:val="o"/>
      <w:lvlJc w:val="left"/>
      <w:pPr>
        <w:ind w:left="5760" w:hanging="360"/>
      </w:pPr>
      <w:rPr>
        <w:rFonts w:ascii="Courier New" w:hAnsi="Courier New" w:cs="Courier New" w:hint="default"/>
      </w:rPr>
    </w:lvl>
    <w:lvl w:ilvl="8" w:tplc="32E6084C" w:tentative="1">
      <w:start w:val="1"/>
      <w:numFmt w:val="bullet"/>
      <w:lvlText w:val=""/>
      <w:lvlJc w:val="left"/>
      <w:pPr>
        <w:ind w:left="6480" w:hanging="360"/>
      </w:pPr>
      <w:rPr>
        <w:rFonts w:ascii="Wingdings" w:hAnsi="Wingdings" w:cs="Wingdings" w:hint="default"/>
      </w:rPr>
    </w:lvl>
  </w:abstractNum>
  <w:abstractNum w:abstractNumId="15" w15:restartNumberingAfterBreak="0">
    <w:nsid w:val="6C1941FE"/>
    <w:multiLevelType w:val="hybridMultilevel"/>
    <w:tmpl w:val="C952DA42"/>
    <w:lvl w:ilvl="0" w:tplc="2A8454DE">
      <w:start w:val="1"/>
      <w:numFmt w:val="bullet"/>
      <w:lvlText w:val=""/>
      <w:lvlJc w:val="left"/>
      <w:pPr>
        <w:ind w:left="720" w:hanging="360"/>
      </w:pPr>
      <w:rPr>
        <w:rFonts w:ascii="Symbol" w:hAnsi="Symbol" w:hint="default"/>
      </w:rPr>
    </w:lvl>
    <w:lvl w:ilvl="1" w:tplc="2A462BC8">
      <w:start w:val="1"/>
      <w:numFmt w:val="bullet"/>
      <w:lvlText w:val="o"/>
      <w:lvlJc w:val="left"/>
      <w:pPr>
        <w:ind w:left="1440" w:hanging="360"/>
      </w:pPr>
      <w:rPr>
        <w:rFonts w:ascii="Courier New" w:hAnsi="Courier New" w:cs="Courier New" w:hint="default"/>
      </w:rPr>
    </w:lvl>
    <w:lvl w:ilvl="2" w:tplc="23E090D0">
      <w:start w:val="1"/>
      <w:numFmt w:val="bullet"/>
      <w:lvlText w:val=""/>
      <w:lvlJc w:val="left"/>
      <w:pPr>
        <w:ind w:left="2160" w:hanging="360"/>
      </w:pPr>
      <w:rPr>
        <w:rFonts w:ascii="Wingdings" w:hAnsi="Wingdings" w:hint="default"/>
      </w:rPr>
    </w:lvl>
    <w:lvl w:ilvl="3" w:tplc="28E080F6">
      <w:start w:val="1"/>
      <w:numFmt w:val="bullet"/>
      <w:lvlText w:val=""/>
      <w:lvlJc w:val="left"/>
      <w:pPr>
        <w:ind w:left="2880" w:hanging="360"/>
      </w:pPr>
      <w:rPr>
        <w:rFonts w:ascii="Symbol" w:hAnsi="Symbol" w:hint="default"/>
      </w:rPr>
    </w:lvl>
    <w:lvl w:ilvl="4" w:tplc="F634C3AA">
      <w:start w:val="1"/>
      <w:numFmt w:val="bullet"/>
      <w:lvlText w:val="o"/>
      <w:lvlJc w:val="left"/>
      <w:pPr>
        <w:ind w:left="3600" w:hanging="360"/>
      </w:pPr>
      <w:rPr>
        <w:rFonts w:ascii="Courier New" w:hAnsi="Courier New" w:cs="Courier New" w:hint="default"/>
      </w:rPr>
    </w:lvl>
    <w:lvl w:ilvl="5" w:tplc="0AC21846">
      <w:start w:val="1"/>
      <w:numFmt w:val="bullet"/>
      <w:lvlText w:val=""/>
      <w:lvlJc w:val="left"/>
      <w:pPr>
        <w:ind w:left="4320" w:hanging="360"/>
      </w:pPr>
      <w:rPr>
        <w:rFonts w:ascii="Wingdings" w:hAnsi="Wingdings" w:hint="default"/>
      </w:rPr>
    </w:lvl>
    <w:lvl w:ilvl="6" w:tplc="9A04026C">
      <w:start w:val="1"/>
      <w:numFmt w:val="bullet"/>
      <w:lvlText w:val=""/>
      <w:lvlJc w:val="left"/>
      <w:pPr>
        <w:ind w:left="5040" w:hanging="360"/>
      </w:pPr>
      <w:rPr>
        <w:rFonts w:ascii="Symbol" w:hAnsi="Symbol" w:hint="default"/>
      </w:rPr>
    </w:lvl>
    <w:lvl w:ilvl="7" w:tplc="3118CDA0">
      <w:start w:val="1"/>
      <w:numFmt w:val="bullet"/>
      <w:lvlText w:val="o"/>
      <w:lvlJc w:val="left"/>
      <w:pPr>
        <w:ind w:left="5760" w:hanging="360"/>
      </w:pPr>
      <w:rPr>
        <w:rFonts w:ascii="Courier New" w:hAnsi="Courier New" w:cs="Courier New" w:hint="default"/>
      </w:rPr>
    </w:lvl>
    <w:lvl w:ilvl="8" w:tplc="E6FCE1A8">
      <w:start w:val="1"/>
      <w:numFmt w:val="bullet"/>
      <w:lvlText w:val=""/>
      <w:lvlJc w:val="left"/>
      <w:pPr>
        <w:ind w:left="6480" w:hanging="360"/>
      </w:pPr>
      <w:rPr>
        <w:rFonts w:ascii="Wingdings" w:hAnsi="Wingdings" w:hint="default"/>
      </w:rPr>
    </w:lvl>
  </w:abstractNum>
  <w:abstractNum w:abstractNumId="16"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1F497D"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7" w15:restartNumberingAfterBreak="0">
    <w:nsid w:val="6FF43059"/>
    <w:multiLevelType w:val="hybridMultilevel"/>
    <w:tmpl w:val="B62EAA02"/>
    <w:lvl w:ilvl="0" w:tplc="503EB8CC">
      <w:start w:val="1"/>
      <w:numFmt w:val="upperRoman"/>
      <w:lvlText w:val="%1."/>
      <w:lvlJc w:val="left"/>
      <w:pPr>
        <w:ind w:left="1080" w:hanging="720"/>
      </w:pPr>
      <w:rPr>
        <w:rFonts w:hint="default"/>
      </w:rPr>
    </w:lvl>
    <w:lvl w:ilvl="1" w:tplc="130CF9B0" w:tentative="1">
      <w:start w:val="1"/>
      <w:numFmt w:val="lowerLetter"/>
      <w:lvlText w:val="%2."/>
      <w:lvlJc w:val="left"/>
      <w:pPr>
        <w:ind w:left="1440" w:hanging="360"/>
      </w:pPr>
    </w:lvl>
    <w:lvl w:ilvl="2" w:tplc="8ECEE4F6" w:tentative="1">
      <w:start w:val="1"/>
      <w:numFmt w:val="lowerRoman"/>
      <w:lvlText w:val="%3."/>
      <w:lvlJc w:val="right"/>
      <w:pPr>
        <w:ind w:left="2160" w:hanging="180"/>
      </w:pPr>
    </w:lvl>
    <w:lvl w:ilvl="3" w:tplc="4AE6D560" w:tentative="1">
      <w:start w:val="1"/>
      <w:numFmt w:val="decimal"/>
      <w:lvlText w:val="%4."/>
      <w:lvlJc w:val="left"/>
      <w:pPr>
        <w:ind w:left="2880" w:hanging="360"/>
      </w:pPr>
    </w:lvl>
    <w:lvl w:ilvl="4" w:tplc="677EEBBC" w:tentative="1">
      <w:start w:val="1"/>
      <w:numFmt w:val="lowerLetter"/>
      <w:lvlText w:val="%5."/>
      <w:lvlJc w:val="left"/>
      <w:pPr>
        <w:ind w:left="3600" w:hanging="360"/>
      </w:pPr>
    </w:lvl>
    <w:lvl w:ilvl="5" w:tplc="515CAB0E" w:tentative="1">
      <w:start w:val="1"/>
      <w:numFmt w:val="lowerRoman"/>
      <w:lvlText w:val="%6."/>
      <w:lvlJc w:val="right"/>
      <w:pPr>
        <w:ind w:left="4320" w:hanging="180"/>
      </w:pPr>
    </w:lvl>
    <w:lvl w:ilvl="6" w:tplc="EDF2FC4A" w:tentative="1">
      <w:start w:val="1"/>
      <w:numFmt w:val="decimal"/>
      <w:lvlText w:val="%7."/>
      <w:lvlJc w:val="left"/>
      <w:pPr>
        <w:ind w:left="5040" w:hanging="360"/>
      </w:pPr>
    </w:lvl>
    <w:lvl w:ilvl="7" w:tplc="329AC560" w:tentative="1">
      <w:start w:val="1"/>
      <w:numFmt w:val="lowerLetter"/>
      <w:lvlText w:val="%8."/>
      <w:lvlJc w:val="left"/>
      <w:pPr>
        <w:ind w:left="5760" w:hanging="360"/>
      </w:pPr>
    </w:lvl>
    <w:lvl w:ilvl="8" w:tplc="A7E22C14" w:tentative="1">
      <w:start w:val="1"/>
      <w:numFmt w:val="lowerRoman"/>
      <w:lvlText w:val="%9."/>
      <w:lvlJc w:val="right"/>
      <w:pPr>
        <w:ind w:left="6480" w:hanging="180"/>
      </w:pPr>
    </w:lvl>
  </w:abstractNum>
  <w:abstractNum w:abstractNumId="18"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1F497D" w:themeColor="text2"/>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756D328A"/>
    <w:multiLevelType w:val="hybridMultilevel"/>
    <w:tmpl w:val="15E66FFA"/>
    <w:lvl w:ilvl="0" w:tplc="00FADE7E">
      <w:start w:val="1"/>
      <w:numFmt w:val="bullet"/>
      <w:lvlText w:val=""/>
      <w:lvlJc w:val="left"/>
      <w:pPr>
        <w:ind w:left="720" w:hanging="360"/>
      </w:pPr>
      <w:rPr>
        <w:rFonts w:ascii="Symbol" w:hAnsi="Symbol" w:hint="default"/>
      </w:rPr>
    </w:lvl>
    <w:lvl w:ilvl="1" w:tplc="12F8245E" w:tentative="1">
      <w:start w:val="1"/>
      <w:numFmt w:val="bullet"/>
      <w:lvlText w:val="o"/>
      <w:lvlJc w:val="left"/>
      <w:pPr>
        <w:ind w:left="1440" w:hanging="360"/>
      </w:pPr>
      <w:rPr>
        <w:rFonts w:ascii="Courier New" w:hAnsi="Courier New" w:cs="Courier New" w:hint="default"/>
      </w:rPr>
    </w:lvl>
    <w:lvl w:ilvl="2" w:tplc="A7D89EC8" w:tentative="1">
      <w:start w:val="1"/>
      <w:numFmt w:val="bullet"/>
      <w:lvlText w:val=""/>
      <w:lvlJc w:val="left"/>
      <w:pPr>
        <w:ind w:left="2160" w:hanging="360"/>
      </w:pPr>
      <w:rPr>
        <w:rFonts w:ascii="Wingdings" w:hAnsi="Wingdings" w:hint="default"/>
      </w:rPr>
    </w:lvl>
    <w:lvl w:ilvl="3" w:tplc="E736C308" w:tentative="1">
      <w:start w:val="1"/>
      <w:numFmt w:val="bullet"/>
      <w:lvlText w:val=""/>
      <w:lvlJc w:val="left"/>
      <w:pPr>
        <w:ind w:left="2880" w:hanging="360"/>
      </w:pPr>
      <w:rPr>
        <w:rFonts w:ascii="Symbol" w:hAnsi="Symbol" w:hint="default"/>
      </w:rPr>
    </w:lvl>
    <w:lvl w:ilvl="4" w:tplc="C41858CA" w:tentative="1">
      <w:start w:val="1"/>
      <w:numFmt w:val="bullet"/>
      <w:lvlText w:val="o"/>
      <w:lvlJc w:val="left"/>
      <w:pPr>
        <w:ind w:left="3600" w:hanging="360"/>
      </w:pPr>
      <w:rPr>
        <w:rFonts w:ascii="Courier New" w:hAnsi="Courier New" w:cs="Courier New" w:hint="default"/>
      </w:rPr>
    </w:lvl>
    <w:lvl w:ilvl="5" w:tplc="D56054C0" w:tentative="1">
      <w:start w:val="1"/>
      <w:numFmt w:val="bullet"/>
      <w:lvlText w:val=""/>
      <w:lvlJc w:val="left"/>
      <w:pPr>
        <w:ind w:left="4320" w:hanging="360"/>
      </w:pPr>
      <w:rPr>
        <w:rFonts w:ascii="Wingdings" w:hAnsi="Wingdings" w:hint="default"/>
      </w:rPr>
    </w:lvl>
    <w:lvl w:ilvl="6" w:tplc="ADD69CA4" w:tentative="1">
      <w:start w:val="1"/>
      <w:numFmt w:val="bullet"/>
      <w:lvlText w:val=""/>
      <w:lvlJc w:val="left"/>
      <w:pPr>
        <w:ind w:left="5040" w:hanging="360"/>
      </w:pPr>
      <w:rPr>
        <w:rFonts w:ascii="Symbol" w:hAnsi="Symbol" w:hint="default"/>
      </w:rPr>
    </w:lvl>
    <w:lvl w:ilvl="7" w:tplc="CB8EBDE4" w:tentative="1">
      <w:start w:val="1"/>
      <w:numFmt w:val="bullet"/>
      <w:lvlText w:val="o"/>
      <w:lvlJc w:val="left"/>
      <w:pPr>
        <w:ind w:left="5760" w:hanging="360"/>
      </w:pPr>
      <w:rPr>
        <w:rFonts w:ascii="Courier New" w:hAnsi="Courier New" w:cs="Courier New" w:hint="default"/>
      </w:rPr>
    </w:lvl>
    <w:lvl w:ilvl="8" w:tplc="488451BC" w:tentative="1">
      <w:start w:val="1"/>
      <w:numFmt w:val="bullet"/>
      <w:lvlText w:val=""/>
      <w:lvlJc w:val="left"/>
      <w:pPr>
        <w:ind w:left="6480" w:hanging="360"/>
      </w:pPr>
      <w:rPr>
        <w:rFonts w:ascii="Wingdings" w:hAnsi="Wingdings" w:hint="default"/>
      </w:rPr>
    </w:lvl>
  </w:abstractNum>
  <w:abstractNum w:abstractNumId="20" w15:restartNumberingAfterBreak="0">
    <w:nsid w:val="794776DC"/>
    <w:multiLevelType w:val="hybridMultilevel"/>
    <w:tmpl w:val="AC7CA330"/>
    <w:lvl w:ilvl="0" w:tplc="FD240F30">
      <w:start w:val="1"/>
      <w:numFmt w:val="lowerLetter"/>
      <w:lvlText w:val="%1.)"/>
      <w:lvlJc w:val="left"/>
      <w:pPr>
        <w:tabs>
          <w:tab w:val="num" w:pos="720"/>
        </w:tabs>
        <w:ind w:left="720" w:hanging="360"/>
      </w:pPr>
      <w:rPr>
        <w:rFonts w:ascii="Times New Roman" w:hAnsi="Times New Roman" w:cs="Times New Roman" w:hint="default"/>
        <w:color w:val="auto"/>
      </w:rPr>
    </w:lvl>
    <w:lvl w:ilvl="1" w:tplc="EBB4E248">
      <w:start w:val="2"/>
      <w:numFmt w:val="bullet"/>
      <w:pStyle w:val="alfelsorols"/>
      <w:lvlText w:val="-"/>
      <w:lvlJc w:val="left"/>
      <w:pPr>
        <w:tabs>
          <w:tab w:val="num" w:pos="1440"/>
        </w:tabs>
        <w:ind w:left="1440" w:hanging="360"/>
      </w:pPr>
      <w:rPr>
        <w:rFonts w:ascii="Times New Roman" w:eastAsia="Times New Roman" w:hAnsi="Times New Roman" w:cs="Times New Roman" w:hint="default"/>
        <w:color w:val="auto"/>
      </w:rPr>
    </w:lvl>
    <w:lvl w:ilvl="2" w:tplc="9DEA9B0E">
      <w:start w:val="2"/>
      <w:numFmt w:val="bullet"/>
      <w:lvlText w:val="-"/>
      <w:lvlJc w:val="left"/>
      <w:pPr>
        <w:tabs>
          <w:tab w:val="num" w:pos="2340"/>
        </w:tabs>
        <w:ind w:left="2340" w:hanging="360"/>
      </w:pPr>
      <w:rPr>
        <w:rFonts w:ascii="Times New Roman" w:eastAsia="Times New Roman" w:hAnsi="Times New Roman" w:cs="Times New Roman" w:hint="default"/>
      </w:rPr>
    </w:lvl>
    <w:lvl w:ilvl="3" w:tplc="E760F688">
      <w:start w:val="1"/>
      <w:numFmt w:val="decimal"/>
      <w:lvlText w:val="%4-"/>
      <w:lvlJc w:val="left"/>
      <w:pPr>
        <w:ind w:left="2880" w:hanging="360"/>
      </w:pPr>
      <w:rPr>
        <w:rFonts w:hint="default"/>
      </w:rPr>
    </w:lvl>
    <w:lvl w:ilvl="4" w:tplc="6B66800C">
      <w:start w:val="5"/>
      <w:numFmt w:val="upperRoman"/>
      <w:lvlText w:val="%5."/>
      <w:lvlJc w:val="left"/>
      <w:pPr>
        <w:ind w:left="3960" w:hanging="720"/>
      </w:pPr>
      <w:rPr>
        <w:rFonts w:hint="default"/>
      </w:rPr>
    </w:lvl>
    <w:lvl w:ilvl="5" w:tplc="C23C259C" w:tentative="1">
      <w:start w:val="1"/>
      <w:numFmt w:val="lowerRoman"/>
      <w:lvlText w:val="%6."/>
      <w:lvlJc w:val="right"/>
      <w:pPr>
        <w:tabs>
          <w:tab w:val="num" w:pos="4320"/>
        </w:tabs>
        <w:ind w:left="4320" w:hanging="180"/>
      </w:pPr>
    </w:lvl>
    <w:lvl w:ilvl="6" w:tplc="541C36A4" w:tentative="1">
      <w:start w:val="1"/>
      <w:numFmt w:val="decimal"/>
      <w:lvlText w:val="%7."/>
      <w:lvlJc w:val="left"/>
      <w:pPr>
        <w:tabs>
          <w:tab w:val="num" w:pos="5040"/>
        </w:tabs>
        <w:ind w:left="5040" w:hanging="360"/>
      </w:pPr>
    </w:lvl>
    <w:lvl w:ilvl="7" w:tplc="83A61F44" w:tentative="1">
      <w:start w:val="1"/>
      <w:numFmt w:val="lowerLetter"/>
      <w:lvlText w:val="%8."/>
      <w:lvlJc w:val="left"/>
      <w:pPr>
        <w:tabs>
          <w:tab w:val="num" w:pos="5760"/>
        </w:tabs>
        <w:ind w:left="5760" w:hanging="360"/>
      </w:pPr>
    </w:lvl>
    <w:lvl w:ilvl="8" w:tplc="EC0648DA" w:tentative="1">
      <w:start w:val="1"/>
      <w:numFmt w:val="lowerRoman"/>
      <w:lvlText w:val="%9."/>
      <w:lvlJc w:val="right"/>
      <w:pPr>
        <w:tabs>
          <w:tab w:val="num" w:pos="6480"/>
        </w:tabs>
        <w:ind w:left="6480" w:hanging="180"/>
      </w:pPr>
    </w:lvl>
  </w:abstractNum>
  <w:abstractNum w:abstractNumId="21" w15:restartNumberingAfterBreak="0">
    <w:nsid w:val="7C0E7AC2"/>
    <w:multiLevelType w:val="hybridMultilevel"/>
    <w:tmpl w:val="6FCA0378"/>
    <w:lvl w:ilvl="0" w:tplc="757C9314">
      <w:start w:val="1"/>
      <w:numFmt w:val="bullet"/>
      <w:lvlText w:val=""/>
      <w:lvlJc w:val="left"/>
      <w:pPr>
        <w:ind w:left="720" w:hanging="360"/>
      </w:pPr>
      <w:rPr>
        <w:rFonts w:ascii="Symbol" w:hAnsi="Symbol" w:hint="default"/>
      </w:rPr>
    </w:lvl>
    <w:lvl w:ilvl="1" w:tplc="CD7E1300" w:tentative="1">
      <w:start w:val="1"/>
      <w:numFmt w:val="bullet"/>
      <w:lvlText w:val="o"/>
      <w:lvlJc w:val="left"/>
      <w:pPr>
        <w:ind w:left="1440" w:hanging="360"/>
      </w:pPr>
      <w:rPr>
        <w:rFonts w:ascii="Courier New" w:hAnsi="Courier New" w:cs="Courier New" w:hint="default"/>
      </w:rPr>
    </w:lvl>
    <w:lvl w:ilvl="2" w:tplc="56CC23E6" w:tentative="1">
      <w:start w:val="1"/>
      <w:numFmt w:val="bullet"/>
      <w:lvlText w:val=""/>
      <w:lvlJc w:val="left"/>
      <w:pPr>
        <w:ind w:left="2160" w:hanging="360"/>
      </w:pPr>
      <w:rPr>
        <w:rFonts w:ascii="Wingdings" w:hAnsi="Wingdings" w:hint="default"/>
      </w:rPr>
    </w:lvl>
    <w:lvl w:ilvl="3" w:tplc="7F1603EC" w:tentative="1">
      <w:start w:val="1"/>
      <w:numFmt w:val="bullet"/>
      <w:lvlText w:val=""/>
      <w:lvlJc w:val="left"/>
      <w:pPr>
        <w:ind w:left="2880" w:hanging="360"/>
      </w:pPr>
      <w:rPr>
        <w:rFonts w:ascii="Symbol" w:hAnsi="Symbol" w:hint="default"/>
      </w:rPr>
    </w:lvl>
    <w:lvl w:ilvl="4" w:tplc="AFA01972" w:tentative="1">
      <w:start w:val="1"/>
      <w:numFmt w:val="bullet"/>
      <w:lvlText w:val="o"/>
      <w:lvlJc w:val="left"/>
      <w:pPr>
        <w:ind w:left="3600" w:hanging="360"/>
      </w:pPr>
      <w:rPr>
        <w:rFonts w:ascii="Courier New" w:hAnsi="Courier New" w:cs="Courier New" w:hint="default"/>
      </w:rPr>
    </w:lvl>
    <w:lvl w:ilvl="5" w:tplc="AE3CD2FE" w:tentative="1">
      <w:start w:val="1"/>
      <w:numFmt w:val="bullet"/>
      <w:lvlText w:val=""/>
      <w:lvlJc w:val="left"/>
      <w:pPr>
        <w:ind w:left="4320" w:hanging="360"/>
      </w:pPr>
      <w:rPr>
        <w:rFonts w:ascii="Wingdings" w:hAnsi="Wingdings" w:hint="default"/>
      </w:rPr>
    </w:lvl>
    <w:lvl w:ilvl="6" w:tplc="1A407C82" w:tentative="1">
      <w:start w:val="1"/>
      <w:numFmt w:val="bullet"/>
      <w:lvlText w:val=""/>
      <w:lvlJc w:val="left"/>
      <w:pPr>
        <w:ind w:left="5040" w:hanging="360"/>
      </w:pPr>
      <w:rPr>
        <w:rFonts w:ascii="Symbol" w:hAnsi="Symbol" w:hint="default"/>
      </w:rPr>
    </w:lvl>
    <w:lvl w:ilvl="7" w:tplc="2690ADD4" w:tentative="1">
      <w:start w:val="1"/>
      <w:numFmt w:val="bullet"/>
      <w:lvlText w:val="o"/>
      <w:lvlJc w:val="left"/>
      <w:pPr>
        <w:ind w:left="5760" w:hanging="360"/>
      </w:pPr>
      <w:rPr>
        <w:rFonts w:ascii="Courier New" w:hAnsi="Courier New" w:cs="Courier New" w:hint="default"/>
      </w:rPr>
    </w:lvl>
    <w:lvl w:ilvl="8" w:tplc="3208B360" w:tentative="1">
      <w:start w:val="1"/>
      <w:numFmt w:val="bullet"/>
      <w:lvlText w:val=""/>
      <w:lvlJc w:val="left"/>
      <w:pPr>
        <w:ind w:left="6480" w:hanging="360"/>
      </w:pPr>
      <w:rPr>
        <w:rFonts w:ascii="Wingdings" w:hAnsi="Wingdings" w:hint="default"/>
      </w:rPr>
    </w:lvl>
  </w:abstractNum>
  <w:abstractNum w:abstractNumId="22" w15:restartNumberingAfterBreak="0">
    <w:nsid w:val="7F983A31"/>
    <w:multiLevelType w:val="hybridMultilevel"/>
    <w:tmpl w:val="306ADBB0"/>
    <w:lvl w:ilvl="0" w:tplc="A2540D48">
      <w:start w:val="1"/>
      <w:numFmt w:val="bullet"/>
      <w:lvlText w:val=""/>
      <w:lvlJc w:val="left"/>
      <w:pPr>
        <w:ind w:left="720" w:hanging="360"/>
      </w:pPr>
      <w:rPr>
        <w:rFonts w:ascii="Symbol" w:hAnsi="Symbol" w:hint="default"/>
      </w:rPr>
    </w:lvl>
    <w:lvl w:ilvl="1" w:tplc="FD8CA1E8" w:tentative="1">
      <w:start w:val="1"/>
      <w:numFmt w:val="bullet"/>
      <w:lvlText w:val="o"/>
      <w:lvlJc w:val="left"/>
      <w:pPr>
        <w:ind w:left="1440" w:hanging="360"/>
      </w:pPr>
      <w:rPr>
        <w:rFonts w:ascii="Courier New" w:hAnsi="Courier New" w:cs="Courier New" w:hint="default"/>
      </w:rPr>
    </w:lvl>
    <w:lvl w:ilvl="2" w:tplc="D7A0A3B8" w:tentative="1">
      <w:start w:val="1"/>
      <w:numFmt w:val="bullet"/>
      <w:lvlText w:val=""/>
      <w:lvlJc w:val="left"/>
      <w:pPr>
        <w:ind w:left="2160" w:hanging="360"/>
      </w:pPr>
      <w:rPr>
        <w:rFonts w:ascii="Wingdings" w:hAnsi="Wingdings" w:hint="default"/>
      </w:rPr>
    </w:lvl>
    <w:lvl w:ilvl="3" w:tplc="666CB348" w:tentative="1">
      <w:start w:val="1"/>
      <w:numFmt w:val="bullet"/>
      <w:lvlText w:val=""/>
      <w:lvlJc w:val="left"/>
      <w:pPr>
        <w:ind w:left="2880" w:hanging="360"/>
      </w:pPr>
      <w:rPr>
        <w:rFonts w:ascii="Symbol" w:hAnsi="Symbol" w:hint="default"/>
      </w:rPr>
    </w:lvl>
    <w:lvl w:ilvl="4" w:tplc="6A826B98" w:tentative="1">
      <w:start w:val="1"/>
      <w:numFmt w:val="bullet"/>
      <w:lvlText w:val="o"/>
      <w:lvlJc w:val="left"/>
      <w:pPr>
        <w:ind w:left="3600" w:hanging="360"/>
      </w:pPr>
      <w:rPr>
        <w:rFonts w:ascii="Courier New" w:hAnsi="Courier New" w:cs="Courier New" w:hint="default"/>
      </w:rPr>
    </w:lvl>
    <w:lvl w:ilvl="5" w:tplc="2D126C10" w:tentative="1">
      <w:start w:val="1"/>
      <w:numFmt w:val="bullet"/>
      <w:lvlText w:val=""/>
      <w:lvlJc w:val="left"/>
      <w:pPr>
        <w:ind w:left="4320" w:hanging="360"/>
      </w:pPr>
      <w:rPr>
        <w:rFonts w:ascii="Wingdings" w:hAnsi="Wingdings" w:hint="default"/>
      </w:rPr>
    </w:lvl>
    <w:lvl w:ilvl="6" w:tplc="396AEB84" w:tentative="1">
      <w:start w:val="1"/>
      <w:numFmt w:val="bullet"/>
      <w:lvlText w:val=""/>
      <w:lvlJc w:val="left"/>
      <w:pPr>
        <w:ind w:left="5040" w:hanging="360"/>
      </w:pPr>
      <w:rPr>
        <w:rFonts w:ascii="Symbol" w:hAnsi="Symbol" w:hint="default"/>
      </w:rPr>
    </w:lvl>
    <w:lvl w:ilvl="7" w:tplc="E4B802AA" w:tentative="1">
      <w:start w:val="1"/>
      <w:numFmt w:val="bullet"/>
      <w:lvlText w:val="o"/>
      <w:lvlJc w:val="left"/>
      <w:pPr>
        <w:ind w:left="5760" w:hanging="360"/>
      </w:pPr>
      <w:rPr>
        <w:rFonts w:ascii="Courier New" w:hAnsi="Courier New" w:cs="Courier New" w:hint="default"/>
      </w:rPr>
    </w:lvl>
    <w:lvl w:ilvl="8" w:tplc="89CA8846" w:tentative="1">
      <w:start w:val="1"/>
      <w:numFmt w:val="bullet"/>
      <w:lvlText w:val=""/>
      <w:lvlJc w:val="left"/>
      <w:pPr>
        <w:ind w:left="6480" w:hanging="360"/>
      </w:pPr>
      <w:rPr>
        <w:rFonts w:ascii="Wingdings" w:hAnsi="Wingdings" w:hint="default"/>
      </w:rPr>
    </w:lvl>
  </w:abstractNum>
  <w:num w:numId="1" w16cid:durableId="1461344643">
    <w:abstractNumId w:val="8"/>
  </w:num>
  <w:num w:numId="2" w16cid:durableId="1213543528">
    <w:abstractNumId w:val="5"/>
  </w:num>
  <w:num w:numId="3" w16cid:durableId="1625381728">
    <w:abstractNumId w:val="9"/>
  </w:num>
  <w:num w:numId="4" w16cid:durableId="1542784640">
    <w:abstractNumId w:val="2"/>
  </w:num>
  <w:num w:numId="5" w16cid:durableId="1271008408">
    <w:abstractNumId w:val="3"/>
  </w:num>
  <w:num w:numId="6" w16cid:durableId="47147496">
    <w:abstractNumId w:val="6"/>
  </w:num>
  <w:num w:numId="7" w16cid:durableId="557329483">
    <w:abstractNumId w:val="16"/>
  </w:num>
  <w:num w:numId="8" w16cid:durableId="336346445">
    <w:abstractNumId w:val="12"/>
  </w:num>
  <w:num w:numId="9" w16cid:durableId="873618825">
    <w:abstractNumId w:val="11"/>
  </w:num>
  <w:num w:numId="10" w16cid:durableId="766463317">
    <w:abstractNumId w:val="20"/>
  </w:num>
  <w:num w:numId="11" w16cid:durableId="352924487">
    <w:abstractNumId w:val="21"/>
  </w:num>
  <w:num w:numId="12" w16cid:durableId="624501572">
    <w:abstractNumId w:val="22"/>
  </w:num>
  <w:num w:numId="13" w16cid:durableId="1120303108">
    <w:abstractNumId w:val="19"/>
  </w:num>
  <w:num w:numId="14" w16cid:durableId="1660112801">
    <w:abstractNumId w:val="17"/>
  </w:num>
  <w:num w:numId="15" w16cid:durableId="370224949">
    <w:abstractNumId w:val="12"/>
    <w:lvlOverride w:ilvl="0">
      <w:startOverride w:val="1"/>
    </w:lvlOverride>
  </w:num>
  <w:num w:numId="16" w16cid:durableId="1717124144">
    <w:abstractNumId w:val="4"/>
  </w:num>
  <w:num w:numId="17" w16cid:durableId="391008767">
    <w:abstractNumId w:val="18"/>
  </w:num>
  <w:num w:numId="18" w16cid:durableId="198512596">
    <w:abstractNumId w:val="13"/>
  </w:num>
  <w:num w:numId="19" w16cid:durableId="879632294">
    <w:abstractNumId w:val="10"/>
  </w:num>
  <w:num w:numId="20" w16cid:durableId="520242803">
    <w:abstractNumId w:val="7"/>
  </w:num>
  <w:num w:numId="21" w16cid:durableId="325866993">
    <w:abstractNumId w:val="15"/>
  </w:num>
  <w:num w:numId="22" w16cid:durableId="697044555">
    <w:abstractNumId w:val="1"/>
  </w:num>
  <w:num w:numId="23" w16cid:durableId="133379442">
    <w:abstractNumId w:val="14"/>
  </w:num>
  <w:num w:numId="24" w16cid:durableId="143729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noPunctuationKerning/>
  <w:characterSpacingControl w:val="doNotCompres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C3"/>
    <w:rsid w:val="00022984"/>
    <w:rsid w:val="00272A61"/>
    <w:rsid w:val="003926D9"/>
    <w:rsid w:val="00491E83"/>
    <w:rsid w:val="005B6944"/>
    <w:rsid w:val="006D54C1"/>
    <w:rsid w:val="00810F0D"/>
    <w:rsid w:val="008246C8"/>
    <w:rsid w:val="009C6377"/>
    <w:rsid w:val="00AE28C8"/>
    <w:rsid w:val="00DB3BC3"/>
    <w:rsid w:val="00DF5E0E"/>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3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
    <w:name w:val="Normal"/>
    <w:qFormat/>
    <w:rsid w:val="00022984"/>
    <w:pPr>
      <w:spacing w:after="160" w:line="278" w:lineRule="auto"/>
    </w:pPr>
    <w:rPr>
      <w:rFonts w:asciiTheme="minorHAnsi" w:eastAsiaTheme="minorHAnsi" w:hAnsiTheme="minorHAnsi" w:cstheme="minorBidi"/>
      <w:kern w:val="2"/>
      <w:sz w:val="24"/>
      <w:szCs w:val="30"/>
      <w:lang w:eastAsia="en-US" w:bidi="th-TH"/>
      <w14:ligatures w14:val="standardContextual"/>
    </w:rPr>
  </w:style>
  <w:style w:type="paragraph" w:styleId="Cmsor1">
    <w:name w:val="heading 1"/>
    <w:basedOn w:val="Norml"/>
    <w:next w:val="Norml"/>
    <w:link w:val="Cmsor1Char"/>
    <w:qFormat/>
    <w:rsid w:val="00DF5E0E"/>
    <w:pPr>
      <w:keepNext/>
      <w:keepLines/>
      <w:numPr>
        <w:numId w:val="3"/>
      </w:numPr>
      <w:spacing w:before="480" w:after="210"/>
      <w:outlineLvl w:val="0"/>
    </w:pPr>
    <w:rPr>
      <w:rFonts w:eastAsiaTheme="majorEastAsia" w:cstheme="majorBidi"/>
      <w:b/>
      <w:bCs/>
      <w:caps/>
      <w:color w:val="1F497D" w:themeColor="text2"/>
      <w:szCs w:val="42"/>
    </w:rPr>
  </w:style>
  <w:style w:type="paragraph" w:styleId="Cmsor2">
    <w:name w:val="heading 2"/>
    <w:basedOn w:val="Norml"/>
    <w:next w:val="Norml"/>
    <w:link w:val="Cmsor2Char"/>
    <w:unhideWhenUsed/>
    <w:qFormat/>
    <w:rsid w:val="00DF5E0E"/>
    <w:pPr>
      <w:numPr>
        <w:ilvl w:val="1"/>
        <w:numId w:val="3"/>
      </w:numPr>
      <w:spacing w:before="210" w:after="75"/>
      <w:outlineLvl w:val="1"/>
    </w:pPr>
    <w:rPr>
      <w:b/>
      <w:color w:val="1F497D" w:themeColor="text2"/>
      <w:szCs w:val="38"/>
    </w:rPr>
  </w:style>
  <w:style w:type="paragraph" w:styleId="Cmsor3">
    <w:name w:val="heading 3"/>
    <w:basedOn w:val="Norml"/>
    <w:next w:val="Norml"/>
    <w:link w:val="Cmsor3Char"/>
    <w:unhideWhenUsed/>
    <w:qFormat/>
    <w:rsid w:val="00DF5E0E"/>
    <w:pPr>
      <w:numPr>
        <w:ilvl w:val="2"/>
        <w:numId w:val="3"/>
      </w:numPr>
      <w:spacing w:before="75" w:after="75"/>
      <w:outlineLvl w:val="2"/>
    </w:pPr>
    <w:rPr>
      <w:bCs/>
      <w:color w:val="1F497D" w:themeColor="text2"/>
      <w:szCs w:val="34"/>
    </w:rPr>
  </w:style>
  <w:style w:type="paragraph" w:styleId="Cmsor4">
    <w:name w:val="heading 4"/>
    <w:basedOn w:val="Norml"/>
    <w:next w:val="Norml"/>
    <w:link w:val="Cmsor4Char"/>
    <w:unhideWhenUsed/>
    <w:qFormat/>
    <w:rsid w:val="00DF5E0E"/>
    <w:pPr>
      <w:numPr>
        <w:ilvl w:val="3"/>
        <w:numId w:val="3"/>
      </w:numPr>
      <w:spacing w:before="75" w:after="75"/>
      <w:outlineLvl w:val="3"/>
    </w:pPr>
    <w:rPr>
      <w:iCs/>
      <w:color w:val="1F497D" w:themeColor="text2"/>
    </w:rPr>
  </w:style>
  <w:style w:type="paragraph" w:styleId="Cmsor5">
    <w:name w:val="heading 5"/>
    <w:basedOn w:val="Norml"/>
    <w:next w:val="Norml"/>
    <w:link w:val="Cmsor5Char"/>
    <w:unhideWhenUsed/>
    <w:qFormat/>
    <w:rsid w:val="00DF5E0E"/>
    <w:pPr>
      <w:numPr>
        <w:ilvl w:val="4"/>
        <w:numId w:val="3"/>
      </w:numPr>
      <w:spacing w:before="75" w:after="75"/>
      <w:outlineLvl w:val="4"/>
    </w:pPr>
    <w:rPr>
      <w:color w:val="1F497D" w:themeColor="text2"/>
      <w:szCs w:val="26"/>
    </w:rPr>
  </w:style>
  <w:style w:type="paragraph" w:styleId="Cmsor6">
    <w:name w:val="heading 6"/>
    <w:basedOn w:val="Norml"/>
    <w:next w:val="Norml"/>
    <w:link w:val="Cmsor6Char"/>
    <w:unhideWhenUsed/>
    <w:qFormat/>
    <w:rsid w:val="00DF5E0E"/>
    <w:pPr>
      <w:numPr>
        <w:ilvl w:val="5"/>
        <w:numId w:val="3"/>
      </w:numPr>
      <w:spacing w:before="75" w:after="75"/>
      <w:outlineLvl w:val="5"/>
    </w:pPr>
    <w:rPr>
      <w:color w:val="1F497D" w:themeColor="text2"/>
    </w:rPr>
  </w:style>
  <w:style w:type="paragraph" w:styleId="Cmsor7">
    <w:name w:val="heading 7"/>
    <w:basedOn w:val="Norml"/>
    <w:next w:val="Norml"/>
    <w:link w:val="Cmsor7Char"/>
    <w:uiPriority w:val="9"/>
    <w:semiHidden/>
    <w:unhideWhenUsed/>
    <w:qFormat/>
    <w:rsid w:val="00DF5E0E"/>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DF5E0E"/>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DF5E0E"/>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022984"/>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022984"/>
  </w:style>
  <w:style w:type="table" w:customStyle="1" w:styleId="tblzat-mtrix">
    <w:name w:val="táblázat - mátrix"/>
    <w:basedOn w:val="Normltblzat"/>
    <w:uiPriority w:val="2"/>
    <w:qFormat/>
    <w:rsid w:val="00DF5E0E"/>
    <w:pPr>
      <w:contextualSpacing/>
    </w:pPr>
    <w:rPr>
      <w:rFonts w:asciiTheme="majorHAnsi" w:hAnsiTheme="majorHAnsi" w:cstheme="minorBidi"/>
    </w:rPr>
    <w:tblPr>
      <w:tblStyleRowBandSize w:val="1"/>
      <w:tblStyleColBandSize w:val="1"/>
      <w:tblBorders>
        <w:top w:val="single" w:sz="2" w:space="0" w:color="4BACC6" w:themeColor="accent5"/>
        <w:left w:val="single" w:sz="2" w:space="0" w:color="4BACC6" w:themeColor="accent5"/>
        <w:bottom w:val="single" w:sz="2" w:space="0" w:color="4BACC6" w:themeColor="accent5"/>
        <w:right w:val="single" w:sz="2" w:space="0" w:color="4BACC6" w:themeColor="accent5"/>
        <w:insideH w:val="single" w:sz="2" w:space="0" w:color="4BACC6" w:themeColor="accent5"/>
        <w:insideV w:val="single" w:sz="2" w:space="0" w:color="4BACC6"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EECE1" w:themeFill="background2"/>
      </w:tcPr>
    </w:tblStylePr>
    <w:tblStylePr w:type="firstCol">
      <w:pPr>
        <w:jc w:val="left"/>
      </w:pPr>
      <w:rPr>
        <w:rFonts w:asciiTheme="majorHAnsi" w:hAnsiTheme="majorHAnsi"/>
        <w:sz w:val="20"/>
      </w:rPr>
      <w:tblPr/>
      <w:tcPr>
        <w:shd w:val="clear" w:color="auto" w:fill="EEECE1" w:themeFill="background2"/>
      </w:tcPr>
    </w:tblStylePr>
  </w:style>
  <w:style w:type="table" w:customStyle="1" w:styleId="tblzat-fejlces">
    <w:name w:val="táblázat - fejléces"/>
    <w:basedOn w:val="Normltblzat"/>
    <w:uiPriority w:val="1"/>
    <w:qFormat/>
    <w:rsid w:val="00DF5E0E"/>
    <w:pPr>
      <w:contextualSpacing/>
    </w:pPr>
    <w:rPr>
      <w:rFonts w:asciiTheme="majorHAnsi" w:hAnsiTheme="majorHAnsi" w:cstheme="minorBid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EECE1"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DF5E0E"/>
    <w:pPr>
      <w:numPr>
        <w:numId w:val="15"/>
      </w:numPr>
      <w:contextualSpacing/>
    </w:pPr>
  </w:style>
  <w:style w:type="character" w:styleId="Hiperhivatkozs">
    <w:name w:val="Hyperlink"/>
    <w:basedOn w:val="Vgjegyzet-hivatkozs"/>
    <w:uiPriority w:val="99"/>
    <w:rsid w:val="00DF5E0E"/>
    <w:rPr>
      <w:rFonts w:ascii="Calibri" w:hAnsi="Calibri"/>
      <w:color w:val="0000FF"/>
      <w:sz w:val="20"/>
      <w:u w:val="single"/>
      <w:vertAlign w:val="superscript"/>
    </w:rPr>
  </w:style>
  <w:style w:type="table" w:customStyle="1" w:styleId="tblzat-oldallces">
    <w:name w:val="táblázat - oldalléces"/>
    <w:basedOn w:val="Normltblzat"/>
    <w:uiPriority w:val="3"/>
    <w:qFormat/>
    <w:rsid w:val="00DF5E0E"/>
    <w:pPr>
      <w:contextualSpacing/>
    </w:pPr>
    <w:rPr>
      <w:rFonts w:asciiTheme="majorHAnsi" w:hAnsiTheme="majorHAnsi" w:cstheme="minorBid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EECE1" w:themeFill="background2"/>
      </w:tcPr>
    </w:tblStylePr>
  </w:style>
  <w:style w:type="character" w:styleId="Vgjegyzet-hivatkozs">
    <w:name w:val="endnote reference"/>
    <w:basedOn w:val="Bekezdsalapbettpusa"/>
    <w:semiHidden/>
    <w:rsid w:val="00DF5E0E"/>
    <w:rPr>
      <w:vertAlign w:val="superscript"/>
    </w:rPr>
  </w:style>
  <w:style w:type="paragraph" w:styleId="Buborkszveg">
    <w:name w:val="Balloon Text"/>
    <w:basedOn w:val="Norml"/>
    <w:link w:val="BuborkszvegChar"/>
    <w:uiPriority w:val="99"/>
    <w:semiHidden/>
    <w:unhideWhenUsed/>
    <w:rsid w:val="00DF5E0E"/>
    <w:rPr>
      <w:rFonts w:ascii="Tahoma" w:hAnsi="Tahoma" w:cs="Tahoma"/>
      <w:sz w:val="16"/>
      <w:szCs w:val="16"/>
    </w:rPr>
  </w:style>
  <w:style w:type="paragraph" w:customStyle="1" w:styleId="Magyarzszveg">
    <w:name w:val="Magyarázó szöveg"/>
    <w:basedOn w:val="Norml"/>
    <w:next w:val="Norml"/>
    <w:uiPriority w:val="7"/>
    <w:rsid w:val="00DF5E0E"/>
    <w:rPr>
      <w:color w:val="4BACC6" w:themeColor="accent5"/>
      <w:sz w:val="18"/>
    </w:rPr>
  </w:style>
  <w:style w:type="character" w:customStyle="1" w:styleId="BuborkszvegChar">
    <w:name w:val="Buborékszöveg Char"/>
    <w:basedOn w:val="Bekezdsalapbettpusa"/>
    <w:link w:val="Buborkszveg"/>
    <w:uiPriority w:val="99"/>
    <w:semiHidden/>
    <w:rsid w:val="00DF5E0E"/>
    <w:rPr>
      <w:rFonts w:ascii="Tahoma" w:eastAsiaTheme="minorHAnsi" w:hAnsi="Tahoma" w:cs="Tahoma"/>
      <w:sz w:val="16"/>
      <w:szCs w:val="16"/>
    </w:rPr>
  </w:style>
  <w:style w:type="paragraph" w:styleId="lfej">
    <w:name w:val="header"/>
    <w:basedOn w:val="Norml"/>
    <w:link w:val="lfejChar"/>
    <w:uiPriority w:val="99"/>
    <w:unhideWhenUsed/>
    <w:rsid w:val="00DF5E0E"/>
    <w:pPr>
      <w:tabs>
        <w:tab w:val="center" w:pos="4536"/>
        <w:tab w:val="right" w:pos="9072"/>
      </w:tabs>
    </w:pPr>
  </w:style>
  <w:style w:type="character" w:customStyle="1" w:styleId="lfejChar">
    <w:name w:val="Élőfej Char"/>
    <w:basedOn w:val="Bekezdsalapbettpusa"/>
    <w:link w:val="lfej"/>
    <w:uiPriority w:val="99"/>
    <w:rsid w:val="00DF5E0E"/>
    <w:rPr>
      <w:rFonts w:ascii="Calibri" w:eastAsiaTheme="minorHAnsi" w:hAnsi="Calibri" w:cstheme="minorBidi"/>
    </w:rPr>
  </w:style>
  <w:style w:type="paragraph" w:styleId="llb">
    <w:name w:val="footer"/>
    <w:basedOn w:val="Norml"/>
    <w:link w:val="llbChar"/>
    <w:uiPriority w:val="99"/>
    <w:unhideWhenUsed/>
    <w:rsid w:val="00DF5E0E"/>
    <w:pPr>
      <w:tabs>
        <w:tab w:val="center" w:pos="4536"/>
        <w:tab w:val="right" w:pos="9072"/>
      </w:tabs>
    </w:pPr>
  </w:style>
  <w:style w:type="character" w:customStyle="1" w:styleId="llbChar">
    <w:name w:val="Élőláb Char"/>
    <w:basedOn w:val="Bekezdsalapbettpusa"/>
    <w:link w:val="llb"/>
    <w:uiPriority w:val="99"/>
    <w:rsid w:val="00DF5E0E"/>
    <w:rPr>
      <w:rFonts w:ascii="Calibri" w:eastAsiaTheme="minorHAnsi" w:hAnsi="Calibri" w:cstheme="minorBidi"/>
    </w:rPr>
  </w:style>
  <w:style w:type="paragraph" w:customStyle="1" w:styleId="Szmozs">
    <w:name w:val="Számozás"/>
    <w:basedOn w:val="Norml"/>
    <w:uiPriority w:val="4"/>
    <w:qFormat/>
    <w:rsid w:val="00DF5E0E"/>
    <w:pPr>
      <w:numPr>
        <w:numId w:val="4"/>
      </w:numPr>
      <w:spacing w:before="120"/>
      <w:contextualSpacing/>
    </w:pPr>
  </w:style>
  <w:style w:type="table" w:styleId="Rcsostblzat">
    <w:name w:val="Table Grid"/>
    <w:aliases w:val="Szegély nélküli"/>
    <w:basedOn w:val="Normltblzat"/>
    <w:uiPriority w:val="59"/>
    <w:rsid w:val="00DF5E0E"/>
    <w:pPr>
      <w:contextualSpacing/>
    </w:pPr>
    <w:rPr>
      <w:rFonts w:ascii="Calibri" w:eastAsiaTheme="minorHAnsi" w:hAnsi="Calibri" w:cstheme="minorBidi"/>
    </w:rPr>
    <w:tblPr/>
    <w:tcPr>
      <w:vAlign w:val="center"/>
    </w:tcPr>
  </w:style>
  <w:style w:type="character" w:customStyle="1" w:styleId="Cmsor4Char">
    <w:name w:val="Címsor 4 Char"/>
    <w:basedOn w:val="Bekezdsalapbettpusa"/>
    <w:link w:val="Cmsor4"/>
    <w:rsid w:val="00DF5E0E"/>
    <w:rPr>
      <w:rFonts w:ascii="Calibri" w:eastAsiaTheme="minorHAnsi" w:hAnsi="Calibri" w:cstheme="minorBidi"/>
      <w:iCs/>
      <w:color w:val="1F497D" w:themeColor="text2"/>
      <w:szCs w:val="30"/>
    </w:rPr>
  </w:style>
  <w:style w:type="character" w:customStyle="1" w:styleId="Cmsor5Char">
    <w:name w:val="Címsor 5 Char"/>
    <w:basedOn w:val="Bekezdsalapbettpusa"/>
    <w:link w:val="Cmsor5"/>
    <w:rsid w:val="00DF5E0E"/>
    <w:rPr>
      <w:rFonts w:ascii="Calibri" w:eastAsiaTheme="minorHAnsi" w:hAnsi="Calibri" w:cstheme="minorBidi"/>
      <w:color w:val="1F497D" w:themeColor="text2"/>
      <w:szCs w:val="26"/>
    </w:rPr>
  </w:style>
  <w:style w:type="character" w:customStyle="1" w:styleId="Cmsor6Char">
    <w:name w:val="Címsor 6 Char"/>
    <w:basedOn w:val="Bekezdsalapbettpusa"/>
    <w:link w:val="Cmsor6"/>
    <w:rsid w:val="00DF5E0E"/>
    <w:rPr>
      <w:rFonts w:ascii="Calibri" w:eastAsiaTheme="minorHAnsi" w:hAnsi="Calibri" w:cstheme="minorBidi"/>
      <w:color w:val="1F497D" w:themeColor="text2"/>
    </w:rPr>
  </w:style>
  <w:style w:type="character" w:customStyle="1" w:styleId="Cmsor1Char">
    <w:name w:val="Címsor 1 Char"/>
    <w:basedOn w:val="Bekezdsalapbettpusa"/>
    <w:link w:val="Cmsor1"/>
    <w:rsid w:val="00DF5E0E"/>
    <w:rPr>
      <w:rFonts w:ascii="Calibri" w:eastAsiaTheme="majorEastAsia" w:hAnsi="Calibri" w:cstheme="majorBidi"/>
      <w:b/>
      <w:bCs/>
      <w:caps/>
      <w:color w:val="1F497D" w:themeColor="text2"/>
      <w:sz w:val="24"/>
      <w:szCs w:val="42"/>
    </w:rPr>
  </w:style>
  <w:style w:type="character" w:customStyle="1" w:styleId="Cmsor2Char">
    <w:name w:val="Címsor 2 Char"/>
    <w:basedOn w:val="Bekezdsalapbettpusa"/>
    <w:link w:val="Cmsor2"/>
    <w:rsid w:val="00DF5E0E"/>
    <w:rPr>
      <w:rFonts w:ascii="Calibri" w:eastAsiaTheme="minorHAnsi" w:hAnsi="Calibri" w:cstheme="minorBidi"/>
      <w:b/>
      <w:color w:val="1F497D" w:themeColor="text2"/>
      <w:sz w:val="24"/>
      <w:szCs w:val="38"/>
    </w:rPr>
  </w:style>
  <w:style w:type="character" w:customStyle="1" w:styleId="Cmsor3Char">
    <w:name w:val="Címsor 3 Char"/>
    <w:basedOn w:val="Bekezdsalapbettpusa"/>
    <w:link w:val="Cmsor3"/>
    <w:rsid w:val="00DF5E0E"/>
    <w:rPr>
      <w:rFonts w:ascii="Calibri" w:eastAsiaTheme="minorHAnsi" w:hAnsi="Calibri" w:cstheme="minorBidi"/>
      <w:bCs/>
      <w:color w:val="1F497D" w:themeColor="text2"/>
      <w:szCs w:val="34"/>
    </w:rPr>
  </w:style>
  <w:style w:type="paragraph" w:styleId="Cm">
    <w:name w:val="Title"/>
    <w:basedOn w:val="Norml"/>
    <w:next w:val="Norml"/>
    <w:link w:val="CmChar"/>
    <w:uiPriority w:val="3"/>
    <w:qFormat/>
    <w:rsid w:val="00DF5E0E"/>
    <w:pPr>
      <w:spacing w:after="300"/>
      <w:contextualSpacing/>
    </w:pPr>
    <w:rPr>
      <w:rFonts w:eastAsiaTheme="majorEastAsia" w:cstheme="majorBidi"/>
      <w:caps/>
      <w:color w:val="1F497D" w:themeColor="text2"/>
      <w:spacing w:val="5"/>
      <w:kern w:val="28"/>
      <w:szCs w:val="52"/>
    </w:rPr>
  </w:style>
  <w:style w:type="character" w:customStyle="1" w:styleId="CmChar">
    <w:name w:val="Cím Char"/>
    <w:basedOn w:val="Bekezdsalapbettpusa"/>
    <w:link w:val="Cm"/>
    <w:uiPriority w:val="3"/>
    <w:rsid w:val="00DF5E0E"/>
    <w:rPr>
      <w:rFonts w:ascii="Calibri" w:eastAsiaTheme="majorEastAsia" w:hAnsi="Calibri" w:cstheme="majorBidi"/>
      <w:caps/>
      <w:color w:val="1F497D" w:themeColor="text2"/>
      <w:spacing w:val="5"/>
      <w:kern w:val="28"/>
      <w:sz w:val="24"/>
      <w:szCs w:val="52"/>
    </w:rPr>
  </w:style>
  <w:style w:type="character" w:customStyle="1" w:styleId="Cmsor7Char">
    <w:name w:val="Címsor 7 Char"/>
    <w:basedOn w:val="Bekezdsalapbettpusa"/>
    <w:link w:val="Cmsor7"/>
    <w:uiPriority w:val="9"/>
    <w:semiHidden/>
    <w:rsid w:val="00DF5E0E"/>
    <w:rPr>
      <w:rFonts w:ascii="Calibri" w:eastAsiaTheme="majorEastAsia" w:hAnsi="Calibri" w:cstheme="majorBidi"/>
      <w:i/>
      <w:iCs/>
      <w:color w:val="404040" w:themeColor="text1" w:themeTint="BF"/>
    </w:rPr>
  </w:style>
  <w:style w:type="character" w:customStyle="1" w:styleId="Cmsor8Char">
    <w:name w:val="Címsor 8 Char"/>
    <w:basedOn w:val="Bekezdsalapbettpusa"/>
    <w:link w:val="Cmsor8"/>
    <w:uiPriority w:val="9"/>
    <w:semiHidden/>
    <w:rsid w:val="00DF5E0E"/>
    <w:rPr>
      <w:rFonts w:ascii="Calibri" w:eastAsiaTheme="majorEastAsia" w:hAnsi="Calibri" w:cstheme="majorBidi"/>
      <w:color w:val="404040" w:themeColor="text1" w:themeTint="BF"/>
    </w:rPr>
  </w:style>
  <w:style w:type="character" w:customStyle="1" w:styleId="Cmsor9Char">
    <w:name w:val="Címsor 9 Char"/>
    <w:basedOn w:val="Bekezdsalapbettpusa"/>
    <w:link w:val="Cmsor9"/>
    <w:uiPriority w:val="9"/>
    <w:semiHidden/>
    <w:rsid w:val="00DF5E0E"/>
    <w:rPr>
      <w:rFonts w:ascii="Calibri" w:eastAsiaTheme="majorEastAsia" w:hAnsi="Calibri" w:cstheme="majorBidi"/>
      <w:i/>
      <w:iCs/>
      <w:color w:val="404040" w:themeColor="text1" w:themeTint="BF"/>
    </w:rPr>
  </w:style>
  <w:style w:type="numbering" w:customStyle="1" w:styleId="Style1">
    <w:name w:val="Style1"/>
    <w:uiPriority w:val="99"/>
    <w:rsid w:val="00DF5E0E"/>
    <w:pPr>
      <w:numPr>
        <w:numId w:val="1"/>
      </w:numPr>
    </w:pPr>
  </w:style>
  <w:style w:type="paragraph" w:styleId="TJ7">
    <w:name w:val="toc 7"/>
    <w:basedOn w:val="Norml"/>
    <w:next w:val="Norml"/>
    <w:autoRedefine/>
    <w:uiPriority w:val="99"/>
    <w:semiHidden/>
    <w:locked/>
    <w:rsid w:val="00DF5E0E"/>
    <w:pPr>
      <w:spacing w:after="100"/>
      <w:ind w:left="1200"/>
    </w:pPr>
    <w:rPr>
      <w:color w:val="984806" w:themeColor="accent6" w:themeShade="80"/>
    </w:rPr>
  </w:style>
  <w:style w:type="paragraph" w:styleId="TJ8">
    <w:name w:val="toc 8"/>
    <w:basedOn w:val="Norml"/>
    <w:next w:val="Norml"/>
    <w:autoRedefine/>
    <w:uiPriority w:val="99"/>
    <w:semiHidden/>
    <w:locked/>
    <w:rsid w:val="00DF5E0E"/>
    <w:pPr>
      <w:spacing w:after="100"/>
      <w:ind w:left="1400"/>
    </w:pPr>
    <w:rPr>
      <w:color w:val="984806" w:themeColor="accent6" w:themeShade="80"/>
    </w:rPr>
  </w:style>
  <w:style w:type="paragraph" w:styleId="TJ9">
    <w:name w:val="toc 9"/>
    <w:basedOn w:val="Norml"/>
    <w:next w:val="Norml"/>
    <w:autoRedefine/>
    <w:uiPriority w:val="99"/>
    <w:semiHidden/>
    <w:locked/>
    <w:rsid w:val="00DF5E0E"/>
    <w:pPr>
      <w:spacing w:after="100"/>
      <w:ind w:left="1600"/>
    </w:pPr>
    <w:rPr>
      <w:color w:val="984806" w:themeColor="accent6" w:themeShade="80"/>
    </w:rPr>
  </w:style>
  <w:style w:type="table" w:customStyle="1" w:styleId="Calendar2">
    <w:name w:val="Calendar 2"/>
    <w:basedOn w:val="Normltblzat"/>
    <w:uiPriority w:val="99"/>
    <w:qFormat/>
    <w:rsid w:val="00DF5E0E"/>
    <w:pPr>
      <w:jc w:val="center"/>
    </w:pPr>
    <w:rPr>
      <w:rFonts w:ascii="Calibri" w:eastAsiaTheme="minorEastAsia" w:hAnsi="Calibri" w:cstheme="minorBidi"/>
      <w:szCs w:val="28"/>
      <w:lang w:val="en-US" w:eastAsia="en-US"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aliases w:val="Fodnotetekst Tegn Tegn Tegn Tegn Tegn Tegn Tegn,Fodnotetekst Tegn Tegn Tegn Tegn Tegn Tegn Tegn Char Char,Fodnotetekst Tegn Tegn Tegn Tegn Tegn Tegn Tegn Char Char Char Char,Fodnotetekst Tegn Tegn Tegn Tegn Tegn Tegn Tegn Tegn Tegn Tegn"/>
    <w:basedOn w:val="Norml"/>
    <w:link w:val="LbjegyzetszvegChar"/>
    <w:uiPriority w:val="99"/>
    <w:unhideWhenUsed/>
    <w:qFormat/>
    <w:rsid w:val="00DF5E0E"/>
    <w:rPr>
      <w:rFonts w:eastAsiaTheme="minorEastAsia"/>
      <w:color w:val="1F497D" w:themeColor="text2"/>
      <w:sz w:val="16"/>
    </w:rPr>
  </w:style>
  <w:style w:type="character" w:customStyle="1" w:styleId="LbjegyzetszvegChar">
    <w:name w:val="Lábjegyzetszöveg Char"/>
    <w:aliases w:val="Fodnotetekst Tegn Tegn Tegn Tegn Tegn Tegn Tegn Char,Fodnotetekst Tegn Tegn Tegn Tegn Tegn Tegn Tegn Char Char Char,Fodnotetekst Tegn Tegn Tegn Tegn Tegn Tegn Tegn Char Char Char Char Char"/>
    <w:basedOn w:val="Bekezdsalapbettpusa"/>
    <w:link w:val="Lbjegyzetszveg"/>
    <w:uiPriority w:val="99"/>
    <w:rsid w:val="00DF5E0E"/>
    <w:rPr>
      <w:rFonts w:ascii="Calibri" w:eastAsiaTheme="minorEastAsia" w:hAnsi="Calibri" w:cstheme="minorBidi"/>
      <w:color w:val="1F497D" w:themeColor="text2"/>
      <w:sz w:val="16"/>
    </w:rPr>
  </w:style>
  <w:style w:type="character" w:styleId="Finomkiemels">
    <w:name w:val="Subtle Emphasis"/>
    <w:basedOn w:val="Bekezdsalapbettpusa"/>
    <w:uiPriority w:val="19"/>
    <w:qFormat/>
    <w:rsid w:val="00DF5E0E"/>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DF5E0E"/>
    <w:rPr>
      <w:rFonts w:ascii="Calibri" w:eastAsiaTheme="minorEastAsia" w:hAnsi="Calibr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palrs">
    <w:name w:val="caption"/>
    <w:basedOn w:val="Norml"/>
    <w:next w:val="Norml"/>
    <w:uiPriority w:val="35"/>
    <w:unhideWhenUsed/>
    <w:qFormat/>
    <w:rsid w:val="00DF5E0E"/>
    <w:pPr>
      <w:spacing w:after="200"/>
    </w:pPr>
    <w:rPr>
      <w:b/>
      <w:bCs/>
      <w:color w:val="808080"/>
      <w:sz w:val="18"/>
      <w:szCs w:val="18"/>
    </w:rPr>
  </w:style>
  <w:style w:type="paragraph" w:styleId="Vgjegyzetszvege">
    <w:name w:val="endnote text"/>
    <w:basedOn w:val="Norml"/>
    <w:link w:val="VgjegyzetszvegeChar"/>
    <w:uiPriority w:val="99"/>
    <w:semiHidden/>
    <w:unhideWhenUsed/>
    <w:rsid w:val="00DF5E0E"/>
    <w:rPr>
      <w:color w:val="984806" w:themeColor="accent6" w:themeShade="80"/>
    </w:rPr>
  </w:style>
  <w:style w:type="character" w:customStyle="1" w:styleId="VgjegyzetszvegeChar">
    <w:name w:val="Végjegyzet szövege Char"/>
    <w:basedOn w:val="Bekezdsalapbettpusa"/>
    <w:link w:val="Vgjegyzetszvege"/>
    <w:uiPriority w:val="99"/>
    <w:semiHidden/>
    <w:rsid w:val="00DF5E0E"/>
    <w:rPr>
      <w:rFonts w:ascii="Calibri" w:eastAsiaTheme="minorHAnsi" w:hAnsi="Calibri" w:cstheme="minorBidi"/>
      <w:color w:val="984806" w:themeColor="accent6" w:themeShade="80"/>
    </w:rPr>
  </w:style>
  <w:style w:type="table" w:customStyle="1" w:styleId="Vilgosrnykols1jellszn1">
    <w:name w:val="Világos árnyékolás – 1. jelölőszín1"/>
    <w:basedOn w:val="Normltblzat"/>
    <w:uiPriority w:val="60"/>
    <w:rsid w:val="00DF5E0E"/>
    <w:rPr>
      <w:rFonts w:ascii="Calibri" w:eastAsiaTheme="minorHAnsi" w:hAnsi="Calibr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staszerbekezds2">
    <w:name w:val="Listaszerű bekezdés 2"/>
    <w:basedOn w:val="Listaszerbekezds"/>
    <w:link w:val="Listaszerbekezds2Char"/>
    <w:uiPriority w:val="4"/>
    <w:qFormat/>
    <w:rsid w:val="00DF5E0E"/>
    <w:pPr>
      <w:numPr>
        <w:numId w:val="5"/>
      </w:numPr>
    </w:pPr>
  </w:style>
  <w:style w:type="paragraph" w:customStyle="1" w:styleId="Tblaszvegstlus">
    <w:name w:val="Tábla szöveg stílus"/>
    <w:basedOn w:val="Norml"/>
    <w:link w:val="TblaszvegstlusChar"/>
    <w:uiPriority w:val="8"/>
    <w:qFormat/>
    <w:rsid w:val="00DF5E0E"/>
  </w:style>
  <w:style w:type="character" w:customStyle="1" w:styleId="ListaszerbekezdsChar">
    <w:name w:val="Listaszerű bekezdés Char"/>
    <w:basedOn w:val="Bekezdsalapbettpusa"/>
    <w:link w:val="Listaszerbekezds"/>
    <w:uiPriority w:val="4"/>
    <w:rsid w:val="00DF5E0E"/>
    <w:rPr>
      <w:rFonts w:ascii="Calibri" w:eastAsiaTheme="minorHAnsi" w:hAnsi="Calibri" w:cstheme="minorBidi"/>
    </w:rPr>
  </w:style>
  <w:style w:type="character" w:customStyle="1" w:styleId="Listaszerbekezds2Char">
    <w:name w:val="Listaszerű bekezdés 2 Char"/>
    <w:basedOn w:val="ListaszerbekezdsChar"/>
    <w:link w:val="Listaszerbekezds2"/>
    <w:uiPriority w:val="4"/>
    <w:rsid w:val="00DF5E0E"/>
    <w:rPr>
      <w:rFonts w:ascii="Calibri" w:eastAsiaTheme="minorHAnsi" w:hAnsi="Calibri" w:cstheme="minorBidi"/>
    </w:rPr>
  </w:style>
  <w:style w:type="character" w:customStyle="1" w:styleId="TblaszvegstlusChar">
    <w:name w:val="Tábla szöveg stílus Char"/>
    <w:basedOn w:val="Bekezdsalapbettpusa"/>
    <w:link w:val="Tblaszvegstlus"/>
    <w:uiPriority w:val="8"/>
    <w:rsid w:val="00DF5E0E"/>
    <w:rPr>
      <w:rFonts w:ascii="Calibri" w:eastAsiaTheme="minorHAnsi" w:hAnsi="Calibri" w:cstheme="minorBidi"/>
    </w:rPr>
  </w:style>
  <w:style w:type="character" w:styleId="Finomhivatkozs">
    <w:name w:val="Subtle Reference"/>
    <w:basedOn w:val="Bekezdsalapbettpusa"/>
    <w:uiPriority w:val="31"/>
    <w:rsid w:val="00DF5E0E"/>
    <w:rPr>
      <w:sz w:val="24"/>
      <w:szCs w:val="24"/>
      <w:u w:val="single"/>
    </w:rPr>
  </w:style>
  <w:style w:type="character" w:styleId="Ershivatkozs">
    <w:name w:val="Intense Reference"/>
    <w:basedOn w:val="Bekezdsalapbettpusa"/>
    <w:uiPriority w:val="32"/>
    <w:rsid w:val="00DF5E0E"/>
    <w:rPr>
      <w:b/>
      <w:sz w:val="24"/>
      <w:u w:val="single"/>
    </w:rPr>
  </w:style>
  <w:style w:type="paragraph" w:customStyle="1" w:styleId="Listaszerbekezds2szint">
    <w:name w:val="Listaszerű bekezdés 2. szint"/>
    <w:basedOn w:val="Listaszerbekezds"/>
    <w:link w:val="Listaszerbekezds2szintChar"/>
    <w:uiPriority w:val="4"/>
    <w:qFormat/>
    <w:rsid w:val="00DF5E0E"/>
    <w:pPr>
      <w:numPr>
        <w:numId w:val="7"/>
      </w:numPr>
    </w:pPr>
  </w:style>
  <w:style w:type="paragraph" w:customStyle="1" w:styleId="Listaszerbekezds3szint">
    <w:name w:val="Listaszerű bekezdés 3. szint"/>
    <w:basedOn w:val="Listaszerbekezds"/>
    <w:link w:val="Listaszerbekezds3szintChar"/>
    <w:uiPriority w:val="4"/>
    <w:qFormat/>
    <w:rsid w:val="00DF5E0E"/>
    <w:pPr>
      <w:numPr>
        <w:ilvl w:val="2"/>
        <w:numId w:val="17"/>
      </w:numPr>
    </w:pPr>
  </w:style>
  <w:style w:type="character" w:customStyle="1" w:styleId="Listaszerbekezds2szintChar">
    <w:name w:val="Listaszerű bekezdés 2. szint Char"/>
    <w:basedOn w:val="ListaszerbekezdsChar"/>
    <w:link w:val="Listaszerbekezds2szint"/>
    <w:uiPriority w:val="4"/>
    <w:rsid w:val="00DF5E0E"/>
    <w:rPr>
      <w:rFonts w:ascii="Calibri" w:eastAsiaTheme="minorHAnsi" w:hAnsi="Calibri" w:cstheme="minorBidi"/>
    </w:rPr>
  </w:style>
  <w:style w:type="character" w:customStyle="1" w:styleId="Listaszerbekezds3szintChar">
    <w:name w:val="Listaszerű bekezdés 3. szint Char"/>
    <w:basedOn w:val="ListaszerbekezdsChar"/>
    <w:link w:val="Listaszerbekezds3szint"/>
    <w:uiPriority w:val="4"/>
    <w:rsid w:val="00DF5E0E"/>
    <w:rPr>
      <w:rFonts w:ascii="Calibri" w:eastAsiaTheme="minorHAnsi" w:hAnsi="Calibri" w:cstheme="minorBidi"/>
    </w:rPr>
  </w:style>
  <w:style w:type="paragraph" w:styleId="Alcm">
    <w:name w:val="Subtitle"/>
    <w:basedOn w:val="Norml"/>
    <w:next w:val="Norml"/>
    <w:link w:val="AlcmChar"/>
    <w:uiPriority w:val="11"/>
    <w:rsid w:val="00DF5E0E"/>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DF5E0E"/>
    <w:rPr>
      <w:rFonts w:ascii="Calibri" w:eastAsiaTheme="majorEastAsia" w:hAnsi="Calibri" w:cstheme="majorBidi"/>
    </w:rPr>
  </w:style>
  <w:style w:type="paragraph" w:customStyle="1" w:styleId="Listabetvel">
    <w:name w:val="Lista betűvel"/>
    <w:basedOn w:val="Listaszerbekezds"/>
    <w:link w:val="ListabetvelChar"/>
    <w:uiPriority w:val="4"/>
    <w:qFormat/>
    <w:rsid w:val="00DF5E0E"/>
    <w:pPr>
      <w:numPr>
        <w:numId w:val="6"/>
      </w:numPr>
    </w:pPr>
  </w:style>
  <w:style w:type="character" w:customStyle="1" w:styleId="ListabetvelChar">
    <w:name w:val="Lista betűvel Char"/>
    <w:basedOn w:val="ListaszerbekezdsChar"/>
    <w:link w:val="Listabetvel"/>
    <w:uiPriority w:val="4"/>
    <w:rsid w:val="00DF5E0E"/>
    <w:rPr>
      <w:rFonts w:ascii="Calibri" w:eastAsiaTheme="minorHAnsi" w:hAnsi="Calibri" w:cstheme="minorBidi"/>
    </w:rPr>
  </w:style>
  <w:style w:type="paragraph" w:customStyle="1" w:styleId="Erskiemels1">
    <w:name w:val="Erős kiemelés1"/>
    <w:basedOn w:val="Norml"/>
    <w:link w:val="ErskiemelsChar"/>
    <w:uiPriority w:val="5"/>
    <w:qFormat/>
    <w:rsid w:val="00DF5E0E"/>
    <w:rPr>
      <w:b/>
      <w:i/>
    </w:rPr>
  </w:style>
  <w:style w:type="character" w:customStyle="1" w:styleId="ErskiemelsChar">
    <w:name w:val="Erős kiemelés Char"/>
    <w:basedOn w:val="Bekezdsalapbettpusa"/>
    <w:link w:val="Erskiemels1"/>
    <w:uiPriority w:val="5"/>
    <w:rsid w:val="00DF5E0E"/>
    <w:rPr>
      <w:rFonts w:ascii="Calibri" w:eastAsiaTheme="minorHAnsi" w:hAnsi="Calibri" w:cstheme="minorBidi"/>
      <w:b/>
      <w:i/>
    </w:rPr>
  </w:style>
  <w:style w:type="paragraph" w:customStyle="1" w:styleId="Bold">
    <w:name w:val="Bold"/>
    <w:basedOn w:val="Norml"/>
    <w:link w:val="BoldChar"/>
    <w:uiPriority w:val="6"/>
    <w:qFormat/>
    <w:rsid w:val="00DF5E0E"/>
    <w:rPr>
      <w:b/>
    </w:rPr>
  </w:style>
  <w:style w:type="character" w:customStyle="1" w:styleId="BoldChar">
    <w:name w:val="Bold Char"/>
    <w:basedOn w:val="Bekezdsalapbettpusa"/>
    <w:link w:val="Bold"/>
    <w:uiPriority w:val="6"/>
    <w:rsid w:val="00DF5E0E"/>
    <w:rPr>
      <w:rFonts w:ascii="Calibri" w:eastAsiaTheme="minorHAnsi" w:hAnsi="Calibri" w:cstheme="minorBidi"/>
      <w:b/>
    </w:rPr>
  </w:style>
  <w:style w:type="character" w:styleId="Mrltotthiperhivatkozs">
    <w:name w:val="FollowedHyperlink"/>
    <w:basedOn w:val="Bekezdsalapbettpusa"/>
    <w:uiPriority w:val="99"/>
    <w:semiHidden/>
    <w:unhideWhenUsed/>
    <w:rsid w:val="00DF5E0E"/>
    <w:rPr>
      <w:color w:val="800080" w:themeColor="followedHyperlink"/>
      <w:u w:val="single"/>
    </w:rPr>
  </w:style>
  <w:style w:type="paragraph" w:styleId="Tartalomjegyzkcmsora">
    <w:name w:val="TOC Heading"/>
    <w:basedOn w:val="Cmsor1"/>
    <w:next w:val="Norml"/>
    <w:uiPriority w:val="39"/>
    <w:unhideWhenUsed/>
    <w:qFormat/>
    <w:rsid w:val="00DF5E0E"/>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DF5E0E"/>
    <w:pPr>
      <w:spacing w:after="100"/>
      <w:ind w:left="220"/>
    </w:pPr>
    <w:rPr>
      <w:rFonts w:eastAsiaTheme="minorEastAsia"/>
    </w:rPr>
  </w:style>
  <w:style w:type="paragraph" w:styleId="TJ1">
    <w:name w:val="toc 1"/>
    <w:basedOn w:val="Norml"/>
    <w:next w:val="Norml"/>
    <w:autoRedefine/>
    <w:uiPriority w:val="39"/>
    <w:unhideWhenUsed/>
    <w:qFormat/>
    <w:locked/>
    <w:rsid w:val="00DF5E0E"/>
    <w:pPr>
      <w:spacing w:after="100"/>
    </w:pPr>
    <w:rPr>
      <w:rFonts w:eastAsiaTheme="minorEastAsia"/>
    </w:rPr>
  </w:style>
  <w:style w:type="paragraph" w:styleId="TJ3">
    <w:name w:val="toc 3"/>
    <w:basedOn w:val="Norml"/>
    <w:next w:val="Norml"/>
    <w:uiPriority w:val="39"/>
    <w:unhideWhenUsed/>
    <w:qFormat/>
    <w:locked/>
    <w:rsid w:val="00DF5E0E"/>
    <w:pPr>
      <w:spacing w:after="100"/>
      <w:ind w:left="400"/>
    </w:pPr>
  </w:style>
  <w:style w:type="paragraph" w:customStyle="1" w:styleId="StyleTOC2Left015">
    <w:name w:val="Style TOC 2 + Left:  0.15&quot;"/>
    <w:basedOn w:val="TJ2"/>
    <w:rsid w:val="00DF5E0E"/>
    <w:pPr>
      <w:ind w:left="216"/>
    </w:pPr>
    <w:rPr>
      <w:rFonts w:eastAsia="Times New Roman" w:cs="Times New Roman"/>
    </w:rPr>
  </w:style>
  <w:style w:type="paragraph" w:customStyle="1" w:styleId="StyleTOC3Left031">
    <w:name w:val="Style TOC 3 + Left:  0.31&quot;"/>
    <w:basedOn w:val="TJ3"/>
    <w:rsid w:val="00DF5E0E"/>
    <w:pPr>
      <w:ind w:left="446"/>
    </w:pPr>
    <w:rPr>
      <w:rFonts w:eastAsia="Times New Roman" w:cs="Times New Roman"/>
    </w:rPr>
  </w:style>
  <w:style w:type="numbering" w:customStyle="1" w:styleId="Hierarchikuslista">
    <w:name w:val="Hierarchikus lista"/>
    <w:uiPriority w:val="99"/>
    <w:rsid w:val="00DF5E0E"/>
    <w:pPr>
      <w:numPr>
        <w:numId w:val="2"/>
      </w:numPr>
    </w:pPr>
  </w:style>
  <w:style w:type="paragraph" w:customStyle="1" w:styleId="HierarchikusLista0">
    <w:name w:val="Hierarchikus Lista"/>
    <w:basedOn w:val="Listaszerbekezds"/>
    <w:link w:val="HierarchikusListaChar"/>
    <w:qFormat/>
    <w:rsid w:val="00DF5E0E"/>
    <w:pPr>
      <w:numPr>
        <w:numId w:val="0"/>
      </w:numPr>
    </w:pPr>
  </w:style>
  <w:style w:type="character" w:customStyle="1" w:styleId="HierarchikusListaChar">
    <w:name w:val="Hierarchikus Lista Char"/>
    <w:basedOn w:val="ListaszerbekezdsChar"/>
    <w:link w:val="HierarchikusLista0"/>
    <w:rsid w:val="00DF5E0E"/>
    <w:rPr>
      <w:rFonts w:ascii="Calibri" w:eastAsiaTheme="minorHAnsi" w:hAnsi="Calibri" w:cstheme="minorBidi"/>
    </w:rPr>
  </w:style>
  <w:style w:type="character" w:customStyle="1" w:styleId="Kiemels21">
    <w:name w:val="Kiemelés 21"/>
    <w:uiPriority w:val="22"/>
    <w:rsid w:val="00A23541"/>
    <w:rPr>
      <w:b/>
      <w:bCs/>
    </w:rPr>
  </w:style>
  <w:style w:type="character" w:styleId="Kiemels">
    <w:name w:val="Emphasis"/>
    <w:basedOn w:val="Bekezdsalapbettpusa"/>
    <w:uiPriority w:val="6"/>
    <w:qFormat/>
    <w:rsid w:val="00DF5E0E"/>
    <w:rPr>
      <w:i/>
      <w:iCs/>
    </w:rPr>
  </w:style>
  <w:style w:type="paragraph" w:styleId="Nincstrkz">
    <w:name w:val="No Spacing"/>
    <w:basedOn w:val="Norml"/>
    <w:uiPriority w:val="1"/>
    <w:rsid w:val="00DF5E0E"/>
    <w:rPr>
      <w:szCs w:val="32"/>
    </w:rPr>
  </w:style>
  <w:style w:type="paragraph" w:styleId="Idzet">
    <w:name w:val="Quote"/>
    <w:basedOn w:val="Norml"/>
    <w:next w:val="Norml"/>
    <w:link w:val="IdzetChar"/>
    <w:uiPriority w:val="29"/>
    <w:rsid w:val="00DF5E0E"/>
    <w:rPr>
      <w:i/>
    </w:rPr>
  </w:style>
  <w:style w:type="character" w:customStyle="1" w:styleId="IdzetChar">
    <w:name w:val="Idézet Char"/>
    <w:basedOn w:val="Bekezdsalapbettpusa"/>
    <w:link w:val="Idzet"/>
    <w:uiPriority w:val="29"/>
    <w:rsid w:val="00DF5E0E"/>
    <w:rPr>
      <w:rFonts w:ascii="Calibri" w:eastAsiaTheme="minorHAnsi" w:hAnsi="Calibri" w:cstheme="minorBidi"/>
      <w:i/>
    </w:rPr>
  </w:style>
  <w:style w:type="paragraph" w:styleId="Kiemeltidzet">
    <w:name w:val="Intense Quote"/>
    <w:basedOn w:val="Norml"/>
    <w:next w:val="Norml"/>
    <w:link w:val="KiemeltidzetChar"/>
    <w:uiPriority w:val="30"/>
    <w:rsid w:val="00DF5E0E"/>
    <w:pPr>
      <w:ind w:left="720" w:right="720"/>
    </w:pPr>
    <w:rPr>
      <w:b/>
      <w:i/>
    </w:rPr>
  </w:style>
  <w:style w:type="character" w:customStyle="1" w:styleId="KiemeltidzetChar">
    <w:name w:val="Kiemelt idézet Char"/>
    <w:basedOn w:val="Bekezdsalapbettpusa"/>
    <w:link w:val="Kiemeltidzet"/>
    <w:uiPriority w:val="30"/>
    <w:rsid w:val="00DF5E0E"/>
    <w:rPr>
      <w:rFonts w:ascii="Calibri" w:eastAsiaTheme="minorHAnsi" w:hAnsi="Calibri" w:cstheme="minorBidi"/>
      <w:b/>
      <w:i/>
    </w:rPr>
  </w:style>
  <w:style w:type="character" w:customStyle="1" w:styleId="Erskiemels2">
    <w:name w:val="Erős kiemelés2"/>
    <w:uiPriority w:val="21"/>
    <w:rsid w:val="00A23541"/>
    <w:rPr>
      <w:b/>
      <w:i/>
      <w:sz w:val="24"/>
      <w:szCs w:val="24"/>
      <w:u w:val="single"/>
    </w:rPr>
  </w:style>
  <w:style w:type="character" w:styleId="Knyvcme">
    <w:name w:val="Book Title"/>
    <w:basedOn w:val="Bekezdsalapbettpusa"/>
    <w:uiPriority w:val="33"/>
    <w:rsid w:val="00DF5E0E"/>
    <w:rPr>
      <w:rFonts w:ascii="Calibri" w:eastAsiaTheme="majorEastAsia" w:hAnsi="Calibri"/>
      <w:b/>
      <w:i/>
      <w:sz w:val="24"/>
      <w:szCs w:val="24"/>
    </w:rPr>
  </w:style>
  <w:style w:type="paragraph" w:customStyle="1" w:styleId="Szvegdobozstlus">
    <w:name w:val="Szövegdoboz stílus"/>
    <w:basedOn w:val="HierarchikusLista0"/>
    <w:qFormat/>
    <w:rsid w:val="00DF5E0E"/>
    <w:rPr>
      <w:b/>
      <w:i/>
      <w:color w:val="009EE0"/>
    </w:rPr>
  </w:style>
  <w:style w:type="table" w:customStyle="1" w:styleId="Rcsos">
    <w:name w:val="Rácsos"/>
    <w:basedOn w:val="Normltblzat"/>
    <w:uiPriority w:val="99"/>
    <w:rsid w:val="00DF5E0E"/>
    <w:rPr>
      <w:rFonts w:asciiTheme="majorHAnsi" w:eastAsiaTheme="minorHAnsi" w:hAnsiTheme="majorHAnsi" w:cstheme="minorBidi"/>
      <w:color w:val="4BACC6" w:themeColor="accent5"/>
    </w:rPr>
    <w:tblPr>
      <w:tblStyleRowBandSize w:val="1"/>
      <w:tblStyleColBandSize w:val="1"/>
      <w:tblBorders>
        <w:top w:val="single" w:sz="4" w:space="0" w:color="4BACC6" w:themeColor="accent5"/>
        <w:left w:val="single" w:sz="4" w:space="0" w:color="4BACC6" w:themeColor="accent5"/>
        <w:bottom w:val="single" w:sz="48" w:space="0" w:color="4BACC6" w:themeColor="accent5"/>
        <w:right w:val="single" w:sz="4" w:space="0" w:color="4BACC6" w:themeColor="accent5"/>
        <w:insideV w:val="single" w:sz="4" w:space="0" w:color="4BACC6" w:themeColor="accent5"/>
      </w:tblBorders>
    </w:tblPr>
    <w:tcPr>
      <w:shd w:val="clear" w:color="auto" w:fill="auto"/>
      <w:tcMar>
        <w:top w:w="170" w:type="dxa"/>
      </w:tcMar>
      <w:vAlign w:val="center"/>
    </w:tcPr>
    <w:tblStylePr w:type="firstRow">
      <w:rPr>
        <w:rFonts w:asciiTheme="majorHAnsi" w:hAnsiTheme="majorHAnsi"/>
        <w:b w:val="0"/>
        <w:i w:val="0"/>
        <w:color w:val="4BACC6" w:themeColor="accent5"/>
        <w:sz w:val="36"/>
      </w:rPr>
      <w:tblPr/>
      <w:tcPr>
        <w:tcBorders>
          <w:top w:val="single" w:sz="8" w:space="0" w:color="4BACC6" w:themeColor="accent5"/>
          <w:left w:val="single" w:sz="8" w:space="0" w:color="4BACC6" w:themeColor="accent5"/>
          <w:bottom w:val="single" w:sz="24" w:space="0" w:color="4BACC6" w:themeColor="accent5"/>
          <w:right w:val="single" w:sz="8" w:space="0" w:color="4BACC6" w:themeColor="accent5"/>
          <w:insideH w:val="nil"/>
          <w:insideV w:val="nil"/>
          <w:tl2br w:val="nil"/>
          <w:tr2bl w:val="nil"/>
        </w:tcBorders>
        <w:shd w:val="clear" w:color="auto" w:fill="EEECE1" w:themeFill="background2"/>
      </w:tcPr>
    </w:tblStylePr>
    <w:tblStylePr w:type="band2Horz">
      <w:tblPr/>
      <w:tcPr>
        <w:shd w:val="clear" w:color="auto" w:fill="F4F3EC" w:themeFill="background2" w:themeFillTint="99"/>
      </w:tcPr>
    </w:tblStylePr>
  </w:style>
  <w:style w:type="paragraph" w:styleId="Szvegtrzs2">
    <w:name w:val="Body Text 2"/>
    <w:basedOn w:val="Norml"/>
    <w:link w:val="Szvegtrzs2Char"/>
    <w:uiPriority w:val="99"/>
    <w:unhideWhenUsed/>
    <w:rsid w:val="00A23541"/>
    <w:pPr>
      <w:spacing w:after="120" w:line="480" w:lineRule="auto"/>
    </w:pPr>
  </w:style>
  <w:style w:type="character" w:customStyle="1" w:styleId="Szvegtrzs2Char">
    <w:name w:val="Szövegtörzs 2 Char"/>
    <w:link w:val="Szvegtrzs2"/>
    <w:uiPriority w:val="99"/>
    <w:rsid w:val="00A23541"/>
    <w:rPr>
      <w:rFonts w:ascii="Calibri" w:eastAsia="Calibri" w:hAnsi="Calibri" w:cs="Times New Roman"/>
      <w:sz w:val="22"/>
      <w:szCs w:val="22"/>
      <w:lang w:eastAsia="en-US"/>
    </w:rPr>
  </w:style>
  <w:style w:type="paragraph" w:styleId="Szvegtrzsbehzssal3">
    <w:name w:val="Body Text Indent 3"/>
    <w:basedOn w:val="Norml"/>
    <w:link w:val="Szvegtrzsbehzssal3Char"/>
    <w:uiPriority w:val="99"/>
    <w:semiHidden/>
    <w:rsid w:val="00A23541"/>
    <w:pPr>
      <w:spacing w:after="120"/>
      <w:ind w:left="283"/>
    </w:pPr>
    <w:rPr>
      <w:rFonts w:ascii="Garamond" w:hAnsi="Garamond"/>
      <w:sz w:val="16"/>
      <w:szCs w:val="16"/>
    </w:rPr>
  </w:style>
  <w:style w:type="character" w:customStyle="1" w:styleId="Szvegtrzsbehzssal3Char">
    <w:name w:val="Szövegtörzs behúzással 3 Char"/>
    <w:link w:val="Szvegtrzsbehzssal3"/>
    <w:uiPriority w:val="99"/>
    <w:semiHidden/>
    <w:rsid w:val="00A23541"/>
    <w:rPr>
      <w:rFonts w:ascii="Garamond" w:eastAsia="Calibri" w:hAnsi="Garamond" w:cs="Times New Roman"/>
      <w:sz w:val="16"/>
      <w:szCs w:val="16"/>
      <w:lang w:eastAsia="en-US"/>
    </w:rPr>
  </w:style>
  <w:style w:type="character" w:styleId="Lbjegyzet-hivatkozs">
    <w:name w:val="footnote reference"/>
    <w:aliases w:val="C26 Footnote Number,Footnote Reference Number,Footnote Reference1,Footnote Reference_LVL6,Footnote Reference_LVL61,Footnote Reference_LVL62,Footnote Reference_LVL63,Footnote Reference_LVL64,Footnote Reference_LVL65,Footnote symbol"/>
    <w:uiPriority w:val="99"/>
    <w:rsid w:val="00A23541"/>
    <w:rPr>
      <w:rFonts w:cs="Times New Roman"/>
      <w:vertAlign w:val="superscript"/>
    </w:rPr>
  </w:style>
  <w:style w:type="paragraph" w:customStyle="1" w:styleId="par">
    <w:name w:val="par"/>
    <w:basedOn w:val="Norml"/>
    <w:uiPriority w:val="99"/>
    <w:rsid w:val="00A23541"/>
    <w:pPr>
      <w:keepNext/>
      <w:tabs>
        <w:tab w:val="left" w:pos="284"/>
        <w:tab w:val="left" w:pos="851"/>
      </w:tabs>
      <w:jc w:val="center"/>
    </w:pPr>
    <w:rPr>
      <w:rFonts w:ascii="Arial" w:hAnsi="Arial"/>
    </w:rPr>
  </w:style>
  <w:style w:type="character" w:styleId="Oldalszm">
    <w:name w:val="page number"/>
    <w:uiPriority w:val="99"/>
    <w:rsid w:val="00A23541"/>
    <w:rPr>
      <w:rFonts w:cs="Times New Roman"/>
    </w:rPr>
  </w:style>
  <w:style w:type="paragraph" w:customStyle="1" w:styleId="BEKA">
    <w:name w:val="BEKA"/>
    <w:basedOn w:val="Norml"/>
    <w:uiPriority w:val="99"/>
    <w:rsid w:val="00A23541"/>
    <w:pPr>
      <w:tabs>
        <w:tab w:val="left" w:pos="284"/>
        <w:tab w:val="left" w:pos="851"/>
      </w:tabs>
    </w:pPr>
  </w:style>
  <w:style w:type="paragraph" w:customStyle="1" w:styleId="cm2">
    <w:name w:val="cím2"/>
    <w:basedOn w:val="Norml"/>
    <w:uiPriority w:val="99"/>
    <w:rsid w:val="00A23541"/>
    <w:pPr>
      <w:tabs>
        <w:tab w:val="left" w:pos="284"/>
        <w:tab w:val="left" w:pos="851"/>
      </w:tabs>
      <w:jc w:val="center"/>
    </w:pPr>
    <w:rPr>
      <w:rFonts w:ascii="Arial" w:hAnsi="Arial"/>
      <w:b/>
      <w:caps/>
    </w:rPr>
  </w:style>
  <w:style w:type="character" w:styleId="Jegyzethivatkozs">
    <w:name w:val="annotation reference"/>
    <w:uiPriority w:val="99"/>
    <w:semiHidden/>
    <w:unhideWhenUsed/>
    <w:rsid w:val="00A23541"/>
    <w:rPr>
      <w:sz w:val="16"/>
      <w:szCs w:val="16"/>
    </w:rPr>
  </w:style>
  <w:style w:type="paragraph" w:styleId="Jegyzetszveg">
    <w:name w:val="annotation text"/>
    <w:basedOn w:val="Norml"/>
    <w:link w:val="JegyzetszvegChar"/>
    <w:uiPriority w:val="99"/>
    <w:unhideWhenUsed/>
    <w:rsid w:val="00A23541"/>
    <w:pPr>
      <w:spacing w:line="240" w:lineRule="auto"/>
    </w:pPr>
  </w:style>
  <w:style w:type="character" w:customStyle="1" w:styleId="JegyzetszvegChar">
    <w:name w:val="Jegyzetszöveg Char"/>
    <w:link w:val="Jegyzetszveg"/>
    <w:uiPriority w:val="99"/>
    <w:rsid w:val="00A23541"/>
    <w:rPr>
      <w:rFonts w:ascii="Calibri" w:eastAsia="Calibri" w:hAnsi="Calibri" w:cs="Times New Roman"/>
      <w:sz w:val="22"/>
      <w:lang w:eastAsia="en-US"/>
    </w:rPr>
  </w:style>
  <w:style w:type="paragraph" w:styleId="Megjegyzstrgya">
    <w:name w:val="annotation subject"/>
    <w:basedOn w:val="Jegyzetszveg"/>
    <w:next w:val="Jegyzetszveg"/>
    <w:link w:val="MegjegyzstrgyaChar"/>
    <w:uiPriority w:val="99"/>
    <w:semiHidden/>
    <w:unhideWhenUsed/>
    <w:rsid w:val="00A23541"/>
    <w:rPr>
      <w:b/>
      <w:bCs/>
    </w:rPr>
  </w:style>
  <w:style w:type="character" w:customStyle="1" w:styleId="MegjegyzstrgyaChar">
    <w:name w:val="Megjegyzés tárgya Char"/>
    <w:link w:val="Megjegyzstrgya"/>
    <w:uiPriority w:val="99"/>
    <w:semiHidden/>
    <w:rsid w:val="00A23541"/>
    <w:rPr>
      <w:rFonts w:ascii="Calibri" w:eastAsia="Calibri" w:hAnsi="Calibri" w:cs="Times New Roman"/>
      <w:b/>
      <w:bCs/>
      <w:sz w:val="22"/>
      <w:lang w:eastAsia="en-US"/>
    </w:rPr>
  </w:style>
  <w:style w:type="paragraph" w:styleId="Vltozat">
    <w:name w:val="Revision"/>
    <w:hidden/>
    <w:uiPriority w:val="99"/>
    <w:semiHidden/>
    <w:rsid w:val="00A23541"/>
    <w:rPr>
      <w:rFonts w:ascii="Calibri" w:hAnsi="Calibri"/>
      <w:szCs w:val="22"/>
    </w:rPr>
  </w:style>
  <w:style w:type="paragraph" w:customStyle="1" w:styleId="Default">
    <w:name w:val="Default"/>
    <w:rsid w:val="00C43FBE"/>
    <w:pPr>
      <w:autoSpaceDE w:val="0"/>
      <w:autoSpaceDN w:val="0"/>
      <w:adjustRightInd w:val="0"/>
    </w:pPr>
    <w:rPr>
      <w:rFonts w:ascii="Calibri" w:hAnsi="Calibri" w:cs="Calibri"/>
      <w:color w:val="000000"/>
      <w:sz w:val="24"/>
      <w:szCs w:val="24"/>
    </w:rPr>
  </w:style>
  <w:style w:type="paragraph" w:customStyle="1" w:styleId="felsorolsos">
    <w:name w:val="felsorolásos"/>
    <w:basedOn w:val="Norml"/>
    <w:link w:val="felsorolsosChar"/>
    <w:qFormat/>
    <w:rsid w:val="00C662A1"/>
    <w:pPr>
      <w:numPr>
        <w:numId w:val="9"/>
      </w:numPr>
      <w:spacing w:after="120" w:line="240" w:lineRule="auto"/>
    </w:pPr>
    <w:rPr>
      <w:rFonts w:eastAsia="Times New Roman"/>
      <w:szCs w:val="24"/>
    </w:rPr>
  </w:style>
  <w:style w:type="character" w:customStyle="1" w:styleId="felsorolsosChar">
    <w:name w:val="felsorolásos Char"/>
    <w:link w:val="felsorolsos"/>
    <w:rsid w:val="00C662A1"/>
    <w:rPr>
      <w:rFonts w:ascii="Calibri" w:eastAsia="Times New Roman" w:hAnsi="Calibri"/>
      <w:sz w:val="22"/>
      <w:szCs w:val="24"/>
    </w:rPr>
  </w:style>
  <w:style w:type="paragraph" w:customStyle="1" w:styleId="alfelsorols">
    <w:name w:val="alfelsorolás"/>
    <w:basedOn w:val="Norml"/>
    <w:link w:val="alfelsorolsChar"/>
    <w:autoRedefine/>
    <w:qFormat/>
    <w:rsid w:val="00C662A1"/>
    <w:pPr>
      <w:numPr>
        <w:ilvl w:val="1"/>
        <w:numId w:val="10"/>
      </w:numPr>
      <w:spacing w:after="120" w:line="240" w:lineRule="auto"/>
    </w:pPr>
    <w:rPr>
      <w:rFonts w:eastAsia="Times New Roman"/>
      <w:color w:val="000000"/>
    </w:rPr>
  </w:style>
  <w:style w:type="character" w:customStyle="1" w:styleId="alfelsorolsChar">
    <w:name w:val="alfelsorolás Char"/>
    <w:link w:val="alfelsorols"/>
    <w:rsid w:val="00C662A1"/>
    <w:rPr>
      <w:rFonts w:ascii="Calibri" w:eastAsia="Times New Roman" w:hAnsi="Calibri"/>
      <w:color w:val="000000"/>
      <w:sz w:val="22"/>
    </w:rPr>
  </w:style>
  <w:style w:type="paragraph" w:customStyle="1" w:styleId="Fejezet">
    <w:name w:val="Fejezet"/>
    <w:basedOn w:val="Cmsor1"/>
    <w:qFormat/>
    <w:rsid w:val="00C662A1"/>
    <w:pPr>
      <w:keepNext w:val="0"/>
      <w:keepLines w:val="0"/>
      <w:widowControl w:val="0"/>
      <w:spacing w:before="0" w:after="120" w:line="240" w:lineRule="auto"/>
      <w:jc w:val="both"/>
    </w:pPr>
    <w:rPr>
      <w:rFonts w:ascii="Times New Roman" w:hAnsi="Times New Roman"/>
      <w:b w:val="0"/>
      <w:caps w:val="0"/>
      <w:color w:val="auto"/>
      <w:szCs w:val="22"/>
    </w:rPr>
  </w:style>
  <w:style w:type="paragraph" w:customStyle="1" w:styleId="doc-ti">
    <w:name w:val="doc-ti"/>
    <w:basedOn w:val="Norml"/>
    <w:rsid w:val="00880ED2"/>
    <w:pPr>
      <w:spacing w:before="194" w:after="97" w:line="240" w:lineRule="auto"/>
      <w:jc w:val="center"/>
    </w:pPr>
    <w:rPr>
      <w:rFonts w:ascii="Times New Roman" w:eastAsia="Times New Roman" w:hAnsi="Times New Roman"/>
      <w:b/>
      <w:bCs/>
      <w:szCs w:val="24"/>
    </w:rPr>
  </w:style>
  <w:style w:type="paragraph" w:styleId="NormlWeb">
    <w:name w:val="Normal (Web)"/>
    <w:basedOn w:val="Norml"/>
    <w:uiPriority w:val="99"/>
    <w:semiHidden/>
    <w:unhideWhenUsed/>
    <w:rsid w:val="001A3AA1"/>
    <w:pPr>
      <w:spacing w:before="100" w:beforeAutospacing="1" w:after="100" w:afterAutospacing="1" w:line="240" w:lineRule="auto"/>
    </w:pPr>
    <w:rPr>
      <w:rFonts w:ascii="Times New Roman" w:eastAsia="Times New Roman" w:hAnsi="Times New Roman"/>
      <w:szCs w:val="24"/>
    </w:rPr>
  </w:style>
  <w:style w:type="character" w:styleId="Kiemels2">
    <w:name w:val="Strong"/>
    <w:basedOn w:val="Bekezdsalapbettpusa"/>
    <w:uiPriority w:val="22"/>
    <w:rsid w:val="00DF5E0E"/>
    <w:rPr>
      <w:b/>
      <w:bCs/>
    </w:rPr>
  </w:style>
  <w:style w:type="character" w:styleId="Erskiemels">
    <w:name w:val="Intense Emphasis"/>
    <w:basedOn w:val="Bekezdsalapbettpusa"/>
    <w:uiPriority w:val="21"/>
    <w:rsid w:val="00DF5E0E"/>
    <w:rPr>
      <w:b/>
      <w:i/>
      <w:sz w:val="24"/>
      <w:szCs w:val="24"/>
      <w:u w:val="single"/>
    </w:rPr>
  </w:style>
  <w:style w:type="paragraph" w:customStyle="1" w:styleId="Erskiemels3">
    <w:name w:val="Erős kiemelés3"/>
    <w:basedOn w:val="Norml"/>
    <w:uiPriority w:val="5"/>
    <w:qFormat/>
    <w:rsid w:val="008C7974"/>
    <w:rPr>
      <w:b/>
      <w:i/>
    </w:rPr>
  </w:style>
  <w:style w:type="paragraph" w:customStyle="1" w:styleId="ENBoxtitle">
    <w:name w:val="EN_Box_title"/>
    <w:basedOn w:val="Norml"/>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DF5E0E"/>
    <w:pPr>
      <w:keepNext/>
      <w:spacing w:after="40"/>
      <w:jc w:val="center"/>
    </w:pPr>
    <w:rPr>
      <w:b/>
      <w:bCs/>
      <w:color w:val="808080"/>
      <w:szCs w:val="18"/>
    </w:rPr>
  </w:style>
  <w:style w:type="paragraph" w:customStyle="1" w:styleId="ENCaption2Col">
    <w:name w:val="EN_Caption_2Col"/>
    <w:basedOn w:val="Norml"/>
    <w:next w:val="Norml"/>
    <w:uiPriority w:val="1"/>
    <w:qFormat/>
    <w:rsid w:val="00DF5E0E"/>
    <w:pPr>
      <w:keepNext/>
      <w:spacing w:after="40"/>
    </w:pPr>
    <w:rPr>
      <w:b/>
      <w:bCs/>
      <w:color w:val="808080"/>
      <w:szCs w:val="18"/>
    </w:rPr>
  </w:style>
  <w:style w:type="paragraph" w:customStyle="1" w:styleId="ENCaptionBox">
    <w:name w:val="EN_Caption_Box"/>
    <w:basedOn w:val="Norml"/>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DF5E0E"/>
    <w:pPr>
      <w:keepNext/>
      <w:pageBreakBefore/>
      <w:numPr>
        <w:numId w:val="1"/>
      </w:numPr>
      <w:spacing w:before="480" w:after="210"/>
      <w:ind w:left="227" w:hanging="227"/>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DF5E0E"/>
    <w:pPr>
      <w:keepNext/>
      <w:pageBreakBefore/>
      <w:spacing w:before="480" w:after="210"/>
      <w:ind w:left="227" w:hanging="227"/>
    </w:pPr>
    <w:rPr>
      <w:caps/>
      <w:color w:val="1F497D" w:themeColor="text2"/>
    </w:rPr>
  </w:style>
  <w:style w:type="paragraph" w:customStyle="1" w:styleId="ENFootnote">
    <w:name w:val="EN_Footnote"/>
    <w:basedOn w:val="Norml"/>
    <w:uiPriority w:val="1"/>
    <w:qFormat/>
    <w:rsid w:val="00DF5E0E"/>
    <w:rPr>
      <w:rFonts w:eastAsiaTheme="minorEastAsia"/>
      <w:color w:val="808080"/>
      <w:sz w:val="18"/>
    </w:rPr>
  </w:style>
  <w:style w:type="paragraph" w:customStyle="1" w:styleId="ENNormal">
    <w:name w:val="EN_Normal"/>
    <w:basedOn w:val="Norml"/>
    <w:uiPriority w:val="1"/>
    <w:qFormat/>
    <w:rsid w:val="00DF5E0E"/>
  </w:style>
  <w:style w:type="paragraph" w:customStyle="1" w:styleId="ENNormalBox">
    <w:name w:val="EN_Normal_Box"/>
    <w:basedOn w:val="Norml"/>
    <w:uiPriority w:val="1"/>
    <w:qFormat/>
    <w:rsid w:val="00DF5E0E"/>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pPr>
  </w:style>
  <w:style w:type="paragraph" w:customStyle="1" w:styleId="ENNote1Col">
    <w:name w:val="EN_Note_1Col"/>
    <w:basedOn w:val="Norml"/>
    <w:next w:val="ENNormal"/>
    <w:uiPriority w:val="1"/>
    <w:qFormat/>
    <w:rsid w:val="00DF5E0E"/>
    <w:pPr>
      <w:keepLines/>
      <w:jc w:val="center"/>
    </w:pPr>
    <w:rPr>
      <w:color w:val="808080"/>
      <w:sz w:val="18"/>
    </w:rPr>
  </w:style>
  <w:style w:type="paragraph" w:customStyle="1" w:styleId="ENNote2Col">
    <w:name w:val="EN_Note_2Col"/>
    <w:basedOn w:val="Norml"/>
    <w:next w:val="ENNormal"/>
    <w:uiPriority w:val="1"/>
    <w:qFormat/>
    <w:rsid w:val="00DF5E0E"/>
    <w:pPr>
      <w:keepLines/>
    </w:pPr>
    <w:rPr>
      <w:color w:val="808080"/>
      <w:sz w:val="18"/>
    </w:rPr>
  </w:style>
  <w:style w:type="paragraph" w:customStyle="1" w:styleId="ENNoteBox">
    <w:name w:val="EN_Note_Box"/>
    <w:basedOn w:val="Norml"/>
    <w:next w:val="ENNormalBox"/>
    <w:uiPriority w:val="1"/>
    <w:qFormat/>
    <w:rsid w:val="00DF5E0E"/>
    <w:pPr>
      <w:keepLines/>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DF5E0E"/>
    <w:pPr>
      <w:keepNext/>
      <w:numPr>
        <w:ilvl w:val="1"/>
        <w:numId w:val="1"/>
      </w:numPr>
      <w:spacing w:before="210" w:after="75"/>
      <w:outlineLvl w:val="1"/>
    </w:pPr>
    <w:rPr>
      <w:b/>
      <w:color w:val="1F497D" w:themeColor="text2"/>
      <w:szCs w:val="38"/>
    </w:rPr>
  </w:style>
  <w:style w:type="paragraph" w:customStyle="1" w:styleId="ENSubsectionTitle">
    <w:name w:val="EN_Subsection_Title"/>
    <w:basedOn w:val="Norml"/>
    <w:next w:val="ENNormal"/>
    <w:uiPriority w:val="1"/>
    <w:rsid w:val="00DF5E0E"/>
    <w:pPr>
      <w:keepNext/>
      <w:numPr>
        <w:ilvl w:val="2"/>
        <w:numId w:val="1"/>
      </w:numPr>
      <w:spacing w:before="75" w:after="75"/>
      <w:ind w:left="595" w:hanging="595"/>
      <w:outlineLvl w:val="2"/>
    </w:pPr>
    <w:rPr>
      <w:bCs/>
      <w:color w:val="1F497D" w:themeColor="text2"/>
      <w:szCs w:val="34"/>
    </w:rPr>
  </w:style>
  <w:style w:type="paragraph" w:customStyle="1" w:styleId="HUBoxTitle">
    <w:name w:val="HU_Box_Title"/>
    <w:basedOn w:val="Kpalrs"/>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DF5E0E"/>
    <w:pPr>
      <w:keepNext/>
      <w:spacing w:after="40"/>
      <w:jc w:val="center"/>
    </w:pPr>
    <w:rPr>
      <w:sz w:val="20"/>
    </w:rPr>
  </w:style>
  <w:style w:type="paragraph" w:customStyle="1" w:styleId="HUCaption2Col">
    <w:name w:val="HU_Caption_2Col"/>
    <w:basedOn w:val="Kpalrs"/>
    <w:next w:val="Norml"/>
    <w:uiPriority w:val="1"/>
    <w:qFormat/>
    <w:rsid w:val="00DF5E0E"/>
    <w:pPr>
      <w:keepNext/>
      <w:spacing w:after="40"/>
    </w:pPr>
    <w:rPr>
      <w:sz w:val="20"/>
    </w:rPr>
  </w:style>
  <w:style w:type="paragraph" w:customStyle="1" w:styleId="HUCaptionBox">
    <w:name w:val="HU_Caption_Box"/>
    <w:basedOn w:val="Kpalrs"/>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DF5E0E"/>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DF5E0E"/>
    <w:rPr>
      <w:rFonts w:ascii="Calibri" w:eastAsiaTheme="majorEastAsia" w:hAnsi="Calibri"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DF5E0E"/>
    <w:pPr>
      <w:keepNext/>
      <w:pageBreakBefore/>
      <w:spacing w:before="480" w:after="210"/>
      <w:ind w:left="227" w:hanging="227"/>
    </w:pPr>
    <w:rPr>
      <w:caps/>
      <w:color w:val="1F497D" w:themeColor="text2"/>
    </w:rPr>
  </w:style>
  <w:style w:type="character" w:customStyle="1" w:styleId="HUChapterWithoutNumberingChar">
    <w:name w:val="HU_Chapter_Without_Numbering Char"/>
    <w:basedOn w:val="Bekezdsalapbettpusa"/>
    <w:link w:val="HUChapterWithoutNumbering"/>
    <w:uiPriority w:val="1"/>
    <w:rsid w:val="00DF5E0E"/>
    <w:rPr>
      <w:rFonts w:ascii="Calibri" w:eastAsiaTheme="minorHAnsi" w:hAnsi="Calibri" w:cstheme="minorBidi"/>
      <w:caps/>
      <w:color w:val="1F497D" w:themeColor="text2"/>
    </w:rPr>
  </w:style>
  <w:style w:type="paragraph" w:customStyle="1" w:styleId="HUFootnote">
    <w:name w:val="HU_Footnote"/>
    <w:basedOn w:val="Lbjegyzetszveg"/>
    <w:uiPriority w:val="1"/>
    <w:qFormat/>
    <w:rsid w:val="00DF5E0E"/>
    <w:rPr>
      <w:color w:val="808080"/>
      <w:sz w:val="18"/>
    </w:rPr>
  </w:style>
  <w:style w:type="paragraph" w:customStyle="1" w:styleId="HUNormalBox">
    <w:name w:val="HU_Normal_Box"/>
    <w:basedOn w:val="Norml"/>
    <w:uiPriority w:val="1"/>
    <w:qFormat/>
    <w:rsid w:val="00DF5E0E"/>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pPr>
  </w:style>
  <w:style w:type="paragraph" w:customStyle="1" w:styleId="HUNote1Col">
    <w:name w:val="HU_Note_1Col"/>
    <w:basedOn w:val="Norml"/>
    <w:next w:val="Norml"/>
    <w:uiPriority w:val="1"/>
    <w:qFormat/>
    <w:rsid w:val="00DF5E0E"/>
    <w:pPr>
      <w:keepLines/>
      <w:jc w:val="center"/>
    </w:pPr>
    <w:rPr>
      <w:color w:val="808080"/>
      <w:sz w:val="18"/>
    </w:rPr>
  </w:style>
  <w:style w:type="paragraph" w:customStyle="1" w:styleId="HUNote2Col">
    <w:name w:val="HU_Note_2Col"/>
    <w:basedOn w:val="Norml"/>
    <w:next w:val="Norml"/>
    <w:uiPriority w:val="1"/>
    <w:qFormat/>
    <w:rsid w:val="00DF5E0E"/>
    <w:pPr>
      <w:keepLines/>
    </w:pPr>
    <w:rPr>
      <w:color w:val="808080"/>
      <w:sz w:val="18"/>
    </w:rPr>
  </w:style>
  <w:style w:type="paragraph" w:customStyle="1" w:styleId="HUNoteBox">
    <w:name w:val="HU_Note_Box"/>
    <w:basedOn w:val="Norml"/>
    <w:next w:val="HUNormalBox"/>
    <w:link w:val="HUNoteBoxChar"/>
    <w:uiPriority w:val="1"/>
    <w:qFormat/>
    <w:rsid w:val="00DF5E0E"/>
    <w:pPr>
      <w:keepLines/>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DF5E0E"/>
    <w:rPr>
      <w:rFonts w:ascii="Calibri" w:eastAsiaTheme="minorHAnsi" w:hAnsi="Calibri" w:cstheme="minorBidi"/>
      <w:color w:val="808080"/>
      <w:sz w:val="18"/>
      <w:shd w:val="clear" w:color="auto" w:fill="C6EEFF"/>
    </w:rPr>
  </w:style>
  <w:style w:type="paragraph" w:customStyle="1" w:styleId="HUSectionTitle">
    <w:name w:val="HU_Section_Title"/>
    <w:basedOn w:val="Cmsor2"/>
    <w:next w:val="Norml"/>
    <w:link w:val="HUSectionTitleChar"/>
    <w:uiPriority w:val="1"/>
    <w:rsid w:val="00DF5E0E"/>
    <w:pPr>
      <w:keepNext/>
    </w:pPr>
  </w:style>
  <w:style w:type="character" w:customStyle="1" w:styleId="HUSectionTitleChar">
    <w:name w:val="HU_Section_Title Char"/>
    <w:basedOn w:val="Cmsor2Char"/>
    <w:link w:val="HUSectionTitle"/>
    <w:uiPriority w:val="1"/>
    <w:rsid w:val="00DF5E0E"/>
    <w:rPr>
      <w:rFonts w:ascii="Calibri" w:eastAsiaTheme="minorHAnsi" w:hAnsi="Calibri" w:cstheme="minorBidi"/>
      <w:b/>
      <w:color w:val="1F497D" w:themeColor="text2"/>
      <w:sz w:val="24"/>
      <w:szCs w:val="38"/>
    </w:rPr>
  </w:style>
  <w:style w:type="paragraph" w:customStyle="1" w:styleId="HUSubsectionTitle">
    <w:name w:val="HU_Subsection_Title"/>
    <w:basedOn w:val="Cmsor3"/>
    <w:next w:val="Norml"/>
    <w:link w:val="HUSubsectionTitleChar"/>
    <w:uiPriority w:val="1"/>
    <w:rsid w:val="00DF5E0E"/>
    <w:pPr>
      <w:keepNext/>
      <w:ind w:left="595" w:hanging="595"/>
    </w:pPr>
  </w:style>
  <w:style w:type="character" w:customStyle="1" w:styleId="HUSubsectionTitleChar">
    <w:name w:val="HU_Subsection_Title Char"/>
    <w:basedOn w:val="Cmsor3Char"/>
    <w:link w:val="HUSubsectionTitle"/>
    <w:uiPriority w:val="1"/>
    <w:rsid w:val="00DF5E0E"/>
    <w:rPr>
      <w:rFonts w:ascii="Calibri" w:eastAsiaTheme="minorHAnsi" w:hAnsi="Calibri" w:cstheme="minorBidi"/>
      <w:bCs/>
      <w:color w:val="1F497D" w:themeColor="text2"/>
      <w:szCs w:val="34"/>
    </w:rPr>
  </w:style>
  <w:style w:type="paragraph" w:customStyle="1" w:styleId="Heading1Kiadvny">
    <w:name w:val="Heading 1 Kiadvány"/>
    <w:basedOn w:val="Cmsor1"/>
    <w:qFormat/>
    <w:rsid w:val="00DF5E0E"/>
    <w:rPr>
      <w:b w:val="0"/>
      <w:caps w:val="0"/>
      <w:sz w:val="52"/>
    </w:rPr>
  </w:style>
  <w:style w:type="paragraph" w:customStyle="1" w:styleId="Erskiemels4">
    <w:name w:val="Erős kiemelés4"/>
    <w:basedOn w:val="Norml"/>
    <w:uiPriority w:val="5"/>
    <w:qFormat/>
    <w:rsid w:val="00BD6D0B"/>
    <w:rPr>
      <w:b/>
      <w:i/>
    </w:rPr>
  </w:style>
  <w:style w:type="paragraph" w:customStyle="1" w:styleId="Erskiemels5">
    <w:name w:val="Erős kiemelés5"/>
    <w:basedOn w:val="Norml"/>
    <w:uiPriority w:val="5"/>
    <w:qFormat/>
    <w:rsid w:val="002E69DE"/>
    <w:rPr>
      <w:b/>
      <w:i/>
    </w:rPr>
  </w:style>
  <w:style w:type="paragraph" w:customStyle="1" w:styleId="Erskiemels6">
    <w:name w:val="Erős kiemelés6"/>
    <w:basedOn w:val="Norml"/>
    <w:uiPriority w:val="5"/>
    <w:qFormat/>
    <w:rsid w:val="000C0EE3"/>
    <w:rPr>
      <w:b/>
      <w:i/>
    </w:rPr>
  </w:style>
  <w:style w:type="paragraph" w:customStyle="1" w:styleId="Erskiemels7">
    <w:name w:val="Erős kiemelés7"/>
    <w:basedOn w:val="Norml"/>
    <w:uiPriority w:val="5"/>
    <w:qFormat/>
    <w:rsid w:val="00A130FF"/>
    <w:rPr>
      <w:b/>
      <w:i/>
    </w:rPr>
  </w:style>
  <w:style w:type="paragraph" w:customStyle="1" w:styleId="Erskiemels8">
    <w:name w:val="Erős kiemelés8"/>
    <w:basedOn w:val="Norml"/>
    <w:uiPriority w:val="5"/>
    <w:qFormat/>
    <w:rsid w:val="001C44A5"/>
    <w:rPr>
      <w:b/>
      <w:i/>
    </w:rPr>
  </w:style>
  <w:style w:type="paragraph" w:customStyle="1" w:styleId="Erskiemels9">
    <w:name w:val="Erős kiemelés9"/>
    <w:basedOn w:val="Norml"/>
    <w:uiPriority w:val="5"/>
    <w:qFormat/>
    <w:rsid w:val="00727754"/>
    <w:rPr>
      <w:b/>
      <w:i/>
    </w:rPr>
  </w:style>
  <w:style w:type="paragraph" w:customStyle="1" w:styleId="Erskiemels10">
    <w:name w:val="Erős kiemelés10"/>
    <w:basedOn w:val="Norml"/>
    <w:uiPriority w:val="5"/>
    <w:qFormat/>
    <w:rsid w:val="000A6BC5"/>
    <w:rPr>
      <w:b/>
      <w:i/>
    </w:rPr>
  </w:style>
  <w:style w:type="paragraph" w:customStyle="1" w:styleId="Erskiemels11">
    <w:name w:val="Erős kiemelés11"/>
    <w:basedOn w:val="Norml"/>
    <w:uiPriority w:val="5"/>
    <w:qFormat/>
    <w:rsid w:val="00B61440"/>
    <w:rPr>
      <w:b/>
      <w:i/>
    </w:rPr>
  </w:style>
  <w:style w:type="paragraph" w:customStyle="1" w:styleId="Erskiemels12">
    <w:name w:val="Erős kiemelés12"/>
    <w:basedOn w:val="Norml"/>
    <w:uiPriority w:val="5"/>
    <w:qFormat/>
    <w:rsid w:val="006907BA"/>
    <w:rPr>
      <w:b/>
      <w:i/>
    </w:rPr>
  </w:style>
  <w:style w:type="paragraph" w:customStyle="1" w:styleId="Erskiemels120">
    <w:name w:val="Erős kiemelés12_0"/>
    <w:basedOn w:val="Norml"/>
    <w:uiPriority w:val="5"/>
    <w:qFormat/>
    <w:rsid w:val="00A40817"/>
    <w:rPr>
      <w:b/>
      <w:i/>
    </w:rPr>
  </w:style>
  <w:style w:type="paragraph" w:customStyle="1" w:styleId="Erskiemels13">
    <w:name w:val="Erős kiemelés13"/>
    <w:basedOn w:val="Norml"/>
    <w:uiPriority w:val="5"/>
    <w:qFormat/>
    <w:rsid w:val="00A86A37"/>
    <w:rPr>
      <w:b/>
      <w:i/>
    </w:rPr>
  </w:style>
  <w:style w:type="paragraph" w:customStyle="1" w:styleId="Erskiemels14">
    <w:name w:val="Erős kiemelés14"/>
    <w:basedOn w:val="Norml"/>
    <w:uiPriority w:val="5"/>
    <w:qFormat/>
    <w:rsid w:val="00631D03"/>
    <w:rPr>
      <w:b/>
      <w:i/>
    </w:rPr>
  </w:style>
  <w:style w:type="paragraph" w:customStyle="1" w:styleId="Erskiemels15">
    <w:name w:val="Erős kiemelés15"/>
    <w:basedOn w:val="Norml"/>
    <w:uiPriority w:val="5"/>
    <w:qFormat/>
    <w:rsid w:val="004B7818"/>
    <w:rPr>
      <w:b/>
      <w:i/>
    </w:rPr>
  </w:style>
  <w:style w:type="paragraph" w:customStyle="1" w:styleId="Erskiemels16">
    <w:name w:val="Erős kiemelés16"/>
    <w:basedOn w:val="Norml"/>
    <w:uiPriority w:val="5"/>
    <w:qFormat/>
    <w:rsid w:val="0064103B"/>
    <w:rPr>
      <w:b/>
      <w:i/>
    </w:rPr>
  </w:style>
  <w:style w:type="paragraph" w:customStyle="1" w:styleId="Erskiemels17">
    <w:name w:val="Erős kiemelés17"/>
    <w:basedOn w:val="Norml"/>
    <w:uiPriority w:val="5"/>
    <w:qFormat/>
    <w:rsid w:val="006D54C1"/>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ba.europa.eu/documents/10180/655339/EBA_2014_00040000_HU.pdf/16205104-550a-4183-9155-c803a86bbce9" TargetMode="External"/><Relationship Id="rId1" Type="http://schemas.openxmlformats.org/officeDocument/2006/relationships/hyperlink" Target="http://www.esrb.europa.eu/pub/pdf/recommendations/2011/ESRB_2011_1.hu.pdf?1232a4cd434ed6fba37247fa8f8cecc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E92C0FA8-7F5B-46FC-A020-0E14460E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3035</Words>
  <Characters>20949</Characters>
  <Application>Microsoft Office Word</Application>
  <DocSecurity>0</DocSecurity>
  <Lines>174</Lines>
  <Paragraphs>47</Paragraphs>
  <ScaleCrop>false</ScaleCrop>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2026-01-20T08:24:00Z</dcterms:created>
  <dcterms:modified xsi:type="dcterms:W3CDTF">2026-02-23T13:39:00Z</dcterms:modified>
</cp:coreProperties>
</file>