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030C" w14:textId="77777777" w:rsidR="00DB3BC3" w:rsidRPr="004101DA" w:rsidRDefault="00DB3BC3" w:rsidP="00030E37">
      <w:pPr>
        <w:pStyle w:val="Default"/>
        <w:rPr>
          <w:b/>
          <w:bCs/>
          <w:color w:val="auto"/>
        </w:rPr>
      </w:pPr>
      <w:r w:rsidRPr="004101DA">
        <w:rPr>
          <w:b/>
          <w:bCs/>
          <w:color w:val="auto"/>
        </w:rPr>
        <w:t>4. melléklet</w:t>
      </w:r>
      <w:bookmarkStart w:id="0" w:name="HUMANSOFTdatumHUN"/>
      <w:bookmarkEnd w:id="0"/>
    </w:p>
    <w:p w14:paraId="5903030D" w14:textId="77777777" w:rsidR="00DB3BC3" w:rsidRPr="004101DA" w:rsidRDefault="00DB3BC3" w:rsidP="00460C0D">
      <w:pPr>
        <w:pStyle w:val="Default"/>
        <w:jc w:val="both"/>
        <w:rPr>
          <w:color w:val="auto"/>
        </w:rPr>
      </w:pPr>
    </w:p>
    <w:p w14:paraId="5903030E" w14:textId="77777777" w:rsidR="00DB3BC3" w:rsidRPr="004101DA" w:rsidRDefault="00DB3BC3" w:rsidP="00460C0D">
      <w:pPr>
        <w:pStyle w:val="Default"/>
        <w:jc w:val="both"/>
        <w:rPr>
          <w:b/>
          <w:bCs/>
          <w:color w:val="auto"/>
        </w:rPr>
      </w:pPr>
      <w:r w:rsidRPr="004101DA">
        <w:rPr>
          <w:b/>
          <w:bCs/>
          <w:color w:val="auto"/>
        </w:rPr>
        <w:t>Tájékoztatás a felügyeleti felülvizsgálati folyamat keretében kiemelten kezelt kockázatos portfóliókról és a hozzájuk kapcsolódó többlettőke előírásáról</w:t>
      </w:r>
    </w:p>
    <w:p w14:paraId="5903030F" w14:textId="77777777" w:rsidR="00DB3BC3" w:rsidRPr="004101DA" w:rsidRDefault="00DB3BC3" w:rsidP="00460C0D">
      <w:pPr>
        <w:pStyle w:val="Default"/>
        <w:jc w:val="both"/>
        <w:rPr>
          <w:color w:val="auto"/>
        </w:rPr>
      </w:pPr>
    </w:p>
    <w:p w14:paraId="59030310" w14:textId="77777777" w:rsidR="00DB3BC3" w:rsidRPr="00D933F4" w:rsidRDefault="00DB3BC3" w:rsidP="00D933F4">
      <w:pPr>
        <w:pStyle w:val="Default"/>
        <w:spacing w:after="120"/>
        <w:jc w:val="both"/>
        <w:rPr>
          <w:color w:val="auto"/>
          <w:sz w:val="22"/>
          <w:szCs w:val="22"/>
        </w:rPr>
      </w:pPr>
      <w:r w:rsidRPr="00D933F4">
        <w:rPr>
          <w:color w:val="auto"/>
          <w:sz w:val="22"/>
          <w:szCs w:val="22"/>
        </w:rPr>
        <w:t>„A tőkemegfelelés belső értékelési folyamata (</w:t>
      </w:r>
      <w:proofErr w:type="spellStart"/>
      <w:r w:rsidRPr="00D933F4">
        <w:rPr>
          <w:color w:val="auto"/>
          <w:sz w:val="22"/>
          <w:szCs w:val="22"/>
        </w:rPr>
        <w:t>ICAAP</w:t>
      </w:r>
      <w:proofErr w:type="spellEnd"/>
      <w:r w:rsidRPr="00D933F4">
        <w:rPr>
          <w:color w:val="auto"/>
          <w:sz w:val="22"/>
          <w:szCs w:val="22"/>
        </w:rPr>
        <w:t>), a likviditás megfelelőségének belső értékelési folyamata (</w:t>
      </w:r>
      <w:proofErr w:type="spellStart"/>
      <w:r w:rsidRPr="00D933F4">
        <w:rPr>
          <w:color w:val="auto"/>
          <w:sz w:val="22"/>
          <w:szCs w:val="22"/>
        </w:rPr>
        <w:t>ILAAP</w:t>
      </w:r>
      <w:proofErr w:type="spellEnd"/>
      <w:r w:rsidRPr="00D933F4">
        <w:rPr>
          <w:color w:val="auto"/>
          <w:sz w:val="22"/>
          <w:szCs w:val="22"/>
        </w:rPr>
        <w:t>) és felügyeleti felülvizsgálatuk, valamint az üzleti modell elemzés (</w:t>
      </w:r>
      <w:proofErr w:type="spellStart"/>
      <w:r w:rsidRPr="00D933F4">
        <w:rPr>
          <w:color w:val="auto"/>
          <w:sz w:val="22"/>
          <w:szCs w:val="22"/>
        </w:rPr>
        <w:t>BMA</w:t>
      </w:r>
      <w:proofErr w:type="spellEnd"/>
      <w:r w:rsidRPr="00D933F4">
        <w:rPr>
          <w:color w:val="auto"/>
          <w:sz w:val="22"/>
          <w:szCs w:val="22"/>
        </w:rPr>
        <w:t xml:space="preserve">)” című módszertani kézikönyv (a továbbiakban: </w:t>
      </w:r>
      <w:proofErr w:type="spellStart"/>
      <w:r w:rsidRPr="00D933F4">
        <w:rPr>
          <w:color w:val="auto"/>
          <w:sz w:val="22"/>
          <w:szCs w:val="22"/>
        </w:rPr>
        <w:t>ICAAP</w:t>
      </w:r>
      <w:proofErr w:type="spellEnd"/>
      <w:r w:rsidRPr="00D933F4">
        <w:rPr>
          <w:color w:val="auto"/>
          <w:sz w:val="22"/>
          <w:szCs w:val="22"/>
        </w:rPr>
        <w:t xml:space="preserve">, </w:t>
      </w:r>
      <w:proofErr w:type="spellStart"/>
      <w:r w:rsidRPr="00D933F4">
        <w:rPr>
          <w:color w:val="auto"/>
          <w:sz w:val="22"/>
          <w:szCs w:val="22"/>
        </w:rPr>
        <w:t>ILAAP</w:t>
      </w:r>
      <w:proofErr w:type="spellEnd"/>
      <w:r w:rsidRPr="00D933F4">
        <w:rPr>
          <w:color w:val="auto"/>
          <w:sz w:val="22"/>
          <w:szCs w:val="22"/>
        </w:rPr>
        <w:t xml:space="preserve"> és </w:t>
      </w:r>
      <w:proofErr w:type="spellStart"/>
      <w:r w:rsidRPr="00D933F4">
        <w:rPr>
          <w:color w:val="auto"/>
          <w:sz w:val="22"/>
          <w:szCs w:val="22"/>
        </w:rPr>
        <w:t>BMA</w:t>
      </w:r>
      <w:proofErr w:type="spellEnd"/>
      <w:r w:rsidRPr="00D933F4">
        <w:rPr>
          <w:color w:val="auto"/>
          <w:sz w:val="22"/>
          <w:szCs w:val="22"/>
        </w:rPr>
        <w:t xml:space="preserve"> vizsgálatról szóló kézikönyv) részét képezi a 4. számú melléklet, amely áttekinti azokat a kockázatvállalásokat, kockázatos portfóliókat, amelyek tekintetében az MNB az intézmények belső tőkeszükségletének számításakor többlettőkét vár el, illetve amelyeket fokozott figyelemmel ellenőriz. Az itt közzétett kockázatos portfóliókat az MNB évente felülvizsgálja.</w:t>
      </w:r>
    </w:p>
    <w:p w14:paraId="59030311" w14:textId="109E5A5F" w:rsidR="00DB3BC3" w:rsidRPr="00D933F4" w:rsidRDefault="00DB3BC3" w:rsidP="00D933F4">
      <w:pPr>
        <w:pStyle w:val="Default"/>
        <w:spacing w:after="120"/>
        <w:jc w:val="both"/>
        <w:rPr>
          <w:color w:val="auto"/>
          <w:sz w:val="22"/>
          <w:szCs w:val="22"/>
        </w:rPr>
      </w:pPr>
      <w:r w:rsidRPr="00D933F4">
        <w:rPr>
          <w:color w:val="auto"/>
          <w:sz w:val="22"/>
          <w:szCs w:val="22"/>
        </w:rPr>
        <w:t xml:space="preserve">A </w:t>
      </w:r>
      <w:proofErr w:type="spellStart"/>
      <w:r w:rsidRPr="00D933F4">
        <w:rPr>
          <w:color w:val="auto"/>
          <w:sz w:val="22"/>
          <w:szCs w:val="22"/>
        </w:rPr>
        <w:t>CRD</w:t>
      </w:r>
      <w:proofErr w:type="spellEnd"/>
      <w:r>
        <w:rPr>
          <w:rStyle w:val="Lbjegyzet-hivatkozs"/>
          <w:i/>
          <w:color w:val="auto"/>
          <w:sz w:val="22"/>
          <w:szCs w:val="22"/>
        </w:rPr>
        <w:footnoteReference w:id="2"/>
      </w:r>
      <w:r w:rsidRPr="00D933F4">
        <w:rPr>
          <w:color w:val="auto"/>
          <w:sz w:val="22"/>
          <w:szCs w:val="22"/>
        </w:rPr>
        <w:t xml:space="preserve"> </w:t>
      </w:r>
      <w:r>
        <w:rPr>
          <w:color w:val="auto"/>
          <w:sz w:val="22"/>
          <w:szCs w:val="22"/>
        </w:rPr>
        <w:t>97</w:t>
      </w:r>
      <w:r w:rsidRPr="00D933F4">
        <w:rPr>
          <w:color w:val="auto"/>
          <w:sz w:val="22"/>
          <w:szCs w:val="22"/>
        </w:rPr>
        <w:t>. cikke</w:t>
      </w:r>
      <w:r>
        <w:rPr>
          <w:color w:val="auto"/>
          <w:sz w:val="22"/>
          <w:szCs w:val="22"/>
          <w:vertAlign w:val="superscript"/>
        </w:rPr>
        <w:footnoteReference w:id="3"/>
      </w:r>
      <w:r w:rsidRPr="00D933F4">
        <w:rPr>
          <w:color w:val="auto"/>
          <w:sz w:val="22"/>
          <w:szCs w:val="22"/>
        </w:rPr>
        <w:t xml:space="preserve"> alapján, amennyiben az MNB olyan kockázatokat azonosít hasonló kockázati profillal, üzleti modellel rendelkező intézményeknél, amelyekből a pénzügyi rendszerre nézve számottevő kockázat eredhet, akkor lehetősége van arra, hogy ezeket az intézményi kockázatokat az </w:t>
      </w:r>
      <w:proofErr w:type="spellStart"/>
      <w:r w:rsidRPr="00D933F4">
        <w:rPr>
          <w:color w:val="auto"/>
          <w:sz w:val="22"/>
          <w:szCs w:val="22"/>
        </w:rPr>
        <w:t>ICAAP</w:t>
      </w:r>
      <w:proofErr w:type="spellEnd"/>
      <w:r w:rsidRPr="00D933F4">
        <w:rPr>
          <w:color w:val="auto"/>
          <w:sz w:val="22"/>
          <w:szCs w:val="22"/>
        </w:rPr>
        <w:t>-re vonatkozó felügyeleti felülvizsgálatok (a továbbiakban: felügyeleti felülvizsgálat) során egységesen kezelje. Ennek fő eszköze a kockázatos portfóliók meghatározása.</w:t>
      </w:r>
    </w:p>
    <w:p w14:paraId="59030312" w14:textId="77777777" w:rsidR="00DB3BC3" w:rsidRPr="00D933F4" w:rsidRDefault="00DB3BC3" w:rsidP="00D933F4">
      <w:pPr>
        <w:pStyle w:val="Default"/>
        <w:spacing w:after="120"/>
        <w:jc w:val="both"/>
        <w:rPr>
          <w:color w:val="auto"/>
          <w:sz w:val="22"/>
          <w:szCs w:val="22"/>
        </w:rPr>
      </w:pPr>
      <w:r w:rsidRPr="00D933F4">
        <w:rPr>
          <w:color w:val="auto"/>
          <w:sz w:val="22"/>
          <w:szCs w:val="22"/>
        </w:rPr>
        <w:t>A Tájékoztató azokat a portfóliókat tartalmazza, amelyek az elemzési, illetve felügyelési információk alapján a magyar piacon jelenlévő</w:t>
      </w:r>
      <w:r>
        <w:rPr>
          <w:color w:val="auto"/>
          <w:sz w:val="22"/>
          <w:szCs w:val="22"/>
        </w:rPr>
        <w:t xml:space="preserve"> (magyar entitások külföldi kitettségeit is ideértve)</w:t>
      </w:r>
      <w:r w:rsidRPr="00D933F4">
        <w:rPr>
          <w:color w:val="auto"/>
          <w:sz w:val="22"/>
          <w:szCs w:val="22"/>
        </w:rPr>
        <w:t xml:space="preserve"> és különös felügyeleti aggodalomra okot adó kockázatokat jelentenek, ezért kezelésükhöz elvárható és indokolt a többlettőke tartása az érintett intézményektől. Az MNB főszabályként a többlet-tőkekövetelményt a kockázatos portfóliókban megjelölt kockázatok, tevékenységek vonatkozásában a fennálló portfólió 1. pilléres tőkekövetelményére írja elő (ettől való eltérés az adott portfóliónál külön megjelölésre kerül). Az MNB valamennyi portfólió esetén elvárja, hogy az intézmények mutassák be számára, hogyan kezelik kockázatos portfólióikat az 1., illetve a 2. pillér keretében.</w:t>
      </w:r>
    </w:p>
    <w:p w14:paraId="59030313" w14:textId="77777777" w:rsidR="00DB3BC3" w:rsidRPr="00D933F4" w:rsidRDefault="00DB3BC3" w:rsidP="00D933F4">
      <w:pPr>
        <w:pStyle w:val="Default"/>
        <w:spacing w:after="120"/>
        <w:jc w:val="both"/>
        <w:rPr>
          <w:color w:val="auto"/>
          <w:sz w:val="22"/>
          <w:szCs w:val="22"/>
        </w:rPr>
      </w:pPr>
      <w:r w:rsidRPr="00D933F4">
        <w:rPr>
          <w:color w:val="auto"/>
          <w:sz w:val="22"/>
          <w:szCs w:val="22"/>
        </w:rPr>
        <w:t>A követelmény előírásával az MNB az alábbi fő célokat kívánja elérni:</w:t>
      </w:r>
    </w:p>
    <w:p w14:paraId="59030314" w14:textId="77777777" w:rsidR="00DB3BC3" w:rsidRPr="00D933F4" w:rsidRDefault="00DB3BC3" w:rsidP="00460C0D">
      <w:pPr>
        <w:pStyle w:val="Default"/>
        <w:numPr>
          <w:ilvl w:val="0"/>
          <w:numId w:val="11"/>
        </w:numPr>
        <w:spacing w:before="120" w:after="47"/>
        <w:jc w:val="both"/>
        <w:rPr>
          <w:color w:val="auto"/>
          <w:sz w:val="22"/>
          <w:szCs w:val="22"/>
        </w:rPr>
      </w:pPr>
      <w:r w:rsidRPr="00D933F4">
        <w:rPr>
          <w:color w:val="auto"/>
          <w:sz w:val="22"/>
          <w:szCs w:val="22"/>
        </w:rPr>
        <w:t>Egyes kockázatok tekintetében szükséges felhívni az érintett intézmények figyelmét arra, hogy a tevékenység kockázatát a felügyeleti hatóság olyan jelentősnek találja, hogy fedezéséhez indokoltnak tartja többlettőke képzését.</w:t>
      </w:r>
    </w:p>
    <w:p w14:paraId="59030315" w14:textId="77777777" w:rsidR="00DB3BC3" w:rsidRPr="00D933F4" w:rsidRDefault="00DB3BC3" w:rsidP="00B33E4C">
      <w:pPr>
        <w:pStyle w:val="Default"/>
        <w:numPr>
          <w:ilvl w:val="0"/>
          <w:numId w:val="11"/>
        </w:numPr>
        <w:spacing w:after="120"/>
        <w:ind w:left="714" w:hanging="357"/>
        <w:jc w:val="both"/>
        <w:rPr>
          <w:color w:val="auto"/>
          <w:sz w:val="22"/>
          <w:szCs w:val="22"/>
        </w:rPr>
      </w:pPr>
      <w:r w:rsidRPr="00D933F4">
        <w:rPr>
          <w:color w:val="auto"/>
          <w:sz w:val="22"/>
          <w:szCs w:val="22"/>
        </w:rPr>
        <w:t>Más kockázatok (termék, tevékenység, gyakorlat) esetében felügyeleti cél a piac védelme a kockázat kontrollálatlan terjedésétől. Ebben az esetben az MNB a kockázatot olyan jelentős mértékűnek találja, amely komoly veszélyeket hordoz az adott intézmény, az intézmény ügyfelei, és több intézmény egyidejű kockázatvállalása esetén az egész piac tekintetében.</w:t>
      </w:r>
    </w:p>
    <w:p w14:paraId="59030316" w14:textId="77777777" w:rsidR="00DB3BC3" w:rsidRPr="00D933F4" w:rsidRDefault="00DB3BC3" w:rsidP="00D933F4">
      <w:pPr>
        <w:pStyle w:val="Default"/>
        <w:spacing w:after="120"/>
        <w:jc w:val="both"/>
        <w:rPr>
          <w:color w:val="auto"/>
          <w:sz w:val="22"/>
          <w:szCs w:val="22"/>
        </w:rPr>
      </w:pPr>
      <w:r w:rsidRPr="00D933F4">
        <w:rPr>
          <w:color w:val="auto"/>
          <w:sz w:val="22"/>
          <w:szCs w:val="22"/>
        </w:rPr>
        <w:t xml:space="preserve">A tőkekövetelmény mértéke függ az intézmény kockázatkezelésének színvonalától és az alkalmazott módszertanának fejlettségétől. </w:t>
      </w:r>
    </w:p>
    <w:p w14:paraId="59030317" w14:textId="77777777" w:rsidR="00DB3BC3" w:rsidRPr="00D933F4" w:rsidRDefault="00DB3BC3" w:rsidP="00D933F4">
      <w:pPr>
        <w:pStyle w:val="Default"/>
        <w:spacing w:after="120"/>
        <w:jc w:val="both"/>
        <w:rPr>
          <w:color w:val="auto"/>
          <w:sz w:val="22"/>
          <w:szCs w:val="22"/>
        </w:rPr>
      </w:pPr>
      <w:r w:rsidRPr="00D933F4">
        <w:rPr>
          <w:color w:val="auto"/>
          <w:sz w:val="22"/>
          <w:szCs w:val="22"/>
        </w:rPr>
        <w:t>Amennyiben a vizsgált intézmény kellően alátámasztja az általa használt modell vagy a kialakított gyakorlat megfelelőségét, az MNB eltérhet a Tájékoztatóban foglaltaktól a kockázatos portfóliók vonatkozásában.</w:t>
      </w:r>
    </w:p>
    <w:p w14:paraId="59030318" w14:textId="77777777" w:rsidR="00DB3BC3" w:rsidRPr="00D933F4" w:rsidRDefault="00DB3BC3" w:rsidP="00D933F4">
      <w:pPr>
        <w:pStyle w:val="Default"/>
        <w:spacing w:after="120"/>
        <w:jc w:val="both"/>
        <w:rPr>
          <w:color w:val="auto"/>
          <w:sz w:val="22"/>
          <w:szCs w:val="22"/>
        </w:rPr>
      </w:pPr>
      <w:r w:rsidRPr="00D933F4">
        <w:rPr>
          <w:color w:val="auto"/>
          <w:sz w:val="22"/>
          <w:szCs w:val="22"/>
        </w:rPr>
        <w:lastRenderedPageBreak/>
        <w:t>Az MNB a versenysemlegesség és az egyenlő elbírálás elvét alkalmazva, az elvárásokat továbbra is a közérdek (</w:t>
      </w:r>
      <w:proofErr w:type="spellStart"/>
      <w:r w:rsidRPr="00D933F4">
        <w:rPr>
          <w:color w:val="auto"/>
          <w:sz w:val="22"/>
          <w:szCs w:val="22"/>
        </w:rPr>
        <w:t>general</w:t>
      </w:r>
      <w:proofErr w:type="spellEnd"/>
      <w:r w:rsidRPr="00D933F4">
        <w:rPr>
          <w:color w:val="auto"/>
          <w:sz w:val="22"/>
          <w:szCs w:val="22"/>
        </w:rPr>
        <w:t xml:space="preserve"> </w:t>
      </w:r>
      <w:proofErr w:type="spellStart"/>
      <w:r w:rsidRPr="00D933F4">
        <w:rPr>
          <w:color w:val="auto"/>
          <w:sz w:val="22"/>
          <w:szCs w:val="22"/>
        </w:rPr>
        <w:t>good</w:t>
      </w:r>
      <w:proofErr w:type="spellEnd"/>
      <w:r w:rsidRPr="00D933F4">
        <w:rPr>
          <w:color w:val="auto"/>
          <w:sz w:val="22"/>
          <w:szCs w:val="22"/>
        </w:rPr>
        <w:t>)</w:t>
      </w:r>
      <w:r>
        <w:rPr>
          <w:sz w:val="22"/>
          <w:szCs w:val="22"/>
          <w:vertAlign w:val="superscript"/>
        </w:rPr>
        <w:footnoteReference w:id="4"/>
      </w:r>
      <w:r w:rsidRPr="00D933F4">
        <w:rPr>
          <w:color w:val="auto"/>
          <w:sz w:val="22"/>
          <w:szCs w:val="22"/>
        </w:rPr>
        <w:t xml:space="preserve"> részének is tekinti, éppen ezért azokat egységesen alkalmazza minden érintett piaci szereplővel szemben. Ez azt is jelenti, hogy a hazai összevont alapú felügyelet alá nem tartozó pénz- és tőkepiaci szereplők (beleértve a Magyarországon tevékenykedő fióktelepeket is) esetében is elvárja az alábbi feltételeknek megfelelő piaci viselkedést, amelyeknek egyéb felügyeleti eszközökkel, illetőleg a nemzetközi együttműködés során szerez érvényt.</w:t>
      </w:r>
    </w:p>
    <w:p w14:paraId="59030319" w14:textId="77777777" w:rsidR="00DB3BC3" w:rsidRPr="00D933F4" w:rsidRDefault="00DB3BC3" w:rsidP="00D933F4">
      <w:pPr>
        <w:pStyle w:val="Default"/>
        <w:spacing w:after="120"/>
        <w:jc w:val="both"/>
        <w:rPr>
          <w:color w:val="auto"/>
          <w:sz w:val="22"/>
          <w:szCs w:val="22"/>
        </w:rPr>
      </w:pPr>
      <w:r w:rsidRPr="00D933F4">
        <w:rPr>
          <w:color w:val="auto"/>
          <w:sz w:val="22"/>
          <w:szCs w:val="22"/>
        </w:rPr>
        <w:t xml:space="preserve">A kockázatos portfóliókra képzett többlettőkét az MNB az éves </w:t>
      </w:r>
      <w:proofErr w:type="spellStart"/>
      <w:r w:rsidRPr="00D933F4">
        <w:rPr>
          <w:color w:val="auto"/>
          <w:sz w:val="22"/>
          <w:szCs w:val="22"/>
        </w:rPr>
        <w:t>ICAAP</w:t>
      </w:r>
      <w:proofErr w:type="spellEnd"/>
      <w:r w:rsidRPr="00D933F4">
        <w:rPr>
          <w:color w:val="auto"/>
          <w:sz w:val="22"/>
          <w:szCs w:val="22"/>
        </w:rPr>
        <w:t xml:space="preserve"> felülvizsgálat során ellenőrzi a honlapon található „Adatbekérés a kockázatos portfóliók ellenőrzéséhez” elnevezésű adatbekérő segítségével. Az adatbekérőt a felülvizsgálat által megadott vizsgált időpontra a vizsgálat szintjének (egyedi/konszolidált), illetve az alkalmazott számviteli sztenderdnek (</w:t>
      </w:r>
      <w:proofErr w:type="spellStart"/>
      <w:r w:rsidRPr="00D933F4">
        <w:rPr>
          <w:color w:val="auto"/>
          <w:sz w:val="22"/>
          <w:szCs w:val="22"/>
        </w:rPr>
        <w:t>IFRS</w:t>
      </w:r>
      <w:proofErr w:type="spellEnd"/>
      <w:r w:rsidRPr="00D933F4">
        <w:rPr>
          <w:color w:val="auto"/>
          <w:sz w:val="22"/>
          <w:szCs w:val="22"/>
        </w:rPr>
        <w:t xml:space="preserve">) megfelelően kell kitölteni. Konszolidált szintű </w:t>
      </w:r>
      <w:proofErr w:type="spellStart"/>
      <w:r w:rsidRPr="00D933F4">
        <w:rPr>
          <w:color w:val="auto"/>
          <w:sz w:val="22"/>
          <w:szCs w:val="22"/>
        </w:rPr>
        <w:t>ICAAP</w:t>
      </w:r>
      <w:proofErr w:type="spellEnd"/>
      <w:r w:rsidRPr="00D933F4">
        <w:rPr>
          <w:color w:val="auto"/>
          <w:sz w:val="22"/>
          <w:szCs w:val="22"/>
        </w:rPr>
        <w:t xml:space="preserve"> felülvizsgálat esetén a külföldi leányvállalatok portfóliói vonatkozásában – amennyiben ezt a helyi sajátosságok indokolják – el lehet térni a Tájékoztatóban leírtaktól. Azokat a kitettségeket, amelyek több szempontból is kockázatosnak minősülnek, valamennyi érintett portfólióban szerepeltetni kell és az adott portfólióra vonatkozó előírások szerint, kockázatonként külön meg kell képezni rá a többlettőkét. </w:t>
      </w:r>
      <w:r>
        <w:rPr>
          <w:color w:val="auto"/>
          <w:sz w:val="22"/>
          <w:szCs w:val="22"/>
        </w:rPr>
        <w:t xml:space="preserve">A többleteket az érintett kitettségek mérlegen kívüli részére is meg kell képezni. </w:t>
      </w:r>
      <w:r w:rsidRPr="00D933F4">
        <w:rPr>
          <w:color w:val="auto"/>
          <w:sz w:val="22"/>
          <w:szCs w:val="22"/>
        </w:rPr>
        <w:t>Ezen Tájékoztató által nem definiált fogalmakat (pl.: nemteljesítés) az 575/2013/EU rendeletben (</w:t>
      </w:r>
      <w:proofErr w:type="spellStart"/>
      <w:r w:rsidRPr="00D933F4">
        <w:rPr>
          <w:color w:val="auto"/>
          <w:sz w:val="22"/>
          <w:szCs w:val="22"/>
        </w:rPr>
        <w:t>CRR</w:t>
      </w:r>
      <w:proofErr w:type="spellEnd"/>
      <w:r w:rsidRPr="00D933F4">
        <w:rPr>
          <w:color w:val="auto"/>
          <w:sz w:val="22"/>
          <w:szCs w:val="22"/>
        </w:rPr>
        <w:t>) meghatározottak szerint kell alkalmazni.</w:t>
      </w:r>
    </w:p>
    <w:p w14:paraId="5903031A" w14:textId="77777777" w:rsidR="00DB3BC3" w:rsidRPr="00D933F4" w:rsidRDefault="00DB3BC3" w:rsidP="00003494">
      <w:pPr>
        <w:pStyle w:val="Default"/>
        <w:spacing w:before="120"/>
        <w:jc w:val="both"/>
        <w:rPr>
          <w:b/>
          <w:bCs/>
          <w:i/>
          <w:iCs/>
          <w:color w:val="auto"/>
          <w:sz w:val="22"/>
          <w:szCs w:val="22"/>
        </w:rPr>
      </w:pPr>
      <w:r w:rsidRPr="00D933F4">
        <w:rPr>
          <w:b/>
          <w:bCs/>
          <w:i/>
          <w:iCs/>
          <w:color w:val="auto"/>
          <w:sz w:val="22"/>
          <w:szCs w:val="22"/>
        </w:rPr>
        <w:t xml:space="preserve">Az MNB által kiemelten kezelt kockázatok, amelyek a </w:t>
      </w:r>
      <w:proofErr w:type="spellStart"/>
      <w:r w:rsidRPr="00D933F4">
        <w:rPr>
          <w:b/>
          <w:bCs/>
          <w:i/>
          <w:iCs/>
          <w:color w:val="auto"/>
          <w:sz w:val="22"/>
          <w:szCs w:val="22"/>
        </w:rPr>
        <w:t>CRD</w:t>
      </w:r>
      <w:proofErr w:type="spellEnd"/>
      <w:r w:rsidRPr="00D933F4">
        <w:rPr>
          <w:b/>
          <w:bCs/>
          <w:i/>
          <w:iCs/>
          <w:color w:val="auto"/>
          <w:sz w:val="22"/>
          <w:szCs w:val="22"/>
        </w:rPr>
        <w:t>/</w:t>
      </w:r>
      <w:proofErr w:type="spellStart"/>
      <w:r w:rsidRPr="00D933F4">
        <w:rPr>
          <w:b/>
          <w:bCs/>
          <w:i/>
          <w:iCs/>
          <w:color w:val="auto"/>
          <w:sz w:val="22"/>
          <w:szCs w:val="22"/>
        </w:rPr>
        <w:t>CRR</w:t>
      </w:r>
      <w:proofErr w:type="spellEnd"/>
      <w:r w:rsidRPr="00D933F4">
        <w:rPr>
          <w:b/>
          <w:bCs/>
          <w:i/>
          <w:iCs/>
          <w:color w:val="auto"/>
          <w:sz w:val="22"/>
          <w:szCs w:val="22"/>
        </w:rPr>
        <w:t xml:space="preserve"> hatálya alá tartozó intézményeknél felmerülhetnek:</w:t>
      </w:r>
    </w:p>
    <w:p w14:paraId="5903031B" w14:textId="77777777" w:rsidR="00DB3BC3" w:rsidRPr="00D933F4" w:rsidRDefault="00DB3BC3" w:rsidP="00003494">
      <w:pPr>
        <w:pStyle w:val="Default"/>
        <w:spacing w:before="120"/>
        <w:jc w:val="both"/>
        <w:rPr>
          <w:b/>
          <w:bCs/>
          <w:color w:val="auto"/>
          <w:sz w:val="22"/>
          <w:szCs w:val="22"/>
        </w:rPr>
      </w:pPr>
      <w:r w:rsidRPr="00D933F4">
        <w:rPr>
          <w:b/>
          <w:bCs/>
          <w:color w:val="auto"/>
          <w:sz w:val="22"/>
          <w:szCs w:val="22"/>
        </w:rPr>
        <w:t>1. A nemteljesítő kitettségek várható veszteségének fedezettsége</w:t>
      </w:r>
    </w:p>
    <w:p w14:paraId="5903031C" w14:textId="77777777" w:rsidR="00DB3BC3" w:rsidRPr="00D933F4" w:rsidRDefault="00DB3BC3" w:rsidP="00D933F4">
      <w:pPr>
        <w:pStyle w:val="Default"/>
        <w:spacing w:after="120"/>
        <w:jc w:val="both"/>
        <w:rPr>
          <w:color w:val="auto"/>
          <w:sz w:val="22"/>
          <w:szCs w:val="22"/>
        </w:rPr>
      </w:pPr>
      <w:r w:rsidRPr="00D933F4">
        <w:rPr>
          <w:color w:val="auto"/>
          <w:sz w:val="22"/>
          <w:szCs w:val="22"/>
        </w:rPr>
        <w:t xml:space="preserve">Az MNB fontosnak tartja, hogy a </w:t>
      </w:r>
      <w:r w:rsidRPr="00D933F4">
        <w:rPr>
          <w:bCs/>
          <w:color w:val="auto"/>
          <w:sz w:val="22"/>
          <w:szCs w:val="22"/>
        </w:rPr>
        <w:t>nemteljesítő</w:t>
      </w:r>
      <w:r w:rsidRPr="00D933F4">
        <w:rPr>
          <w:color w:val="auto"/>
          <w:sz w:val="22"/>
          <w:szCs w:val="22"/>
        </w:rPr>
        <w:t xml:space="preserve"> kitettségekből várható veszteségek fedezettségét az intézmények a fedezetek </w:t>
      </w:r>
      <w:proofErr w:type="spellStart"/>
      <w:r w:rsidRPr="00D933F4">
        <w:rPr>
          <w:color w:val="auto"/>
          <w:sz w:val="22"/>
          <w:szCs w:val="22"/>
        </w:rPr>
        <w:t>prudens</w:t>
      </w:r>
      <w:proofErr w:type="spellEnd"/>
      <w:r w:rsidRPr="00D933F4">
        <w:rPr>
          <w:color w:val="auto"/>
          <w:sz w:val="22"/>
          <w:szCs w:val="22"/>
        </w:rPr>
        <w:t xml:space="preserve"> értékelésével és a szükséges értékvesztés megképzésével biztosítsák.</w:t>
      </w:r>
    </w:p>
    <w:p w14:paraId="5903031D" w14:textId="77777777" w:rsidR="00DB3BC3" w:rsidRPr="00D933F4" w:rsidRDefault="00DB3BC3" w:rsidP="00D933F4">
      <w:pPr>
        <w:pStyle w:val="Default"/>
        <w:spacing w:after="120"/>
        <w:jc w:val="both"/>
        <w:rPr>
          <w:color w:val="auto"/>
          <w:sz w:val="22"/>
          <w:szCs w:val="22"/>
        </w:rPr>
      </w:pPr>
      <w:r w:rsidRPr="00D933F4">
        <w:rPr>
          <w:color w:val="auto"/>
          <w:sz w:val="22"/>
          <w:szCs w:val="22"/>
        </w:rPr>
        <w:t>Az MNB a kockázatos portfóliókra vonatkozó elvárásainak megfogalmazásában a megfelelő mértékű értékvesztés megképzésére helyezi a hangsúlyt, mivel:</w:t>
      </w:r>
    </w:p>
    <w:p w14:paraId="5903031E" w14:textId="77777777" w:rsidR="00DB3BC3" w:rsidRPr="00D933F4" w:rsidRDefault="00DB3BC3" w:rsidP="00003494">
      <w:pPr>
        <w:pStyle w:val="Default"/>
        <w:numPr>
          <w:ilvl w:val="0"/>
          <w:numId w:val="12"/>
        </w:numPr>
        <w:spacing w:before="120" w:after="44"/>
        <w:jc w:val="both"/>
        <w:rPr>
          <w:color w:val="auto"/>
          <w:sz w:val="22"/>
          <w:szCs w:val="22"/>
        </w:rPr>
      </w:pPr>
      <w:r w:rsidRPr="00D933F4">
        <w:rPr>
          <w:color w:val="auto"/>
          <w:sz w:val="22"/>
          <w:szCs w:val="22"/>
        </w:rPr>
        <w:t>az intézmények által alkalmazott fedezetértékelés gyakorlata eltérő,</w:t>
      </w:r>
    </w:p>
    <w:p w14:paraId="5903031F" w14:textId="77777777" w:rsidR="00DB3BC3" w:rsidRPr="00D933F4" w:rsidRDefault="00DB3BC3" w:rsidP="00003494">
      <w:pPr>
        <w:pStyle w:val="Default"/>
        <w:numPr>
          <w:ilvl w:val="0"/>
          <w:numId w:val="12"/>
        </w:numPr>
        <w:spacing w:before="120"/>
        <w:jc w:val="both"/>
        <w:rPr>
          <w:color w:val="auto"/>
          <w:sz w:val="22"/>
          <w:szCs w:val="22"/>
        </w:rPr>
      </w:pPr>
      <w:r w:rsidRPr="00D933F4">
        <w:rPr>
          <w:color w:val="auto"/>
          <w:sz w:val="22"/>
          <w:szCs w:val="22"/>
        </w:rPr>
        <w:t xml:space="preserve">a piacok alacsony likviditása </w:t>
      </w:r>
      <w:proofErr w:type="spellStart"/>
      <w:r w:rsidRPr="00D933F4">
        <w:rPr>
          <w:color w:val="auto"/>
          <w:sz w:val="22"/>
          <w:szCs w:val="22"/>
        </w:rPr>
        <w:t>esetenként</w:t>
      </w:r>
      <w:proofErr w:type="spellEnd"/>
      <w:r w:rsidRPr="00D933F4">
        <w:rPr>
          <w:color w:val="auto"/>
          <w:sz w:val="22"/>
          <w:szCs w:val="22"/>
        </w:rPr>
        <w:t xml:space="preserve"> korlátja az alkalmazott fedezetekből való megtérülésnek.</w:t>
      </w:r>
    </w:p>
    <w:p w14:paraId="59030320" w14:textId="77777777" w:rsidR="00DB3BC3" w:rsidRPr="00D933F4" w:rsidRDefault="00DB3BC3" w:rsidP="00D933F4">
      <w:pPr>
        <w:pStyle w:val="Default"/>
        <w:spacing w:after="120"/>
        <w:jc w:val="both"/>
        <w:rPr>
          <w:bCs/>
          <w:color w:val="auto"/>
          <w:sz w:val="22"/>
          <w:szCs w:val="22"/>
        </w:rPr>
      </w:pPr>
      <w:r w:rsidRPr="00D933F4">
        <w:rPr>
          <w:bCs/>
          <w:color w:val="auto"/>
          <w:sz w:val="22"/>
          <w:szCs w:val="22"/>
        </w:rPr>
        <w:t xml:space="preserve">Az MNB a megtérülési tapasztalatok alapján egy átlagos 40%-os veszteség rátát állapít meg a lakossági fedezett (jelzálog ügyletek), valamint a vállalati, projekt és egyéb nem lakossági </w:t>
      </w:r>
      <w:r w:rsidRPr="00D933F4">
        <w:rPr>
          <w:color w:val="auto"/>
          <w:sz w:val="22"/>
          <w:szCs w:val="22"/>
        </w:rPr>
        <w:t>hitelportfóliókra</w:t>
      </w:r>
      <w:r w:rsidRPr="00D933F4">
        <w:rPr>
          <w:bCs/>
          <w:color w:val="auto"/>
          <w:sz w:val="22"/>
          <w:szCs w:val="22"/>
        </w:rPr>
        <w:t xml:space="preserve">, és elvárja, hogy a hitelintézetek a nemteljesítő kitettségekből várható vesztségeket legalább 40%-ban értékvesztés megképzésével fedezzék. Az értékvesztés fedezettségi adatok alapján továbbá az MNB elvárja, hogy a </w:t>
      </w:r>
      <w:r w:rsidRPr="00D933F4">
        <w:rPr>
          <w:color w:val="auto"/>
          <w:sz w:val="22"/>
          <w:szCs w:val="22"/>
        </w:rPr>
        <w:t>mikró</w:t>
      </w:r>
      <w:r w:rsidRPr="00D933F4">
        <w:rPr>
          <w:bCs/>
          <w:color w:val="auto"/>
          <w:sz w:val="22"/>
          <w:szCs w:val="22"/>
        </w:rPr>
        <w:t xml:space="preserve"> szegmens nemteljesítő kitettségeinek várható veszteségét a hitelintézetek minimum 50%-os értékvesztés megképzésével fedezzék. A megtérülési tapasztalatok a lakossági fedezetlen (jelzálogtól eltérő háztartási) kitettségeknél magasabb, 80% körüli veszteségrátát mutatnak, ezért a fedezetlen lakossági állományokra minimum 80%-os értékvesztés az elvárt. </w:t>
      </w:r>
      <w:r>
        <w:rPr>
          <w:bCs/>
          <w:color w:val="auto"/>
          <w:sz w:val="22"/>
          <w:szCs w:val="22"/>
        </w:rPr>
        <w:t>Az MNB a nemteljesítő babaváró</w:t>
      </w:r>
      <w:r>
        <w:rPr>
          <w:rStyle w:val="Lbjegyzet-hivatkozs"/>
          <w:bCs/>
          <w:color w:val="auto"/>
          <w:sz w:val="22"/>
          <w:szCs w:val="22"/>
        </w:rPr>
        <w:footnoteReference w:id="5"/>
      </w:r>
      <w:r>
        <w:rPr>
          <w:bCs/>
          <w:color w:val="auto"/>
          <w:sz w:val="22"/>
          <w:szCs w:val="22"/>
        </w:rPr>
        <w:t xml:space="preserve"> kölcsönre a kockázatos portfóliók körén belül nem tartja indokoltnak többlettőke képzését tekintve a magyar állam által vállalt kezességet.</w:t>
      </w:r>
    </w:p>
    <w:p w14:paraId="59030321" w14:textId="33534680" w:rsidR="00DB3BC3" w:rsidRDefault="00DB3BC3" w:rsidP="00AB3D45">
      <w:pPr>
        <w:pStyle w:val="Default"/>
        <w:spacing w:after="120"/>
        <w:jc w:val="both"/>
        <w:rPr>
          <w:b/>
          <w:bCs/>
        </w:rPr>
      </w:pPr>
      <w:r w:rsidRPr="00D933F4">
        <w:rPr>
          <w:b/>
          <w:bCs/>
          <w:color w:val="auto"/>
          <w:sz w:val="22"/>
          <w:szCs w:val="22"/>
        </w:rPr>
        <w:t xml:space="preserve">Előírt többlettőke nagysága: </w:t>
      </w:r>
      <w:r w:rsidRPr="00D933F4">
        <w:rPr>
          <w:color w:val="auto"/>
          <w:sz w:val="22"/>
          <w:szCs w:val="22"/>
        </w:rPr>
        <w:t xml:space="preserve">a nemteljesítő kitettségek esetén az MNB által elvárt minimális átlagos portfóliószintű értékvesztés és az erre a portfólióra az intézmény által megképzett értékvesztés mértéke közti különbség. A többlettőke meghatározásakor a lakossági </w:t>
      </w:r>
      <w:r>
        <w:rPr>
          <w:color w:val="auto"/>
        </w:rPr>
        <w:t xml:space="preserve">kitettségek közé a ’J’ MNB szektorkóddal (háztartás) rendelkező ügyeletek sorolandók, majd ezt követően szükséges </w:t>
      </w:r>
      <w:r>
        <w:rPr>
          <w:color w:val="auto"/>
        </w:rPr>
        <w:lastRenderedPageBreak/>
        <w:t xml:space="preserve">elkülöníteni termékenként a jelzálog és egyéb </w:t>
      </w:r>
      <w:r w:rsidRPr="00424705">
        <w:rPr>
          <w:color w:val="auto"/>
        </w:rPr>
        <w:t xml:space="preserve">lakossági kitettségeket (kivéve önálló vállalkozók), az előírt értékvesztési szint ellenőrzésének érdekében. </w:t>
      </w:r>
      <w:r w:rsidRPr="004B7818">
        <w:rPr>
          <w:color w:val="auto"/>
        </w:rPr>
        <w:t xml:space="preserve">A </w:t>
      </w:r>
      <w:proofErr w:type="spellStart"/>
      <w:r w:rsidRPr="004B7818">
        <w:rPr>
          <w:color w:val="auto"/>
        </w:rPr>
        <w:t>CRR</w:t>
      </w:r>
      <w:proofErr w:type="spellEnd"/>
      <w:r w:rsidRPr="004B7818">
        <w:rPr>
          <w:color w:val="auto"/>
        </w:rPr>
        <w:t xml:space="preserve"> </w:t>
      </w:r>
      <w:r w:rsidRPr="00255F17">
        <w:rPr>
          <w:color w:val="auto"/>
        </w:rPr>
        <w:t>47c cikke alapján a szavatoló tőkéből levont rész hozzáadódik az értékvesztés-fedezettséghez.</w:t>
      </w:r>
    </w:p>
    <w:p w14:paraId="59030322" w14:textId="77777777" w:rsidR="00DB3BC3" w:rsidRPr="00D933F4" w:rsidRDefault="00DB3BC3" w:rsidP="00003494">
      <w:pPr>
        <w:pStyle w:val="Default"/>
        <w:spacing w:before="120"/>
        <w:jc w:val="both"/>
        <w:rPr>
          <w:b/>
          <w:bCs/>
          <w:color w:val="auto"/>
          <w:sz w:val="22"/>
          <w:szCs w:val="22"/>
        </w:rPr>
      </w:pPr>
      <w:r w:rsidRPr="00D933F4">
        <w:rPr>
          <w:b/>
          <w:bCs/>
          <w:color w:val="auto"/>
          <w:sz w:val="22"/>
          <w:szCs w:val="22"/>
        </w:rPr>
        <w:t xml:space="preserve">2. </w:t>
      </w:r>
      <w:bookmarkStart w:id="1" w:name="_Hlk23852729"/>
      <w:proofErr w:type="spellStart"/>
      <w:r w:rsidRPr="00D933F4">
        <w:rPr>
          <w:b/>
          <w:bCs/>
          <w:color w:val="auto"/>
          <w:sz w:val="22"/>
          <w:szCs w:val="22"/>
        </w:rPr>
        <w:t>Balloon</w:t>
      </w:r>
      <w:proofErr w:type="spellEnd"/>
      <w:r w:rsidRPr="00D933F4">
        <w:rPr>
          <w:b/>
          <w:bCs/>
          <w:color w:val="auto"/>
          <w:sz w:val="22"/>
          <w:szCs w:val="22"/>
        </w:rPr>
        <w:t>/</w:t>
      </w:r>
      <w:proofErr w:type="spellStart"/>
      <w:r w:rsidRPr="00D933F4">
        <w:rPr>
          <w:b/>
          <w:bCs/>
          <w:color w:val="auto"/>
          <w:sz w:val="22"/>
          <w:szCs w:val="22"/>
        </w:rPr>
        <w:t>bullet</w:t>
      </w:r>
      <w:proofErr w:type="spellEnd"/>
      <w:r w:rsidRPr="00D933F4">
        <w:rPr>
          <w:b/>
          <w:bCs/>
          <w:color w:val="auto"/>
          <w:sz w:val="22"/>
          <w:szCs w:val="22"/>
        </w:rPr>
        <w:t xml:space="preserve"> ügyletek</w:t>
      </w:r>
    </w:p>
    <w:p w14:paraId="59030323" w14:textId="60E0F3F6" w:rsidR="00DB3BC3" w:rsidRPr="00D933F4" w:rsidRDefault="00DB3BC3" w:rsidP="00D933F4">
      <w:pPr>
        <w:pStyle w:val="Default"/>
        <w:spacing w:after="120"/>
        <w:jc w:val="both"/>
        <w:rPr>
          <w:color w:val="auto"/>
          <w:sz w:val="22"/>
          <w:szCs w:val="22"/>
        </w:rPr>
      </w:pPr>
      <w:r w:rsidRPr="00D933F4">
        <w:rPr>
          <w:color w:val="auto"/>
          <w:sz w:val="22"/>
          <w:szCs w:val="22"/>
        </w:rPr>
        <w:t>Az elmúlt időszak tapasztalatai alapján az MNB továbbra is kockázatosnak ítéli azokat az eredeti futamidő szerint éven túli lejáratú hiteleket, amelyeknél a futamidő alatt a kamatok és díjak megfizetése történik meg, míg a tőketörlesztés egésze, vagy döntő – 60% vagy annál nagyobb arányú</w:t>
      </w:r>
      <w:r>
        <w:rPr>
          <w:rStyle w:val="Lbjegyzet-hivatkozs"/>
          <w:color w:val="auto"/>
          <w:sz w:val="22"/>
          <w:szCs w:val="22"/>
        </w:rPr>
        <w:footnoteReference w:id="6"/>
      </w:r>
      <w:r w:rsidRPr="00D933F4">
        <w:rPr>
          <w:color w:val="auto"/>
          <w:sz w:val="22"/>
          <w:szCs w:val="22"/>
        </w:rPr>
        <w:t xml:space="preserve"> – része a futamidő utolsó 20%-</w:t>
      </w:r>
      <w:proofErr w:type="spellStart"/>
      <w:r w:rsidRPr="00D933F4">
        <w:rPr>
          <w:color w:val="auto"/>
          <w:sz w:val="22"/>
          <w:szCs w:val="22"/>
        </w:rPr>
        <w:t>ában</w:t>
      </w:r>
      <w:proofErr w:type="spellEnd"/>
      <w:r w:rsidRPr="00D933F4">
        <w:rPr>
          <w:color w:val="auto"/>
          <w:sz w:val="22"/>
          <w:szCs w:val="22"/>
        </w:rPr>
        <w:t xml:space="preserve"> esedékes. Ha az eredeti futamidő 20%-a kevesebb, mint egy év, akkor a futamidő utolsó egy éves szakaszát kell figyelembe venni. A </w:t>
      </w:r>
      <w:proofErr w:type="spellStart"/>
      <w:r w:rsidRPr="00D933F4">
        <w:rPr>
          <w:color w:val="auto"/>
          <w:sz w:val="22"/>
          <w:szCs w:val="22"/>
        </w:rPr>
        <w:t>balloon-bullet</w:t>
      </w:r>
      <w:proofErr w:type="spellEnd"/>
      <w:r w:rsidRPr="00D933F4">
        <w:rPr>
          <w:color w:val="auto"/>
          <w:sz w:val="22"/>
          <w:szCs w:val="22"/>
        </w:rPr>
        <w:t xml:space="preserve"> ügyletek </w:t>
      </w:r>
      <w:proofErr w:type="spellStart"/>
      <w:r w:rsidRPr="00D933F4">
        <w:rPr>
          <w:color w:val="auto"/>
          <w:sz w:val="22"/>
          <w:szCs w:val="22"/>
        </w:rPr>
        <w:t>azonosításásakor</w:t>
      </w:r>
      <w:proofErr w:type="spellEnd"/>
      <w:r w:rsidRPr="00D933F4">
        <w:rPr>
          <w:color w:val="auto"/>
          <w:sz w:val="22"/>
          <w:szCs w:val="22"/>
        </w:rPr>
        <w:t xml:space="preserve"> a hatályos </w:t>
      </w:r>
      <w:r w:rsidRPr="005B6944">
        <w:t>51/2022. (XI.2</w:t>
      </w:r>
      <w:r>
        <w:rPr>
          <w:color w:val="auto"/>
          <w:sz w:val="22"/>
          <w:szCs w:val="22"/>
        </w:rPr>
        <w:t>9</w:t>
      </w:r>
      <w:r w:rsidRPr="00016477">
        <w:rPr>
          <w:color w:val="auto"/>
          <w:sz w:val="22"/>
          <w:szCs w:val="22"/>
        </w:rPr>
        <w:t>) MNB rendelet</w:t>
      </w:r>
      <w:r>
        <w:rPr>
          <w:rStyle w:val="Lbjegyzet-hivatkozs"/>
          <w:color w:val="auto"/>
          <w:sz w:val="22"/>
          <w:szCs w:val="22"/>
        </w:rPr>
        <w:footnoteReference w:id="7"/>
      </w:r>
      <w:r w:rsidRPr="00D933F4">
        <w:rPr>
          <w:color w:val="auto"/>
          <w:sz w:val="22"/>
          <w:szCs w:val="22"/>
        </w:rPr>
        <w:t xml:space="preserve"> 1. mellékletében közzétett definíciók alkalmazandóak.</w:t>
      </w:r>
    </w:p>
    <w:p w14:paraId="59030324" w14:textId="77777777" w:rsidR="00DB3BC3" w:rsidRDefault="00DB3BC3" w:rsidP="005D705C">
      <w:pPr>
        <w:pStyle w:val="Default"/>
        <w:spacing w:after="120"/>
        <w:jc w:val="both"/>
        <w:rPr>
          <w:color w:val="auto"/>
          <w:sz w:val="22"/>
          <w:szCs w:val="22"/>
        </w:rPr>
      </w:pPr>
      <w:r w:rsidRPr="00D933F4">
        <w:rPr>
          <w:color w:val="auto"/>
          <w:sz w:val="22"/>
          <w:szCs w:val="22"/>
        </w:rPr>
        <w:t xml:space="preserve">Az MNB az </w:t>
      </w:r>
      <w:proofErr w:type="spellStart"/>
      <w:r w:rsidRPr="00D933F4">
        <w:rPr>
          <w:color w:val="auto"/>
          <w:sz w:val="22"/>
          <w:szCs w:val="22"/>
        </w:rPr>
        <w:t>NHP</w:t>
      </w:r>
      <w:proofErr w:type="spellEnd"/>
      <w:r w:rsidRPr="00D933F4">
        <w:rPr>
          <w:color w:val="auto"/>
          <w:sz w:val="22"/>
          <w:szCs w:val="22"/>
        </w:rPr>
        <w:t xml:space="preserve">/PHP konstrukció keretében nyújtott </w:t>
      </w:r>
      <w:proofErr w:type="spellStart"/>
      <w:r w:rsidRPr="00D933F4">
        <w:rPr>
          <w:color w:val="auto"/>
          <w:sz w:val="22"/>
          <w:szCs w:val="22"/>
        </w:rPr>
        <w:t>balloon</w:t>
      </w:r>
      <w:proofErr w:type="spellEnd"/>
      <w:r w:rsidRPr="00D933F4">
        <w:rPr>
          <w:color w:val="auto"/>
          <w:sz w:val="22"/>
          <w:szCs w:val="22"/>
        </w:rPr>
        <w:t>/</w:t>
      </w:r>
      <w:proofErr w:type="spellStart"/>
      <w:r w:rsidRPr="00D933F4">
        <w:rPr>
          <w:color w:val="auto"/>
          <w:sz w:val="22"/>
          <w:szCs w:val="22"/>
        </w:rPr>
        <w:t>bullet</w:t>
      </w:r>
      <w:proofErr w:type="spellEnd"/>
      <w:r w:rsidRPr="00D933F4">
        <w:rPr>
          <w:color w:val="auto"/>
          <w:sz w:val="22"/>
          <w:szCs w:val="22"/>
        </w:rPr>
        <w:t xml:space="preserve"> jellegű ügyletek esetében sem biztosít felmentést a tőkekövetelmény-többlet képzése alól, ugyanis meglátása szerint a konstrukció önmagában nem biztosítja a </w:t>
      </w:r>
      <w:proofErr w:type="spellStart"/>
      <w:r w:rsidRPr="00D933F4">
        <w:rPr>
          <w:color w:val="auto"/>
          <w:sz w:val="22"/>
          <w:szCs w:val="22"/>
        </w:rPr>
        <w:t>balloon</w:t>
      </w:r>
      <w:proofErr w:type="spellEnd"/>
      <w:r w:rsidRPr="00D933F4">
        <w:rPr>
          <w:color w:val="auto"/>
          <w:sz w:val="22"/>
          <w:szCs w:val="22"/>
        </w:rPr>
        <w:t>/</w:t>
      </w:r>
      <w:proofErr w:type="spellStart"/>
      <w:r w:rsidRPr="00D933F4">
        <w:rPr>
          <w:color w:val="auto"/>
          <w:sz w:val="22"/>
          <w:szCs w:val="22"/>
        </w:rPr>
        <w:t>bullet</w:t>
      </w:r>
      <w:proofErr w:type="spellEnd"/>
      <w:r w:rsidRPr="00D933F4">
        <w:rPr>
          <w:color w:val="auto"/>
          <w:sz w:val="22"/>
          <w:szCs w:val="22"/>
        </w:rPr>
        <w:t xml:space="preserve"> jellegből fakadó kockázat csökkentését.</w:t>
      </w:r>
      <w:r w:rsidRPr="005D705C">
        <w:rPr>
          <w:color w:val="auto"/>
          <w:sz w:val="22"/>
          <w:szCs w:val="22"/>
        </w:rPr>
        <w:t xml:space="preserve"> </w:t>
      </w:r>
    </w:p>
    <w:p w14:paraId="59030325" w14:textId="77777777" w:rsidR="00DB3BC3" w:rsidRPr="00797740" w:rsidRDefault="00DB3BC3" w:rsidP="005D705C">
      <w:pPr>
        <w:pStyle w:val="Default"/>
        <w:spacing w:after="120"/>
        <w:jc w:val="both"/>
        <w:rPr>
          <w:color w:val="auto"/>
          <w:sz w:val="22"/>
          <w:szCs w:val="22"/>
        </w:rPr>
      </w:pPr>
      <w:r>
        <w:rPr>
          <w:color w:val="auto"/>
          <w:sz w:val="22"/>
          <w:szCs w:val="22"/>
        </w:rPr>
        <w:t xml:space="preserve">A 2019. február 26-án kiadott (majd 2020. január 15. napján módosított) </w:t>
      </w:r>
      <w:r w:rsidRPr="00797740">
        <w:rPr>
          <w:b/>
          <w:bCs/>
          <w:color w:val="auto"/>
          <w:sz w:val="22"/>
          <w:szCs w:val="22"/>
        </w:rPr>
        <w:t xml:space="preserve">vezetői körlevél a </w:t>
      </w:r>
      <w:proofErr w:type="spellStart"/>
      <w:r w:rsidRPr="00797740">
        <w:rPr>
          <w:b/>
          <w:bCs/>
          <w:color w:val="auto"/>
          <w:sz w:val="22"/>
          <w:szCs w:val="22"/>
        </w:rPr>
        <w:t>balloon</w:t>
      </w:r>
      <w:proofErr w:type="spellEnd"/>
      <w:r w:rsidRPr="00797740">
        <w:rPr>
          <w:b/>
          <w:bCs/>
          <w:color w:val="auto"/>
          <w:sz w:val="22"/>
          <w:szCs w:val="22"/>
        </w:rPr>
        <w:t>/</w:t>
      </w:r>
      <w:proofErr w:type="spellStart"/>
      <w:r w:rsidRPr="00797740">
        <w:rPr>
          <w:b/>
          <w:bCs/>
          <w:color w:val="auto"/>
          <w:sz w:val="22"/>
          <w:szCs w:val="22"/>
        </w:rPr>
        <w:t>bullet</w:t>
      </w:r>
      <w:proofErr w:type="spellEnd"/>
      <w:r w:rsidRPr="00797740">
        <w:rPr>
          <w:b/>
          <w:bCs/>
          <w:color w:val="auto"/>
          <w:sz w:val="22"/>
          <w:szCs w:val="22"/>
        </w:rPr>
        <w:t xml:space="preserve"> törlesztési típusú hitelek kockázatainak kezeléséről</w:t>
      </w:r>
      <w:r>
        <w:rPr>
          <w:rStyle w:val="Lbjegyzet-hivatkozs"/>
          <w:color w:val="auto"/>
          <w:sz w:val="22"/>
          <w:szCs w:val="22"/>
        </w:rPr>
        <w:footnoteReference w:id="8"/>
      </w:r>
      <w:r>
        <w:rPr>
          <w:color w:val="auto"/>
          <w:sz w:val="22"/>
          <w:szCs w:val="22"/>
        </w:rPr>
        <w:t xml:space="preserve"> </w:t>
      </w:r>
      <w:r w:rsidRPr="00C54797">
        <w:rPr>
          <w:color w:val="auto"/>
          <w:sz w:val="22"/>
          <w:szCs w:val="22"/>
        </w:rPr>
        <w:t xml:space="preserve">a </w:t>
      </w:r>
      <w:proofErr w:type="spellStart"/>
      <w:r w:rsidRPr="00C54797">
        <w:rPr>
          <w:color w:val="auto"/>
          <w:sz w:val="22"/>
          <w:szCs w:val="22"/>
        </w:rPr>
        <w:t>balloon</w:t>
      </w:r>
      <w:proofErr w:type="spellEnd"/>
      <w:r w:rsidRPr="00C54797">
        <w:rPr>
          <w:color w:val="auto"/>
          <w:sz w:val="22"/>
          <w:szCs w:val="22"/>
        </w:rPr>
        <w:t>/</w:t>
      </w:r>
      <w:proofErr w:type="spellStart"/>
      <w:r w:rsidRPr="00C54797">
        <w:rPr>
          <w:color w:val="auto"/>
          <w:sz w:val="22"/>
          <w:szCs w:val="22"/>
        </w:rPr>
        <w:t>bullet</w:t>
      </w:r>
      <w:proofErr w:type="spellEnd"/>
      <w:r w:rsidRPr="00C54797">
        <w:rPr>
          <w:color w:val="auto"/>
          <w:sz w:val="22"/>
          <w:szCs w:val="22"/>
        </w:rPr>
        <w:t xml:space="preserve"> törlesztési típusú hitelekből származó </w:t>
      </w:r>
      <w:proofErr w:type="spellStart"/>
      <w:r w:rsidRPr="00C54797">
        <w:rPr>
          <w:color w:val="auto"/>
          <w:sz w:val="22"/>
          <w:szCs w:val="22"/>
        </w:rPr>
        <w:t>prudenciális</w:t>
      </w:r>
      <w:proofErr w:type="spellEnd"/>
      <w:r w:rsidRPr="00C54797">
        <w:rPr>
          <w:color w:val="auto"/>
          <w:sz w:val="22"/>
          <w:szCs w:val="22"/>
        </w:rPr>
        <w:t xml:space="preserve"> kockázatok szektorszintű egységes értelmezése, mérése és kezelése érdekében kommunikálja a pénzügyi szervezetek felé a </w:t>
      </w:r>
      <w:proofErr w:type="spellStart"/>
      <w:r w:rsidRPr="00C54797">
        <w:rPr>
          <w:color w:val="auto"/>
          <w:sz w:val="22"/>
          <w:szCs w:val="22"/>
        </w:rPr>
        <w:t>balloon</w:t>
      </w:r>
      <w:proofErr w:type="spellEnd"/>
      <w:r w:rsidRPr="00C54797">
        <w:rPr>
          <w:color w:val="auto"/>
          <w:sz w:val="22"/>
          <w:szCs w:val="22"/>
        </w:rPr>
        <w:t>/</w:t>
      </w:r>
      <w:proofErr w:type="spellStart"/>
      <w:r w:rsidRPr="00C54797">
        <w:rPr>
          <w:color w:val="auto"/>
          <w:sz w:val="22"/>
          <w:szCs w:val="22"/>
        </w:rPr>
        <w:t>bullet</w:t>
      </w:r>
      <w:proofErr w:type="spellEnd"/>
      <w:r w:rsidRPr="00C54797">
        <w:rPr>
          <w:color w:val="auto"/>
          <w:sz w:val="22"/>
          <w:szCs w:val="22"/>
        </w:rPr>
        <w:t xml:space="preserve"> törlesztési típusú hitelek kockázatainak kezelésével kapcsolatban az MNB által elvárt legjobb gyakorlat bevezetésének szükségességét, és javasolja ezen elvárások egységes alkalmazását.</w:t>
      </w:r>
    </w:p>
    <w:p w14:paraId="59030327" w14:textId="5B944DA1" w:rsidR="00DB3BC3" w:rsidRPr="00D933F4" w:rsidRDefault="00DB3BC3" w:rsidP="00D933F4">
      <w:pPr>
        <w:pStyle w:val="Default"/>
        <w:spacing w:after="120"/>
        <w:jc w:val="both"/>
        <w:rPr>
          <w:sz w:val="22"/>
          <w:szCs w:val="22"/>
        </w:rPr>
      </w:pPr>
      <w:bookmarkStart w:id="2" w:name="OLE_LINK1"/>
      <w:r>
        <w:rPr>
          <w:color w:val="auto"/>
          <w:sz w:val="22"/>
          <w:szCs w:val="22"/>
        </w:rPr>
        <w:t>A körlevélben megfogalmazott kivételeken túl n</w:t>
      </w:r>
      <w:r w:rsidRPr="00D933F4">
        <w:rPr>
          <w:color w:val="auto"/>
          <w:sz w:val="22"/>
          <w:szCs w:val="22"/>
        </w:rPr>
        <w:t xml:space="preserve">em szükséges </w:t>
      </w:r>
      <w:r w:rsidRPr="00D933F4">
        <w:rPr>
          <w:sz w:val="22"/>
          <w:szCs w:val="22"/>
        </w:rPr>
        <w:t xml:space="preserve">megképezni a tőkekövetelmény-többletet, ha az adott </w:t>
      </w:r>
      <w:r>
        <w:rPr>
          <w:sz w:val="22"/>
          <w:szCs w:val="22"/>
        </w:rPr>
        <w:t>kitettségre</w:t>
      </w:r>
      <w:r w:rsidRPr="00D933F4">
        <w:rPr>
          <w:sz w:val="22"/>
          <w:szCs w:val="22"/>
        </w:rPr>
        <w:t xml:space="preserve"> az alábbi feltételek mindegyike teljesül:</w:t>
      </w:r>
    </w:p>
    <w:p w14:paraId="59030328" w14:textId="77777777" w:rsidR="00DB3BC3" w:rsidRPr="00D933F4" w:rsidRDefault="00DB3BC3" w:rsidP="008C3A54">
      <w:pPr>
        <w:pStyle w:val="Default"/>
        <w:numPr>
          <w:ilvl w:val="0"/>
          <w:numId w:val="20"/>
        </w:numPr>
        <w:spacing w:before="120"/>
        <w:jc w:val="both"/>
        <w:rPr>
          <w:sz w:val="22"/>
          <w:szCs w:val="22"/>
        </w:rPr>
      </w:pPr>
      <w:r w:rsidRPr="00D933F4">
        <w:rPr>
          <w:sz w:val="22"/>
          <w:szCs w:val="22"/>
        </w:rPr>
        <w:t xml:space="preserve">a kitettség alapvető közszolgáltatásokat nyújtó vagy támogató fizikai struktúrákat vagy létesítményeket, rendszereket és </w:t>
      </w:r>
      <w:proofErr w:type="spellStart"/>
      <w:r w:rsidRPr="00D933F4">
        <w:rPr>
          <w:sz w:val="22"/>
          <w:szCs w:val="22"/>
        </w:rPr>
        <w:t>hálózatokat</w:t>
      </w:r>
      <w:proofErr w:type="spellEnd"/>
      <w:r w:rsidRPr="00D933F4">
        <w:rPr>
          <w:sz w:val="22"/>
          <w:szCs w:val="22"/>
        </w:rPr>
        <w:t xml:space="preserve"> működtető vagy finanszírozó szervezetekkel szemben áll fenn;</w:t>
      </w:r>
    </w:p>
    <w:p w14:paraId="59030329" w14:textId="77777777" w:rsidR="00DB3BC3" w:rsidRPr="00D933F4" w:rsidRDefault="00DB3BC3" w:rsidP="008C3A54">
      <w:pPr>
        <w:pStyle w:val="Default"/>
        <w:numPr>
          <w:ilvl w:val="0"/>
          <w:numId w:val="20"/>
        </w:numPr>
        <w:spacing w:before="120"/>
        <w:jc w:val="both"/>
        <w:rPr>
          <w:sz w:val="22"/>
          <w:szCs w:val="22"/>
        </w:rPr>
      </w:pPr>
      <w:r w:rsidRPr="00D933F4">
        <w:rPr>
          <w:sz w:val="22"/>
          <w:szCs w:val="22"/>
        </w:rPr>
        <w:t>a kötelezett által generált pénzáramlás alacsony hitelkockázatát jogszabály által meghatározott állami konstrukció biztosítja;</w:t>
      </w:r>
    </w:p>
    <w:p w14:paraId="5903032A" w14:textId="77777777" w:rsidR="00DB3BC3" w:rsidRPr="00D933F4" w:rsidRDefault="00DB3BC3" w:rsidP="008C3A54">
      <w:pPr>
        <w:pStyle w:val="Default"/>
        <w:numPr>
          <w:ilvl w:val="0"/>
          <w:numId w:val="20"/>
        </w:numPr>
        <w:spacing w:before="120"/>
        <w:jc w:val="both"/>
        <w:rPr>
          <w:sz w:val="22"/>
          <w:szCs w:val="22"/>
        </w:rPr>
      </w:pPr>
      <w:r w:rsidRPr="00D933F4">
        <w:rPr>
          <w:sz w:val="22"/>
          <w:szCs w:val="22"/>
        </w:rPr>
        <w:t xml:space="preserve">a hitelintézet dokumentáltan alkalmazza a </w:t>
      </w:r>
      <w:proofErr w:type="spellStart"/>
      <w:r w:rsidRPr="00D933F4">
        <w:rPr>
          <w:sz w:val="22"/>
          <w:szCs w:val="22"/>
        </w:rPr>
        <w:t>balloon</w:t>
      </w:r>
      <w:proofErr w:type="spellEnd"/>
      <w:r w:rsidRPr="00D933F4">
        <w:rPr>
          <w:sz w:val="22"/>
          <w:szCs w:val="22"/>
        </w:rPr>
        <w:t>/</w:t>
      </w:r>
      <w:proofErr w:type="spellStart"/>
      <w:r w:rsidRPr="00D933F4">
        <w:rPr>
          <w:sz w:val="22"/>
          <w:szCs w:val="22"/>
        </w:rPr>
        <w:t>bullet</w:t>
      </w:r>
      <w:proofErr w:type="spellEnd"/>
      <w:r w:rsidRPr="00D933F4">
        <w:rPr>
          <w:sz w:val="22"/>
          <w:szCs w:val="22"/>
        </w:rPr>
        <w:t xml:space="preserve"> törlesztési típusú hitelek kockázatainak kezeléséről szóló Vezetői körlevélben foglaltakat</w:t>
      </w:r>
      <w:r>
        <w:rPr>
          <w:sz w:val="22"/>
          <w:szCs w:val="22"/>
        </w:rPr>
        <w:t xml:space="preserve"> az adott kitettség vonatkozásában</w:t>
      </w:r>
      <w:r w:rsidRPr="00D933F4">
        <w:rPr>
          <w:sz w:val="22"/>
          <w:szCs w:val="22"/>
        </w:rPr>
        <w:t>.</w:t>
      </w:r>
    </w:p>
    <w:p w14:paraId="5903032B" w14:textId="77777777" w:rsidR="00DB3BC3" w:rsidRPr="00D933F4" w:rsidRDefault="00DB3BC3" w:rsidP="00D933F4">
      <w:pPr>
        <w:pStyle w:val="Default"/>
        <w:spacing w:after="120"/>
        <w:jc w:val="both"/>
        <w:rPr>
          <w:color w:val="auto"/>
          <w:sz w:val="22"/>
          <w:szCs w:val="22"/>
        </w:rPr>
      </w:pPr>
      <w:r w:rsidRPr="00D933F4">
        <w:rPr>
          <w:sz w:val="22"/>
          <w:szCs w:val="22"/>
        </w:rPr>
        <w:t xml:space="preserve">A b) pont tekintetében az MNB </w:t>
      </w:r>
      <w:r>
        <w:rPr>
          <w:sz w:val="22"/>
          <w:szCs w:val="22"/>
        </w:rPr>
        <w:t xml:space="preserve">jelenleg </w:t>
      </w:r>
      <w:r w:rsidRPr="00D933F4">
        <w:rPr>
          <w:sz w:val="22"/>
          <w:szCs w:val="22"/>
        </w:rPr>
        <w:t xml:space="preserve">a villamos energiáról szóló 2007. évi LXXXVI. törvény szerinti kötelező átvételi árat, valamint a prémium típusú támogatás támogatott árát </w:t>
      </w:r>
      <w:r w:rsidRPr="00D933F4">
        <w:rPr>
          <w:color w:val="auto"/>
          <w:sz w:val="22"/>
          <w:szCs w:val="22"/>
        </w:rPr>
        <w:t>tudja figyelembe venni.</w:t>
      </w:r>
    </w:p>
    <w:bookmarkEnd w:id="2"/>
    <w:p w14:paraId="5903032C" w14:textId="77777777" w:rsidR="00DB3BC3" w:rsidRDefault="00DB3BC3" w:rsidP="00D933F4">
      <w:pPr>
        <w:pStyle w:val="Default"/>
        <w:spacing w:after="120"/>
        <w:jc w:val="both"/>
        <w:rPr>
          <w:color w:val="auto"/>
          <w:sz w:val="22"/>
          <w:szCs w:val="22"/>
        </w:rPr>
      </w:pPr>
      <w:r>
        <w:rPr>
          <w:color w:val="auto"/>
          <w:sz w:val="22"/>
          <w:szCs w:val="22"/>
        </w:rPr>
        <w:t>A többlettőke képzés alól további kivételt képeznek:</w:t>
      </w:r>
    </w:p>
    <w:p w14:paraId="5903032D" w14:textId="77777777" w:rsidR="00DB3BC3" w:rsidRDefault="00DB3BC3" w:rsidP="00DB774A">
      <w:pPr>
        <w:pStyle w:val="Default"/>
        <w:numPr>
          <w:ilvl w:val="0"/>
          <w:numId w:val="23"/>
        </w:numPr>
        <w:spacing w:after="120"/>
        <w:jc w:val="both"/>
        <w:rPr>
          <w:sz w:val="22"/>
          <w:szCs w:val="22"/>
        </w:rPr>
      </w:pPr>
      <w:r>
        <w:rPr>
          <w:color w:val="auto"/>
          <w:sz w:val="22"/>
          <w:szCs w:val="22"/>
        </w:rPr>
        <w:t>a</w:t>
      </w:r>
      <w:r w:rsidRPr="00D933F4">
        <w:rPr>
          <w:color w:val="auto"/>
          <w:sz w:val="22"/>
          <w:szCs w:val="22"/>
        </w:rPr>
        <w:t xml:space="preserve"> külső hitelminősítéssel rendelkező vállalati kötvények, állami és intézményi kötvények</w:t>
      </w:r>
      <w:r>
        <w:rPr>
          <w:color w:val="auto"/>
          <w:sz w:val="22"/>
          <w:szCs w:val="22"/>
        </w:rPr>
        <w:t>,</w:t>
      </w:r>
    </w:p>
    <w:p w14:paraId="5903032E" w14:textId="77777777" w:rsidR="00DB3BC3" w:rsidRDefault="00DB3BC3" w:rsidP="00DB774A">
      <w:pPr>
        <w:pStyle w:val="Default"/>
        <w:numPr>
          <w:ilvl w:val="0"/>
          <w:numId w:val="23"/>
        </w:numPr>
        <w:spacing w:after="120"/>
        <w:jc w:val="both"/>
        <w:rPr>
          <w:sz w:val="22"/>
          <w:szCs w:val="22"/>
        </w:rPr>
      </w:pPr>
      <w:r w:rsidRPr="00D933F4">
        <w:rPr>
          <w:sz w:val="22"/>
          <w:szCs w:val="22"/>
        </w:rPr>
        <w:t>a</w:t>
      </w:r>
      <w:r>
        <w:rPr>
          <w:sz w:val="22"/>
          <w:szCs w:val="22"/>
        </w:rPr>
        <w:t>zok a</w:t>
      </w:r>
      <w:r w:rsidRPr="00D933F4">
        <w:rPr>
          <w:sz w:val="22"/>
          <w:szCs w:val="22"/>
        </w:rPr>
        <w:t xml:space="preserve"> lombardhitelek, mely kitettségek esetén értékpapír-letét vagy forint-, devizabetét szolgál fedezetként, aminek elegendő kockázatcsökkentő hatása miatt nem tekintendők kiemelten kockázatos kitettségeknek</w:t>
      </w:r>
      <w:r>
        <w:rPr>
          <w:sz w:val="22"/>
          <w:szCs w:val="22"/>
        </w:rPr>
        <w:t>,</w:t>
      </w:r>
    </w:p>
    <w:p w14:paraId="5903032F" w14:textId="77777777" w:rsidR="00DB3BC3" w:rsidRDefault="00DB3BC3" w:rsidP="007B664E">
      <w:pPr>
        <w:pStyle w:val="Default"/>
        <w:numPr>
          <w:ilvl w:val="0"/>
          <w:numId w:val="23"/>
        </w:numPr>
        <w:spacing w:after="120"/>
        <w:jc w:val="both"/>
        <w:rPr>
          <w:sz w:val="22"/>
          <w:szCs w:val="22"/>
        </w:rPr>
      </w:pPr>
      <w:r>
        <w:rPr>
          <w:sz w:val="22"/>
          <w:szCs w:val="22"/>
        </w:rPr>
        <w:t>a maximum 3 éves eredeti futamidővel rendelkező forgóeszköz hitelek,</w:t>
      </w:r>
    </w:p>
    <w:p w14:paraId="59030330" w14:textId="77777777" w:rsidR="00DB3BC3" w:rsidRPr="00D933F4" w:rsidRDefault="00DB3BC3" w:rsidP="007B664E">
      <w:pPr>
        <w:pStyle w:val="Default"/>
        <w:numPr>
          <w:ilvl w:val="0"/>
          <w:numId w:val="23"/>
        </w:numPr>
        <w:spacing w:after="120"/>
        <w:jc w:val="both"/>
        <w:rPr>
          <w:sz w:val="22"/>
          <w:szCs w:val="22"/>
        </w:rPr>
      </w:pPr>
      <w:r>
        <w:rPr>
          <w:sz w:val="22"/>
          <w:szCs w:val="22"/>
        </w:rPr>
        <w:lastRenderedPageBreak/>
        <w:t>az eladási céllal készülő lakóingatlan-</w:t>
      </w:r>
      <w:proofErr w:type="spellStart"/>
      <w:r>
        <w:rPr>
          <w:sz w:val="22"/>
          <w:szCs w:val="22"/>
        </w:rPr>
        <w:t>feljesztési</w:t>
      </w:r>
      <w:proofErr w:type="spellEnd"/>
      <w:r>
        <w:rPr>
          <w:sz w:val="22"/>
          <w:szCs w:val="22"/>
        </w:rPr>
        <w:t xml:space="preserve"> projekthitelek</w:t>
      </w:r>
      <w:r>
        <w:rPr>
          <w:rStyle w:val="Lbjegyzet-hivatkozs"/>
          <w:sz w:val="22"/>
          <w:szCs w:val="22"/>
        </w:rPr>
        <w:footnoteReference w:id="9"/>
      </w:r>
    </w:p>
    <w:bookmarkEnd w:id="1"/>
    <w:p w14:paraId="59030332" w14:textId="77777777" w:rsidR="00DB3BC3" w:rsidRPr="00D933F4" w:rsidRDefault="00DB3BC3" w:rsidP="00AA7DBF">
      <w:pPr>
        <w:pStyle w:val="Default"/>
        <w:spacing w:after="120"/>
        <w:jc w:val="both"/>
        <w:rPr>
          <w:color w:val="auto"/>
          <w:sz w:val="22"/>
          <w:szCs w:val="22"/>
        </w:rPr>
      </w:pPr>
      <w:r w:rsidRPr="00D933F4">
        <w:rPr>
          <w:b/>
          <w:bCs/>
          <w:color w:val="auto"/>
          <w:sz w:val="22"/>
          <w:szCs w:val="22"/>
        </w:rPr>
        <w:t>Előírt többlettőke nagysága:</w:t>
      </w:r>
      <w:r w:rsidRPr="00D933F4">
        <w:rPr>
          <w:color w:val="auto"/>
          <w:sz w:val="22"/>
          <w:szCs w:val="22"/>
        </w:rPr>
        <w:t xml:space="preserve"> Az érintett teljesítő portfólió 1. pillér alatti tőkeszükségletének 50%-a az előírandó többlettőke az egyszerűsített, teljeskörű és a fókuszált</w:t>
      </w:r>
      <w:r w:rsidRPr="00D933F4">
        <w:rPr>
          <w:bCs/>
          <w:color w:val="auto"/>
          <w:sz w:val="22"/>
          <w:szCs w:val="22"/>
        </w:rPr>
        <w:t xml:space="preserve"> felügyeleti </w:t>
      </w:r>
      <w:r w:rsidRPr="00D933F4">
        <w:rPr>
          <w:color w:val="auto"/>
          <w:sz w:val="22"/>
          <w:szCs w:val="22"/>
        </w:rPr>
        <w:t>felülvizsgálat</w:t>
      </w:r>
      <w:r w:rsidRPr="00D933F4">
        <w:rPr>
          <w:bCs/>
          <w:color w:val="auto"/>
          <w:sz w:val="22"/>
          <w:szCs w:val="22"/>
        </w:rPr>
        <w:t xml:space="preserve"> </w:t>
      </w:r>
      <w:r w:rsidRPr="00D933F4">
        <w:rPr>
          <w:color w:val="auto"/>
          <w:sz w:val="22"/>
          <w:szCs w:val="22"/>
        </w:rPr>
        <w:t>alá tartozó hitelintézetek esetében egyaránt.</w:t>
      </w:r>
      <w:r>
        <w:rPr>
          <w:color w:val="auto"/>
          <w:sz w:val="22"/>
          <w:szCs w:val="22"/>
        </w:rPr>
        <w:t xml:space="preserve"> Az MNB elvárja a mérlegen kívüli kitettségek figyelembevételét a </w:t>
      </w:r>
      <w:proofErr w:type="spellStart"/>
      <w:r>
        <w:rPr>
          <w:color w:val="auto"/>
          <w:sz w:val="22"/>
          <w:szCs w:val="22"/>
        </w:rPr>
        <w:t>balloon-bullet</w:t>
      </w:r>
      <w:proofErr w:type="spellEnd"/>
      <w:r>
        <w:rPr>
          <w:color w:val="auto"/>
          <w:sz w:val="22"/>
          <w:szCs w:val="22"/>
        </w:rPr>
        <w:t xml:space="preserve"> portfóliók tekintetében, azon kitettségek esetén, ahol megítélhető, hogy mérlegtétellé válást követően </w:t>
      </w:r>
      <w:proofErr w:type="spellStart"/>
      <w:r>
        <w:rPr>
          <w:color w:val="auto"/>
          <w:sz w:val="22"/>
          <w:szCs w:val="22"/>
        </w:rPr>
        <w:t>balloon-bullet</w:t>
      </w:r>
      <w:proofErr w:type="spellEnd"/>
      <w:r>
        <w:rPr>
          <w:color w:val="auto"/>
          <w:sz w:val="22"/>
          <w:szCs w:val="22"/>
        </w:rPr>
        <w:t xml:space="preserve"> kitettség keletkezik és az alkalmazandó </w:t>
      </w:r>
      <w:proofErr w:type="spellStart"/>
      <w:r>
        <w:rPr>
          <w:color w:val="auto"/>
          <w:sz w:val="22"/>
          <w:szCs w:val="22"/>
        </w:rPr>
        <w:t>CCF</w:t>
      </w:r>
      <w:proofErr w:type="spellEnd"/>
      <w:r>
        <w:rPr>
          <w:color w:val="auto"/>
          <w:sz w:val="22"/>
          <w:szCs w:val="22"/>
        </w:rPr>
        <w:t xml:space="preserve"> nem 0.</w:t>
      </w:r>
      <w:r w:rsidRPr="00D933F4">
        <w:rPr>
          <w:color w:val="auto"/>
          <w:sz w:val="22"/>
          <w:szCs w:val="22"/>
        </w:rPr>
        <w:t xml:space="preserve">  Az MNB elvárja továbbá, hogy az intézmények alap esetben a </w:t>
      </w:r>
      <w:proofErr w:type="spellStart"/>
      <w:r w:rsidRPr="00D933F4">
        <w:rPr>
          <w:color w:val="auto"/>
          <w:sz w:val="22"/>
          <w:szCs w:val="22"/>
        </w:rPr>
        <w:t>balloon</w:t>
      </w:r>
      <w:proofErr w:type="spellEnd"/>
      <w:r w:rsidRPr="00D933F4">
        <w:rPr>
          <w:color w:val="auto"/>
          <w:sz w:val="22"/>
          <w:szCs w:val="22"/>
        </w:rPr>
        <w:t>/</w:t>
      </w:r>
      <w:proofErr w:type="spellStart"/>
      <w:r w:rsidRPr="00D933F4">
        <w:rPr>
          <w:color w:val="auto"/>
          <w:sz w:val="22"/>
          <w:szCs w:val="22"/>
        </w:rPr>
        <w:t>bullet</w:t>
      </w:r>
      <w:proofErr w:type="spellEnd"/>
      <w:r w:rsidRPr="00D933F4">
        <w:rPr>
          <w:color w:val="auto"/>
          <w:sz w:val="22"/>
          <w:szCs w:val="22"/>
        </w:rPr>
        <w:t xml:space="preserve"> ügyletekre magasabb kockázati súlyt alkalmazzanak, mint az azonos portfólióba tartozó, nem </w:t>
      </w:r>
      <w:proofErr w:type="spellStart"/>
      <w:r w:rsidRPr="00D933F4">
        <w:rPr>
          <w:color w:val="auto"/>
          <w:sz w:val="22"/>
          <w:szCs w:val="22"/>
        </w:rPr>
        <w:t>balloon</w:t>
      </w:r>
      <w:proofErr w:type="spellEnd"/>
      <w:r w:rsidRPr="00D933F4">
        <w:rPr>
          <w:color w:val="auto"/>
          <w:sz w:val="22"/>
          <w:szCs w:val="22"/>
        </w:rPr>
        <w:t>/</w:t>
      </w:r>
      <w:proofErr w:type="spellStart"/>
      <w:r w:rsidRPr="00D933F4">
        <w:rPr>
          <w:color w:val="auto"/>
          <w:sz w:val="22"/>
          <w:szCs w:val="22"/>
        </w:rPr>
        <w:t>bullet</w:t>
      </w:r>
      <w:proofErr w:type="spellEnd"/>
      <w:r w:rsidRPr="00D933F4">
        <w:rPr>
          <w:color w:val="auto"/>
          <w:sz w:val="22"/>
          <w:szCs w:val="22"/>
        </w:rPr>
        <w:t xml:space="preserve"> ügyletek esetén.</w:t>
      </w:r>
    </w:p>
    <w:p w14:paraId="59030333" w14:textId="77777777" w:rsidR="00DB3BC3" w:rsidRPr="00D933F4" w:rsidRDefault="00DB3BC3" w:rsidP="00003494">
      <w:pPr>
        <w:pStyle w:val="Default"/>
        <w:spacing w:before="120"/>
        <w:jc w:val="both"/>
        <w:rPr>
          <w:b/>
          <w:bCs/>
          <w:color w:val="auto"/>
          <w:sz w:val="22"/>
          <w:szCs w:val="22"/>
        </w:rPr>
      </w:pPr>
      <w:r w:rsidRPr="00D933F4">
        <w:rPr>
          <w:b/>
          <w:bCs/>
          <w:color w:val="auto"/>
          <w:sz w:val="22"/>
          <w:szCs w:val="22"/>
        </w:rPr>
        <w:t>3. Devizában denominált hitelek</w:t>
      </w:r>
    </w:p>
    <w:p w14:paraId="59030334" w14:textId="77777777" w:rsidR="00DB3BC3" w:rsidRPr="00D933F4" w:rsidRDefault="00DB3BC3" w:rsidP="00D933F4">
      <w:pPr>
        <w:pStyle w:val="Default"/>
        <w:spacing w:after="120"/>
        <w:jc w:val="both"/>
        <w:rPr>
          <w:color w:val="auto"/>
          <w:sz w:val="22"/>
          <w:szCs w:val="22"/>
        </w:rPr>
      </w:pPr>
      <w:r w:rsidRPr="00D933F4">
        <w:rPr>
          <w:color w:val="auto"/>
          <w:sz w:val="22"/>
          <w:szCs w:val="22"/>
        </w:rPr>
        <w:t xml:space="preserve">A válság következményeként megnövekedett devizaárfolyam kockázat jelentős nehézségeket eredményezett elsősorban a háztartási és a KKV szektor devizahitel-állományának törlesztésében a hitelek devizaneme és az adósok jövedelme közötti eltérő </w:t>
      </w:r>
      <w:proofErr w:type="spellStart"/>
      <w:r w:rsidRPr="00D933F4">
        <w:rPr>
          <w:color w:val="auto"/>
          <w:sz w:val="22"/>
          <w:szCs w:val="22"/>
        </w:rPr>
        <w:t>denomináció</w:t>
      </w:r>
      <w:proofErr w:type="spellEnd"/>
      <w:r w:rsidRPr="00D933F4">
        <w:rPr>
          <w:color w:val="auto"/>
          <w:sz w:val="22"/>
          <w:szCs w:val="22"/>
        </w:rPr>
        <w:t xml:space="preserve"> miatt, amely a jövedelmekkel vagy a fedezetekkel azonos </w:t>
      </w:r>
      <w:proofErr w:type="spellStart"/>
      <w:r w:rsidRPr="00D933F4">
        <w:rPr>
          <w:color w:val="auto"/>
          <w:sz w:val="22"/>
          <w:szCs w:val="22"/>
        </w:rPr>
        <w:t>denominációjú</w:t>
      </w:r>
      <w:proofErr w:type="spellEnd"/>
      <w:r w:rsidRPr="00D933F4">
        <w:rPr>
          <w:color w:val="auto"/>
          <w:sz w:val="22"/>
          <w:szCs w:val="22"/>
        </w:rPr>
        <w:t xml:space="preserve"> kitettségekhez képest további emelkedést eredményezett az intézmények hitelkockázatában. A háztartások vonatkozásában a hitelek devizaneme és az adósok </w:t>
      </w:r>
      <w:proofErr w:type="spellStart"/>
      <w:r w:rsidRPr="00D933F4">
        <w:rPr>
          <w:color w:val="auto"/>
          <w:sz w:val="22"/>
          <w:szCs w:val="22"/>
        </w:rPr>
        <w:t>jövedeleme</w:t>
      </w:r>
      <w:proofErr w:type="spellEnd"/>
      <w:r w:rsidRPr="00D933F4">
        <w:rPr>
          <w:color w:val="auto"/>
          <w:sz w:val="22"/>
          <w:szCs w:val="22"/>
        </w:rPr>
        <w:t xml:space="preserve"> közötti eltérő </w:t>
      </w:r>
      <w:proofErr w:type="spellStart"/>
      <w:r w:rsidRPr="00D933F4">
        <w:rPr>
          <w:color w:val="auto"/>
          <w:sz w:val="22"/>
          <w:szCs w:val="22"/>
        </w:rPr>
        <w:t>denominációt</w:t>
      </w:r>
      <w:proofErr w:type="spellEnd"/>
      <w:r w:rsidRPr="00D933F4">
        <w:rPr>
          <w:color w:val="auto"/>
          <w:sz w:val="22"/>
          <w:szCs w:val="22"/>
        </w:rPr>
        <w:t xml:space="preserve"> már kezelte a jogalkotó, ugyanakkor a </w:t>
      </w:r>
      <w:proofErr w:type="gramStart"/>
      <w:r w:rsidRPr="00D933F4">
        <w:rPr>
          <w:color w:val="auto"/>
          <w:sz w:val="22"/>
          <w:szCs w:val="22"/>
        </w:rPr>
        <w:t>non-</w:t>
      </w:r>
      <w:proofErr w:type="spellStart"/>
      <w:r w:rsidRPr="00D933F4">
        <w:rPr>
          <w:color w:val="auto"/>
          <w:sz w:val="22"/>
          <w:szCs w:val="22"/>
        </w:rPr>
        <w:t>retail</w:t>
      </w:r>
      <w:proofErr w:type="spellEnd"/>
      <w:proofErr w:type="gramEnd"/>
      <w:r w:rsidRPr="00D933F4">
        <w:rPr>
          <w:color w:val="auto"/>
          <w:sz w:val="22"/>
          <w:szCs w:val="22"/>
        </w:rPr>
        <w:t xml:space="preserve"> szektorban még fennállhat az ebből eredő kockázat.</w:t>
      </w:r>
    </w:p>
    <w:p w14:paraId="59030335" w14:textId="77777777" w:rsidR="00DB3BC3" w:rsidRPr="00D933F4" w:rsidRDefault="00DB3BC3" w:rsidP="00D933F4">
      <w:pPr>
        <w:pStyle w:val="Default"/>
        <w:spacing w:after="120"/>
        <w:jc w:val="both"/>
        <w:rPr>
          <w:color w:val="auto"/>
          <w:sz w:val="22"/>
          <w:szCs w:val="22"/>
        </w:rPr>
      </w:pPr>
      <w:r w:rsidRPr="00D933F4">
        <w:rPr>
          <w:color w:val="auto"/>
          <w:sz w:val="22"/>
          <w:szCs w:val="22"/>
        </w:rPr>
        <w:t xml:space="preserve">A devizában történő hitelezés magasabb </w:t>
      </w:r>
      <w:proofErr w:type="spellStart"/>
      <w:r w:rsidRPr="00D933F4">
        <w:rPr>
          <w:color w:val="auto"/>
          <w:sz w:val="22"/>
          <w:szCs w:val="22"/>
        </w:rPr>
        <w:t>reziduális</w:t>
      </w:r>
      <w:proofErr w:type="spellEnd"/>
      <w:r w:rsidRPr="00D933F4">
        <w:rPr>
          <w:color w:val="auto"/>
          <w:sz w:val="22"/>
          <w:szCs w:val="22"/>
        </w:rPr>
        <w:t xml:space="preserve"> kockázatot is okozhat abban az esetben, ha a hitel fedezetének értéke nem követi az árfolyam emelkedésből származó kitettség-érték növekedést, emellett egy intézmény a hitelkockázat koncentrációjával szembesülhet, ha hitelportfóliójának nagy része ugyanabban a devizában, vagy erősen korreláló devizanemekben denominált.</w:t>
      </w:r>
    </w:p>
    <w:p w14:paraId="59030336" w14:textId="77777777" w:rsidR="00DB3BC3" w:rsidRPr="00D933F4" w:rsidRDefault="00DB3BC3" w:rsidP="00D933F4">
      <w:pPr>
        <w:pStyle w:val="Default"/>
        <w:spacing w:after="120"/>
        <w:jc w:val="both"/>
        <w:rPr>
          <w:color w:val="auto"/>
          <w:sz w:val="22"/>
          <w:szCs w:val="22"/>
        </w:rPr>
      </w:pPr>
      <w:r w:rsidRPr="00D933F4">
        <w:rPr>
          <w:color w:val="auto"/>
          <w:sz w:val="22"/>
          <w:szCs w:val="22"/>
        </w:rPr>
        <w:t xml:space="preserve">Az MNB – figyelemmel az Európai Rendszerkockázati Testület devizahitelezésre vonatkozó ajánlására, illetve az </w:t>
      </w:r>
      <w:proofErr w:type="spellStart"/>
      <w:r w:rsidRPr="00D933F4">
        <w:rPr>
          <w:color w:val="auto"/>
          <w:sz w:val="22"/>
          <w:szCs w:val="22"/>
        </w:rPr>
        <w:t>EBA</w:t>
      </w:r>
      <w:proofErr w:type="spellEnd"/>
      <w:r w:rsidRPr="00D933F4">
        <w:rPr>
          <w:color w:val="auto"/>
          <w:sz w:val="22"/>
          <w:szCs w:val="22"/>
        </w:rPr>
        <w:t xml:space="preserve"> iránymutatására</w:t>
      </w:r>
      <w:r>
        <w:rPr>
          <w:sz w:val="22"/>
          <w:szCs w:val="22"/>
          <w:vertAlign w:val="superscript"/>
        </w:rPr>
        <w:footnoteReference w:id="10"/>
      </w:r>
      <w:r w:rsidRPr="00D933F4">
        <w:rPr>
          <w:color w:val="auto"/>
          <w:sz w:val="22"/>
          <w:szCs w:val="22"/>
        </w:rPr>
        <w:t xml:space="preserve"> – továbbra is fontosnak tartja, hogy az intézmények a devizahitelezéssel kapcsolatos kockázatokat megfelelően kezeljék, és szükség esetén tőkekövetelménnyel fedezzék. A devizahitelezéssel kapcsolatos konkrét MNB elvárásokat az </w:t>
      </w:r>
      <w:proofErr w:type="spellStart"/>
      <w:r w:rsidRPr="00D933F4">
        <w:rPr>
          <w:color w:val="auto"/>
          <w:sz w:val="22"/>
          <w:szCs w:val="22"/>
        </w:rPr>
        <w:t>ICAAP</w:t>
      </w:r>
      <w:proofErr w:type="spellEnd"/>
      <w:r w:rsidRPr="00D933F4">
        <w:rPr>
          <w:color w:val="auto"/>
          <w:sz w:val="22"/>
          <w:szCs w:val="22"/>
        </w:rPr>
        <w:t xml:space="preserve">, </w:t>
      </w:r>
      <w:proofErr w:type="spellStart"/>
      <w:r w:rsidRPr="00D933F4">
        <w:rPr>
          <w:color w:val="auto"/>
          <w:sz w:val="22"/>
          <w:szCs w:val="22"/>
        </w:rPr>
        <w:t>ILAAP</w:t>
      </w:r>
      <w:proofErr w:type="spellEnd"/>
      <w:r w:rsidRPr="00D933F4">
        <w:rPr>
          <w:color w:val="auto"/>
          <w:sz w:val="22"/>
          <w:szCs w:val="22"/>
        </w:rPr>
        <w:t xml:space="preserve"> és </w:t>
      </w:r>
      <w:proofErr w:type="spellStart"/>
      <w:r w:rsidRPr="00D933F4">
        <w:rPr>
          <w:color w:val="auto"/>
          <w:sz w:val="22"/>
          <w:szCs w:val="22"/>
        </w:rPr>
        <w:t>BMA</w:t>
      </w:r>
      <w:proofErr w:type="spellEnd"/>
      <w:r w:rsidRPr="00D933F4">
        <w:rPr>
          <w:color w:val="auto"/>
          <w:sz w:val="22"/>
          <w:szCs w:val="22"/>
        </w:rPr>
        <w:t xml:space="preserve"> vizsgálatról szóló kézikönyv részletesen tartalmazza. A tőkekövetelmény mértéke az előírások teljesítésének függvényében határozandó meg. </w:t>
      </w:r>
    </w:p>
    <w:p w14:paraId="59030337" w14:textId="77777777" w:rsidR="00DB3BC3" w:rsidRPr="00D933F4" w:rsidRDefault="00DB3BC3" w:rsidP="00AA7DBF">
      <w:pPr>
        <w:pStyle w:val="Default"/>
        <w:spacing w:after="120"/>
        <w:jc w:val="both"/>
        <w:rPr>
          <w:color w:val="auto"/>
          <w:sz w:val="22"/>
          <w:szCs w:val="22"/>
        </w:rPr>
      </w:pPr>
      <w:r w:rsidRPr="00D933F4">
        <w:rPr>
          <w:b/>
          <w:bCs/>
          <w:color w:val="auto"/>
          <w:sz w:val="22"/>
          <w:szCs w:val="22"/>
        </w:rPr>
        <w:t>Előírt többlettőke nagysága</w:t>
      </w:r>
      <w:r w:rsidRPr="00D933F4">
        <w:rPr>
          <w:bCs/>
          <w:color w:val="auto"/>
          <w:sz w:val="22"/>
          <w:szCs w:val="22"/>
        </w:rPr>
        <w:t xml:space="preserve">: </w:t>
      </w:r>
      <w:r w:rsidRPr="00D933F4">
        <w:rPr>
          <w:color w:val="auto"/>
          <w:sz w:val="22"/>
          <w:szCs w:val="22"/>
        </w:rPr>
        <w:t>az összes, fedezettel nem rendelkező kölcsönfelvevő</w:t>
      </w:r>
      <w:r>
        <w:rPr>
          <w:rStyle w:val="Lbjegyzet-hivatkozs"/>
          <w:color w:val="auto"/>
          <w:sz w:val="22"/>
          <w:szCs w:val="22"/>
        </w:rPr>
        <w:footnoteReference w:id="11"/>
      </w:r>
      <w:r w:rsidRPr="00D933F4">
        <w:rPr>
          <w:color w:val="auto"/>
          <w:sz w:val="22"/>
          <w:szCs w:val="22"/>
        </w:rPr>
        <w:t xml:space="preserve"> felé fennálló devizában denominált, teljesítő portfólió </w:t>
      </w:r>
      <w:r w:rsidRPr="00D933F4">
        <w:rPr>
          <w:bCs/>
          <w:color w:val="auto"/>
          <w:sz w:val="22"/>
          <w:szCs w:val="22"/>
        </w:rPr>
        <w:t xml:space="preserve">esetében </w:t>
      </w:r>
      <w:r w:rsidRPr="00D933F4">
        <w:rPr>
          <w:color w:val="auto"/>
          <w:sz w:val="22"/>
          <w:szCs w:val="22"/>
        </w:rPr>
        <w:t>1. pillér alatti tőkeszükségletének 0-30%-a megképzendő többlettőkeként az egyszerűsített</w:t>
      </w:r>
      <w:r w:rsidRPr="00D933F4">
        <w:rPr>
          <w:bCs/>
          <w:color w:val="auto"/>
          <w:sz w:val="22"/>
          <w:szCs w:val="22"/>
        </w:rPr>
        <w:t xml:space="preserve">, a teljeskörű és a fókuszált </w:t>
      </w:r>
      <w:proofErr w:type="spellStart"/>
      <w:r w:rsidRPr="00D933F4">
        <w:rPr>
          <w:bCs/>
          <w:color w:val="auto"/>
          <w:sz w:val="22"/>
          <w:szCs w:val="22"/>
        </w:rPr>
        <w:t>ICAAP</w:t>
      </w:r>
      <w:proofErr w:type="spellEnd"/>
      <w:r w:rsidRPr="00D933F4">
        <w:rPr>
          <w:bCs/>
          <w:color w:val="auto"/>
          <w:sz w:val="22"/>
          <w:szCs w:val="22"/>
        </w:rPr>
        <w:t xml:space="preserve"> felülvizsgálat alá tartozó intézmények vonatkozásában egységesen.</w:t>
      </w:r>
      <w:r w:rsidRPr="00D933F4">
        <w:rPr>
          <w:color w:val="auto"/>
          <w:sz w:val="22"/>
          <w:szCs w:val="22"/>
        </w:rPr>
        <w:t xml:space="preserve"> Amennyiben a hitelintézmény 0%-os többlettőkét határoz meg, köteles az MNB részére a 0%-os arány indokoltságát alátámasztó dokumentációt átadni.</w:t>
      </w:r>
    </w:p>
    <w:p w14:paraId="59030338" w14:textId="77777777" w:rsidR="00DB3BC3" w:rsidRPr="00D933F4" w:rsidRDefault="00DB3BC3" w:rsidP="00003494">
      <w:pPr>
        <w:pStyle w:val="Default"/>
        <w:spacing w:before="120"/>
        <w:jc w:val="both"/>
        <w:rPr>
          <w:b/>
          <w:bCs/>
          <w:color w:val="auto"/>
          <w:sz w:val="22"/>
          <w:szCs w:val="22"/>
        </w:rPr>
      </w:pPr>
      <w:r w:rsidRPr="00D933F4">
        <w:rPr>
          <w:b/>
          <w:bCs/>
          <w:color w:val="auto"/>
          <w:sz w:val="22"/>
          <w:szCs w:val="22"/>
        </w:rPr>
        <w:t>4. Többszöri átstrukturálás</w:t>
      </w:r>
    </w:p>
    <w:p w14:paraId="59030339" w14:textId="77777777" w:rsidR="00DB3BC3" w:rsidRDefault="00DB3BC3" w:rsidP="00AA7DBF">
      <w:pPr>
        <w:pStyle w:val="Default"/>
        <w:spacing w:after="120"/>
        <w:jc w:val="both"/>
        <w:rPr>
          <w:sz w:val="22"/>
          <w:szCs w:val="22"/>
        </w:rPr>
      </w:pPr>
      <w:r w:rsidRPr="00D933F4">
        <w:rPr>
          <w:sz w:val="22"/>
          <w:szCs w:val="22"/>
        </w:rPr>
        <w:t xml:space="preserve">A felügyeleti felülvizsgálati tapasztalatok alapján egyre gyakrabban fordul elő, hogy egyes ügyletek ismétlődően átstrukturálásra </w:t>
      </w:r>
      <w:r w:rsidRPr="00D933F4">
        <w:rPr>
          <w:color w:val="auto"/>
          <w:sz w:val="22"/>
          <w:szCs w:val="22"/>
        </w:rPr>
        <w:t>kerülnek</w:t>
      </w:r>
      <w:r w:rsidRPr="00D933F4">
        <w:rPr>
          <w:sz w:val="22"/>
          <w:szCs w:val="22"/>
        </w:rPr>
        <w:t xml:space="preserve">, és ezekre az átstrukturált ügyletekre nem </w:t>
      </w:r>
      <w:r w:rsidRPr="00D933F4">
        <w:rPr>
          <w:color w:val="auto"/>
          <w:sz w:val="22"/>
          <w:szCs w:val="22"/>
        </w:rPr>
        <w:t>történik</w:t>
      </w:r>
      <w:r w:rsidRPr="00D933F4">
        <w:rPr>
          <w:sz w:val="22"/>
          <w:szCs w:val="22"/>
        </w:rPr>
        <w:t xml:space="preserve"> meg a portfólió minőségének megfelelő értékvesztés megképzése.</w:t>
      </w:r>
      <w:r>
        <w:rPr>
          <w:sz w:val="22"/>
          <w:szCs w:val="22"/>
          <w:vertAlign w:val="superscript"/>
        </w:rPr>
        <w:footnoteReference w:id="12"/>
      </w:r>
      <w:r w:rsidRPr="00D933F4">
        <w:rPr>
          <w:sz w:val="22"/>
          <w:szCs w:val="22"/>
        </w:rPr>
        <w:t xml:space="preserve"> Az ilyen gyakorlat jelentős kockázatot jelent az egyes intézményekre. Ezért azokra az ügyletekre, amelyek vonatkozásában 2011. január 1-je </w:t>
      </w:r>
      <w:r w:rsidRPr="00D933F4">
        <w:rPr>
          <w:sz w:val="22"/>
          <w:szCs w:val="22"/>
        </w:rPr>
        <w:lastRenderedPageBreak/>
        <w:t>óta már legalább kétszer a hatályos szabályozásnak</w:t>
      </w:r>
      <w:r>
        <w:rPr>
          <w:rStyle w:val="Lbjegyzet-hivatkozs"/>
          <w:sz w:val="22"/>
          <w:szCs w:val="22"/>
        </w:rPr>
        <w:footnoteReference w:id="13"/>
      </w:r>
      <w:r w:rsidRPr="00D933F4">
        <w:rPr>
          <w:sz w:val="22"/>
          <w:szCs w:val="22"/>
        </w:rPr>
        <w:t xml:space="preserve"> megfelelően átstrukturálásra került sor (az állami adósságmentő programban történő részvételen túl), és amelynek során a hitelintézet további türelmi időt adott az adósnak a kamat és/vagy a tőketörlesztésre, az MNB többlettőkét ír elő. </w:t>
      </w:r>
    </w:p>
    <w:p w14:paraId="5903033A" w14:textId="77777777" w:rsidR="00DB3BC3" w:rsidRPr="00AA7DBF" w:rsidRDefault="00DB3BC3" w:rsidP="00AA7DBF">
      <w:pPr>
        <w:pStyle w:val="Default"/>
        <w:spacing w:after="120"/>
        <w:jc w:val="both"/>
        <w:rPr>
          <w:rFonts w:ascii="Times" w:eastAsia="Times New Roman" w:hAnsi="Times" w:cs="Times"/>
          <w:b/>
          <w:bCs/>
          <w:sz w:val="22"/>
          <w:szCs w:val="22"/>
        </w:rPr>
      </w:pPr>
      <w:r>
        <w:rPr>
          <w:sz w:val="22"/>
          <w:szCs w:val="22"/>
        </w:rPr>
        <w:t xml:space="preserve">A moratóriumban töltött 9 hónap letelte miatt átstrukturáltnak tekintett ügyletek kezelésével kapcsolatban az MNB honlapján közzétett </w:t>
      </w:r>
      <w:proofErr w:type="spellStart"/>
      <w:r>
        <w:rPr>
          <w:sz w:val="22"/>
          <w:szCs w:val="22"/>
        </w:rPr>
        <w:t>Gyakoran</w:t>
      </w:r>
      <w:proofErr w:type="spellEnd"/>
      <w:r>
        <w:rPr>
          <w:sz w:val="22"/>
          <w:szCs w:val="22"/>
        </w:rPr>
        <w:t xml:space="preserve"> Ismételt Kérdések</w:t>
      </w:r>
      <w:r>
        <w:rPr>
          <w:rStyle w:val="Lbjegyzet-hivatkozs"/>
          <w:sz w:val="22"/>
          <w:szCs w:val="22"/>
        </w:rPr>
        <w:footnoteReference w:id="14"/>
      </w:r>
      <w:r>
        <w:rPr>
          <w:sz w:val="22"/>
          <w:szCs w:val="22"/>
        </w:rPr>
        <w:t xml:space="preserve"> alatt olvasható további iránymutatás.</w:t>
      </w:r>
    </w:p>
    <w:p w14:paraId="5903033B" w14:textId="77777777" w:rsidR="00DB3BC3" w:rsidRDefault="00DB3BC3" w:rsidP="00AA7DBF">
      <w:pPr>
        <w:pStyle w:val="Default"/>
        <w:spacing w:after="120"/>
        <w:jc w:val="both"/>
        <w:rPr>
          <w:sz w:val="22"/>
          <w:szCs w:val="22"/>
        </w:rPr>
      </w:pPr>
      <w:r w:rsidRPr="00D933F4">
        <w:rPr>
          <w:b/>
          <w:sz w:val="22"/>
          <w:szCs w:val="22"/>
        </w:rPr>
        <w:t>Előírt többlettőke nagysága</w:t>
      </w:r>
      <w:r w:rsidRPr="00D933F4">
        <w:rPr>
          <w:sz w:val="22"/>
          <w:szCs w:val="22"/>
        </w:rPr>
        <w:t>: Az érintett teljesítő portfólió 1. pillér alatti tőkeszükségletének 50%-a az előír</w:t>
      </w:r>
      <w:r>
        <w:rPr>
          <w:sz w:val="22"/>
          <w:szCs w:val="22"/>
        </w:rPr>
        <w:t>andó</w:t>
      </w:r>
      <w:r w:rsidRPr="00D933F4">
        <w:rPr>
          <w:sz w:val="22"/>
          <w:szCs w:val="22"/>
        </w:rPr>
        <w:t xml:space="preserve"> többlettőke az </w:t>
      </w:r>
      <w:r w:rsidRPr="00D933F4">
        <w:rPr>
          <w:color w:val="auto"/>
          <w:sz w:val="22"/>
          <w:szCs w:val="22"/>
        </w:rPr>
        <w:t>egyszerűsített</w:t>
      </w:r>
      <w:r w:rsidRPr="00D933F4">
        <w:rPr>
          <w:sz w:val="22"/>
          <w:szCs w:val="22"/>
        </w:rPr>
        <w:t xml:space="preserve">, a teljeskörű és a fókuszált </w:t>
      </w:r>
      <w:r w:rsidRPr="00D933F4">
        <w:rPr>
          <w:bCs/>
          <w:sz w:val="22"/>
          <w:szCs w:val="22"/>
        </w:rPr>
        <w:t xml:space="preserve">felügyeleti felülvizsgálat </w:t>
      </w:r>
      <w:r w:rsidRPr="00D933F4">
        <w:rPr>
          <w:sz w:val="22"/>
          <w:szCs w:val="22"/>
        </w:rPr>
        <w:t xml:space="preserve">alá tartozó </w:t>
      </w:r>
      <w:r w:rsidRPr="00D933F4">
        <w:rPr>
          <w:color w:val="auto"/>
          <w:sz w:val="22"/>
          <w:szCs w:val="22"/>
        </w:rPr>
        <w:t>hitelintézetek</w:t>
      </w:r>
      <w:r w:rsidRPr="00D933F4">
        <w:rPr>
          <w:sz w:val="22"/>
          <w:szCs w:val="22"/>
        </w:rPr>
        <w:t xml:space="preserve"> esetében egységesen.  </w:t>
      </w:r>
    </w:p>
    <w:p w14:paraId="5903033C" w14:textId="77777777" w:rsidR="00DB3BC3" w:rsidRPr="00AA7DBF" w:rsidRDefault="00DB3BC3" w:rsidP="00AA7DBF">
      <w:pPr>
        <w:pStyle w:val="Default"/>
        <w:spacing w:after="120"/>
        <w:jc w:val="both"/>
        <w:rPr>
          <w:sz w:val="22"/>
          <w:szCs w:val="22"/>
        </w:rPr>
      </w:pPr>
    </w:p>
    <w:p w14:paraId="5903033D" w14:textId="77777777" w:rsidR="00DB3BC3" w:rsidRPr="00D933F4" w:rsidRDefault="00DB3BC3" w:rsidP="00003494">
      <w:pPr>
        <w:pStyle w:val="Default"/>
        <w:spacing w:before="120"/>
        <w:jc w:val="both"/>
        <w:rPr>
          <w:b/>
          <w:color w:val="auto"/>
          <w:sz w:val="22"/>
          <w:szCs w:val="22"/>
        </w:rPr>
      </w:pPr>
      <w:bookmarkStart w:id="3" w:name="_Hlk532836641"/>
      <w:r w:rsidRPr="00D933F4">
        <w:rPr>
          <w:b/>
          <w:color w:val="auto"/>
          <w:sz w:val="22"/>
          <w:szCs w:val="22"/>
        </w:rPr>
        <w:t xml:space="preserve">5. </w:t>
      </w:r>
      <w:proofErr w:type="spellStart"/>
      <w:r w:rsidRPr="00D933F4">
        <w:rPr>
          <w:b/>
          <w:color w:val="auto"/>
          <w:sz w:val="22"/>
          <w:szCs w:val="22"/>
        </w:rPr>
        <w:t>JTM</w:t>
      </w:r>
      <w:proofErr w:type="spellEnd"/>
      <w:r w:rsidRPr="00D933F4">
        <w:rPr>
          <w:b/>
          <w:color w:val="auto"/>
          <w:sz w:val="22"/>
          <w:szCs w:val="22"/>
        </w:rPr>
        <w:t xml:space="preserve">-re vonatkozó szabályokat sértő szerződéseken alapuló, vagy nem kellően </w:t>
      </w:r>
      <w:proofErr w:type="spellStart"/>
      <w:r w:rsidRPr="00D933F4">
        <w:rPr>
          <w:b/>
          <w:color w:val="auto"/>
          <w:sz w:val="22"/>
          <w:szCs w:val="22"/>
        </w:rPr>
        <w:t>prudens</w:t>
      </w:r>
      <w:proofErr w:type="spellEnd"/>
      <w:r w:rsidRPr="00D933F4">
        <w:rPr>
          <w:b/>
          <w:color w:val="auto"/>
          <w:sz w:val="22"/>
          <w:szCs w:val="22"/>
        </w:rPr>
        <w:t xml:space="preserve"> banki gyakorlattal kezelt lakossági ügyletek</w:t>
      </w:r>
    </w:p>
    <w:p w14:paraId="5903033E" w14:textId="77777777" w:rsidR="00DB3BC3" w:rsidRPr="00D933F4" w:rsidRDefault="00DB3BC3" w:rsidP="00D933F4">
      <w:pPr>
        <w:pStyle w:val="Default"/>
        <w:spacing w:after="120"/>
        <w:jc w:val="both"/>
        <w:rPr>
          <w:color w:val="auto"/>
          <w:sz w:val="22"/>
          <w:szCs w:val="22"/>
        </w:rPr>
      </w:pPr>
      <w:r w:rsidRPr="00D933F4">
        <w:rPr>
          <w:color w:val="auto"/>
          <w:sz w:val="22"/>
          <w:szCs w:val="22"/>
        </w:rPr>
        <w:t xml:space="preserve">A </w:t>
      </w:r>
      <w:proofErr w:type="spellStart"/>
      <w:r w:rsidRPr="00D933F4">
        <w:rPr>
          <w:color w:val="auto"/>
          <w:sz w:val="22"/>
          <w:szCs w:val="22"/>
        </w:rPr>
        <w:t>JTM</w:t>
      </w:r>
      <w:proofErr w:type="spellEnd"/>
      <w:r w:rsidRPr="00D933F4">
        <w:rPr>
          <w:color w:val="auto"/>
          <w:sz w:val="22"/>
          <w:szCs w:val="22"/>
        </w:rPr>
        <w:t xml:space="preserve"> rendelet</w:t>
      </w:r>
      <w:r>
        <w:rPr>
          <w:rStyle w:val="Lbjegyzet-hivatkozs"/>
          <w:color w:val="auto"/>
          <w:sz w:val="22"/>
          <w:szCs w:val="22"/>
        </w:rPr>
        <w:footnoteReference w:id="15"/>
      </w:r>
      <w:r w:rsidRPr="00D933F4">
        <w:rPr>
          <w:color w:val="auto"/>
          <w:sz w:val="22"/>
          <w:szCs w:val="22"/>
        </w:rPr>
        <w:t xml:space="preserve"> célja a fogyasztók túlzott eladósodottságának megelőzése és az ebből fakadó rendszerszintű hitelezési kockázatok mérséklése. Az MNB kiemelt figyelmet fordít e célok megvalósulására, továbbá a szükséges intézkedések megtételével, szankciók alkalmazásával határozottan fel kíván lépni a </w:t>
      </w:r>
      <w:proofErr w:type="spellStart"/>
      <w:r w:rsidRPr="00D933F4">
        <w:rPr>
          <w:color w:val="auto"/>
          <w:sz w:val="22"/>
          <w:szCs w:val="22"/>
        </w:rPr>
        <w:t>JTM</w:t>
      </w:r>
      <w:proofErr w:type="spellEnd"/>
      <w:r w:rsidRPr="00D933F4">
        <w:rPr>
          <w:color w:val="auto"/>
          <w:sz w:val="22"/>
          <w:szCs w:val="22"/>
        </w:rPr>
        <w:t xml:space="preserve"> szabályokat sértő, illetve kockázatos intézményi gyakorlattal szemben. A Bank jogsértő, illetve kockázatos magatartást követ többek között akkor, amikor a </w:t>
      </w:r>
      <w:proofErr w:type="spellStart"/>
      <w:r w:rsidRPr="00D933F4">
        <w:rPr>
          <w:color w:val="auto"/>
          <w:sz w:val="22"/>
          <w:szCs w:val="22"/>
        </w:rPr>
        <w:t>hitelezhetőségi</w:t>
      </w:r>
      <w:proofErr w:type="spellEnd"/>
      <w:r w:rsidRPr="00D933F4">
        <w:rPr>
          <w:color w:val="auto"/>
          <w:sz w:val="22"/>
          <w:szCs w:val="22"/>
        </w:rPr>
        <w:t xml:space="preserve"> korlátot megsérti, vagy az ügyfél havi nettó jövedelmének ellenőrzése és teljes adósságszolgálatának meghatározása során nem kellően </w:t>
      </w:r>
      <w:proofErr w:type="spellStart"/>
      <w:r w:rsidRPr="00D933F4">
        <w:rPr>
          <w:color w:val="auto"/>
          <w:sz w:val="22"/>
          <w:szCs w:val="22"/>
        </w:rPr>
        <w:t>prudensen</w:t>
      </w:r>
      <w:proofErr w:type="spellEnd"/>
      <w:r w:rsidRPr="00D933F4">
        <w:rPr>
          <w:color w:val="auto"/>
          <w:sz w:val="22"/>
          <w:szCs w:val="22"/>
        </w:rPr>
        <w:t xml:space="preserve"> (bár adott esetben a </w:t>
      </w:r>
      <w:proofErr w:type="spellStart"/>
      <w:r w:rsidRPr="00D933F4">
        <w:rPr>
          <w:color w:val="auto"/>
          <w:sz w:val="22"/>
          <w:szCs w:val="22"/>
        </w:rPr>
        <w:t>JTM</w:t>
      </w:r>
      <w:proofErr w:type="spellEnd"/>
      <w:r w:rsidRPr="00D933F4">
        <w:rPr>
          <w:color w:val="auto"/>
          <w:sz w:val="22"/>
          <w:szCs w:val="22"/>
        </w:rPr>
        <w:t xml:space="preserve"> rendeletben rögzítetteknek megfelelően) jár el. A </w:t>
      </w:r>
      <w:proofErr w:type="spellStart"/>
      <w:r w:rsidRPr="00D933F4">
        <w:rPr>
          <w:color w:val="auto"/>
          <w:sz w:val="22"/>
          <w:szCs w:val="22"/>
        </w:rPr>
        <w:t>JTM</w:t>
      </w:r>
      <w:proofErr w:type="spellEnd"/>
      <w:r w:rsidRPr="00D933F4">
        <w:rPr>
          <w:color w:val="auto"/>
          <w:sz w:val="22"/>
          <w:szCs w:val="22"/>
        </w:rPr>
        <w:t xml:space="preserve"> szabályokat sértő ügyleteknek azok az esetek számítanak, amikor a Bank a </w:t>
      </w:r>
      <w:proofErr w:type="spellStart"/>
      <w:r w:rsidRPr="00D933F4">
        <w:rPr>
          <w:color w:val="auto"/>
          <w:sz w:val="22"/>
          <w:szCs w:val="22"/>
        </w:rPr>
        <w:t>JTM</w:t>
      </w:r>
      <w:proofErr w:type="spellEnd"/>
      <w:r w:rsidRPr="00D933F4">
        <w:rPr>
          <w:color w:val="auto"/>
          <w:sz w:val="22"/>
          <w:szCs w:val="22"/>
        </w:rPr>
        <w:t xml:space="preserve"> rendeletben meghatározott jövedelemarányos törlesztőrészlet mutató (</w:t>
      </w:r>
      <w:proofErr w:type="spellStart"/>
      <w:r w:rsidRPr="00D933F4">
        <w:rPr>
          <w:color w:val="auto"/>
          <w:sz w:val="22"/>
          <w:szCs w:val="22"/>
        </w:rPr>
        <w:t>JTM</w:t>
      </w:r>
      <w:proofErr w:type="spellEnd"/>
      <w:r w:rsidRPr="00D933F4">
        <w:rPr>
          <w:color w:val="auto"/>
          <w:sz w:val="22"/>
          <w:szCs w:val="22"/>
        </w:rPr>
        <w:t xml:space="preserve">) számítási módját, alkalmazását, a kivételszabályokat és a </w:t>
      </w:r>
      <w:proofErr w:type="spellStart"/>
      <w:r w:rsidRPr="00D933F4">
        <w:rPr>
          <w:color w:val="auto"/>
          <w:sz w:val="22"/>
          <w:szCs w:val="22"/>
        </w:rPr>
        <w:t>JTM-hez</w:t>
      </w:r>
      <w:proofErr w:type="spellEnd"/>
      <w:r w:rsidRPr="00D933F4">
        <w:rPr>
          <w:color w:val="auto"/>
          <w:sz w:val="22"/>
          <w:szCs w:val="22"/>
        </w:rPr>
        <w:t xml:space="preserve"> kapcsolódó bármely egyéb előírást nem, vagy nem </w:t>
      </w:r>
      <w:proofErr w:type="spellStart"/>
      <w:r w:rsidRPr="00D933F4">
        <w:rPr>
          <w:color w:val="auto"/>
          <w:sz w:val="22"/>
          <w:szCs w:val="22"/>
        </w:rPr>
        <w:t>teljeskörűen</w:t>
      </w:r>
      <w:proofErr w:type="spellEnd"/>
      <w:r w:rsidRPr="00D933F4">
        <w:rPr>
          <w:color w:val="auto"/>
          <w:sz w:val="22"/>
          <w:szCs w:val="22"/>
        </w:rPr>
        <w:t xml:space="preserve"> teljesíti a hitelezési folyamata során.</w:t>
      </w:r>
    </w:p>
    <w:p w14:paraId="5903033F" w14:textId="77777777" w:rsidR="00DB3BC3" w:rsidRPr="00D933F4" w:rsidRDefault="00DB3BC3" w:rsidP="00D933F4">
      <w:pPr>
        <w:pStyle w:val="Default"/>
        <w:spacing w:after="120"/>
        <w:jc w:val="both"/>
        <w:rPr>
          <w:color w:val="auto"/>
          <w:sz w:val="22"/>
          <w:szCs w:val="22"/>
        </w:rPr>
      </w:pPr>
      <w:r w:rsidRPr="00D933F4">
        <w:rPr>
          <w:color w:val="auto"/>
          <w:sz w:val="22"/>
          <w:szCs w:val="22"/>
        </w:rPr>
        <w:t xml:space="preserve">Az MNB a jogszabálysértés és az érintett ügyletek nem kellően </w:t>
      </w:r>
      <w:proofErr w:type="spellStart"/>
      <w:r w:rsidRPr="00D933F4">
        <w:rPr>
          <w:color w:val="auto"/>
          <w:sz w:val="22"/>
          <w:szCs w:val="22"/>
        </w:rPr>
        <w:t>prudens</w:t>
      </w:r>
      <w:proofErr w:type="spellEnd"/>
      <w:r w:rsidRPr="00D933F4">
        <w:rPr>
          <w:color w:val="auto"/>
          <w:sz w:val="22"/>
          <w:szCs w:val="22"/>
        </w:rPr>
        <w:t xml:space="preserve"> kezelése esetén többlet-tőkekövetelmény meghatározását tartja indokoltnak. </w:t>
      </w:r>
    </w:p>
    <w:p w14:paraId="59030340" w14:textId="77777777" w:rsidR="00DB3BC3" w:rsidRPr="00D933F4" w:rsidRDefault="00DB3BC3" w:rsidP="00D933F4">
      <w:pPr>
        <w:pStyle w:val="Default"/>
        <w:spacing w:after="120"/>
        <w:jc w:val="both"/>
        <w:rPr>
          <w:color w:val="auto"/>
          <w:sz w:val="22"/>
          <w:szCs w:val="22"/>
        </w:rPr>
      </w:pPr>
      <w:r w:rsidRPr="00D933F4">
        <w:rPr>
          <w:color w:val="auto"/>
          <w:sz w:val="22"/>
          <w:szCs w:val="22"/>
        </w:rPr>
        <w:t xml:space="preserve">Az MNB a </w:t>
      </w:r>
      <w:proofErr w:type="spellStart"/>
      <w:r w:rsidRPr="00D933F4">
        <w:rPr>
          <w:color w:val="auto"/>
          <w:sz w:val="22"/>
          <w:szCs w:val="22"/>
        </w:rPr>
        <w:t>JTM</w:t>
      </w:r>
      <w:proofErr w:type="spellEnd"/>
      <w:r w:rsidRPr="00D933F4">
        <w:rPr>
          <w:color w:val="auto"/>
          <w:sz w:val="22"/>
          <w:szCs w:val="22"/>
        </w:rPr>
        <w:t xml:space="preserve"> szabályokat nem sértő, de nem konzervatív módon eljáró intézmények esetén is tőkekövetelmény-többletet határoz meg, amennyiben a Bank nem kellően alaposan tárja fel az ügyfél jövedelmi helyzetét és teljes havi adósságszolgálatát. Az MNB álláspontja szerint az ügyfél jövedelmi helyzetének kellően alapos </w:t>
      </w:r>
      <w:proofErr w:type="spellStart"/>
      <w:r w:rsidRPr="00D933F4">
        <w:rPr>
          <w:color w:val="auto"/>
          <w:sz w:val="22"/>
          <w:szCs w:val="22"/>
        </w:rPr>
        <w:t>körüljárása</w:t>
      </w:r>
      <w:proofErr w:type="spellEnd"/>
      <w:r w:rsidRPr="00D933F4">
        <w:rPr>
          <w:color w:val="auto"/>
          <w:sz w:val="22"/>
          <w:szCs w:val="22"/>
        </w:rPr>
        <w:t>, és az egyéb hiteltartozásainak feltérképezése érdekében elvárt a Központi Hitelinformációs Rendszerből (</w:t>
      </w:r>
      <w:proofErr w:type="spellStart"/>
      <w:r w:rsidRPr="00D933F4">
        <w:rPr>
          <w:color w:val="auto"/>
          <w:sz w:val="22"/>
          <w:szCs w:val="22"/>
        </w:rPr>
        <w:t>KHR</w:t>
      </w:r>
      <w:proofErr w:type="spellEnd"/>
      <w:r w:rsidRPr="00D933F4">
        <w:rPr>
          <w:color w:val="auto"/>
          <w:sz w:val="22"/>
          <w:szCs w:val="22"/>
        </w:rPr>
        <w:t>) az ügyfélről rendelkezésre álló információk (negatív események és pozitív hiteltörténet) teljeskörű lekérdezése.</w:t>
      </w:r>
      <w:r w:rsidRPr="00D933F4">
        <w:rPr>
          <w:sz w:val="22"/>
          <w:szCs w:val="22"/>
        </w:rPr>
        <w:t xml:space="preserve"> </w:t>
      </w:r>
      <w:r w:rsidRPr="00D933F4">
        <w:rPr>
          <w:color w:val="auto"/>
          <w:sz w:val="22"/>
          <w:szCs w:val="22"/>
        </w:rPr>
        <w:t xml:space="preserve"> </w:t>
      </w:r>
    </w:p>
    <w:p w14:paraId="59030341" w14:textId="77777777" w:rsidR="00DB3BC3" w:rsidRPr="00D933F4" w:rsidRDefault="00DB3BC3" w:rsidP="00D933F4">
      <w:pPr>
        <w:pStyle w:val="Default"/>
        <w:spacing w:after="120"/>
        <w:jc w:val="both"/>
        <w:rPr>
          <w:color w:val="auto"/>
          <w:sz w:val="22"/>
          <w:szCs w:val="22"/>
        </w:rPr>
      </w:pPr>
      <w:r w:rsidRPr="00D933F4">
        <w:rPr>
          <w:b/>
          <w:color w:val="auto"/>
          <w:sz w:val="22"/>
          <w:szCs w:val="22"/>
        </w:rPr>
        <w:t>Előírt többlettőke nagysága:</w:t>
      </w:r>
      <w:r w:rsidRPr="00D933F4">
        <w:rPr>
          <w:color w:val="auto"/>
          <w:sz w:val="22"/>
          <w:szCs w:val="22"/>
        </w:rPr>
        <w:t xml:space="preserve"> Az intézményeknél (a felügyeleti felülvizsgálat típusától függetlenül) a </w:t>
      </w:r>
      <w:proofErr w:type="spellStart"/>
      <w:r w:rsidRPr="00D933F4">
        <w:rPr>
          <w:color w:val="auto"/>
          <w:sz w:val="22"/>
          <w:szCs w:val="22"/>
        </w:rPr>
        <w:t>JTM</w:t>
      </w:r>
      <w:proofErr w:type="spellEnd"/>
      <w:r w:rsidRPr="00D933F4">
        <w:rPr>
          <w:color w:val="auto"/>
          <w:sz w:val="22"/>
          <w:szCs w:val="22"/>
        </w:rPr>
        <w:t xml:space="preserve"> rendelet hatálya alá tartozó, de az előírt </w:t>
      </w:r>
      <w:proofErr w:type="spellStart"/>
      <w:r w:rsidRPr="00D933F4">
        <w:rPr>
          <w:color w:val="auto"/>
          <w:sz w:val="22"/>
          <w:szCs w:val="22"/>
        </w:rPr>
        <w:t>JTM</w:t>
      </w:r>
      <w:proofErr w:type="spellEnd"/>
      <w:r w:rsidRPr="00D933F4">
        <w:rPr>
          <w:color w:val="auto"/>
          <w:sz w:val="22"/>
          <w:szCs w:val="22"/>
        </w:rPr>
        <w:t xml:space="preserve">-re vonatkozó szabályoktól eltérően szerződött lakossági ügyletek esetén a teljes </w:t>
      </w:r>
      <w:r>
        <w:rPr>
          <w:color w:val="auto"/>
          <w:sz w:val="22"/>
          <w:szCs w:val="22"/>
        </w:rPr>
        <w:t xml:space="preserve">bruttó </w:t>
      </w:r>
      <w:r w:rsidRPr="00D933F4">
        <w:rPr>
          <w:color w:val="auto"/>
          <w:sz w:val="22"/>
          <w:szCs w:val="22"/>
        </w:rPr>
        <w:t xml:space="preserve">kitettség tőkével fedezendő. Amennyiben fogyasztói hozzájárulás hiányában a Banknak nem áll módjában a pozitív hiteltörténeti adatok </w:t>
      </w:r>
      <w:proofErr w:type="spellStart"/>
      <w:r w:rsidRPr="00D933F4">
        <w:rPr>
          <w:color w:val="auto"/>
          <w:sz w:val="22"/>
          <w:szCs w:val="22"/>
        </w:rPr>
        <w:t>KHR-ből</w:t>
      </w:r>
      <w:proofErr w:type="spellEnd"/>
      <w:r w:rsidRPr="00D933F4">
        <w:rPr>
          <w:color w:val="auto"/>
          <w:sz w:val="22"/>
          <w:szCs w:val="22"/>
        </w:rPr>
        <w:t xml:space="preserve"> való lekérdezése és vonatkozó belső szabályzatában nem rögzítette az ilyen hitelkérelmek negatív elbírálását (kizárását), de a hitelképesség vizsgálata más forrásból származó adatok alapján is elvégezhető, a Bank az ilyen ügyleteket köteles – az alkalmazási határidőt követően (2019. október 1.) – egyértelműen </w:t>
      </w:r>
      <w:proofErr w:type="spellStart"/>
      <w:r w:rsidRPr="00D933F4">
        <w:rPr>
          <w:color w:val="auto"/>
          <w:sz w:val="22"/>
          <w:szCs w:val="22"/>
        </w:rPr>
        <w:t>számontartani</w:t>
      </w:r>
      <w:proofErr w:type="spellEnd"/>
      <w:r w:rsidRPr="00D933F4">
        <w:rPr>
          <w:color w:val="auto"/>
          <w:sz w:val="22"/>
          <w:szCs w:val="22"/>
        </w:rPr>
        <w:t xml:space="preserve"> (rendszereiben/analitikájában megjelölni) és teljes bruttó kitettségüket tőkével fedezni. Abban az esetben, ha a Bank nem jelöli azon ügyleteket, ahol a hitelbírálat előtt a pozitív hiteltörténeti adatok </w:t>
      </w:r>
      <w:proofErr w:type="spellStart"/>
      <w:r w:rsidRPr="00D933F4">
        <w:rPr>
          <w:color w:val="auto"/>
          <w:sz w:val="22"/>
          <w:szCs w:val="22"/>
        </w:rPr>
        <w:t>KHR-ből</w:t>
      </w:r>
      <w:proofErr w:type="spellEnd"/>
      <w:r w:rsidRPr="00D933F4">
        <w:rPr>
          <w:color w:val="auto"/>
          <w:sz w:val="22"/>
          <w:szCs w:val="22"/>
        </w:rPr>
        <w:t xml:space="preserve"> történő lekérdezése elmaradt, az alkalmazási határidő után folyósított teljes, </w:t>
      </w:r>
      <w:proofErr w:type="spellStart"/>
      <w:r w:rsidRPr="00D933F4">
        <w:rPr>
          <w:color w:val="auto"/>
          <w:sz w:val="22"/>
          <w:szCs w:val="22"/>
        </w:rPr>
        <w:t>JTM</w:t>
      </w:r>
      <w:proofErr w:type="spellEnd"/>
      <w:r w:rsidRPr="00D933F4">
        <w:rPr>
          <w:color w:val="auto"/>
          <w:sz w:val="22"/>
          <w:szCs w:val="22"/>
        </w:rPr>
        <w:t xml:space="preserve"> rendelet alá tartozó releváns állományra köteles </w:t>
      </w:r>
      <w:r>
        <w:rPr>
          <w:color w:val="auto"/>
          <w:sz w:val="22"/>
          <w:szCs w:val="22"/>
        </w:rPr>
        <w:t>tőkekövetelményt képezni, oly módon, hogy a teljes bruttó kitettség tőkével fedezve legyen</w:t>
      </w:r>
      <w:r w:rsidRPr="00D933F4">
        <w:rPr>
          <w:color w:val="auto"/>
          <w:sz w:val="22"/>
          <w:szCs w:val="22"/>
        </w:rPr>
        <w:t>.</w:t>
      </w:r>
      <w:r>
        <w:rPr>
          <w:color w:val="auto"/>
          <w:sz w:val="22"/>
          <w:szCs w:val="22"/>
        </w:rPr>
        <w:t xml:space="preserve"> Vagyis a 2. pillérben meghatározott </w:t>
      </w:r>
      <w:r>
        <w:rPr>
          <w:color w:val="auto"/>
          <w:sz w:val="22"/>
          <w:szCs w:val="22"/>
        </w:rPr>
        <w:lastRenderedPageBreak/>
        <w:t xml:space="preserve">tőkekövetelmény és az értékvesztés összege érje el a teljes bruttó kitettség értékét. Amennyiben ez nem teljesül, az intézmény a bruttó kitettség és a 2. pilléres </w:t>
      </w:r>
      <w:proofErr w:type="spellStart"/>
      <w:r>
        <w:rPr>
          <w:color w:val="auto"/>
          <w:sz w:val="22"/>
          <w:szCs w:val="22"/>
        </w:rPr>
        <w:t>tőkekövetelmény+értékvesztés</w:t>
      </w:r>
      <w:proofErr w:type="spellEnd"/>
      <w:r>
        <w:rPr>
          <w:color w:val="auto"/>
          <w:sz w:val="22"/>
          <w:szCs w:val="22"/>
        </w:rPr>
        <w:t xml:space="preserve"> különbségét köteles megképezni a kiemelten kockázatos portfóliók alatt.</w:t>
      </w:r>
    </w:p>
    <w:p w14:paraId="59030342" w14:textId="77777777" w:rsidR="00DB3BC3" w:rsidRPr="00D933F4" w:rsidRDefault="00DB3BC3" w:rsidP="00D933F4">
      <w:pPr>
        <w:pStyle w:val="Default"/>
        <w:spacing w:after="120"/>
        <w:jc w:val="both"/>
        <w:rPr>
          <w:color w:val="auto"/>
          <w:sz w:val="22"/>
          <w:szCs w:val="22"/>
        </w:rPr>
      </w:pPr>
      <w:r w:rsidRPr="00D933F4">
        <w:rPr>
          <w:color w:val="auto"/>
          <w:sz w:val="22"/>
          <w:szCs w:val="22"/>
        </w:rPr>
        <w:t xml:space="preserve">Elkerülendő, hogy a pénzügyi vállalkozások banki forrásból, közvetve finanszírozzanak pozitív </w:t>
      </w:r>
      <w:proofErr w:type="spellStart"/>
      <w:r w:rsidRPr="00D933F4">
        <w:rPr>
          <w:color w:val="auto"/>
          <w:sz w:val="22"/>
          <w:szCs w:val="22"/>
        </w:rPr>
        <w:t>KHR</w:t>
      </w:r>
      <w:proofErr w:type="spellEnd"/>
      <w:r w:rsidRPr="00D933F4">
        <w:rPr>
          <w:color w:val="auto"/>
          <w:sz w:val="22"/>
          <w:szCs w:val="22"/>
        </w:rPr>
        <w:t xml:space="preserve"> lekérdezéshez nem hozzájáruló ügyfeleket, ezért a Bankok kötelesek a lakossági hitelezési tevékenységet folytató pénzügyi vállalkozások hitelezése, refinanszírozása előtt meggyőződni arról, hogy a pénzügyi vállalkozás belső szabályozásában és/vagy a termékek általános szerződési feltételeiben rögzítette-e, hogy a pozitív hitelinformációs adatok lekérdezéséhez való hozzájárulás feltétele a hitelbírálatnak. Amennyiben erre nem kerül sor, akkor a Bank köteles a pénzügyi vállalkozás felé fennálló teljes új kitettségére </w:t>
      </w:r>
      <w:r>
        <w:rPr>
          <w:color w:val="auto"/>
          <w:sz w:val="22"/>
          <w:szCs w:val="22"/>
        </w:rPr>
        <w:t xml:space="preserve">a tőkekövetelményt oly </w:t>
      </w:r>
      <w:proofErr w:type="spellStart"/>
      <w:r>
        <w:rPr>
          <w:color w:val="auto"/>
          <w:sz w:val="22"/>
          <w:szCs w:val="22"/>
        </w:rPr>
        <w:t>módón</w:t>
      </w:r>
      <w:proofErr w:type="spellEnd"/>
      <w:r>
        <w:rPr>
          <w:color w:val="auto"/>
          <w:sz w:val="22"/>
          <w:szCs w:val="22"/>
        </w:rPr>
        <w:t xml:space="preserve"> megképezni, hogy a teljes bruttó kitettség tőkével legyen fedezve (a feljebb ismertetett részleteknek megfelelően)</w:t>
      </w:r>
      <w:r w:rsidRPr="00D933F4">
        <w:rPr>
          <w:color w:val="auto"/>
          <w:sz w:val="22"/>
          <w:szCs w:val="22"/>
        </w:rPr>
        <w:t xml:space="preserve">, függetlenül a hitel céljától. </w:t>
      </w:r>
    </w:p>
    <w:p w14:paraId="59030343" w14:textId="77777777" w:rsidR="00DB3BC3" w:rsidRPr="00D933F4" w:rsidRDefault="00DB3BC3" w:rsidP="00D933F4">
      <w:pPr>
        <w:pStyle w:val="Default"/>
        <w:spacing w:after="120"/>
        <w:jc w:val="both"/>
        <w:rPr>
          <w:color w:val="auto"/>
          <w:sz w:val="22"/>
          <w:szCs w:val="22"/>
        </w:rPr>
      </w:pPr>
      <w:r w:rsidRPr="00D933F4">
        <w:rPr>
          <w:color w:val="auto"/>
          <w:sz w:val="22"/>
          <w:szCs w:val="22"/>
        </w:rPr>
        <w:t>Az ezen</w:t>
      </w:r>
      <w:r>
        <w:rPr>
          <w:color w:val="auto"/>
          <w:sz w:val="22"/>
          <w:szCs w:val="22"/>
        </w:rPr>
        <w:t xml:space="preserve">, </w:t>
      </w:r>
      <w:proofErr w:type="spellStart"/>
      <w:r>
        <w:rPr>
          <w:color w:val="auto"/>
          <w:sz w:val="22"/>
          <w:szCs w:val="22"/>
        </w:rPr>
        <w:t>JTM</w:t>
      </w:r>
      <w:proofErr w:type="spellEnd"/>
      <w:r>
        <w:rPr>
          <w:color w:val="auto"/>
          <w:sz w:val="22"/>
          <w:szCs w:val="22"/>
        </w:rPr>
        <w:t xml:space="preserve"> rendelet hatálya alá tartozó</w:t>
      </w:r>
      <w:r w:rsidRPr="00D933F4">
        <w:rPr>
          <w:color w:val="auto"/>
          <w:sz w:val="22"/>
          <w:szCs w:val="22"/>
        </w:rPr>
        <w:t xml:space="preserve"> kockázatos portfólióra (5.) vonatkozó módosított előírásokat minden 2019. október 1-jét követően </w:t>
      </w:r>
      <w:bookmarkEnd w:id="3"/>
      <w:r w:rsidRPr="00D933F4">
        <w:rPr>
          <w:sz w:val="22"/>
          <w:szCs w:val="22"/>
        </w:rPr>
        <w:t xml:space="preserve">a) a bank által ügyfeleknek </w:t>
      </w:r>
      <w:proofErr w:type="spellStart"/>
      <w:r w:rsidRPr="00D933F4">
        <w:rPr>
          <w:sz w:val="22"/>
          <w:szCs w:val="22"/>
        </w:rPr>
        <w:t>nyújott</w:t>
      </w:r>
      <w:proofErr w:type="spellEnd"/>
      <w:r w:rsidRPr="00D933F4">
        <w:rPr>
          <w:sz w:val="22"/>
          <w:szCs w:val="22"/>
        </w:rPr>
        <w:t xml:space="preserve"> hitelek és b) a bank által a pénzügyi vállalkozásoknak nyújtott refinanszírozás</w:t>
      </w:r>
      <w:r>
        <w:rPr>
          <w:sz w:val="22"/>
          <w:szCs w:val="22"/>
        </w:rPr>
        <w:t xml:space="preserve">, rendszeresen meghosszabbított </w:t>
      </w:r>
      <w:proofErr w:type="spellStart"/>
      <w:r>
        <w:rPr>
          <w:sz w:val="22"/>
          <w:szCs w:val="22"/>
        </w:rPr>
        <w:t>revolving</w:t>
      </w:r>
      <w:proofErr w:type="spellEnd"/>
      <w:r w:rsidRPr="00D933F4">
        <w:rPr>
          <w:sz w:val="22"/>
          <w:szCs w:val="22"/>
        </w:rPr>
        <w:t xml:space="preserve"> vagy egyéb hitelek esetén alkalmazni kell. Amennyiben a pénzügyi vállalkozás adatszolgálatatás formájában a bank részére átadja, hogy a fenti határidőt követően </w:t>
      </w:r>
      <w:r w:rsidRPr="00D933F4">
        <w:rPr>
          <w:color w:val="auto"/>
          <w:sz w:val="22"/>
          <w:szCs w:val="22"/>
        </w:rPr>
        <w:t>kihelyezett</w:t>
      </w:r>
      <w:r w:rsidRPr="00D933F4">
        <w:rPr>
          <w:sz w:val="22"/>
          <w:szCs w:val="22"/>
        </w:rPr>
        <w:t xml:space="preserve"> ügyletei milyen arányban voltak pozitív </w:t>
      </w:r>
      <w:proofErr w:type="spellStart"/>
      <w:r w:rsidRPr="00D933F4">
        <w:rPr>
          <w:sz w:val="22"/>
          <w:szCs w:val="22"/>
        </w:rPr>
        <w:t>KHR</w:t>
      </w:r>
      <w:proofErr w:type="spellEnd"/>
      <w:r w:rsidRPr="00D933F4">
        <w:rPr>
          <w:sz w:val="22"/>
          <w:szCs w:val="22"/>
        </w:rPr>
        <w:t xml:space="preserve"> hozzájárulás nélkül elbírálva, a</w:t>
      </w:r>
      <w:r>
        <w:rPr>
          <w:sz w:val="22"/>
          <w:szCs w:val="22"/>
        </w:rPr>
        <w:t xml:space="preserve">bban az esetben az a szabály, hogy a teljes bruttó kitettség tőkével fedezendő csak a pozitív </w:t>
      </w:r>
      <w:proofErr w:type="spellStart"/>
      <w:r>
        <w:rPr>
          <w:sz w:val="22"/>
          <w:szCs w:val="22"/>
        </w:rPr>
        <w:t>KHR</w:t>
      </w:r>
      <w:proofErr w:type="spellEnd"/>
      <w:r>
        <w:rPr>
          <w:sz w:val="22"/>
          <w:szCs w:val="22"/>
        </w:rPr>
        <w:t xml:space="preserve"> hozzájárulás nélkül elbírált portfóliórészre alkalmazandó.</w:t>
      </w:r>
    </w:p>
    <w:p w14:paraId="59030344" w14:textId="77777777" w:rsidR="00DB3BC3" w:rsidRPr="00D933F4" w:rsidRDefault="00DB3BC3" w:rsidP="00003494">
      <w:pPr>
        <w:pStyle w:val="Default"/>
        <w:spacing w:before="120"/>
        <w:jc w:val="both"/>
        <w:rPr>
          <w:b/>
          <w:color w:val="auto"/>
          <w:sz w:val="22"/>
          <w:szCs w:val="22"/>
        </w:rPr>
      </w:pPr>
      <w:r w:rsidRPr="00D933F4">
        <w:rPr>
          <w:b/>
          <w:color w:val="auto"/>
          <w:sz w:val="22"/>
          <w:szCs w:val="22"/>
        </w:rPr>
        <w:t>6. Követelés fejében átvett ingatlan-portfólió</w:t>
      </w:r>
    </w:p>
    <w:p w14:paraId="59030345" w14:textId="77777777" w:rsidR="00DB3BC3" w:rsidRPr="00D933F4" w:rsidRDefault="00DB3BC3" w:rsidP="00D933F4">
      <w:pPr>
        <w:pStyle w:val="Default"/>
        <w:spacing w:after="120"/>
        <w:jc w:val="both"/>
        <w:rPr>
          <w:color w:val="auto"/>
          <w:sz w:val="22"/>
          <w:szCs w:val="22"/>
        </w:rPr>
      </w:pPr>
      <w:r w:rsidRPr="00D933F4">
        <w:rPr>
          <w:color w:val="auto"/>
          <w:sz w:val="22"/>
          <w:szCs w:val="22"/>
        </w:rPr>
        <w:t xml:space="preserve">Az MNB eddigi vizsgálati tapasztalatai alapján a követelés fejében átvett ingatlanok a válság alatti évek ingatlanpiaci folyamatai következtében jelentős értékvesztést szenvedtek el. Az átvett ingatlanok sokszor eleve rosszul teljesítenek, és az átvevő intézmény számára is kihívást jelenthet gazdaságos üzemeltetésük. Az ingatlanok üzemeltetési, fenntartási költsége számottevő erőforrásokat emészthet fel, jelentős költségként jelentkezve az eredménykimutatásokban, továbbá az értékelés tényezőiben rejlő bizonytalanságok (pl. a kihasználtság változása) jelentős volatilitást eredményeznek a könyv szerinti értékben. </w:t>
      </w:r>
    </w:p>
    <w:p w14:paraId="59030346" w14:textId="77777777" w:rsidR="00DB3BC3" w:rsidRPr="00D933F4" w:rsidRDefault="00DB3BC3" w:rsidP="00D933F4">
      <w:pPr>
        <w:pStyle w:val="Default"/>
        <w:spacing w:after="120"/>
        <w:jc w:val="both"/>
        <w:rPr>
          <w:color w:val="auto"/>
          <w:sz w:val="22"/>
          <w:szCs w:val="22"/>
        </w:rPr>
      </w:pPr>
      <w:r w:rsidRPr="00D933F4">
        <w:rPr>
          <w:color w:val="auto"/>
          <w:sz w:val="22"/>
          <w:szCs w:val="22"/>
        </w:rPr>
        <w:t xml:space="preserve">A vizsgálati tapasztalatok alapján az is elmondható, hogy a követelés fejében átvett ingatlanok tőkekövetelményének számítása az egyes intézményeknél jelentős </w:t>
      </w:r>
      <w:proofErr w:type="gramStart"/>
      <w:r w:rsidRPr="00D933F4">
        <w:rPr>
          <w:color w:val="auto"/>
          <w:sz w:val="22"/>
          <w:szCs w:val="22"/>
        </w:rPr>
        <w:t>eltérést mutat</w:t>
      </w:r>
      <w:proofErr w:type="gramEnd"/>
      <w:r w:rsidRPr="00D933F4">
        <w:rPr>
          <w:color w:val="auto"/>
          <w:sz w:val="22"/>
          <w:szCs w:val="22"/>
        </w:rPr>
        <w:t>. Az MNB véleménye szerint a sztenderd módszert alkalmazó hitelintézeteknél a 100%-os kockázati súly (azaz a 8%-os tőkekövetelmény) egy esetlegesen bekövetkező válság esetén</w:t>
      </w:r>
      <w:r>
        <w:rPr>
          <w:color w:val="auto"/>
          <w:sz w:val="22"/>
          <w:szCs w:val="22"/>
        </w:rPr>
        <w:t xml:space="preserve"> </w:t>
      </w:r>
      <w:r w:rsidRPr="00D933F4">
        <w:rPr>
          <w:color w:val="auto"/>
          <w:sz w:val="22"/>
          <w:szCs w:val="22"/>
        </w:rPr>
        <w:t xml:space="preserve">nem fedezné a visszavett ingatlanok kockázatát, ezért az MNB egységes többlet-tőkekövetelményt ír elő ezen hitelintézetek számára, és az olyan modellt használó hitelintézetek számára, amelyek esetében az MNB a belső modell alapú tőkekövetelmény számítást a 2. pillér alatt nem fogadta el. </w:t>
      </w:r>
    </w:p>
    <w:p w14:paraId="59030347" w14:textId="77777777" w:rsidR="00DB3BC3" w:rsidRPr="00D933F4" w:rsidRDefault="00DB3BC3" w:rsidP="00D933F4">
      <w:pPr>
        <w:pStyle w:val="Default"/>
        <w:spacing w:after="120"/>
        <w:jc w:val="both"/>
        <w:rPr>
          <w:color w:val="auto"/>
          <w:sz w:val="22"/>
          <w:szCs w:val="22"/>
        </w:rPr>
      </w:pPr>
      <w:r w:rsidRPr="00D933F4">
        <w:rPr>
          <w:color w:val="auto"/>
          <w:sz w:val="22"/>
          <w:szCs w:val="22"/>
        </w:rPr>
        <w:t>Amennyiben továbbá az intézmény az összevont felügyeleti körön kívüli cég (harmadik fél) számára követelés fejében átvett ingatlanok finanszírozására hitelt nyújt, melynek során az a célja, hogy problémás ügyletek mögötti ingatlanok megvásárlását közvetlenül támogassa oly módon, hogy az ne kerüljön az intézmény saját, illetve konszolidációs mérlegébe, akkor többlet-tőkekövetelményt szükséges képeznie.</w:t>
      </w:r>
    </w:p>
    <w:p w14:paraId="59030348" w14:textId="77777777" w:rsidR="00DB3BC3" w:rsidRPr="00D933F4" w:rsidRDefault="00DB3BC3" w:rsidP="00D933F4">
      <w:pPr>
        <w:pStyle w:val="Default"/>
        <w:spacing w:after="120"/>
        <w:jc w:val="both"/>
        <w:rPr>
          <w:color w:val="auto"/>
          <w:sz w:val="22"/>
          <w:szCs w:val="22"/>
        </w:rPr>
      </w:pPr>
      <w:r w:rsidRPr="00D933F4">
        <w:rPr>
          <w:b/>
          <w:bCs/>
          <w:color w:val="auto"/>
          <w:sz w:val="22"/>
          <w:szCs w:val="22"/>
        </w:rPr>
        <w:t xml:space="preserve">Előírt többlettőke nagysága: </w:t>
      </w:r>
      <w:r w:rsidRPr="00D933F4">
        <w:rPr>
          <w:color w:val="auto"/>
          <w:sz w:val="22"/>
          <w:szCs w:val="22"/>
        </w:rPr>
        <w:t>A követelés fejében átvett ingatlan portfólió esetén az 1. pillér alatti tőkeszükséglet 100%-a.</w:t>
      </w:r>
    </w:p>
    <w:p w14:paraId="59030349" w14:textId="77777777" w:rsidR="00DB3BC3" w:rsidRPr="00D933F4" w:rsidRDefault="00DB3BC3" w:rsidP="00D933F4">
      <w:pPr>
        <w:pStyle w:val="Default"/>
        <w:spacing w:after="120"/>
        <w:jc w:val="both"/>
        <w:rPr>
          <w:color w:val="auto"/>
          <w:sz w:val="22"/>
          <w:szCs w:val="22"/>
        </w:rPr>
      </w:pPr>
      <w:r w:rsidRPr="00D933F4">
        <w:rPr>
          <w:sz w:val="22"/>
          <w:szCs w:val="22"/>
        </w:rPr>
        <w:t xml:space="preserve">Az összevont felügyeleti körön kívüli </w:t>
      </w:r>
      <w:r w:rsidRPr="00D933F4">
        <w:rPr>
          <w:color w:val="auto"/>
          <w:sz w:val="22"/>
          <w:szCs w:val="22"/>
        </w:rPr>
        <w:t>cég számára követelés fejében átvett ingatlanok finanszírozására nyújtott hitel esetén a tőkekövetelmény add-</w:t>
      </w:r>
      <w:proofErr w:type="spellStart"/>
      <w:r w:rsidRPr="00D933F4">
        <w:rPr>
          <w:color w:val="auto"/>
          <w:sz w:val="22"/>
          <w:szCs w:val="22"/>
        </w:rPr>
        <w:t>on</w:t>
      </w:r>
      <w:proofErr w:type="spellEnd"/>
      <w:r w:rsidRPr="00D933F4">
        <w:rPr>
          <w:color w:val="auto"/>
          <w:sz w:val="22"/>
          <w:szCs w:val="22"/>
        </w:rPr>
        <w:t xml:space="preserve"> mértéke szintén az 1. pilléres tőkekövetelmény 100%-a.</w:t>
      </w:r>
    </w:p>
    <w:p w14:paraId="5903034A" w14:textId="77777777" w:rsidR="00DB3BC3" w:rsidRDefault="00DB3BC3" w:rsidP="00D933F4">
      <w:pPr>
        <w:pStyle w:val="Default"/>
        <w:spacing w:after="120"/>
        <w:jc w:val="both"/>
        <w:rPr>
          <w:color w:val="auto"/>
          <w:sz w:val="22"/>
          <w:szCs w:val="22"/>
        </w:rPr>
      </w:pPr>
      <w:r w:rsidRPr="00D933F4">
        <w:rPr>
          <w:color w:val="auto"/>
          <w:sz w:val="22"/>
          <w:szCs w:val="22"/>
        </w:rPr>
        <w:t xml:space="preserve">Az MNB a követelés fejében átvett ingatlanok (pl.: szavatoló </w:t>
      </w:r>
      <w:proofErr w:type="spellStart"/>
      <w:r w:rsidRPr="00D933F4">
        <w:rPr>
          <w:color w:val="auto"/>
          <w:sz w:val="22"/>
          <w:szCs w:val="22"/>
        </w:rPr>
        <w:t>tőkéhez</w:t>
      </w:r>
      <w:proofErr w:type="spellEnd"/>
      <w:r w:rsidRPr="00D933F4">
        <w:rPr>
          <w:color w:val="auto"/>
          <w:sz w:val="22"/>
          <w:szCs w:val="22"/>
        </w:rPr>
        <w:t xml:space="preserve"> vetített) jelentős koncentrációja esetén a fentieken felül további tőkekövetelmény-többlet előírását tarthatja szükségesnek. </w:t>
      </w:r>
    </w:p>
    <w:p w14:paraId="5903034B" w14:textId="77777777" w:rsidR="00DB3BC3" w:rsidRPr="007B1F1B" w:rsidRDefault="00DB3BC3" w:rsidP="00D933F4">
      <w:pPr>
        <w:pStyle w:val="Default"/>
        <w:spacing w:after="120"/>
        <w:jc w:val="both"/>
        <w:rPr>
          <w:b/>
          <w:bCs/>
          <w:color w:val="auto"/>
          <w:sz w:val="22"/>
          <w:szCs w:val="22"/>
        </w:rPr>
      </w:pPr>
      <w:r w:rsidRPr="007B1F1B">
        <w:rPr>
          <w:b/>
          <w:bCs/>
          <w:color w:val="auto"/>
          <w:sz w:val="22"/>
          <w:szCs w:val="22"/>
        </w:rPr>
        <w:t>7.</w:t>
      </w:r>
      <w:r>
        <w:rPr>
          <w:color w:val="auto"/>
          <w:sz w:val="22"/>
          <w:szCs w:val="22"/>
        </w:rPr>
        <w:t xml:space="preserve"> </w:t>
      </w:r>
      <w:r>
        <w:rPr>
          <w:b/>
          <w:bCs/>
          <w:sz w:val="22"/>
          <w:szCs w:val="22"/>
        </w:rPr>
        <w:t>A</w:t>
      </w:r>
      <w:r w:rsidRPr="006F56AF">
        <w:rPr>
          <w:b/>
          <w:bCs/>
          <w:sz w:val="22"/>
          <w:szCs w:val="22"/>
        </w:rPr>
        <w:t>z anyavállalat</w:t>
      </w:r>
      <w:r>
        <w:rPr>
          <w:b/>
          <w:bCs/>
          <w:sz w:val="22"/>
          <w:szCs w:val="22"/>
        </w:rPr>
        <w:t>tal</w:t>
      </w:r>
      <w:r w:rsidRPr="006F56AF">
        <w:rPr>
          <w:b/>
          <w:bCs/>
          <w:sz w:val="22"/>
          <w:szCs w:val="22"/>
        </w:rPr>
        <w:t xml:space="preserve"> és annak nem magyarországi székhelyű, ellenőrző befolyás alatt lévő leányvállalataival szembeni fedezetlen kihelyezések</w:t>
      </w:r>
    </w:p>
    <w:p w14:paraId="5903034C" w14:textId="77777777" w:rsidR="00DB3BC3" w:rsidRPr="007B1F1B" w:rsidRDefault="00DB3BC3" w:rsidP="007B1F1B">
      <w:pPr>
        <w:pStyle w:val="Default"/>
        <w:spacing w:after="120"/>
        <w:jc w:val="both"/>
        <w:rPr>
          <w:color w:val="auto"/>
          <w:sz w:val="22"/>
          <w:szCs w:val="22"/>
        </w:rPr>
      </w:pPr>
      <w:r>
        <w:rPr>
          <w:color w:val="auto"/>
          <w:sz w:val="22"/>
          <w:szCs w:val="22"/>
        </w:rPr>
        <w:lastRenderedPageBreak/>
        <w:t>2022-ben a</w:t>
      </w:r>
      <w:r w:rsidRPr="007B1F1B">
        <w:rPr>
          <w:color w:val="auto"/>
          <w:sz w:val="22"/>
          <w:szCs w:val="22"/>
        </w:rPr>
        <w:t xml:space="preserve"> háborús helyzet és a kapcsolódó szankciók </w:t>
      </w:r>
      <w:r>
        <w:rPr>
          <w:color w:val="auto"/>
          <w:sz w:val="22"/>
          <w:szCs w:val="22"/>
        </w:rPr>
        <w:t>rávilágítottak arra a releváns kockázatra, hogy</w:t>
      </w:r>
      <w:r w:rsidRPr="007B1F1B">
        <w:rPr>
          <w:color w:val="auto"/>
          <w:sz w:val="22"/>
          <w:szCs w:val="22"/>
        </w:rPr>
        <w:t xml:space="preserve"> a nemzetközi bankcsoporthoz tartozó, </w:t>
      </w:r>
      <w:r>
        <w:rPr>
          <w:color w:val="auto"/>
          <w:sz w:val="22"/>
          <w:szCs w:val="22"/>
        </w:rPr>
        <w:t xml:space="preserve">szabályozási szempontból </w:t>
      </w:r>
      <w:r w:rsidRPr="007B1F1B">
        <w:rPr>
          <w:color w:val="auto"/>
          <w:sz w:val="22"/>
          <w:szCs w:val="22"/>
        </w:rPr>
        <w:t>megfelelő likviditással és tőkehelyzettel rendelkező magyarországi bankok is rövid időn belül feszített likviditási helyzetbe kerülhetnek az anyabank, vagy a bankcsoporthoz tartozó más intézmények nehézségeinek begyűrűzése által.</w:t>
      </w:r>
    </w:p>
    <w:p w14:paraId="5903034D" w14:textId="77777777" w:rsidR="00DB3BC3" w:rsidRDefault="00DB3BC3" w:rsidP="007B1F1B">
      <w:pPr>
        <w:pStyle w:val="Default"/>
        <w:spacing w:after="120"/>
        <w:jc w:val="both"/>
        <w:rPr>
          <w:color w:val="auto"/>
          <w:sz w:val="22"/>
          <w:szCs w:val="22"/>
        </w:rPr>
      </w:pPr>
      <w:r>
        <w:rPr>
          <w:color w:val="auto"/>
          <w:sz w:val="22"/>
          <w:szCs w:val="22"/>
        </w:rPr>
        <w:t>Mivel a nagykockázatok korlátozására vonatkozó jelenlegi szabályozói minimumkövetelmények</w:t>
      </w:r>
      <w:r w:rsidRPr="007B1F1B">
        <w:rPr>
          <w:color w:val="auto"/>
          <w:sz w:val="22"/>
          <w:szCs w:val="22"/>
        </w:rPr>
        <w:t xml:space="preserve"> </w:t>
      </w:r>
      <w:r>
        <w:rPr>
          <w:color w:val="auto"/>
          <w:sz w:val="22"/>
          <w:szCs w:val="22"/>
        </w:rPr>
        <w:t xml:space="preserve">ezen kockázatokat nem kezelik adekvát módon, ezért </w:t>
      </w:r>
      <w:r w:rsidRPr="007B1F1B">
        <w:rPr>
          <w:color w:val="auto"/>
          <w:sz w:val="22"/>
          <w:szCs w:val="22"/>
        </w:rPr>
        <w:t xml:space="preserve">az MNB </w:t>
      </w:r>
      <w:r>
        <w:rPr>
          <w:color w:val="auto"/>
          <w:sz w:val="22"/>
          <w:szCs w:val="22"/>
        </w:rPr>
        <w:t>elvárja</w:t>
      </w:r>
      <w:r w:rsidRPr="007B1F1B">
        <w:rPr>
          <w:color w:val="auto"/>
          <w:sz w:val="22"/>
          <w:szCs w:val="22"/>
        </w:rPr>
        <w:t>, hogy az intézmények anyavállalatukkal és annak nem magyarországi székhelyű, ellenőrző befolyás alatt lévő leányvállalataival szembeni fedezetlen kihelyezés</w:t>
      </w:r>
      <w:r>
        <w:rPr>
          <w:color w:val="auto"/>
          <w:sz w:val="22"/>
          <w:szCs w:val="22"/>
        </w:rPr>
        <w:t>ei</w:t>
      </w:r>
      <w:r w:rsidRPr="007B1F1B">
        <w:rPr>
          <w:color w:val="auto"/>
          <w:sz w:val="22"/>
          <w:szCs w:val="22"/>
        </w:rPr>
        <w:t xml:space="preserve">nek együttes összege ne haladja meg az intézmény mindenkori </w:t>
      </w:r>
      <w:proofErr w:type="spellStart"/>
      <w:r w:rsidRPr="007B1F1B">
        <w:rPr>
          <w:color w:val="auto"/>
          <w:sz w:val="22"/>
          <w:szCs w:val="22"/>
        </w:rPr>
        <w:t>szubkonszolidált</w:t>
      </w:r>
      <w:proofErr w:type="spellEnd"/>
      <w:r w:rsidRPr="007B1F1B">
        <w:rPr>
          <w:color w:val="auto"/>
          <w:sz w:val="22"/>
          <w:szCs w:val="22"/>
        </w:rPr>
        <w:t xml:space="preserve"> szavatoló tőkéjének 25%-át. </w:t>
      </w:r>
    </w:p>
    <w:p w14:paraId="5903034E" w14:textId="5B5ACA5C" w:rsidR="00DB3BC3" w:rsidRPr="00A16825" w:rsidRDefault="00DB3BC3" w:rsidP="00A16825">
      <w:pPr>
        <w:pStyle w:val="Default"/>
        <w:spacing w:after="120"/>
        <w:jc w:val="both"/>
        <w:rPr>
          <w:color w:val="auto"/>
          <w:sz w:val="22"/>
          <w:szCs w:val="22"/>
        </w:rPr>
      </w:pPr>
      <w:bookmarkStart w:id="4" w:name="_Hlk104891568"/>
      <w:r w:rsidRPr="00A16825">
        <w:rPr>
          <w:color w:val="auto"/>
          <w:sz w:val="22"/>
          <w:szCs w:val="22"/>
        </w:rPr>
        <w:t>Kihelyezés alatt az MNB a mérlegen belüli hitelviszonyt megtestesítő instrumentumokat érti. Ez alól kivételt jelent a nyújtott pénzforgalmi szolgáltatáshoz kapcsolódó</w:t>
      </w:r>
      <w:r w:rsidRPr="007E4DB5">
        <w:rPr>
          <w:color w:val="auto"/>
          <w:sz w:val="22"/>
          <w:szCs w:val="22"/>
        </w:rPr>
        <w:t xml:space="preserve"> </w:t>
      </w:r>
      <w:r w:rsidRPr="00A16825">
        <w:rPr>
          <w:color w:val="auto"/>
          <w:sz w:val="22"/>
          <w:szCs w:val="22"/>
        </w:rPr>
        <w:t>számlaegyenleg, legfeljebb egy napig fennálló része, és az egyéb tételek melyek szintén nem tartoznak a nagykockázatvállalási szabályozás hatálya alá (</w:t>
      </w:r>
      <w:proofErr w:type="spellStart"/>
      <w:r w:rsidRPr="00A16825">
        <w:rPr>
          <w:color w:val="auto"/>
          <w:sz w:val="22"/>
          <w:szCs w:val="22"/>
        </w:rPr>
        <w:t>CRR</w:t>
      </w:r>
      <w:proofErr w:type="spellEnd"/>
      <w:r w:rsidRPr="00A16825">
        <w:rPr>
          <w:color w:val="auto"/>
          <w:sz w:val="22"/>
          <w:szCs w:val="22"/>
        </w:rPr>
        <w:t xml:space="preserve"> 390.</w:t>
      </w:r>
      <w:r w:rsidR="006D54C1">
        <w:rPr>
          <w:color w:val="auto"/>
          <w:sz w:val="22"/>
          <w:szCs w:val="22"/>
        </w:rPr>
        <w:t xml:space="preserve"> </w:t>
      </w:r>
      <w:r w:rsidRPr="00A16825">
        <w:rPr>
          <w:color w:val="auto"/>
          <w:sz w:val="22"/>
          <w:szCs w:val="22"/>
        </w:rPr>
        <w:t>cikk). Fedezetként az MNB automatikusan elfogadhatónak tartja a nagykockázatvállalásban is elismert hitelkockázatmérséklési technikákat (</w:t>
      </w:r>
      <w:proofErr w:type="spellStart"/>
      <w:r w:rsidRPr="00A16825">
        <w:rPr>
          <w:color w:val="auto"/>
          <w:sz w:val="22"/>
          <w:szCs w:val="22"/>
        </w:rPr>
        <w:t>CRR</w:t>
      </w:r>
      <w:proofErr w:type="spellEnd"/>
      <w:r w:rsidRPr="00A16825">
        <w:rPr>
          <w:color w:val="auto"/>
          <w:sz w:val="22"/>
          <w:szCs w:val="22"/>
        </w:rPr>
        <w:t xml:space="preserve"> 399.</w:t>
      </w:r>
      <w:r w:rsidR="006D54C1">
        <w:rPr>
          <w:color w:val="auto"/>
          <w:sz w:val="22"/>
          <w:szCs w:val="22"/>
        </w:rPr>
        <w:t xml:space="preserve"> </w:t>
      </w:r>
      <w:r w:rsidRPr="00A16825">
        <w:rPr>
          <w:color w:val="auto"/>
          <w:sz w:val="22"/>
          <w:szCs w:val="22"/>
        </w:rPr>
        <w:t>cikk).</w:t>
      </w:r>
    </w:p>
    <w:bookmarkEnd w:id="4"/>
    <w:p w14:paraId="5903034F" w14:textId="446EFA4E" w:rsidR="00DB3BC3" w:rsidRDefault="00DB3BC3" w:rsidP="007B1F1B">
      <w:pPr>
        <w:pStyle w:val="Default"/>
        <w:spacing w:after="120"/>
        <w:jc w:val="both"/>
        <w:rPr>
          <w:color w:val="auto"/>
          <w:sz w:val="22"/>
          <w:szCs w:val="22"/>
        </w:rPr>
      </w:pPr>
      <w:r w:rsidRPr="007B1F1B">
        <w:rPr>
          <w:color w:val="auto"/>
          <w:sz w:val="22"/>
          <w:szCs w:val="22"/>
        </w:rPr>
        <w:t>Amennyiben ezen kitettségek meghaladják a</w:t>
      </w:r>
      <w:r>
        <w:rPr>
          <w:color w:val="auto"/>
          <w:sz w:val="22"/>
          <w:szCs w:val="22"/>
        </w:rPr>
        <w:t>z intézmény</w:t>
      </w:r>
      <w:r w:rsidRPr="007B1F1B">
        <w:rPr>
          <w:color w:val="auto"/>
          <w:sz w:val="22"/>
          <w:szCs w:val="22"/>
        </w:rPr>
        <w:t xml:space="preserve"> (magyarországi szinten) </w:t>
      </w:r>
      <w:proofErr w:type="spellStart"/>
      <w:r w:rsidRPr="007B1F1B">
        <w:rPr>
          <w:color w:val="auto"/>
          <w:sz w:val="22"/>
          <w:szCs w:val="22"/>
        </w:rPr>
        <w:t>szubkonszolidált</w:t>
      </w:r>
      <w:proofErr w:type="spellEnd"/>
      <w:r w:rsidRPr="007B1F1B">
        <w:rPr>
          <w:color w:val="auto"/>
          <w:sz w:val="22"/>
          <w:szCs w:val="22"/>
        </w:rPr>
        <w:t xml:space="preserve"> szavatoló tőkéj</w:t>
      </w:r>
      <w:r>
        <w:rPr>
          <w:color w:val="auto"/>
          <w:sz w:val="22"/>
          <w:szCs w:val="22"/>
        </w:rPr>
        <w:t>ének</w:t>
      </w:r>
      <w:r w:rsidRPr="007B1F1B">
        <w:rPr>
          <w:color w:val="auto"/>
          <w:sz w:val="22"/>
          <w:szCs w:val="22"/>
        </w:rPr>
        <w:t xml:space="preserve"> 25%-át (</w:t>
      </w:r>
      <w:r>
        <w:rPr>
          <w:color w:val="auto"/>
          <w:sz w:val="22"/>
          <w:szCs w:val="22"/>
        </w:rPr>
        <w:t>L</w:t>
      </w:r>
      <w:r w:rsidRPr="007B1F1B">
        <w:rPr>
          <w:color w:val="auto"/>
          <w:sz w:val="22"/>
          <w:szCs w:val="22"/>
        </w:rPr>
        <w:t xml:space="preserve">imit), akkor a 2. pilléres tőkekalkuláció során az intézménynek a </w:t>
      </w:r>
      <w:r>
        <w:rPr>
          <w:color w:val="auto"/>
          <w:sz w:val="22"/>
          <w:szCs w:val="22"/>
        </w:rPr>
        <w:t>L</w:t>
      </w:r>
      <w:r w:rsidRPr="007B1F1B">
        <w:rPr>
          <w:color w:val="auto"/>
          <w:sz w:val="22"/>
          <w:szCs w:val="22"/>
        </w:rPr>
        <w:t>imit feletti részre a kockázatos portfóliókon belül többlet-tőkét kell képezni</w:t>
      </w:r>
      <w:r>
        <w:rPr>
          <w:color w:val="auto"/>
          <w:sz w:val="22"/>
          <w:szCs w:val="22"/>
        </w:rPr>
        <w:t>e</w:t>
      </w:r>
      <w:r w:rsidRPr="007B1F1B">
        <w:rPr>
          <w:color w:val="auto"/>
          <w:sz w:val="22"/>
          <w:szCs w:val="22"/>
        </w:rPr>
        <w:t xml:space="preserve"> a kihelyezés 45%-</w:t>
      </w:r>
      <w:proofErr w:type="spellStart"/>
      <w:r w:rsidRPr="007B1F1B">
        <w:rPr>
          <w:color w:val="auto"/>
          <w:sz w:val="22"/>
          <w:szCs w:val="22"/>
        </w:rPr>
        <w:t>ának</w:t>
      </w:r>
      <w:proofErr w:type="spellEnd"/>
      <w:r w:rsidRPr="007B1F1B">
        <w:rPr>
          <w:color w:val="auto"/>
          <w:sz w:val="22"/>
          <w:szCs w:val="22"/>
        </w:rPr>
        <w:t xml:space="preserve"> mértékében. </w:t>
      </w:r>
      <w:r>
        <w:rPr>
          <w:color w:val="auto"/>
          <w:sz w:val="22"/>
          <w:szCs w:val="22"/>
        </w:rPr>
        <w:t xml:space="preserve">A 45% a </w:t>
      </w:r>
      <w:proofErr w:type="spellStart"/>
      <w:r>
        <w:rPr>
          <w:color w:val="auto"/>
          <w:sz w:val="22"/>
          <w:szCs w:val="22"/>
        </w:rPr>
        <w:t>CRR</w:t>
      </w:r>
      <w:proofErr w:type="spellEnd"/>
      <w:r>
        <w:rPr>
          <w:color w:val="auto"/>
          <w:sz w:val="22"/>
          <w:szCs w:val="22"/>
        </w:rPr>
        <w:t xml:space="preserve"> 161. cikk fedezetlen jogszabályi </w:t>
      </w:r>
      <w:proofErr w:type="spellStart"/>
      <w:r>
        <w:rPr>
          <w:color w:val="auto"/>
          <w:sz w:val="22"/>
          <w:szCs w:val="22"/>
        </w:rPr>
        <w:t>LGD</w:t>
      </w:r>
      <w:proofErr w:type="spellEnd"/>
      <w:r>
        <w:rPr>
          <w:color w:val="auto"/>
          <w:sz w:val="22"/>
          <w:szCs w:val="22"/>
        </w:rPr>
        <w:t xml:space="preserve">-re vonatkozó rendelkezése alapján került meghatározásra. </w:t>
      </w:r>
    </w:p>
    <w:p w14:paraId="59030350" w14:textId="3A2CDED4" w:rsidR="00DB3BC3" w:rsidRDefault="00DB3BC3" w:rsidP="00D933F4">
      <w:pPr>
        <w:pStyle w:val="Default"/>
        <w:spacing w:after="120"/>
        <w:jc w:val="both"/>
        <w:rPr>
          <w:color w:val="auto"/>
          <w:sz w:val="22"/>
          <w:szCs w:val="22"/>
        </w:rPr>
      </w:pPr>
      <w:r w:rsidRPr="007B1F1B">
        <w:rPr>
          <w:b/>
          <w:bCs/>
          <w:color w:val="auto"/>
          <w:sz w:val="22"/>
          <w:szCs w:val="22"/>
        </w:rPr>
        <w:t>Előírt többlettőke nagysága:</w:t>
      </w:r>
      <w:r w:rsidRPr="007B1F1B">
        <w:rPr>
          <w:color w:val="auto"/>
          <w:sz w:val="22"/>
          <w:szCs w:val="22"/>
        </w:rPr>
        <w:t xml:space="preserve"> </w:t>
      </w:r>
      <w:r w:rsidR="006D54C1">
        <w:rPr>
          <w:color w:val="auto"/>
          <w:sz w:val="22"/>
          <w:szCs w:val="22"/>
        </w:rPr>
        <w:t>A</w:t>
      </w:r>
      <w:r>
        <w:rPr>
          <w:color w:val="auto"/>
          <w:sz w:val="22"/>
          <w:szCs w:val="22"/>
        </w:rPr>
        <w:t>z intézménynek</w:t>
      </w:r>
      <w:r w:rsidRPr="007B1F1B">
        <w:rPr>
          <w:color w:val="auto"/>
          <w:sz w:val="22"/>
          <w:szCs w:val="22"/>
        </w:rPr>
        <w:t xml:space="preserve"> a 2. pilléres tőkekalkuláció során a kockázatos portfóliókon belül a</w:t>
      </w:r>
      <w:r>
        <w:rPr>
          <w:color w:val="auto"/>
          <w:sz w:val="22"/>
          <w:szCs w:val="22"/>
        </w:rPr>
        <w:t xml:space="preserve">z adott negyedév és az azt megelőző 3 negyedév </w:t>
      </w:r>
      <w:r w:rsidRPr="009B2F3E">
        <w:rPr>
          <w:color w:val="auto"/>
          <w:sz w:val="22"/>
          <w:szCs w:val="22"/>
        </w:rPr>
        <w:t>negyedévenként</w:t>
      </w:r>
      <w:r>
        <w:rPr>
          <w:color w:val="auto"/>
          <w:sz w:val="22"/>
          <w:szCs w:val="22"/>
        </w:rPr>
        <w:t xml:space="preserve"> legmagasabb limittúllépései számtani átlagának megfelelő kitettségére </w:t>
      </w:r>
      <w:r w:rsidRPr="007B1F1B">
        <w:rPr>
          <w:color w:val="auto"/>
          <w:sz w:val="22"/>
          <w:szCs w:val="22"/>
        </w:rPr>
        <w:t>többlettőkét kell képeznie a kihelyezés 45%-</w:t>
      </w:r>
      <w:proofErr w:type="spellStart"/>
      <w:r w:rsidRPr="007B1F1B">
        <w:rPr>
          <w:color w:val="auto"/>
          <w:sz w:val="22"/>
          <w:szCs w:val="22"/>
        </w:rPr>
        <w:t>ának</w:t>
      </w:r>
      <w:proofErr w:type="spellEnd"/>
      <w:r w:rsidRPr="007B1F1B">
        <w:rPr>
          <w:color w:val="auto"/>
          <w:sz w:val="22"/>
          <w:szCs w:val="22"/>
        </w:rPr>
        <w:t xml:space="preserve"> mértékében, amely 1250%*45%=562,5%-os kockázati súly alkalmazását jelenti.</w:t>
      </w:r>
      <w:r>
        <w:rPr>
          <w:color w:val="auto"/>
          <w:sz w:val="22"/>
          <w:szCs w:val="22"/>
        </w:rPr>
        <w:t xml:space="preserve"> </w:t>
      </w:r>
    </w:p>
    <w:p w14:paraId="59030351" w14:textId="77777777" w:rsidR="00DB3BC3" w:rsidRPr="00D933F4" w:rsidRDefault="00DB3BC3" w:rsidP="00D933F4">
      <w:pPr>
        <w:pStyle w:val="Default"/>
        <w:spacing w:after="120"/>
        <w:jc w:val="both"/>
        <w:rPr>
          <w:color w:val="auto"/>
          <w:sz w:val="22"/>
          <w:szCs w:val="22"/>
        </w:rPr>
      </w:pPr>
    </w:p>
    <w:sectPr w:rsidR="00DB3BC3" w:rsidRPr="00D933F4" w:rsidSect="00F8511D">
      <w:headerReference w:type="default" r:id="rId8"/>
      <w:footerReference w:type="default" r:id="rId9"/>
      <w:footnotePr>
        <w:pos w:val="beneathText"/>
      </w:footnotePr>
      <w:pgSz w:w="11907" w:h="16840" w:code="9"/>
      <w:pgMar w:top="1276" w:right="1418" w:bottom="1134"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035B" w14:textId="77777777" w:rsidR="00DB3BC3" w:rsidRDefault="00DB3BC3">
      <w:pPr>
        <w:spacing w:after="0" w:line="240" w:lineRule="auto"/>
      </w:pPr>
      <w:r>
        <w:separator/>
      </w:r>
    </w:p>
  </w:endnote>
  <w:endnote w:type="continuationSeparator" w:id="0">
    <w:p w14:paraId="5903035D" w14:textId="77777777" w:rsidR="00DB3BC3" w:rsidRDefault="00DB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swiss"/>
    <w:notTrueType/>
    <w:pitch w:val="default"/>
    <w:sig w:usb0="00000005" w:usb1="00000000" w:usb2="00000000" w:usb3="00000000" w:csb0="00000002"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0356" w14:textId="77777777" w:rsidR="00DB3BC3" w:rsidRDefault="00DB3BC3">
    <w:pPr>
      <w:pStyle w:val="llb"/>
      <w:jc w:val="center"/>
    </w:pPr>
    <w:r>
      <w:fldChar w:fldCharType="begin"/>
    </w:r>
    <w:r>
      <w:instrText xml:space="preserve"> PAGE   \* MERGEFORMAT </w:instrText>
    </w:r>
    <w:r>
      <w:fldChar w:fldCharType="separate"/>
    </w:r>
    <w:r>
      <w:rPr>
        <w:noProof/>
      </w:rPr>
      <w:t>4</w:t>
    </w:r>
    <w:r>
      <w:rPr>
        <w:noProof/>
      </w:rPr>
      <w:fldChar w:fldCharType="end"/>
    </w:r>
  </w:p>
  <w:p w14:paraId="59030357" w14:textId="77777777" w:rsidR="00DB3BC3" w:rsidRPr="00AC6950" w:rsidRDefault="00DB3BC3" w:rsidP="00AC6950">
    <w:pPr>
      <w:tabs>
        <w:tab w:val="left" w:pos="846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0352" w14:textId="77777777" w:rsidR="00DB3BC3" w:rsidRDefault="00DB3BC3">
      <w:r>
        <w:separator/>
      </w:r>
    </w:p>
  </w:footnote>
  <w:footnote w:type="continuationSeparator" w:id="0">
    <w:p w14:paraId="59030353" w14:textId="77777777" w:rsidR="00DB3BC3" w:rsidRDefault="00DB3BC3">
      <w:r>
        <w:continuationSeparator/>
      </w:r>
    </w:p>
  </w:footnote>
  <w:footnote w:type="continuationNotice" w:id="1">
    <w:p w14:paraId="59030354" w14:textId="77777777" w:rsidR="00DB3BC3" w:rsidRDefault="00DB3BC3">
      <w:pPr>
        <w:spacing w:after="0" w:line="240" w:lineRule="auto"/>
      </w:pPr>
    </w:p>
  </w:footnote>
  <w:footnote w:id="2">
    <w:p w14:paraId="59030358" w14:textId="77777777" w:rsidR="00DB3BC3" w:rsidRPr="00547283" w:rsidRDefault="00DB3BC3" w:rsidP="00460C0D">
      <w:pPr>
        <w:pStyle w:val="doc-ti"/>
        <w:spacing w:before="0" w:after="0"/>
        <w:jc w:val="both"/>
        <w:rPr>
          <w:rFonts w:ascii="Calibri" w:hAnsi="Calibri"/>
          <w:b w:val="0"/>
          <w:sz w:val="16"/>
          <w:szCs w:val="16"/>
        </w:rPr>
      </w:pPr>
      <w:r w:rsidRPr="00880ED2">
        <w:rPr>
          <w:rStyle w:val="Lbjegyzet-hivatkozs"/>
          <w:rFonts w:ascii="Calibri" w:hAnsi="Calibri"/>
          <w:b w:val="0"/>
          <w:sz w:val="16"/>
          <w:szCs w:val="16"/>
        </w:rPr>
        <w:footnoteRef/>
      </w:r>
      <w:r w:rsidRPr="00880ED2">
        <w:rPr>
          <w:rFonts w:ascii="Calibri" w:hAnsi="Calibri"/>
          <w:b w:val="0"/>
          <w:sz w:val="16"/>
          <w:szCs w:val="16"/>
          <w:vertAlign w:val="superscript"/>
        </w:rPr>
        <w:t xml:space="preserve"> </w:t>
      </w:r>
      <w:r w:rsidRPr="00880ED2">
        <w:rPr>
          <w:rFonts w:ascii="Calibri" w:hAnsi="Calibri"/>
          <w:b w:val="0"/>
          <w:color w:val="000000"/>
          <w:sz w:val="16"/>
          <w:szCs w:val="16"/>
        </w:rPr>
        <w:t>az Európai Parlament és a Tanács</w:t>
      </w:r>
      <w:r>
        <w:rPr>
          <w:rFonts w:ascii="Calibri" w:hAnsi="Calibri"/>
          <w:b w:val="0"/>
          <w:color w:val="000000"/>
          <w:sz w:val="16"/>
          <w:szCs w:val="16"/>
        </w:rPr>
        <w:t xml:space="preserve"> (EU) 2019/878 irányelve a</w:t>
      </w:r>
      <w:r w:rsidRPr="00880ED2">
        <w:rPr>
          <w:rFonts w:ascii="Calibri" w:hAnsi="Calibri"/>
          <w:b w:val="0"/>
          <w:color w:val="000000"/>
          <w:sz w:val="16"/>
          <w:szCs w:val="16"/>
        </w:rPr>
        <w:t xml:space="preserve"> 2013/36/EU irányelv</w:t>
      </w:r>
      <w:r>
        <w:rPr>
          <w:rFonts w:ascii="Calibri" w:hAnsi="Calibri"/>
          <w:b w:val="0"/>
          <w:color w:val="000000"/>
          <w:sz w:val="16"/>
          <w:szCs w:val="16"/>
        </w:rPr>
        <w:t>nek a mentesített szervezetek, a pénzügyi holding társaságok, a vegyes pénzügyi holding társaságok, a javadalmazás, a felügyeleti intézkedések és hatáskörök, valamint a tőkefenntartási intézkedések tekintetében történő módosításáról</w:t>
      </w:r>
    </w:p>
  </w:footnote>
  <w:footnote w:id="3">
    <w:p w14:paraId="59030359" w14:textId="77777777" w:rsidR="00DB3BC3" w:rsidRPr="00C42361" w:rsidRDefault="00DB3BC3" w:rsidP="00460C0D">
      <w:pPr>
        <w:pStyle w:val="Lbjegyzetszveg"/>
        <w:spacing w:after="0" w:line="240" w:lineRule="auto"/>
        <w:rPr>
          <w:color w:val="auto"/>
          <w:szCs w:val="16"/>
        </w:rPr>
      </w:pPr>
      <w:r w:rsidRPr="00C42361">
        <w:rPr>
          <w:rStyle w:val="Lbjegyzet-hivatkozs"/>
          <w:color w:val="auto"/>
          <w:szCs w:val="16"/>
        </w:rPr>
        <w:footnoteRef/>
      </w:r>
      <w:r w:rsidRPr="00C42361">
        <w:rPr>
          <w:rFonts w:ascii="Times New Roman" w:hAnsi="Times New Roman"/>
          <w:color w:val="auto"/>
          <w:szCs w:val="16"/>
        </w:rPr>
        <w:t xml:space="preserve"> </w:t>
      </w:r>
      <w:r>
        <w:rPr>
          <w:color w:val="auto"/>
          <w:szCs w:val="16"/>
        </w:rPr>
        <w:t>97</w:t>
      </w:r>
      <w:r w:rsidRPr="00C42361">
        <w:rPr>
          <w:color w:val="auto"/>
          <w:szCs w:val="16"/>
        </w:rPr>
        <w:t xml:space="preserve">. cikk: Felügyeleti </w:t>
      </w:r>
      <w:r>
        <w:rPr>
          <w:color w:val="auto"/>
          <w:szCs w:val="16"/>
        </w:rPr>
        <w:t>felülvizsgálat és értékelés</w:t>
      </w:r>
    </w:p>
    <w:p w14:paraId="5903035A" w14:textId="77777777" w:rsidR="00DB3BC3" w:rsidRPr="00C42361" w:rsidRDefault="00DB3BC3" w:rsidP="00460C0D">
      <w:pPr>
        <w:pStyle w:val="Lbjegyzetszveg"/>
        <w:spacing w:after="0" w:line="240" w:lineRule="auto"/>
        <w:rPr>
          <w:rFonts w:ascii="Times New Roman" w:hAnsi="Times New Roman"/>
          <w:color w:val="auto"/>
          <w:szCs w:val="16"/>
        </w:rPr>
      </w:pPr>
      <w:r w:rsidRPr="00C51C3A">
        <w:rPr>
          <w:color w:val="auto"/>
          <w:szCs w:val="16"/>
        </w:rPr>
        <w:t>(4</w:t>
      </w:r>
      <w:proofErr w:type="gramStart"/>
      <w:r w:rsidRPr="00C51C3A">
        <w:rPr>
          <w:color w:val="auto"/>
          <w:szCs w:val="16"/>
        </w:rPr>
        <w:t>a) </w:t>
      </w:r>
      <w:r>
        <w:rPr>
          <w:color w:val="auto"/>
          <w:szCs w:val="16"/>
        </w:rPr>
        <w:t xml:space="preserve"> </w:t>
      </w:r>
      <w:r w:rsidRPr="00C51C3A">
        <w:rPr>
          <w:color w:val="auto"/>
          <w:szCs w:val="16"/>
        </w:rPr>
        <w:t>Az</w:t>
      </w:r>
      <w:proofErr w:type="gramEnd"/>
      <w:r w:rsidRPr="00C51C3A">
        <w:rPr>
          <w:color w:val="auto"/>
          <w:szCs w:val="16"/>
        </w:rPr>
        <w:t xml:space="preserve"> illetékes hatóságok egységesíthetik az e cikk (1) bekezdésében említett felülvizsgálat és értékelés alkalmazására vonatkozó módszertanokat, hogy figyelembe vegyék a - például az üzleti modellek hasonlósága vagy a kitettségek hasonló földrajzi helye alapján - hasonló kockázati profillal rendelkező intézményeket. Ezek az egységesített módszertanok kockázatorientált referenciaértékeket és számszerű mutatókat is tartalmazhatnak, és lehetővé kell tenniük azon egyedi kockázatok megfelelő mérlegelését, amelyeknek az egyes intézmények ki lehetnek téve, továbbá nem érinthetik a 104. cikkel összhangban előírt intézkedések intézményspecifikus jellegét. </w:t>
      </w:r>
    </w:p>
  </w:footnote>
  <w:footnote w:id="4">
    <w:p w14:paraId="5903035B" w14:textId="77777777" w:rsidR="00DB3BC3" w:rsidRPr="00C42361" w:rsidRDefault="00DB3BC3" w:rsidP="00460C0D">
      <w:pPr>
        <w:pStyle w:val="Lbjegyzetszveg"/>
        <w:spacing w:after="0" w:line="240" w:lineRule="auto"/>
        <w:rPr>
          <w:color w:val="auto"/>
          <w:szCs w:val="16"/>
        </w:rPr>
      </w:pPr>
      <w:r w:rsidRPr="00C42361">
        <w:rPr>
          <w:rStyle w:val="Lbjegyzet-hivatkozs"/>
          <w:color w:val="auto"/>
          <w:szCs w:val="16"/>
        </w:rPr>
        <w:footnoteRef/>
      </w:r>
      <w:r w:rsidRPr="00C42361">
        <w:rPr>
          <w:color w:val="auto"/>
          <w:szCs w:val="16"/>
        </w:rPr>
        <w:t xml:space="preserve"> Az EU Bizottsága 97/209/6. számú magyarázata szerint a közérdek védelmének tekintendő: „Az ügyfelek, a munkavállalók, a társadalombiztosítás, a fogyasztók, a hazai pénzügyi szektor megítélésének, a társadalmi rend, a szellemi tulajdon, a kultúrpolitika, a nemzeti történelmi és művészeti örökség, az adórendszer egységességének, a közúti forgalom biztonságának, a hitelezők, az igazságszolgáltatás védelme, a csalások megelőzése.” </w:t>
      </w:r>
    </w:p>
  </w:footnote>
  <w:footnote w:id="5">
    <w:p w14:paraId="5903035C" w14:textId="77777777" w:rsidR="00DB3BC3" w:rsidRDefault="00DB3BC3" w:rsidP="00BB732C">
      <w:pPr>
        <w:pStyle w:val="Lbjegyzetszveg"/>
      </w:pPr>
      <w:r>
        <w:rPr>
          <w:rStyle w:val="Lbjegyzet-hivatkozs"/>
        </w:rPr>
        <w:footnoteRef/>
      </w:r>
      <w:r>
        <w:t xml:space="preserve"> 44/2019. (III. 12.) Korm. rendelet a babaváró támogatásról</w:t>
      </w:r>
    </w:p>
  </w:footnote>
  <w:footnote w:id="6">
    <w:p w14:paraId="5903035D" w14:textId="77777777" w:rsidR="00DB3BC3" w:rsidRPr="000362E4" w:rsidRDefault="00DB3BC3" w:rsidP="000362E4">
      <w:pPr>
        <w:pStyle w:val="Lbjegyzetszveg"/>
        <w:spacing w:after="0"/>
        <w:rPr>
          <w:color w:val="000000" w:themeColor="text1"/>
        </w:rPr>
      </w:pPr>
      <w:r w:rsidRPr="000362E4">
        <w:rPr>
          <w:rStyle w:val="Lbjegyzet-hivatkozs"/>
          <w:color w:val="000000" w:themeColor="text1"/>
        </w:rPr>
        <w:footnoteRef/>
      </w:r>
      <w:r w:rsidRPr="000362E4">
        <w:rPr>
          <w:color w:val="000000" w:themeColor="text1"/>
        </w:rPr>
        <w:t xml:space="preserve"> a folyósításkor vagy a szerződés módosításakor vizsgálandó az arány, a normál amortizáció nem figyelembeveendő</w:t>
      </w:r>
    </w:p>
  </w:footnote>
  <w:footnote w:id="7">
    <w:p w14:paraId="5903035E" w14:textId="77777777" w:rsidR="00DB3BC3" w:rsidRDefault="00DB3BC3">
      <w:pPr>
        <w:pStyle w:val="Lbjegyzetszveg"/>
      </w:pPr>
      <w:r>
        <w:rPr>
          <w:rStyle w:val="Lbjegyzet-hivatkozs"/>
        </w:rPr>
        <w:footnoteRef/>
      </w:r>
      <w:r>
        <w:t xml:space="preserve"> </w:t>
      </w:r>
      <w:r w:rsidRPr="0004031E">
        <w:t>https://njt.hu/jogszabaly/2022-51-20-2C.0#SZ3@BE2</w:t>
      </w:r>
    </w:p>
  </w:footnote>
  <w:footnote w:id="8">
    <w:p w14:paraId="5903035F" w14:textId="77777777" w:rsidR="00DB3BC3" w:rsidRDefault="00DB3BC3" w:rsidP="005D705C">
      <w:pPr>
        <w:pStyle w:val="Lbjegyzetszveg"/>
      </w:pPr>
      <w:r>
        <w:rPr>
          <w:rStyle w:val="Lbjegyzet-hivatkozs"/>
        </w:rPr>
        <w:footnoteRef/>
      </w:r>
      <w:r>
        <w:t xml:space="preserve"> </w:t>
      </w:r>
      <w:r w:rsidRPr="00F16105">
        <w:t>https://www.mnb.hu/letoltes/file.pdf</w:t>
      </w:r>
    </w:p>
  </w:footnote>
  <w:footnote w:id="9">
    <w:p w14:paraId="59030360" w14:textId="77777777" w:rsidR="00DB3BC3" w:rsidRDefault="00DB3BC3" w:rsidP="000362E4">
      <w:pPr>
        <w:pStyle w:val="Lbjegyzetszveg"/>
        <w:spacing w:after="0"/>
      </w:pPr>
      <w:r w:rsidRPr="000362E4">
        <w:rPr>
          <w:rStyle w:val="Lbjegyzet-hivatkozs"/>
          <w:color w:val="000000" w:themeColor="text1"/>
        </w:rPr>
        <w:footnoteRef/>
      </w:r>
      <w:r w:rsidRPr="000362E4">
        <w:rPr>
          <w:color w:val="000000" w:themeColor="text1"/>
        </w:rPr>
        <w:t xml:space="preserve"> az MNB 1/2021. (I.27.) számú ajánlásában leírtaknak megfelelően a lakóingatlanfejlesztési célú projekthitelnek az olyan ingatlanfinanszírozási projekthitel tekintendő, amelynél a térülés részben vagy egészben a kivitelezett lakás céljára létesített, az ingatlan-nyilvántartásban lakás megnevezéssel nyilvántartott ingatlanok értékesítéséből várható.</w:t>
      </w:r>
    </w:p>
  </w:footnote>
  <w:footnote w:id="10">
    <w:p w14:paraId="59030362" w14:textId="77777777" w:rsidR="00DB3BC3" w:rsidRPr="00F02B14" w:rsidRDefault="00DB3BC3" w:rsidP="00E258F2">
      <w:pPr>
        <w:pStyle w:val="Lbjegyzetszveg"/>
        <w:spacing w:after="0" w:line="240" w:lineRule="auto"/>
        <w:rPr>
          <w:color w:val="000000"/>
          <w:szCs w:val="16"/>
        </w:rPr>
      </w:pPr>
      <w:r w:rsidRPr="00F02B14">
        <w:rPr>
          <w:rStyle w:val="Lbjegyzet-hivatkozs"/>
          <w:color w:val="000000"/>
        </w:rPr>
        <w:footnoteRef/>
      </w:r>
      <w:r w:rsidRPr="00F02B14">
        <w:rPr>
          <w:color w:val="000000"/>
        </w:rPr>
        <w:t xml:space="preserve"> </w:t>
      </w:r>
      <w:hyperlink r:id="rId1" w:history="1">
        <w:r w:rsidRPr="00F02B14">
          <w:rPr>
            <w:rStyle w:val="Hiperhivatkozs"/>
            <w:color w:val="000000"/>
            <w:u w:val="none"/>
          </w:rPr>
          <w:t>Az Európai Rendszerkockázati Testület ajánlása (2011. szeptember 21.) a devizahitelezésről (ERKT/2011/1)</w:t>
        </w:r>
      </w:hyperlink>
      <w:r w:rsidRPr="00F02B14">
        <w:rPr>
          <w:color w:val="000000"/>
        </w:rPr>
        <w:t xml:space="preserve">, illetve  </w:t>
      </w:r>
      <w:hyperlink r:id="rId2" w:history="1">
        <w:r w:rsidRPr="00F02B14">
          <w:rPr>
            <w:rStyle w:val="Hiperhivatkozs"/>
            <w:color w:val="000000"/>
            <w:u w:val="none"/>
          </w:rPr>
          <w:t>http://www.eba.europa.eu/documents/10180/655339/EBA_2014_00040000_HU.pdf/16205104-550a-4183-9155-c803a86bbce9</w:t>
        </w:r>
      </w:hyperlink>
      <w:r w:rsidRPr="00F02B14">
        <w:rPr>
          <w:color w:val="000000"/>
        </w:rPr>
        <w:t xml:space="preserve">. </w:t>
      </w:r>
    </w:p>
  </w:footnote>
  <w:footnote w:id="11">
    <w:p w14:paraId="59030363" w14:textId="77777777" w:rsidR="00DB3BC3" w:rsidRDefault="00DB3BC3" w:rsidP="008B2C00">
      <w:pPr>
        <w:autoSpaceDE w:val="0"/>
        <w:autoSpaceDN w:val="0"/>
        <w:adjustRightInd w:val="0"/>
        <w:spacing w:after="0" w:line="240" w:lineRule="auto"/>
      </w:pPr>
      <w:r w:rsidRPr="003C2D42">
        <w:rPr>
          <w:rStyle w:val="Lbjegyzet-hivatkozs"/>
          <w:rFonts w:eastAsia="Times New Roman"/>
          <w:color w:val="1F497D"/>
          <w:sz w:val="16"/>
        </w:rPr>
        <w:footnoteRef/>
      </w:r>
      <w:r w:rsidRPr="00E258F2">
        <w:rPr>
          <w:rFonts w:cs="ArialMT"/>
          <w:sz w:val="16"/>
          <w:szCs w:val="16"/>
        </w:rPr>
        <w:t>„</w:t>
      </w:r>
      <w:r>
        <w:rPr>
          <w:rFonts w:cs="ArialMT"/>
          <w:sz w:val="16"/>
          <w:szCs w:val="16"/>
        </w:rPr>
        <w:t>F</w:t>
      </w:r>
      <w:r w:rsidRPr="00E258F2">
        <w:rPr>
          <w:rFonts w:cs="ArialMT"/>
          <w:sz w:val="16"/>
          <w:szCs w:val="16"/>
        </w:rPr>
        <w:t>edezettel nem rendelkező kölcsönfelvevő”: a hitel és a fedezet devizaneme közötti</w:t>
      </w:r>
      <w:r>
        <w:rPr>
          <w:rFonts w:cs="ArialMT"/>
          <w:sz w:val="16"/>
          <w:szCs w:val="16"/>
        </w:rPr>
        <w:t xml:space="preserve"> </w:t>
      </w:r>
      <w:r w:rsidRPr="00E258F2">
        <w:rPr>
          <w:rFonts w:cs="ArialMT"/>
          <w:sz w:val="16"/>
          <w:szCs w:val="16"/>
        </w:rPr>
        <w:t>eltérésnek kitett, természetes vagy pénzügyi fedezettel nem rendelkező kölcsönfelvevő; a természetes fedezetek körébe tartoznak különösen azok az esetek, melyekben a</w:t>
      </w:r>
      <w:r>
        <w:rPr>
          <w:rFonts w:cs="ArialMT"/>
          <w:sz w:val="16"/>
          <w:szCs w:val="16"/>
        </w:rPr>
        <w:t xml:space="preserve"> </w:t>
      </w:r>
      <w:r w:rsidRPr="00E258F2">
        <w:rPr>
          <w:rFonts w:cs="ArialMT"/>
          <w:sz w:val="16"/>
          <w:szCs w:val="16"/>
        </w:rPr>
        <w:t>kölcsönfelvevő devizajövedelemmel (pl. átutalások/exportbevételek) rendelkezik, a pénzügyi</w:t>
      </w:r>
      <w:r>
        <w:rPr>
          <w:rFonts w:cs="ArialMT"/>
          <w:sz w:val="16"/>
          <w:szCs w:val="16"/>
        </w:rPr>
        <w:t xml:space="preserve"> </w:t>
      </w:r>
      <w:r w:rsidRPr="00E258F2">
        <w:rPr>
          <w:rFonts w:cs="ArialMT"/>
          <w:sz w:val="16"/>
          <w:szCs w:val="16"/>
        </w:rPr>
        <w:t>fedezet pedig rendszerint pénzügyi intézménnyel fennálló szerződést feltételez;</w:t>
      </w:r>
    </w:p>
  </w:footnote>
  <w:footnote w:id="12">
    <w:p w14:paraId="59030364" w14:textId="77777777" w:rsidR="00DB3BC3" w:rsidRPr="008D3DDB" w:rsidRDefault="00DB3BC3" w:rsidP="00AA5B31">
      <w:pPr>
        <w:pStyle w:val="Lbjegyzetszveg"/>
        <w:spacing w:after="0" w:line="240" w:lineRule="auto"/>
        <w:rPr>
          <w:color w:val="auto"/>
        </w:rPr>
      </w:pPr>
      <w:r w:rsidRPr="008D3DDB">
        <w:rPr>
          <w:rStyle w:val="Lbjegyzet-hivatkozs"/>
          <w:color w:val="auto"/>
        </w:rPr>
        <w:footnoteRef/>
      </w:r>
      <w:r w:rsidRPr="008D3DDB">
        <w:rPr>
          <w:color w:val="auto"/>
        </w:rPr>
        <w:t xml:space="preserve"> Az MNB átstrukturálás alatt </w:t>
      </w:r>
      <w:r w:rsidRPr="003C2D42">
        <w:rPr>
          <w:color w:val="auto"/>
        </w:rPr>
        <w:t>2016.12.31-ig a hitelintézetek és a pénzügyi vállalkozások éves beszámoló készítési és könyvvezetési kötelezettségének sajátosságairól szóló 250/2000. (XII. 24.) Korm. rendelet</w:t>
      </w:r>
      <w:r>
        <w:rPr>
          <w:color w:val="auto"/>
        </w:rPr>
        <w:t xml:space="preserve"> szerinti meghatározást, míg 2017.01.01-től </w:t>
      </w:r>
      <w:r w:rsidRPr="008D3DDB">
        <w:rPr>
          <w:color w:val="auto"/>
        </w:rPr>
        <w:t xml:space="preserve">a </w:t>
      </w:r>
      <w:r>
        <w:rPr>
          <w:color w:val="auto"/>
        </w:rPr>
        <w:t xml:space="preserve">nemteljesítő kitettségre és az átstrukturált követelésre vonatkozó </w:t>
      </w:r>
      <w:proofErr w:type="spellStart"/>
      <w:r>
        <w:rPr>
          <w:color w:val="auto"/>
        </w:rPr>
        <w:t>prudenciális</w:t>
      </w:r>
      <w:proofErr w:type="spellEnd"/>
      <w:r>
        <w:rPr>
          <w:color w:val="auto"/>
        </w:rPr>
        <w:t xml:space="preserve"> követelményekről szóló 39/2016. (X.11.) számú MNB rendeletben</w:t>
      </w:r>
      <w:r w:rsidRPr="008D3DDB">
        <w:rPr>
          <w:color w:val="auto"/>
        </w:rPr>
        <w:t xml:space="preserve"> szereplő meghatározást érti.</w:t>
      </w:r>
    </w:p>
  </w:footnote>
  <w:footnote w:id="13">
    <w:p w14:paraId="59030365" w14:textId="77777777" w:rsidR="00DB3BC3" w:rsidRDefault="00DB3BC3" w:rsidP="00921501">
      <w:pPr>
        <w:pStyle w:val="Lbjegyzetszveg"/>
        <w:spacing w:after="0"/>
      </w:pPr>
      <w:r>
        <w:rPr>
          <w:rStyle w:val="Lbjegyzet-hivatkozs"/>
        </w:rPr>
        <w:footnoteRef/>
      </w:r>
      <w:r>
        <w:t xml:space="preserve"> </w:t>
      </w:r>
      <w:r w:rsidRPr="003C2D42">
        <w:rPr>
          <w:color w:val="auto"/>
        </w:rPr>
        <w:t>2016.12.31-ig a hitelintézetek és a pénzügyi vállalkozások éves beszámoló készítési és könyvvezetési kötelezettségének sajátosságairól szóló 250/2000. (XII. 24.) Korm. rendelet, míg 2017.01.01-től</w:t>
      </w:r>
      <w:r>
        <w:rPr>
          <w:color w:val="auto"/>
        </w:rPr>
        <w:t xml:space="preserve"> a</w:t>
      </w:r>
      <w:r w:rsidRPr="00680903">
        <w:rPr>
          <w:color w:val="auto"/>
        </w:rPr>
        <w:t xml:space="preserve"> nem teljesítő kitettségre és az átstrukturált követelésre vonatkozó </w:t>
      </w:r>
      <w:proofErr w:type="spellStart"/>
      <w:r w:rsidRPr="00680903">
        <w:rPr>
          <w:color w:val="auto"/>
        </w:rPr>
        <w:t>prudenciális</w:t>
      </w:r>
      <w:proofErr w:type="spellEnd"/>
      <w:r w:rsidRPr="00680903">
        <w:rPr>
          <w:color w:val="auto"/>
        </w:rPr>
        <w:t xml:space="preserve"> követelményekről szóló 39/2016. (X.11.) MNB rendelet</w:t>
      </w:r>
      <w:r>
        <w:t xml:space="preserve"> </w:t>
      </w:r>
    </w:p>
  </w:footnote>
  <w:footnote w:id="14">
    <w:p w14:paraId="59030366" w14:textId="77777777" w:rsidR="00DB3BC3" w:rsidRDefault="00DB3BC3" w:rsidP="00DF5E0E">
      <w:pPr>
        <w:pStyle w:val="Lbjegyzetszveg"/>
        <w:spacing w:after="0"/>
      </w:pPr>
      <w:r w:rsidRPr="00DF5E0E">
        <w:rPr>
          <w:color w:val="auto"/>
        </w:rPr>
        <w:footnoteRef/>
      </w:r>
      <w:r w:rsidRPr="00DF5E0E">
        <w:rPr>
          <w:color w:val="auto"/>
        </w:rPr>
        <w:t xml:space="preserve"> https://www.mnb.hu/letoltes/moratorium2-gyik-0423-final.pdf</w:t>
      </w:r>
    </w:p>
  </w:footnote>
  <w:footnote w:id="15">
    <w:p w14:paraId="59030367" w14:textId="77777777" w:rsidR="00DB3BC3" w:rsidRPr="006D729F" w:rsidRDefault="00DB3BC3" w:rsidP="00921501">
      <w:pPr>
        <w:pStyle w:val="Lbjegyzetszveg"/>
        <w:spacing w:after="0"/>
        <w:rPr>
          <w:color w:val="000000"/>
        </w:rPr>
      </w:pPr>
      <w:r w:rsidRPr="006D729F">
        <w:rPr>
          <w:rStyle w:val="Lbjegyzet-hivatkozs"/>
          <w:color w:val="000000"/>
        </w:rPr>
        <w:footnoteRef/>
      </w:r>
      <w:r w:rsidRPr="006D729F">
        <w:rPr>
          <w:color w:val="000000"/>
        </w:rPr>
        <w:t xml:space="preserve"> a jövedelemarányos törlesztőrészlet és a hitelfedezeti arányok szabályozásáról szóló 32/2014. (IX. 10.) MNB rendelet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0355" w14:textId="77777777" w:rsidR="00DB3BC3" w:rsidRPr="00AC6950" w:rsidRDefault="00DB3BC3"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9EBFA"/>
    <w:multiLevelType w:val="hybridMultilevel"/>
    <w:tmpl w:val="FFFFFFFF"/>
    <w:lvl w:ilvl="0" w:tplc="D0AE5DBE">
      <w:start w:val="1"/>
      <w:numFmt w:val="bullet"/>
      <w:lvlText w:val="•"/>
      <w:lvlJc w:val="left"/>
    </w:lvl>
    <w:lvl w:ilvl="1" w:tplc="DAB4D84A">
      <w:numFmt w:val="decimal"/>
      <w:lvlText w:val=""/>
      <w:lvlJc w:val="left"/>
    </w:lvl>
    <w:lvl w:ilvl="2" w:tplc="34B8EF48">
      <w:numFmt w:val="decimal"/>
      <w:lvlText w:val=""/>
      <w:lvlJc w:val="left"/>
    </w:lvl>
    <w:lvl w:ilvl="3" w:tplc="54965D0C">
      <w:numFmt w:val="decimal"/>
      <w:lvlText w:val=""/>
      <w:lvlJc w:val="left"/>
    </w:lvl>
    <w:lvl w:ilvl="4" w:tplc="EE142870">
      <w:numFmt w:val="decimal"/>
      <w:lvlText w:val=""/>
      <w:lvlJc w:val="left"/>
    </w:lvl>
    <w:lvl w:ilvl="5" w:tplc="B024D5E2">
      <w:numFmt w:val="decimal"/>
      <w:lvlText w:val=""/>
      <w:lvlJc w:val="left"/>
    </w:lvl>
    <w:lvl w:ilvl="6" w:tplc="E77032BC">
      <w:numFmt w:val="decimal"/>
      <w:lvlText w:val=""/>
      <w:lvlJc w:val="left"/>
    </w:lvl>
    <w:lvl w:ilvl="7" w:tplc="B058D76C">
      <w:numFmt w:val="decimal"/>
      <w:lvlText w:val=""/>
      <w:lvlJc w:val="left"/>
    </w:lvl>
    <w:lvl w:ilvl="8" w:tplc="EB9EB71A">
      <w:numFmt w:val="decimal"/>
      <w:lvlText w:val=""/>
      <w:lvlJc w:val="left"/>
    </w:lvl>
  </w:abstractNum>
  <w:abstractNum w:abstractNumId="1" w15:restartNumberingAfterBreak="0">
    <w:nsid w:val="088A478D"/>
    <w:multiLevelType w:val="hybridMultilevel"/>
    <w:tmpl w:val="4E80F422"/>
    <w:lvl w:ilvl="0" w:tplc="A4FE2A56">
      <w:start w:val="1"/>
      <w:numFmt w:val="decimal"/>
      <w:lvlText w:val="%1."/>
      <w:lvlJc w:val="left"/>
      <w:pPr>
        <w:ind w:left="720" w:hanging="360"/>
      </w:pPr>
    </w:lvl>
    <w:lvl w:ilvl="1" w:tplc="8FE48364" w:tentative="1">
      <w:start w:val="1"/>
      <w:numFmt w:val="lowerLetter"/>
      <w:lvlText w:val="%2."/>
      <w:lvlJc w:val="left"/>
      <w:pPr>
        <w:ind w:left="1440" w:hanging="360"/>
      </w:pPr>
    </w:lvl>
    <w:lvl w:ilvl="2" w:tplc="0C9C0096" w:tentative="1">
      <w:start w:val="1"/>
      <w:numFmt w:val="lowerRoman"/>
      <w:lvlText w:val="%3."/>
      <w:lvlJc w:val="right"/>
      <w:pPr>
        <w:ind w:left="2160" w:hanging="180"/>
      </w:pPr>
    </w:lvl>
    <w:lvl w:ilvl="3" w:tplc="DE1C7068" w:tentative="1">
      <w:start w:val="1"/>
      <w:numFmt w:val="decimal"/>
      <w:lvlText w:val="%4."/>
      <w:lvlJc w:val="left"/>
      <w:pPr>
        <w:ind w:left="2880" w:hanging="360"/>
      </w:pPr>
    </w:lvl>
    <w:lvl w:ilvl="4" w:tplc="AC54B05C" w:tentative="1">
      <w:start w:val="1"/>
      <w:numFmt w:val="lowerLetter"/>
      <w:lvlText w:val="%5."/>
      <w:lvlJc w:val="left"/>
      <w:pPr>
        <w:ind w:left="3600" w:hanging="360"/>
      </w:pPr>
    </w:lvl>
    <w:lvl w:ilvl="5" w:tplc="333272C8" w:tentative="1">
      <w:start w:val="1"/>
      <w:numFmt w:val="lowerRoman"/>
      <w:lvlText w:val="%6."/>
      <w:lvlJc w:val="right"/>
      <w:pPr>
        <w:ind w:left="4320" w:hanging="180"/>
      </w:pPr>
    </w:lvl>
    <w:lvl w:ilvl="6" w:tplc="E8BAE528" w:tentative="1">
      <w:start w:val="1"/>
      <w:numFmt w:val="decimal"/>
      <w:lvlText w:val="%7."/>
      <w:lvlJc w:val="left"/>
      <w:pPr>
        <w:ind w:left="5040" w:hanging="360"/>
      </w:pPr>
    </w:lvl>
    <w:lvl w:ilvl="7" w:tplc="C7988786" w:tentative="1">
      <w:start w:val="1"/>
      <w:numFmt w:val="lowerLetter"/>
      <w:lvlText w:val="%8."/>
      <w:lvlJc w:val="left"/>
      <w:pPr>
        <w:ind w:left="5760" w:hanging="360"/>
      </w:pPr>
    </w:lvl>
    <w:lvl w:ilvl="8" w:tplc="C3F290E0" w:tentative="1">
      <w:start w:val="1"/>
      <w:numFmt w:val="lowerRoman"/>
      <w:lvlText w:val="%9."/>
      <w:lvlJc w:val="right"/>
      <w:pPr>
        <w:ind w:left="6480" w:hanging="180"/>
      </w:pPr>
    </w:lvl>
  </w:abstractNum>
  <w:abstractNum w:abstractNumId="2"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12F7906"/>
    <w:multiLevelType w:val="hybridMultilevel"/>
    <w:tmpl w:val="47CA85E8"/>
    <w:lvl w:ilvl="0" w:tplc="28742EB8">
      <w:start w:val="1"/>
      <w:numFmt w:val="lowerLetter"/>
      <w:lvlText w:val="%1)"/>
      <w:lvlJc w:val="left"/>
      <w:pPr>
        <w:ind w:left="720" w:hanging="360"/>
      </w:pPr>
    </w:lvl>
    <w:lvl w:ilvl="1" w:tplc="D002876E" w:tentative="1">
      <w:start w:val="1"/>
      <w:numFmt w:val="lowerLetter"/>
      <w:lvlText w:val="%2."/>
      <w:lvlJc w:val="left"/>
      <w:pPr>
        <w:ind w:left="1440" w:hanging="360"/>
      </w:pPr>
    </w:lvl>
    <w:lvl w:ilvl="2" w:tplc="F1CA8AA2" w:tentative="1">
      <w:start w:val="1"/>
      <w:numFmt w:val="lowerRoman"/>
      <w:lvlText w:val="%3."/>
      <w:lvlJc w:val="right"/>
      <w:pPr>
        <w:ind w:left="2160" w:hanging="180"/>
      </w:pPr>
    </w:lvl>
    <w:lvl w:ilvl="3" w:tplc="040A4ECC" w:tentative="1">
      <w:start w:val="1"/>
      <w:numFmt w:val="decimal"/>
      <w:lvlText w:val="%4."/>
      <w:lvlJc w:val="left"/>
      <w:pPr>
        <w:ind w:left="2880" w:hanging="360"/>
      </w:pPr>
    </w:lvl>
    <w:lvl w:ilvl="4" w:tplc="74904870" w:tentative="1">
      <w:start w:val="1"/>
      <w:numFmt w:val="lowerLetter"/>
      <w:lvlText w:val="%5."/>
      <w:lvlJc w:val="left"/>
      <w:pPr>
        <w:ind w:left="3600" w:hanging="360"/>
      </w:pPr>
    </w:lvl>
    <w:lvl w:ilvl="5" w:tplc="739A703C" w:tentative="1">
      <w:start w:val="1"/>
      <w:numFmt w:val="lowerRoman"/>
      <w:lvlText w:val="%6."/>
      <w:lvlJc w:val="right"/>
      <w:pPr>
        <w:ind w:left="4320" w:hanging="180"/>
      </w:pPr>
    </w:lvl>
    <w:lvl w:ilvl="6" w:tplc="3918CA58" w:tentative="1">
      <w:start w:val="1"/>
      <w:numFmt w:val="decimal"/>
      <w:lvlText w:val="%7."/>
      <w:lvlJc w:val="left"/>
      <w:pPr>
        <w:ind w:left="5040" w:hanging="360"/>
      </w:pPr>
    </w:lvl>
    <w:lvl w:ilvl="7" w:tplc="3530FCCC" w:tentative="1">
      <w:start w:val="1"/>
      <w:numFmt w:val="lowerLetter"/>
      <w:lvlText w:val="%8."/>
      <w:lvlJc w:val="left"/>
      <w:pPr>
        <w:ind w:left="5760" w:hanging="360"/>
      </w:pPr>
    </w:lvl>
    <w:lvl w:ilvl="8" w:tplc="E356192E" w:tentative="1">
      <w:start w:val="1"/>
      <w:numFmt w:val="lowerRoman"/>
      <w:lvlText w:val="%9."/>
      <w:lvlJc w:val="right"/>
      <w:pPr>
        <w:ind w:left="6480" w:hanging="180"/>
      </w:pPr>
    </w:lvl>
  </w:abstractNum>
  <w:abstractNum w:abstractNumId="5"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C342C8D"/>
    <w:multiLevelType w:val="hybridMultilevel"/>
    <w:tmpl w:val="96F605F8"/>
    <w:lvl w:ilvl="0" w:tplc="65B2EA66">
      <w:start w:val="1"/>
      <w:numFmt w:val="lowerLetter"/>
      <w:lvlText w:val="%1)"/>
      <w:lvlJc w:val="left"/>
      <w:pPr>
        <w:ind w:left="720" w:hanging="360"/>
      </w:pPr>
      <w:rPr>
        <w:rFonts w:hint="default"/>
      </w:rPr>
    </w:lvl>
    <w:lvl w:ilvl="1" w:tplc="E9447220" w:tentative="1">
      <w:start w:val="1"/>
      <w:numFmt w:val="bullet"/>
      <w:lvlText w:val="o"/>
      <w:lvlJc w:val="left"/>
      <w:pPr>
        <w:ind w:left="1440" w:hanging="360"/>
      </w:pPr>
      <w:rPr>
        <w:rFonts w:ascii="Courier New" w:hAnsi="Courier New" w:cs="Courier New" w:hint="default"/>
      </w:rPr>
    </w:lvl>
    <w:lvl w:ilvl="2" w:tplc="8E140358" w:tentative="1">
      <w:start w:val="1"/>
      <w:numFmt w:val="bullet"/>
      <w:lvlText w:val=""/>
      <w:lvlJc w:val="left"/>
      <w:pPr>
        <w:ind w:left="2160" w:hanging="360"/>
      </w:pPr>
      <w:rPr>
        <w:rFonts w:ascii="Wingdings" w:hAnsi="Wingdings" w:hint="default"/>
      </w:rPr>
    </w:lvl>
    <w:lvl w:ilvl="3" w:tplc="C246ADFE" w:tentative="1">
      <w:start w:val="1"/>
      <w:numFmt w:val="bullet"/>
      <w:lvlText w:val=""/>
      <w:lvlJc w:val="left"/>
      <w:pPr>
        <w:ind w:left="2880" w:hanging="360"/>
      </w:pPr>
      <w:rPr>
        <w:rFonts w:ascii="Symbol" w:hAnsi="Symbol" w:hint="default"/>
      </w:rPr>
    </w:lvl>
    <w:lvl w:ilvl="4" w:tplc="87705258" w:tentative="1">
      <w:start w:val="1"/>
      <w:numFmt w:val="bullet"/>
      <w:lvlText w:val="o"/>
      <w:lvlJc w:val="left"/>
      <w:pPr>
        <w:ind w:left="3600" w:hanging="360"/>
      </w:pPr>
      <w:rPr>
        <w:rFonts w:ascii="Courier New" w:hAnsi="Courier New" w:cs="Courier New" w:hint="default"/>
      </w:rPr>
    </w:lvl>
    <w:lvl w:ilvl="5" w:tplc="5DF2A3DA" w:tentative="1">
      <w:start w:val="1"/>
      <w:numFmt w:val="bullet"/>
      <w:lvlText w:val=""/>
      <w:lvlJc w:val="left"/>
      <w:pPr>
        <w:ind w:left="4320" w:hanging="360"/>
      </w:pPr>
      <w:rPr>
        <w:rFonts w:ascii="Wingdings" w:hAnsi="Wingdings" w:hint="default"/>
      </w:rPr>
    </w:lvl>
    <w:lvl w:ilvl="6" w:tplc="662887A0" w:tentative="1">
      <w:start w:val="1"/>
      <w:numFmt w:val="bullet"/>
      <w:lvlText w:val=""/>
      <w:lvlJc w:val="left"/>
      <w:pPr>
        <w:ind w:left="5040" w:hanging="360"/>
      </w:pPr>
      <w:rPr>
        <w:rFonts w:ascii="Symbol" w:hAnsi="Symbol" w:hint="default"/>
      </w:rPr>
    </w:lvl>
    <w:lvl w:ilvl="7" w:tplc="94B6804A" w:tentative="1">
      <w:start w:val="1"/>
      <w:numFmt w:val="bullet"/>
      <w:lvlText w:val="o"/>
      <w:lvlJc w:val="left"/>
      <w:pPr>
        <w:ind w:left="5760" w:hanging="360"/>
      </w:pPr>
      <w:rPr>
        <w:rFonts w:ascii="Courier New" w:hAnsi="Courier New" w:cs="Courier New" w:hint="default"/>
      </w:rPr>
    </w:lvl>
    <w:lvl w:ilvl="8" w:tplc="063A49EA" w:tentative="1">
      <w:start w:val="1"/>
      <w:numFmt w:val="bullet"/>
      <w:lvlText w:val=""/>
      <w:lvlJc w:val="left"/>
      <w:pPr>
        <w:ind w:left="6480" w:hanging="360"/>
      </w:pPr>
      <w:rPr>
        <w:rFonts w:ascii="Wingdings" w:hAnsi="Wingdings" w:hint="default"/>
      </w:rPr>
    </w:lvl>
  </w:abstractNum>
  <w:abstractNum w:abstractNumId="8"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9" w15:restartNumberingAfterBreak="0">
    <w:nsid w:val="2A721D9F"/>
    <w:multiLevelType w:val="multilevel"/>
    <w:tmpl w:val="55727B6C"/>
    <w:lvl w:ilvl="0">
      <w:start w:val="1"/>
      <w:numFmt w:val="decimal"/>
      <w:pStyle w:val="Cmsor1"/>
      <w:suff w:val="space"/>
      <w:lvlText w:val="%1."/>
      <w:lvlJc w:val="left"/>
      <w:pPr>
        <w:ind w:left="431" w:hanging="431"/>
      </w:pPr>
      <w:rPr>
        <w:rFonts w:hint="default"/>
      </w:rPr>
    </w:lvl>
    <w:lvl w:ilvl="1">
      <w:start w:val="1"/>
      <w:numFmt w:val="decimal"/>
      <w:pStyle w:val="Cmsor2"/>
      <w:suff w:val="space"/>
      <w:lvlText w:val="%1.%2."/>
      <w:lvlJc w:val="left"/>
      <w:pPr>
        <w:ind w:left="431" w:hanging="431"/>
      </w:pPr>
      <w:rPr>
        <w:rFonts w:hint="default"/>
      </w:rPr>
    </w:lvl>
    <w:lvl w:ilvl="2">
      <w:start w:val="1"/>
      <w:numFmt w:val="decimal"/>
      <w:pStyle w:val="Cmsor3"/>
      <w:suff w:val="space"/>
      <w:lvlText w:val="%1.%2.%3."/>
      <w:lvlJc w:val="left"/>
      <w:pPr>
        <w:ind w:left="431" w:hanging="431"/>
      </w:pPr>
      <w:rPr>
        <w:rFonts w:hint="default"/>
      </w:rPr>
    </w:lvl>
    <w:lvl w:ilvl="3">
      <w:start w:val="1"/>
      <w:numFmt w:val="decimal"/>
      <w:pStyle w:val="Cmsor4"/>
      <w:suff w:val="space"/>
      <w:lvlText w:val="%1.%2.%3.%4."/>
      <w:lvlJc w:val="left"/>
      <w:pPr>
        <w:ind w:left="431" w:hanging="431"/>
      </w:pPr>
      <w:rPr>
        <w:rFonts w:hint="default"/>
      </w:rPr>
    </w:lvl>
    <w:lvl w:ilvl="4">
      <w:start w:val="1"/>
      <w:numFmt w:val="decimal"/>
      <w:pStyle w:val="Cmsor5"/>
      <w:suff w:val="space"/>
      <w:lvlText w:val="%1.%2.%3.%4.%5."/>
      <w:lvlJc w:val="left"/>
      <w:pPr>
        <w:ind w:left="431" w:hanging="431"/>
      </w:pPr>
      <w:rPr>
        <w:rFonts w:hint="default"/>
      </w:rPr>
    </w:lvl>
    <w:lvl w:ilvl="5">
      <w:start w:val="1"/>
      <w:numFmt w:val="decimal"/>
      <w:pStyle w:val="Cmsor6"/>
      <w:suff w:val="space"/>
      <w:lvlText w:val="%1.%2.%3.%4.%5.%6."/>
      <w:lvlJc w:val="left"/>
      <w:pPr>
        <w:ind w:left="431" w:hanging="431"/>
      </w:pPr>
      <w:rPr>
        <w:rFonts w:hint="default"/>
      </w:rPr>
    </w:lvl>
    <w:lvl w:ilvl="6">
      <w:start w:val="1"/>
      <w:numFmt w:val="decimal"/>
      <w:pStyle w:val="Cmsor7"/>
      <w:lvlText w:val="%1.%2.%3.%4.%5.%6.%7."/>
      <w:lvlJc w:val="left"/>
      <w:pPr>
        <w:ind w:left="431" w:hanging="431"/>
      </w:pPr>
      <w:rPr>
        <w:rFonts w:hint="default"/>
      </w:rPr>
    </w:lvl>
    <w:lvl w:ilvl="7">
      <w:start w:val="1"/>
      <w:numFmt w:val="decimal"/>
      <w:pStyle w:val="Cmsor8"/>
      <w:lvlText w:val="%1.%2.%3.%4.%5.%6.%7.%8."/>
      <w:lvlJc w:val="left"/>
      <w:pPr>
        <w:ind w:left="431" w:hanging="431"/>
      </w:pPr>
      <w:rPr>
        <w:rFonts w:hint="default"/>
      </w:rPr>
    </w:lvl>
    <w:lvl w:ilvl="8">
      <w:start w:val="1"/>
      <w:numFmt w:val="decimal"/>
      <w:pStyle w:val="Cmsor9"/>
      <w:lvlText w:val="%1.%2.%3.%4.%5.%6.%7.%8.%9."/>
      <w:lvlJc w:val="left"/>
      <w:pPr>
        <w:ind w:left="431" w:hanging="431"/>
      </w:pPr>
      <w:rPr>
        <w:rFonts w:hint="default"/>
      </w:rPr>
    </w:lvl>
  </w:abstractNum>
  <w:abstractNum w:abstractNumId="10"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1F497D" w:themeColor="text2"/>
        <w:sz w:val="24"/>
      </w:rPr>
    </w:lvl>
    <w:lvl w:ilvl="1" w:tplc="41420328">
      <w:start w:val="1"/>
      <w:numFmt w:val="bullet"/>
      <w:lvlText w:val="o"/>
      <w:lvlJc w:val="left"/>
      <w:pPr>
        <w:ind w:left="1440" w:hanging="360"/>
      </w:pPr>
      <w:rPr>
        <w:rFonts w:ascii="Courier New" w:hAnsi="Courier New" w:hint="default"/>
        <w:b/>
        <w:color w:val="1F497D" w:themeColor="text2"/>
        <w:sz w:val="24"/>
      </w:rPr>
    </w:lvl>
    <w:lvl w:ilvl="2" w:tplc="EA2C5BBE">
      <w:start w:val="1"/>
      <w:numFmt w:val="bullet"/>
      <w:lvlText w:val=""/>
      <w:lvlJc w:val="left"/>
      <w:pPr>
        <w:ind w:left="2160" w:hanging="360"/>
      </w:pPr>
      <w:rPr>
        <w:rFonts w:ascii="Wingdings" w:hAnsi="Wingdings" w:cstheme="minorHAnsi" w:hint="default"/>
        <w:b/>
        <w:color w:val="1F497D" w:themeColor="text2"/>
        <w:sz w:val="24"/>
      </w:rPr>
    </w:lvl>
    <w:lvl w:ilvl="3" w:tplc="6C34901E">
      <w:start w:val="1"/>
      <w:numFmt w:val="bullet"/>
      <w:lvlText w:val=""/>
      <w:lvlJc w:val="left"/>
      <w:pPr>
        <w:ind w:left="2880" w:hanging="360"/>
      </w:pPr>
      <w:rPr>
        <w:rFonts w:ascii="Symbol" w:hAnsi="Symbol" w:cstheme="minorHAnsi" w:hint="default"/>
        <w:b/>
        <w:color w:val="1F497D"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331B58B8"/>
    <w:multiLevelType w:val="hybridMultilevel"/>
    <w:tmpl w:val="FBB2A404"/>
    <w:lvl w:ilvl="0" w:tplc="065C5296">
      <w:start w:val="1"/>
      <w:numFmt w:val="bullet"/>
      <w:pStyle w:val="felsorolsos"/>
      <w:lvlText w:val=""/>
      <w:lvlJc w:val="left"/>
      <w:pPr>
        <w:tabs>
          <w:tab w:val="num" w:pos="1068"/>
        </w:tabs>
        <w:ind w:left="1068" w:hanging="360"/>
      </w:pPr>
      <w:rPr>
        <w:rFonts w:ascii="Symbol" w:hAnsi="Symbol" w:hint="default"/>
      </w:rPr>
    </w:lvl>
    <w:lvl w:ilvl="1" w:tplc="DBD05E4A">
      <w:start w:val="1"/>
      <w:numFmt w:val="bullet"/>
      <w:lvlText w:val="o"/>
      <w:lvlJc w:val="left"/>
      <w:pPr>
        <w:tabs>
          <w:tab w:val="num" w:pos="1788"/>
        </w:tabs>
        <w:ind w:left="1788" w:hanging="360"/>
      </w:pPr>
      <w:rPr>
        <w:rFonts w:ascii="Courier New" w:hAnsi="Courier New" w:cs="Courier New" w:hint="default"/>
      </w:rPr>
    </w:lvl>
    <w:lvl w:ilvl="2" w:tplc="CF1CDE5A">
      <w:start w:val="1"/>
      <w:numFmt w:val="bullet"/>
      <w:lvlText w:val=""/>
      <w:lvlJc w:val="left"/>
      <w:pPr>
        <w:tabs>
          <w:tab w:val="num" w:pos="2508"/>
        </w:tabs>
        <w:ind w:left="2508" w:hanging="360"/>
      </w:pPr>
      <w:rPr>
        <w:rFonts w:ascii="Wingdings" w:hAnsi="Wingdings" w:hint="default"/>
      </w:rPr>
    </w:lvl>
    <w:lvl w:ilvl="3" w:tplc="B254B622" w:tentative="1">
      <w:start w:val="1"/>
      <w:numFmt w:val="bullet"/>
      <w:lvlText w:val=""/>
      <w:lvlJc w:val="left"/>
      <w:pPr>
        <w:tabs>
          <w:tab w:val="num" w:pos="3228"/>
        </w:tabs>
        <w:ind w:left="3228" w:hanging="360"/>
      </w:pPr>
      <w:rPr>
        <w:rFonts w:ascii="Symbol" w:hAnsi="Symbol" w:hint="default"/>
      </w:rPr>
    </w:lvl>
    <w:lvl w:ilvl="4" w:tplc="BB505B76">
      <w:start w:val="1"/>
      <w:numFmt w:val="bullet"/>
      <w:lvlText w:val="o"/>
      <w:lvlJc w:val="left"/>
      <w:pPr>
        <w:tabs>
          <w:tab w:val="num" w:pos="3948"/>
        </w:tabs>
        <w:ind w:left="3948" w:hanging="360"/>
      </w:pPr>
      <w:rPr>
        <w:rFonts w:ascii="Courier New" w:hAnsi="Courier New" w:cs="Courier New" w:hint="default"/>
      </w:rPr>
    </w:lvl>
    <w:lvl w:ilvl="5" w:tplc="40DA4290" w:tentative="1">
      <w:start w:val="1"/>
      <w:numFmt w:val="bullet"/>
      <w:lvlText w:val=""/>
      <w:lvlJc w:val="left"/>
      <w:pPr>
        <w:tabs>
          <w:tab w:val="num" w:pos="4668"/>
        </w:tabs>
        <w:ind w:left="4668" w:hanging="360"/>
      </w:pPr>
      <w:rPr>
        <w:rFonts w:ascii="Wingdings" w:hAnsi="Wingdings" w:hint="default"/>
      </w:rPr>
    </w:lvl>
    <w:lvl w:ilvl="6" w:tplc="0ECCFD02" w:tentative="1">
      <w:start w:val="1"/>
      <w:numFmt w:val="bullet"/>
      <w:lvlText w:val=""/>
      <w:lvlJc w:val="left"/>
      <w:pPr>
        <w:tabs>
          <w:tab w:val="num" w:pos="5388"/>
        </w:tabs>
        <w:ind w:left="5388" w:hanging="360"/>
      </w:pPr>
      <w:rPr>
        <w:rFonts w:ascii="Symbol" w:hAnsi="Symbol" w:hint="default"/>
      </w:rPr>
    </w:lvl>
    <w:lvl w:ilvl="7" w:tplc="BFB893AC" w:tentative="1">
      <w:start w:val="1"/>
      <w:numFmt w:val="bullet"/>
      <w:lvlText w:val="o"/>
      <w:lvlJc w:val="left"/>
      <w:pPr>
        <w:tabs>
          <w:tab w:val="num" w:pos="6108"/>
        </w:tabs>
        <w:ind w:left="6108" w:hanging="360"/>
      </w:pPr>
      <w:rPr>
        <w:rFonts w:ascii="Courier New" w:hAnsi="Courier New" w:cs="Courier New" w:hint="default"/>
      </w:rPr>
    </w:lvl>
    <w:lvl w:ilvl="8" w:tplc="96C6CD14"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1F497D" w:themeColor="text2"/>
        <w:sz w:val="24"/>
      </w:rPr>
    </w:lvl>
    <w:lvl w:ilvl="1" w:tplc="1242D2E6">
      <w:start w:val="1"/>
      <w:numFmt w:val="bullet"/>
      <w:lvlText w:val="o"/>
      <w:lvlJc w:val="left"/>
      <w:pPr>
        <w:ind w:left="1440" w:hanging="360"/>
      </w:pPr>
      <w:rPr>
        <w:rFonts w:ascii="Courier New" w:hAnsi="Courier New" w:hint="default"/>
        <w:b/>
        <w:color w:val="4BACC6" w:themeColor="accent5"/>
        <w:sz w:val="24"/>
      </w:rPr>
    </w:lvl>
    <w:lvl w:ilvl="2" w:tplc="AA782C4A">
      <w:start w:val="1"/>
      <w:numFmt w:val="bullet"/>
      <w:lvlText w:val=""/>
      <w:lvlJc w:val="left"/>
      <w:pPr>
        <w:ind w:left="2160" w:hanging="360"/>
      </w:pPr>
      <w:rPr>
        <w:rFonts w:ascii="Wingdings" w:hAnsi="Wingdings" w:cstheme="minorHAnsi" w:hint="default"/>
        <w:b/>
        <w:color w:val="4BACC6" w:themeColor="accent5"/>
        <w:sz w:val="24"/>
      </w:rPr>
    </w:lvl>
    <w:lvl w:ilvl="3" w:tplc="BA9A1B8A">
      <w:start w:val="1"/>
      <w:numFmt w:val="bullet"/>
      <w:lvlText w:val=""/>
      <w:lvlJc w:val="left"/>
      <w:pPr>
        <w:ind w:left="2880" w:hanging="360"/>
      </w:pPr>
      <w:rPr>
        <w:rFonts w:ascii="Symbol" w:hAnsi="Symbol" w:cstheme="minorHAnsi" w:hint="default"/>
        <w:b/>
        <w:color w:val="4BACC6"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1F497D" w:themeColor="text2"/>
        <w:sz w:val="24"/>
      </w:rPr>
    </w:lvl>
    <w:lvl w:ilvl="1" w:tplc="41420328">
      <w:start w:val="1"/>
      <w:numFmt w:val="bullet"/>
      <w:lvlText w:val="o"/>
      <w:lvlJc w:val="left"/>
      <w:pPr>
        <w:ind w:left="1440" w:hanging="360"/>
      </w:pPr>
      <w:rPr>
        <w:rFonts w:ascii="Courier New" w:hAnsi="Courier New" w:hint="default"/>
        <w:b/>
        <w:color w:val="1F497D" w:themeColor="text2"/>
        <w:sz w:val="24"/>
      </w:rPr>
    </w:lvl>
    <w:lvl w:ilvl="2" w:tplc="EA2C5BBE">
      <w:start w:val="1"/>
      <w:numFmt w:val="bullet"/>
      <w:lvlText w:val=""/>
      <w:lvlJc w:val="left"/>
      <w:pPr>
        <w:ind w:left="2160" w:hanging="360"/>
      </w:pPr>
      <w:rPr>
        <w:rFonts w:ascii="Wingdings" w:hAnsi="Wingdings" w:cstheme="minorHAnsi" w:hint="default"/>
        <w:b/>
        <w:color w:val="1F497D" w:themeColor="text2"/>
        <w:sz w:val="24"/>
      </w:rPr>
    </w:lvl>
    <w:lvl w:ilvl="3" w:tplc="BA9A1B8A">
      <w:start w:val="1"/>
      <w:numFmt w:val="bullet"/>
      <w:lvlText w:val=""/>
      <w:lvlJc w:val="left"/>
      <w:pPr>
        <w:ind w:left="2880" w:hanging="360"/>
      </w:pPr>
      <w:rPr>
        <w:rFonts w:ascii="Symbol" w:hAnsi="Symbol" w:cstheme="minorHAnsi" w:hint="default"/>
        <w:b/>
        <w:color w:val="4BACC6"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62B04DFC"/>
    <w:multiLevelType w:val="hybridMultilevel"/>
    <w:tmpl w:val="24DEA910"/>
    <w:lvl w:ilvl="0" w:tplc="25C68936">
      <w:start w:val="1"/>
      <w:numFmt w:val="bullet"/>
      <w:lvlText w:val=""/>
      <w:lvlJc w:val="left"/>
      <w:pPr>
        <w:ind w:left="720" w:hanging="360"/>
      </w:pPr>
      <w:rPr>
        <w:rFonts w:ascii="Symbol" w:hAnsi="Symbol" w:cs="Symbol" w:hint="default"/>
      </w:rPr>
    </w:lvl>
    <w:lvl w:ilvl="1" w:tplc="72BE69B0" w:tentative="1">
      <w:start w:val="1"/>
      <w:numFmt w:val="bullet"/>
      <w:lvlText w:val="o"/>
      <w:lvlJc w:val="left"/>
      <w:pPr>
        <w:ind w:left="1440" w:hanging="360"/>
      </w:pPr>
      <w:rPr>
        <w:rFonts w:ascii="Courier New" w:hAnsi="Courier New" w:cs="Courier New" w:hint="default"/>
      </w:rPr>
    </w:lvl>
    <w:lvl w:ilvl="2" w:tplc="0ED2E242" w:tentative="1">
      <w:start w:val="1"/>
      <w:numFmt w:val="bullet"/>
      <w:lvlText w:val=""/>
      <w:lvlJc w:val="left"/>
      <w:pPr>
        <w:ind w:left="2160" w:hanging="360"/>
      </w:pPr>
      <w:rPr>
        <w:rFonts w:ascii="Wingdings" w:hAnsi="Wingdings" w:cs="Wingdings" w:hint="default"/>
      </w:rPr>
    </w:lvl>
    <w:lvl w:ilvl="3" w:tplc="B0229BD0" w:tentative="1">
      <w:start w:val="1"/>
      <w:numFmt w:val="bullet"/>
      <w:lvlText w:val=""/>
      <w:lvlJc w:val="left"/>
      <w:pPr>
        <w:ind w:left="2880" w:hanging="360"/>
      </w:pPr>
      <w:rPr>
        <w:rFonts w:ascii="Symbol" w:hAnsi="Symbol" w:cs="Symbol" w:hint="default"/>
      </w:rPr>
    </w:lvl>
    <w:lvl w:ilvl="4" w:tplc="1E9E15DC" w:tentative="1">
      <w:start w:val="1"/>
      <w:numFmt w:val="bullet"/>
      <w:lvlText w:val="o"/>
      <w:lvlJc w:val="left"/>
      <w:pPr>
        <w:ind w:left="3600" w:hanging="360"/>
      </w:pPr>
      <w:rPr>
        <w:rFonts w:ascii="Courier New" w:hAnsi="Courier New" w:cs="Courier New" w:hint="default"/>
      </w:rPr>
    </w:lvl>
    <w:lvl w:ilvl="5" w:tplc="EACAE5D0" w:tentative="1">
      <w:start w:val="1"/>
      <w:numFmt w:val="bullet"/>
      <w:lvlText w:val=""/>
      <w:lvlJc w:val="left"/>
      <w:pPr>
        <w:ind w:left="4320" w:hanging="360"/>
      </w:pPr>
      <w:rPr>
        <w:rFonts w:ascii="Wingdings" w:hAnsi="Wingdings" w:cs="Wingdings" w:hint="default"/>
      </w:rPr>
    </w:lvl>
    <w:lvl w:ilvl="6" w:tplc="DBD03F62" w:tentative="1">
      <w:start w:val="1"/>
      <w:numFmt w:val="bullet"/>
      <w:lvlText w:val=""/>
      <w:lvlJc w:val="left"/>
      <w:pPr>
        <w:ind w:left="5040" w:hanging="360"/>
      </w:pPr>
      <w:rPr>
        <w:rFonts w:ascii="Symbol" w:hAnsi="Symbol" w:cs="Symbol" w:hint="default"/>
      </w:rPr>
    </w:lvl>
    <w:lvl w:ilvl="7" w:tplc="09C4289C" w:tentative="1">
      <w:start w:val="1"/>
      <w:numFmt w:val="bullet"/>
      <w:lvlText w:val="o"/>
      <w:lvlJc w:val="left"/>
      <w:pPr>
        <w:ind w:left="5760" w:hanging="360"/>
      </w:pPr>
      <w:rPr>
        <w:rFonts w:ascii="Courier New" w:hAnsi="Courier New" w:cs="Courier New" w:hint="default"/>
      </w:rPr>
    </w:lvl>
    <w:lvl w:ilvl="8" w:tplc="32E6084C" w:tentative="1">
      <w:start w:val="1"/>
      <w:numFmt w:val="bullet"/>
      <w:lvlText w:val=""/>
      <w:lvlJc w:val="left"/>
      <w:pPr>
        <w:ind w:left="6480" w:hanging="360"/>
      </w:pPr>
      <w:rPr>
        <w:rFonts w:ascii="Wingdings" w:hAnsi="Wingdings" w:cs="Wingdings" w:hint="default"/>
      </w:rPr>
    </w:lvl>
  </w:abstractNum>
  <w:abstractNum w:abstractNumId="15" w15:restartNumberingAfterBreak="0">
    <w:nsid w:val="6C1941FE"/>
    <w:multiLevelType w:val="hybridMultilevel"/>
    <w:tmpl w:val="C952DA42"/>
    <w:lvl w:ilvl="0" w:tplc="2A8454DE">
      <w:start w:val="1"/>
      <w:numFmt w:val="bullet"/>
      <w:lvlText w:val=""/>
      <w:lvlJc w:val="left"/>
      <w:pPr>
        <w:ind w:left="720" w:hanging="360"/>
      </w:pPr>
      <w:rPr>
        <w:rFonts w:ascii="Symbol" w:hAnsi="Symbol" w:hint="default"/>
      </w:rPr>
    </w:lvl>
    <w:lvl w:ilvl="1" w:tplc="2A462BC8">
      <w:start w:val="1"/>
      <w:numFmt w:val="bullet"/>
      <w:lvlText w:val="o"/>
      <w:lvlJc w:val="left"/>
      <w:pPr>
        <w:ind w:left="1440" w:hanging="360"/>
      </w:pPr>
      <w:rPr>
        <w:rFonts w:ascii="Courier New" w:hAnsi="Courier New" w:cs="Courier New" w:hint="default"/>
      </w:rPr>
    </w:lvl>
    <w:lvl w:ilvl="2" w:tplc="23E090D0">
      <w:start w:val="1"/>
      <w:numFmt w:val="bullet"/>
      <w:lvlText w:val=""/>
      <w:lvlJc w:val="left"/>
      <w:pPr>
        <w:ind w:left="2160" w:hanging="360"/>
      </w:pPr>
      <w:rPr>
        <w:rFonts w:ascii="Wingdings" w:hAnsi="Wingdings" w:hint="default"/>
      </w:rPr>
    </w:lvl>
    <w:lvl w:ilvl="3" w:tplc="28E080F6">
      <w:start w:val="1"/>
      <w:numFmt w:val="bullet"/>
      <w:lvlText w:val=""/>
      <w:lvlJc w:val="left"/>
      <w:pPr>
        <w:ind w:left="2880" w:hanging="360"/>
      </w:pPr>
      <w:rPr>
        <w:rFonts w:ascii="Symbol" w:hAnsi="Symbol" w:hint="default"/>
      </w:rPr>
    </w:lvl>
    <w:lvl w:ilvl="4" w:tplc="F634C3AA">
      <w:start w:val="1"/>
      <w:numFmt w:val="bullet"/>
      <w:lvlText w:val="o"/>
      <w:lvlJc w:val="left"/>
      <w:pPr>
        <w:ind w:left="3600" w:hanging="360"/>
      </w:pPr>
      <w:rPr>
        <w:rFonts w:ascii="Courier New" w:hAnsi="Courier New" w:cs="Courier New" w:hint="default"/>
      </w:rPr>
    </w:lvl>
    <w:lvl w:ilvl="5" w:tplc="0AC21846">
      <w:start w:val="1"/>
      <w:numFmt w:val="bullet"/>
      <w:lvlText w:val=""/>
      <w:lvlJc w:val="left"/>
      <w:pPr>
        <w:ind w:left="4320" w:hanging="360"/>
      </w:pPr>
      <w:rPr>
        <w:rFonts w:ascii="Wingdings" w:hAnsi="Wingdings" w:hint="default"/>
      </w:rPr>
    </w:lvl>
    <w:lvl w:ilvl="6" w:tplc="9A04026C">
      <w:start w:val="1"/>
      <w:numFmt w:val="bullet"/>
      <w:lvlText w:val=""/>
      <w:lvlJc w:val="left"/>
      <w:pPr>
        <w:ind w:left="5040" w:hanging="360"/>
      </w:pPr>
      <w:rPr>
        <w:rFonts w:ascii="Symbol" w:hAnsi="Symbol" w:hint="default"/>
      </w:rPr>
    </w:lvl>
    <w:lvl w:ilvl="7" w:tplc="3118CDA0">
      <w:start w:val="1"/>
      <w:numFmt w:val="bullet"/>
      <w:lvlText w:val="o"/>
      <w:lvlJc w:val="left"/>
      <w:pPr>
        <w:ind w:left="5760" w:hanging="360"/>
      </w:pPr>
      <w:rPr>
        <w:rFonts w:ascii="Courier New" w:hAnsi="Courier New" w:cs="Courier New" w:hint="default"/>
      </w:rPr>
    </w:lvl>
    <w:lvl w:ilvl="8" w:tplc="E6FCE1A8">
      <w:start w:val="1"/>
      <w:numFmt w:val="bullet"/>
      <w:lvlText w:val=""/>
      <w:lvlJc w:val="left"/>
      <w:pPr>
        <w:ind w:left="6480" w:hanging="360"/>
      </w:pPr>
      <w:rPr>
        <w:rFonts w:ascii="Wingdings" w:hAnsi="Wingdings" w:hint="default"/>
      </w:rPr>
    </w:lvl>
  </w:abstractNum>
  <w:abstractNum w:abstractNumId="16"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1F497D"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7" w15:restartNumberingAfterBreak="0">
    <w:nsid w:val="6FF43059"/>
    <w:multiLevelType w:val="hybridMultilevel"/>
    <w:tmpl w:val="B62EAA02"/>
    <w:lvl w:ilvl="0" w:tplc="503EB8CC">
      <w:start w:val="1"/>
      <w:numFmt w:val="upperRoman"/>
      <w:lvlText w:val="%1."/>
      <w:lvlJc w:val="left"/>
      <w:pPr>
        <w:ind w:left="1080" w:hanging="720"/>
      </w:pPr>
      <w:rPr>
        <w:rFonts w:hint="default"/>
      </w:rPr>
    </w:lvl>
    <w:lvl w:ilvl="1" w:tplc="130CF9B0" w:tentative="1">
      <w:start w:val="1"/>
      <w:numFmt w:val="lowerLetter"/>
      <w:lvlText w:val="%2."/>
      <w:lvlJc w:val="left"/>
      <w:pPr>
        <w:ind w:left="1440" w:hanging="360"/>
      </w:pPr>
    </w:lvl>
    <w:lvl w:ilvl="2" w:tplc="8ECEE4F6" w:tentative="1">
      <w:start w:val="1"/>
      <w:numFmt w:val="lowerRoman"/>
      <w:lvlText w:val="%3."/>
      <w:lvlJc w:val="right"/>
      <w:pPr>
        <w:ind w:left="2160" w:hanging="180"/>
      </w:pPr>
    </w:lvl>
    <w:lvl w:ilvl="3" w:tplc="4AE6D560" w:tentative="1">
      <w:start w:val="1"/>
      <w:numFmt w:val="decimal"/>
      <w:lvlText w:val="%4."/>
      <w:lvlJc w:val="left"/>
      <w:pPr>
        <w:ind w:left="2880" w:hanging="360"/>
      </w:pPr>
    </w:lvl>
    <w:lvl w:ilvl="4" w:tplc="677EEBBC" w:tentative="1">
      <w:start w:val="1"/>
      <w:numFmt w:val="lowerLetter"/>
      <w:lvlText w:val="%5."/>
      <w:lvlJc w:val="left"/>
      <w:pPr>
        <w:ind w:left="3600" w:hanging="360"/>
      </w:pPr>
    </w:lvl>
    <w:lvl w:ilvl="5" w:tplc="515CAB0E" w:tentative="1">
      <w:start w:val="1"/>
      <w:numFmt w:val="lowerRoman"/>
      <w:lvlText w:val="%6."/>
      <w:lvlJc w:val="right"/>
      <w:pPr>
        <w:ind w:left="4320" w:hanging="180"/>
      </w:pPr>
    </w:lvl>
    <w:lvl w:ilvl="6" w:tplc="EDF2FC4A" w:tentative="1">
      <w:start w:val="1"/>
      <w:numFmt w:val="decimal"/>
      <w:lvlText w:val="%7."/>
      <w:lvlJc w:val="left"/>
      <w:pPr>
        <w:ind w:left="5040" w:hanging="360"/>
      </w:pPr>
    </w:lvl>
    <w:lvl w:ilvl="7" w:tplc="329AC560" w:tentative="1">
      <w:start w:val="1"/>
      <w:numFmt w:val="lowerLetter"/>
      <w:lvlText w:val="%8."/>
      <w:lvlJc w:val="left"/>
      <w:pPr>
        <w:ind w:left="5760" w:hanging="360"/>
      </w:pPr>
    </w:lvl>
    <w:lvl w:ilvl="8" w:tplc="A7E22C14" w:tentative="1">
      <w:start w:val="1"/>
      <w:numFmt w:val="lowerRoman"/>
      <w:lvlText w:val="%9."/>
      <w:lvlJc w:val="right"/>
      <w:pPr>
        <w:ind w:left="6480" w:hanging="180"/>
      </w:pPr>
    </w:lvl>
  </w:abstractNum>
  <w:abstractNum w:abstractNumId="18"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1F497D" w:themeColor="text2"/>
        <w:sz w:val="24"/>
      </w:rPr>
    </w:lvl>
    <w:lvl w:ilvl="1" w:tplc="1242D2E6">
      <w:start w:val="1"/>
      <w:numFmt w:val="bullet"/>
      <w:lvlText w:val="o"/>
      <w:lvlJc w:val="left"/>
      <w:pPr>
        <w:ind w:left="1440" w:hanging="360"/>
      </w:pPr>
      <w:rPr>
        <w:rFonts w:ascii="Courier New" w:hAnsi="Courier New" w:hint="default"/>
        <w:b/>
        <w:color w:val="4BACC6"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1F497D" w:themeColor="text2"/>
        <w:sz w:val="24"/>
      </w:rPr>
    </w:lvl>
    <w:lvl w:ilvl="3" w:tplc="BA9A1B8A">
      <w:start w:val="1"/>
      <w:numFmt w:val="bullet"/>
      <w:lvlText w:val=""/>
      <w:lvlJc w:val="left"/>
      <w:pPr>
        <w:ind w:left="2880" w:hanging="360"/>
      </w:pPr>
      <w:rPr>
        <w:rFonts w:ascii="Symbol" w:hAnsi="Symbol" w:cstheme="minorHAnsi" w:hint="default"/>
        <w:b/>
        <w:color w:val="4BACC6"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756D328A"/>
    <w:multiLevelType w:val="hybridMultilevel"/>
    <w:tmpl w:val="15E66FFA"/>
    <w:lvl w:ilvl="0" w:tplc="00FADE7E">
      <w:start w:val="1"/>
      <w:numFmt w:val="bullet"/>
      <w:lvlText w:val=""/>
      <w:lvlJc w:val="left"/>
      <w:pPr>
        <w:ind w:left="720" w:hanging="360"/>
      </w:pPr>
      <w:rPr>
        <w:rFonts w:ascii="Symbol" w:hAnsi="Symbol" w:hint="default"/>
      </w:rPr>
    </w:lvl>
    <w:lvl w:ilvl="1" w:tplc="12F8245E" w:tentative="1">
      <w:start w:val="1"/>
      <w:numFmt w:val="bullet"/>
      <w:lvlText w:val="o"/>
      <w:lvlJc w:val="left"/>
      <w:pPr>
        <w:ind w:left="1440" w:hanging="360"/>
      </w:pPr>
      <w:rPr>
        <w:rFonts w:ascii="Courier New" w:hAnsi="Courier New" w:cs="Courier New" w:hint="default"/>
      </w:rPr>
    </w:lvl>
    <w:lvl w:ilvl="2" w:tplc="A7D89EC8" w:tentative="1">
      <w:start w:val="1"/>
      <w:numFmt w:val="bullet"/>
      <w:lvlText w:val=""/>
      <w:lvlJc w:val="left"/>
      <w:pPr>
        <w:ind w:left="2160" w:hanging="360"/>
      </w:pPr>
      <w:rPr>
        <w:rFonts w:ascii="Wingdings" w:hAnsi="Wingdings" w:hint="default"/>
      </w:rPr>
    </w:lvl>
    <w:lvl w:ilvl="3" w:tplc="E736C308" w:tentative="1">
      <w:start w:val="1"/>
      <w:numFmt w:val="bullet"/>
      <w:lvlText w:val=""/>
      <w:lvlJc w:val="left"/>
      <w:pPr>
        <w:ind w:left="2880" w:hanging="360"/>
      </w:pPr>
      <w:rPr>
        <w:rFonts w:ascii="Symbol" w:hAnsi="Symbol" w:hint="default"/>
      </w:rPr>
    </w:lvl>
    <w:lvl w:ilvl="4" w:tplc="C41858CA" w:tentative="1">
      <w:start w:val="1"/>
      <w:numFmt w:val="bullet"/>
      <w:lvlText w:val="o"/>
      <w:lvlJc w:val="left"/>
      <w:pPr>
        <w:ind w:left="3600" w:hanging="360"/>
      </w:pPr>
      <w:rPr>
        <w:rFonts w:ascii="Courier New" w:hAnsi="Courier New" w:cs="Courier New" w:hint="default"/>
      </w:rPr>
    </w:lvl>
    <w:lvl w:ilvl="5" w:tplc="D56054C0" w:tentative="1">
      <w:start w:val="1"/>
      <w:numFmt w:val="bullet"/>
      <w:lvlText w:val=""/>
      <w:lvlJc w:val="left"/>
      <w:pPr>
        <w:ind w:left="4320" w:hanging="360"/>
      </w:pPr>
      <w:rPr>
        <w:rFonts w:ascii="Wingdings" w:hAnsi="Wingdings" w:hint="default"/>
      </w:rPr>
    </w:lvl>
    <w:lvl w:ilvl="6" w:tplc="ADD69CA4" w:tentative="1">
      <w:start w:val="1"/>
      <w:numFmt w:val="bullet"/>
      <w:lvlText w:val=""/>
      <w:lvlJc w:val="left"/>
      <w:pPr>
        <w:ind w:left="5040" w:hanging="360"/>
      </w:pPr>
      <w:rPr>
        <w:rFonts w:ascii="Symbol" w:hAnsi="Symbol" w:hint="default"/>
      </w:rPr>
    </w:lvl>
    <w:lvl w:ilvl="7" w:tplc="CB8EBDE4" w:tentative="1">
      <w:start w:val="1"/>
      <w:numFmt w:val="bullet"/>
      <w:lvlText w:val="o"/>
      <w:lvlJc w:val="left"/>
      <w:pPr>
        <w:ind w:left="5760" w:hanging="360"/>
      </w:pPr>
      <w:rPr>
        <w:rFonts w:ascii="Courier New" w:hAnsi="Courier New" w:cs="Courier New" w:hint="default"/>
      </w:rPr>
    </w:lvl>
    <w:lvl w:ilvl="8" w:tplc="488451BC" w:tentative="1">
      <w:start w:val="1"/>
      <w:numFmt w:val="bullet"/>
      <w:lvlText w:val=""/>
      <w:lvlJc w:val="left"/>
      <w:pPr>
        <w:ind w:left="6480" w:hanging="360"/>
      </w:pPr>
      <w:rPr>
        <w:rFonts w:ascii="Wingdings" w:hAnsi="Wingdings" w:hint="default"/>
      </w:rPr>
    </w:lvl>
  </w:abstractNum>
  <w:abstractNum w:abstractNumId="20" w15:restartNumberingAfterBreak="0">
    <w:nsid w:val="794776DC"/>
    <w:multiLevelType w:val="hybridMultilevel"/>
    <w:tmpl w:val="AC7CA330"/>
    <w:lvl w:ilvl="0" w:tplc="FD240F30">
      <w:start w:val="1"/>
      <w:numFmt w:val="lowerLetter"/>
      <w:lvlText w:val="%1.)"/>
      <w:lvlJc w:val="left"/>
      <w:pPr>
        <w:tabs>
          <w:tab w:val="num" w:pos="720"/>
        </w:tabs>
        <w:ind w:left="720" w:hanging="360"/>
      </w:pPr>
      <w:rPr>
        <w:rFonts w:ascii="Times New Roman" w:hAnsi="Times New Roman" w:cs="Times New Roman" w:hint="default"/>
        <w:color w:val="auto"/>
      </w:rPr>
    </w:lvl>
    <w:lvl w:ilvl="1" w:tplc="EBB4E248">
      <w:start w:val="2"/>
      <w:numFmt w:val="bullet"/>
      <w:pStyle w:val="alfelsorols"/>
      <w:lvlText w:val="-"/>
      <w:lvlJc w:val="left"/>
      <w:pPr>
        <w:tabs>
          <w:tab w:val="num" w:pos="1440"/>
        </w:tabs>
        <w:ind w:left="1440" w:hanging="360"/>
      </w:pPr>
      <w:rPr>
        <w:rFonts w:ascii="Times New Roman" w:eastAsia="Times New Roman" w:hAnsi="Times New Roman" w:cs="Times New Roman" w:hint="default"/>
        <w:color w:val="auto"/>
      </w:rPr>
    </w:lvl>
    <w:lvl w:ilvl="2" w:tplc="9DEA9B0E">
      <w:start w:val="2"/>
      <w:numFmt w:val="bullet"/>
      <w:lvlText w:val="-"/>
      <w:lvlJc w:val="left"/>
      <w:pPr>
        <w:tabs>
          <w:tab w:val="num" w:pos="2340"/>
        </w:tabs>
        <w:ind w:left="2340" w:hanging="360"/>
      </w:pPr>
      <w:rPr>
        <w:rFonts w:ascii="Times New Roman" w:eastAsia="Times New Roman" w:hAnsi="Times New Roman" w:cs="Times New Roman" w:hint="default"/>
      </w:rPr>
    </w:lvl>
    <w:lvl w:ilvl="3" w:tplc="E760F688">
      <w:start w:val="1"/>
      <w:numFmt w:val="decimal"/>
      <w:lvlText w:val="%4-"/>
      <w:lvlJc w:val="left"/>
      <w:pPr>
        <w:ind w:left="2880" w:hanging="360"/>
      </w:pPr>
      <w:rPr>
        <w:rFonts w:hint="default"/>
      </w:rPr>
    </w:lvl>
    <w:lvl w:ilvl="4" w:tplc="6B66800C">
      <w:start w:val="5"/>
      <w:numFmt w:val="upperRoman"/>
      <w:lvlText w:val="%5."/>
      <w:lvlJc w:val="left"/>
      <w:pPr>
        <w:ind w:left="3960" w:hanging="720"/>
      </w:pPr>
      <w:rPr>
        <w:rFonts w:hint="default"/>
      </w:rPr>
    </w:lvl>
    <w:lvl w:ilvl="5" w:tplc="C23C259C" w:tentative="1">
      <w:start w:val="1"/>
      <w:numFmt w:val="lowerRoman"/>
      <w:lvlText w:val="%6."/>
      <w:lvlJc w:val="right"/>
      <w:pPr>
        <w:tabs>
          <w:tab w:val="num" w:pos="4320"/>
        </w:tabs>
        <w:ind w:left="4320" w:hanging="180"/>
      </w:pPr>
    </w:lvl>
    <w:lvl w:ilvl="6" w:tplc="541C36A4" w:tentative="1">
      <w:start w:val="1"/>
      <w:numFmt w:val="decimal"/>
      <w:lvlText w:val="%7."/>
      <w:lvlJc w:val="left"/>
      <w:pPr>
        <w:tabs>
          <w:tab w:val="num" w:pos="5040"/>
        </w:tabs>
        <w:ind w:left="5040" w:hanging="360"/>
      </w:pPr>
    </w:lvl>
    <w:lvl w:ilvl="7" w:tplc="83A61F44" w:tentative="1">
      <w:start w:val="1"/>
      <w:numFmt w:val="lowerLetter"/>
      <w:lvlText w:val="%8."/>
      <w:lvlJc w:val="left"/>
      <w:pPr>
        <w:tabs>
          <w:tab w:val="num" w:pos="5760"/>
        </w:tabs>
        <w:ind w:left="5760" w:hanging="360"/>
      </w:pPr>
    </w:lvl>
    <w:lvl w:ilvl="8" w:tplc="EC0648DA" w:tentative="1">
      <w:start w:val="1"/>
      <w:numFmt w:val="lowerRoman"/>
      <w:lvlText w:val="%9."/>
      <w:lvlJc w:val="right"/>
      <w:pPr>
        <w:tabs>
          <w:tab w:val="num" w:pos="6480"/>
        </w:tabs>
        <w:ind w:left="6480" w:hanging="180"/>
      </w:pPr>
    </w:lvl>
  </w:abstractNum>
  <w:abstractNum w:abstractNumId="21" w15:restartNumberingAfterBreak="0">
    <w:nsid w:val="7C0E7AC2"/>
    <w:multiLevelType w:val="hybridMultilevel"/>
    <w:tmpl w:val="6FCA0378"/>
    <w:lvl w:ilvl="0" w:tplc="757C9314">
      <w:start w:val="1"/>
      <w:numFmt w:val="bullet"/>
      <w:lvlText w:val=""/>
      <w:lvlJc w:val="left"/>
      <w:pPr>
        <w:ind w:left="720" w:hanging="360"/>
      </w:pPr>
      <w:rPr>
        <w:rFonts w:ascii="Symbol" w:hAnsi="Symbol" w:hint="default"/>
      </w:rPr>
    </w:lvl>
    <w:lvl w:ilvl="1" w:tplc="CD7E1300" w:tentative="1">
      <w:start w:val="1"/>
      <w:numFmt w:val="bullet"/>
      <w:lvlText w:val="o"/>
      <w:lvlJc w:val="left"/>
      <w:pPr>
        <w:ind w:left="1440" w:hanging="360"/>
      </w:pPr>
      <w:rPr>
        <w:rFonts w:ascii="Courier New" w:hAnsi="Courier New" w:cs="Courier New" w:hint="default"/>
      </w:rPr>
    </w:lvl>
    <w:lvl w:ilvl="2" w:tplc="56CC23E6" w:tentative="1">
      <w:start w:val="1"/>
      <w:numFmt w:val="bullet"/>
      <w:lvlText w:val=""/>
      <w:lvlJc w:val="left"/>
      <w:pPr>
        <w:ind w:left="2160" w:hanging="360"/>
      </w:pPr>
      <w:rPr>
        <w:rFonts w:ascii="Wingdings" w:hAnsi="Wingdings" w:hint="default"/>
      </w:rPr>
    </w:lvl>
    <w:lvl w:ilvl="3" w:tplc="7F1603EC" w:tentative="1">
      <w:start w:val="1"/>
      <w:numFmt w:val="bullet"/>
      <w:lvlText w:val=""/>
      <w:lvlJc w:val="left"/>
      <w:pPr>
        <w:ind w:left="2880" w:hanging="360"/>
      </w:pPr>
      <w:rPr>
        <w:rFonts w:ascii="Symbol" w:hAnsi="Symbol" w:hint="default"/>
      </w:rPr>
    </w:lvl>
    <w:lvl w:ilvl="4" w:tplc="AFA01972" w:tentative="1">
      <w:start w:val="1"/>
      <w:numFmt w:val="bullet"/>
      <w:lvlText w:val="o"/>
      <w:lvlJc w:val="left"/>
      <w:pPr>
        <w:ind w:left="3600" w:hanging="360"/>
      </w:pPr>
      <w:rPr>
        <w:rFonts w:ascii="Courier New" w:hAnsi="Courier New" w:cs="Courier New" w:hint="default"/>
      </w:rPr>
    </w:lvl>
    <w:lvl w:ilvl="5" w:tplc="AE3CD2FE" w:tentative="1">
      <w:start w:val="1"/>
      <w:numFmt w:val="bullet"/>
      <w:lvlText w:val=""/>
      <w:lvlJc w:val="left"/>
      <w:pPr>
        <w:ind w:left="4320" w:hanging="360"/>
      </w:pPr>
      <w:rPr>
        <w:rFonts w:ascii="Wingdings" w:hAnsi="Wingdings" w:hint="default"/>
      </w:rPr>
    </w:lvl>
    <w:lvl w:ilvl="6" w:tplc="1A407C82" w:tentative="1">
      <w:start w:val="1"/>
      <w:numFmt w:val="bullet"/>
      <w:lvlText w:val=""/>
      <w:lvlJc w:val="left"/>
      <w:pPr>
        <w:ind w:left="5040" w:hanging="360"/>
      </w:pPr>
      <w:rPr>
        <w:rFonts w:ascii="Symbol" w:hAnsi="Symbol" w:hint="default"/>
      </w:rPr>
    </w:lvl>
    <w:lvl w:ilvl="7" w:tplc="2690ADD4" w:tentative="1">
      <w:start w:val="1"/>
      <w:numFmt w:val="bullet"/>
      <w:lvlText w:val="o"/>
      <w:lvlJc w:val="left"/>
      <w:pPr>
        <w:ind w:left="5760" w:hanging="360"/>
      </w:pPr>
      <w:rPr>
        <w:rFonts w:ascii="Courier New" w:hAnsi="Courier New" w:cs="Courier New" w:hint="default"/>
      </w:rPr>
    </w:lvl>
    <w:lvl w:ilvl="8" w:tplc="3208B360" w:tentative="1">
      <w:start w:val="1"/>
      <w:numFmt w:val="bullet"/>
      <w:lvlText w:val=""/>
      <w:lvlJc w:val="left"/>
      <w:pPr>
        <w:ind w:left="6480" w:hanging="360"/>
      </w:pPr>
      <w:rPr>
        <w:rFonts w:ascii="Wingdings" w:hAnsi="Wingdings" w:hint="default"/>
      </w:rPr>
    </w:lvl>
  </w:abstractNum>
  <w:abstractNum w:abstractNumId="22" w15:restartNumberingAfterBreak="0">
    <w:nsid w:val="7F983A31"/>
    <w:multiLevelType w:val="hybridMultilevel"/>
    <w:tmpl w:val="306ADBB0"/>
    <w:lvl w:ilvl="0" w:tplc="A2540D48">
      <w:start w:val="1"/>
      <w:numFmt w:val="bullet"/>
      <w:lvlText w:val=""/>
      <w:lvlJc w:val="left"/>
      <w:pPr>
        <w:ind w:left="720" w:hanging="360"/>
      </w:pPr>
      <w:rPr>
        <w:rFonts w:ascii="Symbol" w:hAnsi="Symbol" w:hint="default"/>
      </w:rPr>
    </w:lvl>
    <w:lvl w:ilvl="1" w:tplc="FD8CA1E8" w:tentative="1">
      <w:start w:val="1"/>
      <w:numFmt w:val="bullet"/>
      <w:lvlText w:val="o"/>
      <w:lvlJc w:val="left"/>
      <w:pPr>
        <w:ind w:left="1440" w:hanging="360"/>
      </w:pPr>
      <w:rPr>
        <w:rFonts w:ascii="Courier New" w:hAnsi="Courier New" w:cs="Courier New" w:hint="default"/>
      </w:rPr>
    </w:lvl>
    <w:lvl w:ilvl="2" w:tplc="D7A0A3B8" w:tentative="1">
      <w:start w:val="1"/>
      <w:numFmt w:val="bullet"/>
      <w:lvlText w:val=""/>
      <w:lvlJc w:val="left"/>
      <w:pPr>
        <w:ind w:left="2160" w:hanging="360"/>
      </w:pPr>
      <w:rPr>
        <w:rFonts w:ascii="Wingdings" w:hAnsi="Wingdings" w:hint="default"/>
      </w:rPr>
    </w:lvl>
    <w:lvl w:ilvl="3" w:tplc="666CB348" w:tentative="1">
      <w:start w:val="1"/>
      <w:numFmt w:val="bullet"/>
      <w:lvlText w:val=""/>
      <w:lvlJc w:val="left"/>
      <w:pPr>
        <w:ind w:left="2880" w:hanging="360"/>
      </w:pPr>
      <w:rPr>
        <w:rFonts w:ascii="Symbol" w:hAnsi="Symbol" w:hint="default"/>
      </w:rPr>
    </w:lvl>
    <w:lvl w:ilvl="4" w:tplc="6A826B98" w:tentative="1">
      <w:start w:val="1"/>
      <w:numFmt w:val="bullet"/>
      <w:lvlText w:val="o"/>
      <w:lvlJc w:val="left"/>
      <w:pPr>
        <w:ind w:left="3600" w:hanging="360"/>
      </w:pPr>
      <w:rPr>
        <w:rFonts w:ascii="Courier New" w:hAnsi="Courier New" w:cs="Courier New" w:hint="default"/>
      </w:rPr>
    </w:lvl>
    <w:lvl w:ilvl="5" w:tplc="2D126C10" w:tentative="1">
      <w:start w:val="1"/>
      <w:numFmt w:val="bullet"/>
      <w:lvlText w:val=""/>
      <w:lvlJc w:val="left"/>
      <w:pPr>
        <w:ind w:left="4320" w:hanging="360"/>
      </w:pPr>
      <w:rPr>
        <w:rFonts w:ascii="Wingdings" w:hAnsi="Wingdings" w:hint="default"/>
      </w:rPr>
    </w:lvl>
    <w:lvl w:ilvl="6" w:tplc="396AEB84" w:tentative="1">
      <w:start w:val="1"/>
      <w:numFmt w:val="bullet"/>
      <w:lvlText w:val=""/>
      <w:lvlJc w:val="left"/>
      <w:pPr>
        <w:ind w:left="5040" w:hanging="360"/>
      </w:pPr>
      <w:rPr>
        <w:rFonts w:ascii="Symbol" w:hAnsi="Symbol" w:hint="default"/>
      </w:rPr>
    </w:lvl>
    <w:lvl w:ilvl="7" w:tplc="E4B802AA" w:tentative="1">
      <w:start w:val="1"/>
      <w:numFmt w:val="bullet"/>
      <w:lvlText w:val="o"/>
      <w:lvlJc w:val="left"/>
      <w:pPr>
        <w:ind w:left="5760" w:hanging="360"/>
      </w:pPr>
      <w:rPr>
        <w:rFonts w:ascii="Courier New" w:hAnsi="Courier New" w:cs="Courier New" w:hint="default"/>
      </w:rPr>
    </w:lvl>
    <w:lvl w:ilvl="8" w:tplc="89CA8846" w:tentative="1">
      <w:start w:val="1"/>
      <w:numFmt w:val="bullet"/>
      <w:lvlText w:val=""/>
      <w:lvlJc w:val="left"/>
      <w:pPr>
        <w:ind w:left="6480" w:hanging="360"/>
      </w:pPr>
      <w:rPr>
        <w:rFonts w:ascii="Wingdings" w:hAnsi="Wingdings" w:hint="default"/>
      </w:rPr>
    </w:lvl>
  </w:abstractNum>
  <w:num w:numId="1" w16cid:durableId="1461344643">
    <w:abstractNumId w:val="8"/>
  </w:num>
  <w:num w:numId="2" w16cid:durableId="1213543528">
    <w:abstractNumId w:val="5"/>
  </w:num>
  <w:num w:numId="3" w16cid:durableId="1625381728">
    <w:abstractNumId w:val="9"/>
  </w:num>
  <w:num w:numId="4" w16cid:durableId="1542784640">
    <w:abstractNumId w:val="2"/>
  </w:num>
  <w:num w:numId="5" w16cid:durableId="1271008408">
    <w:abstractNumId w:val="3"/>
  </w:num>
  <w:num w:numId="6" w16cid:durableId="47147496">
    <w:abstractNumId w:val="6"/>
  </w:num>
  <w:num w:numId="7" w16cid:durableId="557329483">
    <w:abstractNumId w:val="16"/>
  </w:num>
  <w:num w:numId="8" w16cid:durableId="336346445">
    <w:abstractNumId w:val="12"/>
  </w:num>
  <w:num w:numId="9" w16cid:durableId="873618825">
    <w:abstractNumId w:val="11"/>
  </w:num>
  <w:num w:numId="10" w16cid:durableId="766463317">
    <w:abstractNumId w:val="20"/>
  </w:num>
  <w:num w:numId="11" w16cid:durableId="352924487">
    <w:abstractNumId w:val="21"/>
  </w:num>
  <w:num w:numId="12" w16cid:durableId="624501572">
    <w:abstractNumId w:val="22"/>
  </w:num>
  <w:num w:numId="13" w16cid:durableId="1120303108">
    <w:abstractNumId w:val="19"/>
  </w:num>
  <w:num w:numId="14" w16cid:durableId="1660112801">
    <w:abstractNumId w:val="17"/>
  </w:num>
  <w:num w:numId="15" w16cid:durableId="370224949">
    <w:abstractNumId w:val="12"/>
    <w:lvlOverride w:ilvl="0">
      <w:startOverride w:val="1"/>
    </w:lvlOverride>
  </w:num>
  <w:num w:numId="16" w16cid:durableId="1717124144">
    <w:abstractNumId w:val="4"/>
  </w:num>
  <w:num w:numId="17" w16cid:durableId="391008767">
    <w:abstractNumId w:val="18"/>
  </w:num>
  <w:num w:numId="18" w16cid:durableId="198512596">
    <w:abstractNumId w:val="13"/>
  </w:num>
  <w:num w:numId="19" w16cid:durableId="879632294">
    <w:abstractNumId w:val="10"/>
  </w:num>
  <w:num w:numId="20" w16cid:durableId="520242803">
    <w:abstractNumId w:val="7"/>
  </w:num>
  <w:num w:numId="21" w16cid:durableId="325866993">
    <w:abstractNumId w:val="15"/>
  </w:num>
  <w:num w:numId="22" w16cid:durableId="697044555">
    <w:abstractNumId w:val="1"/>
  </w:num>
  <w:num w:numId="23" w16cid:durableId="133379442">
    <w:abstractNumId w:val="14"/>
  </w:num>
  <w:num w:numId="24" w16cid:durableId="143729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defaultTabStop w:val="709"/>
  <w:hyphenationZone w:val="425"/>
  <w:noPunctuationKerning/>
  <w:characterSpacingControl w:val="doNotCompress"/>
  <w:footnotePr>
    <w:pos w:val="beneathTex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C3"/>
    <w:rsid w:val="00272A61"/>
    <w:rsid w:val="003926D9"/>
    <w:rsid w:val="00491E83"/>
    <w:rsid w:val="005B6944"/>
    <w:rsid w:val="006D54C1"/>
    <w:rsid w:val="00810F0D"/>
    <w:rsid w:val="008246C8"/>
    <w:rsid w:val="00DB3BC3"/>
    <w:rsid w:val="00DF5E0E"/>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3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l">
    <w:name w:val="Normal"/>
    <w:qFormat/>
    <w:rsid w:val="00DF5E0E"/>
    <w:pPr>
      <w:spacing w:after="150" w:line="276" w:lineRule="auto"/>
      <w:jc w:val="both"/>
    </w:pPr>
    <w:rPr>
      <w:rFonts w:ascii="Calibri" w:eastAsiaTheme="minorHAnsi" w:hAnsi="Calibri" w:cstheme="minorBidi"/>
    </w:rPr>
  </w:style>
  <w:style w:type="paragraph" w:styleId="Cmsor1">
    <w:name w:val="heading 1"/>
    <w:basedOn w:val="Norml"/>
    <w:next w:val="Norml"/>
    <w:link w:val="Cmsor1Char"/>
    <w:qFormat/>
    <w:rsid w:val="00DF5E0E"/>
    <w:pPr>
      <w:keepNext/>
      <w:keepLines/>
      <w:numPr>
        <w:numId w:val="3"/>
      </w:numPr>
      <w:spacing w:before="480" w:after="210"/>
      <w:jc w:val="left"/>
      <w:outlineLvl w:val="0"/>
    </w:pPr>
    <w:rPr>
      <w:rFonts w:eastAsiaTheme="majorEastAsia" w:cstheme="majorBidi"/>
      <w:b/>
      <w:bCs/>
      <w:caps/>
      <w:color w:val="1F497D" w:themeColor="text2"/>
      <w:sz w:val="24"/>
      <w:szCs w:val="42"/>
    </w:rPr>
  </w:style>
  <w:style w:type="paragraph" w:styleId="Cmsor2">
    <w:name w:val="heading 2"/>
    <w:basedOn w:val="Norml"/>
    <w:next w:val="Norml"/>
    <w:link w:val="Cmsor2Char"/>
    <w:unhideWhenUsed/>
    <w:qFormat/>
    <w:rsid w:val="00DF5E0E"/>
    <w:pPr>
      <w:numPr>
        <w:ilvl w:val="1"/>
        <w:numId w:val="3"/>
      </w:numPr>
      <w:spacing w:before="210" w:after="75"/>
      <w:jc w:val="left"/>
      <w:outlineLvl w:val="1"/>
    </w:pPr>
    <w:rPr>
      <w:b/>
      <w:color w:val="1F497D" w:themeColor="text2"/>
      <w:sz w:val="24"/>
      <w:szCs w:val="38"/>
    </w:rPr>
  </w:style>
  <w:style w:type="paragraph" w:styleId="Cmsor3">
    <w:name w:val="heading 3"/>
    <w:basedOn w:val="Norml"/>
    <w:next w:val="Norml"/>
    <w:link w:val="Cmsor3Char"/>
    <w:unhideWhenUsed/>
    <w:qFormat/>
    <w:rsid w:val="00DF5E0E"/>
    <w:pPr>
      <w:numPr>
        <w:ilvl w:val="2"/>
        <w:numId w:val="3"/>
      </w:numPr>
      <w:spacing w:before="75" w:after="75"/>
      <w:jc w:val="left"/>
      <w:outlineLvl w:val="2"/>
    </w:pPr>
    <w:rPr>
      <w:bCs/>
      <w:color w:val="1F497D" w:themeColor="text2"/>
      <w:szCs w:val="34"/>
    </w:rPr>
  </w:style>
  <w:style w:type="paragraph" w:styleId="Cmsor4">
    <w:name w:val="heading 4"/>
    <w:basedOn w:val="Norml"/>
    <w:next w:val="Norml"/>
    <w:link w:val="Cmsor4Char"/>
    <w:unhideWhenUsed/>
    <w:qFormat/>
    <w:rsid w:val="00DF5E0E"/>
    <w:pPr>
      <w:numPr>
        <w:ilvl w:val="3"/>
        <w:numId w:val="3"/>
      </w:numPr>
      <w:spacing w:before="75" w:after="75"/>
      <w:jc w:val="left"/>
      <w:outlineLvl w:val="3"/>
    </w:pPr>
    <w:rPr>
      <w:iCs/>
      <w:color w:val="1F497D" w:themeColor="text2"/>
      <w:szCs w:val="30"/>
    </w:rPr>
  </w:style>
  <w:style w:type="paragraph" w:styleId="Cmsor5">
    <w:name w:val="heading 5"/>
    <w:basedOn w:val="Norml"/>
    <w:next w:val="Norml"/>
    <w:link w:val="Cmsor5Char"/>
    <w:unhideWhenUsed/>
    <w:qFormat/>
    <w:rsid w:val="00DF5E0E"/>
    <w:pPr>
      <w:numPr>
        <w:ilvl w:val="4"/>
        <w:numId w:val="3"/>
      </w:numPr>
      <w:spacing w:before="75" w:after="75"/>
      <w:jc w:val="left"/>
      <w:outlineLvl w:val="4"/>
    </w:pPr>
    <w:rPr>
      <w:color w:val="1F497D" w:themeColor="text2"/>
      <w:szCs w:val="26"/>
    </w:rPr>
  </w:style>
  <w:style w:type="paragraph" w:styleId="Cmsor6">
    <w:name w:val="heading 6"/>
    <w:basedOn w:val="Norml"/>
    <w:next w:val="Norml"/>
    <w:link w:val="Cmsor6Char"/>
    <w:unhideWhenUsed/>
    <w:qFormat/>
    <w:rsid w:val="00DF5E0E"/>
    <w:pPr>
      <w:numPr>
        <w:ilvl w:val="5"/>
        <w:numId w:val="3"/>
      </w:numPr>
      <w:spacing w:before="75" w:after="75"/>
      <w:jc w:val="left"/>
      <w:outlineLvl w:val="5"/>
    </w:pPr>
    <w:rPr>
      <w:color w:val="1F497D" w:themeColor="text2"/>
    </w:rPr>
  </w:style>
  <w:style w:type="paragraph" w:styleId="Cmsor7">
    <w:name w:val="heading 7"/>
    <w:basedOn w:val="Norml"/>
    <w:next w:val="Norml"/>
    <w:link w:val="Cmsor7Char"/>
    <w:uiPriority w:val="9"/>
    <w:semiHidden/>
    <w:unhideWhenUsed/>
    <w:qFormat/>
    <w:rsid w:val="00DF5E0E"/>
    <w:pPr>
      <w:keepNext/>
      <w:keepLines/>
      <w:numPr>
        <w:ilvl w:val="6"/>
        <w:numId w:val="3"/>
      </w:numPr>
      <w:spacing w:before="200"/>
      <w:outlineLvl w:val="6"/>
    </w:pPr>
    <w:rPr>
      <w:rFonts w:eastAsiaTheme="majorEastAsia" w:cstheme="majorBidi"/>
      <w:i/>
      <w:iCs/>
      <w:color w:val="404040" w:themeColor="text1" w:themeTint="BF"/>
    </w:rPr>
  </w:style>
  <w:style w:type="paragraph" w:styleId="Cmsor8">
    <w:name w:val="heading 8"/>
    <w:basedOn w:val="Norml"/>
    <w:next w:val="Norml"/>
    <w:link w:val="Cmsor8Char"/>
    <w:uiPriority w:val="9"/>
    <w:semiHidden/>
    <w:unhideWhenUsed/>
    <w:qFormat/>
    <w:rsid w:val="00DF5E0E"/>
    <w:pPr>
      <w:keepNext/>
      <w:keepLines/>
      <w:numPr>
        <w:ilvl w:val="7"/>
        <w:numId w:val="3"/>
      </w:numPr>
      <w:spacing w:before="200"/>
      <w:outlineLvl w:val="7"/>
    </w:pPr>
    <w:rPr>
      <w:rFonts w:eastAsiaTheme="majorEastAsia" w:cstheme="majorBidi"/>
      <w:color w:val="404040" w:themeColor="text1" w:themeTint="BF"/>
    </w:rPr>
  </w:style>
  <w:style w:type="paragraph" w:styleId="Cmsor9">
    <w:name w:val="heading 9"/>
    <w:basedOn w:val="Norml"/>
    <w:next w:val="Norml"/>
    <w:link w:val="Cmsor9Char"/>
    <w:uiPriority w:val="9"/>
    <w:semiHidden/>
    <w:unhideWhenUsed/>
    <w:qFormat/>
    <w:rsid w:val="00DF5E0E"/>
    <w:pPr>
      <w:keepNext/>
      <w:keepLines/>
      <w:numPr>
        <w:ilvl w:val="8"/>
        <w:numId w:val="3"/>
      </w:numPr>
      <w:spacing w:before="200"/>
      <w:outlineLvl w:val="8"/>
    </w:pPr>
    <w:rPr>
      <w:rFonts w:eastAsiaTheme="majorEastAsia" w:cstheme="majorBidi"/>
      <w:i/>
      <w:iCs/>
      <w:color w:val="404040" w:themeColor="text1" w:themeTint="BF"/>
    </w:rPr>
  </w:style>
  <w:style w:type="character" w:default="1" w:styleId="Bekezdsalapbettpusa">
    <w:name w:val="Default Paragraph Font"/>
    <w:uiPriority w:val="1"/>
    <w:semiHidden/>
    <w:unhideWhenUsed/>
    <w:rsid w:val="00DF5E0E"/>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DF5E0E"/>
  </w:style>
  <w:style w:type="table" w:customStyle="1" w:styleId="tblzat-mtrix">
    <w:name w:val="táblázat - mátrix"/>
    <w:basedOn w:val="Normltblzat"/>
    <w:uiPriority w:val="2"/>
    <w:qFormat/>
    <w:rsid w:val="00DF5E0E"/>
    <w:pPr>
      <w:contextualSpacing/>
    </w:pPr>
    <w:rPr>
      <w:rFonts w:asciiTheme="majorHAnsi" w:hAnsiTheme="majorHAnsi" w:cstheme="minorBidi"/>
    </w:rPr>
    <w:tblPr>
      <w:tblStyleRowBandSize w:val="1"/>
      <w:tblStyleColBandSize w:val="1"/>
      <w:tblBorders>
        <w:top w:val="single" w:sz="2" w:space="0" w:color="4BACC6" w:themeColor="accent5"/>
        <w:left w:val="single" w:sz="2" w:space="0" w:color="4BACC6" w:themeColor="accent5"/>
        <w:bottom w:val="single" w:sz="2" w:space="0" w:color="4BACC6" w:themeColor="accent5"/>
        <w:right w:val="single" w:sz="2" w:space="0" w:color="4BACC6" w:themeColor="accent5"/>
        <w:insideH w:val="single" w:sz="2" w:space="0" w:color="4BACC6" w:themeColor="accent5"/>
        <w:insideV w:val="single" w:sz="2" w:space="0" w:color="4BACC6"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EECE1" w:themeFill="background2"/>
      </w:tcPr>
    </w:tblStylePr>
    <w:tblStylePr w:type="firstCol">
      <w:pPr>
        <w:jc w:val="left"/>
      </w:pPr>
      <w:rPr>
        <w:rFonts w:asciiTheme="majorHAnsi" w:hAnsiTheme="majorHAnsi"/>
        <w:sz w:val="20"/>
      </w:rPr>
      <w:tblPr/>
      <w:tcPr>
        <w:shd w:val="clear" w:color="auto" w:fill="EEECE1" w:themeFill="background2"/>
      </w:tcPr>
    </w:tblStylePr>
  </w:style>
  <w:style w:type="table" w:customStyle="1" w:styleId="tblzat-fejlces">
    <w:name w:val="táblázat - fejléces"/>
    <w:basedOn w:val="Normltblzat"/>
    <w:uiPriority w:val="1"/>
    <w:qFormat/>
    <w:rsid w:val="00DF5E0E"/>
    <w:pPr>
      <w:contextualSpacing/>
    </w:pPr>
    <w:rPr>
      <w:rFonts w:asciiTheme="majorHAnsi" w:hAnsiTheme="majorHAnsi" w:cstheme="minorBid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EECE1" w:themeFill="background2"/>
      </w:tcPr>
    </w:tblStylePr>
    <w:tblStylePr w:type="firstCol">
      <w:rPr>
        <w:rFonts w:asciiTheme="majorHAnsi" w:hAnsiTheme="majorHAnsi"/>
        <w:sz w:val="20"/>
      </w:rPr>
    </w:tblStylePr>
  </w:style>
  <w:style w:type="paragraph" w:styleId="Listaszerbekezds">
    <w:name w:val="List Paragraph"/>
    <w:basedOn w:val="Norml"/>
    <w:link w:val="ListaszerbekezdsChar"/>
    <w:uiPriority w:val="4"/>
    <w:qFormat/>
    <w:rsid w:val="00DF5E0E"/>
    <w:pPr>
      <w:numPr>
        <w:numId w:val="15"/>
      </w:numPr>
      <w:contextualSpacing/>
    </w:pPr>
  </w:style>
  <w:style w:type="character" w:styleId="Hiperhivatkozs">
    <w:name w:val="Hyperlink"/>
    <w:basedOn w:val="Vgjegyzet-hivatkozs"/>
    <w:uiPriority w:val="99"/>
    <w:rsid w:val="00DF5E0E"/>
    <w:rPr>
      <w:rFonts w:ascii="Calibri" w:hAnsi="Calibri"/>
      <w:color w:val="0000FF"/>
      <w:sz w:val="20"/>
      <w:u w:val="single"/>
      <w:vertAlign w:val="superscript"/>
    </w:rPr>
  </w:style>
  <w:style w:type="table" w:customStyle="1" w:styleId="tblzat-oldallces">
    <w:name w:val="táblázat - oldalléces"/>
    <w:basedOn w:val="Normltblzat"/>
    <w:uiPriority w:val="3"/>
    <w:qFormat/>
    <w:rsid w:val="00DF5E0E"/>
    <w:pPr>
      <w:contextualSpacing/>
    </w:pPr>
    <w:rPr>
      <w:rFonts w:asciiTheme="majorHAnsi" w:hAnsiTheme="majorHAnsi" w:cstheme="minorBid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EECE1" w:themeFill="background2"/>
      </w:tcPr>
    </w:tblStylePr>
  </w:style>
  <w:style w:type="character" w:styleId="Vgjegyzet-hivatkozs">
    <w:name w:val="endnote reference"/>
    <w:basedOn w:val="Bekezdsalapbettpusa"/>
    <w:semiHidden/>
    <w:rsid w:val="00DF5E0E"/>
    <w:rPr>
      <w:vertAlign w:val="superscript"/>
    </w:rPr>
  </w:style>
  <w:style w:type="paragraph" w:styleId="Buborkszveg">
    <w:name w:val="Balloon Text"/>
    <w:basedOn w:val="Norml"/>
    <w:link w:val="BuborkszvegChar"/>
    <w:uiPriority w:val="99"/>
    <w:semiHidden/>
    <w:unhideWhenUsed/>
    <w:rsid w:val="00DF5E0E"/>
    <w:rPr>
      <w:rFonts w:ascii="Tahoma" w:hAnsi="Tahoma" w:cs="Tahoma"/>
      <w:sz w:val="16"/>
      <w:szCs w:val="16"/>
    </w:rPr>
  </w:style>
  <w:style w:type="paragraph" w:customStyle="1" w:styleId="Magyarzszveg">
    <w:name w:val="Magyarázó szöveg"/>
    <w:basedOn w:val="Norml"/>
    <w:next w:val="Norml"/>
    <w:uiPriority w:val="7"/>
    <w:rsid w:val="00DF5E0E"/>
    <w:rPr>
      <w:color w:val="4BACC6" w:themeColor="accent5"/>
      <w:sz w:val="18"/>
    </w:rPr>
  </w:style>
  <w:style w:type="character" w:customStyle="1" w:styleId="BuborkszvegChar">
    <w:name w:val="Buborékszöveg Char"/>
    <w:basedOn w:val="Bekezdsalapbettpusa"/>
    <w:link w:val="Buborkszveg"/>
    <w:uiPriority w:val="99"/>
    <w:semiHidden/>
    <w:rsid w:val="00DF5E0E"/>
    <w:rPr>
      <w:rFonts w:ascii="Tahoma" w:eastAsiaTheme="minorHAnsi" w:hAnsi="Tahoma" w:cs="Tahoma"/>
      <w:sz w:val="16"/>
      <w:szCs w:val="16"/>
    </w:rPr>
  </w:style>
  <w:style w:type="paragraph" w:styleId="lfej">
    <w:name w:val="header"/>
    <w:basedOn w:val="Norml"/>
    <w:link w:val="lfejChar"/>
    <w:uiPriority w:val="99"/>
    <w:unhideWhenUsed/>
    <w:rsid w:val="00DF5E0E"/>
    <w:pPr>
      <w:tabs>
        <w:tab w:val="center" w:pos="4536"/>
        <w:tab w:val="right" w:pos="9072"/>
      </w:tabs>
    </w:pPr>
  </w:style>
  <w:style w:type="character" w:customStyle="1" w:styleId="lfejChar">
    <w:name w:val="Élőfej Char"/>
    <w:basedOn w:val="Bekezdsalapbettpusa"/>
    <w:link w:val="lfej"/>
    <w:uiPriority w:val="99"/>
    <w:rsid w:val="00DF5E0E"/>
    <w:rPr>
      <w:rFonts w:ascii="Calibri" w:eastAsiaTheme="minorHAnsi" w:hAnsi="Calibri" w:cstheme="minorBidi"/>
    </w:rPr>
  </w:style>
  <w:style w:type="paragraph" w:styleId="llb">
    <w:name w:val="footer"/>
    <w:basedOn w:val="Norml"/>
    <w:link w:val="llbChar"/>
    <w:uiPriority w:val="99"/>
    <w:unhideWhenUsed/>
    <w:rsid w:val="00DF5E0E"/>
    <w:pPr>
      <w:tabs>
        <w:tab w:val="center" w:pos="4536"/>
        <w:tab w:val="right" w:pos="9072"/>
      </w:tabs>
    </w:pPr>
  </w:style>
  <w:style w:type="character" w:customStyle="1" w:styleId="llbChar">
    <w:name w:val="Élőláb Char"/>
    <w:basedOn w:val="Bekezdsalapbettpusa"/>
    <w:link w:val="llb"/>
    <w:uiPriority w:val="99"/>
    <w:rsid w:val="00DF5E0E"/>
    <w:rPr>
      <w:rFonts w:ascii="Calibri" w:eastAsiaTheme="minorHAnsi" w:hAnsi="Calibri" w:cstheme="minorBidi"/>
    </w:rPr>
  </w:style>
  <w:style w:type="paragraph" w:customStyle="1" w:styleId="Szmozs">
    <w:name w:val="Számozás"/>
    <w:basedOn w:val="Norml"/>
    <w:uiPriority w:val="4"/>
    <w:qFormat/>
    <w:rsid w:val="00DF5E0E"/>
    <w:pPr>
      <w:numPr>
        <w:numId w:val="4"/>
      </w:numPr>
      <w:spacing w:before="120"/>
      <w:contextualSpacing/>
    </w:pPr>
  </w:style>
  <w:style w:type="table" w:styleId="Rcsostblzat">
    <w:name w:val="Table Grid"/>
    <w:aliases w:val="Szegély nélküli"/>
    <w:basedOn w:val="Normltblzat"/>
    <w:uiPriority w:val="59"/>
    <w:rsid w:val="00DF5E0E"/>
    <w:pPr>
      <w:contextualSpacing/>
    </w:pPr>
    <w:rPr>
      <w:rFonts w:ascii="Calibri" w:eastAsiaTheme="minorHAnsi" w:hAnsi="Calibri" w:cstheme="minorBidi"/>
    </w:rPr>
    <w:tblPr/>
    <w:tcPr>
      <w:vAlign w:val="center"/>
    </w:tcPr>
  </w:style>
  <w:style w:type="character" w:customStyle="1" w:styleId="Cmsor4Char">
    <w:name w:val="Címsor 4 Char"/>
    <w:basedOn w:val="Bekezdsalapbettpusa"/>
    <w:link w:val="Cmsor4"/>
    <w:rsid w:val="00DF5E0E"/>
    <w:rPr>
      <w:rFonts w:ascii="Calibri" w:eastAsiaTheme="minorHAnsi" w:hAnsi="Calibri" w:cstheme="minorBidi"/>
      <w:iCs/>
      <w:color w:val="1F497D" w:themeColor="text2"/>
      <w:szCs w:val="30"/>
    </w:rPr>
  </w:style>
  <w:style w:type="character" w:customStyle="1" w:styleId="Cmsor5Char">
    <w:name w:val="Címsor 5 Char"/>
    <w:basedOn w:val="Bekezdsalapbettpusa"/>
    <w:link w:val="Cmsor5"/>
    <w:rsid w:val="00DF5E0E"/>
    <w:rPr>
      <w:rFonts w:ascii="Calibri" w:eastAsiaTheme="minorHAnsi" w:hAnsi="Calibri" w:cstheme="minorBidi"/>
      <w:color w:val="1F497D" w:themeColor="text2"/>
      <w:szCs w:val="26"/>
    </w:rPr>
  </w:style>
  <w:style w:type="character" w:customStyle="1" w:styleId="Cmsor6Char">
    <w:name w:val="Címsor 6 Char"/>
    <w:basedOn w:val="Bekezdsalapbettpusa"/>
    <w:link w:val="Cmsor6"/>
    <w:rsid w:val="00DF5E0E"/>
    <w:rPr>
      <w:rFonts w:ascii="Calibri" w:eastAsiaTheme="minorHAnsi" w:hAnsi="Calibri" w:cstheme="minorBidi"/>
      <w:color w:val="1F497D" w:themeColor="text2"/>
    </w:rPr>
  </w:style>
  <w:style w:type="character" w:customStyle="1" w:styleId="Cmsor1Char">
    <w:name w:val="Címsor 1 Char"/>
    <w:basedOn w:val="Bekezdsalapbettpusa"/>
    <w:link w:val="Cmsor1"/>
    <w:rsid w:val="00DF5E0E"/>
    <w:rPr>
      <w:rFonts w:ascii="Calibri" w:eastAsiaTheme="majorEastAsia" w:hAnsi="Calibri" w:cstheme="majorBidi"/>
      <w:b/>
      <w:bCs/>
      <w:caps/>
      <w:color w:val="1F497D" w:themeColor="text2"/>
      <w:sz w:val="24"/>
      <w:szCs w:val="42"/>
    </w:rPr>
  </w:style>
  <w:style w:type="character" w:customStyle="1" w:styleId="Cmsor2Char">
    <w:name w:val="Címsor 2 Char"/>
    <w:basedOn w:val="Bekezdsalapbettpusa"/>
    <w:link w:val="Cmsor2"/>
    <w:rsid w:val="00DF5E0E"/>
    <w:rPr>
      <w:rFonts w:ascii="Calibri" w:eastAsiaTheme="minorHAnsi" w:hAnsi="Calibri" w:cstheme="minorBidi"/>
      <w:b/>
      <w:color w:val="1F497D" w:themeColor="text2"/>
      <w:sz w:val="24"/>
      <w:szCs w:val="38"/>
    </w:rPr>
  </w:style>
  <w:style w:type="character" w:customStyle="1" w:styleId="Cmsor3Char">
    <w:name w:val="Címsor 3 Char"/>
    <w:basedOn w:val="Bekezdsalapbettpusa"/>
    <w:link w:val="Cmsor3"/>
    <w:rsid w:val="00DF5E0E"/>
    <w:rPr>
      <w:rFonts w:ascii="Calibri" w:eastAsiaTheme="minorHAnsi" w:hAnsi="Calibri" w:cstheme="minorBidi"/>
      <w:bCs/>
      <w:color w:val="1F497D" w:themeColor="text2"/>
      <w:szCs w:val="34"/>
    </w:rPr>
  </w:style>
  <w:style w:type="paragraph" w:styleId="Cm">
    <w:name w:val="Title"/>
    <w:basedOn w:val="Norml"/>
    <w:next w:val="Norml"/>
    <w:link w:val="CmChar"/>
    <w:uiPriority w:val="3"/>
    <w:qFormat/>
    <w:rsid w:val="00DF5E0E"/>
    <w:pPr>
      <w:spacing w:after="300"/>
      <w:contextualSpacing/>
    </w:pPr>
    <w:rPr>
      <w:rFonts w:eastAsiaTheme="majorEastAsia" w:cstheme="majorBidi"/>
      <w:caps/>
      <w:color w:val="1F497D" w:themeColor="text2"/>
      <w:spacing w:val="5"/>
      <w:kern w:val="28"/>
      <w:sz w:val="24"/>
      <w:szCs w:val="52"/>
    </w:rPr>
  </w:style>
  <w:style w:type="character" w:customStyle="1" w:styleId="CmChar">
    <w:name w:val="Cím Char"/>
    <w:basedOn w:val="Bekezdsalapbettpusa"/>
    <w:link w:val="Cm"/>
    <w:uiPriority w:val="3"/>
    <w:rsid w:val="00DF5E0E"/>
    <w:rPr>
      <w:rFonts w:ascii="Calibri" w:eastAsiaTheme="majorEastAsia" w:hAnsi="Calibri" w:cstheme="majorBidi"/>
      <w:caps/>
      <w:color w:val="1F497D" w:themeColor="text2"/>
      <w:spacing w:val="5"/>
      <w:kern w:val="28"/>
      <w:sz w:val="24"/>
      <w:szCs w:val="52"/>
    </w:rPr>
  </w:style>
  <w:style w:type="character" w:customStyle="1" w:styleId="Cmsor7Char">
    <w:name w:val="Címsor 7 Char"/>
    <w:basedOn w:val="Bekezdsalapbettpusa"/>
    <w:link w:val="Cmsor7"/>
    <w:uiPriority w:val="9"/>
    <w:semiHidden/>
    <w:rsid w:val="00DF5E0E"/>
    <w:rPr>
      <w:rFonts w:ascii="Calibri" w:eastAsiaTheme="majorEastAsia" w:hAnsi="Calibri" w:cstheme="majorBidi"/>
      <w:i/>
      <w:iCs/>
      <w:color w:val="404040" w:themeColor="text1" w:themeTint="BF"/>
    </w:rPr>
  </w:style>
  <w:style w:type="character" w:customStyle="1" w:styleId="Cmsor8Char">
    <w:name w:val="Címsor 8 Char"/>
    <w:basedOn w:val="Bekezdsalapbettpusa"/>
    <w:link w:val="Cmsor8"/>
    <w:uiPriority w:val="9"/>
    <w:semiHidden/>
    <w:rsid w:val="00DF5E0E"/>
    <w:rPr>
      <w:rFonts w:ascii="Calibri" w:eastAsiaTheme="majorEastAsia" w:hAnsi="Calibri" w:cstheme="majorBidi"/>
      <w:color w:val="404040" w:themeColor="text1" w:themeTint="BF"/>
    </w:rPr>
  </w:style>
  <w:style w:type="character" w:customStyle="1" w:styleId="Cmsor9Char">
    <w:name w:val="Címsor 9 Char"/>
    <w:basedOn w:val="Bekezdsalapbettpusa"/>
    <w:link w:val="Cmsor9"/>
    <w:uiPriority w:val="9"/>
    <w:semiHidden/>
    <w:rsid w:val="00DF5E0E"/>
    <w:rPr>
      <w:rFonts w:ascii="Calibri" w:eastAsiaTheme="majorEastAsia" w:hAnsi="Calibri" w:cstheme="majorBidi"/>
      <w:i/>
      <w:iCs/>
      <w:color w:val="404040" w:themeColor="text1" w:themeTint="BF"/>
    </w:rPr>
  </w:style>
  <w:style w:type="numbering" w:customStyle="1" w:styleId="Style1">
    <w:name w:val="Style1"/>
    <w:uiPriority w:val="99"/>
    <w:rsid w:val="00DF5E0E"/>
    <w:pPr>
      <w:numPr>
        <w:numId w:val="1"/>
      </w:numPr>
    </w:pPr>
  </w:style>
  <w:style w:type="paragraph" w:styleId="TJ7">
    <w:name w:val="toc 7"/>
    <w:basedOn w:val="Norml"/>
    <w:next w:val="Norml"/>
    <w:autoRedefine/>
    <w:uiPriority w:val="99"/>
    <w:semiHidden/>
    <w:locked/>
    <w:rsid w:val="00DF5E0E"/>
    <w:pPr>
      <w:spacing w:after="100"/>
      <w:ind w:left="1200"/>
    </w:pPr>
    <w:rPr>
      <w:color w:val="984806" w:themeColor="accent6" w:themeShade="80"/>
    </w:rPr>
  </w:style>
  <w:style w:type="paragraph" w:styleId="TJ8">
    <w:name w:val="toc 8"/>
    <w:basedOn w:val="Norml"/>
    <w:next w:val="Norml"/>
    <w:autoRedefine/>
    <w:uiPriority w:val="99"/>
    <w:semiHidden/>
    <w:locked/>
    <w:rsid w:val="00DF5E0E"/>
    <w:pPr>
      <w:spacing w:after="100"/>
      <w:ind w:left="1400"/>
    </w:pPr>
    <w:rPr>
      <w:color w:val="984806" w:themeColor="accent6" w:themeShade="80"/>
    </w:rPr>
  </w:style>
  <w:style w:type="paragraph" w:styleId="TJ9">
    <w:name w:val="toc 9"/>
    <w:basedOn w:val="Norml"/>
    <w:next w:val="Norml"/>
    <w:autoRedefine/>
    <w:uiPriority w:val="99"/>
    <w:semiHidden/>
    <w:locked/>
    <w:rsid w:val="00DF5E0E"/>
    <w:pPr>
      <w:spacing w:after="100"/>
      <w:ind w:left="1600"/>
    </w:pPr>
    <w:rPr>
      <w:color w:val="984806" w:themeColor="accent6" w:themeShade="80"/>
    </w:rPr>
  </w:style>
  <w:style w:type="table" w:customStyle="1" w:styleId="Calendar2">
    <w:name w:val="Calendar 2"/>
    <w:basedOn w:val="Normltblzat"/>
    <w:uiPriority w:val="99"/>
    <w:qFormat/>
    <w:rsid w:val="00DF5E0E"/>
    <w:pPr>
      <w:jc w:val="center"/>
    </w:pPr>
    <w:rPr>
      <w:rFonts w:ascii="Calibri" w:eastAsiaTheme="minorEastAsia" w:hAnsi="Calibri" w:cstheme="minorBidi"/>
      <w:szCs w:val="28"/>
      <w:lang w:val="en-US" w:eastAsia="en-US" w:bidi="en-US"/>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styleId="Lbjegyzetszveg">
    <w:name w:val="footnote text"/>
    <w:aliases w:val="Fodnotetekst Tegn Tegn Tegn Tegn Tegn Tegn Tegn,Fodnotetekst Tegn Tegn Tegn Tegn Tegn Tegn Tegn Char Char,Fodnotetekst Tegn Tegn Tegn Tegn Tegn Tegn Tegn Char Char Char Char,Fodnotetekst Tegn Tegn Tegn Tegn Tegn Tegn Tegn Tegn Tegn Tegn"/>
    <w:basedOn w:val="Norml"/>
    <w:link w:val="LbjegyzetszvegChar"/>
    <w:uiPriority w:val="99"/>
    <w:unhideWhenUsed/>
    <w:qFormat/>
    <w:rsid w:val="00DF5E0E"/>
    <w:rPr>
      <w:rFonts w:eastAsiaTheme="minorEastAsia"/>
      <w:color w:val="1F497D" w:themeColor="text2"/>
      <w:sz w:val="16"/>
    </w:rPr>
  </w:style>
  <w:style w:type="character" w:customStyle="1" w:styleId="LbjegyzetszvegChar">
    <w:name w:val="Lábjegyzetszöveg Char"/>
    <w:aliases w:val="Fodnotetekst Tegn Tegn Tegn Tegn Tegn Tegn Tegn Char,Fodnotetekst Tegn Tegn Tegn Tegn Tegn Tegn Tegn Char Char Char,Fodnotetekst Tegn Tegn Tegn Tegn Tegn Tegn Tegn Char Char Char Char Char"/>
    <w:basedOn w:val="Bekezdsalapbettpusa"/>
    <w:link w:val="Lbjegyzetszveg"/>
    <w:uiPriority w:val="99"/>
    <w:rsid w:val="00DF5E0E"/>
    <w:rPr>
      <w:rFonts w:ascii="Calibri" w:eastAsiaTheme="minorEastAsia" w:hAnsi="Calibri" w:cstheme="minorBidi"/>
      <w:color w:val="1F497D" w:themeColor="text2"/>
      <w:sz w:val="16"/>
    </w:rPr>
  </w:style>
  <w:style w:type="character" w:styleId="Finomkiemels">
    <w:name w:val="Subtle Emphasis"/>
    <w:basedOn w:val="Bekezdsalapbettpusa"/>
    <w:uiPriority w:val="19"/>
    <w:qFormat/>
    <w:rsid w:val="00DF5E0E"/>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Normltblzat"/>
    <w:uiPriority w:val="60"/>
    <w:rsid w:val="00DF5E0E"/>
    <w:rPr>
      <w:rFonts w:ascii="Calibri" w:eastAsiaTheme="minorEastAsia" w:hAnsi="Calibr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Kpalrs">
    <w:name w:val="caption"/>
    <w:basedOn w:val="Norml"/>
    <w:next w:val="Norml"/>
    <w:uiPriority w:val="35"/>
    <w:unhideWhenUsed/>
    <w:qFormat/>
    <w:rsid w:val="00DF5E0E"/>
    <w:pPr>
      <w:spacing w:after="200"/>
      <w:jc w:val="left"/>
    </w:pPr>
    <w:rPr>
      <w:b/>
      <w:bCs/>
      <w:color w:val="808080"/>
      <w:sz w:val="18"/>
      <w:szCs w:val="18"/>
    </w:rPr>
  </w:style>
  <w:style w:type="paragraph" w:styleId="Vgjegyzetszvege">
    <w:name w:val="endnote text"/>
    <w:basedOn w:val="Norml"/>
    <w:link w:val="VgjegyzetszvegeChar"/>
    <w:uiPriority w:val="99"/>
    <w:semiHidden/>
    <w:unhideWhenUsed/>
    <w:rsid w:val="00DF5E0E"/>
    <w:rPr>
      <w:color w:val="984806" w:themeColor="accent6" w:themeShade="80"/>
    </w:rPr>
  </w:style>
  <w:style w:type="character" w:customStyle="1" w:styleId="VgjegyzetszvegeChar">
    <w:name w:val="Végjegyzet szövege Char"/>
    <w:basedOn w:val="Bekezdsalapbettpusa"/>
    <w:link w:val="Vgjegyzetszvege"/>
    <w:uiPriority w:val="99"/>
    <w:semiHidden/>
    <w:rsid w:val="00DF5E0E"/>
    <w:rPr>
      <w:rFonts w:ascii="Calibri" w:eastAsiaTheme="minorHAnsi" w:hAnsi="Calibri" w:cstheme="minorBidi"/>
      <w:color w:val="984806" w:themeColor="accent6" w:themeShade="80"/>
    </w:rPr>
  </w:style>
  <w:style w:type="table" w:customStyle="1" w:styleId="Vilgosrnykols1jellszn1">
    <w:name w:val="Világos árnyékolás – 1. jelölőszín1"/>
    <w:basedOn w:val="Normltblzat"/>
    <w:uiPriority w:val="60"/>
    <w:rsid w:val="00DF5E0E"/>
    <w:rPr>
      <w:rFonts w:ascii="Calibri" w:eastAsiaTheme="minorHAnsi" w:hAnsi="Calibr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staszerbekezds2">
    <w:name w:val="Listaszerű bekezdés 2"/>
    <w:basedOn w:val="Listaszerbekezds"/>
    <w:link w:val="Listaszerbekezds2Char"/>
    <w:uiPriority w:val="4"/>
    <w:qFormat/>
    <w:rsid w:val="00DF5E0E"/>
    <w:pPr>
      <w:numPr>
        <w:numId w:val="5"/>
      </w:numPr>
    </w:pPr>
  </w:style>
  <w:style w:type="paragraph" w:customStyle="1" w:styleId="Tblaszvegstlus">
    <w:name w:val="Tábla szöveg stílus"/>
    <w:basedOn w:val="Norml"/>
    <w:link w:val="TblaszvegstlusChar"/>
    <w:uiPriority w:val="8"/>
    <w:qFormat/>
    <w:rsid w:val="00DF5E0E"/>
  </w:style>
  <w:style w:type="character" w:customStyle="1" w:styleId="ListaszerbekezdsChar">
    <w:name w:val="Listaszerű bekezdés Char"/>
    <w:basedOn w:val="Bekezdsalapbettpusa"/>
    <w:link w:val="Listaszerbekezds"/>
    <w:uiPriority w:val="4"/>
    <w:rsid w:val="00DF5E0E"/>
    <w:rPr>
      <w:rFonts w:ascii="Calibri" w:eastAsiaTheme="minorHAnsi" w:hAnsi="Calibri" w:cstheme="minorBidi"/>
    </w:rPr>
  </w:style>
  <w:style w:type="character" w:customStyle="1" w:styleId="Listaszerbekezds2Char">
    <w:name w:val="Listaszerű bekezdés 2 Char"/>
    <w:basedOn w:val="ListaszerbekezdsChar"/>
    <w:link w:val="Listaszerbekezds2"/>
    <w:uiPriority w:val="4"/>
    <w:rsid w:val="00DF5E0E"/>
    <w:rPr>
      <w:rFonts w:ascii="Calibri" w:eastAsiaTheme="minorHAnsi" w:hAnsi="Calibri" w:cstheme="minorBidi"/>
    </w:rPr>
  </w:style>
  <w:style w:type="character" w:customStyle="1" w:styleId="TblaszvegstlusChar">
    <w:name w:val="Tábla szöveg stílus Char"/>
    <w:basedOn w:val="Bekezdsalapbettpusa"/>
    <w:link w:val="Tblaszvegstlus"/>
    <w:uiPriority w:val="8"/>
    <w:rsid w:val="00DF5E0E"/>
    <w:rPr>
      <w:rFonts w:ascii="Calibri" w:eastAsiaTheme="minorHAnsi" w:hAnsi="Calibri" w:cstheme="minorBidi"/>
    </w:rPr>
  </w:style>
  <w:style w:type="character" w:styleId="Finomhivatkozs">
    <w:name w:val="Subtle Reference"/>
    <w:basedOn w:val="Bekezdsalapbettpusa"/>
    <w:uiPriority w:val="31"/>
    <w:rsid w:val="00DF5E0E"/>
    <w:rPr>
      <w:sz w:val="24"/>
      <w:szCs w:val="24"/>
      <w:u w:val="single"/>
    </w:rPr>
  </w:style>
  <w:style w:type="character" w:styleId="Ershivatkozs">
    <w:name w:val="Intense Reference"/>
    <w:basedOn w:val="Bekezdsalapbettpusa"/>
    <w:uiPriority w:val="32"/>
    <w:rsid w:val="00DF5E0E"/>
    <w:rPr>
      <w:b/>
      <w:sz w:val="24"/>
      <w:u w:val="single"/>
    </w:rPr>
  </w:style>
  <w:style w:type="paragraph" w:customStyle="1" w:styleId="Listaszerbekezds2szint">
    <w:name w:val="Listaszerű bekezdés 2. szint"/>
    <w:basedOn w:val="Listaszerbekezds"/>
    <w:link w:val="Listaszerbekezds2szintChar"/>
    <w:uiPriority w:val="4"/>
    <w:qFormat/>
    <w:rsid w:val="00DF5E0E"/>
    <w:pPr>
      <w:numPr>
        <w:numId w:val="7"/>
      </w:numPr>
    </w:pPr>
  </w:style>
  <w:style w:type="paragraph" w:customStyle="1" w:styleId="Listaszerbekezds3szint">
    <w:name w:val="Listaszerű bekezdés 3. szint"/>
    <w:basedOn w:val="Listaszerbekezds"/>
    <w:link w:val="Listaszerbekezds3szintChar"/>
    <w:uiPriority w:val="4"/>
    <w:qFormat/>
    <w:rsid w:val="00DF5E0E"/>
    <w:pPr>
      <w:numPr>
        <w:ilvl w:val="2"/>
        <w:numId w:val="17"/>
      </w:numPr>
    </w:pPr>
  </w:style>
  <w:style w:type="character" w:customStyle="1" w:styleId="Listaszerbekezds2szintChar">
    <w:name w:val="Listaszerű bekezdés 2. szint Char"/>
    <w:basedOn w:val="ListaszerbekezdsChar"/>
    <w:link w:val="Listaszerbekezds2szint"/>
    <w:uiPriority w:val="4"/>
    <w:rsid w:val="00DF5E0E"/>
    <w:rPr>
      <w:rFonts w:ascii="Calibri" w:eastAsiaTheme="minorHAnsi" w:hAnsi="Calibri" w:cstheme="minorBidi"/>
    </w:rPr>
  </w:style>
  <w:style w:type="character" w:customStyle="1" w:styleId="Listaszerbekezds3szintChar">
    <w:name w:val="Listaszerű bekezdés 3. szint Char"/>
    <w:basedOn w:val="ListaszerbekezdsChar"/>
    <w:link w:val="Listaszerbekezds3szint"/>
    <w:uiPriority w:val="4"/>
    <w:rsid w:val="00DF5E0E"/>
    <w:rPr>
      <w:rFonts w:ascii="Calibri" w:eastAsiaTheme="minorHAnsi" w:hAnsi="Calibri" w:cstheme="minorBidi"/>
    </w:rPr>
  </w:style>
  <w:style w:type="paragraph" w:styleId="Alcm">
    <w:name w:val="Subtitle"/>
    <w:basedOn w:val="Norml"/>
    <w:next w:val="Norml"/>
    <w:link w:val="AlcmChar"/>
    <w:uiPriority w:val="11"/>
    <w:rsid w:val="00DF5E0E"/>
    <w:pPr>
      <w:spacing w:after="60"/>
      <w:jc w:val="center"/>
      <w:outlineLvl w:val="1"/>
    </w:pPr>
    <w:rPr>
      <w:rFonts w:eastAsiaTheme="majorEastAsia" w:cstheme="majorBidi"/>
    </w:rPr>
  </w:style>
  <w:style w:type="character" w:customStyle="1" w:styleId="AlcmChar">
    <w:name w:val="Alcím Char"/>
    <w:basedOn w:val="Bekezdsalapbettpusa"/>
    <w:link w:val="Alcm"/>
    <w:uiPriority w:val="11"/>
    <w:rsid w:val="00DF5E0E"/>
    <w:rPr>
      <w:rFonts w:ascii="Calibri" w:eastAsiaTheme="majorEastAsia" w:hAnsi="Calibri" w:cstheme="majorBidi"/>
    </w:rPr>
  </w:style>
  <w:style w:type="paragraph" w:customStyle="1" w:styleId="Listabetvel">
    <w:name w:val="Lista betűvel"/>
    <w:basedOn w:val="Listaszerbekezds"/>
    <w:link w:val="ListabetvelChar"/>
    <w:uiPriority w:val="4"/>
    <w:qFormat/>
    <w:rsid w:val="00DF5E0E"/>
    <w:pPr>
      <w:numPr>
        <w:numId w:val="6"/>
      </w:numPr>
    </w:pPr>
  </w:style>
  <w:style w:type="character" w:customStyle="1" w:styleId="ListabetvelChar">
    <w:name w:val="Lista betűvel Char"/>
    <w:basedOn w:val="ListaszerbekezdsChar"/>
    <w:link w:val="Listabetvel"/>
    <w:uiPriority w:val="4"/>
    <w:rsid w:val="00DF5E0E"/>
    <w:rPr>
      <w:rFonts w:ascii="Calibri" w:eastAsiaTheme="minorHAnsi" w:hAnsi="Calibri" w:cstheme="minorBidi"/>
    </w:rPr>
  </w:style>
  <w:style w:type="paragraph" w:customStyle="1" w:styleId="Erskiemels1">
    <w:name w:val="Erős kiemelés1"/>
    <w:basedOn w:val="Norml"/>
    <w:link w:val="ErskiemelsChar"/>
    <w:uiPriority w:val="5"/>
    <w:qFormat/>
    <w:rsid w:val="00DF5E0E"/>
    <w:rPr>
      <w:b/>
      <w:i/>
    </w:rPr>
  </w:style>
  <w:style w:type="character" w:customStyle="1" w:styleId="ErskiemelsChar">
    <w:name w:val="Erős kiemelés Char"/>
    <w:basedOn w:val="Bekezdsalapbettpusa"/>
    <w:link w:val="Erskiemels1"/>
    <w:uiPriority w:val="5"/>
    <w:rsid w:val="00DF5E0E"/>
    <w:rPr>
      <w:rFonts w:ascii="Calibri" w:eastAsiaTheme="minorHAnsi" w:hAnsi="Calibri" w:cstheme="minorBidi"/>
      <w:b/>
      <w:i/>
    </w:rPr>
  </w:style>
  <w:style w:type="paragraph" w:customStyle="1" w:styleId="Bold">
    <w:name w:val="Bold"/>
    <w:basedOn w:val="Norml"/>
    <w:link w:val="BoldChar"/>
    <w:uiPriority w:val="6"/>
    <w:qFormat/>
    <w:rsid w:val="00DF5E0E"/>
    <w:rPr>
      <w:b/>
    </w:rPr>
  </w:style>
  <w:style w:type="character" w:customStyle="1" w:styleId="BoldChar">
    <w:name w:val="Bold Char"/>
    <w:basedOn w:val="Bekezdsalapbettpusa"/>
    <w:link w:val="Bold"/>
    <w:uiPriority w:val="6"/>
    <w:rsid w:val="00DF5E0E"/>
    <w:rPr>
      <w:rFonts w:ascii="Calibri" w:eastAsiaTheme="minorHAnsi" w:hAnsi="Calibri" w:cstheme="minorBidi"/>
      <w:b/>
    </w:rPr>
  </w:style>
  <w:style w:type="character" w:styleId="Mrltotthiperhivatkozs">
    <w:name w:val="FollowedHyperlink"/>
    <w:basedOn w:val="Bekezdsalapbettpusa"/>
    <w:uiPriority w:val="99"/>
    <w:semiHidden/>
    <w:unhideWhenUsed/>
    <w:rsid w:val="00DF5E0E"/>
    <w:rPr>
      <w:color w:val="800080" w:themeColor="followedHyperlink"/>
      <w:u w:val="single"/>
    </w:rPr>
  </w:style>
  <w:style w:type="paragraph" w:styleId="Tartalomjegyzkcmsora">
    <w:name w:val="TOC Heading"/>
    <w:basedOn w:val="Cmsor1"/>
    <w:next w:val="Norml"/>
    <w:uiPriority w:val="39"/>
    <w:unhideWhenUsed/>
    <w:qFormat/>
    <w:rsid w:val="00DF5E0E"/>
    <w:pPr>
      <w:numPr>
        <w:numId w:val="0"/>
      </w:numPr>
      <w:spacing w:after="0"/>
      <w:outlineLvl w:val="9"/>
    </w:pPr>
    <w:rPr>
      <w:b w:val="0"/>
      <w:caps w:val="0"/>
      <w:szCs w:val="28"/>
    </w:rPr>
  </w:style>
  <w:style w:type="paragraph" w:styleId="TJ2">
    <w:name w:val="toc 2"/>
    <w:basedOn w:val="Norml"/>
    <w:next w:val="Norml"/>
    <w:autoRedefine/>
    <w:uiPriority w:val="39"/>
    <w:unhideWhenUsed/>
    <w:qFormat/>
    <w:locked/>
    <w:rsid w:val="00DF5E0E"/>
    <w:pPr>
      <w:spacing w:after="100"/>
      <w:ind w:left="220"/>
      <w:jc w:val="left"/>
    </w:pPr>
    <w:rPr>
      <w:rFonts w:eastAsiaTheme="minorEastAsia"/>
    </w:rPr>
  </w:style>
  <w:style w:type="paragraph" w:styleId="TJ1">
    <w:name w:val="toc 1"/>
    <w:basedOn w:val="Norml"/>
    <w:next w:val="Norml"/>
    <w:autoRedefine/>
    <w:uiPriority w:val="39"/>
    <w:unhideWhenUsed/>
    <w:qFormat/>
    <w:locked/>
    <w:rsid w:val="00DF5E0E"/>
    <w:pPr>
      <w:spacing w:after="100"/>
      <w:jc w:val="left"/>
    </w:pPr>
    <w:rPr>
      <w:rFonts w:eastAsiaTheme="minorEastAsia"/>
    </w:rPr>
  </w:style>
  <w:style w:type="paragraph" w:styleId="TJ3">
    <w:name w:val="toc 3"/>
    <w:basedOn w:val="Norml"/>
    <w:next w:val="Norml"/>
    <w:uiPriority w:val="39"/>
    <w:unhideWhenUsed/>
    <w:qFormat/>
    <w:locked/>
    <w:rsid w:val="00DF5E0E"/>
    <w:pPr>
      <w:spacing w:after="100"/>
      <w:ind w:left="400"/>
    </w:pPr>
  </w:style>
  <w:style w:type="paragraph" w:customStyle="1" w:styleId="StyleTOC2Left015">
    <w:name w:val="Style TOC 2 + Left:  0.15&quot;"/>
    <w:basedOn w:val="TJ2"/>
    <w:rsid w:val="00DF5E0E"/>
    <w:pPr>
      <w:ind w:left="216"/>
    </w:pPr>
    <w:rPr>
      <w:rFonts w:eastAsia="Times New Roman" w:cs="Times New Roman"/>
    </w:rPr>
  </w:style>
  <w:style w:type="paragraph" w:customStyle="1" w:styleId="StyleTOC3Left031">
    <w:name w:val="Style TOC 3 + Left:  0.31&quot;"/>
    <w:basedOn w:val="TJ3"/>
    <w:rsid w:val="00DF5E0E"/>
    <w:pPr>
      <w:ind w:left="446"/>
    </w:pPr>
    <w:rPr>
      <w:rFonts w:eastAsia="Times New Roman" w:cs="Times New Roman"/>
    </w:rPr>
  </w:style>
  <w:style w:type="numbering" w:customStyle="1" w:styleId="Hierarchikuslista">
    <w:name w:val="Hierarchikus lista"/>
    <w:uiPriority w:val="99"/>
    <w:rsid w:val="00DF5E0E"/>
    <w:pPr>
      <w:numPr>
        <w:numId w:val="2"/>
      </w:numPr>
    </w:pPr>
  </w:style>
  <w:style w:type="paragraph" w:customStyle="1" w:styleId="HierarchikusLista0">
    <w:name w:val="Hierarchikus Lista"/>
    <w:basedOn w:val="Listaszerbekezds"/>
    <w:link w:val="HierarchikusListaChar"/>
    <w:qFormat/>
    <w:rsid w:val="00DF5E0E"/>
    <w:pPr>
      <w:numPr>
        <w:numId w:val="0"/>
      </w:numPr>
    </w:pPr>
  </w:style>
  <w:style w:type="character" w:customStyle="1" w:styleId="HierarchikusListaChar">
    <w:name w:val="Hierarchikus Lista Char"/>
    <w:basedOn w:val="ListaszerbekezdsChar"/>
    <w:link w:val="HierarchikusLista0"/>
    <w:rsid w:val="00DF5E0E"/>
    <w:rPr>
      <w:rFonts w:ascii="Calibri" w:eastAsiaTheme="minorHAnsi" w:hAnsi="Calibri" w:cstheme="minorBidi"/>
    </w:rPr>
  </w:style>
  <w:style w:type="character" w:customStyle="1" w:styleId="Kiemels21">
    <w:name w:val="Kiemelés 21"/>
    <w:uiPriority w:val="22"/>
    <w:rsid w:val="00A23541"/>
    <w:rPr>
      <w:b/>
      <w:bCs/>
    </w:rPr>
  </w:style>
  <w:style w:type="character" w:styleId="Kiemels">
    <w:name w:val="Emphasis"/>
    <w:basedOn w:val="Bekezdsalapbettpusa"/>
    <w:uiPriority w:val="6"/>
    <w:qFormat/>
    <w:rsid w:val="00DF5E0E"/>
    <w:rPr>
      <w:i/>
      <w:iCs/>
    </w:rPr>
  </w:style>
  <w:style w:type="paragraph" w:styleId="Nincstrkz">
    <w:name w:val="No Spacing"/>
    <w:basedOn w:val="Norml"/>
    <w:uiPriority w:val="1"/>
    <w:rsid w:val="00DF5E0E"/>
    <w:rPr>
      <w:szCs w:val="32"/>
    </w:rPr>
  </w:style>
  <w:style w:type="paragraph" w:styleId="Idzet">
    <w:name w:val="Quote"/>
    <w:basedOn w:val="Norml"/>
    <w:next w:val="Norml"/>
    <w:link w:val="IdzetChar"/>
    <w:uiPriority w:val="29"/>
    <w:rsid w:val="00DF5E0E"/>
    <w:rPr>
      <w:i/>
    </w:rPr>
  </w:style>
  <w:style w:type="character" w:customStyle="1" w:styleId="IdzetChar">
    <w:name w:val="Idézet Char"/>
    <w:basedOn w:val="Bekezdsalapbettpusa"/>
    <w:link w:val="Idzet"/>
    <w:uiPriority w:val="29"/>
    <w:rsid w:val="00DF5E0E"/>
    <w:rPr>
      <w:rFonts w:ascii="Calibri" w:eastAsiaTheme="minorHAnsi" w:hAnsi="Calibri" w:cstheme="minorBidi"/>
      <w:i/>
    </w:rPr>
  </w:style>
  <w:style w:type="paragraph" w:styleId="Kiemeltidzet">
    <w:name w:val="Intense Quote"/>
    <w:basedOn w:val="Norml"/>
    <w:next w:val="Norml"/>
    <w:link w:val="KiemeltidzetChar"/>
    <w:uiPriority w:val="30"/>
    <w:rsid w:val="00DF5E0E"/>
    <w:pPr>
      <w:ind w:left="720" w:right="720"/>
    </w:pPr>
    <w:rPr>
      <w:b/>
      <w:i/>
    </w:rPr>
  </w:style>
  <w:style w:type="character" w:customStyle="1" w:styleId="KiemeltidzetChar">
    <w:name w:val="Kiemelt idézet Char"/>
    <w:basedOn w:val="Bekezdsalapbettpusa"/>
    <w:link w:val="Kiemeltidzet"/>
    <w:uiPriority w:val="30"/>
    <w:rsid w:val="00DF5E0E"/>
    <w:rPr>
      <w:rFonts w:ascii="Calibri" w:eastAsiaTheme="minorHAnsi" w:hAnsi="Calibri" w:cstheme="minorBidi"/>
      <w:b/>
      <w:i/>
    </w:rPr>
  </w:style>
  <w:style w:type="character" w:customStyle="1" w:styleId="Erskiemels2">
    <w:name w:val="Erős kiemelés2"/>
    <w:uiPriority w:val="21"/>
    <w:rsid w:val="00A23541"/>
    <w:rPr>
      <w:b/>
      <w:i/>
      <w:sz w:val="24"/>
      <w:szCs w:val="24"/>
      <w:u w:val="single"/>
    </w:rPr>
  </w:style>
  <w:style w:type="character" w:styleId="Knyvcme">
    <w:name w:val="Book Title"/>
    <w:basedOn w:val="Bekezdsalapbettpusa"/>
    <w:uiPriority w:val="33"/>
    <w:rsid w:val="00DF5E0E"/>
    <w:rPr>
      <w:rFonts w:ascii="Calibri" w:eastAsiaTheme="majorEastAsia" w:hAnsi="Calibri"/>
      <w:b/>
      <w:i/>
      <w:sz w:val="24"/>
      <w:szCs w:val="24"/>
    </w:rPr>
  </w:style>
  <w:style w:type="paragraph" w:customStyle="1" w:styleId="Szvegdobozstlus">
    <w:name w:val="Szövegdoboz stílus"/>
    <w:basedOn w:val="HierarchikusLista0"/>
    <w:qFormat/>
    <w:rsid w:val="00DF5E0E"/>
    <w:rPr>
      <w:b/>
      <w:i/>
      <w:color w:val="009EE0"/>
    </w:rPr>
  </w:style>
  <w:style w:type="table" w:customStyle="1" w:styleId="Rcsos">
    <w:name w:val="Rácsos"/>
    <w:basedOn w:val="Normltblzat"/>
    <w:uiPriority w:val="99"/>
    <w:rsid w:val="00DF5E0E"/>
    <w:rPr>
      <w:rFonts w:asciiTheme="majorHAnsi" w:eastAsiaTheme="minorHAnsi" w:hAnsiTheme="majorHAnsi" w:cstheme="minorBidi"/>
      <w:color w:val="4BACC6" w:themeColor="accent5"/>
    </w:rPr>
    <w:tblPr>
      <w:tblStyleRowBandSize w:val="1"/>
      <w:tblStyleColBandSize w:val="1"/>
      <w:tblBorders>
        <w:top w:val="single" w:sz="4" w:space="0" w:color="4BACC6" w:themeColor="accent5"/>
        <w:left w:val="single" w:sz="4" w:space="0" w:color="4BACC6" w:themeColor="accent5"/>
        <w:bottom w:val="single" w:sz="48" w:space="0" w:color="4BACC6" w:themeColor="accent5"/>
        <w:right w:val="single" w:sz="4" w:space="0" w:color="4BACC6" w:themeColor="accent5"/>
        <w:insideV w:val="single" w:sz="4" w:space="0" w:color="4BACC6" w:themeColor="accent5"/>
      </w:tblBorders>
    </w:tblPr>
    <w:tcPr>
      <w:shd w:val="clear" w:color="auto" w:fill="auto"/>
      <w:tcMar>
        <w:top w:w="170" w:type="dxa"/>
      </w:tcMar>
      <w:vAlign w:val="center"/>
    </w:tcPr>
    <w:tblStylePr w:type="firstRow">
      <w:rPr>
        <w:rFonts w:asciiTheme="majorHAnsi" w:hAnsiTheme="majorHAnsi"/>
        <w:b w:val="0"/>
        <w:i w:val="0"/>
        <w:color w:val="4BACC6" w:themeColor="accent5"/>
        <w:sz w:val="36"/>
      </w:rPr>
      <w:tblPr/>
      <w:tcPr>
        <w:tcBorders>
          <w:top w:val="single" w:sz="8" w:space="0" w:color="4BACC6" w:themeColor="accent5"/>
          <w:left w:val="single" w:sz="8" w:space="0" w:color="4BACC6" w:themeColor="accent5"/>
          <w:bottom w:val="single" w:sz="24" w:space="0" w:color="4BACC6" w:themeColor="accent5"/>
          <w:right w:val="single" w:sz="8" w:space="0" w:color="4BACC6" w:themeColor="accent5"/>
          <w:insideH w:val="nil"/>
          <w:insideV w:val="nil"/>
          <w:tl2br w:val="nil"/>
          <w:tr2bl w:val="nil"/>
        </w:tcBorders>
        <w:shd w:val="clear" w:color="auto" w:fill="EEECE1" w:themeFill="background2"/>
      </w:tcPr>
    </w:tblStylePr>
    <w:tblStylePr w:type="band2Horz">
      <w:tblPr/>
      <w:tcPr>
        <w:shd w:val="clear" w:color="auto" w:fill="F4F3EC" w:themeFill="background2" w:themeFillTint="99"/>
      </w:tcPr>
    </w:tblStylePr>
  </w:style>
  <w:style w:type="paragraph" w:styleId="Szvegtrzs2">
    <w:name w:val="Body Text 2"/>
    <w:basedOn w:val="Norml"/>
    <w:link w:val="Szvegtrzs2Char"/>
    <w:uiPriority w:val="99"/>
    <w:unhideWhenUsed/>
    <w:rsid w:val="00A23541"/>
    <w:pPr>
      <w:spacing w:after="120" w:line="480" w:lineRule="auto"/>
    </w:pPr>
  </w:style>
  <w:style w:type="character" w:customStyle="1" w:styleId="Szvegtrzs2Char">
    <w:name w:val="Szövegtörzs 2 Char"/>
    <w:link w:val="Szvegtrzs2"/>
    <w:uiPriority w:val="99"/>
    <w:rsid w:val="00A23541"/>
    <w:rPr>
      <w:rFonts w:ascii="Calibri" w:eastAsia="Calibri" w:hAnsi="Calibri" w:cs="Times New Roman"/>
      <w:sz w:val="22"/>
      <w:szCs w:val="22"/>
      <w:lang w:eastAsia="en-US"/>
    </w:rPr>
  </w:style>
  <w:style w:type="paragraph" w:styleId="Szvegtrzsbehzssal3">
    <w:name w:val="Body Text Indent 3"/>
    <w:basedOn w:val="Norml"/>
    <w:link w:val="Szvegtrzsbehzssal3Char"/>
    <w:uiPriority w:val="99"/>
    <w:semiHidden/>
    <w:rsid w:val="00A23541"/>
    <w:pPr>
      <w:spacing w:after="120"/>
      <w:ind w:left="283"/>
    </w:pPr>
    <w:rPr>
      <w:rFonts w:ascii="Garamond" w:hAnsi="Garamond"/>
      <w:sz w:val="16"/>
      <w:szCs w:val="16"/>
    </w:rPr>
  </w:style>
  <w:style w:type="character" w:customStyle="1" w:styleId="Szvegtrzsbehzssal3Char">
    <w:name w:val="Szövegtörzs behúzással 3 Char"/>
    <w:link w:val="Szvegtrzsbehzssal3"/>
    <w:uiPriority w:val="99"/>
    <w:semiHidden/>
    <w:rsid w:val="00A23541"/>
    <w:rPr>
      <w:rFonts w:ascii="Garamond" w:eastAsia="Calibri" w:hAnsi="Garamond" w:cs="Times New Roman"/>
      <w:sz w:val="16"/>
      <w:szCs w:val="16"/>
      <w:lang w:eastAsia="en-US"/>
    </w:rPr>
  </w:style>
  <w:style w:type="character" w:styleId="Lbjegyzet-hivatkozs">
    <w:name w:val="footnote reference"/>
    <w:aliases w:val="C26 Footnote Number,Footnote Reference Number,Footnote Reference1,Footnote Reference_LVL6,Footnote Reference_LVL61,Footnote Reference_LVL62,Footnote Reference_LVL63,Footnote Reference_LVL64,Footnote Reference_LVL65,Footnote symbol"/>
    <w:uiPriority w:val="99"/>
    <w:rsid w:val="00A23541"/>
    <w:rPr>
      <w:rFonts w:cs="Times New Roman"/>
      <w:vertAlign w:val="superscript"/>
    </w:rPr>
  </w:style>
  <w:style w:type="paragraph" w:customStyle="1" w:styleId="par">
    <w:name w:val="par"/>
    <w:basedOn w:val="Norml"/>
    <w:uiPriority w:val="99"/>
    <w:rsid w:val="00A23541"/>
    <w:pPr>
      <w:keepNext/>
      <w:tabs>
        <w:tab w:val="left" w:pos="284"/>
        <w:tab w:val="left" w:pos="851"/>
      </w:tabs>
      <w:jc w:val="center"/>
    </w:pPr>
    <w:rPr>
      <w:rFonts w:ascii="Arial" w:hAnsi="Arial"/>
    </w:rPr>
  </w:style>
  <w:style w:type="character" w:styleId="Oldalszm">
    <w:name w:val="page number"/>
    <w:uiPriority w:val="99"/>
    <w:rsid w:val="00A23541"/>
    <w:rPr>
      <w:rFonts w:cs="Times New Roman"/>
    </w:rPr>
  </w:style>
  <w:style w:type="paragraph" w:customStyle="1" w:styleId="BEKA">
    <w:name w:val="BEKA"/>
    <w:basedOn w:val="Norml"/>
    <w:uiPriority w:val="99"/>
    <w:rsid w:val="00A23541"/>
    <w:pPr>
      <w:tabs>
        <w:tab w:val="left" w:pos="284"/>
        <w:tab w:val="left" w:pos="851"/>
      </w:tabs>
    </w:pPr>
  </w:style>
  <w:style w:type="paragraph" w:customStyle="1" w:styleId="cm2">
    <w:name w:val="cím2"/>
    <w:basedOn w:val="Norml"/>
    <w:uiPriority w:val="99"/>
    <w:rsid w:val="00A23541"/>
    <w:pPr>
      <w:tabs>
        <w:tab w:val="left" w:pos="284"/>
        <w:tab w:val="left" w:pos="851"/>
      </w:tabs>
      <w:jc w:val="center"/>
    </w:pPr>
    <w:rPr>
      <w:rFonts w:ascii="Arial" w:hAnsi="Arial"/>
      <w:b/>
      <w:caps/>
    </w:rPr>
  </w:style>
  <w:style w:type="character" w:styleId="Jegyzethivatkozs">
    <w:name w:val="annotation reference"/>
    <w:uiPriority w:val="99"/>
    <w:semiHidden/>
    <w:unhideWhenUsed/>
    <w:rsid w:val="00A23541"/>
    <w:rPr>
      <w:sz w:val="16"/>
      <w:szCs w:val="16"/>
    </w:rPr>
  </w:style>
  <w:style w:type="paragraph" w:styleId="Jegyzetszveg">
    <w:name w:val="annotation text"/>
    <w:basedOn w:val="Norml"/>
    <w:link w:val="JegyzetszvegChar"/>
    <w:uiPriority w:val="99"/>
    <w:unhideWhenUsed/>
    <w:rsid w:val="00A23541"/>
    <w:pPr>
      <w:spacing w:line="240" w:lineRule="auto"/>
    </w:pPr>
  </w:style>
  <w:style w:type="character" w:customStyle="1" w:styleId="JegyzetszvegChar">
    <w:name w:val="Jegyzetszöveg Char"/>
    <w:link w:val="Jegyzetszveg"/>
    <w:uiPriority w:val="99"/>
    <w:rsid w:val="00A23541"/>
    <w:rPr>
      <w:rFonts w:ascii="Calibri" w:eastAsia="Calibri" w:hAnsi="Calibri" w:cs="Times New Roman"/>
      <w:sz w:val="22"/>
      <w:lang w:eastAsia="en-US"/>
    </w:rPr>
  </w:style>
  <w:style w:type="paragraph" w:styleId="Megjegyzstrgya">
    <w:name w:val="annotation subject"/>
    <w:basedOn w:val="Jegyzetszveg"/>
    <w:next w:val="Jegyzetszveg"/>
    <w:link w:val="MegjegyzstrgyaChar"/>
    <w:uiPriority w:val="99"/>
    <w:semiHidden/>
    <w:unhideWhenUsed/>
    <w:rsid w:val="00A23541"/>
    <w:rPr>
      <w:b/>
      <w:bCs/>
    </w:rPr>
  </w:style>
  <w:style w:type="character" w:customStyle="1" w:styleId="MegjegyzstrgyaChar">
    <w:name w:val="Megjegyzés tárgya Char"/>
    <w:link w:val="Megjegyzstrgya"/>
    <w:uiPriority w:val="99"/>
    <w:semiHidden/>
    <w:rsid w:val="00A23541"/>
    <w:rPr>
      <w:rFonts w:ascii="Calibri" w:eastAsia="Calibri" w:hAnsi="Calibri" w:cs="Times New Roman"/>
      <w:b/>
      <w:bCs/>
      <w:sz w:val="22"/>
      <w:lang w:eastAsia="en-US"/>
    </w:rPr>
  </w:style>
  <w:style w:type="paragraph" w:styleId="Vltozat">
    <w:name w:val="Revision"/>
    <w:hidden/>
    <w:uiPriority w:val="99"/>
    <w:semiHidden/>
    <w:rsid w:val="00A23541"/>
    <w:rPr>
      <w:rFonts w:ascii="Calibri" w:hAnsi="Calibri"/>
      <w:szCs w:val="22"/>
    </w:rPr>
  </w:style>
  <w:style w:type="paragraph" w:customStyle="1" w:styleId="Default">
    <w:name w:val="Default"/>
    <w:rsid w:val="00C43FBE"/>
    <w:pPr>
      <w:autoSpaceDE w:val="0"/>
      <w:autoSpaceDN w:val="0"/>
      <w:adjustRightInd w:val="0"/>
    </w:pPr>
    <w:rPr>
      <w:rFonts w:ascii="Calibri" w:hAnsi="Calibri" w:cs="Calibri"/>
      <w:color w:val="000000"/>
      <w:sz w:val="24"/>
      <w:szCs w:val="24"/>
    </w:rPr>
  </w:style>
  <w:style w:type="paragraph" w:customStyle="1" w:styleId="felsorolsos">
    <w:name w:val="felsorolásos"/>
    <w:basedOn w:val="Norml"/>
    <w:link w:val="felsorolsosChar"/>
    <w:qFormat/>
    <w:rsid w:val="00C662A1"/>
    <w:pPr>
      <w:numPr>
        <w:numId w:val="9"/>
      </w:numPr>
      <w:spacing w:after="120" w:line="240" w:lineRule="auto"/>
    </w:pPr>
    <w:rPr>
      <w:rFonts w:eastAsia="Times New Roman"/>
      <w:szCs w:val="24"/>
    </w:rPr>
  </w:style>
  <w:style w:type="character" w:customStyle="1" w:styleId="felsorolsosChar">
    <w:name w:val="felsorolásos Char"/>
    <w:link w:val="felsorolsos"/>
    <w:rsid w:val="00C662A1"/>
    <w:rPr>
      <w:rFonts w:ascii="Calibri" w:eastAsia="Times New Roman" w:hAnsi="Calibri"/>
      <w:sz w:val="22"/>
      <w:szCs w:val="24"/>
    </w:rPr>
  </w:style>
  <w:style w:type="paragraph" w:customStyle="1" w:styleId="alfelsorols">
    <w:name w:val="alfelsorolás"/>
    <w:basedOn w:val="Norml"/>
    <w:link w:val="alfelsorolsChar"/>
    <w:autoRedefine/>
    <w:qFormat/>
    <w:rsid w:val="00C662A1"/>
    <w:pPr>
      <w:numPr>
        <w:ilvl w:val="1"/>
        <w:numId w:val="10"/>
      </w:numPr>
      <w:spacing w:after="120" w:line="240" w:lineRule="auto"/>
    </w:pPr>
    <w:rPr>
      <w:rFonts w:eastAsia="Times New Roman"/>
      <w:color w:val="000000"/>
    </w:rPr>
  </w:style>
  <w:style w:type="character" w:customStyle="1" w:styleId="alfelsorolsChar">
    <w:name w:val="alfelsorolás Char"/>
    <w:link w:val="alfelsorols"/>
    <w:rsid w:val="00C662A1"/>
    <w:rPr>
      <w:rFonts w:ascii="Calibri" w:eastAsia="Times New Roman" w:hAnsi="Calibri"/>
      <w:color w:val="000000"/>
      <w:sz w:val="22"/>
    </w:rPr>
  </w:style>
  <w:style w:type="paragraph" w:customStyle="1" w:styleId="Fejezet">
    <w:name w:val="Fejezet"/>
    <w:basedOn w:val="Cmsor1"/>
    <w:qFormat/>
    <w:rsid w:val="00C662A1"/>
    <w:pPr>
      <w:keepNext w:val="0"/>
      <w:keepLines w:val="0"/>
      <w:widowControl w:val="0"/>
      <w:spacing w:before="0" w:after="120" w:line="240" w:lineRule="auto"/>
      <w:jc w:val="both"/>
    </w:pPr>
    <w:rPr>
      <w:rFonts w:ascii="Times New Roman" w:hAnsi="Times New Roman"/>
      <w:b w:val="0"/>
      <w:caps w:val="0"/>
      <w:color w:val="auto"/>
      <w:szCs w:val="22"/>
    </w:rPr>
  </w:style>
  <w:style w:type="paragraph" w:customStyle="1" w:styleId="doc-ti">
    <w:name w:val="doc-ti"/>
    <w:basedOn w:val="Norml"/>
    <w:rsid w:val="00880ED2"/>
    <w:pPr>
      <w:spacing w:before="194" w:after="97" w:line="240" w:lineRule="auto"/>
      <w:jc w:val="center"/>
    </w:pPr>
    <w:rPr>
      <w:rFonts w:ascii="Times New Roman" w:eastAsia="Times New Roman" w:hAnsi="Times New Roman"/>
      <w:b/>
      <w:bCs/>
      <w:sz w:val="24"/>
      <w:szCs w:val="24"/>
    </w:rPr>
  </w:style>
  <w:style w:type="paragraph" w:styleId="NormlWeb">
    <w:name w:val="Normal (Web)"/>
    <w:basedOn w:val="Norml"/>
    <w:uiPriority w:val="99"/>
    <w:semiHidden/>
    <w:unhideWhenUsed/>
    <w:rsid w:val="001A3AA1"/>
    <w:pPr>
      <w:spacing w:before="100" w:beforeAutospacing="1" w:after="100" w:afterAutospacing="1" w:line="240" w:lineRule="auto"/>
    </w:pPr>
    <w:rPr>
      <w:rFonts w:ascii="Times New Roman" w:eastAsia="Times New Roman" w:hAnsi="Times New Roman"/>
      <w:sz w:val="24"/>
      <w:szCs w:val="24"/>
    </w:rPr>
  </w:style>
  <w:style w:type="character" w:styleId="Kiemels2">
    <w:name w:val="Strong"/>
    <w:basedOn w:val="Bekezdsalapbettpusa"/>
    <w:uiPriority w:val="22"/>
    <w:rsid w:val="00DF5E0E"/>
    <w:rPr>
      <w:b/>
      <w:bCs/>
    </w:rPr>
  </w:style>
  <w:style w:type="character" w:styleId="Erskiemels">
    <w:name w:val="Intense Emphasis"/>
    <w:basedOn w:val="Bekezdsalapbettpusa"/>
    <w:uiPriority w:val="21"/>
    <w:rsid w:val="00DF5E0E"/>
    <w:rPr>
      <w:b/>
      <w:i/>
      <w:sz w:val="24"/>
      <w:szCs w:val="24"/>
      <w:u w:val="single"/>
    </w:rPr>
  </w:style>
  <w:style w:type="paragraph" w:customStyle="1" w:styleId="Erskiemels3">
    <w:name w:val="Erős kiemelés3"/>
    <w:basedOn w:val="Norml"/>
    <w:uiPriority w:val="5"/>
    <w:qFormat/>
    <w:rsid w:val="008C7974"/>
    <w:rPr>
      <w:b/>
      <w:i/>
    </w:rPr>
  </w:style>
  <w:style w:type="paragraph" w:customStyle="1" w:styleId="ENBoxtitle">
    <w:name w:val="EN_Box_title"/>
    <w:basedOn w:val="Norml"/>
    <w:next w:val="Norml"/>
    <w:uiPriority w:val="1"/>
    <w:qFormat/>
    <w:rsid w:val="00DF5E0E"/>
    <w:pPr>
      <w:keepNext/>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8CDCFF"/>
      <w:spacing w:after="40"/>
    </w:pPr>
    <w:rPr>
      <w:b/>
      <w:bCs/>
      <w:szCs w:val="18"/>
    </w:rPr>
  </w:style>
  <w:style w:type="paragraph" w:customStyle="1" w:styleId="ENCaption1Col">
    <w:name w:val="EN_Caption_1Col"/>
    <w:basedOn w:val="Norml"/>
    <w:next w:val="Norml"/>
    <w:uiPriority w:val="1"/>
    <w:qFormat/>
    <w:rsid w:val="00DF5E0E"/>
    <w:pPr>
      <w:keepNext/>
      <w:spacing w:after="40"/>
      <w:jc w:val="center"/>
    </w:pPr>
    <w:rPr>
      <w:b/>
      <w:bCs/>
      <w:color w:val="808080"/>
      <w:szCs w:val="18"/>
    </w:rPr>
  </w:style>
  <w:style w:type="paragraph" w:customStyle="1" w:styleId="ENCaption2Col">
    <w:name w:val="EN_Caption_2Col"/>
    <w:basedOn w:val="Norml"/>
    <w:next w:val="Norml"/>
    <w:uiPriority w:val="1"/>
    <w:qFormat/>
    <w:rsid w:val="00DF5E0E"/>
    <w:pPr>
      <w:keepNext/>
      <w:spacing w:after="40"/>
      <w:jc w:val="left"/>
    </w:pPr>
    <w:rPr>
      <w:b/>
      <w:bCs/>
      <w:color w:val="808080"/>
      <w:szCs w:val="18"/>
    </w:rPr>
  </w:style>
  <w:style w:type="paragraph" w:customStyle="1" w:styleId="ENCaptionBox">
    <w:name w:val="EN_Caption_Box"/>
    <w:basedOn w:val="Norml"/>
    <w:next w:val="Norml"/>
    <w:uiPriority w:val="1"/>
    <w:qFormat/>
    <w:rsid w:val="00DF5E0E"/>
    <w:pPr>
      <w:keepNext/>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EEFF"/>
      <w:spacing w:after="40"/>
      <w:jc w:val="center"/>
    </w:pPr>
    <w:rPr>
      <w:b/>
      <w:bCs/>
      <w:color w:val="808080"/>
      <w:szCs w:val="18"/>
    </w:rPr>
  </w:style>
  <w:style w:type="paragraph" w:customStyle="1" w:styleId="ENChapterTitle">
    <w:name w:val="EN_Chapter_Title"/>
    <w:basedOn w:val="Norml"/>
    <w:next w:val="Norml"/>
    <w:uiPriority w:val="1"/>
    <w:rsid w:val="00DF5E0E"/>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l"/>
    <w:next w:val="Norml"/>
    <w:uiPriority w:val="1"/>
    <w:qFormat/>
    <w:rsid w:val="00DF5E0E"/>
    <w:pPr>
      <w:keepNext/>
      <w:pageBreakBefore/>
      <w:spacing w:before="480" w:after="210"/>
      <w:ind w:left="227" w:hanging="227"/>
    </w:pPr>
    <w:rPr>
      <w:caps/>
      <w:color w:val="1F497D" w:themeColor="text2"/>
    </w:rPr>
  </w:style>
  <w:style w:type="paragraph" w:customStyle="1" w:styleId="ENFootnote">
    <w:name w:val="EN_Footnote"/>
    <w:basedOn w:val="Norml"/>
    <w:uiPriority w:val="1"/>
    <w:qFormat/>
    <w:rsid w:val="00DF5E0E"/>
    <w:rPr>
      <w:rFonts w:eastAsiaTheme="minorEastAsia"/>
      <w:color w:val="808080"/>
      <w:sz w:val="18"/>
    </w:rPr>
  </w:style>
  <w:style w:type="paragraph" w:customStyle="1" w:styleId="ENNormal">
    <w:name w:val="EN_Normal"/>
    <w:basedOn w:val="Norml"/>
    <w:uiPriority w:val="1"/>
    <w:qFormat/>
    <w:rsid w:val="00DF5E0E"/>
  </w:style>
  <w:style w:type="paragraph" w:customStyle="1" w:styleId="ENNormalBox">
    <w:name w:val="EN_Normal_Box"/>
    <w:basedOn w:val="Norml"/>
    <w:uiPriority w:val="1"/>
    <w:qFormat/>
    <w:rsid w:val="00DF5E0E"/>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EEFF"/>
    </w:pPr>
  </w:style>
  <w:style w:type="paragraph" w:customStyle="1" w:styleId="ENNote1Col">
    <w:name w:val="EN_Note_1Col"/>
    <w:basedOn w:val="Norml"/>
    <w:next w:val="ENNormal"/>
    <w:uiPriority w:val="1"/>
    <w:qFormat/>
    <w:rsid w:val="00DF5E0E"/>
    <w:pPr>
      <w:keepLines/>
      <w:jc w:val="center"/>
    </w:pPr>
    <w:rPr>
      <w:color w:val="808080"/>
      <w:sz w:val="18"/>
    </w:rPr>
  </w:style>
  <w:style w:type="paragraph" w:customStyle="1" w:styleId="ENNote2Col">
    <w:name w:val="EN_Note_2Col"/>
    <w:basedOn w:val="Norml"/>
    <w:next w:val="ENNormal"/>
    <w:uiPriority w:val="1"/>
    <w:qFormat/>
    <w:rsid w:val="00DF5E0E"/>
    <w:pPr>
      <w:keepLines/>
    </w:pPr>
    <w:rPr>
      <w:color w:val="808080"/>
      <w:sz w:val="18"/>
    </w:rPr>
  </w:style>
  <w:style w:type="paragraph" w:customStyle="1" w:styleId="ENNoteBox">
    <w:name w:val="EN_Note_Box"/>
    <w:basedOn w:val="Norml"/>
    <w:next w:val="ENNormalBox"/>
    <w:uiPriority w:val="1"/>
    <w:qFormat/>
    <w:rsid w:val="00DF5E0E"/>
    <w:pPr>
      <w:keepLines/>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EEFF"/>
      <w:jc w:val="center"/>
    </w:pPr>
    <w:rPr>
      <w:color w:val="808080"/>
      <w:sz w:val="18"/>
    </w:rPr>
  </w:style>
  <w:style w:type="paragraph" w:customStyle="1" w:styleId="ENSectionTitle">
    <w:name w:val="EN_Section_Title"/>
    <w:basedOn w:val="Norml"/>
    <w:next w:val="ENNormal"/>
    <w:uiPriority w:val="1"/>
    <w:rsid w:val="00DF5E0E"/>
    <w:pPr>
      <w:keepNext/>
      <w:numPr>
        <w:ilvl w:val="1"/>
        <w:numId w:val="1"/>
      </w:numPr>
      <w:spacing w:before="210" w:after="75"/>
      <w:jc w:val="left"/>
      <w:outlineLvl w:val="1"/>
    </w:pPr>
    <w:rPr>
      <w:b/>
      <w:color w:val="1F497D" w:themeColor="text2"/>
      <w:szCs w:val="38"/>
    </w:rPr>
  </w:style>
  <w:style w:type="paragraph" w:customStyle="1" w:styleId="ENSubsectionTitle">
    <w:name w:val="EN_Subsection_Title"/>
    <w:basedOn w:val="Norml"/>
    <w:next w:val="ENNormal"/>
    <w:uiPriority w:val="1"/>
    <w:rsid w:val="00DF5E0E"/>
    <w:pPr>
      <w:keepNext/>
      <w:numPr>
        <w:ilvl w:val="2"/>
        <w:numId w:val="1"/>
      </w:numPr>
      <w:spacing w:before="75" w:after="75"/>
      <w:ind w:left="595" w:hanging="595"/>
      <w:jc w:val="left"/>
      <w:outlineLvl w:val="2"/>
    </w:pPr>
    <w:rPr>
      <w:bCs/>
      <w:color w:val="1F497D" w:themeColor="text2"/>
      <w:szCs w:val="34"/>
    </w:rPr>
  </w:style>
  <w:style w:type="paragraph" w:customStyle="1" w:styleId="HUBoxTitle">
    <w:name w:val="HU_Box_Title"/>
    <w:basedOn w:val="Kpalrs"/>
    <w:next w:val="Norml"/>
    <w:uiPriority w:val="1"/>
    <w:qFormat/>
    <w:rsid w:val="00DF5E0E"/>
    <w:pPr>
      <w:keepNext/>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8CDCFF"/>
      <w:spacing w:after="40"/>
      <w:jc w:val="both"/>
    </w:pPr>
    <w:rPr>
      <w:color w:val="auto"/>
      <w:sz w:val="20"/>
    </w:rPr>
  </w:style>
  <w:style w:type="paragraph" w:customStyle="1" w:styleId="HUCaption1Col">
    <w:name w:val="HU_Caption_1Col"/>
    <w:basedOn w:val="Kpalrs"/>
    <w:next w:val="Norml"/>
    <w:uiPriority w:val="1"/>
    <w:qFormat/>
    <w:rsid w:val="00DF5E0E"/>
    <w:pPr>
      <w:keepNext/>
      <w:spacing w:after="40"/>
      <w:jc w:val="center"/>
    </w:pPr>
    <w:rPr>
      <w:sz w:val="20"/>
    </w:rPr>
  </w:style>
  <w:style w:type="paragraph" w:customStyle="1" w:styleId="HUCaption2Col">
    <w:name w:val="HU_Caption_2Col"/>
    <w:basedOn w:val="Kpalrs"/>
    <w:next w:val="Norml"/>
    <w:uiPriority w:val="1"/>
    <w:qFormat/>
    <w:rsid w:val="00DF5E0E"/>
    <w:pPr>
      <w:keepNext/>
      <w:spacing w:after="40"/>
    </w:pPr>
    <w:rPr>
      <w:sz w:val="20"/>
    </w:rPr>
  </w:style>
  <w:style w:type="paragraph" w:customStyle="1" w:styleId="HUCaptionBox">
    <w:name w:val="HU_Caption_Box"/>
    <w:basedOn w:val="Kpalrs"/>
    <w:next w:val="Norml"/>
    <w:uiPriority w:val="1"/>
    <w:qFormat/>
    <w:rsid w:val="00DF5E0E"/>
    <w:pPr>
      <w:keepNext/>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EEFF"/>
      <w:spacing w:after="40"/>
      <w:jc w:val="center"/>
    </w:pPr>
    <w:rPr>
      <w:sz w:val="20"/>
    </w:rPr>
  </w:style>
  <w:style w:type="paragraph" w:customStyle="1" w:styleId="HUChapterTitle">
    <w:name w:val="HU_Chapter_Title"/>
    <w:basedOn w:val="Cmsor1"/>
    <w:next w:val="Norml"/>
    <w:link w:val="HUChapterTitleChar"/>
    <w:autoRedefine/>
    <w:uiPriority w:val="1"/>
    <w:rsid w:val="00DF5E0E"/>
    <w:pPr>
      <w:keepLines w:val="0"/>
      <w:pageBreakBefore/>
      <w:ind w:left="227" w:hanging="227"/>
    </w:pPr>
    <w:rPr>
      <w:color w:val="0C2148"/>
    </w:rPr>
  </w:style>
  <w:style w:type="character" w:customStyle="1" w:styleId="HUChapterTitleChar">
    <w:name w:val="HU_Chapter_Title Char"/>
    <w:basedOn w:val="Cmsor1Char"/>
    <w:link w:val="HUChapterTitle"/>
    <w:uiPriority w:val="1"/>
    <w:rsid w:val="00DF5E0E"/>
    <w:rPr>
      <w:rFonts w:ascii="Calibri" w:eastAsiaTheme="majorEastAsia" w:hAnsi="Calibri" w:cstheme="majorBidi"/>
      <w:b/>
      <w:bCs/>
      <w:caps/>
      <w:color w:val="0C2148"/>
      <w:sz w:val="24"/>
      <w:szCs w:val="42"/>
    </w:rPr>
  </w:style>
  <w:style w:type="paragraph" w:customStyle="1" w:styleId="HUChapterWithoutNumbering">
    <w:name w:val="HU_Chapter_Without_Numbering"/>
    <w:basedOn w:val="Norml"/>
    <w:next w:val="Norml"/>
    <w:link w:val="HUChapterWithoutNumberingChar"/>
    <w:uiPriority w:val="1"/>
    <w:qFormat/>
    <w:rsid w:val="00DF5E0E"/>
    <w:pPr>
      <w:keepNext/>
      <w:pageBreakBefore/>
      <w:spacing w:before="480" w:after="210"/>
      <w:ind w:left="227" w:hanging="227"/>
    </w:pPr>
    <w:rPr>
      <w:caps/>
      <w:color w:val="1F497D" w:themeColor="text2"/>
    </w:rPr>
  </w:style>
  <w:style w:type="character" w:customStyle="1" w:styleId="HUChapterWithoutNumberingChar">
    <w:name w:val="HU_Chapter_Without_Numbering Char"/>
    <w:basedOn w:val="Bekezdsalapbettpusa"/>
    <w:link w:val="HUChapterWithoutNumbering"/>
    <w:uiPriority w:val="1"/>
    <w:rsid w:val="00DF5E0E"/>
    <w:rPr>
      <w:rFonts w:ascii="Calibri" w:eastAsiaTheme="minorHAnsi" w:hAnsi="Calibri" w:cstheme="minorBidi"/>
      <w:caps/>
      <w:color w:val="1F497D" w:themeColor="text2"/>
    </w:rPr>
  </w:style>
  <w:style w:type="paragraph" w:customStyle="1" w:styleId="HUFootnote">
    <w:name w:val="HU_Footnote"/>
    <w:basedOn w:val="Lbjegyzetszveg"/>
    <w:uiPriority w:val="1"/>
    <w:qFormat/>
    <w:rsid w:val="00DF5E0E"/>
    <w:rPr>
      <w:color w:val="808080"/>
      <w:sz w:val="18"/>
    </w:rPr>
  </w:style>
  <w:style w:type="paragraph" w:customStyle="1" w:styleId="HUNormalBox">
    <w:name w:val="HU_Normal_Box"/>
    <w:basedOn w:val="Norml"/>
    <w:uiPriority w:val="1"/>
    <w:qFormat/>
    <w:rsid w:val="00DF5E0E"/>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EEFF"/>
    </w:pPr>
  </w:style>
  <w:style w:type="paragraph" w:customStyle="1" w:styleId="HUNote1Col">
    <w:name w:val="HU_Note_1Col"/>
    <w:basedOn w:val="Norml"/>
    <w:next w:val="Norml"/>
    <w:uiPriority w:val="1"/>
    <w:qFormat/>
    <w:rsid w:val="00DF5E0E"/>
    <w:pPr>
      <w:keepLines/>
      <w:jc w:val="center"/>
    </w:pPr>
    <w:rPr>
      <w:color w:val="808080"/>
      <w:sz w:val="18"/>
    </w:rPr>
  </w:style>
  <w:style w:type="paragraph" w:customStyle="1" w:styleId="HUNote2Col">
    <w:name w:val="HU_Note_2Col"/>
    <w:basedOn w:val="Norml"/>
    <w:next w:val="Norml"/>
    <w:uiPriority w:val="1"/>
    <w:qFormat/>
    <w:rsid w:val="00DF5E0E"/>
    <w:pPr>
      <w:keepLines/>
    </w:pPr>
    <w:rPr>
      <w:color w:val="808080"/>
      <w:sz w:val="18"/>
    </w:rPr>
  </w:style>
  <w:style w:type="paragraph" w:customStyle="1" w:styleId="HUNoteBox">
    <w:name w:val="HU_Note_Box"/>
    <w:basedOn w:val="Norml"/>
    <w:next w:val="HUNormalBox"/>
    <w:link w:val="HUNoteBoxChar"/>
    <w:uiPriority w:val="1"/>
    <w:qFormat/>
    <w:rsid w:val="00DF5E0E"/>
    <w:pPr>
      <w:keepLines/>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EEFF"/>
      <w:jc w:val="center"/>
    </w:pPr>
    <w:rPr>
      <w:color w:val="808080"/>
      <w:sz w:val="18"/>
    </w:rPr>
  </w:style>
  <w:style w:type="character" w:customStyle="1" w:styleId="HUNoteBoxChar">
    <w:name w:val="HU_Note_Box Char"/>
    <w:basedOn w:val="Bekezdsalapbettpusa"/>
    <w:link w:val="HUNoteBox"/>
    <w:uiPriority w:val="1"/>
    <w:rsid w:val="00DF5E0E"/>
    <w:rPr>
      <w:rFonts w:ascii="Calibri" w:eastAsiaTheme="minorHAnsi" w:hAnsi="Calibri" w:cstheme="minorBidi"/>
      <w:color w:val="808080"/>
      <w:sz w:val="18"/>
      <w:shd w:val="clear" w:color="auto" w:fill="C6EEFF"/>
    </w:rPr>
  </w:style>
  <w:style w:type="paragraph" w:customStyle="1" w:styleId="HUSectionTitle">
    <w:name w:val="HU_Section_Title"/>
    <w:basedOn w:val="Cmsor2"/>
    <w:next w:val="Norml"/>
    <w:link w:val="HUSectionTitleChar"/>
    <w:uiPriority w:val="1"/>
    <w:rsid w:val="00DF5E0E"/>
    <w:pPr>
      <w:keepNext/>
    </w:pPr>
  </w:style>
  <w:style w:type="character" w:customStyle="1" w:styleId="HUSectionTitleChar">
    <w:name w:val="HU_Section_Title Char"/>
    <w:basedOn w:val="Cmsor2Char"/>
    <w:link w:val="HUSectionTitle"/>
    <w:uiPriority w:val="1"/>
    <w:rsid w:val="00DF5E0E"/>
    <w:rPr>
      <w:rFonts w:ascii="Calibri" w:eastAsiaTheme="minorHAnsi" w:hAnsi="Calibri" w:cstheme="minorBidi"/>
      <w:b/>
      <w:color w:val="1F497D" w:themeColor="text2"/>
      <w:sz w:val="24"/>
      <w:szCs w:val="38"/>
    </w:rPr>
  </w:style>
  <w:style w:type="paragraph" w:customStyle="1" w:styleId="HUSubsectionTitle">
    <w:name w:val="HU_Subsection_Title"/>
    <w:basedOn w:val="Cmsor3"/>
    <w:next w:val="Norml"/>
    <w:link w:val="HUSubsectionTitleChar"/>
    <w:uiPriority w:val="1"/>
    <w:rsid w:val="00DF5E0E"/>
    <w:pPr>
      <w:keepNext/>
      <w:ind w:left="595" w:hanging="595"/>
    </w:pPr>
  </w:style>
  <w:style w:type="character" w:customStyle="1" w:styleId="HUSubsectionTitleChar">
    <w:name w:val="HU_Subsection_Title Char"/>
    <w:basedOn w:val="Cmsor3Char"/>
    <w:link w:val="HUSubsectionTitle"/>
    <w:uiPriority w:val="1"/>
    <w:rsid w:val="00DF5E0E"/>
    <w:rPr>
      <w:rFonts w:ascii="Calibri" w:eastAsiaTheme="minorHAnsi" w:hAnsi="Calibri" w:cstheme="minorBidi"/>
      <w:bCs/>
      <w:color w:val="1F497D" w:themeColor="text2"/>
      <w:szCs w:val="34"/>
    </w:rPr>
  </w:style>
  <w:style w:type="paragraph" w:customStyle="1" w:styleId="Heading1Kiadvny">
    <w:name w:val="Heading 1 Kiadvány"/>
    <w:basedOn w:val="Cmsor1"/>
    <w:qFormat/>
    <w:rsid w:val="00DF5E0E"/>
    <w:rPr>
      <w:b w:val="0"/>
      <w:caps w:val="0"/>
      <w:sz w:val="52"/>
    </w:rPr>
  </w:style>
  <w:style w:type="paragraph" w:customStyle="1" w:styleId="Erskiemels4">
    <w:name w:val="Erős kiemelés4"/>
    <w:basedOn w:val="Norml"/>
    <w:uiPriority w:val="5"/>
    <w:qFormat/>
    <w:rsid w:val="00BD6D0B"/>
    <w:rPr>
      <w:b/>
      <w:i/>
    </w:rPr>
  </w:style>
  <w:style w:type="paragraph" w:customStyle="1" w:styleId="Erskiemels5">
    <w:name w:val="Erős kiemelés5"/>
    <w:basedOn w:val="Norml"/>
    <w:uiPriority w:val="5"/>
    <w:qFormat/>
    <w:rsid w:val="002E69DE"/>
    <w:rPr>
      <w:b/>
      <w:i/>
    </w:rPr>
  </w:style>
  <w:style w:type="paragraph" w:customStyle="1" w:styleId="Erskiemels6">
    <w:name w:val="Erős kiemelés6"/>
    <w:basedOn w:val="Norml"/>
    <w:uiPriority w:val="5"/>
    <w:qFormat/>
    <w:rsid w:val="000C0EE3"/>
    <w:rPr>
      <w:b/>
      <w:i/>
    </w:rPr>
  </w:style>
  <w:style w:type="paragraph" w:customStyle="1" w:styleId="Erskiemels7">
    <w:name w:val="Erős kiemelés7"/>
    <w:basedOn w:val="Norml"/>
    <w:uiPriority w:val="5"/>
    <w:qFormat/>
    <w:rsid w:val="00A130FF"/>
    <w:rPr>
      <w:b/>
      <w:i/>
    </w:rPr>
  </w:style>
  <w:style w:type="paragraph" w:customStyle="1" w:styleId="Erskiemels8">
    <w:name w:val="Erős kiemelés8"/>
    <w:basedOn w:val="Norml"/>
    <w:uiPriority w:val="5"/>
    <w:qFormat/>
    <w:rsid w:val="001C44A5"/>
    <w:rPr>
      <w:b/>
      <w:i/>
    </w:rPr>
  </w:style>
  <w:style w:type="paragraph" w:customStyle="1" w:styleId="Erskiemels9">
    <w:name w:val="Erős kiemelés9"/>
    <w:basedOn w:val="Norml"/>
    <w:uiPriority w:val="5"/>
    <w:qFormat/>
    <w:rsid w:val="00727754"/>
    <w:rPr>
      <w:b/>
      <w:i/>
    </w:rPr>
  </w:style>
  <w:style w:type="paragraph" w:customStyle="1" w:styleId="Erskiemels10">
    <w:name w:val="Erős kiemelés10"/>
    <w:basedOn w:val="Norml"/>
    <w:uiPriority w:val="5"/>
    <w:qFormat/>
    <w:rsid w:val="000A6BC5"/>
    <w:rPr>
      <w:b/>
      <w:i/>
    </w:rPr>
  </w:style>
  <w:style w:type="paragraph" w:customStyle="1" w:styleId="Erskiemels11">
    <w:name w:val="Erős kiemelés11"/>
    <w:basedOn w:val="Norml"/>
    <w:uiPriority w:val="5"/>
    <w:qFormat/>
    <w:rsid w:val="00B61440"/>
    <w:rPr>
      <w:b/>
      <w:i/>
    </w:rPr>
  </w:style>
  <w:style w:type="paragraph" w:customStyle="1" w:styleId="Erskiemels12">
    <w:name w:val="Erős kiemelés12"/>
    <w:basedOn w:val="Norml"/>
    <w:uiPriority w:val="5"/>
    <w:qFormat/>
    <w:rsid w:val="006907BA"/>
    <w:rPr>
      <w:b/>
      <w:i/>
    </w:rPr>
  </w:style>
  <w:style w:type="paragraph" w:customStyle="1" w:styleId="Erskiemels120">
    <w:name w:val="Erős kiemelés12_0"/>
    <w:basedOn w:val="Norml"/>
    <w:uiPriority w:val="5"/>
    <w:qFormat/>
    <w:rsid w:val="00A40817"/>
    <w:rPr>
      <w:b/>
      <w:i/>
    </w:rPr>
  </w:style>
  <w:style w:type="paragraph" w:customStyle="1" w:styleId="Erskiemels13">
    <w:name w:val="Erős kiemelés13"/>
    <w:basedOn w:val="Norml"/>
    <w:uiPriority w:val="5"/>
    <w:qFormat/>
    <w:rsid w:val="00A86A37"/>
    <w:rPr>
      <w:b/>
      <w:i/>
    </w:rPr>
  </w:style>
  <w:style w:type="paragraph" w:customStyle="1" w:styleId="Erskiemels14">
    <w:name w:val="Erős kiemelés14"/>
    <w:basedOn w:val="Norml"/>
    <w:uiPriority w:val="5"/>
    <w:qFormat/>
    <w:rsid w:val="00631D03"/>
    <w:rPr>
      <w:b/>
      <w:i/>
    </w:rPr>
  </w:style>
  <w:style w:type="paragraph" w:customStyle="1" w:styleId="Erskiemels15">
    <w:name w:val="Erős kiemelés15"/>
    <w:basedOn w:val="Norml"/>
    <w:uiPriority w:val="5"/>
    <w:qFormat/>
    <w:rsid w:val="004B7818"/>
    <w:rPr>
      <w:b/>
      <w:i/>
    </w:rPr>
  </w:style>
  <w:style w:type="paragraph" w:customStyle="1" w:styleId="Erskiemels16">
    <w:name w:val="Erős kiemelés16"/>
    <w:basedOn w:val="Norml"/>
    <w:uiPriority w:val="5"/>
    <w:qFormat/>
    <w:rsid w:val="0064103B"/>
    <w:rPr>
      <w:b/>
      <w:i/>
    </w:rPr>
  </w:style>
  <w:style w:type="paragraph" w:customStyle="1" w:styleId="Erskiemels17">
    <w:name w:val="Erős kiemelés17"/>
    <w:basedOn w:val="Norml"/>
    <w:uiPriority w:val="5"/>
    <w:qFormat/>
    <w:rsid w:val="006D54C1"/>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eba.europa.eu/documents/10180/655339/EBA_2014_00040000_HU.pdf/16205104-550a-4183-9155-c803a86bbce9" TargetMode="External"/><Relationship Id="rId1" Type="http://schemas.openxmlformats.org/officeDocument/2006/relationships/hyperlink" Target="http://www.esrb.europa.eu/pub/pdf/recommendations/2011/ESRB_2011_1.hu.pdf?1232a4cd434ed6fba37247fa8f8cecc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E92C0FA8-7F5B-46FC-A020-0E14460E1D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2744</Words>
  <Characters>20075</Characters>
  <Application>Microsoft Office Word</Application>
  <DocSecurity>0</DocSecurity>
  <Lines>167</Lines>
  <Paragraphs>45</Paragraphs>
  <ScaleCrop>false</ScaleCrop>
  <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2026-01-20T08:24:00Z</dcterms:created>
  <dcterms:modified xsi:type="dcterms:W3CDTF">2026-01-20T08:24:00Z</dcterms:modified>
</cp:coreProperties>
</file>