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3222" w14:textId="5BF98F6A" w:rsidR="00B56B18" w:rsidRPr="002551F6" w:rsidRDefault="00B56B18" w:rsidP="00872478">
      <w:pPr>
        <w:widowControl w:val="0"/>
        <w:spacing w:after="0" w:line="239" w:lineRule="auto"/>
        <w:ind w:left="242" w:right="224"/>
        <w:jc w:val="center"/>
        <w:rPr>
          <w:rFonts w:eastAsia="Calibri" w:cs="Calibri"/>
          <w:lang w:val="en-GB"/>
        </w:rPr>
      </w:pPr>
      <w:r w:rsidRPr="002551F6">
        <w:rPr>
          <w:rFonts w:eastAsia="Calibri" w:cs="Calibri"/>
          <w:b/>
          <w:bCs/>
          <w:lang w:val="en-GB"/>
        </w:rPr>
        <w:t>RULES PERTAINING TO THE OPERATION OF BRANCH OFFICES AND TO THE SUPERVISION OF ACTIVITIES PERFORMED THROUGH BRANCH OFFICES, AS WELL AS TO THE FULFILMENT OF THE REGISTRATION AND REPORTING OBLIGATIONS</w:t>
      </w:r>
    </w:p>
    <w:p w14:paraId="63CB2973" w14:textId="77777777" w:rsidR="00B56B18" w:rsidRPr="002551F6" w:rsidRDefault="00B56B18" w:rsidP="00872478">
      <w:pPr>
        <w:widowControl w:val="0"/>
        <w:spacing w:before="8" w:after="0" w:line="280" w:lineRule="exact"/>
        <w:ind w:right="224"/>
        <w:rPr>
          <w:rFonts w:eastAsia="Calibri" w:cs="Times New Roman"/>
          <w:sz w:val="28"/>
          <w:szCs w:val="28"/>
          <w:lang w:val="en-GB"/>
        </w:rPr>
      </w:pPr>
    </w:p>
    <w:p w14:paraId="04021E96" w14:textId="77777777" w:rsidR="00B56B18" w:rsidRPr="002551F6" w:rsidRDefault="00B56B18" w:rsidP="00872478">
      <w:pPr>
        <w:widowControl w:val="0"/>
        <w:numPr>
          <w:ilvl w:val="0"/>
          <w:numId w:val="10"/>
        </w:numPr>
        <w:spacing w:after="0" w:line="240" w:lineRule="auto"/>
        <w:ind w:left="567" w:right="224" w:hanging="425"/>
        <w:contextualSpacing/>
        <w:rPr>
          <w:rFonts w:eastAsia="Calibri" w:cs="Calibri"/>
          <w:lang w:val="en-GB"/>
        </w:rPr>
      </w:pPr>
      <w:r w:rsidRPr="002551F6">
        <w:rPr>
          <w:rFonts w:eastAsia="Calibri" w:cs="Calibri"/>
          <w:b/>
          <w:bCs/>
          <w:lang w:val="en-GB"/>
        </w:rPr>
        <w:t>GENERAL RULES PERTAINING TO THE OPERATION OF BRANCH OFFICES</w:t>
      </w:r>
    </w:p>
    <w:p w14:paraId="605C12FE"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47518472" w14:textId="77777777" w:rsidR="00B56B18" w:rsidRPr="002551F6" w:rsidRDefault="007772C0" w:rsidP="00872478">
      <w:pPr>
        <w:widowControl w:val="0"/>
        <w:spacing w:after="0" w:line="239" w:lineRule="auto"/>
        <w:ind w:left="116" w:right="224" w:firstLine="5"/>
        <w:rPr>
          <w:rFonts w:eastAsia="Calibri" w:cs="Calibri"/>
          <w:lang w:val="en-GB"/>
        </w:rPr>
      </w:pPr>
      <w:r w:rsidRPr="002551F6">
        <w:rPr>
          <w:rFonts w:eastAsia="Calibri" w:cs="Calibri"/>
          <w:lang w:val="en-GB"/>
        </w:rPr>
        <w:t>The notion of branch office is defined in Section 2 b) of Act CXXXII of 1997 on Hungarian Branch Offices and Commercial Representative Offices of Foreign Registered Companies (Branch Office Act), according to which, a branch office is an unincorporated organisational unit of a foreign enterprise, entitled to do business independently, registered in the domestic company register as the branch office of a foreign enterprise as an independent company form.</w:t>
      </w:r>
    </w:p>
    <w:p w14:paraId="1D52F204"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121B4CD0" w14:textId="215B3B9E" w:rsidR="00B56B18" w:rsidRPr="002551F6" w:rsidRDefault="00B56B18" w:rsidP="00872478">
      <w:pPr>
        <w:widowControl w:val="0"/>
        <w:spacing w:after="0" w:line="240" w:lineRule="auto"/>
        <w:ind w:left="116" w:right="224"/>
        <w:rPr>
          <w:rFonts w:eastAsia="Calibri" w:cs="Calibri"/>
          <w:lang w:val="en-GB"/>
        </w:rPr>
      </w:pPr>
      <w:r w:rsidRPr="002551F6">
        <w:rPr>
          <w:rFonts w:eastAsia="Calibri" w:cs="Calibri"/>
          <w:lang w:val="en-GB"/>
        </w:rPr>
        <w:t>Pursuant to Section 13 of the Branch Office Act, unless otherwise provided by law, branch offices qualify as foreign exchange residents. Pursuant to the principle of national treatment, the rules pertaining to domestic enterprises shall also apply to the operation, business activities and market conduct of branch offices. Owing to its foreign exchange resident status, a branch office is treated as a domestic entity when entering into a foreign trade contract, i.e. its business activities are subject to the same legal and administrative conditions as that of other businesses established in Hungary. For instance</w:t>
      </w:r>
      <w:r w:rsidR="002551F6">
        <w:rPr>
          <w:rFonts w:eastAsia="Calibri" w:cs="Calibri"/>
          <w:lang w:val="en-GB"/>
        </w:rPr>
        <w:t>,</w:t>
      </w:r>
      <w:r w:rsidRPr="002551F6">
        <w:rPr>
          <w:rFonts w:eastAsia="Calibri" w:cs="Calibri"/>
          <w:lang w:val="en-GB"/>
        </w:rPr>
        <w:t xml:space="preserve"> a guarantee issued by a credit institution operating in the form of a branch office shall be considered equal to a guarantee issued by a domestic credit institution and thus it does not require any additional guarantee.</w:t>
      </w:r>
    </w:p>
    <w:p w14:paraId="3C5E745F" w14:textId="77777777" w:rsidR="00B56B18" w:rsidRPr="002551F6" w:rsidRDefault="00B56B18" w:rsidP="00872478">
      <w:pPr>
        <w:widowControl w:val="0"/>
        <w:spacing w:before="3" w:after="0" w:line="240" w:lineRule="exact"/>
        <w:ind w:right="224"/>
        <w:rPr>
          <w:rFonts w:eastAsia="Calibri" w:cs="Times New Roman"/>
          <w:sz w:val="24"/>
          <w:szCs w:val="24"/>
          <w:lang w:val="en-GB"/>
        </w:rPr>
      </w:pPr>
    </w:p>
    <w:p w14:paraId="0EA32BD1" w14:textId="77777777" w:rsidR="00B56B18" w:rsidRPr="002551F6" w:rsidRDefault="00B56B18" w:rsidP="00872478">
      <w:pPr>
        <w:widowControl w:val="0"/>
        <w:spacing w:after="0" w:line="240" w:lineRule="auto"/>
        <w:ind w:left="116" w:right="224"/>
        <w:rPr>
          <w:rFonts w:eastAsia="Calibri" w:cs="Calibri"/>
          <w:lang w:val="en-GB"/>
        </w:rPr>
      </w:pPr>
      <w:r w:rsidRPr="002551F6">
        <w:rPr>
          <w:rFonts w:eastAsia="Calibri" w:cs="Calibri"/>
          <w:lang w:val="en-GB"/>
        </w:rPr>
        <w:t>A branch office may have premises (sites) in multiple cities (settlements).</w:t>
      </w:r>
    </w:p>
    <w:p w14:paraId="24D4B975"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754CE805" w14:textId="29FED99F" w:rsidR="00B56B18" w:rsidRPr="002551F6" w:rsidRDefault="00B56B18" w:rsidP="00872478">
      <w:pPr>
        <w:widowControl w:val="0"/>
        <w:spacing w:after="0" w:line="239" w:lineRule="auto"/>
        <w:ind w:left="116" w:right="224"/>
        <w:rPr>
          <w:rFonts w:eastAsia="Calibri" w:cs="Calibri"/>
          <w:lang w:val="en-GB"/>
        </w:rPr>
      </w:pPr>
      <w:r w:rsidRPr="002551F6">
        <w:rPr>
          <w:rFonts w:eastAsia="Calibri" w:cs="Calibri"/>
          <w:lang w:val="en-GB"/>
        </w:rPr>
        <w:t>As the first step in the registration procedure of a branch office, the competent foreign supervisory authority reports the establishment of the branch office. After confirming the foundation of the new entity, the MNB registers the branch office, independently of its entry into the company register. An important obligation connected to the date of the registration is the payment of the supervisory fee. Pursuant to Article 168 (1) of Act CXXXIX of 2013 on Magyar Nemzeti Bank, the supervisory fee must be paid by the institution that holds a licence on the first day of the calendar year and is included in the MNB’s register.</w:t>
      </w:r>
    </w:p>
    <w:p w14:paraId="30EF6920" w14:textId="77777777" w:rsidR="00B97561" w:rsidRPr="002551F6" w:rsidRDefault="00B97561" w:rsidP="00872478">
      <w:pPr>
        <w:widowControl w:val="0"/>
        <w:spacing w:after="0" w:line="239" w:lineRule="auto"/>
        <w:ind w:left="116" w:right="224"/>
        <w:rPr>
          <w:rFonts w:eastAsia="Calibri" w:cs="Times New Roman"/>
          <w:sz w:val="24"/>
          <w:szCs w:val="24"/>
          <w:lang w:val="en-GB"/>
        </w:rPr>
      </w:pPr>
    </w:p>
    <w:p w14:paraId="226DF297" w14:textId="77777777" w:rsidR="00B56B18" w:rsidRPr="002551F6" w:rsidRDefault="00B56B18" w:rsidP="00872478">
      <w:pPr>
        <w:widowControl w:val="0"/>
        <w:spacing w:after="0" w:line="240" w:lineRule="auto"/>
        <w:ind w:left="116" w:right="224"/>
        <w:rPr>
          <w:rFonts w:eastAsia="Calibri" w:cs="Calibri"/>
          <w:lang w:val="en-GB"/>
        </w:rPr>
      </w:pPr>
      <w:r w:rsidRPr="002551F6">
        <w:rPr>
          <w:rFonts w:eastAsia="Calibri" w:cs="Calibri"/>
          <w:lang w:val="en-GB"/>
        </w:rPr>
        <w:t>The branch office may launch operations once it receives confirmation of registration. Simultaneously, it shall file for registration in the company register pursuant to Section 24 (2) of the Branch Office Act. The branch office is required to report the commencement of operations to the MNB. From that point on, the new company shall be subject to data provision obligation.</w:t>
      </w:r>
    </w:p>
    <w:p w14:paraId="6F005E8C"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7C381CF0" w14:textId="77777777" w:rsidR="00B56B18" w:rsidRPr="002551F6" w:rsidRDefault="00B56B18" w:rsidP="00872478">
      <w:pPr>
        <w:widowControl w:val="0"/>
        <w:spacing w:after="0" w:line="239" w:lineRule="auto"/>
        <w:ind w:left="116" w:right="224"/>
        <w:rPr>
          <w:rFonts w:eastAsia="Calibri" w:cs="Calibri"/>
          <w:lang w:val="en-GB"/>
        </w:rPr>
      </w:pPr>
      <w:r w:rsidRPr="002551F6">
        <w:rPr>
          <w:rFonts w:eastAsia="Calibri" w:cs="Calibri"/>
          <w:lang w:val="en-GB"/>
        </w:rPr>
        <w:t>The deletion of a branch office from the registry must begin with the filing of a corresponding report by the competent foreign supervisory authority. In addition, evidence must be supplied to the MNB that the relevant requirements are met. Then the MNB sends a confirmation note to the parent institution and the foreign supervisory authority and deletes the branch office from the registry. Simultaneously to that, the obligation of the branch office to pay supervisory fees and provide data is terminated.</w:t>
      </w:r>
    </w:p>
    <w:p w14:paraId="0FBB1B9A" w14:textId="77777777" w:rsidR="00B56B18" w:rsidRPr="002551F6" w:rsidRDefault="00B56B18" w:rsidP="00872478">
      <w:pPr>
        <w:widowControl w:val="0"/>
        <w:spacing w:before="3" w:after="0" w:line="240" w:lineRule="exact"/>
        <w:ind w:right="224"/>
        <w:rPr>
          <w:rFonts w:eastAsia="Calibri" w:cs="Times New Roman"/>
          <w:sz w:val="24"/>
          <w:szCs w:val="24"/>
          <w:lang w:val="en-GB"/>
        </w:rPr>
      </w:pPr>
    </w:p>
    <w:p w14:paraId="181E9287" w14:textId="77777777" w:rsidR="00B56B18" w:rsidRPr="002551F6" w:rsidRDefault="00B56B18" w:rsidP="00872478">
      <w:pPr>
        <w:widowControl w:val="0"/>
        <w:spacing w:after="0" w:line="240" w:lineRule="auto"/>
        <w:ind w:left="116" w:right="224"/>
        <w:rPr>
          <w:rFonts w:eastAsia="Calibri" w:cs="Calibri"/>
          <w:lang w:val="en-GB"/>
        </w:rPr>
      </w:pPr>
      <w:r w:rsidRPr="002551F6">
        <w:rPr>
          <w:rFonts w:eastAsia="Calibri" w:cs="Calibri"/>
          <w:lang w:val="en-GB"/>
        </w:rPr>
        <w:t>Pursuant to Section 23 (1) of the Branch Office Act, the branch office shall be considered terminated upon deletion from the company register.</w:t>
      </w:r>
    </w:p>
    <w:p w14:paraId="4B2CE15B" w14:textId="77777777" w:rsidR="00B56B18" w:rsidRPr="002551F6" w:rsidRDefault="00B56B18" w:rsidP="00872478">
      <w:pPr>
        <w:widowControl w:val="0"/>
        <w:spacing w:after="0" w:line="240" w:lineRule="auto"/>
        <w:ind w:right="224"/>
        <w:rPr>
          <w:rFonts w:eastAsia="Calibri" w:cs="Calibri"/>
          <w:lang w:val="en-GB"/>
        </w:rPr>
      </w:pPr>
    </w:p>
    <w:p w14:paraId="13CE412B" w14:textId="77777777" w:rsidR="00B56B18" w:rsidRPr="002551F6" w:rsidRDefault="00B56B18" w:rsidP="00872478">
      <w:pPr>
        <w:widowControl w:val="0"/>
        <w:numPr>
          <w:ilvl w:val="0"/>
          <w:numId w:val="10"/>
        </w:numPr>
        <w:spacing w:after="0" w:line="240" w:lineRule="auto"/>
        <w:ind w:right="224"/>
        <w:contextualSpacing/>
        <w:rPr>
          <w:rFonts w:eastAsia="Calibri" w:cs="Calibri"/>
          <w:lang w:val="en-GB"/>
        </w:rPr>
      </w:pPr>
      <w:r w:rsidRPr="002551F6">
        <w:rPr>
          <w:rFonts w:eastAsia="Calibri" w:cs="Calibri"/>
          <w:b/>
          <w:bCs/>
          <w:lang w:val="en-GB"/>
        </w:rPr>
        <w:t>CAPITAL MARKET</w:t>
      </w:r>
    </w:p>
    <w:p w14:paraId="6AA6D1AE" w14:textId="77777777" w:rsidR="00B56B18" w:rsidRPr="002551F6" w:rsidRDefault="00B56B18" w:rsidP="00872478">
      <w:pPr>
        <w:widowControl w:val="0"/>
        <w:spacing w:before="3" w:after="0" w:line="240" w:lineRule="exact"/>
        <w:ind w:right="224"/>
        <w:rPr>
          <w:rFonts w:eastAsia="Calibri" w:cs="Times New Roman"/>
          <w:sz w:val="24"/>
          <w:szCs w:val="24"/>
          <w:lang w:val="en-GB"/>
        </w:rPr>
      </w:pPr>
    </w:p>
    <w:p w14:paraId="1CC6EFDB" w14:textId="097F1612" w:rsidR="00B56B18" w:rsidRPr="002551F6" w:rsidRDefault="00B85FB1" w:rsidP="00872478">
      <w:pPr>
        <w:widowControl w:val="0"/>
        <w:spacing w:after="0" w:line="240" w:lineRule="auto"/>
        <w:ind w:left="116" w:right="224"/>
        <w:rPr>
          <w:rFonts w:eastAsia="Calibri" w:cs="Calibri"/>
          <w:lang w:val="en-GB"/>
        </w:rPr>
      </w:pPr>
      <w:bookmarkStart w:id="0" w:name="_Hlk132803294"/>
      <w:r w:rsidRPr="002551F6">
        <w:rPr>
          <w:rFonts w:eastAsia="Calibri" w:cs="Calibri"/>
          <w:b/>
          <w:bCs/>
          <w:lang w:val="en-GB"/>
        </w:rPr>
        <w:t>2.1 Branch offices of investment firms</w:t>
      </w:r>
    </w:p>
    <w:p w14:paraId="16EC70C3"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07AEB845" w14:textId="77777777" w:rsidR="00B56B18" w:rsidRPr="002551F6" w:rsidRDefault="00B56B18" w:rsidP="00872478">
      <w:pPr>
        <w:widowControl w:val="0"/>
        <w:spacing w:after="0" w:line="239" w:lineRule="auto"/>
        <w:ind w:left="116" w:right="224"/>
        <w:rPr>
          <w:rFonts w:eastAsia="Calibri" w:cs="Calibri"/>
          <w:lang w:val="en-GB"/>
        </w:rPr>
      </w:pPr>
      <w:r w:rsidRPr="002551F6">
        <w:rPr>
          <w:rFonts w:eastAsia="Calibri" w:cs="Calibri"/>
          <w:lang w:val="en-GB"/>
        </w:rPr>
        <w:t>When Hungary joined the European Union, the community legislation ensuring the obstacle</w:t>
      </w:r>
      <w:r w:rsidRPr="002551F6">
        <w:rPr>
          <w:rFonts w:eastAsia="Calibri" w:cs="Calibri"/>
          <w:lang w:val="en-GB"/>
        </w:rPr>
        <w:noBreakHyphen/>
        <w:t>free operation of the internal market entered into force in Hungary as well. These laws provide a European Single Passport to all investment firms with registered office in an EEA state, allowing them to operate across the EEA – without separate license – on the basis of the license obtained from the supervisory authority of the home member state for investment services and supplementary services subject to mutual recognition.</w:t>
      </w:r>
    </w:p>
    <w:p w14:paraId="54DFD0DC"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295C5EB1" w14:textId="77777777" w:rsidR="00B56B18" w:rsidRPr="002551F6" w:rsidRDefault="00B56B18" w:rsidP="00872478">
      <w:pPr>
        <w:widowControl w:val="0"/>
        <w:spacing w:after="0" w:line="240" w:lineRule="auto"/>
        <w:ind w:left="116" w:right="224"/>
        <w:rPr>
          <w:rFonts w:eastAsia="Calibri" w:cs="Calibri"/>
          <w:lang w:val="en-GB"/>
        </w:rPr>
      </w:pPr>
      <w:r w:rsidRPr="002551F6">
        <w:rPr>
          <w:rFonts w:eastAsia="Calibri" w:cs="Calibri"/>
          <w:lang w:val="en-GB"/>
        </w:rPr>
        <w:t xml:space="preserve">Prudential supervision (including supervision of the activities for the performance of which the investment firm holds a license) of the investment firm establishing the branch office – which the branch office is an integral part of) – is the responsibility of the competent authorities of the member state of the registered office. Thus the </w:t>
      </w:r>
      <w:r w:rsidRPr="002551F6">
        <w:rPr>
          <w:rFonts w:eastAsia="Calibri" w:cs="Calibri"/>
          <w:lang w:val="en-GB"/>
        </w:rPr>
        <w:lastRenderedPageBreak/>
        <w:t>operation of the Hungarian branch office of a member state’s investment firm (i.e. organisational and operational rules, internal audit) will be also primarily governed by the laws of the country determined on the basis of the investment firm’s registered office, while the provisions of Act CXXXVIII of 2007 on Investment Firms and Commodity Dealers, and on the Regulations Governing their Activities (Investment Firms Act) and of Act CXX of 2001 on the Capital Markets (Capital Markets Act) and of other laws on financial matters shall be applicable only if the respective law specifically stipulates so.</w:t>
      </w:r>
    </w:p>
    <w:p w14:paraId="57A96CD0" w14:textId="77777777" w:rsidR="00B56B18" w:rsidRPr="002551F6" w:rsidRDefault="00B56B18" w:rsidP="00872478">
      <w:pPr>
        <w:widowControl w:val="0"/>
        <w:spacing w:before="3" w:after="0" w:line="240" w:lineRule="exact"/>
        <w:ind w:right="224"/>
        <w:rPr>
          <w:rFonts w:eastAsia="Calibri" w:cs="Times New Roman"/>
          <w:sz w:val="24"/>
          <w:szCs w:val="24"/>
          <w:lang w:val="en-GB"/>
        </w:rPr>
      </w:pPr>
    </w:p>
    <w:p w14:paraId="7259C649" w14:textId="42D10EAC" w:rsidR="00FE3B20" w:rsidRPr="002551F6" w:rsidRDefault="00B56B18" w:rsidP="00872478">
      <w:pPr>
        <w:widowControl w:val="0"/>
        <w:spacing w:after="0" w:line="240" w:lineRule="auto"/>
        <w:ind w:left="116" w:right="224"/>
        <w:rPr>
          <w:rFonts w:eastAsia="Calibri" w:cs="Calibri"/>
          <w:spacing w:val="-1"/>
          <w:lang w:val="en-GB"/>
        </w:rPr>
      </w:pPr>
      <w:r w:rsidRPr="002551F6">
        <w:rPr>
          <w:rFonts w:eastAsia="Calibri" w:cs="Calibri"/>
          <w:lang w:val="en-GB"/>
        </w:rPr>
        <w:t>As the competent supervisory authority of the host Member State, the MNB inspects whether the branch office complies with regulations on consumer protection and on the prevention and combating of money laundering and terrorism financing. Pursuant to Section 176 of the Investment Firms Act – in cases essential for ensuring the stability of the financial system – the MNB is entitled to inspect the activity of the Hungarian branch office of an investment firm with registered office in another EEA state with the framework of an audit procedure. Prior to the inspection the MNB shall forthwith consult the supervisory authority of the EEA state having competence based on the registered office. Following the inspection, the MNB shall forthwith inform the supervisory authority of the EEA state having competence based on the registered office of the details and findings that are critical for the risk assessment of the respective investment firm.</w:t>
      </w:r>
    </w:p>
    <w:p w14:paraId="19C05077" w14:textId="1061396A" w:rsidR="00B56B18" w:rsidRPr="002551F6" w:rsidRDefault="00FE3B20" w:rsidP="00872478">
      <w:pPr>
        <w:widowControl w:val="0"/>
        <w:spacing w:after="0" w:line="240" w:lineRule="auto"/>
        <w:ind w:left="116" w:right="224"/>
        <w:rPr>
          <w:rFonts w:eastAsia="Calibri" w:cs="Calibri"/>
          <w:lang w:val="en-GB"/>
        </w:rPr>
      </w:pPr>
      <w:r w:rsidRPr="002551F6">
        <w:rPr>
          <w:rFonts w:eastAsia="Calibri" w:cs="Calibri"/>
          <w:lang w:val="en-GB"/>
        </w:rPr>
        <w:t>In the cases referenced in Sections 176-178/B of the Investment Firms Act, the MNB may take measures or notifies the competent supervisory authority of the home EEA state.</w:t>
      </w:r>
    </w:p>
    <w:p w14:paraId="01DBA419" w14:textId="77777777" w:rsidR="00B56B18" w:rsidRPr="002551F6" w:rsidRDefault="00B56B18" w:rsidP="00872478">
      <w:pPr>
        <w:widowControl w:val="0"/>
        <w:spacing w:after="0" w:line="240" w:lineRule="auto"/>
        <w:ind w:left="116" w:right="224"/>
        <w:rPr>
          <w:rFonts w:eastAsia="Calibri" w:cs="Calibri"/>
          <w:lang w:val="en-GB"/>
        </w:rPr>
      </w:pPr>
    </w:p>
    <w:p w14:paraId="623315C4" w14:textId="77777777" w:rsidR="00B56B18" w:rsidRPr="002551F6" w:rsidRDefault="00B85FB1" w:rsidP="00872478">
      <w:pPr>
        <w:widowControl w:val="0"/>
        <w:spacing w:before="56" w:after="0" w:line="240" w:lineRule="auto"/>
        <w:ind w:left="142" w:right="224"/>
        <w:rPr>
          <w:rFonts w:eastAsia="Calibri" w:cs="Calibri"/>
          <w:lang w:val="en-GB"/>
        </w:rPr>
      </w:pPr>
      <w:r w:rsidRPr="002551F6">
        <w:rPr>
          <w:rFonts w:eastAsia="Calibri" w:cs="Calibri"/>
          <w:b/>
          <w:bCs/>
          <w:lang w:val="en-GB"/>
        </w:rPr>
        <w:t>2.1.1. Internal regulations of the Hungarian branch offices of the member states’ investment firms</w:t>
      </w:r>
    </w:p>
    <w:p w14:paraId="5CD6F35E" w14:textId="77777777" w:rsidR="00B56B18" w:rsidRPr="002551F6" w:rsidRDefault="00B56B18" w:rsidP="00872478">
      <w:pPr>
        <w:widowControl w:val="0"/>
        <w:spacing w:before="7" w:after="0" w:line="240" w:lineRule="exact"/>
        <w:ind w:right="224"/>
        <w:rPr>
          <w:rFonts w:eastAsia="Calibri" w:cs="Times New Roman"/>
          <w:sz w:val="24"/>
          <w:szCs w:val="24"/>
          <w:lang w:val="en-GB"/>
        </w:rPr>
      </w:pPr>
    </w:p>
    <w:p w14:paraId="3D4354F6" w14:textId="6DAB2904" w:rsidR="00B56B18" w:rsidRPr="002551F6" w:rsidRDefault="00B56B18" w:rsidP="00872478">
      <w:pPr>
        <w:widowControl w:val="0"/>
        <w:spacing w:after="0" w:line="251" w:lineRule="exact"/>
        <w:ind w:left="116" w:right="224"/>
        <w:rPr>
          <w:rFonts w:eastAsia="Calibri" w:cs="Calibri"/>
          <w:u w:val="single"/>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Internal regulation on the prevention and combating money laundering,</w:t>
      </w:r>
      <w:r w:rsidRPr="002551F6">
        <w:rPr>
          <w:b/>
          <w:bCs/>
          <w:lang w:val="en-GB"/>
        </w:rPr>
        <w:t xml:space="preserve"> </w:t>
      </w:r>
      <w:r w:rsidRPr="002551F6">
        <w:rPr>
          <w:u w:val="single"/>
          <w:lang w:val="en-GB"/>
        </w:rPr>
        <w:t xml:space="preserve">internal regulation under the Identification Tasks Act  </w:t>
      </w:r>
    </w:p>
    <w:p w14:paraId="5B1F25DA" w14:textId="77777777" w:rsidR="00B56B18" w:rsidRPr="002551F6" w:rsidRDefault="00B56B18" w:rsidP="00872478">
      <w:pPr>
        <w:widowControl w:val="0"/>
        <w:spacing w:after="0" w:line="251" w:lineRule="exact"/>
        <w:ind w:left="116" w:right="224"/>
        <w:rPr>
          <w:rFonts w:eastAsia="Calibri" w:cs="Calibri"/>
          <w:lang w:val="en-GB"/>
        </w:rPr>
      </w:pPr>
    </w:p>
    <w:p w14:paraId="54FBF6C8" w14:textId="38E3D6BE" w:rsidR="00B56B18" w:rsidRPr="002551F6" w:rsidRDefault="00B56B18" w:rsidP="00872478">
      <w:pPr>
        <w:widowControl w:val="0"/>
        <w:spacing w:before="19" w:after="0" w:line="239" w:lineRule="auto"/>
        <w:ind w:left="142" w:right="224"/>
        <w:rPr>
          <w:rFonts w:eastAsia="Calibri" w:cs="Calibri"/>
          <w:lang w:val="en-GB"/>
        </w:rPr>
      </w:pPr>
      <w:r w:rsidRPr="002551F6">
        <w:rPr>
          <w:rFonts w:eastAsia="Calibri" w:cs="Calibri"/>
          <w:lang w:val="en-GB"/>
        </w:rPr>
        <w:t>Pursuant to the interpretative provisions of Act LIII of 2017 on the Prevention and Combating of Money Laundering and Terrorist Financing (Anti-money Laundering Act), the branch office qualifies as a service provider rendering investment services, and as such it is obliged to prepare internal regulations and submit it to the MNB for approval. The branch office’s activities to prevent and combat money laundering are subject to scrutiny by the MNB. According to the provisions of Act XLIII of 2021 on the Establishment and Operation of the Data Reporting Background for the Identification Tasks of Financial and Other Service Providers (</w:t>
      </w:r>
      <w:r w:rsidRPr="002551F6">
        <w:rPr>
          <w:rFonts w:eastAsia="Calibri" w:cs="Calibri"/>
          <w:b/>
          <w:bCs/>
          <w:lang w:val="en-GB"/>
        </w:rPr>
        <w:t>Identification Tasks Act</w:t>
      </w:r>
      <w:r w:rsidRPr="002551F6">
        <w:rPr>
          <w:rFonts w:eastAsia="Calibri" w:cs="Calibri"/>
          <w:lang w:val="en-GB"/>
        </w:rPr>
        <w:t>) service providers shall prepare internal regulations for the fulfilment of the tasks falling within the obligations set out in the Identification Tasks Act, which shall be governed by the special provisions of the AML Act applicable to internal regulations. The internal regulation under the Identification Tasks Act may also form part of the internal regulations under the AML Act (based on the service provider’s decision), but it may also be compiled as a separate document. The service provider shall submit the internal regulations under the Identification Tasks Act to the MNB for approval. Service provider’s compliance with the obligations specified in the Identifications Tasks Act shall be ensured by the MNB.</w:t>
      </w:r>
    </w:p>
    <w:p w14:paraId="613747A5" w14:textId="77777777" w:rsidR="00B56B18" w:rsidRPr="002551F6" w:rsidRDefault="00B56B18" w:rsidP="00872478">
      <w:pPr>
        <w:widowControl w:val="0"/>
        <w:spacing w:before="4" w:after="0" w:line="240" w:lineRule="exact"/>
        <w:ind w:right="224"/>
        <w:rPr>
          <w:rFonts w:eastAsia="Calibri" w:cs="Times New Roman"/>
          <w:sz w:val="24"/>
          <w:szCs w:val="24"/>
          <w:lang w:val="en-GB"/>
        </w:rPr>
      </w:pPr>
    </w:p>
    <w:p w14:paraId="20C481D9" w14:textId="77777777" w:rsidR="00B56B18" w:rsidRPr="002551F6" w:rsidRDefault="00B56B18" w:rsidP="00872478">
      <w:pPr>
        <w:keepNext/>
        <w:keepLines/>
        <w:widowControl w:val="0"/>
        <w:spacing w:after="0" w:line="240" w:lineRule="auto"/>
        <w:ind w:left="116" w:right="224"/>
        <w:rPr>
          <w:rFonts w:eastAsia="Calibri" w:cs="Calibri"/>
          <w:lang w:val="en-GB"/>
        </w:rPr>
      </w:pPr>
      <w:r w:rsidRPr="002551F6">
        <w:rPr>
          <w:rFonts w:ascii="Symbol" w:hAnsi="Symbol"/>
          <w:lang w:val="en-GB"/>
        </w:rPr>
        <w:t></w:t>
      </w:r>
      <w:r w:rsidRPr="002551F6">
        <w:rPr>
          <w:u w:val="single"/>
          <w:lang w:val="en-GB"/>
        </w:rPr>
        <w:t xml:space="preserve"> Regulation on the production, registration and forwarding of dematerialised securities and on managing the related data </w:t>
      </w:r>
    </w:p>
    <w:p w14:paraId="2DB633CE" w14:textId="77777777" w:rsidR="00B56B18" w:rsidRPr="002551F6" w:rsidRDefault="00B56B18" w:rsidP="00872478">
      <w:pPr>
        <w:keepNext/>
        <w:keepLines/>
        <w:widowControl w:val="0"/>
        <w:spacing w:before="8" w:after="0" w:line="220" w:lineRule="exact"/>
        <w:ind w:right="224"/>
        <w:rPr>
          <w:rFonts w:eastAsia="Calibri" w:cs="Times New Roman"/>
          <w:lang w:val="en-GB"/>
        </w:rPr>
      </w:pPr>
    </w:p>
    <w:p w14:paraId="41EE34BC" w14:textId="77777777" w:rsidR="00B56B18" w:rsidRPr="002551F6" w:rsidRDefault="00B56B18" w:rsidP="00872478">
      <w:pPr>
        <w:keepNext/>
        <w:keepLines/>
        <w:widowControl w:val="0"/>
        <w:spacing w:before="19" w:after="0" w:line="240" w:lineRule="auto"/>
        <w:ind w:left="142" w:right="224"/>
        <w:rPr>
          <w:rFonts w:eastAsia="Calibri" w:cs="Calibri"/>
          <w:lang w:val="en-GB"/>
        </w:rPr>
      </w:pPr>
      <w:r w:rsidRPr="002551F6">
        <w:rPr>
          <w:rFonts w:eastAsia="Calibri" w:cs="Calibri"/>
          <w:lang w:val="en-GB"/>
        </w:rPr>
        <w:t>Pursuant to Section 2 of Government Decree No 284/2001 (XII. 26.) on the Method of Production, Generation and Forwarding of Dematerialised Securities and the Relevant Rules on Safety, as well as on the Opening and the Keeping of the Security Account, the Central Securities Account and the Customer Account, dematerialised securities are only allowed to be produced recorded and forwarded, and the related data may only be managed based on regulations approved by the MNB and using an approved computer system and storage media that ensures compliance with the conditions set forth in the Government Decree. Accordingly, the branch office performing tasks related to the production, registration and forwarding of dematerialised securities must have internal regulations approved by the MNB.</w:t>
      </w:r>
    </w:p>
    <w:p w14:paraId="6A69F466" w14:textId="77777777" w:rsidR="00B56B18" w:rsidRPr="002551F6" w:rsidRDefault="00B56B18" w:rsidP="00872478">
      <w:pPr>
        <w:widowControl w:val="0"/>
        <w:spacing w:before="7" w:after="0" w:line="240" w:lineRule="exact"/>
        <w:ind w:right="224"/>
        <w:rPr>
          <w:rFonts w:eastAsia="Calibri" w:cs="Times New Roman"/>
          <w:sz w:val="24"/>
          <w:szCs w:val="24"/>
          <w:lang w:val="en-GB"/>
        </w:rPr>
      </w:pPr>
    </w:p>
    <w:p w14:paraId="7DD1E0AA" w14:textId="77777777" w:rsidR="00B56B18" w:rsidRPr="002551F6" w:rsidRDefault="00B56B18" w:rsidP="00872478">
      <w:pPr>
        <w:widowControl w:val="0"/>
        <w:spacing w:after="0" w:line="251" w:lineRule="exact"/>
        <w:ind w:left="116" w:right="224"/>
        <w:rPr>
          <w:rFonts w:eastAsia="Calibri" w:cs="Calibri"/>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General Terms and Conditions, Business Regulation, Rules of Complaint Management </w:t>
      </w:r>
    </w:p>
    <w:p w14:paraId="77A4E45F" w14:textId="77777777" w:rsidR="00B56B18" w:rsidRPr="002551F6" w:rsidRDefault="00B56B18" w:rsidP="00872478">
      <w:pPr>
        <w:widowControl w:val="0"/>
        <w:spacing w:before="6" w:after="0" w:line="220" w:lineRule="exact"/>
        <w:ind w:right="224"/>
        <w:rPr>
          <w:rFonts w:eastAsia="Calibri" w:cs="Times New Roman"/>
          <w:lang w:val="en-GB"/>
        </w:rPr>
      </w:pPr>
    </w:p>
    <w:p w14:paraId="0BDA1237" w14:textId="77777777" w:rsidR="00B56B18" w:rsidRPr="002551F6" w:rsidRDefault="00B56B18" w:rsidP="00872478">
      <w:pPr>
        <w:widowControl w:val="0"/>
        <w:spacing w:before="19" w:after="0" w:line="240" w:lineRule="auto"/>
        <w:ind w:left="142" w:right="224"/>
        <w:rPr>
          <w:rFonts w:eastAsia="Calibri" w:cs="Calibri"/>
          <w:lang w:val="en-GB"/>
        </w:rPr>
      </w:pPr>
      <w:r w:rsidRPr="002551F6">
        <w:rPr>
          <w:rFonts w:eastAsia="Calibri" w:cs="Calibri"/>
          <w:lang w:val="en-GB"/>
        </w:rPr>
        <w:t xml:space="preserve">Pursuant to the provisions of Government Decree No 22/2008 (II. 7.) on the Compulsory content elements of the Business Regulations of the enterprises conducting investment service activities, supplementary investment service activities and commodity exchange services, the Hungarian branch office of an investment firm established in a Member State must have in place General Contract Terms and Conditions, Business Regulations suitable for </w:t>
      </w:r>
      <w:r w:rsidRPr="002551F6">
        <w:rPr>
          <w:rFonts w:eastAsia="Calibri" w:cs="Calibri"/>
          <w:lang w:val="en-GB"/>
        </w:rPr>
        <w:lastRenderedPageBreak/>
        <w:t>providing proper information to the consumers, as well as a complaints management regulation governing the procedure of managing the customers’ potential complaints.</w:t>
      </w:r>
    </w:p>
    <w:p w14:paraId="47F98BA4" w14:textId="77777777" w:rsidR="00B56B18" w:rsidRPr="002551F6" w:rsidRDefault="00B56B18" w:rsidP="00872478">
      <w:pPr>
        <w:widowControl w:val="0"/>
        <w:spacing w:before="4" w:after="0" w:line="240" w:lineRule="exact"/>
        <w:ind w:right="224"/>
        <w:rPr>
          <w:rFonts w:eastAsia="Calibri" w:cs="Times New Roman"/>
          <w:sz w:val="24"/>
          <w:szCs w:val="24"/>
          <w:lang w:val="en-GB"/>
        </w:rPr>
      </w:pPr>
    </w:p>
    <w:p w14:paraId="7990351E" w14:textId="17B21B48" w:rsidR="00B56B18" w:rsidRPr="002551F6" w:rsidRDefault="00B56B18" w:rsidP="00872478">
      <w:pPr>
        <w:widowControl w:val="0"/>
        <w:spacing w:after="0" w:line="251" w:lineRule="exact"/>
        <w:ind w:left="116" w:right="224"/>
        <w:rPr>
          <w:rFonts w:eastAsia="Calibri" w:cs="Times New Roman"/>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Data Protection and Data Security Regulation </w:t>
      </w:r>
    </w:p>
    <w:p w14:paraId="2C52B8AF" w14:textId="5D05531D" w:rsidR="009D729D" w:rsidRPr="002551F6" w:rsidRDefault="00B56B18" w:rsidP="00872478">
      <w:pPr>
        <w:widowControl w:val="0"/>
        <w:spacing w:before="19" w:after="0" w:line="240" w:lineRule="auto"/>
        <w:ind w:left="142" w:right="224"/>
        <w:rPr>
          <w:rFonts w:eastAsia="Calibri" w:cs="Calibri"/>
          <w:spacing w:val="2"/>
          <w:lang w:val="en-GB"/>
        </w:rPr>
      </w:pPr>
      <w:r w:rsidRPr="002551F6">
        <w:rPr>
          <w:rFonts w:eastAsia="Calibri" w:cs="Calibri"/>
          <w:lang w:val="en-GB"/>
        </w:rPr>
        <w:t>Pursuant to Section 2 (1) of Act CXII of 2011 on Informational Self-Determination and Freedom of Information (</w:t>
      </w:r>
      <w:r w:rsidRPr="002551F6">
        <w:rPr>
          <w:rFonts w:eastAsia="Calibri" w:cs="Calibri"/>
          <w:b/>
          <w:bCs/>
          <w:lang w:val="en-GB"/>
        </w:rPr>
        <w:t>Information Act</w:t>
      </w:r>
      <w:r w:rsidRPr="002551F6">
        <w:rPr>
          <w:rFonts w:eastAsia="Calibri" w:cs="Calibri"/>
          <w:lang w:val="en-GB"/>
        </w:rPr>
        <w:t xml:space="preserve">), the scope of the Act </w:t>
      </w:r>
      <w:bookmarkStart w:id="1" w:name="_Hlk99616575"/>
      <w:r w:rsidRPr="002551F6">
        <w:rPr>
          <w:rFonts w:eastAsia="Calibri" w:cs="Calibri"/>
          <w:lang w:val="en-GB"/>
        </w:rPr>
        <w:t>–</w:t>
      </w:r>
      <w:bookmarkEnd w:id="1"/>
      <w:r w:rsidRPr="002551F6">
        <w:rPr>
          <w:rFonts w:eastAsia="Calibri" w:cs="Calibri"/>
          <w:lang w:val="en-GB"/>
        </w:rPr>
        <w:t xml:space="preserve"> in respect of personal data, as defined in paragraphs (2)-(6) of the Information Act – covers all data management and data processing activities performed in the territory of Hungary that relate to the data of natural persons, records of public interest or data disclosed for public interest. Branch offices must also comply with the provisions of Regulation (EU) 2016/679 of the European Parliament and of the Council of 27 April 2016 on the protection of natural persons with regard to the processing of personal data and on the free movement of such data, and repealing Directive 95/46/EC </w:t>
      </w:r>
      <w:bookmarkStart w:id="2" w:name="_Hlk64973021"/>
      <w:r w:rsidRPr="002551F6">
        <w:rPr>
          <w:rFonts w:eastAsia="Calibri" w:cs="Calibri"/>
          <w:lang w:val="en-GB"/>
        </w:rPr>
        <w:t>(</w:t>
      </w:r>
      <w:r w:rsidRPr="002551F6">
        <w:rPr>
          <w:rFonts w:eastAsia="Calibri" w:cs="Calibri"/>
          <w:b/>
          <w:bCs/>
          <w:lang w:val="en-GB"/>
        </w:rPr>
        <w:t>GDPR</w:t>
      </w:r>
      <w:r w:rsidRPr="002551F6">
        <w:rPr>
          <w:rFonts w:eastAsia="Calibri" w:cs="Calibri"/>
          <w:lang w:val="en-GB"/>
        </w:rPr>
        <w:t>). According to the GDPR, taking into account the nature, scope, context and purposes of processing as well as the risks of varying likelihood and severity for the rights and freedoms of natural persons, the controller branch office shall implement appropriate technical and organisational measures to ensure and to be able to demonstrate that processing of personal data is performed in accordance with the GDPR. The controller shall review these measures and update them where necessary. Where proportionate in relation to processing activities, the controller shall also apply appropriate internal data protection policies as part of those measures. Adherence to approved codes of conduct as referred to in Article 40 of GDPR or approved certification mechanisms as referred to in Article 42 of the same may be used as an element by which to demonstrate compliance with the obligations of the controller. (Article 24 of GDPR)</w:t>
      </w:r>
      <w:bookmarkEnd w:id="2"/>
    </w:p>
    <w:p w14:paraId="6ACBA01C" w14:textId="77777777" w:rsidR="00B56B18" w:rsidRPr="002551F6" w:rsidRDefault="00B56B18" w:rsidP="00872478">
      <w:pPr>
        <w:widowControl w:val="0"/>
        <w:spacing w:before="5" w:after="0" w:line="240" w:lineRule="exact"/>
        <w:ind w:right="224"/>
        <w:rPr>
          <w:rFonts w:eastAsia="Calibri" w:cs="Times New Roman"/>
          <w:sz w:val="24"/>
          <w:szCs w:val="24"/>
          <w:lang w:val="en-GB"/>
        </w:rPr>
      </w:pPr>
    </w:p>
    <w:p w14:paraId="20CA4830" w14:textId="6B7E56C0" w:rsidR="00B56B18" w:rsidRPr="002551F6" w:rsidRDefault="00B85FB1" w:rsidP="00872478">
      <w:pPr>
        <w:widowControl w:val="0"/>
        <w:spacing w:before="56" w:after="0" w:line="240" w:lineRule="auto"/>
        <w:ind w:left="142" w:right="224"/>
        <w:rPr>
          <w:rFonts w:eastAsia="Calibri" w:cs="Calibri"/>
          <w:b/>
          <w:bCs/>
          <w:lang w:val="en-GB"/>
        </w:rPr>
      </w:pPr>
      <w:r w:rsidRPr="002551F6">
        <w:rPr>
          <w:rFonts w:eastAsia="Calibri" w:cs="Calibri"/>
          <w:b/>
          <w:bCs/>
          <w:lang w:val="en-GB"/>
        </w:rPr>
        <w:t>2.1.2 Other reporting/licensing and data reporting obligations to be performed to the MNB</w:t>
      </w:r>
    </w:p>
    <w:p w14:paraId="0B401037" w14:textId="77777777" w:rsidR="00B56B18" w:rsidRPr="002551F6" w:rsidRDefault="00B56B18" w:rsidP="00872478">
      <w:pPr>
        <w:widowControl w:val="0"/>
        <w:spacing w:before="4" w:after="0" w:line="240" w:lineRule="exact"/>
        <w:ind w:right="224"/>
        <w:rPr>
          <w:rFonts w:eastAsia="Calibri" w:cs="Times New Roman"/>
          <w:sz w:val="24"/>
          <w:szCs w:val="24"/>
          <w:lang w:val="en-GB"/>
        </w:rPr>
      </w:pPr>
    </w:p>
    <w:p w14:paraId="33BAB8FE" w14:textId="77777777" w:rsidR="00B56B18" w:rsidRPr="002551F6" w:rsidRDefault="00B56B18" w:rsidP="00872478">
      <w:pPr>
        <w:widowControl w:val="0"/>
        <w:spacing w:after="0" w:line="251" w:lineRule="exact"/>
        <w:ind w:left="116" w:right="224"/>
        <w:rPr>
          <w:rFonts w:eastAsia="Calibri" w:cs="Calibri"/>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Outsourcing </w:t>
      </w:r>
    </w:p>
    <w:p w14:paraId="1D57A5CB" w14:textId="77777777" w:rsidR="00B56B18" w:rsidRPr="002551F6" w:rsidRDefault="00B56B18" w:rsidP="00872478">
      <w:pPr>
        <w:widowControl w:val="0"/>
        <w:spacing w:before="8" w:after="0" w:line="220" w:lineRule="exact"/>
        <w:ind w:right="224"/>
        <w:rPr>
          <w:rFonts w:eastAsia="Calibri" w:cs="Times New Roman"/>
          <w:lang w:val="en-GB"/>
        </w:rPr>
      </w:pPr>
    </w:p>
    <w:p w14:paraId="44ADE182" w14:textId="68D2F603" w:rsidR="00E01914" w:rsidRPr="002551F6" w:rsidRDefault="00B56B18" w:rsidP="00872478">
      <w:pPr>
        <w:widowControl w:val="0"/>
        <w:spacing w:before="19" w:after="0" w:line="240" w:lineRule="auto"/>
        <w:ind w:left="142" w:right="224"/>
        <w:rPr>
          <w:rFonts w:eastAsia="Calibri" w:cs="Calibri"/>
          <w:strike/>
          <w:lang w:val="en-GB"/>
        </w:rPr>
      </w:pPr>
      <w:r w:rsidRPr="002551F6">
        <w:rPr>
          <w:rFonts w:eastAsia="Calibri" w:cs="Calibri"/>
          <w:lang w:val="en-GB"/>
        </w:rPr>
        <w:t>Sections 79–81 of the Investment Firms Act set out mandatory provisions for investment firms that outsource activities. The branch office operates in Hungary, serves Hungarian customers and in this respect</w:t>
      </w:r>
      <w:r w:rsidR="002551F6">
        <w:rPr>
          <w:rFonts w:eastAsia="Calibri" w:cs="Calibri"/>
          <w:lang w:val="en-GB"/>
        </w:rPr>
        <w:t>,</w:t>
      </w:r>
      <w:r w:rsidRPr="002551F6">
        <w:rPr>
          <w:rFonts w:eastAsia="Calibri" w:cs="Calibri"/>
          <w:lang w:val="en-GB"/>
        </w:rPr>
        <w:t xml:space="preserve"> it must also comply with regulations pertaining to outsourcing. The law prescribes that the branch office must regularly report to the MNB the name and registered office of the companies performing the outsourced activities, the nature of the outsourced activities and the duration of outsourcing, and submit the outsourcing contract to the MNB within three days after concluding it. </w:t>
      </w:r>
    </w:p>
    <w:p w14:paraId="36D32ECD" w14:textId="77777777" w:rsidR="00224E76" w:rsidRPr="002551F6" w:rsidRDefault="00224E76" w:rsidP="00872478">
      <w:pPr>
        <w:widowControl w:val="0"/>
        <w:spacing w:before="19" w:after="0" w:line="240" w:lineRule="auto"/>
        <w:ind w:left="142" w:right="224"/>
        <w:rPr>
          <w:rFonts w:eastAsia="Calibri" w:cs="Calibri"/>
          <w:strike/>
          <w:lang w:val="en-GB"/>
        </w:rPr>
      </w:pPr>
    </w:p>
    <w:p w14:paraId="73C34185" w14:textId="77777777" w:rsidR="00B56B18" w:rsidRPr="002551F6" w:rsidRDefault="00B56B18" w:rsidP="00872478">
      <w:pPr>
        <w:widowControl w:val="0"/>
        <w:spacing w:after="0" w:line="251" w:lineRule="exact"/>
        <w:ind w:left="116" w:right="224"/>
        <w:rPr>
          <w:rFonts w:eastAsia="Calibri" w:cs="Calibri"/>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Intermediary </w:t>
      </w:r>
    </w:p>
    <w:p w14:paraId="24B571E5" w14:textId="77777777" w:rsidR="00B56B18" w:rsidRPr="002551F6" w:rsidRDefault="00B56B18" w:rsidP="00872478">
      <w:pPr>
        <w:widowControl w:val="0"/>
        <w:spacing w:before="9" w:after="0" w:line="220" w:lineRule="exact"/>
        <w:ind w:right="224"/>
        <w:rPr>
          <w:rFonts w:eastAsia="Calibri" w:cs="Times New Roman"/>
          <w:lang w:val="en-GB"/>
        </w:rPr>
      </w:pPr>
    </w:p>
    <w:p w14:paraId="5FDF2B4A" w14:textId="77777777" w:rsidR="00B56B18" w:rsidRPr="002551F6" w:rsidRDefault="00B56B18" w:rsidP="00872478">
      <w:pPr>
        <w:widowControl w:val="0"/>
        <w:spacing w:before="19" w:after="0" w:line="239" w:lineRule="auto"/>
        <w:ind w:left="142" w:right="224"/>
        <w:rPr>
          <w:rFonts w:eastAsia="Calibri" w:cs="Calibri"/>
          <w:lang w:val="en-GB"/>
        </w:rPr>
      </w:pPr>
      <w:r w:rsidRPr="002551F6">
        <w:rPr>
          <w:rFonts w:eastAsia="Calibri" w:cs="Calibri"/>
          <w:lang w:val="en-GB"/>
        </w:rPr>
        <w:t>Branch offices may use tied agents for pursing their activity. If a branch office already registered in Hungary intends to use, in the territory of the host member state, a tied agent with registered office or place of residence in Hungary, it must report this intention to the competent supervisory authority of the home member state, which shall notify the competent supervisory authority of the host member state accordingly. When a tied agent is contracted for the intermediation of investment services, the MNB must be notified of this within five days after contract conclusion. The notification must include the agent’s name and registered office along with the description of intermediated services.</w:t>
      </w:r>
    </w:p>
    <w:p w14:paraId="0F8CB291" w14:textId="77777777" w:rsidR="00B56B18" w:rsidRPr="002551F6" w:rsidRDefault="00B56B18" w:rsidP="00872478">
      <w:pPr>
        <w:widowControl w:val="0"/>
        <w:spacing w:before="19" w:after="0" w:line="239" w:lineRule="auto"/>
        <w:ind w:left="142" w:right="224"/>
        <w:rPr>
          <w:rFonts w:eastAsia="Calibri" w:cs="Calibri"/>
          <w:lang w:val="en-GB"/>
        </w:rPr>
      </w:pPr>
    </w:p>
    <w:p w14:paraId="23AB21BF" w14:textId="77777777" w:rsidR="00B56B18" w:rsidRPr="002551F6" w:rsidRDefault="00B56B18" w:rsidP="00872478">
      <w:pPr>
        <w:widowControl w:val="0"/>
        <w:spacing w:before="58" w:after="0" w:line="251" w:lineRule="exact"/>
        <w:ind w:left="116" w:right="224"/>
        <w:rPr>
          <w:rFonts w:eastAsia="Calibri" w:cs="Calibri"/>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Data Supply </w:t>
      </w:r>
    </w:p>
    <w:p w14:paraId="773A5148" w14:textId="77777777" w:rsidR="00B56B18" w:rsidRPr="002551F6" w:rsidRDefault="00B56B18" w:rsidP="00872478">
      <w:pPr>
        <w:widowControl w:val="0"/>
        <w:spacing w:before="8" w:after="0" w:line="220" w:lineRule="exact"/>
        <w:ind w:right="224"/>
        <w:rPr>
          <w:rFonts w:eastAsia="Calibri" w:cs="Times New Roman"/>
          <w:lang w:val="en-GB"/>
        </w:rPr>
      </w:pPr>
    </w:p>
    <w:p w14:paraId="134D4081" w14:textId="262198D8" w:rsidR="009D729D" w:rsidRPr="002551F6" w:rsidRDefault="009D729D" w:rsidP="00B35EF9">
      <w:pPr>
        <w:spacing w:after="160" w:line="259" w:lineRule="auto"/>
        <w:rPr>
          <w:rFonts w:eastAsia="Calibri" w:cs="Calibri"/>
          <w:lang w:val="en-GB"/>
        </w:rPr>
      </w:pPr>
      <w:r w:rsidRPr="002551F6">
        <w:rPr>
          <w:rFonts w:eastAsia="Calibri" w:cs="Calibri"/>
          <w:lang w:val="en-GB"/>
        </w:rPr>
        <w:t xml:space="preserve">Pursuant to the prevailing MNB Decree prescribing the reporting requirement – which at the time of publishing this Guide, is MNB Decree No </w:t>
      </w:r>
      <w:r w:rsidR="00872478" w:rsidRPr="002551F6">
        <w:rPr>
          <w:rFonts w:eastAsia="Calibri" w:cs="Calibri"/>
          <w:lang w:val="en-GB"/>
        </w:rPr>
        <w:t>52/2022 (XI. 29.)</w:t>
      </w:r>
      <w:r w:rsidR="00872478">
        <w:rPr>
          <w:rFonts w:eastAsia="Calibri" w:cs="Calibri"/>
          <w:lang w:val="en-GB"/>
        </w:rPr>
        <w:t xml:space="preserve"> </w:t>
      </w:r>
      <w:r w:rsidRPr="002551F6">
        <w:rPr>
          <w:rFonts w:eastAsia="Calibri" w:cs="Calibri"/>
          <w:lang w:val="en-GB"/>
        </w:rPr>
        <w:t>on the Data reporting obligations of capital market organisations to the central bank’s information system, primarily for the purpose of facilitating the fulfilment of the Magyar Nemzeti Bank’s supervisory duties – it is mandatory to submit data reporting to the MNB.</w:t>
      </w:r>
    </w:p>
    <w:bookmarkEnd w:id="0"/>
    <w:p w14:paraId="15B04665" w14:textId="2F2983E9" w:rsidR="00B56B18" w:rsidRPr="002551F6" w:rsidRDefault="00B56B18" w:rsidP="00872478">
      <w:pPr>
        <w:widowControl w:val="0"/>
        <w:spacing w:before="14" w:after="0" w:line="260" w:lineRule="exact"/>
        <w:ind w:right="224"/>
        <w:rPr>
          <w:rFonts w:eastAsia="Calibri" w:cs="Times New Roman"/>
          <w:sz w:val="26"/>
          <w:szCs w:val="26"/>
          <w:lang w:val="en-GB"/>
        </w:rPr>
      </w:pPr>
    </w:p>
    <w:p w14:paraId="70319A94" w14:textId="704BF8FD"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b/>
          <w:bCs/>
          <w:lang w:val="en-GB"/>
        </w:rPr>
        <w:t>2.2 Branch offices of investment fund managers</w:t>
      </w:r>
    </w:p>
    <w:p w14:paraId="38C0724D" w14:textId="77777777" w:rsidR="00D75053" w:rsidRPr="002551F6" w:rsidRDefault="00D75053" w:rsidP="00872478">
      <w:pPr>
        <w:widowControl w:val="0"/>
        <w:spacing w:before="6" w:after="0" w:line="240" w:lineRule="exact"/>
        <w:ind w:right="224"/>
        <w:rPr>
          <w:rFonts w:eastAsia="Calibri" w:cs="Times New Roman"/>
          <w:sz w:val="24"/>
          <w:szCs w:val="24"/>
          <w:lang w:val="en-GB"/>
        </w:rPr>
      </w:pPr>
    </w:p>
    <w:p w14:paraId="4B449DFC" w14:textId="61620136"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UCITS fund managers engaged in investment fund management activity in Hungary through the establishment of a branch office shall comply with the provisions of Act XVI of 2014 on Collective Investment Forms and their Managers, and on the Amendment of Financial Laws (</w:t>
      </w:r>
      <w:r w:rsidRPr="002551F6">
        <w:rPr>
          <w:rFonts w:eastAsia="Calibri" w:cs="Calibri"/>
          <w:b/>
          <w:bCs/>
          <w:lang w:val="en-GB"/>
        </w:rPr>
        <w:t>Collective Investment Trust Act</w:t>
      </w:r>
      <w:r w:rsidRPr="002551F6">
        <w:rPr>
          <w:rFonts w:eastAsia="Calibri" w:cs="Calibri"/>
          <w:lang w:val="en-GB"/>
        </w:rPr>
        <w:t xml:space="preserve">) applicable to UCITS fund managers as well as with the regulation of the EEA member state of the UCITS’ registered office related to establishment and operation, particularly with regard to: </w:t>
      </w:r>
    </w:p>
    <w:p w14:paraId="226D9E25"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lastRenderedPageBreak/>
        <w:t>a) establishment and licensing of the UCITS;</w:t>
      </w:r>
    </w:p>
    <w:p w14:paraId="6258C3DC"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b) marketing and redemption of collective investment instruments;</w:t>
      </w:r>
    </w:p>
    <w:p w14:paraId="025EC7A3"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c) investment policies and limits, including also the calculation of total exposure and leverage;</w:t>
      </w:r>
    </w:p>
    <w:p w14:paraId="091D5D3C"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d) limitations applicable to borrowing, lending and short selling;</w:t>
      </w:r>
    </w:p>
    <w:p w14:paraId="468E6FEF"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e) valuation of and accounting for UCITS instruments;</w:t>
      </w:r>
    </w:p>
    <w:p w14:paraId="616909F1"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f) calculation of the issue or redemption price; errors in the calculation of the net asset value and related indemnification of investors;</w:t>
      </w:r>
    </w:p>
    <w:p w14:paraId="15AF4336"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g) income distribution or reinvestment;</w:t>
      </w:r>
    </w:p>
    <w:p w14:paraId="7FB22E3A"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h) disclosure and reporting requirements applicable to the UCITS, including the prospectus, the key investor information and the regular information;</w:t>
      </w:r>
    </w:p>
    <w:p w14:paraId="71A46F70"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i) planned distribution methods;</w:t>
      </w:r>
    </w:p>
    <w:p w14:paraId="4C540C01"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j) investor relations;</w:t>
      </w:r>
    </w:p>
    <w:p w14:paraId="4F5D66FE"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k) merger and transformation of the UCITS;</w:t>
      </w:r>
    </w:p>
    <w:p w14:paraId="4D44F5F0"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l) liquidation and dissolution of the UCITS;</w:t>
      </w:r>
    </w:p>
    <w:p w14:paraId="699BE5F5"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m) content of the register of investors;</w:t>
      </w:r>
    </w:p>
    <w:p w14:paraId="1CD1C5D1"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n) licensing and supervisory fees applicable to the UCITS; and</w:t>
      </w:r>
    </w:p>
    <w:p w14:paraId="369EA64A"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o) exercise of investors’ voting rights and other rights of investors connected to points a)-m)</w:t>
      </w:r>
    </w:p>
    <w:p w14:paraId="7F5E23AB" w14:textId="77777777" w:rsidR="00D75053" w:rsidRPr="002551F6" w:rsidRDefault="00D75053" w:rsidP="00872478">
      <w:pPr>
        <w:widowControl w:val="0"/>
        <w:spacing w:after="0" w:line="240" w:lineRule="auto"/>
        <w:ind w:left="116" w:right="224"/>
        <w:rPr>
          <w:rFonts w:eastAsia="Calibri" w:cs="Calibri"/>
          <w:lang w:val="en-GB"/>
        </w:rPr>
      </w:pPr>
      <w:r w:rsidRPr="002551F6">
        <w:rPr>
          <w:rFonts w:eastAsia="Calibri" w:cs="Calibri"/>
          <w:lang w:val="en-GB"/>
        </w:rPr>
        <w:t>tekintetében.</w:t>
      </w:r>
    </w:p>
    <w:p w14:paraId="14CCA045" w14:textId="28EAE474" w:rsidR="00D75053" w:rsidRPr="002551F6" w:rsidRDefault="003A6423" w:rsidP="00872478">
      <w:pPr>
        <w:widowControl w:val="0"/>
        <w:spacing w:after="0" w:line="240" w:lineRule="auto"/>
        <w:ind w:left="116" w:right="224"/>
        <w:rPr>
          <w:rFonts w:eastAsia="Calibri" w:cs="Calibri"/>
          <w:lang w:val="en-GB"/>
        </w:rPr>
      </w:pPr>
      <w:r w:rsidRPr="002551F6">
        <w:rPr>
          <w:rFonts w:eastAsia="Calibri" w:cs="Calibri"/>
          <w:lang w:val="en-GB"/>
        </w:rPr>
        <w:t>[Section 55(1)–(2) of the Collective Investment Trust Act]</w:t>
      </w:r>
    </w:p>
    <w:p w14:paraId="04FE523A" w14:textId="77777777" w:rsidR="00D75053" w:rsidRPr="002551F6" w:rsidRDefault="00D75053" w:rsidP="00872478">
      <w:pPr>
        <w:widowControl w:val="0"/>
        <w:spacing w:after="0" w:line="240" w:lineRule="auto"/>
        <w:ind w:left="116" w:right="224"/>
        <w:rPr>
          <w:rFonts w:eastAsia="Calibri" w:cs="Calibri"/>
          <w:lang w:val="en-GB"/>
        </w:rPr>
      </w:pPr>
    </w:p>
    <w:p w14:paraId="4243B56E" w14:textId="77777777" w:rsidR="003A6423" w:rsidRPr="002551F6" w:rsidRDefault="003A6423" w:rsidP="00872478">
      <w:pPr>
        <w:widowControl w:val="0"/>
        <w:spacing w:after="0" w:line="240" w:lineRule="auto"/>
        <w:ind w:left="116" w:right="224"/>
        <w:rPr>
          <w:rFonts w:eastAsia="Calibri" w:cs="Calibri"/>
          <w:lang w:val="en-GB"/>
        </w:rPr>
      </w:pPr>
      <w:r w:rsidRPr="002551F6">
        <w:rPr>
          <w:rFonts w:eastAsia="Calibri" w:cs="Calibri"/>
          <w:lang w:val="en-GB"/>
        </w:rPr>
        <w:t>The endowment capital requirement shall not apply to the Hungarian branch office of UCITS fund managers established in another EEA member state.</w:t>
      </w:r>
    </w:p>
    <w:p w14:paraId="4A7CEAEC" w14:textId="3E7CDB2B" w:rsidR="003A6423" w:rsidRPr="002551F6" w:rsidRDefault="003A6423" w:rsidP="00872478">
      <w:pPr>
        <w:widowControl w:val="0"/>
        <w:spacing w:after="0" w:line="240" w:lineRule="auto"/>
        <w:ind w:left="116" w:right="224"/>
        <w:rPr>
          <w:rFonts w:eastAsia="Calibri" w:cs="Calibri"/>
          <w:lang w:val="en-GB"/>
        </w:rPr>
      </w:pPr>
      <w:r w:rsidRPr="002551F6">
        <w:rPr>
          <w:rFonts w:eastAsia="Calibri" w:cs="Calibri"/>
          <w:lang w:val="en-GB"/>
        </w:rPr>
        <w:t>[Section 56(3) of the Collective Investment Trust Act]</w:t>
      </w:r>
    </w:p>
    <w:p w14:paraId="102094FD" w14:textId="77777777" w:rsidR="00D75053" w:rsidRPr="002551F6" w:rsidRDefault="00D75053" w:rsidP="00872478">
      <w:pPr>
        <w:widowControl w:val="0"/>
        <w:spacing w:after="0" w:line="240" w:lineRule="auto"/>
        <w:ind w:left="116" w:right="224"/>
        <w:rPr>
          <w:rFonts w:eastAsia="Calibri" w:cs="Calibri"/>
          <w:lang w:val="en-GB"/>
        </w:rPr>
      </w:pPr>
    </w:p>
    <w:p w14:paraId="6155D68F" w14:textId="5F10165A" w:rsidR="003A6423" w:rsidRPr="002551F6" w:rsidRDefault="003A6423" w:rsidP="00872478">
      <w:pPr>
        <w:widowControl w:val="0"/>
        <w:spacing w:after="0" w:line="240" w:lineRule="auto"/>
        <w:ind w:left="142" w:right="224"/>
        <w:rPr>
          <w:rFonts w:eastAsia="Calibri" w:cs="Calibri"/>
          <w:lang w:val="en-GB"/>
        </w:rPr>
      </w:pPr>
      <w:r w:rsidRPr="002551F6">
        <w:rPr>
          <w:rFonts w:eastAsia="Calibri" w:cs="Calibri"/>
          <w:lang w:val="en-GB"/>
        </w:rPr>
        <w:t>The activity performed in Hungary by UCITS fund managers with registered office in another EEA Member State shall comply with the provisions of Sections 22–26, Section 40 and Section 42 of the Collective Investment Trust Act as well as with the rules of operation specified in Government Decree No 79/2014 (III. 14.) on the Organisational, conflict of interest, business administration and risk management requirements applicable to UCITS fund managers.</w:t>
      </w:r>
    </w:p>
    <w:p w14:paraId="056DD863" w14:textId="77777777" w:rsidR="00D75053" w:rsidRPr="002551F6" w:rsidRDefault="00D75053" w:rsidP="00872478">
      <w:pPr>
        <w:widowControl w:val="0"/>
        <w:spacing w:after="0" w:line="240" w:lineRule="auto"/>
        <w:ind w:left="116" w:right="224"/>
        <w:rPr>
          <w:rFonts w:eastAsia="Calibri" w:cs="Calibri"/>
          <w:lang w:val="en-GB"/>
        </w:rPr>
      </w:pPr>
    </w:p>
    <w:p w14:paraId="7B54CFCA" w14:textId="77777777"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An AIFM registered in another EEA member state may perform activities it holds a licence for in the form of cross-border services, and it may also operate as a branch office in Hungary.</w:t>
      </w:r>
    </w:p>
    <w:p w14:paraId="2938DE19" w14:textId="77777777" w:rsidR="00BE78CD" w:rsidRPr="002551F6" w:rsidRDefault="00BE78CD" w:rsidP="00872478">
      <w:pPr>
        <w:widowControl w:val="0"/>
        <w:spacing w:after="0" w:line="240" w:lineRule="auto"/>
        <w:ind w:left="116" w:right="224"/>
        <w:rPr>
          <w:rFonts w:eastAsia="Calibri" w:cs="Calibri"/>
          <w:lang w:val="en-GB"/>
        </w:rPr>
      </w:pPr>
    </w:p>
    <w:p w14:paraId="7A85331F" w14:textId="406817F3"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The management of an AIF registered in Hungary by an AIFM registered in another EEA member state as a branch office shall be subject to submitting the following certificates to the MNB:</w:t>
      </w:r>
    </w:p>
    <w:p w14:paraId="63071456" w14:textId="77777777"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a) the AIFM holds a licence complying with the provisions adopted on the basis of the transposition of the rules of the AIFM Directive applicable to licensing, and – as part of its investment fund management licence – for the management of the specific type of AIF;</w:t>
      </w:r>
    </w:p>
    <w:p w14:paraId="21A40C9F" w14:textId="77777777"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b) the programme of operations determining the anticipated activities, containing the title of the AIFs to be managed.</w:t>
      </w:r>
    </w:p>
    <w:p w14:paraId="6F178F99" w14:textId="77777777" w:rsidR="00BE78CD" w:rsidRPr="002551F6" w:rsidRDefault="00BE78CD" w:rsidP="00872478">
      <w:pPr>
        <w:widowControl w:val="0"/>
        <w:spacing w:after="0" w:line="240" w:lineRule="auto"/>
        <w:ind w:left="116" w:right="224"/>
        <w:rPr>
          <w:rFonts w:eastAsia="Calibri" w:cs="Calibri"/>
          <w:lang w:val="en-GB"/>
        </w:rPr>
      </w:pPr>
    </w:p>
    <w:p w14:paraId="2D850063" w14:textId="48542AF3"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The AIFM wishing to establish a branch office in the territory of Hungary can do so if prior to establishing the branch office the MNB is duly notified, and such notification includes, in addition to the information specified in points a) and b) above</w:t>
      </w:r>
    </w:p>
    <w:p w14:paraId="626C9A86" w14:textId="77777777"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a) the organisational structure of the branch office,</w:t>
      </w:r>
    </w:p>
    <w:p w14:paraId="7B70E83C" w14:textId="77777777"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b) the domestic address where the instruments can be obtained,</w:t>
      </w:r>
    </w:p>
    <w:p w14:paraId="358A32AB" w14:textId="77777777"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c) the names and contact details of the person in charge of the management of the branch office.</w:t>
      </w:r>
    </w:p>
    <w:p w14:paraId="7DE44482" w14:textId="77777777" w:rsidR="00BE78CD" w:rsidRPr="002551F6" w:rsidRDefault="00BE78CD" w:rsidP="00872478">
      <w:pPr>
        <w:widowControl w:val="0"/>
        <w:spacing w:after="0" w:line="240" w:lineRule="auto"/>
        <w:ind w:left="116" w:right="224"/>
        <w:rPr>
          <w:rFonts w:eastAsia="Calibri" w:cs="Calibri"/>
          <w:lang w:val="en-GB"/>
        </w:rPr>
      </w:pPr>
    </w:p>
    <w:p w14:paraId="11C6A11E" w14:textId="398CF0E0" w:rsidR="00BE78CD" w:rsidRPr="002551F6" w:rsidRDefault="00BE78CD" w:rsidP="00872478">
      <w:pPr>
        <w:widowControl w:val="0"/>
        <w:spacing w:after="0" w:line="240" w:lineRule="auto"/>
        <w:ind w:left="116" w:right="224"/>
        <w:rPr>
          <w:rFonts w:eastAsia="Calibri" w:cs="Calibri"/>
          <w:lang w:val="en-GB"/>
        </w:rPr>
      </w:pPr>
      <w:r w:rsidRPr="002551F6">
        <w:rPr>
          <w:rFonts w:eastAsia="Calibri" w:cs="Calibri"/>
          <w:lang w:val="en-GB"/>
        </w:rPr>
        <w:t>The MNB, acting in its capacity as the supervisory authority of the host country may not prescribe supplementary requirements with regard to statutory issues for an AIFM the supervisory authorities of the home country of which have forwarded the documents specified in Section 59(4) of the Collective Investment Trust Act to the MNB.</w:t>
      </w:r>
    </w:p>
    <w:p w14:paraId="73D42287" w14:textId="044232EB" w:rsidR="00B70F54" w:rsidRPr="002551F6" w:rsidRDefault="00BE78CD" w:rsidP="00872478">
      <w:pPr>
        <w:widowControl w:val="0"/>
        <w:spacing w:after="0" w:line="240" w:lineRule="auto"/>
        <w:ind w:left="116" w:right="224"/>
        <w:rPr>
          <w:rFonts w:eastAsia="Calibri" w:cs="Calibri"/>
          <w:lang w:val="en-GB"/>
        </w:rPr>
      </w:pPr>
      <w:bookmarkStart w:id="3" w:name="_Hlk132805773"/>
      <w:r w:rsidRPr="002551F6">
        <w:rPr>
          <w:rFonts w:eastAsia="Calibri" w:cs="Calibri"/>
          <w:lang w:val="en-GB"/>
        </w:rPr>
        <w:t>[Section 60 of the Collective Investment Trust Act]</w:t>
      </w:r>
    </w:p>
    <w:bookmarkEnd w:id="3"/>
    <w:p w14:paraId="3FE419EE" w14:textId="038F0C4E" w:rsidR="00D75053" w:rsidRPr="002551F6" w:rsidRDefault="00D75053" w:rsidP="00872478">
      <w:pPr>
        <w:widowControl w:val="0"/>
        <w:spacing w:before="3" w:after="0" w:line="240" w:lineRule="exact"/>
        <w:ind w:right="224"/>
        <w:rPr>
          <w:rFonts w:eastAsia="Calibri" w:cs="Times New Roman"/>
          <w:sz w:val="24"/>
          <w:szCs w:val="24"/>
          <w:lang w:val="en-GB"/>
        </w:rPr>
      </w:pPr>
    </w:p>
    <w:p w14:paraId="7AC35E93" w14:textId="6FF87F29" w:rsidR="00967200" w:rsidRPr="002551F6" w:rsidRDefault="00967200" w:rsidP="00872478">
      <w:pPr>
        <w:ind w:right="224"/>
        <w:rPr>
          <w:lang w:val="en-GB"/>
        </w:rPr>
      </w:pPr>
      <w:r w:rsidRPr="002551F6">
        <w:rPr>
          <w:lang w:val="en-GB"/>
        </w:rPr>
        <w:t xml:space="preserve">If the branch office of an investment fund manager with registered office in another EEA member state fails to comply with the regulations prevailing in Hungary or if the MNB detects shortcomings in the operation of the branch office, the MNB shall call upon the branch office to terminate the infringing situation. Should the branch office fail </w:t>
      </w:r>
      <w:r w:rsidRPr="002551F6">
        <w:rPr>
          <w:lang w:val="en-GB"/>
        </w:rPr>
        <w:lastRenderedPageBreak/>
        <w:t>to comply with such call, the MNB shall notify the supervisory authority of the other EEA member state of the infringing situation and initiate the necessary action of the supervisory authority.</w:t>
      </w:r>
    </w:p>
    <w:p w14:paraId="6D6FF115" w14:textId="3A32FAEB" w:rsidR="00967200" w:rsidRPr="002551F6" w:rsidRDefault="00955DE6" w:rsidP="00872478">
      <w:pPr>
        <w:spacing w:after="0"/>
        <w:ind w:right="224"/>
        <w:rPr>
          <w:lang w:val="en-GB"/>
        </w:rPr>
      </w:pPr>
      <w:r w:rsidRPr="002551F6">
        <w:rPr>
          <w:lang w:val="en-GB"/>
        </w:rPr>
        <w:t>The MNB may also take measures directly upon breaching the prevailing Hungarian regulations or if in its opinion the infringing situation severely jeopardises the stability of the capital market or the customers’ interests. The MNB shall notify the investment fund manager, the European Commission, the European Securities and Markets Authority (</w:t>
      </w:r>
      <w:r w:rsidRPr="002551F6">
        <w:rPr>
          <w:b/>
          <w:bCs/>
          <w:lang w:val="en-GB"/>
        </w:rPr>
        <w:t>ESMA</w:t>
      </w:r>
      <w:r w:rsidRPr="002551F6">
        <w:rPr>
          <w:lang w:val="en-GB"/>
        </w:rPr>
        <w:t>) and the supervisory authorities of the respective Member States of such measures. The measures shall be always subject to justification. The European Commission shall review the direct measures of the MNB taken upon the breach of prudential regulations and assess the rightfulness thereof subsequently. Prior to applying the aforementioned procedure, in urgent cases, the MNB may initiate measures within its competence to protect investors’ interests. The MNB shall notify the Commission, the ESMA and the supervisory authorities of the other EEA member states of such measures as soon as possible.</w:t>
      </w:r>
    </w:p>
    <w:p w14:paraId="58E9DCDA" w14:textId="59378F24" w:rsidR="00955DE6" w:rsidRPr="002551F6" w:rsidRDefault="00955DE6" w:rsidP="00872478">
      <w:pPr>
        <w:spacing w:after="0"/>
        <w:ind w:right="224"/>
        <w:rPr>
          <w:lang w:val="en-GB"/>
        </w:rPr>
      </w:pPr>
      <w:r w:rsidRPr="002551F6">
        <w:rPr>
          <w:lang w:val="en-GB"/>
        </w:rPr>
        <w:t>[Section 172 of the Collective Investment Trust Act]</w:t>
      </w:r>
    </w:p>
    <w:p w14:paraId="7D5AC747" w14:textId="24E6927C" w:rsidR="00B70F54" w:rsidRPr="002551F6" w:rsidRDefault="00B70F54" w:rsidP="00872478">
      <w:pPr>
        <w:widowControl w:val="0"/>
        <w:spacing w:after="0" w:line="240" w:lineRule="auto"/>
        <w:ind w:right="224"/>
        <w:rPr>
          <w:lang w:val="en-GB"/>
        </w:rPr>
      </w:pPr>
    </w:p>
    <w:p w14:paraId="7FFB3216" w14:textId="477A98D4" w:rsidR="00B70F54" w:rsidRPr="002551F6" w:rsidRDefault="00B70F54" w:rsidP="00872478">
      <w:pPr>
        <w:widowControl w:val="0"/>
        <w:spacing w:after="0" w:line="240" w:lineRule="auto"/>
        <w:ind w:right="224"/>
        <w:rPr>
          <w:rFonts w:eastAsia="Calibri" w:cs="Calibri"/>
          <w:lang w:val="en-GB"/>
        </w:rPr>
      </w:pPr>
      <w:r w:rsidRPr="002551F6">
        <w:rPr>
          <w:rFonts w:eastAsia="Calibri" w:cs="Calibri"/>
          <w:lang w:val="en-GB"/>
        </w:rPr>
        <w:t>The MNB’s jurisdiction shall cover the supervision of the branch office of the AIFM with registered office in another EEA state – with the exception of remuneration – in respect of general compliance with the operating conditions and conflict of interests.</w:t>
      </w:r>
    </w:p>
    <w:p w14:paraId="73CDCAA4" w14:textId="05421CC3" w:rsidR="00B70F54" w:rsidRPr="002551F6" w:rsidRDefault="00B70F54" w:rsidP="00872478">
      <w:pPr>
        <w:spacing w:after="0"/>
        <w:ind w:right="224"/>
        <w:rPr>
          <w:lang w:val="en-GB"/>
        </w:rPr>
      </w:pPr>
      <w:r w:rsidRPr="002551F6">
        <w:rPr>
          <w:lang w:val="en-GB"/>
        </w:rPr>
        <w:t>[Section 177 (1) of the Collective Investment Trust Act]</w:t>
      </w:r>
    </w:p>
    <w:p w14:paraId="69CEC7E1" w14:textId="77777777" w:rsidR="00B70F54" w:rsidRPr="002551F6" w:rsidRDefault="00B70F54" w:rsidP="00872478">
      <w:pPr>
        <w:widowControl w:val="0"/>
        <w:spacing w:after="0" w:line="240" w:lineRule="auto"/>
        <w:ind w:right="224"/>
        <w:rPr>
          <w:lang w:val="en-GB"/>
        </w:rPr>
      </w:pPr>
    </w:p>
    <w:p w14:paraId="64C648B2" w14:textId="7A596EB7" w:rsidR="00D75053" w:rsidRPr="002551F6" w:rsidRDefault="00D75053" w:rsidP="00872478">
      <w:pPr>
        <w:widowControl w:val="0"/>
        <w:spacing w:after="0" w:line="240" w:lineRule="auto"/>
        <w:ind w:right="224"/>
        <w:rPr>
          <w:rFonts w:eastAsia="Calibri" w:cs="Calibri"/>
          <w:lang w:val="en-GB"/>
        </w:rPr>
      </w:pPr>
      <w:r w:rsidRPr="002551F6">
        <w:rPr>
          <w:rFonts w:eastAsia="Calibri" w:cs="Calibri"/>
          <w:lang w:val="en-GB"/>
        </w:rPr>
        <w:t>In the cases referenced in Sections 177–178 of the Collective Investment Trust Act, the MNB may take measures or notifies the competent supervisory authority of the home EEA state.</w:t>
      </w:r>
    </w:p>
    <w:p w14:paraId="25DFD3AB" w14:textId="77777777" w:rsidR="00D75053" w:rsidRPr="002551F6" w:rsidRDefault="00D75053" w:rsidP="00872478">
      <w:pPr>
        <w:widowControl w:val="0"/>
        <w:spacing w:after="0" w:line="240" w:lineRule="auto"/>
        <w:ind w:left="116" w:right="224"/>
        <w:rPr>
          <w:rFonts w:eastAsia="Calibri" w:cs="Calibri"/>
          <w:lang w:val="en-GB"/>
        </w:rPr>
      </w:pPr>
    </w:p>
    <w:p w14:paraId="16C81C64" w14:textId="64A12774" w:rsidR="00D75053" w:rsidRPr="002551F6" w:rsidRDefault="00D75053" w:rsidP="00872478">
      <w:pPr>
        <w:widowControl w:val="0"/>
        <w:spacing w:before="56" w:after="0" w:line="240" w:lineRule="auto"/>
        <w:ind w:left="142" w:right="224"/>
        <w:rPr>
          <w:rFonts w:eastAsia="Calibri" w:cs="Calibri"/>
          <w:lang w:val="en-GB"/>
        </w:rPr>
      </w:pPr>
      <w:r w:rsidRPr="002551F6">
        <w:rPr>
          <w:rFonts w:eastAsia="Calibri" w:cs="Calibri"/>
          <w:b/>
          <w:bCs/>
          <w:lang w:val="en-GB"/>
        </w:rPr>
        <w:t>2.2.1 Internal regulations of the Hungarian branch offices of the member states’ investment firms</w:t>
      </w:r>
    </w:p>
    <w:p w14:paraId="15F5F6EE" w14:textId="77777777" w:rsidR="00D75053" w:rsidRPr="002551F6" w:rsidRDefault="00D75053" w:rsidP="00872478">
      <w:pPr>
        <w:widowControl w:val="0"/>
        <w:spacing w:before="7" w:after="0" w:line="240" w:lineRule="exact"/>
        <w:ind w:right="224"/>
        <w:rPr>
          <w:rFonts w:eastAsia="Calibri" w:cs="Times New Roman"/>
          <w:sz w:val="24"/>
          <w:szCs w:val="24"/>
          <w:lang w:val="en-GB"/>
        </w:rPr>
      </w:pPr>
    </w:p>
    <w:p w14:paraId="180ED0B2" w14:textId="77777777" w:rsidR="00D75053" w:rsidRPr="002551F6" w:rsidRDefault="00D75053" w:rsidP="00872478">
      <w:pPr>
        <w:widowControl w:val="0"/>
        <w:spacing w:after="0" w:line="251" w:lineRule="exact"/>
        <w:ind w:left="116" w:right="224"/>
        <w:rPr>
          <w:rFonts w:eastAsia="Calibri" w:cs="Calibri"/>
          <w:u w:val="single"/>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Internal regulation on the prevention and combating money laundering,</w:t>
      </w:r>
      <w:r w:rsidRPr="002551F6">
        <w:rPr>
          <w:b/>
          <w:bCs/>
          <w:lang w:val="en-GB"/>
        </w:rPr>
        <w:t xml:space="preserve"> </w:t>
      </w:r>
      <w:r w:rsidRPr="002551F6">
        <w:rPr>
          <w:u w:val="single"/>
          <w:lang w:val="en-GB"/>
        </w:rPr>
        <w:t xml:space="preserve">internal regulation under the Identification Tasks Act  </w:t>
      </w:r>
    </w:p>
    <w:p w14:paraId="0B68F40A" w14:textId="77777777" w:rsidR="00D75053" w:rsidRPr="002551F6" w:rsidRDefault="00D75053" w:rsidP="00872478">
      <w:pPr>
        <w:widowControl w:val="0"/>
        <w:spacing w:after="0" w:line="251" w:lineRule="exact"/>
        <w:ind w:left="116" w:right="224"/>
        <w:rPr>
          <w:rFonts w:eastAsia="Calibri" w:cs="Calibri"/>
          <w:lang w:val="en-GB"/>
        </w:rPr>
      </w:pPr>
    </w:p>
    <w:p w14:paraId="5466E006" w14:textId="4BBBA9CD" w:rsidR="00D75053" w:rsidRPr="002551F6" w:rsidRDefault="00D75053" w:rsidP="00872478">
      <w:pPr>
        <w:widowControl w:val="0"/>
        <w:spacing w:before="19" w:after="0" w:line="239" w:lineRule="auto"/>
        <w:ind w:left="142" w:right="224"/>
        <w:rPr>
          <w:rFonts w:eastAsia="Calibri" w:cs="Calibri"/>
          <w:lang w:val="en-GB"/>
        </w:rPr>
      </w:pPr>
      <w:r w:rsidRPr="002551F6">
        <w:rPr>
          <w:rFonts w:eastAsia="Calibri" w:cs="Calibri"/>
          <w:lang w:val="en-GB"/>
        </w:rPr>
        <w:t>Pursuant to the interpretative provisions of Act LIII of 2017 on the Prevention and Combating of Money Laundering and Terrorist Financing (</w:t>
      </w:r>
      <w:r w:rsidRPr="002551F6">
        <w:rPr>
          <w:rFonts w:eastAsia="Calibri" w:cs="Calibri"/>
          <w:b/>
          <w:bCs/>
          <w:lang w:val="en-GB"/>
        </w:rPr>
        <w:t>AML Act</w:t>
      </w:r>
      <w:r w:rsidRPr="002551F6">
        <w:rPr>
          <w:rFonts w:eastAsia="Calibri" w:cs="Calibri"/>
          <w:lang w:val="en-GB"/>
        </w:rPr>
        <w:t>), the branch office investment fund manager qualifies as a service provider in respect of the distribution of investment units and its activity specified in the Investment Firms Act, and as such it is obliged to prepare internal regulations and submit it to the MNB for approval. The branch office’s activities to prevent and combat money laundering are subject to scrutiny by the MNB. According to the provisions of Act XLIII of 2021 on the Establishment and Operation of the Data Reporting Background for the Identification Tasks of Financial and Other Service Providers (</w:t>
      </w:r>
      <w:r w:rsidRPr="002551F6">
        <w:rPr>
          <w:rFonts w:eastAsia="Calibri" w:cs="Calibri"/>
          <w:b/>
          <w:bCs/>
          <w:lang w:val="en-GB"/>
        </w:rPr>
        <w:t>Identification Tasks Act</w:t>
      </w:r>
      <w:r w:rsidRPr="002551F6">
        <w:rPr>
          <w:rFonts w:eastAsia="Calibri" w:cs="Calibri"/>
          <w:lang w:val="en-GB"/>
        </w:rPr>
        <w:t>) service providers shall prepare internal regulations for the fulfilment of the tasks falling within the obligations set out in the Identification Tasks Act, which shall be governed by the special provisions of the AML Act applicable to internal regulations. The internal regulation under the Identification Tasks Act may also form part of the internal regulations under the AML Act (based on the service provider’s decision), but it may also be compiled as a separate document. The service provider shall submit the internal regulations under the Identification Tasks Act to the MNB for approval. Service provider’s compliance with the obligations specified in the Identifications Tasks Act shall be ensured by the MNB.</w:t>
      </w:r>
    </w:p>
    <w:p w14:paraId="09AD2F75" w14:textId="77777777" w:rsidR="00D75053" w:rsidRPr="002551F6" w:rsidRDefault="00D75053" w:rsidP="00872478">
      <w:pPr>
        <w:widowControl w:val="0"/>
        <w:spacing w:before="4" w:after="0" w:line="240" w:lineRule="exact"/>
        <w:ind w:right="224"/>
        <w:rPr>
          <w:rFonts w:eastAsia="Calibri" w:cs="Times New Roman"/>
          <w:sz w:val="24"/>
          <w:szCs w:val="24"/>
          <w:lang w:val="en-GB"/>
        </w:rPr>
      </w:pPr>
    </w:p>
    <w:p w14:paraId="540256D9" w14:textId="77777777" w:rsidR="00D75053" w:rsidRPr="002551F6" w:rsidRDefault="00D75053" w:rsidP="00872478">
      <w:pPr>
        <w:widowControl w:val="0"/>
        <w:spacing w:after="0" w:line="240" w:lineRule="auto"/>
        <w:ind w:left="116" w:right="224"/>
        <w:rPr>
          <w:rFonts w:eastAsia="Calibri" w:cs="Calibri"/>
          <w:lang w:val="en-GB"/>
        </w:rPr>
      </w:pPr>
      <w:r w:rsidRPr="002551F6">
        <w:rPr>
          <w:rFonts w:ascii="Symbol" w:hAnsi="Symbol"/>
          <w:lang w:val="en-GB"/>
        </w:rPr>
        <w:t></w:t>
      </w:r>
      <w:r w:rsidRPr="002551F6">
        <w:rPr>
          <w:u w:val="single"/>
          <w:lang w:val="en-GB"/>
        </w:rPr>
        <w:t xml:space="preserve"> Regulation on the production, registration and forwarding of dematerialised securities and on managing the related data </w:t>
      </w:r>
    </w:p>
    <w:p w14:paraId="78CA9746" w14:textId="77777777" w:rsidR="00D75053" w:rsidRPr="002551F6" w:rsidRDefault="00D75053" w:rsidP="00872478">
      <w:pPr>
        <w:widowControl w:val="0"/>
        <w:spacing w:before="8" w:after="0" w:line="220" w:lineRule="exact"/>
        <w:ind w:right="224"/>
        <w:rPr>
          <w:rFonts w:eastAsia="Calibri" w:cs="Times New Roman"/>
          <w:lang w:val="en-GB"/>
        </w:rPr>
      </w:pPr>
    </w:p>
    <w:p w14:paraId="0F1A4D79" w14:textId="77777777" w:rsidR="00D75053" w:rsidRPr="002551F6" w:rsidRDefault="00D75053" w:rsidP="00872478">
      <w:pPr>
        <w:widowControl w:val="0"/>
        <w:spacing w:before="19" w:after="0" w:line="240" w:lineRule="auto"/>
        <w:ind w:left="142" w:right="224"/>
        <w:rPr>
          <w:rFonts w:eastAsia="Calibri" w:cs="Calibri"/>
          <w:lang w:val="en-GB"/>
        </w:rPr>
      </w:pPr>
      <w:r w:rsidRPr="002551F6">
        <w:rPr>
          <w:rFonts w:eastAsia="Calibri" w:cs="Calibri"/>
          <w:lang w:val="en-GB"/>
        </w:rPr>
        <w:t>Pursuant to Section 2 of Government Decree No 284/2001 (XII. 26.) on the Method of Production, Generation and Forwarding of Dematerialised Securities and the Relevant Rules on Safety, as well as on the Opening and the Keeping of the Security Account, the Central Securities Account and the Customer Account  (</w:t>
      </w:r>
      <w:r w:rsidRPr="002551F6">
        <w:rPr>
          <w:rFonts w:eastAsia="Calibri" w:cs="Calibri"/>
          <w:b/>
          <w:bCs/>
          <w:lang w:val="en-GB"/>
        </w:rPr>
        <w:t>Government Decree</w:t>
      </w:r>
      <w:r w:rsidRPr="002551F6">
        <w:rPr>
          <w:rFonts w:eastAsia="Calibri" w:cs="Calibri"/>
          <w:lang w:val="en-GB"/>
        </w:rPr>
        <w:t>), dematerialised securities are only allowed to be produced recorded and forwarded, and the related data may only be managed based on regulations approved by the MNB and using an approved computer system and storage media that ensures compliance with the conditions set forth in the Government Decree. Accordingly, the branch office performing tasks related to the production, registration and forwarding of dematerialised securities must have internal regulations approved by the MNB.</w:t>
      </w:r>
    </w:p>
    <w:p w14:paraId="7F1AC3F0" w14:textId="77777777" w:rsidR="00D75053" w:rsidRDefault="00D75053" w:rsidP="00872478">
      <w:pPr>
        <w:widowControl w:val="0"/>
        <w:spacing w:before="7" w:after="0" w:line="240" w:lineRule="exact"/>
        <w:ind w:right="224"/>
        <w:rPr>
          <w:rFonts w:eastAsia="Calibri" w:cs="Times New Roman"/>
          <w:sz w:val="24"/>
          <w:szCs w:val="24"/>
          <w:lang w:val="en-GB"/>
        </w:rPr>
      </w:pPr>
    </w:p>
    <w:p w14:paraId="7BEF4B5A" w14:textId="77777777" w:rsidR="00B35EF9" w:rsidRDefault="00B35EF9" w:rsidP="00872478">
      <w:pPr>
        <w:widowControl w:val="0"/>
        <w:spacing w:before="7" w:after="0" w:line="240" w:lineRule="exact"/>
        <w:ind w:right="224"/>
        <w:rPr>
          <w:rFonts w:eastAsia="Calibri" w:cs="Times New Roman"/>
          <w:sz w:val="24"/>
          <w:szCs w:val="24"/>
          <w:lang w:val="en-GB"/>
        </w:rPr>
      </w:pPr>
    </w:p>
    <w:p w14:paraId="4DB9D7DB" w14:textId="77777777" w:rsidR="00B35EF9" w:rsidRPr="002551F6" w:rsidRDefault="00B35EF9" w:rsidP="00872478">
      <w:pPr>
        <w:widowControl w:val="0"/>
        <w:spacing w:before="7" w:after="0" w:line="240" w:lineRule="exact"/>
        <w:ind w:right="224"/>
        <w:rPr>
          <w:rFonts w:eastAsia="Calibri" w:cs="Times New Roman"/>
          <w:sz w:val="24"/>
          <w:szCs w:val="24"/>
          <w:lang w:val="en-GB"/>
        </w:rPr>
      </w:pPr>
    </w:p>
    <w:p w14:paraId="40DBDC1A" w14:textId="77777777" w:rsidR="00D75053" w:rsidRPr="002551F6" w:rsidRDefault="00D75053" w:rsidP="00872478">
      <w:pPr>
        <w:widowControl w:val="0"/>
        <w:spacing w:after="0" w:line="251" w:lineRule="exact"/>
        <w:ind w:left="116" w:right="224"/>
        <w:rPr>
          <w:rFonts w:eastAsia="Calibri" w:cs="Calibri"/>
          <w:lang w:val="en-GB"/>
        </w:rPr>
      </w:pPr>
      <w:r w:rsidRPr="002551F6">
        <w:rPr>
          <w:rFonts w:ascii="Symbol" w:hAnsi="Symbol"/>
          <w:lang w:val="en-GB"/>
        </w:rPr>
        <w:lastRenderedPageBreak/>
        <w:t></w:t>
      </w:r>
      <w:r w:rsidRPr="002551F6">
        <w:rPr>
          <w:rFonts w:ascii="Times New Roman" w:hAnsi="Times New Roman"/>
          <w:lang w:val="en-GB"/>
        </w:rPr>
        <w:t xml:space="preserve"> </w:t>
      </w:r>
      <w:r w:rsidRPr="002551F6">
        <w:rPr>
          <w:u w:val="single"/>
          <w:lang w:val="en-GB"/>
        </w:rPr>
        <w:t xml:space="preserve">General Terms and Conditions, Business Regulation, Rules of Complaint Management </w:t>
      </w:r>
    </w:p>
    <w:p w14:paraId="4D97AC7C" w14:textId="77777777" w:rsidR="00D75053" w:rsidRPr="002551F6" w:rsidRDefault="00D75053" w:rsidP="00872478">
      <w:pPr>
        <w:widowControl w:val="0"/>
        <w:spacing w:before="6" w:after="0" w:line="220" w:lineRule="exact"/>
        <w:ind w:right="224"/>
        <w:rPr>
          <w:rFonts w:eastAsia="Calibri" w:cs="Times New Roman"/>
          <w:lang w:val="en-GB"/>
        </w:rPr>
      </w:pPr>
    </w:p>
    <w:p w14:paraId="4EC0DF1F" w14:textId="77777777" w:rsidR="00D75053" w:rsidRPr="002551F6" w:rsidRDefault="00D75053" w:rsidP="00872478">
      <w:pPr>
        <w:widowControl w:val="0"/>
        <w:spacing w:before="19" w:after="0" w:line="240" w:lineRule="auto"/>
        <w:ind w:left="142" w:right="224"/>
        <w:rPr>
          <w:rFonts w:eastAsia="Calibri" w:cs="Calibri"/>
          <w:lang w:val="en-GB"/>
        </w:rPr>
      </w:pPr>
      <w:r w:rsidRPr="002551F6">
        <w:rPr>
          <w:rFonts w:eastAsia="Calibri" w:cs="Calibri"/>
          <w:lang w:val="en-GB"/>
        </w:rPr>
        <w:t>Pursuant to the provisions of Government Decree No 22/2008 (II. 7.) on the Compulsory content elements of the Business Regulations of the enterprises conducting investment service activities, supplementary investment service activities and commodity exchange services, the Hungarian branch office of an investment firm established in a Member State must have in place General Contract Terms and Conditions, Business Regulations suitable for providing proper information to the consumers, as well as a complaints management regulation governing the procedure of managing the customers’ potential complaints.</w:t>
      </w:r>
    </w:p>
    <w:p w14:paraId="583C8C71" w14:textId="77777777" w:rsidR="00D75053" w:rsidRPr="002551F6" w:rsidRDefault="00D75053" w:rsidP="00872478">
      <w:pPr>
        <w:widowControl w:val="0"/>
        <w:spacing w:before="4" w:after="0" w:line="240" w:lineRule="exact"/>
        <w:ind w:right="224"/>
        <w:rPr>
          <w:rFonts w:eastAsia="Calibri" w:cs="Times New Roman"/>
          <w:sz w:val="24"/>
          <w:szCs w:val="24"/>
          <w:lang w:val="en-GB"/>
        </w:rPr>
      </w:pPr>
    </w:p>
    <w:p w14:paraId="25E49F46" w14:textId="51206FCA" w:rsidR="00D75053" w:rsidRPr="002551F6" w:rsidRDefault="00D75053" w:rsidP="00872478">
      <w:pPr>
        <w:widowControl w:val="0"/>
        <w:spacing w:after="0" w:line="251" w:lineRule="exact"/>
        <w:ind w:left="116" w:right="224"/>
        <w:rPr>
          <w:rFonts w:eastAsia="Calibri" w:cs="Calibri"/>
          <w:spacing w:val="4"/>
          <w:w w:val="99"/>
          <w:u w:val="single" w:color="000000"/>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Data Protection and Data Security Regulation </w:t>
      </w:r>
    </w:p>
    <w:p w14:paraId="646D6B67" w14:textId="77777777" w:rsidR="00B70F54" w:rsidRPr="002551F6" w:rsidRDefault="00B70F54" w:rsidP="00872478">
      <w:pPr>
        <w:widowControl w:val="0"/>
        <w:spacing w:after="0" w:line="251" w:lineRule="exact"/>
        <w:ind w:left="116" w:right="224"/>
        <w:rPr>
          <w:rFonts w:eastAsia="Calibri" w:cs="Times New Roman"/>
          <w:lang w:val="en-GB"/>
        </w:rPr>
      </w:pPr>
    </w:p>
    <w:p w14:paraId="4EBEFA33" w14:textId="77777777" w:rsidR="00D75053" w:rsidRPr="002551F6" w:rsidRDefault="00D75053" w:rsidP="00872478">
      <w:pPr>
        <w:widowControl w:val="0"/>
        <w:spacing w:before="19" w:after="0" w:line="240" w:lineRule="auto"/>
        <w:ind w:left="142" w:right="224"/>
        <w:rPr>
          <w:rFonts w:eastAsia="Calibri" w:cs="Calibri"/>
          <w:spacing w:val="2"/>
          <w:lang w:val="en-GB"/>
        </w:rPr>
      </w:pPr>
      <w:r w:rsidRPr="002551F6">
        <w:rPr>
          <w:rFonts w:eastAsia="Calibri" w:cs="Calibri"/>
          <w:lang w:val="en-GB"/>
        </w:rPr>
        <w:t>Pursuant to Section 2 (1) of Act CXII of 2011 on Informational Self-Determination and Freedom of Information (</w:t>
      </w:r>
      <w:r w:rsidRPr="002551F6">
        <w:rPr>
          <w:rFonts w:eastAsia="Calibri" w:cs="Calibri"/>
          <w:b/>
          <w:bCs/>
          <w:lang w:val="en-GB"/>
        </w:rPr>
        <w:t>Information Act</w:t>
      </w:r>
      <w:r w:rsidRPr="002551F6">
        <w:rPr>
          <w:rFonts w:eastAsia="Calibri" w:cs="Calibri"/>
          <w:lang w:val="en-GB"/>
        </w:rPr>
        <w:t>), the scope of the Act – in respect of personal data, as defined in paragraphs (2)-(6) of the Information Act – covers all data management and data processing activities performed in the territory of Hungary that relate to the data of natural persons, records of public interest or data disclosed for public interest. Branch offices must also comply with the provisions of Regulation (EU) 2016/679 of the European Parliament and of the Council of 27 April 2016 on the protection of natural persons with regard to the processing of personal data and on the free movement of such data, and repealing Directive 95/46/EC (</w:t>
      </w:r>
      <w:r w:rsidRPr="002551F6">
        <w:rPr>
          <w:rFonts w:eastAsia="Calibri" w:cs="Calibri"/>
          <w:b/>
          <w:bCs/>
          <w:lang w:val="en-GB"/>
        </w:rPr>
        <w:t>GDPR</w:t>
      </w:r>
      <w:r w:rsidRPr="002551F6">
        <w:rPr>
          <w:rFonts w:eastAsia="Calibri" w:cs="Calibri"/>
          <w:lang w:val="en-GB"/>
        </w:rPr>
        <w:t>). According to the GDPR, taking into account the nature, scope, context and purposes of processing as well as the risks of varying likelihood and severity for the rights and freedoms of natural persons, the controller branch office shall implement appropriate technical and organisational measures to ensure and to be able to demonstrate that processing of personal data is performed in accordance with the GDPR. The controller shall review these measures and update them where necessary. Where proportionate in relation to processing activities, the controller shall also apply appropriate internal data protection policies as part of those measures. Adherence to approved codes of conduct as referred to in Article 40 of GDPR or approved certification mechanisms as referred to in Article 42 of the same may be used as an element by which to demonstrate compliance with the obligations of the controller. (Article 24 of GDPR)</w:t>
      </w:r>
    </w:p>
    <w:p w14:paraId="0F915218" w14:textId="77777777" w:rsidR="00D75053" w:rsidRPr="002551F6" w:rsidRDefault="00D75053" w:rsidP="00872478">
      <w:pPr>
        <w:widowControl w:val="0"/>
        <w:spacing w:before="5" w:after="0" w:line="240" w:lineRule="exact"/>
        <w:ind w:right="224"/>
        <w:rPr>
          <w:rFonts w:eastAsia="Calibri" w:cs="Times New Roman"/>
          <w:sz w:val="24"/>
          <w:szCs w:val="24"/>
          <w:lang w:val="en-GB"/>
        </w:rPr>
      </w:pPr>
    </w:p>
    <w:p w14:paraId="550714D8" w14:textId="2E8FCF8A" w:rsidR="00D75053" w:rsidRPr="002551F6" w:rsidRDefault="00D75053" w:rsidP="00872478">
      <w:pPr>
        <w:widowControl w:val="0"/>
        <w:spacing w:before="56" w:after="0" w:line="240" w:lineRule="auto"/>
        <w:ind w:left="142" w:right="224"/>
        <w:rPr>
          <w:rFonts w:eastAsia="Calibri" w:cs="Calibri"/>
          <w:b/>
          <w:bCs/>
          <w:lang w:val="en-GB"/>
        </w:rPr>
      </w:pPr>
      <w:r w:rsidRPr="002551F6">
        <w:rPr>
          <w:rFonts w:eastAsia="Calibri" w:cs="Calibri"/>
          <w:b/>
          <w:bCs/>
          <w:lang w:val="en-GB"/>
        </w:rPr>
        <w:t>2.2.2 Other reporting/licensing and data reporting obligations to be performed to the MNB</w:t>
      </w:r>
    </w:p>
    <w:p w14:paraId="0BB7902B" w14:textId="77777777" w:rsidR="00D75053" w:rsidRPr="002551F6" w:rsidRDefault="00D75053" w:rsidP="00872478">
      <w:pPr>
        <w:widowControl w:val="0"/>
        <w:spacing w:before="4" w:after="0" w:line="240" w:lineRule="exact"/>
        <w:ind w:right="224"/>
        <w:rPr>
          <w:rFonts w:eastAsia="Calibri" w:cs="Times New Roman"/>
          <w:sz w:val="24"/>
          <w:szCs w:val="24"/>
          <w:lang w:val="en-GB"/>
        </w:rPr>
      </w:pPr>
    </w:p>
    <w:p w14:paraId="1C22721A" w14:textId="77777777" w:rsidR="00D75053" w:rsidRPr="002551F6" w:rsidRDefault="00D75053" w:rsidP="00872478">
      <w:pPr>
        <w:widowControl w:val="0"/>
        <w:spacing w:after="0" w:line="251" w:lineRule="exact"/>
        <w:ind w:left="116" w:right="224"/>
        <w:rPr>
          <w:rFonts w:eastAsia="Calibri" w:cs="Calibri"/>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Outsourcing </w:t>
      </w:r>
    </w:p>
    <w:p w14:paraId="708016ED" w14:textId="77777777" w:rsidR="00D75053" w:rsidRPr="002551F6" w:rsidRDefault="00D75053" w:rsidP="00872478">
      <w:pPr>
        <w:widowControl w:val="0"/>
        <w:spacing w:before="8" w:after="0" w:line="220" w:lineRule="exact"/>
        <w:ind w:right="224"/>
        <w:rPr>
          <w:rFonts w:eastAsia="Calibri" w:cs="Times New Roman"/>
          <w:lang w:val="en-GB"/>
        </w:rPr>
      </w:pPr>
    </w:p>
    <w:p w14:paraId="7CFC66DF" w14:textId="7D3AB1F0" w:rsidR="00D75053" w:rsidRPr="002551F6" w:rsidRDefault="00D75053" w:rsidP="00872478">
      <w:pPr>
        <w:widowControl w:val="0"/>
        <w:spacing w:before="19" w:after="0" w:line="240" w:lineRule="auto"/>
        <w:ind w:left="142" w:right="224"/>
        <w:rPr>
          <w:rFonts w:eastAsia="Calibri" w:cs="Calibri"/>
          <w:strike/>
          <w:lang w:val="en-GB"/>
        </w:rPr>
      </w:pPr>
      <w:r w:rsidRPr="002551F6">
        <w:rPr>
          <w:rFonts w:eastAsia="Calibri" w:cs="Calibri"/>
          <w:lang w:val="en-GB"/>
        </w:rPr>
        <w:t xml:space="preserve">Sections 39-42 of the Collective Investment Trust Act set out mandatory provisions for investment firms that outsource activities. The branch office operates in Hungary, serves Hungarian customers and in this respect it must also comply with regulations pertaining to outsourcing. The law prescribes that the branch office must regularly report to the MNB the name and registered office of the companies performing the outsourced activities, the nature of the outsourced activities and the duration of outsourcing, and submit the outsourcing contract to the MNB within three days after concluding it. </w:t>
      </w:r>
    </w:p>
    <w:p w14:paraId="7A03850D" w14:textId="77777777" w:rsidR="00D75053" w:rsidRPr="002551F6" w:rsidRDefault="00D75053" w:rsidP="00872478">
      <w:pPr>
        <w:widowControl w:val="0"/>
        <w:spacing w:before="19" w:after="0" w:line="240" w:lineRule="auto"/>
        <w:ind w:left="142" w:right="224"/>
        <w:rPr>
          <w:rFonts w:eastAsia="Calibri" w:cs="Calibri"/>
          <w:strike/>
          <w:lang w:val="en-GB"/>
        </w:rPr>
      </w:pPr>
    </w:p>
    <w:p w14:paraId="7414304A" w14:textId="77777777" w:rsidR="00D75053" w:rsidRPr="002551F6" w:rsidRDefault="00D75053" w:rsidP="00872478">
      <w:pPr>
        <w:widowControl w:val="0"/>
        <w:spacing w:after="0" w:line="251" w:lineRule="exact"/>
        <w:ind w:left="116" w:right="224"/>
        <w:rPr>
          <w:rFonts w:eastAsia="Calibri" w:cs="Calibri"/>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Intermediary </w:t>
      </w:r>
    </w:p>
    <w:p w14:paraId="458D8EBA" w14:textId="77777777" w:rsidR="00D75053" w:rsidRPr="002551F6" w:rsidRDefault="00D75053" w:rsidP="00872478">
      <w:pPr>
        <w:widowControl w:val="0"/>
        <w:spacing w:before="9" w:after="0" w:line="220" w:lineRule="exact"/>
        <w:ind w:right="224"/>
        <w:rPr>
          <w:rFonts w:eastAsia="Calibri" w:cs="Times New Roman"/>
          <w:lang w:val="en-GB"/>
        </w:rPr>
      </w:pPr>
    </w:p>
    <w:p w14:paraId="2993BD1E" w14:textId="77777777" w:rsidR="0052453F" w:rsidRPr="002551F6" w:rsidRDefault="0052453F" w:rsidP="00872478">
      <w:pPr>
        <w:widowControl w:val="0"/>
        <w:spacing w:before="19" w:after="0" w:line="239" w:lineRule="auto"/>
        <w:ind w:left="142" w:right="224"/>
        <w:rPr>
          <w:rFonts w:eastAsia="Calibri" w:cs="Calibri"/>
          <w:lang w:val="en-GB"/>
        </w:rPr>
      </w:pPr>
      <w:r w:rsidRPr="002551F6">
        <w:rPr>
          <w:rFonts w:eastAsia="Calibri" w:cs="Calibri"/>
          <w:lang w:val="en-GB"/>
        </w:rPr>
        <w:t>The distributor of the investment units may rely on the services of an intermediary for the sales and redemption of the investment units. The provisions of Sections 111–116, Section 123(1)e), Section 123(4)a) and Section 159(2)–(4) of the Investment Firms Act shall be applied to the intermediary. The distributor shall be liable for the activity of the intermediary in the same way as for its own activity.</w:t>
      </w:r>
    </w:p>
    <w:p w14:paraId="1629EBDE" w14:textId="77777777" w:rsidR="00D75053" w:rsidRPr="002551F6" w:rsidRDefault="00D75053" w:rsidP="00872478">
      <w:pPr>
        <w:widowControl w:val="0"/>
        <w:spacing w:before="19" w:after="0" w:line="239" w:lineRule="auto"/>
        <w:ind w:left="142" w:right="224"/>
        <w:rPr>
          <w:rFonts w:eastAsia="Calibri" w:cs="Calibri"/>
          <w:lang w:val="en-GB"/>
        </w:rPr>
      </w:pPr>
    </w:p>
    <w:p w14:paraId="614A6D9A" w14:textId="77777777" w:rsidR="00D75053" w:rsidRPr="002551F6" w:rsidRDefault="00D75053" w:rsidP="00872478">
      <w:pPr>
        <w:widowControl w:val="0"/>
        <w:spacing w:before="58" w:after="0" w:line="251" w:lineRule="exact"/>
        <w:ind w:left="116" w:right="224"/>
        <w:rPr>
          <w:rFonts w:eastAsia="Calibri" w:cs="Calibri"/>
          <w:lang w:val="en-GB"/>
        </w:rPr>
      </w:pPr>
      <w:r w:rsidRPr="002551F6">
        <w:rPr>
          <w:rFonts w:ascii="Symbol" w:hAnsi="Symbol"/>
          <w:lang w:val="en-GB"/>
        </w:rPr>
        <w:t></w:t>
      </w:r>
      <w:r w:rsidRPr="002551F6">
        <w:rPr>
          <w:rFonts w:ascii="Times New Roman" w:hAnsi="Times New Roman"/>
          <w:lang w:val="en-GB"/>
        </w:rPr>
        <w:t xml:space="preserve"> </w:t>
      </w:r>
      <w:r w:rsidRPr="002551F6">
        <w:rPr>
          <w:u w:val="single"/>
          <w:lang w:val="en-GB"/>
        </w:rPr>
        <w:t xml:space="preserve">Data Supply </w:t>
      </w:r>
    </w:p>
    <w:p w14:paraId="7F5B917F" w14:textId="77777777" w:rsidR="00D75053" w:rsidRPr="002551F6" w:rsidRDefault="00D75053" w:rsidP="00872478">
      <w:pPr>
        <w:widowControl w:val="0"/>
        <w:spacing w:before="8" w:after="0" w:line="220" w:lineRule="exact"/>
        <w:ind w:right="224"/>
        <w:rPr>
          <w:rFonts w:eastAsia="Calibri" w:cs="Times New Roman"/>
          <w:lang w:val="en-GB"/>
        </w:rPr>
      </w:pPr>
    </w:p>
    <w:p w14:paraId="66B6526A" w14:textId="6D9AD502" w:rsidR="00D75053" w:rsidRPr="00B35EF9" w:rsidRDefault="00D75053" w:rsidP="00B35EF9">
      <w:pPr>
        <w:widowControl w:val="0"/>
        <w:spacing w:before="19" w:after="0" w:line="240" w:lineRule="auto"/>
        <w:ind w:left="142" w:right="224"/>
        <w:rPr>
          <w:rFonts w:eastAsia="Calibri" w:cs="Calibri"/>
          <w:lang w:val="en-GB"/>
        </w:rPr>
      </w:pPr>
      <w:r w:rsidRPr="002551F6">
        <w:rPr>
          <w:rFonts w:eastAsia="Calibri" w:cs="Calibri"/>
          <w:lang w:val="en-GB"/>
        </w:rPr>
        <w:t>Pursuant to the prevailing MNB Decree prescribing the reporting requirement – which at the time of publishing this Guide, is MNB Decree No 52/2022 (XI. 29.) on the Data reporting obligations of capital market organisations to the central bank’s information system, primarily for the purpose of facilitating the fulfilment of the Magyar Nemzeti Bank’s supervisory duties – it is mandatory to submit data reporting to the MNB.</w:t>
      </w:r>
    </w:p>
    <w:p w14:paraId="09450AAB" w14:textId="77777777" w:rsidR="00D75053" w:rsidRPr="002551F6" w:rsidRDefault="00D75053" w:rsidP="00872478">
      <w:pPr>
        <w:widowControl w:val="0"/>
        <w:spacing w:before="14" w:after="0" w:line="260" w:lineRule="exact"/>
        <w:ind w:right="224"/>
        <w:rPr>
          <w:rFonts w:eastAsia="Calibri" w:cs="Times New Roman"/>
          <w:sz w:val="26"/>
          <w:szCs w:val="26"/>
          <w:lang w:val="en-GB"/>
        </w:rPr>
      </w:pPr>
    </w:p>
    <w:p w14:paraId="268946A4" w14:textId="5D1B9B46" w:rsidR="00B56B18" w:rsidRPr="002551F6" w:rsidRDefault="00B85FB1" w:rsidP="00872478">
      <w:pPr>
        <w:widowControl w:val="0"/>
        <w:spacing w:after="0" w:line="240" w:lineRule="auto"/>
        <w:ind w:left="116" w:right="224"/>
        <w:rPr>
          <w:rFonts w:eastAsia="Calibri" w:cs="Calibri"/>
          <w:lang w:val="en-GB"/>
        </w:rPr>
      </w:pPr>
      <w:r w:rsidRPr="002551F6">
        <w:rPr>
          <w:rFonts w:eastAsia="Calibri" w:cs="Calibri"/>
          <w:b/>
          <w:bCs/>
          <w:lang w:val="en-GB"/>
        </w:rPr>
        <w:t>2.3 Joining the Investor Protection Fund (IPF)</w:t>
      </w:r>
    </w:p>
    <w:p w14:paraId="7B67D306"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59177807" w14:textId="77777777" w:rsidR="00B56B18" w:rsidRPr="002551F6" w:rsidRDefault="00B56B18" w:rsidP="00872478">
      <w:pPr>
        <w:widowControl w:val="0"/>
        <w:spacing w:after="0" w:line="239" w:lineRule="auto"/>
        <w:ind w:left="116" w:right="224"/>
        <w:rPr>
          <w:rFonts w:eastAsia="Calibri" w:cs="Calibri"/>
          <w:lang w:val="en-GB"/>
        </w:rPr>
      </w:pPr>
      <w:r w:rsidRPr="002551F6">
        <w:rPr>
          <w:rFonts w:eastAsia="Calibri" w:cs="Calibri"/>
          <w:lang w:val="en-GB"/>
        </w:rPr>
        <w:t xml:space="preserve">The branch office of a service provider established in another EEA state is not obliged to join the IPF, if it is a member of an investor protection system prescribed by Directive 97/9/EC of the European Parliament and of the </w:t>
      </w:r>
      <w:r w:rsidRPr="002551F6">
        <w:rPr>
          <w:rFonts w:eastAsia="Calibri" w:cs="Calibri"/>
          <w:lang w:val="en-GB"/>
        </w:rPr>
        <w:lastRenderedPageBreak/>
        <w:t>Council.</w:t>
      </w:r>
    </w:p>
    <w:p w14:paraId="74647F47"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4E73C5B9" w14:textId="77777777" w:rsidR="00B56B18" w:rsidRPr="002551F6" w:rsidRDefault="00B56B18" w:rsidP="00872478">
      <w:pPr>
        <w:widowControl w:val="0"/>
        <w:spacing w:after="0" w:line="239" w:lineRule="auto"/>
        <w:ind w:left="116" w:right="224"/>
        <w:rPr>
          <w:rFonts w:eastAsia="Calibri" w:cs="Calibri"/>
          <w:lang w:val="en-GB"/>
        </w:rPr>
      </w:pPr>
      <w:r w:rsidRPr="002551F6">
        <w:rPr>
          <w:rFonts w:eastAsia="Calibri" w:cs="Calibri"/>
          <w:lang w:val="en-GB"/>
        </w:rPr>
        <w:t>If the branch office of a service provider established in another EEA state does not have investor protection as specified in Directive 97/9/EC of the European Parliament and of the Council, it must join the IPF in order to obtain supplementary insurance.</w:t>
      </w:r>
    </w:p>
    <w:p w14:paraId="4A7518A8" w14:textId="77777777" w:rsidR="00B56B18" w:rsidRPr="002551F6" w:rsidRDefault="00B56B18" w:rsidP="00872478">
      <w:pPr>
        <w:widowControl w:val="0"/>
        <w:spacing w:before="6" w:after="0" w:line="240" w:lineRule="exact"/>
        <w:ind w:right="224"/>
        <w:rPr>
          <w:rFonts w:eastAsia="Calibri" w:cs="Times New Roman"/>
          <w:sz w:val="24"/>
          <w:szCs w:val="24"/>
          <w:lang w:val="en-GB"/>
        </w:rPr>
      </w:pPr>
    </w:p>
    <w:p w14:paraId="093FC5B1" w14:textId="77777777" w:rsidR="00B56B18" w:rsidRPr="002551F6" w:rsidRDefault="00B56B18" w:rsidP="00872478">
      <w:pPr>
        <w:widowControl w:val="0"/>
        <w:spacing w:after="0" w:line="240" w:lineRule="auto"/>
        <w:ind w:left="116" w:right="224"/>
        <w:rPr>
          <w:rFonts w:eastAsia="Calibri" w:cs="Calibri"/>
          <w:lang w:val="en-GB"/>
        </w:rPr>
      </w:pPr>
      <w:r w:rsidRPr="002551F6">
        <w:rPr>
          <w:rFonts w:eastAsia="Calibri" w:cs="Calibri"/>
          <w:lang w:val="en-GB"/>
        </w:rPr>
        <w:t>If either the maximum amount or extent of indemnity granted by the IPF or the scope of insured receivables exceed the corresponding maximum amount, extent or scope of indemnification available to the service provider’s branch office under the investor protection system it is a member to, the IPF will, at the a branch office’s request, provide supplementary insurance on the excess part, provided that the branch office complies with conditions applicable to IPF members. Indemnification pursuant to such supplementary insurance can only take place if the competent supervisory authority of the home member state of the branch office notifies the IPF that the preconditions of indemnification are fulfilled.</w:t>
      </w:r>
    </w:p>
    <w:p w14:paraId="6E8FD6EA" w14:textId="77777777" w:rsidR="00B56B18" w:rsidRPr="002551F6" w:rsidRDefault="00B56B18" w:rsidP="00872478">
      <w:pPr>
        <w:widowControl w:val="0"/>
        <w:spacing w:before="5" w:after="0" w:line="240" w:lineRule="exact"/>
        <w:ind w:right="224"/>
        <w:rPr>
          <w:rFonts w:eastAsia="Calibri" w:cs="Times New Roman"/>
          <w:sz w:val="24"/>
          <w:szCs w:val="24"/>
          <w:lang w:val="en-GB"/>
        </w:rPr>
      </w:pPr>
    </w:p>
    <w:p w14:paraId="1F34B104" w14:textId="77777777" w:rsidR="00B56B18" w:rsidRPr="002551F6" w:rsidRDefault="00B56B18" w:rsidP="00872478">
      <w:pPr>
        <w:widowControl w:val="0"/>
        <w:spacing w:after="0" w:line="240" w:lineRule="auto"/>
        <w:ind w:left="116" w:right="224"/>
        <w:rPr>
          <w:rFonts w:eastAsia="Calibri" w:cs="Calibri"/>
          <w:lang w:val="en-GB"/>
        </w:rPr>
      </w:pPr>
      <w:r w:rsidRPr="002551F6">
        <w:rPr>
          <w:rFonts w:eastAsia="Calibri" w:cs="Calibri"/>
          <w:lang w:val="en-GB"/>
        </w:rPr>
        <w:t xml:space="preserve">Detailed regulations on the IPF are set out in Sections 210–228 of the Capital Markets Act. For further information see the website of IPF at </w:t>
      </w:r>
      <w:hyperlink r:id="rId11">
        <w:r w:rsidRPr="002551F6">
          <w:rPr>
            <w:rFonts w:eastAsia="Calibri" w:cs="Calibri"/>
            <w:color w:val="0000FF"/>
            <w:u w:val="single"/>
            <w:lang w:val="en-GB"/>
          </w:rPr>
          <w:t>www.bva.hu</w:t>
        </w:r>
        <w:r w:rsidRPr="002551F6">
          <w:rPr>
            <w:rFonts w:eastAsia="Calibri" w:cs="Calibri"/>
            <w:color w:val="0000FF"/>
            <w:lang w:val="en-GB"/>
          </w:rPr>
          <w:t xml:space="preserve"> </w:t>
        </w:r>
      </w:hyperlink>
      <w:r w:rsidRPr="002551F6">
        <w:rPr>
          <w:rFonts w:eastAsia="Calibri" w:cs="Calibri"/>
          <w:color w:val="000000"/>
          <w:lang w:val="en-GB"/>
        </w:rPr>
        <w:t>.</w:t>
      </w:r>
    </w:p>
    <w:p w14:paraId="4377B068" w14:textId="77777777" w:rsidR="00B944EB" w:rsidRPr="002551F6" w:rsidRDefault="00B944EB" w:rsidP="00872478">
      <w:pPr>
        <w:ind w:right="224"/>
        <w:rPr>
          <w:lang w:val="en-GB"/>
        </w:rPr>
      </w:pPr>
    </w:p>
    <w:sectPr w:rsidR="00B944EB" w:rsidRPr="002551F6" w:rsidSect="00CD6E8D">
      <w:headerReference w:type="default" r:id="rId12"/>
      <w:footerReference w:type="default" r:id="rId13"/>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925" w14:textId="77777777" w:rsidR="005C28CC" w:rsidRDefault="005C28CC">
      <w:r>
        <w:separator/>
      </w:r>
    </w:p>
  </w:endnote>
  <w:endnote w:type="continuationSeparator" w:id="0">
    <w:p w14:paraId="165002E4" w14:textId="77777777" w:rsidR="005C28CC" w:rsidRDefault="005C28CC">
      <w:r>
        <w:continuationSeparator/>
      </w:r>
    </w:p>
  </w:endnote>
  <w:endnote w:type="continuationNotice" w:id="1">
    <w:p w14:paraId="066422BC" w14:textId="77777777" w:rsidR="005C28CC" w:rsidRDefault="005C2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0D0F" w14:textId="05F2A0CC"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A2E8" w14:textId="77777777" w:rsidR="005C28CC" w:rsidRDefault="005C28CC">
      <w:r>
        <w:separator/>
      </w:r>
    </w:p>
  </w:footnote>
  <w:footnote w:type="continuationSeparator" w:id="0">
    <w:p w14:paraId="01C6FA30" w14:textId="77777777" w:rsidR="005C28CC" w:rsidRDefault="005C28CC">
      <w:r>
        <w:continuationSeparator/>
      </w:r>
    </w:p>
  </w:footnote>
  <w:footnote w:type="continuationNotice" w:id="1">
    <w:p w14:paraId="38F98A91" w14:textId="77777777" w:rsidR="005C28CC" w:rsidRDefault="005C2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299A"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19"/>
    <w:multiLevelType w:val="hybridMultilevel"/>
    <w:tmpl w:val="070A4AF2"/>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32024D2"/>
    <w:multiLevelType w:val="hybridMultilevel"/>
    <w:tmpl w:val="D84F9A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FE8AA500"/>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63742397">
    <w:abstractNumId w:val="6"/>
  </w:num>
  <w:num w:numId="2" w16cid:durableId="590551231">
    <w:abstractNumId w:val="3"/>
  </w:num>
  <w:num w:numId="3" w16cid:durableId="661540845">
    <w:abstractNumId w:val="1"/>
  </w:num>
  <w:num w:numId="4" w16cid:durableId="526528827">
    <w:abstractNumId w:val="2"/>
  </w:num>
  <w:num w:numId="5" w16cid:durableId="1061362900">
    <w:abstractNumId w:val="10"/>
  </w:num>
  <w:num w:numId="6" w16cid:durableId="1454976180">
    <w:abstractNumId w:val="5"/>
  </w:num>
  <w:num w:numId="7" w16cid:durableId="1359432740">
    <w:abstractNumId w:val="13"/>
  </w:num>
  <w:num w:numId="8" w16cid:durableId="1068186975">
    <w:abstractNumId w:val="14"/>
  </w:num>
  <w:num w:numId="9" w16cid:durableId="1060637653">
    <w:abstractNumId w:val="7"/>
  </w:num>
  <w:num w:numId="10" w16cid:durableId="1092320695">
    <w:abstractNumId w:val="12"/>
  </w:num>
  <w:num w:numId="11" w16cid:durableId="616107285">
    <w:abstractNumId w:val="15"/>
  </w:num>
  <w:num w:numId="12" w16cid:durableId="372073319">
    <w:abstractNumId w:val="4"/>
  </w:num>
  <w:num w:numId="13" w16cid:durableId="1495796914">
    <w:abstractNumId w:val="0"/>
  </w:num>
  <w:num w:numId="14" w16cid:durableId="2101825240">
    <w:abstractNumId w:val="10"/>
    <w:lvlOverride w:ilvl="0">
      <w:startOverride w:val="1"/>
    </w:lvlOverride>
  </w:num>
  <w:num w:numId="15" w16cid:durableId="153420542">
    <w:abstractNumId w:val="11"/>
  </w:num>
  <w:num w:numId="16" w16cid:durableId="366486315">
    <w:abstractNumId w:val="8"/>
  </w:num>
  <w:num w:numId="17" w16cid:durableId="163567400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18"/>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95D35"/>
    <w:rsid w:val="000A3A63"/>
    <w:rsid w:val="000A71F3"/>
    <w:rsid w:val="000B2DD2"/>
    <w:rsid w:val="000B57D6"/>
    <w:rsid w:val="000C2093"/>
    <w:rsid w:val="000C2918"/>
    <w:rsid w:val="000C3019"/>
    <w:rsid w:val="000C701E"/>
    <w:rsid w:val="000C701F"/>
    <w:rsid w:val="000D1C8B"/>
    <w:rsid w:val="000D1E44"/>
    <w:rsid w:val="000D359E"/>
    <w:rsid w:val="000D40AE"/>
    <w:rsid w:val="000D4F61"/>
    <w:rsid w:val="000D5F26"/>
    <w:rsid w:val="000E2CBD"/>
    <w:rsid w:val="000E4EE3"/>
    <w:rsid w:val="000F2858"/>
    <w:rsid w:val="000F2AE0"/>
    <w:rsid w:val="000F30B8"/>
    <w:rsid w:val="000F4788"/>
    <w:rsid w:val="000F68FE"/>
    <w:rsid w:val="00101654"/>
    <w:rsid w:val="0010447E"/>
    <w:rsid w:val="0010496C"/>
    <w:rsid w:val="00110868"/>
    <w:rsid w:val="00113C88"/>
    <w:rsid w:val="00115A62"/>
    <w:rsid w:val="001255A4"/>
    <w:rsid w:val="00132260"/>
    <w:rsid w:val="00133A51"/>
    <w:rsid w:val="001356A6"/>
    <w:rsid w:val="001357D0"/>
    <w:rsid w:val="00136260"/>
    <w:rsid w:val="001421CC"/>
    <w:rsid w:val="00143691"/>
    <w:rsid w:val="00150045"/>
    <w:rsid w:val="00152DBF"/>
    <w:rsid w:val="00166F6C"/>
    <w:rsid w:val="001747F6"/>
    <w:rsid w:val="00176552"/>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E7155"/>
    <w:rsid w:val="001F0E5D"/>
    <w:rsid w:val="001F1610"/>
    <w:rsid w:val="002012AD"/>
    <w:rsid w:val="00206642"/>
    <w:rsid w:val="0021200B"/>
    <w:rsid w:val="00214230"/>
    <w:rsid w:val="0021484C"/>
    <w:rsid w:val="0022056B"/>
    <w:rsid w:val="00224E76"/>
    <w:rsid w:val="0022764E"/>
    <w:rsid w:val="00240C97"/>
    <w:rsid w:val="0024273A"/>
    <w:rsid w:val="0024525F"/>
    <w:rsid w:val="002522F1"/>
    <w:rsid w:val="002551F6"/>
    <w:rsid w:val="002602F5"/>
    <w:rsid w:val="002611AE"/>
    <w:rsid w:val="0026180A"/>
    <w:rsid w:val="00270724"/>
    <w:rsid w:val="00271371"/>
    <w:rsid w:val="00273052"/>
    <w:rsid w:val="0027402D"/>
    <w:rsid w:val="002751D4"/>
    <w:rsid w:val="002866DE"/>
    <w:rsid w:val="00287D15"/>
    <w:rsid w:val="00290D47"/>
    <w:rsid w:val="00292177"/>
    <w:rsid w:val="002A3B0E"/>
    <w:rsid w:val="002B2B6C"/>
    <w:rsid w:val="002B2E07"/>
    <w:rsid w:val="002B3674"/>
    <w:rsid w:val="002B4D45"/>
    <w:rsid w:val="002B6B78"/>
    <w:rsid w:val="002B6C43"/>
    <w:rsid w:val="002B6D25"/>
    <w:rsid w:val="002B78E0"/>
    <w:rsid w:val="002C728F"/>
    <w:rsid w:val="002C7AB8"/>
    <w:rsid w:val="002C7D4D"/>
    <w:rsid w:val="002C7DD0"/>
    <w:rsid w:val="002D5E55"/>
    <w:rsid w:val="002D65B1"/>
    <w:rsid w:val="002F34ED"/>
    <w:rsid w:val="002F602F"/>
    <w:rsid w:val="00300EE3"/>
    <w:rsid w:val="00302136"/>
    <w:rsid w:val="00313246"/>
    <w:rsid w:val="00321B5B"/>
    <w:rsid w:val="003231ED"/>
    <w:rsid w:val="00327A74"/>
    <w:rsid w:val="00331D56"/>
    <w:rsid w:val="00341BB5"/>
    <w:rsid w:val="00343614"/>
    <w:rsid w:val="0035153B"/>
    <w:rsid w:val="003524A6"/>
    <w:rsid w:val="003548F7"/>
    <w:rsid w:val="00357E6F"/>
    <w:rsid w:val="00361689"/>
    <w:rsid w:val="003701D4"/>
    <w:rsid w:val="003704B1"/>
    <w:rsid w:val="003728FE"/>
    <w:rsid w:val="00373BD2"/>
    <w:rsid w:val="0037696F"/>
    <w:rsid w:val="00380643"/>
    <w:rsid w:val="003824BF"/>
    <w:rsid w:val="003827F0"/>
    <w:rsid w:val="00391B59"/>
    <w:rsid w:val="00395B14"/>
    <w:rsid w:val="00395D13"/>
    <w:rsid w:val="00397F34"/>
    <w:rsid w:val="003A62EB"/>
    <w:rsid w:val="003A6423"/>
    <w:rsid w:val="003B12B2"/>
    <w:rsid w:val="003B46BE"/>
    <w:rsid w:val="003C5699"/>
    <w:rsid w:val="003D04DD"/>
    <w:rsid w:val="003D52BC"/>
    <w:rsid w:val="003E667F"/>
    <w:rsid w:val="003F128A"/>
    <w:rsid w:val="0041484F"/>
    <w:rsid w:val="00415CB2"/>
    <w:rsid w:val="00423D50"/>
    <w:rsid w:val="00427F26"/>
    <w:rsid w:val="0043276D"/>
    <w:rsid w:val="004330EA"/>
    <w:rsid w:val="00434DC6"/>
    <w:rsid w:val="004413FF"/>
    <w:rsid w:val="00442ABF"/>
    <w:rsid w:val="004451FE"/>
    <w:rsid w:val="0044777A"/>
    <w:rsid w:val="00453087"/>
    <w:rsid w:val="00455A38"/>
    <w:rsid w:val="00465939"/>
    <w:rsid w:val="0047029F"/>
    <w:rsid w:val="004729CE"/>
    <w:rsid w:val="00474131"/>
    <w:rsid w:val="0048183A"/>
    <w:rsid w:val="00483D07"/>
    <w:rsid w:val="00491483"/>
    <w:rsid w:val="004919C2"/>
    <w:rsid w:val="004924CA"/>
    <w:rsid w:val="00494C89"/>
    <w:rsid w:val="004A58E3"/>
    <w:rsid w:val="004A5F09"/>
    <w:rsid w:val="004B1A68"/>
    <w:rsid w:val="004D270F"/>
    <w:rsid w:val="004D455D"/>
    <w:rsid w:val="004D7635"/>
    <w:rsid w:val="004E0CE7"/>
    <w:rsid w:val="004E2BA2"/>
    <w:rsid w:val="004F1BAA"/>
    <w:rsid w:val="004F42D5"/>
    <w:rsid w:val="004F72B9"/>
    <w:rsid w:val="0050045B"/>
    <w:rsid w:val="00501172"/>
    <w:rsid w:val="00503A99"/>
    <w:rsid w:val="005059A8"/>
    <w:rsid w:val="0050657B"/>
    <w:rsid w:val="00513B1F"/>
    <w:rsid w:val="0051486A"/>
    <w:rsid w:val="005149CD"/>
    <w:rsid w:val="00516455"/>
    <w:rsid w:val="00517847"/>
    <w:rsid w:val="0052453F"/>
    <w:rsid w:val="0052496D"/>
    <w:rsid w:val="0052546E"/>
    <w:rsid w:val="0052584F"/>
    <w:rsid w:val="005312FD"/>
    <w:rsid w:val="00533EA1"/>
    <w:rsid w:val="00544934"/>
    <w:rsid w:val="00557A68"/>
    <w:rsid w:val="00561175"/>
    <w:rsid w:val="0056482F"/>
    <w:rsid w:val="005648EE"/>
    <w:rsid w:val="00571C3C"/>
    <w:rsid w:val="005763C5"/>
    <w:rsid w:val="00580CFB"/>
    <w:rsid w:val="00581D24"/>
    <w:rsid w:val="0058459E"/>
    <w:rsid w:val="00586D4D"/>
    <w:rsid w:val="005A011E"/>
    <w:rsid w:val="005A1EE4"/>
    <w:rsid w:val="005A3531"/>
    <w:rsid w:val="005A3DDE"/>
    <w:rsid w:val="005A788E"/>
    <w:rsid w:val="005B0A26"/>
    <w:rsid w:val="005B1C28"/>
    <w:rsid w:val="005C28CC"/>
    <w:rsid w:val="005C3F73"/>
    <w:rsid w:val="005C498A"/>
    <w:rsid w:val="005C499F"/>
    <w:rsid w:val="005C5BB7"/>
    <w:rsid w:val="005D1A2C"/>
    <w:rsid w:val="005E08E0"/>
    <w:rsid w:val="005F3818"/>
    <w:rsid w:val="005F3E3D"/>
    <w:rsid w:val="00602F0C"/>
    <w:rsid w:val="00603723"/>
    <w:rsid w:val="00610E45"/>
    <w:rsid w:val="00623080"/>
    <w:rsid w:val="00627BFA"/>
    <w:rsid w:val="006335E0"/>
    <w:rsid w:val="00642A07"/>
    <w:rsid w:val="00643529"/>
    <w:rsid w:val="00643CB4"/>
    <w:rsid w:val="00644BE4"/>
    <w:rsid w:val="0067570F"/>
    <w:rsid w:val="00681108"/>
    <w:rsid w:val="00690C97"/>
    <w:rsid w:val="0069441B"/>
    <w:rsid w:val="006948C6"/>
    <w:rsid w:val="006A54BA"/>
    <w:rsid w:val="006A66EB"/>
    <w:rsid w:val="006B0392"/>
    <w:rsid w:val="006B2726"/>
    <w:rsid w:val="006B4271"/>
    <w:rsid w:val="006C2C3D"/>
    <w:rsid w:val="006C4871"/>
    <w:rsid w:val="006C700F"/>
    <w:rsid w:val="006D0881"/>
    <w:rsid w:val="006D2B09"/>
    <w:rsid w:val="006D3867"/>
    <w:rsid w:val="006D65B3"/>
    <w:rsid w:val="006E45F8"/>
    <w:rsid w:val="006E5F78"/>
    <w:rsid w:val="006F0376"/>
    <w:rsid w:val="006F39C8"/>
    <w:rsid w:val="006F5D02"/>
    <w:rsid w:val="006F6144"/>
    <w:rsid w:val="00702E90"/>
    <w:rsid w:val="00703E97"/>
    <w:rsid w:val="0070653D"/>
    <w:rsid w:val="00707C38"/>
    <w:rsid w:val="00720C10"/>
    <w:rsid w:val="007236B8"/>
    <w:rsid w:val="0072398E"/>
    <w:rsid w:val="0073180D"/>
    <w:rsid w:val="00732D87"/>
    <w:rsid w:val="00737660"/>
    <w:rsid w:val="007376E0"/>
    <w:rsid w:val="00744A1F"/>
    <w:rsid w:val="00746D82"/>
    <w:rsid w:val="007474DD"/>
    <w:rsid w:val="00754A11"/>
    <w:rsid w:val="00767D3F"/>
    <w:rsid w:val="00774306"/>
    <w:rsid w:val="007772C0"/>
    <w:rsid w:val="00782B80"/>
    <w:rsid w:val="00786D1D"/>
    <w:rsid w:val="00786EF4"/>
    <w:rsid w:val="00791092"/>
    <w:rsid w:val="007913EE"/>
    <w:rsid w:val="00792C7B"/>
    <w:rsid w:val="007A2BE7"/>
    <w:rsid w:val="007B1174"/>
    <w:rsid w:val="007B39B9"/>
    <w:rsid w:val="007B7FC8"/>
    <w:rsid w:val="007D67A3"/>
    <w:rsid w:val="007D7E92"/>
    <w:rsid w:val="007E0286"/>
    <w:rsid w:val="007E5019"/>
    <w:rsid w:val="007E52DE"/>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2478"/>
    <w:rsid w:val="00876C8A"/>
    <w:rsid w:val="008904FD"/>
    <w:rsid w:val="008935BD"/>
    <w:rsid w:val="008936DF"/>
    <w:rsid w:val="008A1C40"/>
    <w:rsid w:val="008B2677"/>
    <w:rsid w:val="008B61E3"/>
    <w:rsid w:val="008C474C"/>
    <w:rsid w:val="008C56D8"/>
    <w:rsid w:val="008D6221"/>
    <w:rsid w:val="008E26F2"/>
    <w:rsid w:val="008E3579"/>
    <w:rsid w:val="008F0603"/>
    <w:rsid w:val="00903AC3"/>
    <w:rsid w:val="009228DF"/>
    <w:rsid w:val="00925712"/>
    <w:rsid w:val="00926EA9"/>
    <w:rsid w:val="00930F98"/>
    <w:rsid w:val="00933E50"/>
    <w:rsid w:val="00934193"/>
    <w:rsid w:val="00934F6E"/>
    <w:rsid w:val="00936146"/>
    <w:rsid w:val="00937812"/>
    <w:rsid w:val="00937A0B"/>
    <w:rsid w:val="0094233D"/>
    <w:rsid w:val="00950ACA"/>
    <w:rsid w:val="00952BD8"/>
    <w:rsid w:val="00955DE6"/>
    <w:rsid w:val="00957F22"/>
    <w:rsid w:val="00961F15"/>
    <w:rsid w:val="00962FE4"/>
    <w:rsid w:val="009665AC"/>
    <w:rsid w:val="00967200"/>
    <w:rsid w:val="00990B18"/>
    <w:rsid w:val="00994141"/>
    <w:rsid w:val="009A4F0C"/>
    <w:rsid w:val="009A56C3"/>
    <w:rsid w:val="009B2208"/>
    <w:rsid w:val="009B7F1B"/>
    <w:rsid w:val="009C09A6"/>
    <w:rsid w:val="009C5156"/>
    <w:rsid w:val="009C6632"/>
    <w:rsid w:val="009D0800"/>
    <w:rsid w:val="009D1272"/>
    <w:rsid w:val="009D2629"/>
    <w:rsid w:val="009D3B3D"/>
    <w:rsid w:val="009D4156"/>
    <w:rsid w:val="009D537A"/>
    <w:rsid w:val="009D729D"/>
    <w:rsid w:val="009E3A57"/>
    <w:rsid w:val="009E7AC9"/>
    <w:rsid w:val="009F413A"/>
    <w:rsid w:val="00A00F2A"/>
    <w:rsid w:val="00A03212"/>
    <w:rsid w:val="00A16867"/>
    <w:rsid w:val="00A17909"/>
    <w:rsid w:val="00A2173F"/>
    <w:rsid w:val="00A244C7"/>
    <w:rsid w:val="00A26654"/>
    <w:rsid w:val="00A26ED3"/>
    <w:rsid w:val="00A27DFE"/>
    <w:rsid w:val="00A30151"/>
    <w:rsid w:val="00A3105B"/>
    <w:rsid w:val="00A34F95"/>
    <w:rsid w:val="00A44C60"/>
    <w:rsid w:val="00A5096A"/>
    <w:rsid w:val="00A56BCD"/>
    <w:rsid w:val="00A57D44"/>
    <w:rsid w:val="00A60012"/>
    <w:rsid w:val="00A65855"/>
    <w:rsid w:val="00A717A6"/>
    <w:rsid w:val="00A77604"/>
    <w:rsid w:val="00A77A9F"/>
    <w:rsid w:val="00A800A3"/>
    <w:rsid w:val="00A8495F"/>
    <w:rsid w:val="00A9167B"/>
    <w:rsid w:val="00A917E0"/>
    <w:rsid w:val="00A94C01"/>
    <w:rsid w:val="00AA7D28"/>
    <w:rsid w:val="00AB2182"/>
    <w:rsid w:val="00AB3E83"/>
    <w:rsid w:val="00AB5B26"/>
    <w:rsid w:val="00AB7DBF"/>
    <w:rsid w:val="00AC481D"/>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5092"/>
    <w:rsid w:val="00B35EF9"/>
    <w:rsid w:val="00B36061"/>
    <w:rsid w:val="00B36A9C"/>
    <w:rsid w:val="00B37787"/>
    <w:rsid w:val="00B4230E"/>
    <w:rsid w:val="00B4506F"/>
    <w:rsid w:val="00B45D0C"/>
    <w:rsid w:val="00B46F92"/>
    <w:rsid w:val="00B4727E"/>
    <w:rsid w:val="00B51E64"/>
    <w:rsid w:val="00B53C3B"/>
    <w:rsid w:val="00B54E70"/>
    <w:rsid w:val="00B55827"/>
    <w:rsid w:val="00B56865"/>
    <w:rsid w:val="00B56B18"/>
    <w:rsid w:val="00B602C9"/>
    <w:rsid w:val="00B62845"/>
    <w:rsid w:val="00B64835"/>
    <w:rsid w:val="00B66A7E"/>
    <w:rsid w:val="00B702D5"/>
    <w:rsid w:val="00B70F54"/>
    <w:rsid w:val="00B723C6"/>
    <w:rsid w:val="00B7555B"/>
    <w:rsid w:val="00B800CB"/>
    <w:rsid w:val="00B8074B"/>
    <w:rsid w:val="00B8101A"/>
    <w:rsid w:val="00B85FB1"/>
    <w:rsid w:val="00B861AB"/>
    <w:rsid w:val="00B944EB"/>
    <w:rsid w:val="00B97561"/>
    <w:rsid w:val="00BA2A45"/>
    <w:rsid w:val="00BB27C2"/>
    <w:rsid w:val="00BB7D50"/>
    <w:rsid w:val="00BD0575"/>
    <w:rsid w:val="00BD12AC"/>
    <w:rsid w:val="00BD29BB"/>
    <w:rsid w:val="00BD75B8"/>
    <w:rsid w:val="00BE125E"/>
    <w:rsid w:val="00BE5440"/>
    <w:rsid w:val="00BE5843"/>
    <w:rsid w:val="00BE6B7B"/>
    <w:rsid w:val="00BE78CD"/>
    <w:rsid w:val="00BF0359"/>
    <w:rsid w:val="00BF3AF0"/>
    <w:rsid w:val="00C01E8F"/>
    <w:rsid w:val="00C0501F"/>
    <w:rsid w:val="00C06F2F"/>
    <w:rsid w:val="00C07885"/>
    <w:rsid w:val="00C10586"/>
    <w:rsid w:val="00C136F8"/>
    <w:rsid w:val="00C146F6"/>
    <w:rsid w:val="00C1563C"/>
    <w:rsid w:val="00C17469"/>
    <w:rsid w:val="00C20799"/>
    <w:rsid w:val="00C22FB8"/>
    <w:rsid w:val="00C239FE"/>
    <w:rsid w:val="00C31F64"/>
    <w:rsid w:val="00C43AC5"/>
    <w:rsid w:val="00C451B6"/>
    <w:rsid w:val="00C522BD"/>
    <w:rsid w:val="00C63F2A"/>
    <w:rsid w:val="00C64F11"/>
    <w:rsid w:val="00C72FB8"/>
    <w:rsid w:val="00C75B92"/>
    <w:rsid w:val="00C907C0"/>
    <w:rsid w:val="00C93837"/>
    <w:rsid w:val="00CA398B"/>
    <w:rsid w:val="00CC4CB1"/>
    <w:rsid w:val="00CD36BC"/>
    <w:rsid w:val="00CD6E8D"/>
    <w:rsid w:val="00CD724F"/>
    <w:rsid w:val="00CE188C"/>
    <w:rsid w:val="00CF148C"/>
    <w:rsid w:val="00CF7445"/>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5053"/>
    <w:rsid w:val="00D7659E"/>
    <w:rsid w:val="00D815CF"/>
    <w:rsid w:val="00D84BA5"/>
    <w:rsid w:val="00D946B0"/>
    <w:rsid w:val="00DA2679"/>
    <w:rsid w:val="00DA3039"/>
    <w:rsid w:val="00DA6B88"/>
    <w:rsid w:val="00DA73B6"/>
    <w:rsid w:val="00DB127D"/>
    <w:rsid w:val="00DB66B8"/>
    <w:rsid w:val="00DD62AD"/>
    <w:rsid w:val="00DD7153"/>
    <w:rsid w:val="00DF4F58"/>
    <w:rsid w:val="00E01914"/>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0A58"/>
    <w:rsid w:val="00EC4096"/>
    <w:rsid w:val="00EC429C"/>
    <w:rsid w:val="00EC502D"/>
    <w:rsid w:val="00EC6A51"/>
    <w:rsid w:val="00ED0199"/>
    <w:rsid w:val="00ED05AC"/>
    <w:rsid w:val="00ED10E2"/>
    <w:rsid w:val="00EE4050"/>
    <w:rsid w:val="00EE4149"/>
    <w:rsid w:val="00F008A1"/>
    <w:rsid w:val="00F04867"/>
    <w:rsid w:val="00F04E3E"/>
    <w:rsid w:val="00F10771"/>
    <w:rsid w:val="00F1743F"/>
    <w:rsid w:val="00F205E5"/>
    <w:rsid w:val="00F254AF"/>
    <w:rsid w:val="00F37148"/>
    <w:rsid w:val="00F40A71"/>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58EF"/>
    <w:rsid w:val="00F96EEB"/>
    <w:rsid w:val="00F96F8A"/>
    <w:rsid w:val="00F9761F"/>
    <w:rsid w:val="00FA102C"/>
    <w:rsid w:val="00FB3124"/>
    <w:rsid w:val="00FB32EE"/>
    <w:rsid w:val="00FC5616"/>
    <w:rsid w:val="00FD328C"/>
    <w:rsid w:val="00FD7299"/>
    <w:rsid w:val="00FE2094"/>
    <w:rsid w:val="00FE3B20"/>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0F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5EF9"/>
    <w:pPr>
      <w:spacing w:after="150" w:line="276" w:lineRule="auto"/>
      <w:jc w:val="both"/>
    </w:pPr>
  </w:style>
  <w:style w:type="paragraph" w:styleId="Cmsor1">
    <w:name w:val="heading 1"/>
    <w:basedOn w:val="Norml"/>
    <w:next w:val="Norml"/>
    <w:link w:val="Cmsor1Char"/>
    <w:qFormat/>
    <w:rsid w:val="00B35EF9"/>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B35EF9"/>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B35EF9"/>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B35EF9"/>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B35EF9"/>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B35EF9"/>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B35EF9"/>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35EF9"/>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35EF9"/>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35EF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35EF9"/>
  </w:style>
  <w:style w:type="table" w:customStyle="1" w:styleId="tblzat-mtrix">
    <w:name w:val="táblázat - mátrix"/>
    <w:basedOn w:val="Normltblzat"/>
    <w:uiPriority w:val="2"/>
    <w:qFormat/>
    <w:rsid w:val="00B35EF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B35EF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35EF9"/>
    <w:pPr>
      <w:numPr>
        <w:numId w:val="14"/>
      </w:numPr>
      <w:contextualSpacing/>
    </w:pPr>
  </w:style>
  <w:style w:type="character" w:styleId="Hiperhivatkozs">
    <w:name w:val="Hyperlink"/>
    <w:basedOn w:val="Vgjegyzet-hivatkozs"/>
    <w:uiPriority w:val="99"/>
    <w:rsid w:val="00B35EF9"/>
    <w:rPr>
      <w:rFonts w:ascii="Calibri" w:hAnsi="Calibri"/>
      <w:color w:val="0000FF"/>
      <w:sz w:val="20"/>
      <w:u w:val="single"/>
      <w:vertAlign w:val="superscript"/>
    </w:rPr>
  </w:style>
  <w:style w:type="table" w:customStyle="1" w:styleId="tblzat-oldallces">
    <w:name w:val="táblázat - oldalléces"/>
    <w:basedOn w:val="Normltblzat"/>
    <w:uiPriority w:val="3"/>
    <w:qFormat/>
    <w:rsid w:val="00B35EF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B35EF9"/>
    <w:rPr>
      <w:vertAlign w:val="superscript"/>
    </w:rPr>
  </w:style>
  <w:style w:type="paragraph" w:styleId="Buborkszveg">
    <w:name w:val="Balloon Text"/>
    <w:basedOn w:val="Norml"/>
    <w:link w:val="BuborkszvegChar"/>
    <w:uiPriority w:val="99"/>
    <w:semiHidden/>
    <w:unhideWhenUsed/>
    <w:rsid w:val="00B35EF9"/>
    <w:rPr>
      <w:rFonts w:ascii="Tahoma" w:hAnsi="Tahoma" w:cs="Tahoma"/>
      <w:sz w:val="16"/>
      <w:szCs w:val="16"/>
    </w:rPr>
  </w:style>
  <w:style w:type="paragraph" w:customStyle="1" w:styleId="Magyarzszveg">
    <w:name w:val="Magyarázó szöveg"/>
    <w:basedOn w:val="Norml"/>
    <w:next w:val="Norml"/>
    <w:uiPriority w:val="7"/>
    <w:rsid w:val="00B35EF9"/>
    <w:rPr>
      <w:color w:val="F6A800" w:themeColor="accent5"/>
      <w:sz w:val="18"/>
    </w:rPr>
  </w:style>
  <w:style w:type="character" w:customStyle="1" w:styleId="BuborkszvegChar">
    <w:name w:val="Buborékszöveg Char"/>
    <w:basedOn w:val="Bekezdsalapbettpusa"/>
    <w:link w:val="Buborkszveg"/>
    <w:uiPriority w:val="99"/>
    <w:semiHidden/>
    <w:rsid w:val="00B35EF9"/>
    <w:rPr>
      <w:rFonts w:ascii="Tahoma" w:hAnsi="Tahoma" w:cs="Tahoma"/>
      <w:sz w:val="16"/>
      <w:szCs w:val="16"/>
    </w:rPr>
  </w:style>
  <w:style w:type="paragraph" w:styleId="lfej">
    <w:name w:val="header"/>
    <w:basedOn w:val="Norml"/>
    <w:link w:val="lfejChar"/>
    <w:uiPriority w:val="99"/>
    <w:unhideWhenUsed/>
    <w:rsid w:val="00B35EF9"/>
    <w:pPr>
      <w:tabs>
        <w:tab w:val="center" w:pos="4536"/>
        <w:tab w:val="right" w:pos="9072"/>
      </w:tabs>
    </w:pPr>
  </w:style>
  <w:style w:type="character" w:customStyle="1" w:styleId="lfejChar">
    <w:name w:val="Élőfej Char"/>
    <w:basedOn w:val="Bekezdsalapbettpusa"/>
    <w:link w:val="lfej"/>
    <w:uiPriority w:val="99"/>
    <w:rsid w:val="00B35EF9"/>
  </w:style>
  <w:style w:type="paragraph" w:styleId="llb">
    <w:name w:val="footer"/>
    <w:basedOn w:val="Norml"/>
    <w:link w:val="llbChar"/>
    <w:uiPriority w:val="99"/>
    <w:unhideWhenUsed/>
    <w:rsid w:val="00B35EF9"/>
    <w:pPr>
      <w:tabs>
        <w:tab w:val="center" w:pos="4536"/>
        <w:tab w:val="right" w:pos="9072"/>
      </w:tabs>
    </w:pPr>
  </w:style>
  <w:style w:type="character" w:customStyle="1" w:styleId="llbChar">
    <w:name w:val="Élőláb Char"/>
    <w:basedOn w:val="Bekezdsalapbettpusa"/>
    <w:link w:val="llb"/>
    <w:uiPriority w:val="99"/>
    <w:rsid w:val="00B35EF9"/>
  </w:style>
  <w:style w:type="paragraph" w:customStyle="1" w:styleId="Szmozs">
    <w:name w:val="Számozás"/>
    <w:basedOn w:val="Norml"/>
    <w:uiPriority w:val="4"/>
    <w:qFormat/>
    <w:rsid w:val="00B35EF9"/>
    <w:pPr>
      <w:numPr>
        <w:numId w:val="3"/>
      </w:numPr>
      <w:spacing w:before="120"/>
      <w:contextualSpacing/>
    </w:pPr>
  </w:style>
  <w:style w:type="table" w:styleId="Rcsostblzat">
    <w:name w:val="Table Grid"/>
    <w:aliases w:val="Szegély nélküli"/>
    <w:basedOn w:val="Normltblzat"/>
    <w:uiPriority w:val="59"/>
    <w:rsid w:val="00B35EF9"/>
    <w:pPr>
      <w:contextualSpacing/>
    </w:pPr>
    <w:tblPr/>
    <w:tcPr>
      <w:vAlign w:val="center"/>
    </w:tcPr>
  </w:style>
  <w:style w:type="character" w:customStyle="1" w:styleId="Cmsor4Char">
    <w:name w:val="Címsor 4 Char"/>
    <w:basedOn w:val="Bekezdsalapbettpusa"/>
    <w:link w:val="Cmsor4"/>
    <w:rsid w:val="00B35EF9"/>
    <w:rPr>
      <w:iCs/>
      <w:color w:val="0C2148" w:themeColor="text2"/>
      <w:szCs w:val="30"/>
    </w:rPr>
  </w:style>
  <w:style w:type="character" w:customStyle="1" w:styleId="Cmsor5Char">
    <w:name w:val="Címsor 5 Char"/>
    <w:basedOn w:val="Bekezdsalapbettpusa"/>
    <w:link w:val="Cmsor5"/>
    <w:rsid w:val="00B35EF9"/>
    <w:rPr>
      <w:color w:val="0C2148" w:themeColor="text2"/>
      <w:szCs w:val="26"/>
    </w:rPr>
  </w:style>
  <w:style w:type="character" w:customStyle="1" w:styleId="Cmsor6Char">
    <w:name w:val="Címsor 6 Char"/>
    <w:basedOn w:val="Bekezdsalapbettpusa"/>
    <w:link w:val="Cmsor6"/>
    <w:rsid w:val="00B35EF9"/>
    <w:rPr>
      <w:color w:val="0C2148" w:themeColor="text2"/>
    </w:rPr>
  </w:style>
  <w:style w:type="character" w:customStyle="1" w:styleId="Cmsor1Char">
    <w:name w:val="Címsor 1 Char"/>
    <w:basedOn w:val="Bekezdsalapbettpusa"/>
    <w:link w:val="Cmsor1"/>
    <w:rsid w:val="00B35EF9"/>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B35EF9"/>
    <w:rPr>
      <w:b/>
      <w:color w:val="0C2148" w:themeColor="text2"/>
      <w:sz w:val="24"/>
      <w:szCs w:val="38"/>
    </w:rPr>
  </w:style>
  <w:style w:type="character" w:customStyle="1" w:styleId="Cmsor3Char">
    <w:name w:val="Címsor 3 Char"/>
    <w:basedOn w:val="Bekezdsalapbettpusa"/>
    <w:link w:val="Cmsor3"/>
    <w:rsid w:val="00B35EF9"/>
    <w:rPr>
      <w:bCs/>
      <w:color w:val="0C2148" w:themeColor="text2"/>
      <w:szCs w:val="34"/>
    </w:rPr>
  </w:style>
  <w:style w:type="paragraph" w:styleId="Cm">
    <w:name w:val="Title"/>
    <w:basedOn w:val="Norml"/>
    <w:next w:val="Norml"/>
    <w:link w:val="CmChar"/>
    <w:uiPriority w:val="3"/>
    <w:qFormat/>
    <w:rsid w:val="00B35EF9"/>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B35EF9"/>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B35EF9"/>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B35EF9"/>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B35EF9"/>
    <w:rPr>
      <w:rFonts w:eastAsiaTheme="majorEastAsia" w:cstheme="majorBidi"/>
      <w:i/>
      <w:iCs/>
      <w:color w:val="404040" w:themeColor="text1" w:themeTint="BF"/>
    </w:rPr>
  </w:style>
  <w:style w:type="numbering" w:customStyle="1" w:styleId="Style1">
    <w:name w:val="Style1"/>
    <w:uiPriority w:val="99"/>
    <w:rsid w:val="00B35EF9"/>
    <w:pPr>
      <w:numPr>
        <w:numId w:val="1"/>
      </w:numPr>
    </w:pPr>
  </w:style>
  <w:style w:type="paragraph" w:styleId="TJ7">
    <w:name w:val="toc 7"/>
    <w:basedOn w:val="Norml"/>
    <w:next w:val="Norml"/>
    <w:autoRedefine/>
    <w:uiPriority w:val="99"/>
    <w:semiHidden/>
    <w:locked/>
    <w:rsid w:val="00B35EF9"/>
    <w:pPr>
      <w:spacing w:after="100"/>
      <w:ind w:left="1200"/>
    </w:pPr>
    <w:rPr>
      <w:color w:val="385623" w:themeColor="accent6" w:themeShade="80"/>
    </w:rPr>
  </w:style>
  <w:style w:type="paragraph" w:styleId="TJ8">
    <w:name w:val="toc 8"/>
    <w:basedOn w:val="Norml"/>
    <w:next w:val="Norml"/>
    <w:autoRedefine/>
    <w:uiPriority w:val="99"/>
    <w:semiHidden/>
    <w:locked/>
    <w:rsid w:val="00B35EF9"/>
    <w:pPr>
      <w:spacing w:after="100"/>
      <w:ind w:left="1400"/>
    </w:pPr>
    <w:rPr>
      <w:color w:val="385623" w:themeColor="accent6" w:themeShade="80"/>
    </w:rPr>
  </w:style>
  <w:style w:type="paragraph" w:styleId="TJ9">
    <w:name w:val="toc 9"/>
    <w:basedOn w:val="Norml"/>
    <w:next w:val="Norml"/>
    <w:autoRedefine/>
    <w:uiPriority w:val="99"/>
    <w:semiHidden/>
    <w:locked/>
    <w:rsid w:val="00B35EF9"/>
    <w:pPr>
      <w:spacing w:after="100"/>
      <w:ind w:left="1600"/>
    </w:pPr>
    <w:rPr>
      <w:color w:val="385623" w:themeColor="accent6" w:themeShade="80"/>
    </w:rPr>
  </w:style>
  <w:style w:type="table" w:customStyle="1" w:styleId="Calendar2">
    <w:name w:val="Calendar 2"/>
    <w:basedOn w:val="Normltblzat"/>
    <w:uiPriority w:val="99"/>
    <w:qFormat/>
    <w:rsid w:val="00B35EF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B35EF9"/>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B35EF9"/>
    <w:rPr>
      <w:rFonts w:eastAsiaTheme="minorEastAsia"/>
      <w:color w:val="0C2148" w:themeColor="text2"/>
      <w:sz w:val="16"/>
    </w:rPr>
  </w:style>
  <w:style w:type="character" w:styleId="Finomkiemels">
    <w:name w:val="Subtle Emphasis"/>
    <w:basedOn w:val="Bekezdsalapbettpusa"/>
    <w:uiPriority w:val="19"/>
    <w:qFormat/>
    <w:rsid w:val="00B35EF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35EF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B35EF9"/>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35EF9"/>
    <w:rPr>
      <w:color w:val="385623" w:themeColor="accent6" w:themeShade="80"/>
    </w:rPr>
  </w:style>
  <w:style w:type="character" w:customStyle="1" w:styleId="VgjegyzetszvegeChar">
    <w:name w:val="Végjegyzet szövege Char"/>
    <w:basedOn w:val="Bekezdsalapbettpusa"/>
    <w:link w:val="Vgjegyzetszvege"/>
    <w:uiPriority w:val="99"/>
    <w:semiHidden/>
    <w:rsid w:val="00B35EF9"/>
    <w:rPr>
      <w:color w:val="385623" w:themeColor="accent6" w:themeShade="80"/>
    </w:rPr>
  </w:style>
  <w:style w:type="table" w:customStyle="1" w:styleId="Vilgosrnykols1jellszn1">
    <w:name w:val="Világos árnyékolás – 1. jelölőszín1"/>
    <w:basedOn w:val="Normltblzat"/>
    <w:uiPriority w:val="60"/>
    <w:rsid w:val="00B35EF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B35EF9"/>
    <w:pPr>
      <w:numPr>
        <w:numId w:val="4"/>
      </w:numPr>
    </w:pPr>
  </w:style>
  <w:style w:type="paragraph" w:customStyle="1" w:styleId="Tblaszvegstlus">
    <w:name w:val="Tábla szöveg stílus"/>
    <w:basedOn w:val="Norml"/>
    <w:link w:val="TblaszvegstlusChar"/>
    <w:uiPriority w:val="8"/>
    <w:qFormat/>
    <w:rsid w:val="00B35EF9"/>
  </w:style>
  <w:style w:type="character" w:customStyle="1" w:styleId="ListaszerbekezdsChar">
    <w:name w:val="Listaszerű bekezdés Char"/>
    <w:basedOn w:val="Bekezdsalapbettpusa"/>
    <w:link w:val="Listaszerbekezds"/>
    <w:uiPriority w:val="4"/>
    <w:rsid w:val="00B35EF9"/>
  </w:style>
  <w:style w:type="character" w:customStyle="1" w:styleId="Listaszerbekezds2Char">
    <w:name w:val="Listaszerű bekezdés 2 Char"/>
    <w:basedOn w:val="ListaszerbekezdsChar"/>
    <w:link w:val="Listaszerbekezds2"/>
    <w:uiPriority w:val="4"/>
    <w:rsid w:val="00B35EF9"/>
  </w:style>
  <w:style w:type="character" w:customStyle="1" w:styleId="TblaszvegstlusChar">
    <w:name w:val="Tábla szöveg stílus Char"/>
    <w:basedOn w:val="Bekezdsalapbettpusa"/>
    <w:link w:val="Tblaszvegstlus"/>
    <w:uiPriority w:val="8"/>
    <w:rsid w:val="00B35EF9"/>
  </w:style>
  <w:style w:type="character" w:styleId="Finomhivatkozs">
    <w:name w:val="Subtle Reference"/>
    <w:basedOn w:val="Bekezdsalapbettpusa"/>
    <w:uiPriority w:val="31"/>
    <w:rsid w:val="00B35EF9"/>
    <w:rPr>
      <w:sz w:val="24"/>
      <w:szCs w:val="24"/>
      <w:u w:val="single"/>
    </w:rPr>
  </w:style>
  <w:style w:type="character" w:styleId="Ershivatkozs">
    <w:name w:val="Intense Reference"/>
    <w:basedOn w:val="Bekezdsalapbettpusa"/>
    <w:uiPriority w:val="32"/>
    <w:rsid w:val="00B35EF9"/>
    <w:rPr>
      <w:b/>
      <w:sz w:val="24"/>
      <w:u w:val="single"/>
    </w:rPr>
  </w:style>
  <w:style w:type="paragraph" w:customStyle="1" w:styleId="Listaszerbekezds2szint">
    <w:name w:val="Listaszerű bekezdés 2. szint"/>
    <w:basedOn w:val="Listaszerbekezds"/>
    <w:link w:val="Listaszerbekezds2szintChar"/>
    <w:uiPriority w:val="4"/>
    <w:qFormat/>
    <w:rsid w:val="00B35EF9"/>
    <w:pPr>
      <w:numPr>
        <w:numId w:val="7"/>
      </w:numPr>
    </w:pPr>
  </w:style>
  <w:style w:type="paragraph" w:customStyle="1" w:styleId="Listaszerbekezds3szint">
    <w:name w:val="Listaszerű bekezdés 3. szint"/>
    <w:basedOn w:val="Listaszerbekezds"/>
    <w:link w:val="Listaszerbekezds3szintChar"/>
    <w:uiPriority w:val="4"/>
    <w:qFormat/>
    <w:rsid w:val="00B35EF9"/>
    <w:pPr>
      <w:numPr>
        <w:ilvl w:val="2"/>
        <w:numId w:val="8"/>
      </w:numPr>
    </w:pPr>
  </w:style>
  <w:style w:type="character" w:customStyle="1" w:styleId="Listaszerbekezds2szintChar">
    <w:name w:val="Listaszerű bekezdés 2. szint Char"/>
    <w:basedOn w:val="ListaszerbekezdsChar"/>
    <w:link w:val="Listaszerbekezds2szint"/>
    <w:uiPriority w:val="4"/>
    <w:rsid w:val="00B35EF9"/>
  </w:style>
  <w:style w:type="character" w:customStyle="1" w:styleId="Listaszerbekezds3szintChar">
    <w:name w:val="Listaszerű bekezdés 3. szint Char"/>
    <w:basedOn w:val="ListaszerbekezdsChar"/>
    <w:link w:val="Listaszerbekezds3szint"/>
    <w:uiPriority w:val="4"/>
    <w:rsid w:val="00B35EF9"/>
  </w:style>
  <w:style w:type="paragraph" w:styleId="Alcm">
    <w:name w:val="Subtitle"/>
    <w:basedOn w:val="Norml"/>
    <w:next w:val="Norml"/>
    <w:link w:val="AlcmChar"/>
    <w:uiPriority w:val="11"/>
    <w:rsid w:val="00B35EF9"/>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35EF9"/>
    <w:rPr>
      <w:rFonts w:eastAsiaTheme="majorEastAsia" w:cstheme="majorBidi"/>
    </w:rPr>
  </w:style>
  <w:style w:type="paragraph" w:customStyle="1" w:styleId="Listabetvel">
    <w:name w:val="Lista betűvel"/>
    <w:basedOn w:val="Listaszerbekezds"/>
    <w:link w:val="ListabetvelChar"/>
    <w:uiPriority w:val="4"/>
    <w:qFormat/>
    <w:rsid w:val="00B35EF9"/>
    <w:pPr>
      <w:numPr>
        <w:numId w:val="6"/>
      </w:numPr>
    </w:pPr>
  </w:style>
  <w:style w:type="character" w:customStyle="1" w:styleId="ListabetvelChar">
    <w:name w:val="Lista betűvel Char"/>
    <w:basedOn w:val="ListaszerbekezdsChar"/>
    <w:link w:val="Listabetvel"/>
    <w:uiPriority w:val="4"/>
    <w:rsid w:val="00B35EF9"/>
  </w:style>
  <w:style w:type="paragraph" w:customStyle="1" w:styleId="Erskiemels1">
    <w:name w:val="Erős kiemelés1"/>
    <w:basedOn w:val="Norml"/>
    <w:link w:val="ErskiemelsChar"/>
    <w:uiPriority w:val="5"/>
    <w:qFormat/>
    <w:rsid w:val="00B35EF9"/>
    <w:rPr>
      <w:b/>
      <w:i/>
    </w:rPr>
  </w:style>
  <w:style w:type="character" w:customStyle="1" w:styleId="ErskiemelsChar">
    <w:name w:val="Erős kiemelés Char"/>
    <w:basedOn w:val="Bekezdsalapbettpusa"/>
    <w:link w:val="Erskiemels1"/>
    <w:uiPriority w:val="5"/>
    <w:rsid w:val="00B35EF9"/>
    <w:rPr>
      <w:b/>
      <w:i/>
    </w:rPr>
  </w:style>
  <w:style w:type="paragraph" w:customStyle="1" w:styleId="Bold">
    <w:name w:val="Bold"/>
    <w:basedOn w:val="Norml"/>
    <w:link w:val="BoldChar"/>
    <w:uiPriority w:val="6"/>
    <w:qFormat/>
    <w:rsid w:val="00B35EF9"/>
    <w:rPr>
      <w:b/>
    </w:rPr>
  </w:style>
  <w:style w:type="character" w:customStyle="1" w:styleId="BoldChar">
    <w:name w:val="Bold Char"/>
    <w:basedOn w:val="Bekezdsalapbettpusa"/>
    <w:link w:val="Bold"/>
    <w:uiPriority w:val="6"/>
    <w:rsid w:val="00B35EF9"/>
    <w:rPr>
      <w:b/>
    </w:rPr>
  </w:style>
  <w:style w:type="character" w:styleId="Mrltotthiperhivatkozs">
    <w:name w:val="FollowedHyperlink"/>
    <w:basedOn w:val="Bekezdsalapbettpusa"/>
    <w:uiPriority w:val="99"/>
    <w:semiHidden/>
    <w:unhideWhenUsed/>
    <w:rsid w:val="00B35EF9"/>
    <w:rPr>
      <w:color w:val="954F72" w:themeColor="followedHyperlink"/>
      <w:u w:val="single"/>
    </w:rPr>
  </w:style>
  <w:style w:type="paragraph" w:styleId="Tartalomjegyzkcmsora">
    <w:name w:val="TOC Heading"/>
    <w:basedOn w:val="Cmsor1"/>
    <w:next w:val="Norml"/>
    <w:uiPriority w:val="39"/>
    <w:unhideWhenUsed/>
    <w:qFormat/>
    <w:rsid w:val="00B35EF9"/>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35EF9"/>
    <w:pPr>
      <w:spacing w:after="100"/>
      <w:ind w:left="220"/>
      <w:jc w:val="left"/>
    </w:pPr>
    <w:rPr>
      <w:rFonts w:eastAsiaTheme="minorEastAsia"/>
    </w:rPr>
  </w:style>
  <w:style w:type="paragraph" w:styleId="TJ1">
    <w:name w:val="toc 1"/>
    <w:basedOn w:val="Norml"/>
    <w:next w:val="Norml"/>
    <w:autoRedefine/>
    <w:uiPriority w:val="39"/>
    <w:unhideWhenUsed/>
    <w:qFormat/>
    <w:locked/>
    <w:rsid w:val="00B35EF9"/>
    <w:pPr>
      <w:spacing w:after="100"/>
      <w:jc w:val="left"/>
    </w:pPr>
    <w:rPr>
      <w:rFonts w:eastAsiaTheme="minorEastAsia"/>
    </w:rPr>
  </w:style>
  <w:style w:type="paragraph" w:styleId="TJ3">
    <w:name w:val="toc 3"/>
    <w:basedOn w:val="Norml"/>
    <w:next w:val="Norml"/>
    <w:uiPriority w:val="39"/>
    <w:unhideWhenUsed/>
    <w:qFormat/>
    <w:locked/>
    <w:rsid w:val="00B35EF9"/>
    <w:pPr>
      <w:spacing w:after="100"/>
      <w:ind w:left="400"/>
    </w:pPr>
  </w:style>
  <w:style w:type="paragraph" w:customStyle="1" w:styleId="StyleTOC2Left015">
    <w:name w:val="Style TOC 2 + Left:  0.15&quot;"/>
    <w:basedOn w:val="TJ2"/>
    <w:rsid w:val="00B35EF9"/>
    <w:pPr>
      <w:ind w:left="216"/>
    </w:pPr>
    <w:rPr>
      <w:rFonts w:eastAsia="Times New Roman" w:cs="Times New Roman"/>
    </w:rPr>
  </w:style>
  <w:style w:type="paragraph" w:customStyle="1" w:styleId="StyleTOC3Left031">
    <w:name w:val="Style TOC 3 + Left:  0.31&quot;"/>
    <w:basedOn w:val="TJ3"/>
    <w:rsid w:val="00B35EF9"/>
    <w:pPr>
      <w:ind w:left="446"/>
    </w:pPr>
    <w:rPr>
      <w:rFonts w:eastAsia="Times New Roman" w:cs="Times New Roman"/>
    </w:rPr>
  </w:style>
  <w:style w:type="numbering" w:customStyle="1" w:styleId="Hierarchikuslista">
    <w:name w:val="Hierarchikus lista"/>
    <w:uiPriority w:val="99"/>
    <w:rsid w:val="00B35EF9"/>
    <w:pPr>
      <w:numPr>
        <w:numId w:val="2"/>
      </w:numPr>
    </w:pPr>
  </w:style>
  <w:style w:type="paragraph" w:customStyle="1" w:styleId="HierarchikusLista0">
    <w:name w:val="Hierarchikus Lista"/>
    <w:basedOn w:val="Listaszerbekezds"/>
    <w:link w:val="HierarchikusListaChar"/>
    <w:qFormat/>
    <w:rsid w:val="00B35EF9"/>
    <w:pPr>
      <w:numPr>
        <w:numId w:val="0"/>
      </w:numPr>
    </w:pPr>
  </w:style>
  <w:style w:type="character" w:customStyle="1" w:styleId="HierarchikusListaChar">
    <w:name w:val="Hierarchikus Lista Char"/>
    <w:basedOn w:val="ListaszerbekezdsChar"/>
    <w:link w:val="HierarchikusLista0"/>
    <w:rsid w:val="00B35EF9"/>
  </w:style>
  <w:style w:type="character" w:styleId="Kiemels2">
    <w:name w:val="Strong"/>
    <w:basedOn w:val="Bekezdsalapbettpusa"/>
    <w:uiPriority w:val="22"/>
    <w:rsid w:val="00B35EF9"/>
    <w:rPr>
      <w:b/>
      <w:bCs/>
    </w:rPr>
  </w:style>
  <w:style w:type="character" w:styleId="Kiemels">
    <w:name w:val="Emphasis"/>
    <w:basedOn w:val="Bekezdsalapbettpusa"/>
    <w:uiPriority w:val="6"/>
    <w:qFormat/>
    <w:rsid w:val="00B35EF9"/>
    <w:rPr>
      <w:i/>
      <w:iCs/>
    </w:rPr>
  </w:style>
  <w:style w:type="paragraph" w:styleId="Nincstrkz">
    <w:name w:val="No Spacing"/>
    <w:basedOn w:val="Norml"/>
    <w:uiPriority w:val="1"/>
    <w:rsid w:val="00B35EF9"/>
    <w:rPr>
      <w:szCs w:val="32"/>
    </w:rPr>
  </w:style>
  <w:style w:type="paragraph" w:styleId="Idzet">
    <w:name w:val="Quote"/>
    <w:basedOn w:val="Norml"/>
    <w:next w:val="Norml"/>
    <w:link w:val="IdzetChar"/>
    <w:uiPriority w:val="29"/>
    <w:rsid w:val="00B35EF9"/>
    <w:rPr>
      <w:i/>
    </w:rPr>
  </w:style>
  <w:style w:type="character" w:customStyle="1" w:styleId="IdzetChar">
    <w:name w:val="Idézet Char"/>
    <w:basedOn w:val="Bekezdsalapbettpusa"/>
    <w:link w:val="Idzet"/>
    <w:uiPriority w:val="29"/>
    <w:rsid w:val="00B35EF9"/>
    <w:rPr>
      <w:i/>
    </w:rPr>
  </w:style>
  <w:style w:type="paragraph" w:styleId="Kiemeltidzet">
    <w:name w:val="Intense Quote"/>
    <w:basedOn w:val="Norml"/>
    <w:next w:val="Norml"/>
    <w:link w:val="KiemeltidzetChar"/>
    <w:uiPriority w:val="30"/>
    <w:rsid w:val="00B35EF9"/>
    <w:pPr>
      <w:ind w:left="720" w:right="720"/>
    </w:pPr>
    <w:rPr>
      <w:b/>
      <w:i/>
    </w:rPr>
  </w:style>
  <w:style w:type="character" w:customStyle="1" w:styleId="KiemeltidzetChar">
    <w:name w:val="Kiemelt idézet Char"/>
    <w:basedOn w:val="Bekezdsalapbettpusa"/>
    <w:link w:val="Kiemeltidzet"/>
    <w:uiPriority w:val="30"/>
    <w:rsid w:val="00B35EF9"/>
    <w:rPr>
      <w:b/>
      <w:i/>
    </w:rPr>
  </w:style>
  <w:style w:type="character" w:styleId="Erskiemels">
    <w:name w:val="Intense Emphasis"/>
    <w:basedOn w:val="Bekezdsalapbettpusa"/>
    <w:uiPriority w:val="21"/>
    <w:rsid w:val="00B35EF9"/>
    <w:rPr>
      <w:b/>
      <w:i/>
      <w:sz w:val="24"/>
      <w:szCs w:val="24"/>
      <w:u w:val="single"/>
    </w:rPr>
  </w:style>
  <w:style w:type="character" w:styleId="Knyvcme">
    <w:name w:val="Book Title"/>
    <w:basedOn w:val="Bekezdsalapbettpusa"/>
    <w:uiPriority w:val="33"/>
    <w:rsid w:val="00B35EF9"/>
    <w:rPr>
      <w:rFonts w:ascii="Calibri" w:eastAsiaTheme="majorEastAsia" w:hAnsi="Calibri"/>
      <w:b/>
      <w:i/>
      <w:sz w:val="24"/>
      <w:szCs w:val="24"/>
    </w:rPr>
  </w:style>
  <w:style w:type="paragraph" w:customStyle="1" w:styleId="Szvegdobozstlus">
    <w:name w:val="Szövegdoboz stílus"/>
    <w:basedOn w:val="HierarchikusLista0"/>
    <w:qFormat/>
    <w:rsid w:val="00B35EF9"/>
    <w:rPr>
      <w:b/>
      <w:i/>
      <w:color w:val="009EE0"/>
    </w:rPr>
  </w:style>
  <w:style w:type="table" w:customStyle="1" w:styleId="Rcsos">
    <w:name w:val="Rácsos"/>
    <w:basedOn w:val="Normltblzat"/>
    <w:uiPriority w:val="99"/>
    <w:rsid w:val="00B35EF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B35E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35EF9"/>
    <w:pPr>
      <w:keepNext/>
      <w:spacing w:after="40"/>
      <w:jc w:val="center"/>
    </w:pPr>
    <w:rPr>
      <w:b/>
      <w:bCs/>
      <w:color w:val="808080"/>
      <w:szCs w:val="18"/>
    </w:rPr>
  </w:style>
  <w:style w:type="paragraph" w:customStyle="1" w:styleId="ENCaption2Col">
    <w:name w:val="EN_Caption_2Col"/>
    <w:basedOn w:val="Norml"/>
    <w:next w:val="Norml"/>
    <w:uiPriority w:val="1"/>
    <w:qFormat/>
    <w:rsid w:val="00B35EF9"/>
    <w:pPr>
      <w:keepNext/>
      <w:spacing w:after="40"/>
      <w:jc w:val="left"/>
    </w:pPr>
    <w:rPr>
      <w:b/>
      <w:bCs/>
      <w:color w:val="808080"/>
      <w:szCs w:val="18"/>
    </w:rPr>
  </w:style>
  <w:style w:type="paragraph" w:customStyle="1" w:styleId="ENCaptionBox">
    <w:name w:val="EN_Caption_Box"/>
    <w:basedOn w:val="Norml"/>
    <w:next w:val="Norml"/>
    <w:uiPriority w:val="1"/>
    <w:qFormat/>
    <w:rsid w:val="00B35E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35EF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35EF9"/>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B35EF9"/>
    <w:rPr>
      <w:rFonts w:eastAsiaTheme="minorEastAsia"/>
      <w:color w:val="808080"/>
      <w:sz w:val="18"/>
    </w:rPr>
  </w:style>
  <w:style w:type="paragraph" w:customStyle="1" w:styleId="ENNormal">
    <w:name w:val="EN_Normal"/>
    <w:basedOn w:val="Norml"/>
    <w:uiPriority w:val="1"/>
    <w:qFormat/>
    <w:rsid w:val="00B35EF9"/>
  </w:style>
  <w:style w:type="paragraph" w:customStyle="1" w:styleId="ENNormalBox">
    <w:name w:val="EN_Normal_Box"/>
    <w:basedOn w:val="Norml"/>
    <w:uiPriority w:val="1"/>
    <w:qFormat/>
    <w:rsid w:val="00B35EF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B35EF9"/>
    <w:pPr>
      <w:keepLines/>
      <w:jc w:val="center"/>
    </w:pPr>
    <w:rPr>
      <w:color w:val="808080"/>
      <w:sz w:val="18"/>
    </w:rPr>
  </w:style>
  <w:style w:type="paragraph" w:customStyle="1" w:styleId="ENNote2Col">
    <w:name w:val="EN_Note_2Col"/>
    <w:basedOn w:val="Norml"/>
    <w:next w:val="ENNormal"/>
    <w:uiPriority w:val="1"/>
    <w:qFormat/>
    <w:rsid w:val="00B35EF9"/>
    <w:pPr>
      <w:keepLines/>
    </w:pPr>
    <w:rPr>
      <w:color w:val="808080"/>
      <w:sz w:val="18"/>
    </w:rPr>
  </w:style>
  <w:style w:type="paragraph" w:customStyle="1" w:styleId="ENNoteBox">
    <w:name w:val="EN_Note_Box"/>
    <w:basedOn w:val="Norml"/>
    <w:next w:val="ENNormalBox"/>
    <w:uiPriority w:val="1"/>
    <w:qFormat/>
    <w:rsid w:val="00B35EF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35EF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B35EF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B35E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35EF9"/>
    <w:pPr>
      <w:keepNext/>
      <w:spacing w:after="40"/>
      <w:jc w:val="center"/>
    </w:pPr>
    <w:rPr>
      <w:sz w:val="20"/>
    </w:rPr>
  </w:style>
  <w:style w:type="paragraph" w:customStyle="1" w:styleId="HUCaption2Col">
    <w:name w:val="HU_Caption_2Col"/>
    <w:basedOn w:val="Kpalrs"/>
    <w:next w:val="Norml"/>
    <w:uiPriority w:val="1"/>
    <w:qFormat/>
    <w:rsid w:val="00B35EF9"/>
    <w:pPr>
      <w:keepNext/>
      <w:spacing w:after="40"/>
    </w:pPr>
    <w:rPr>
      <w:sz w:val="20"/>
    </w:rPr>
  </w:style>
  <w:style w:type="paragraph" w:customStyle="1" w:styleId="HUCaptionBox">
    <w:name w:val="HU_Caption_Box"/>
    <w:basedOn w:val="Kpalrs"/>
    <w:next w:val="Norml"/>
    <w:uiPriority w:val="1"/>
    <w:qFormat/>
    <w:rsid w:val="00B35E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35EF9"/>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35EF9"/>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35EF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B35EF9"/>
    <w:rPr>
      <w:caps/>
      <w:color w:val="0C2148" w:themeColor="text2"/>
    </w:rPr>
  </w:style>
  <w:style w:type="paragraph" w:customStyle="1" w:styleId="HUFootnote">
    <w:name w:val="HU_Footnote"/>
    <w:basedOn w:val="Lbjegyzetszveg"/>
    <w:uiPriority w:val="1"/>
    <w:qFormat/>
    <w:rsid w:val="00B35EF9"/>
    <w:rPr>
      <w:color w:val="808080"/>
      <w:sz w:val="18"/>
    </w:rPr>
  </w:style>
  <w:style w:type="paragraph" w:customStyle="1" w:styleId="HUNormalBox">
    <w:name w:val="HU_Normal_Box"/>
    <w:basedOn w:val="Norml"/>
    <w:uiPriority w:val="1"/>
    <w:qFormat/>
    <w:rsid w:val="00B35EF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B35EF9"/>
    <w:pPr>
      <w:keepLines/>
      <w:jc w:val="center"/>
    </w:pPr>
    <w:rPr>
      <w:color w:val="808080"/>
      <w:sz w:val="18"/>
    </w:rPr>
  </w:style>
  <w:style w:type="paragraph" w:customStyle="1" w:styleId="HUNote2Col">
    <w:name w:val="HU_Note_2Col"/>
    <w:basedOn w:val="Norml"/>
    <w:next w:val="Norml"/>
    <w:uiPriority w:val="1"/>
    <w:qFormat/>
    <w:rsid w:val="00B35EF9"/>
    <w:pPr>
      <w:keepLines/>
    </w:pPr>
    <w:rPr>
      <w:color w:val="808080"/>
      <w:sz w:val="18"/>
    </w:rPr>
  </w:style>
  <w:style w:type="paragraph" w:customStyle="1" w:styleId="HUNoteBox">
    <w:name w:val="HU_Note_Box"/>
    <w:basedOn w:val="Norml"/>
    <w:next w:val="HUNormalBox"/>
    <w:link w:val="HUNoteBoxChar"/>
    <w:uiPriority w:val="1"/>
    <w:qFormat/>
    <w:rsid w:val="00B35EF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35EF9"/>
    <w:rPr>
      <w:color w:val="808080"/>
      <w:sz w:val="18"/>
      <w:shd w:val="clear" w:color="auto" w:fill="C6EEFF"/>
    </w:rPr>
  </w:style>
  <w:style w:type="paragraph" w:customStyle="1" w:styleId="HUSectionTitle">
    <w:name w:val="HU_Section_Title"/>
    <w:basedOn w:val="Cmsor2"/>
    <w:next w:val="Norml"/>
    <w:link w:val="HUSectionTitleChar"/>
    <w:uiPriority w:val="1"/>
    <w:rsid w:val="00B35EF9"/>
    <w:pPr>
      <w:keepNext/>
    </w:pPr>
  </w:style>
  <w:style w:type="character" w:customStyle="1" w:styleId="HUSectionTitleChar">
    <w:name w:val="HU_Section_Title Char"/>
    <w:basedOn w:val="Cmsor2Char"/>
    <w:link w:val="HUSectionTitle"/>
    <w:uiPriority w:val="1"/>
    <w:rsid w:val="00B35EF9"/>
    <w:rPr>
      <w:b/>
      <w:color w:val="0C2148" w:themeColor="text2"/>
      <w:sz w:val="24"/>
      <w:szCs w:val="38"/>
    </w:rPr>
  </w:style>
  <w:style w:type="paragraph" w:customStyle="1" w:styleId="HUSubsectionTitle">
    <w:name w:val="HU_Subsection_Title"/>
    <w:basedOn w:val="Cmsor3"/>
    <w:next w:val="Norml"/>
    <w:link w:val="HUSubsectionTitleChar"/>
    <w:uiPriority w:val="1"/>
    <w:rsid w:val="00B35EF9"/>
    <w:pPr>
      <w:keepNext/>
      <w:ind w:left="595" w:hanging="595"/>
    </w:pPr>
  </w:style>
  <w:style w:type="character" w:customStyle="1" w:styleId="HUSubsectionTitleChar">
    <w:name w:val="HU_Subsection_Title Char"/>
    <w:basedOn w:val="Cmsor3Char"/>
    <w:link w:val="HUSubsectionTitle"/>
    <w:uiPriority w:val="1"/>
    <w:rsid w:val="00B35EF9"/>
    <w:rPr>
      <w:bCs/>
      <w:color w:val="0C2148" w:themeColor="text2"/>
      <w:szCs w:val="34"/>
    </w:rPr>
  </w:style>
  <w:style w:type="paragraph" w:customStyle="1" w:styleId="Heading1Kiadvny">
    <w:name w:val="Heading 1 Kiadvány"/>
    <w:basedOn w:val="Cmsor1"/>
    <w:qFormat/>
    <w:rsid w:val="00B35EF9"/>
    <w:rPr>
      <w:b w:val="0"/>
      <w:caps w:val="0"/>
      <w:sz w:val="52"/>
    </w:rPr>
  </w:style>
  <w:style w:type="numbering" w:customStyle="1" w:styleId="Nemlista1">
    <w:name w:val="Nem lista1"/>
    <w:next w:val="Nemlista"/>
    <w:uiPriority w:val="99"/>
    <w:semiHidden/>
    <w:unhideWhenUsed/>
    <w:rsid w:val="00B56B18"/>
  </w:style>
  <w:style w:type="character" w:styleId="Jegyzethivatkozs">
    <w:name w:val="annotation reference"/>
    <w:basedOn w:val="Bekezdsalapbettpusa"/>
    <w:uiPriority w:val="99"/>
    <w:semiHidden/>
    <w:unhideWhenUsed/>
    <w:rsid w:val="00B56B18"/>
    <w:rPr>
      <w:sz w:val="16"/>
      <w:szCs w:val="16"/>
    </w:rPr>
  </w:style>
  <w:style w:type="paragraph" w:styleId="Jegyzetszveg">
    <w:name w:val="annotation text"/>
    <w:basedOn w:val="Norml"/>
    <w:link w:val="JegyzetszvegChar"/>
    <w:uiPriority w:val="99"/>
    <w:unhideWhenUsed/>
    <w:rsid w:val="00B56B18"/>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B56B18"/>
    <w:rPr>
      <w:lang w:val="en-US" w:eastAsia="en-US"/>
    </w:rPr>
  </w:style>
  <w:style w:type="paragraph" w:styleId="Megjegyzstrgya">
    <w:name w:val="annotation subject"/>
    <w:basedOn w:val="Jegyzetszveg"/>
    <w:next w:val="Jegyzetszveg"/>
    <w:link w:val="MegjegyzstrgyaChar"/>
    <w:uiPriority w:val="99"/>
    <w:semiHidden/>
    <w:unhideWhenUsed/>
    <w:rsid w:val="00B56B18"/>
    <w:rPr>
      <w:b/>
      <w:bCs/>
    </w:rPr>
  </w:style>
  <w:style w:type="character" w:customStyle="1" w:styleId="MegjegyzstrgyaChar">
    <w:name w:val="Megjegyzés tárgya Char"/>
    <w:basedOn w:val="JegyzetszvegChar"/>
    <w:link w:val="Megjegyzstrgya"/>
    <w:uiPriority w:val="99"/>
    <w:semiHidden/>
    <w:rsid w:val="00B56B18"/>
    <w:rPr>
      <w:b/>
      <w:bCs/>
      <w:lang w:val="en-US" w:eastAsia="en-US"/>
    </w:rPr>
  </w:style>
  <w:style w:type="character" w:styleId="Lbjegyzet-hivatkozs">
    <w:name w:val="footnote reference"/>
    <w:basedOn w:val="Bekezdsalapbettpusa"/>
    <w:uiPriority w:val="99"/>
    <w:semiHidden/>
    <w:unhideWhenUsed/>
    <w:rsid w:val="00B56B18"/>
    <w:rPr>
      <w:vertAlign w:val="superscript"/>
    </w:rPr>
  </w:style>
  <w:style w:type="table" w:customStyle="1" w:styleId="tblzat-mtrix1">
    <w:name w:val="táblázat - mátrix1"/>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1">
    <w:name w:val="táblázat - fejléces1"/>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1">
    <w:name w:val="táblázat - oldalléces1"/>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1">
    <w:name w:val="Szegély nélküli1"/>
    <w:basedOn w:val="Normltblzat"/>
    <w:next w:val="Rcsostblzat"/>
    <w:uiPriority w:val="59"/>
    <w:rsid w:val="00B56B18"/>
    <w:pPr>
      <w:contextualSpacing/>
    </w:pPr>
    <w:tblPr/>
    <w:tcPr>
      <w:vAlign w:val="center"/>
    </w:tcPr>
  </w:style>
  <w:style w:type="numbering" w:customStyle="1" w:styleId="Style11">
    <w:name w:val="Style11"/>
    <w:uiPriority w:val="99"/>
    <w:rsid w:val="00B56B18"/>
  </w:style>
  <w:style w:type="table" w:customStyle="1" w:styleId="Calendar21">
    <w:name w:val="Calendar 21"/>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1">
    <w:name w:val="Light Shading - Accent 111"/>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1">
    <w:name w:val="Világos árnyékolás – 1. jelölőszín11"/>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1">
    <w:name w:val="Hierarchikus lista1"/>
    <w:uiPriority w:val="99"/>
    <w:rsid w:val="00B56B18"/>
  </w:style>
  <w:style w:type="table" w:customStyle="1" w:styleId="Rcsos1">
    <w:name w:val="Rácsos1"/>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numbering" w:customStyle="1" w:styleId="Nemlista2">
    <w:name w:val="Nem lista2"/>
    <w:next w:val="Nemlista"/>
    <w:uiPriority w:val="99"/>
    <w:semiHidden/>
    <w:unhideWhenUsed/>
    <w:rsid w:val="00B56B18"/>
  </w:style>
  <w:style w:type="table" w:customStyle="1" w:styleId="tblzat-mtrix2">
    <w:name w:val="táblázat - mátrix2"/>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2">
    <w:name w:val="táblázat - fejléces2"/>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2">
    <w:name w:val="táblázat - oldalléces2"/>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2">
    <w:name w:val="Szegély nélküli2"/>
    <w:basedOn w:val="Normltblzat"/>
    <w:next w:val="Rcsostblzat"/>
    <w:uiPriority w:val="59"/>
    <w:rsid w:val="00B56B18"/>
    <w:pPr>
      <w:contextualSpacing/>
    </w:pPr>
    <w:tblPr/>
    <w:tcPr>
      <w:vAlign w:val="center"/>
    </w:tcPr>
  </w:style>
  <w:style w:type="numbering" w:customStyle="1" w:styleId="Style12">
    <w:name w:val="Style12"/>
    <w:uiPriority w:val="99"/>
    <w:rsid w:val="00B56B18"/>
    <w:pPr>
      <w:numPr>
        <w:numId w:val="11"/>
      </w:numPr>
    </w:pPr>
  </w:style>
  <w:style w:type="table" w:customStyle="1" w:styleId="Calendar22">
    <w:name w:val="Calendar 22"/>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2">
    <w:name w:val="Light Shading - Accent 112"/>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2">
    <w:name w:val="Világos árnyékolás – 1. jelölőszín12"/>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2">
    <w:name w:val="Hierarchikus lista2"/>
    <w:uiPriority w:val="99"/>
    <w:rsid w:val="00B56B18"/>
    <w:pPr>
      <w:numPr>
        <w:numId w:val="12"/>
      </w:numPr>
    </w:pPr>
  </w:style>
  <w:style w:type="table" w:customStyle="1" w:styleId="Rcsos2">
    <w:name w:val="Rácsos2"/>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paragraph" w:customStyle="1" w:styleId="Erskiemels2">
    <w:name w:val="Erős kiemelés2"/>
    <w:basedOn w:val="Norml"/>
    <w:uiPriority w:val="5"/>
    <w:qFormat/>
    <w:rsid w:val="00B97561"/>
    <w:rPr>
      <w:b/>
      <w:i/>
    </w:rPr>
  </w:style>
  <w:style w:type="paragraph" w:customStyle="1" w:styleId="Erskiemels3">
    <w:name w:val="Erős kiemelés3"/>
    <w:basedOn w:val="Norml"/>
    <w:uiPriority w:val="5"/>
    <w:qFormat/>
    <w:rsid w:val="002B6C43"/>
    <w:rPr>
      <w:b/>
      <w:i/>
    </w:rPr>
  </w:style>
  <w:style w:type="paragraph" w:styleId="Vltozat">
    <w:name w:val="Revision"/>
    <w:hidden/>
    <w:uiPriority w:val="99"/>
    <w:semiHidden/>
    <w:rsid w:val="00FE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39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884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va.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E9736E7-AC37-4BF8-BB3C-1F509457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9B467C-5217-42FD-9CF3-A1293017C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5B7D50-1E7A-4BD4-8F03-D9BED8161A76}">
  <ds:schemaRefs>
    <ds:schemaRef ds:uri="http://schemas.microsoft.com/sharepoint/v3/contenttype/forms"/>
  </ds:schemaRefs>
</ds:datastoreItem>
</file>

<file path=customXml/itemProps4.xml><?xml version="1.0" encoding="utf-8"?>
<ds:datastoreItem xmlns:ds="http://schemas.openxmlformats.org/officeDocument/2006/customXml" ds:itemID="{C58B57BA-37BE-4D0A-9519-F801A0A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4109</Words>
  <Characters>22668</Characters>
  <Application>Microsoft Office Word</Application>
  <DocSecurity>0</DocSecurity>
  <Lines>188</Lines>
  <Paragraphs>53</Paragraphs>
  <ScaleCrop>false</ScaleCrop>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2023-06-03T17:43:00Z</dcterms:created>
  <dcterms:modified xsi:type="dcterms:W3CDTF">2023-06-20T07:29:00Z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2019-06-25T13:36:30.9409589+02:00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2025-12-15T19:31:54Z</vt:filetime>
  </property>
  <property fmtid="{D5CDD505-2E9C-101B-9397-08002B2CF9AE}" pid="12" name="Érvényességet beállító">
    <vt:lpwstr>bodnarm</vt:lpwstr>
  </property>
  <property fmtid="{D5CDD505-2E9C-101B-9397-08002B2CF9AE}" pid="13" name="Érvényességi idő első beállítása">
    <vt:filetime>2020-12-15T19:31:54Z</vt:filetime>
  </property>
  <property fmtid="{D5CDD505-2E9C-101B-9397-08002B2CF9AE}" pid="14" name="ContentTypeId">
    <vt:lpwstr>0x010100F283CA36AE705543AB484A6F8EEB55F3</vt:lpwstr>
  </property>
</Properties>
</file>