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16C7" w14:textId="77777777" w:rsidR="00D55203" w:rsidRDefault="008123E3" w:rsidP="00D55203">
      <w:pPr>
        <w:pStyle w:val="ListParagraph"/>
        <w:numPr>
          <w:ilvl w:val="0"/>
          <w:numId w:val="0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4. </w:t>
      </w:r>
      <w:r w:rsidR="007A58B9" w:rsidRPr="00110526">
        <w:rPr>
          <w:color w:val="000000"/>
          <w:sz w:val="24"/>
        </w:rPr>
        <w:t>melléklet: A</w:t>
      </w:r>
      <w:r>
        <w:rPr>
          <w:color w:val="000000"/>
          <w:sz w:val="24"/>
        </w:rPr>
        <w:t>z NHP Zöld Otthon Program</w:t>
      </w:r>
      <w:r w:rsidR="007A58B9" w:rsidRPr="00110526">
        <w:rPr>
          <w:color w:val="000000"/>
          <w:sz w:val="24"/>
        </w:rPr>
        <w:t xml:space="preserve"> részletes feltételeit tartalmazó termékismertető </w:t>
      </w:r>
    </w:p>
    <w:p w14:paraId="4C8207FD" w14:textId="5E330229" w:rsidR="00344D81" w:rsidRDefault="007A58B9" w:rsidP="00D55203">
      <w:pPr>
        <w:pStyle w:val="ListParagraph"/>
        <w:numPr>
          <w:ilvl w:val="0"/>
          <w:numId w:val="0"/>
        </w:numPr>
        <w:rPr>
          <w:color w:val="000000"/>
          <w:sz w:val="24"/>
        </w:rPr>
      </w:pPr>
      <w:r w:rsidRPr="00110526">
        <w:rPr>
          <w:color w:val="000000"/>
          <w:sz w:val="24"/>
        </w:rPr>
        <w:t>MNB minta</w:t>
      </w:r>
      <w:r w:rsidR="00596BA1">
        <w:rPr>
          <w:color w:val="000000"/>
          <w:sz w:val="24"/>
        </w:rPr>
        <w:t xml:space="preserve"> </w:t>
      </w:r>
    </w:p>
    <w:p w14:paraId="3CAC892C" w14:textId="33728C6D" w:rsidR="007A58B9" w:rsidRPr="00344D81" w:rsidRDefault="00596BA1" w:rsidP="00D55203">
      <w:pPr>
        <w:pStyle w:val="ListParagraph"/>
        <w:numPr>
          <w:ilvl w:val="0"/>
          <w:numId w:val="0"/>
        </w:numPr>
        <w:rPr>
          <w:i/>
          <w:iCs/>
          <w:color w:val="000000"/>
          <w:szCs w:val="18"/>
        </w:rPr>
      </w:pPr>
      <w:r w:rsidRPr="00344D81">
        <w:rPr>
          <w:i/>
          <w:iCs/>
          <w:color w:val="000000"/>
          <w:szCs w:val="18"/>
        </w:rPr>
        <w:t>&lt;A Hitelintézet által alkalmazott NHP ZOP Termékismertetőt a Hitelintézet a saját eljárásrendje, belső szabályzatai alapján alakíthatja ki, az NHP ZOP Terméktájékoztatóban foglalt előírások figyelembevételével.&gt;</w:t>
      </w:r>
    </w:p>
    <w:p w14:paraId="40ADC87B" w14:textId="72A41AE0" w:rsidR="00344D81" w:rsidRPr="00D55203" w:rsidRDefault="00344D81" w:rsidP="00344D81">
      <w:pPr>
        <w:jc w:val="center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NHP Zöld Otthon hitel </w:t>
      </w:r>
      <w:r w:rsidRPr="00D55203">
        <w:rPr>
          <w:rFonts w:cs="Arial"/>
          <w:b/>
          <w:bCs/>
          <w:caps/>
          <w:sz w:val="24"/>
          <w:szCs w:val="24"/>
        </w:rPr>
        <w:t>Termékismertető</w:t>
      </w:r>
    </w:p>
    <w:p w14:paraId="10D8603B" w14:textId="77777777" w:rsidR="007A58B9" w:rsidRPr="00D55203" w:rsidRDefault="007A58B9" w:rsidP="007A58B9">
      <w:pPr>
        <w:spacing w:after="0"/>
        <w:rPr>
          <w:rFonts w:cstheme="minorHAnsi"/>
          <w:b/>
          <w:sz w:val="24"/>
          <w:szCs w:val="24"/>
          <w:u w:val="single"/>
        </w:rPr>
      </w:pPr>
      <w:r w:rsidRPr="00D55203">
        <w:rPr>
          <w:rFonts w:cstheme="minorHAnsi"/>
          <w:b/>
          <w:sz w:val="24"/>
          <w:szCs w:val="24"/>
          <w:u w:val="single"/>
        </w:rPr>
        <w:t>1. A termék megnevezése</w:t>
      </w:r>
    </w:p>
    <w:p w14:paraId="1A426FC4" w14:textId="75DD0A9C" w:rsidR="005F1E42" w:rsidRDefault="007A58B9" w:rsidP="00B01678">
      <w:pPr>
        <w:spacing w:after="0"/>
        <w:rPr>
          <w:sz w:val="24"/>
        </w:rPr>
      </w:pPr>
      <w:r w:rsidRPr="00110526">
        <w:rPr>
          <w:sz w:val="24"/>
        </w:rPr>
        <w:t xml:space="preserve">A termék az MNB </w:t>
      </w:r>
      <w:r w:rsidR="006639F9" w:rsidRPr="00D55203">
        <w:rPr>
          <w:color w:val="000000"/>
          <w:sz w:val="24"/>
        </w:rPr>
        <w:t>NHP Zöld Otthon Program</w:t>
      </w:r>
      <w:r w:rsidR="006639F9">
        <w:rPr>
          <w:color w:val="000000"/>
          <w:sz w:val="24"/>
        </w:rPr>
        <w:t xml:space="preserve">jának (továbbiakban: NHP ZOP) </w:t>
      </w:r>
      <w:r w:rsidR="00821ADF">
        <w:rPr>
          <w:color w:val="000000"/>
          <w:sz w:val="24"/>
        </w:rPr>
        <w:t xml:space="preserve">keretében nyújtott </w:t>
      </w:r>
      <w:r w:rsidR="00363060">
        <w:rPr>
          <w:color w:val="000000"/>
          <w:sz w:val="24"/>
        </w:rPr>
        <w:t xml:space="preserve">lakáshitel (a továbbiakban: </w:t>
      </w:r>
      <w:r w:rsidR="001667BB">
        <w:rPr>
          <w:sz w:val="24"/>
        </w:rPr>
        <w:t>L</w:t>
      </w:r>
      <w:r w:rsidRPr="00110526">
        <w:rPr>
          <w:sz w:val="24"/>
        </w:rPr>
        <w:t>akáshitel</w:t>
      </w:r>
      <w:r w:rsidR="00363060">
        <w:rPr>
          <w:sz w:val="24"/>
        </w:rPr>
        <w:t>)</w:t>
      </w:r>
      <w:r w:rsidR="00821ADF">
        <w:rPr>
          <w:sz w:val="24"/>
        </w:rPr>
        <w:t>, amelyet</w:t>
      </w:r>
      <w:r w:rsidR="00540AA7">
        <w:rPr>
          <w:sz w:val="24"/>
        </w:rPr>
        <w:t xml:space="preserve"> a</w:t>
      </w:r>
      <w:r w:rsidR="00B7531F">
        <w:rPr>
          <w:sz w:val="24"/>
        </w:rPr>
        <w:t>z Adós</w:t>
      </w:r>
      <w:r w:rsidR="00540AA7">
        <w:rPr>
          <w:sz w:val="24"/>
        </w:rPr>
        <w:t xml:space="preserve"> (</w:t>
      </w:r>
      <w:r w:rsidR="00E9527D">
        <w:rPr>
          <w:sz w:val="24"/>
        </w:rPr>
        <w:t>ideértve az</w:t>
      </w:r>
      <w:r w:rsidR="00540AA7">
        <w:rPr>
          <w:sz w:val="24"/>
        </w:rPr>
        <w:t xml:space="preserve"> adóstárs</w:t>
      </w:r>
      <w:r w:rsidR="00E9527D">
        <w:rPr>
          <w:sz w:val="24"/>
        </w:rPr>
        <w:t>at is</w:t>
      </w:r>
      <w:r w:rsidR="00540AA7">
        <w:rPr>
          <w:sz w:val="24"/>
        </w:rPr>
        <w:t xml:space="preserve">) </w:t>
      </w:r>
      <w:r w:rsidR="00F645AA">
        <w:rPr>
          <w:sz w:val="24"/>
        </w:rPr>
        <w:t xml:space="preserve">az NHP ZOP-ban részt vevő Hitelintézettel </w:t>
      </w:r>
      <w:r w:rsidR="00A17488">
        <w:rPr>
          <w:sz w:val="24"/>
        </w:rPr>
        <w:t>meg</w:t>
      </w:r>
      <w:r w:rsidR="00821ADF">
        <w:rPr>
          <w:sz w:val="24"/>
        </w:rPr>
        <w:t>köt</w:t>
      </w:r>
      <w:r w:rsidR="00A17488">
        <w:rPr>
          <w:sz w:val="24"/>
        </w:rPr>
        <w:t>ött Lakáshitel Szerződés alapján vesz igénybe</w:t>
      </w:r>
      <w:r w:rsidRPr="00110526">
        <w:rPr>
          <w:sz w:val="24"/>
        </w:rPr>
        <w:t>.</w:t>
      </w:r>
      <w:r w:rsidR="00BB7159">
        <w:rPr>
          <w:sz w:val="24"/>
        </w:rPr>
        <w:t xml:space="preserve"> </w:t>
      </w:r>
    </w:p>
    <w:p w14:paraId="3EDD4BD3" w14:textId="574F057C" w:rsidR="007A58B9" w:rsidRPr="00B01678" w:rsidRDefault="00BB7159" w:rsidP="00B01678">
      <w:pPr>
        <w:spacing w:after="0"/>
        <w:rPr>
          <w:sz w:val="24"/>
        </w:rPr>
      </w:pPr>
      <w:r w:rsidRPr="00B01678">
        <w:rPr>
          <w:sz w:val="24"/>
        </w:rPr>
        <w:t>Az Adós az NHP ZOP keretében nyújtott Lakáshitelhez állami családi otthonteremtési kamattámogatást (a továbbiakban: OTK-támogatás) a vonatkozó jogszabályban, valamint a</w:t>
      </w:r>
      <w:r w:rsidR="005F1E42" w:rsidRPr="00B01678">
        <w:rPr>
          <w:sz w:val="24"/>
        </w:rPr>
        <w:t>z NHP ZOP</w:t>
      </w:r>
      <w:r w:rsidRPr="00B01678">
        <w:rPr>
          <w:sz w:val="24"/>
        </w:rPr>
        <w:t xml:space="preserve"> termé</w:t>
      </w:r>
      <w:r w:rsidR="00CC5F3C">
        <w:rPr>
          <w:sz w:val="24"/>
        </w:rPr>
        <w:t>k</w:t>
      </w:r>
      <w:r w:rsidRPr="00B01678">
        <w:rPr>
          <w:sz w:val="24"/>
        </w:rPr>
        <w:t xml:space="preserve"> feltételek együttes teljesülése esetén vehet igénybe</w:t>
      </w:r>
      <w:r w:rsidR="005F1E42" w:rsidRPr="00B01678">
        <w:rPr>
          <w:sz w:val="24"/>
        </w:rPr>
        <w:t>.</w:t>
      </w:r>
    </w:p>
    <w:p w14:paraId="43DD17AA" w14:textId="12D39207" w:rsidR="00821ADF" w:rsidRDefault="00A17488" w:rsidP="00B01678">
      <w:pPr>
        <w:spacing w:after="0"/>
        <w:rPr>
          <w:color w:val="000000"/>
          <w:sz w:val="24"/>
        </w:rPr>
      </w:pPr>
      <w:r>
        <w:rPr>
          <w:rFonts w:cs="Arial"/>
          <w:sz w:val="24"/>
          <w:szCs w:val="24"/>
        </w:rPr>
        <w:t>Az</w:t>
      </w:r>
      <w:r w:rsidRPr="00110526">
        <w:rPr>
          <w:sz w:val="24"/>
        </w:rPr>
        <w:t xml:space="preserve"> MNB </w:t>
      </w:r>
      <w:r w:rsidRPr="004E56A9">
        <w:rPr>
          <w:color w:val="000000" w:themeColor="text1"/>
          <w:sz w:val="24"/>
        </w:rPr>
        <w:t>NHP Zöld Otthon Programjának Terméktájékoztatója az alábbi linken érhető el:</w:t>
      </w:r>
    </w:p>
    <w:p w14:paraId="7CA0D776" w14:textId="56438BA2" w:rsidR="00A17488" w:rsidRPr="00344D81" w:rsidRDefault="00A17488" w:rsidP="00B01678">
      <w:pPr>
        <w:spacing w:after="0"/>
        <w:rPr>
          <w:rFonts w:cs="Arial"/>
          <w:i/>
          <w:iCs/>
        </w:rPr>
      </w:pPr>
      <w:r w:rsidRPr="00344D81">
        <w:rPr>
          <w:i/>
          <w:iCs/>
          <w:szCs w:val="18"/>
        </w:rPr>
        <w:t>&lt;link&gt;</w:t>
      </w:r>
    </w:p>
    <w:p w14:paraId="50A7FFDC" w14:textId="77777777" w:rsidR="00A17488" w:rsidRDefault="00A17488" w:rsidP="007A58B9">
      <w:pPr>
        <w:spacing w:after="0"/>
        <w:rPr>
          <w:rFonts w:cs="Arial"/>
          <w:b/>
          <w:sz w:val="24"/>
          <w:szCs w:val="24"/>
          <w:u w:val="single"/>
        </w:rPr>
      </w:pPr>
    </w:p>
    <w:p w14:paraId="4AB2A92E" w14:textId="1AABECCC" w:rsidR="007A58B9" w:rsidRPr="00110526" w:rsidRDefault="007A58B9" w:rsidP="007A58B9">
      <w:pPr>
        <w:spacing w:after="0"/>
        <w:rPr>
          <w:rFonts w:cs="Arial"/>
          <w:b/>
          <w:sz w:val="24"/>
          <w:szCs w:val="24"/>
          <w:u w:val="single"/>
        </w:rPr>
      </w:pPr>
      <w:r w:rsidRPr="00110526">
        <w:rPr>
          <w:rFonts w:cs="Arial"/>
          <w:b/>
          <w:sz w:val="24"/>
          <w:szCs w:val="24"/>
          <w:u w:val="single"/>
        </w:rPr>
        <w:t>2. A kölcsön célja</w:t>
      </w:r>
    </w:p>
    <w:p w14:paraId="43112726" w14:textId="5F3C01C5" w:rsidR="007A58B9" w:rsidRPr="00110526" w:rsidRDefault="007A58B9" w:rsidP="007A58B9">
      <w:pPr>
        <w:spacing w:after="0"/>
        <w:rPr>
          <w:rFonts w:cs="Arial"/>
          <w:sz w:val="24"/>
          <w:szCs w:val="24"/>
        </w:rPr>
      </w:pPr>
      <w:r w:rsidRPr="00110526">
        <w:rPr>
          <w:rFonts w:cs="Arial"/>
          <w:sz w:val="24"/>
          <w:szCs w:val="24"/>
        </w:rPr>
        <w:t xml:space="preserve">Magyarország területén lévő </w:t>
      </w:r>
    </w:p>
    <w:p w14:paraId="2659E095" w14:textId="45B02C65" w:rsidR="002A7F27" w:rsidRPr="00D55203" w:rsidRDefault="002A7F27" w:rsidP="00E9527D">
      <w:pPr>
        <w:pStyle w:val="ListParagraph"/>
        <w:numPr>
          <w:ilvl w:val="0"/>
          <w:numId w:val="20"/>
        </w:numPr>
        <w:spacing w:after="0"/>
        <w:ind w:left="426" w:hanging="284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új lakás vásárlás</w:t>
      </w:r>
      <w:r w:rsidRPr="00D55203">
        <w:rPr>
          <w:rFonts w:cs="Arial"/>
          <w:sz w:val="24"/>
          <w:szCs w:val="24"/>
        </w:rPr>
        <w:t xml:space="preserve">a, </w:t>
      </w:r>
    </w:p>
    <w:p w14:paraId="10E14E3E" w14:textId="6F4ED160" w:rsidR="002A7F27" w:rsidRPr="00D55203" w:rsidRDefault="002A7F27" w:rsidP="00D55203">
      <w:pPr>
        <w:pStyle w:val="ListParagraph"/>
        <w:numPr>
          <w:ilvl w:val="0"/>
          <w:numId w:val="20"/>
        </w:numPr>
        <w:spacing w:after="0"/>
        <w:ind w:left="426" w:hanging="284"/>
        <w:contextualSpacing w:val="0"/>
        <w:rPr>
          <w:rFonts w:cs="Arial"/>
          <w:sz w:val="24"/>
          <w:szCs w:val="24"/>
        </w:rPr>
      </w:pPr>
      <w:r w:rsidRPr="002A7F27">
        <w:rPr>
          <w:rFonts w:cs="Arial"/>
          <w:sz w:val="24"/>
          <w:szCs w:val="24"/>
        </w:rPr>
        <w:t xml:space="preserve">új lakás építése, ahol </w:t>
      </w:r>
      <w:r>
        <w:rPr>
          <w:rFonts w:cs="Arial"/>
          <w:sz w:val="24"/>
          <w:szCs w:val="24"/>
        </w:rPr>
        <w:t>ú</w:t>
      </w:r>
      <w:r w:rsidRPr="00D55203">
        <w:rPr>
          <w:rFonts w:cs="Arial"/>
          <w:sz w:val="24"/>
          <w:szCs w:val="24"/>
        </w:rPr>
        <w:t>j lakás építésére nyújtott hitelnek minősül</w:t>
      </w:r>
      <w:r w:rsidR="00571B83">
        <w:rPr>
          <w:rFonts w:cs="Arial"/>
          <w:sz w:val="24"/>
          <w:szCs w:val="24"/>
        </w:rPr>
        <w:t>:</w:t>
      </w:r>
      <w:r w:rsidRPr="00D55203">
        <w:rPr>
          <w:rFonts w:cs="Arial"/>
          <w:sz w:val="24"/>
          <w:szCs w:val="24"/>
        </w:rPr>
        <w:t xml:space="preserve"> </w:t>
      </w:r>
    </w:p>
    <w:p w14:paraId="2E834E15" w14:textId="08C9131E" w:rsidR="002A7F27" w:rsidRPr="00D55203" w:rsidRDefault="002A7F27" w:rsidP="00D55203">
      <w:pPr>
        <w:pStyle w:val="ListParagraph"/>
        <w:numPr>
          <w:ilvl w:val="0"/>
          <w:numId w:val="26"/>
        </w:numPr>
        <w:ind w:left="709" w:hanging="283"/>
        <w:rPr>
          <w:sz w:val="24"/>
          <w:szCs w:val="24"/>
        </w:rPr>
      </w:pPr>
      <w:r w:rsidRPr="00D55203">
        <w:rPr>
          <w:sz w:val="24"/>
          <w:szCs w:val="24"/>
        </w:rPr>
        <w:t>az építési telek vásárlására és azon új lakás megépítésre nyújtott ugyanazon hitel azzal</w:t>
      </w:r>
      <w:r w:rsidR="00E9527D">
        <w:rPr>
          <w:sz w:val="24"/>
          <w:szCs w:val="24"/>
        </w:rPr>
        <w:t>,</w:t>
      </w:r>
      <w:r w:rsidRPr="00D55203">
        <w:rPr>
          <w:sz w:val="24"/>
          <w:szCs w:val="24"/>
        </w:rPr>
        <w:t xml:space="preserve"> hogy az építési telek Lakáshitelből finanszírozott vételár(része) nem haladhatja meg a hitelösszeg 50 százalékát, </w:t>
      </w:r>
    </w:p>
    <w:p w14:paraId="7E573FE3" w14:textId="14A94F65" w:rsidR="002A7F27" w:rsidRDefault="002A7F27" w:rsidP="002A7F27">
      <w:pPr>
        <w:pStyle w:val="ListParagraph"/>
        <w:numPr>
          <w:ilvl w:val="0"/>
          <w:numId w:val="26"/>
        </w:numPr>
        <w:ind w:left="709" w:hanging="283"/>
        <w:rPr>
          <w:sz w:val="24"/>
          <w:szCs w:val="24"/>
        </w:rPr>
      </w:pPr>
      <w:r w:rsidRPr="00D55203">
        <w:rPr>
          <w:sz w:val="24"/>
          <w:szCs w:val="24"/>
        </w:rPr>
        <w:t>az új lakás meglévő építési telken történő építésére nyújtott hitel, valamint</w:t>
      </w:r>
    </w:p>
    <w:p w14:paraId="0D871895" w14:textId="314B593A" w:rsidR="007A58B9" w:rsidRDefault="000D7C96">
      <w:pPr>
        <w:pStyle w:val="ListParagraph"/>
        <w:numPr>
          <w:ilvl w:val="0"/>
          <w:numId w:val="26"/>
        </w:numPr>
        <w:spacing w:after="0"/>
        <w:ind w:left="709" w:hanging="284"/>
        <w:rPr>
          <w:sz w:val="24"/>
          <w:szCs w:val="24"/>
        </w:rPr>
      </w:pPr>
      <w:r w:rsidRPr="00D55203">
        <w:rPr>
          <w:sz w:val="24"/>
          <w:szCs w:val="24"/>
        </w:rPr>
        <w:t>a használatba vételi engedéllyel még nem rendelkező (félkész) lakóingatlan tulajdonjogának megszerzésére, valamint megépítés</w:t>
      </w:r>
      <w:r w:rsidR="00E511AC">
        <w:rPr>
          <w:sz w:val="24"/>
          <w:szCs w:val="24"/>
        </w:rPr>
        <w:t>é</w:t>
      </w:r>
      <w:r w:rsidRPr="00D55203">
        <w:rPr>
          <w:sz w:val="24"/>
          <w:szCs w:val="24"/>
        </w:rPr>
        <w:t>re (befejezésére) nyújtott ugyanazon hitel.</w:t>
      </w:r>
      <w:r w:rsidR="007A58B9" w:rsidRPr="00557EFB">
        <w:rPr>
          <w:sz w:val="24"/>
          <w:szCs w:val="24"/>
        </w:rPr>
        <w:t xml:space="preserve"> </w:t>
      </w:r>
    </w:p>
    <w:p w14:paraId="01F29D78" w14:textId="54333268" w:rsidR="00E9527D" w:rsidRDefault="00B25E96" w:rsidP="00307535">
      <w:pPr>
        <w:pStyle w:val="ListParagraph"/>
        <w:numPr>
          <w:ilvl w:val="0"/>
          <w:numId w:val="20"/>
        </w:numPr>
        <w:spacing w:after="0"/>
        <w:ind w:left="426" w:hanging="284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az új lakáshoz</w:t>
      </w:r>
      <w:r w:rsidR="00E9527D" w:rsidRPr="00110526">
        <w:rPr>
          <w:rFonts w:cs="Arial"/>
          <w:sz w:val="24"/>
          <w:szCs w:val="24"/>
        </w:rPr>
        <w:t xml:space="preserve"> kapcsolódó gépkocsitároló, tároló </w:t>
      </w:r>
      <w:r w:rsidRPr="00D55203">
        <w:rPr>
          <w:rFonts w:cs="Arial"/>
          <w:sz w:val="24"/>
          <w:szCs w:val="24"/>
        </w:rPr>
        <w:t>(a hitel tárgyát képező új lakással egyidejű)</w:t>
      </w:r>
      <w:r w:rsidR="00E9527D" w:rsidRPr="00D55203">
        <w:rPr>
          <w:rFonts w:cs="Arial"/>
          <w:sz w:val="24"/>
          <w:szCs w:val="24"/>
        </w:rPr>
        <w:t xml:space="preserve"> </w:t>
      </w:r>
      <w:r w:rsidR="00E9527D" w:rsidRPr="00110526">
        <w:rPr>
          <w:rFonts w:cs="Arial"/>
          <w:sz w:val="24"/>
          <w:szCs w:val="24"/>
        </w:rPr>
        <w:t>építése/vásárlása.</w:t>
      </w:r>
    </w:p>
    <w:p w14:paraId="4B21B199" w14:textId="1E00F90F" w:rsidR="00821ADF" w:rsidRPr="004B297D" w:rsidRDefault="00AD7615" w:rsidP="004B297D">
      <w:pPr>
        <w:spacing w:after="0"/>
        <w:ind w:left="142"/>
        <w:rPr>
          <w:rFonts w:cs="Arial"/>
          <w:sz w:val="24"/>
          <w:szCs w:val="24"/>
        </w:rPr>
      </w:pPr>
      <w:r w:rsidRPr="004B297D">
        <w:rPr>
          <w:rFonts w:cs="Arial"/>
          <w:sz w:val="24"/>
          <w:szCs w:val="24"/>
        </w:rPr>
        <w:t>Az új lakás</w:t>
      </w:r>
      <w:r>
        <w:rPr>
          <w:rFonts w:cs="Arial"/>
          <w:sz w:val="24"/>
          <w:szCs w:val="24"/>
        </w:rPr>
        <w:t>sal szembeni elvárás, hogy annak energiahatékonynak kell lennie. Az új lakás</w:t>
      </w:r>
      <w:r w:rsidRPr="004B297D">
        <w:rPr>
          <w:rFonts w:cs="Arial"/>
          <w:sz w:val="24"/>
          <w:szCs w:val="24"/>
        </w:rPr>
        <w:t xml:space="preserve"> akkor minősül energiahatékonynak, amennyiben az épületek energetikai jellemzőinek meghatározásáról szóló 7/2006. (V. 24.) TNM rendelet szerint meghatározott összesített energetikai jellemző számított értéke (primer energiaigény) az Új lakás</w:t>
      </w:r>
      <w:r w:rsidR="006017F0">
        <w:rPr>
          <w:rFonts w:cs="Arial"/>
          <w:sz w:val="24"/>
          <w:szCs w:val="24"/>
        </w:rPr>
        <w:t>ra</w:t>
      </w:r>
      <w:r w:rsidRPr="004B297D">
        <w:rPr>
          <w:rFonts w:cs="Arial"/>
          <w:sz w:val="24"/>
          <w:szCs w:val="24"/>
        </w:rPr>
        <w:t xml:space="preserve"> vonatkoztatva legfeljebb 90 kWh/m²/év, továbbá az épületek energetikai jellemzőinek tanúsításáról szóló 176/2008. (VI. 30.) Korm. rend.</w:t>
      </w:r>
      <w:r w:rsidRPr="004B297D" w:rsidDel="003947DA">
        <w:rPr>
          <w:rFonts w:cs="Arial"/>
          <w:sz w:val="24"/>
          <w:szCs w:val="24"/>
        </w:rPr>
        <w:t xml:space="preserve"> </w:t>
      </w:r>
      <w:r w:rsidRPr="004B297D">
        <w:rPr>
          <w:rFonts w:cs="Arial"/>
          <w:sz w:val="24"/>
          <w:szCs w:val="24"/>
        </w:rPr>
        <w:t>szerinti BB (azaz közel nulla energiaigényre vonatkozó követelménynek megfelelő) vagy annál jobb energetikai minőségi besorolással rendelkezik.</w:t>
      </w:r>
    </w:p>
    <w:p w14:paraId="7F32AF9F" w14:textId="77777777" w:rsidR="00AD7615" w:rsidRPr="00307535" w:rsidRDefault="00AD7615" w:rsidP="00821ADF">
      <w:pPr>
        <w:pStyle w:val="ListParagraph"/>
        <w:numPr>
          <w:ilvl w:val="0"/>
          <w:numId w:val="0"/>
        </w:numPr>
        <w:spacing w:after="0"/>
        <w:ind w:left="426"/>
        <w:contextualSpacing w:val="0"/>
        <w:rPr>
          <w:rFonts w:cs="Arial"/>
          <w:sz w:val="24"/>
          <w:szCs w:val="24"/>
        </w:rPr>
      </w:pPr>
    </w:p>
    <w:p w14:paraId="12C6C707" w14:textId="77777777" w:rsidR="007A58B9" w:rsidRPr="00110526" w:rsidRDefault="007A58B9" w:rsidP="007A58B9">
      <w:pPr>
        <w:spacing w:after="0"/>
        <w:rPr>
          <w:rFonts w:cs="Arial"/>
          <w:b/>
          <w:sz w:val="24"/>
          <w:szCs w:val="24"/>
          <w:u w:val="single"/>
        </w:rPr>
      </w:pPr>
      <w:r w:rsidRPr="00110526">
        <w:rPr>
          <w:rFonts w:cs="Arial"/>
          <w:b/>
          <w:sz w:val="24"/>
          <w:szCs w:val="24"/>
          <w:u w:val="single"/>
        </w:rPr>
        <w:t>3. A kölcsön jellemzői</w:t>
      </w:r>
    </w:p>
    <w:p w14:paraId="6ECE022D" w14:textId="04B6A925" w:rsidR="007A58B9" w:rsidRPr="00110526" w:rsidRDefault="007A58B9" w:rsidP="007A58B9">
      <w:pPr>
        <w:pStyle w:val="ListParagraph"/>
        <w:numPr>
          <w:ilvl w:val="0"/>
          <w:numId w:val="20"/>
        </w:numPr>
        <w:spacing w:after="0"/>
        <w:ind w:left="426" w:hanging="284"/>
        <w:rPr>
          <w:rFonts w:cs="Arial"/>
          <w:sz w:val="24"/>
          <w:szCs w:val="24"/>
        </w:rPr>
      </w:pPr>
      <w:r w:rsidRPr="00110526">
        <w:rPr>
          <w:rFonts w:cs="Arial"/>
          <w:b/>
          <w:sz w:val="24"/>
          <w:szCs w:val="24"/>
        </w:rPr>
        <w:t>Összege</w:t>
      </w:r>
      <w:r w:rsidRPr="00110526">
        <w:rPr>
          <w:rFonts w:cs="Arial"/>
          <w:sz w:val="24"/>
          <w:szCs w:val="24"/>
        </w:rPr>
        <w:t xml:space="preserve">: </w:t>
      </w:r>
      <w:r w:rsidR="00E511AC">
        <w:rPr>
          <w:rFonts w:cs="Arial"/>
          <w:sz w:val="24"/>
          <w:szCs w:val="24"/>
        </w:rPr>
        <w:t>m</w:t>
      </w:r>
      <w:r w:rsidRPr="00110526">
        <w:rPr>
          <w:rFonts w:cs="Arial"/>
          <w:sz w:val="24"/>
          <w:szCs w:val="24"/>
        </w:rPr>
        <w:t xml:space="preserve">aximum </w:t>
      </w:r>
      <w:r w:rsidR="000D7C96">
        <w:rPr>
          <w:rFonts w:cs="Arial"/>
          <w:sz w:val="24"/>
          <w:szCs w:val="24"/>
        </w:rPr>
        <w:t>70 millió</w:t>
      </w:r>
      <w:r w:rsidRPr="00110526">
        <w:rPr>
          <w:rFonts w:cs="Arial"/>
          <w:sz w:val="24"/>
          <w:szCs w:val="24"/>
        </w:rPr>
        <w:t xml:space="preserve"> </w:t>
      </w:r>
      <w:r w:rsidR="00601B56">
        <w:rPr>
          <w:rFonts w:cs="Arial"/>
          <w:sz w:val="24"/>
          <w:szCs w:val="24"/>
        </w:rPr>
        <w:t>forint</w:t>
      </w:r>
      <w:r w:rsidR="00B01678">
        <w:rPr>
          <w:rFonts w:cs="Arial"/>
          <w:sz w:val="24"/>
          <w:szCs w:val="24"/>
        </w:rPr>
        <w:t xml:space="preserve">, </w:t>
      </w:r>
      <w:r w:rsidR="00B01678" w:rsidRPr="00B01678">
        <w:rPr>
          <w:rFonts w:cs="Arial"/>
          <w:sz w:val="24"/>
          <w:szCs w:val="24"/>
        </w:rPr>
        <w:t>ideértve azt az esetet is amennyiben a Lakáshitelhez az Adós OTK-támogatást is igénybe vesz</w:t>
      </w:r>
      <w:r w:rsidRPr="00110526">
        <w:rPr>
          <w:rFonts w:cs="Arial"/>
          <w:sz w:val="24"/>
          <w:szCs w:val="24"/>
        </w:rPr>
        <w:t xml:space="preserve"> </w:t>
      </w:r>
      <w:r w:rsidR="00601B56">
        <w:rPr>
          <w:rFonts w:cs="Arial"/>
          <w:sz w:val="24"/>
          <w:szCs w:val="24"/>
        </w:rPr>
        <w:t>(</w:t>
      </w:r>
      <w:r w:rsidRPr="00110526">
        <w:rPr>
          <w:rFonts w:cs="Arial"/>
          <w:sz w:val="24"/>
          <w:szCs w:val="24"/>
        </w:rPr>
        <w:t xml:space="preserve">A nyújtható </w:t>
      </w:r>
      <w:r w:rsidR="00A17488">
        <w:rPr>
          <w:rFonts w:cs="Arial"/>
          <w:sz w:val="24"/>
          <w:szCs w:val="24"/>
        </w:rPr>
        <w:t>Lakáshitel</w:t>
      </w:r>
      <w:r w:rsidR="00A17488" w:rsidRPr="00110526">
        <w:rPr>
          <w:rFonts w:cs="Arial"/>
          <w:sz w:val="24"/>
          <w:szCs w:val="24"/>
        </w:rPr>
        <w:t xml:space="preserve"> </w:t>
      </w:r>
      <w:r w:rsidRPr="00110526">
        <w:rPr>
          <w:rFonts w:cs="Arial"/>
          <w:sz w:val="24"/>
          <w:szCs w:val="24"/>
        </w:rPr>
        <w:t>összegének megállapításakor a</w:t>
      </w:r>
      <w:r w:rsidR="00A17488">
        <w:rPr>
          <w:rFonts w:cs="Arial"/>
          <w:sz w:val="24"/>
          <w:szCs w:val="24"/>
        </w:rPr>
        <w:t xml:space="preserve"> </w:t>
      </w:r>
      <w:r w:rsidR="005A5E58">
        <w:rPr>
          <w:rFonts w:cs="Arial"/>
          <w:sz w:val="24"/>
          <w:szCs w:val="24"/>
        </w:rPr>
        <w:t>H</w:t>
      </w:r>
      <w:r w:rsidRPr="00110526">
        <w:rPr>
          <w:rFonts w:cs="Arial"/>
          <w:sz w:val="24"/>
          <w:szCs w:val="24"/>
        </w:rPr>
        <w:t>itelintézet figyelembe veszi a jövedelemarányos törlesztőrészlet és a hitelfedezeti arányok szabályozásáról szóló 32/2014. (IX.10.) MNB rendelet előírásait is.</w:t>
      </w:r>
      <w:r w:rsidR="00601B56">
        <w:rPr>
          <w:rFonts w:cs="Arial"/>
          <w:sz w:val="24"/>
          <w:szCs w:val="24"/>
        </w:rPr>
        <w:t>)</w:t>
      </w:r>
      <w:r w:rsidRPr="00110526">
        <w:rPr>
          <w:rFonts w:cs="Arial"/>
          <w:sz w:val="24"/>
          <w:szCs w:val="24"/>
        </w:rPr>
        <w:t xml:space="preserve"> </w:t>
      </w:r>
    </w:p>
    <w:p w14:paraId="70365FBF" w14:textId="4ED56509" w:rsidR="007A58B9" w:rsidRPr="00110526" w:rsidRDefault="007A58B9" w:rsidP="007A58B9">
      <w:pPr>
        <w:pStyle w:val="ListParagraph"/>
        <w:numPr>
          <w:ilvl w:val="0"/>
          <w:numId w:val="20"/>
        </w:numPr>
        <w:spacing w:after="0"/>
        <w:ind w:left="426" w:hanging="284"/>
        <w:rPr>
          <w:rFonts w:cs="Arial"/>
          <w:sz w:val="24"/>
          <w:szCs w:val="24"/>
        </w:rPr>
      </w:pPr>
      <w:r w:rsidRPr="00110526">
        <w:rPr>
          <w:rFonts w:cs="Arial"/>
          <w:b/>
          <w:sz w:val="24"/>
          <w:szCs w:val="24"/>
        </w:rPr>
        <w:lastRenderedPageBreak/>
        <w:t>A kölcsön futamideje</w:t>
      </w:r>
      <w:r w:rsidRPr="00110526">
        <w:rPr>
          <w:rFonts w:cs="Arial"/>
          <w:sz w:val="24"/>
          <w:szCs w:val="24"/>
        </w:rPr>
        <w:t xml:space="preserve">: maximum </w:t>
      </w:r>
      <w:r w:rsidR="000D7C96">
        <w:rPr>
          <w:rFonts w:cs="Arial"/>
          <w:sz w:val="24"/>
          <w:szCs w:val="24"/>
        </w:rPr>
        <w:t>25</w:t>
      </w:r>
      <w:r w:rsidRPr="00110526">
        <w:rPr>
          <w:rFonts w:cs="Arial"/>
          <w:sz w:val="24"/>
          <w:szCs w:val="24"/>
        </w:rPr>
        <w:t xml:space="preserve"> év</w:t>
      </w:r>
    </w:p>
    <w:p w14:paraId="710415B3" w14:textId="6B91F87D" w:rsidR="007A58B9" w:rsidRPr="00110526" w:rsidRDefault="007A58B9" w:rsidP="007A58B9">
      <w:pPr>
        <w:pStyle w:val="ListParagraph"/>
        <w:numPr>
          <w:ilvl w:val="0"/>
          <w:numId w:val="20"/>
        </w:numPr>
        <w:spacing w:after="0"/>
        <w:ind w:left="426" w:hanging="284"/>
        <w:rPr>
          <w:rFonts w:cs="Arial"/>
          <w:sz w:val="24"/>
          <w:szCs w:val="24"/>
        </w:rPr>
      </w:pPr>
      <w:r w:rsidRPr="00110526">
        <w:rPr>
          <w:rFonts w:cs="Arial"/>
          <w:b/>
          <w:sz w:val="24"/>
          <w:szCs w:val="24"/>
        </w:rPr>
        <w:t>A kölcsön devizaneme</w:t>
      </w:r>
      <w:r w:rsidRPr="00110526">
        <w:rPr>
          <w:rFonts w:cs="Arial"/>
          <w:sz w:val="24"/>
          <w:szCs w:val="24"/>
        </w:rPr>
        <w:t>: forint</w:t>
      </w:r>
    </w:p>
    <w:p w14:paraId="484E4EBA" w14:textId="31713CED" w:rsidR="00930C2C" w:rsidRPr="00930C2C" w:rsidRDefault="007A58B9">
      <w:pPr>
        <w:pStyle w:val="ListParagraph"/>
        <w:numPr>
          <w:ilvl w:val="0"/>
          <w:numId w:val="20"/>
        </w:numPr>
        <w:spacing w:after="0"/>
        <w:ind w:left="426" w:hanging="284"/>
        <w:rPr>
          <w:rFonts w:cs="Arial"/>
          <w:b/>
          <w:sz w:val="24"/>
          <w:szCs w:val="24"/>
        </w:rPr>
      </w:pPr>
      <w:r w:rsidRPr="00156613">
        <w:rPr>
          <w:rFonts w:cs="Arial"/>
          <w:b/>
          <w:sz w:val="24"/>
          <w:szCs w:val="24"/>
        </w:rPr>
        <w:t>Rendelkezésre tartási idő</w:t>
      </w:r>
      <w:r w:rsidRPr="00156613">
        <w:rPr>
          <w:rFonts w:cs="Arial"/>
          <w:sz w:val="24"/>
          <w:szCs w:val="24"/>
        </w:rPr>
        <w:t xml:space="preserve">: maximum </w:t>
      </w:r>
      <w:r w:rsidR="000D7C96" w:rsidRPr="00156613">
        <w:rPr>
          <w:rFonts w:cs="Arial"/>
          <w:sz w:val="24"/>
          <w:szCs w:val="24"/>
        </w:rPr>
        <w:t>4</w:t>
      </w:r>
      <w:r w:rsidRPr="00156613">
        <w:rPr>
          <w:rFonts w:cs="Arial"/>
          <w:sz w:val="24"/>
          <w:szCs w:val="24"/>
        </w:rPr>
        <w:t xml:space="preserve"> év</w:t>
      </w:r>
    </w:p>
    <w:p w14:paraId="56177015" w14:textId="4D030225" w:rsidR="00930C2C" w:rsidRDefault="00540AA7" w:rsidP="00930C2C">
      <w:pPr>
        <w:pStyle w:val="ListParagraph"/>
        <w:numPr>
          <w:ilvl w:val="0"/>
          <w:numId w:val="0"/>
        </w:numPr>
        <w:spacing w:after="0"/>
        <w:ind w:left="426"/>
        <w:rPr>
          <w:rFonts w:cs="Arial"/>
          <w:sz w:val="24"/>
          <w:szCs w:val="24"/>
        </w:rPr>
      </w:pPr>
      <w:r w:rsidRPr="00D55203">
        <w:rPr>
          <w:rFonts w:cs="Arial"/>
          <w:sz w:val="24"/>
          <w:szCs w:val="24"/>
        </w:rPr>
        <w:t>A</w:t>
      </w:r>
      <w:r w:rsidR="00A17488">
        <w:rPr>
          <w:rFonts w:cs="Arial"/>
          <w:sz w:val="24"/>
          <w:szCs w:val="24"/>
        </w:rPr>
        <w:t xml:space="preserve"> </w:t>
      </w:r>
      <w:r w:rsidRPr="00D55203">
        <w:rPr>
          <w:rFonts w:cs="Arial"/>
          <w:sz w:val="24"/>
          <w:szCs w:val="24"/>
        </w:rPr>
        <w:t>rendelkezésre tartás megszűnik az adott Lakáshitel Szerződés vonatkozásában</w:t>
      </w:r>
      <w:r w:rsidR="00930C2C">
        <w:rPr>
          <w:rFonts w:cs="Arial"/>
          <w:sz w:val="24"/>
          <w:szCs w:val="24"/>
        </w:rPr>
        <w:t>,</w:t>
      </w:r>
      <w:r w:rsidRPr="00D55203">
        <w:rPr>
          <w:rFonts w:cs="Arial"/>
          <w:sz w:val="24"/>
          <w:szCs w:val="24"/>
        </w:rPr>
        <w:t xml:space="preserve"> amennyiben</w:t>
      </w:r>
      <w:r w:rsidR="00596BA1">
        <w:rPr>
          <w:rFonts w:cs="Arial"/>
          <w:sz w:val="24"/>
          <w:szCs w:val="24"/>
        </w:rPr>
        <w:t>:</w:t>
      </w:r>
      <w:r w:rsidRPr="00D55203">
        <w:rPr>
          <w:rFonts w:cs="Arial"/>
          <w:sz w:val="24"/>
          <w:szCs w:val="24"/>
        </w:rPr>
        <w:t xml:space="preserve"> </w:t>
      </w:r>
    </w:p>
    <w:p w14:paraId="1E4E0362" w14:textId="0D924A14" w:rsidR="00930C2C" w:rsidRDefault="00930C2C" w:rsidP="00930C2C">
      <w:pPr>
        <w:pStyle w:val="ListParagraph"/>
        <w:numPr>
          <w:ilvl w:val="0"/>
          <w:numId w:val="0"/>
        </w:numPr>
        <w:spacing w:after="0"/>
        <w:ind w:left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(i) </w:t>
      </w:r>
      <w:r w:rsidR="00540AA7" w:rsidRPr="00D55203">
        <w:rPr>
          <w:rFonts w:cs="Arial"/>
          <w:sz w:val="24"/>
          <w:szCs w:val="24"/>
        </w:rPr>
        <w:t>a Lakáshitel Szerződés megkötésétől számított 3 éven belül nem kerül sor az első lehívásra</w:t>
      </w:r>
      <w:r>
        <w:rPr>
          <w:rFonts w:cs="Arial"/>
          <w:sz w:val="24"/>
          <w:szCs w:val="24"/>
        </w:rPr>
        <w:t xml:space="preserve">, </w:t>
      </w:r>
      <w:r w:rsidR="00571B83">
        <w:rPr>
          <w:rFonts w:cs="Arial"/>
          <w:sz w:val="24"/>
          <w:szCs w:val="24"/>
        </w:rPr>
        <w:t>vagy</w:t>
      </w:r>
    </w:p>
    <w:p w14:paraId="14DC6B14" w14:textId="5FE8F6C5" w:rsidR="00327ABB" w:rsidRPr="00363060" w:rsidRDefault="00930C2C" w:rsidP="00363060">
      <w:pPr>
        <w:pStyle w:val="ListParagraph"/>
        <w:numPr>
          <w:ilvl w:val="0"/>
          <w:numId w:val="0"/>
        </w:numPr>
        <w:spacing w:after="0"/>
        <w:ind w:left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(ii) a </w:t>
      </w:r>
      <w:r w:rsidRPr="00930C2C">
        <w:rPr>
          <w:rFonts w:cs="Arial"/>
          <w:sz w:val="24"/>
          <w:szCs w:val="24"/>
        </w:rPr>
        <w:t>Lakáshitel Szerződés célja részben építési telek vásárlása</w:t>
      </w:r>
      <w:r>
        <w:rPr>
          <w:rFonts w:cs="Arial"/>
          <w:sz w:val="24"/>
          <w:szCs w:val="24"/>
        </w:rPr>
        <w:t xml:space="preserve"> és</w:t>
      </w:r>
      <w:r w:rsidRPr="00930C2C">
        <w:rPr>
          <w:rFonts w:cs="Arial"/>
          <w:sz w:val="24"/>
          <w:szCs w:val="24"/>
        </w:rPr>
        <w:t xml:space="preserve"> a szerződéskötéstől számított 1 éven belül a</w:t>
      </w:r>
      <w:r w:rsidR="00B7531F">
        <w:rPr>
          <w:rFonts w:cs="Arial"/>
          <w:sz w:val="24"/>
          <w:szCs w:val="24"/>
        </w:rPr>
        <w:t>z Adós</w:t>
      </w:r>
      <w:r w:rsidRPr="00930C2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nem </w:t>
      </w:r>
      <w:r w:rsidRPr="00930C2C">
        <w:rPr>
          <w:rFonts w:cs="Arial"/>
          <w:sz w:val="24"/>
          <w:szCs w:val="24"/>
        </w:rPr>
        <w:t>mutat</w:t>
      </w:r>
      <w:r>
        <w:rPr>
          <w:rFonts w:cs="Arial"/>
          <w:sz w:val="24"/>
          <w:szCs w:val="24"/>
        </w:rPr>
        <w:t>ja be</w:t>
      </w:r>
      <w:r w:rsidRPr="00930C2C">
        <w:rPr>
          <w:rFonts w:cs="Arial"/>
          <w:sz w:val="24"/>
          <w:szCs w:val="24"/>
        </w:rPr>
        <w:t xml:space="preserve"> a </w:t>
      </w:r>
      <w:r w:rsidR="005A5E58">
        <w:rPr>
          <w:rFonts w:cs="Arial"/>
          <w:sz w:val="24"/>
          <w:szCs w:val="24"/>
        </w:rPr>
        <w:t>H</w:t>
      </w:r>
      <w:r w:rsidRPr="00930C2C">
        <w:rPr>
          <w:rFonts w:cs="Arial"/>
          <w:sz w:val="24"/>
          <w:szCs w:val="24"/>
        </w:rPr>
        <w:t xml:space="preserve">itelintézet részére </w:t>
      </w:r>
      <w:r w:rsidRPr="00363060">
        <w:rPr>
          <w:rFonts w:cs="Arial"/>
          <w:sz w:val="24"/>
          <w:szCs w:val="24"/>
        </w:rPr>
        <w:t>az új lakás építésére vonatkozó építési engedélyt vagy egyszerű bejelentéshez kötött építésitevékenységnek minősülő építés esetén a bejelentés megtörténtének igazolását, valamint</w:t>
      </w:r>
      <w:r w:rsidR="00363060">
        <w:rPr>
          <w:rFonts w:cs="Arial"/>
          <w:sz w:val="24"/>
          <w:szCs w:val="24"/>
        </w:rPr>
        <w:t xml:space="preserve"> </w:t>
      </w:r>
      <w:r w:rsidRPr="00363060">
        <w:rPr>
          <w:rFonts w:cs="Arial"/>
          <w:sz w:val="24"/>
          <w:szCs w:val="24"/>
        </w:rPr>
        <w:t>az energetikai elvárás teljesítésére vonatkozó elvárásoknak való várható megfelelést</w:t>
      </w:r>
      <w:r w:rsidR="00B946D4">
        <w:rPr>
          <w:rFonts w:cs="Arial"/>
          <w:sz w:val="24"/>
          <w:szCs w:val="24"/>
        </w:rPr>
        <w:t xml:space="preserve">. </w:t>
      </w:r>
    </w:p>
    <w:p w14:paraId="4BC1F2BD" w14:textId="6E83A590" w:rsidR="00930C2C" w:rsidRDefault="00930C2C">
      <w:pPr>
        <w:pStyle w:val="ListParagraph"/>
        <w:numPr>
          <w:ilvl w:val="0"/>
          <w:numId w:val="20"/>
        </w:numPr>
        <w:spacing w:after="0"/>
        <w:ind w:left="426" w:hanging="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Ügyleti kamat mértéke</w:t>
      </w:r>
      <w:r w:rsidRPr="00930C2C">
        <w:rPr>
          <w:rFonts w:cs="Arial"/>
          <w:bCs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 xml:space="preserve"> </w:t>
      </w:r>
      <w:r w:rsidRPr="00930C2C">
        <w:rPr>
          <w:rFonts w:cs="Arial"/>
          <w:bCs/>
          <w:sz w:val="24"/>
          <w:szCs w:val="24"/>
        </w:rPr>
        <w:t xml:space="preserve">A Lakáshitel ügyleti kamata a teljes futamidő alatt legfeljebb </w:t>
      </w:r>
      <w:r w:rsidRPr="0028416A">
        <w:rPr>
          <w:rFonts w:cs="Arial"/>
          <w:b/>
          <w:sz w:val="24"/>
          <w:szCs w:val="24"/>
        </w:rPr>
        <w:t>2,5 százalék</w:t>
      </w:r>
      <w:r w:rsidRPr="00930C2C">
        <w:rPr>
          <w:rFonts w:cs="Arial"/>
          <w:bCs/>
          <w:sz w:val="24"/>
          <w:szCs w:val="24"/>
        </w:rPr>
        <w:t xml:space="preserve"> rögzített </w:t>
      </w:r>
      <w:r>
        <w:rPr>
          <w:rFonts w:cs="Arial"/>
          <w:bCs/>
          <w:sz w:val="24"/>
          <w:szCs w:val="24"/>
        </w:rPr>
        <w:t xml:space="preserve">(fix) </w:t>
      </w:r>
      <w:r w:rsidRPr="00930C2C">
        <w:rPr>
          <w:rFonts w:cs="Arial"/>
          <w:bCs/>
          <w:sz w:val="24"/>
          <w:szCs w:val="24"/>
        </w:rPr>
        <w:t>éves hitelkamat lehet, (ugyanakkor a</w:t>
      </w:r>
      <w:r w:rsidR="00B7531F">
        <w:rPr>
          <w:rFonts w:cs="Arial"/>
          <w:bCs/>
          <w:sz w:val="24"/>
          <w:szCs w:val="24"/>
        </w:rPr>
        <w:t>z Adós</w:t>
      </w:r>
      <w:r w:rsidRPr="00930C2C">
        <w:rPr>
          <w:rFonts w:cs="Arial"/>
          <w:bCs/>
          <w:sz w:val="24"/>
          <w:szCs w:val="24"/>
        </w:rPr>
        <w:t xml:space="preserve"> által fizetendő éves költség (azaz a THM rendelet</w:t>
      </w:r>
      <w:r w:rsidR="00E511AC">
        <w:rPr>
          <w:rStyle w:val="FootnoteReference"/>
          <w:rFonts w:cs="Arial"/>
          <w:bCs/>
          <w:sz w:val="24"/>
          <w:szCs w:val="24"/>
        </w:rPr>
        <w:footnoteReference w:id="2"/>
      </w:r>
      <w:r w:rsidRPr="00930C2C">
        <w:rPr>
          <w:rFonts w:cs="Arial"/>
          <w:bCs/>
          <w:sz w:val="24"/>
          <w:szCs w:val="24"/>
        </w:rPr>
        <w:t xml:space="preserve"> szerinti THM) ennél magasabb is lehet.</w:t>
      </w:r>
      <w:r w:rsidRPr="00930C2C">
        <w:rPr>
          <w:rFonts w:cs="Arial"/>
          <w:b/>
          <w:sz w:val="24"/>
          <w:szCs w:val="24"/>
        </w:rPr>
        <w:t xml:space="preserve"> </w:t>
      </w:r>
    </w:p>
    <w:p w14:paraId="48633EE2" w14:textId="52E95578" w:rsidR="0028416A" w:rsidRDefault="0028416A">
      <w:pPr>
        <w:pStyle w:val="ListParagraph"/>
        <w:numPr>
          <w:ilvl w:val="0"/>
          <w:numId w:val="20"/>
        </w:numPr>
        <w:spacing w:after="0"/>
        <w:ind w:left="426" w:hanging="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Egyéb díjak, költségek:</w:t>
      </w:r>
    </w:p>
    <w:p w14:paraId="4A0E38B5" w14:textId="4F47509B" w:rsidR="00930C2C" w:rsidRPr="00930C2C" w:rsidRDefault="00930C2C" w:rsidP="0D17C421">
      <w:pPr>
        <w:pStyle w:val="ListParagraph"/>
        <w:numPr>
          <w:ilvl w:val="0"/>
          <w:numId w:val="0"/>
        </w:numPr>
        <w:spacing w:after="0"/>
        <w:ind w:left="426"/>
        <w:rPr>
          <w:rFonts w:cs="Arial"/>
          <w:sz w:val="24"/>
          <w:szCs w:val="24"/>
        </w:rPr>
      </w:pPr>
      <w:r w:rsidRPr="0BC9CD83">
        <w:rPr>
          <w:rFonts w:cs="Arial"/>
          <w:sz w:val="24"/>
          <w:szCs w:val="24"/>
        </w:rPr>
        <w:t>A</w:t>
      </w:r>
      <w:r w:rsidR="00B7531F" w:rsidRPr="0BC9CD83">
        <w:rPr>
          <w:rFonts w:cs="Arial"/>
          <w:sz w:val="24"/>
          <w:szCs w:val="24"/>
        </w:rPr>
        <w:t>z Adóssal</w:t>
      </w:r>
      <w:r w:rsidRPr="0BC9CD83">
        <w:rPr>
          <w:rFonts w:cs="Arial"/>
          <w:sz w:val="24"/>
          <w:szCs w:val="24"/>
        </w:rPr>
        <w:t xml:space="preserve"> szemben – az ügyleti kamaton felül – kizárólag az alábbi díjak számolhatók fel:</w:t>
      </w:r>
    </w:p>
    <w:p w14:paraId="1EA252B8" w14:textId="074FD3AA" w:rsidR="00930C2C" w:rsidRPr="00930C2C" w:rsidRDefault="00930C2C" w:rsidP="00930C2C">
      <w:pPr>
        <w:pStyle w:val="ListParagraph"/>
        <w:numPr>
          <w:ilvl w:val="0"/>
          <w:numId w:val="0"/>
        </w:numPr>
        <w:spacing w:after="0"/>
        <w:ind w:left="426"/>
        <w:rPr>
          <w:rFonts w:cs="Arial"/>
          <w:bCs/>
          <w:sz w:val="24"/>
          <w:szCs w:val="24"/>
        </w:rPr>
      </w:pPr>
      <w:r w:rsidRPr="00930C2C">
        <w:rPr>
          <w:rFonts w:cs="Arial"/>
          <w:bCs/>
          <w:sz w:val="24"/>
          <w:szCs w:val="24"/>
        </w:rPr>
        <w:t>a)</w:t>
      </w:r>
      <w:r w:rsidRPr="00930C2C">
        <w:rPr>
          <w:rFonts w:cs="Arial"/>
          <w:bCs/>
          <w:sz w:val="24"/>
          <w:szCs w:val="24"/>
        </w:rPr>
        <w:tab/>
        <w:t>folyósítási díj (legfeljebb a folyósított hitelösszeg 0,75 százaléka, de Lakáshitel</w:t>
      </w:r>
      <w:r w:rsidR="00FF0BF1">
        <w:rPr>
          <w:rFonts w:cs="Arial"/>
          <w:bCs/>
          <w:sz w:val="24"/>
          <w:szCs w:val="24"/>
        </w:rPr>
        <w:t>enként</w:t>
      </w:r>
      <w:r w:rsidR="005B0F41">
        <w:rPr>
          <w:rStyle w:val="FootnoteReference"/>
          <w:rFonts w:cs="Arial"/>
          <w:bCs/>
          <w:sz w:val="24"/>
          <w:szCs w:val="24"/>
        </w:rPr>
        <w:footnoteReference w:id="3"/>
      </w:r>
      <w:r w:rsidR="00FF0BF1">
        <w:rPr>
          <w:rFonts w:cs="Arial"/>
          <w:bCs/>
          <w:sz w:val="24"/>
          <w:szCs w:val="24"/>
        </w:rPr>
        <w:t xml:space="preserve"> </w:t>
      </w:r>
      <w:r w:rsidRPr="00930C2C">
        <w:rPr>
          <w:rFonts w:cs="Arial"/>
          <w:bCs/>
          <w:sz w:val="24"/>
          <w:szCs w:val="24"/>
        </w:rPr>
        <w:t>összesen legfeljebb 1</w:t>
      </w:r>
      <w:r w:rsidR="00B7531F">
        <w:rPr>
          <w:rFonts w:cs="Arial"/>
          <w:bCs/>
          <w:sz w:val="24"/>
          <w:szCs w:val="24"/>
        </w:rPr>
        <w:t>00</w:t>
      </w:r>
      <w:r w:rsidRPr="00930C2C">
        <w:rPr>
          <w:rFonts w:cs="Arial"/>
          <w:bCs/>
          <w:sz w:val="24"/>
          <w:szCs w:val="24"/>
        </w:rPr>
        <w:t>.000,- forint),</w:t>
      </w:r>
    </w:p>
    <w:p w14:paraId="544C23F3" w14:textId="50BEC9F6" w:rsidR="00930C2C" w:rsidRPr="00930C2C" w:rsidRDefault="00930C2C" w:rsidP="00930C2C">
      <w:pPr>
        <w:pStyle w:val="ListParagraph"/>
        <w:numPr>
          <w:ilvl w:val="0"/>
          <w:numId w:val="0"/>
        </w:numPr>
        <w:spacing w:after="0"/>
        <w:ind w:left="426"/>
        <w:rPr>
          <w:rFonts w:cs="Arial"/>
          <w:bCs/>
          <w:sz w:val="24"/>
          <w:szCs w:val="24"/>
        </w:rPr>
      </w:pPr>
      <w:r w:rsidRPr="00930C2C">
        <w:rPr>
          <w:rFonts w:cs="Arial"/>
          <w:bCs/>
          <w:sz w:val="24"/>
          <w:szCs w:val="24"/>
        </w:rPr>
        <w:t>b)</w:t>
      </w:r>
      <w:r w:rsidRPr="00930C2C">
        <w:rPr>
          <w:rFonts w:cs="Arial"/>
          <w:bCs/>
          <w:sz w:val="24"/>
          <w:szCs w:val="24"/>
        </w:rPr>
        <w:tab/>
        <w:t>elő- és végtörlesztési díj (legfeljebb az elő- ill. végtörlesztett összeg 1 százaléka, de alkalmanként legfeljebb 30.000,- forint, ugyanakkor a lakástakarék</w:t>
      </w:r>
      <w:r w:rsidR="00B7531F">
        <w:rPr>
          <w:rFonts w:cs="Arial"/>
          <w:bCs/>
          <w:sz w:val="24"/>
          <w:szCs w:val="24"/>
        </w:rPr>
        <w:t>-</w:t>
      </w:r>
      <w:r w:rsidRPr="00930C2C">
        <w:rPr>
          <w:rFonts w:cs="Arial"/>
          <w:bCs/>
          <w:sz w:val="24"/>
          <w:szCs w:val="24"/>
        </w:rPr>
        <w:t xml:space="preserve">pénztári </w:t>
      </w:r>
      <w:r w:rsidR="00B7531F">
        <w:rPr>
          <w:rFonts w:cs="Arial"/>
          <w:bCs/>
          <w:sz w:val="24"/>
          <w:szCs w:val="24"/>
        </w:rPr>
        <w:t>szerződés alapján</w:t>
      </w:r>
      <w:r w:rsidRPr="00930C2C">
        <w:rPr>
          <w:rFonts w:cs="Arial"/>
          <w:bCs/>
          <w:sz w:val="24"/>
          <w:szCs w:val="24"/>
        </w:rPr>
        <w:t xml:space="preserve"> történő törlesztés</w:t>
      </w:r>
      <w:r w:rsidR="00B7531F">
        <w:rPr>
          <w:rStyle w:val="FootnoteReference"/>
          <w:rFonts w:cs="Arial"/>
          <w:bCs/>
          <w:sz w:val="24"/>
          <w:szCs w:val="24"/>
        </w:rPr>
        <w:footnoteReference w:id="4"/>
      </w:r>
      <w:r w:rsidRPr="00930C2C">
        <w:rPr>
          <w:rFonts w:cs="Arial"/>
          <w:bCs/>
          <w:sz w:val="24"/>
          <w:szCs w:val="24"/>
        </w:rPr>
        <w:t xml:space="preserve"> díjmentes),</w:t>
      </w:r>
    </w:p>
    <w:p w14:paraId="45FA62C4" w14:textId="1C77CA0C" w:rsidR="00A42945" w:rsidRDefault="00930C2C" w:rsidP="00930C2C">
      <w:pPr>
        <w:pStyle w:val="ListParagraph"/>
        <w:numPr>
          <w:ilvl w:val="0"/>
          <w:numId w:val="0"/>
        </w:numPr>
        <w:spacing w:after="0"/>
        <w:ind w:left="426"/>
        <w:rPr>
          <w:rFonts w:cs="Arial"/>
          <w:bCs/>
          <w:sz w:val="24"/>
          <w:szCs w:val="24"/>
        </w:rPr>
      </w:pPr>
      <w:r w:rsidRPr="00930C2C">
        <w:rPr>
          <w:rFonts w:cs="Arial"/>
          <w:bCs/>
          <w:sz w:val="24"/>
          <w:szCs w:val="24"/>
        </w:rPr>
        <w:t>c)</w:t>
      </w:r>
      <w:r w:rsidRPr="00930C2C">
        <w:rPr>
          <w:rFonts w:cs="Arial"/>
          <w:bCs/>
          <w:sz w:val="24"/>
          <w:szCs w:val="24"/>
        </w:rPr>
        <w:tab/>
        <w:t>harmadik fél részére fizetendő díjak, költségek: közjegyzői díj, értékbecslési díj/helyszíni szemle díja, tulajdoni lap lekérésének díja, térképmásolat díja, jelzálogjog bejegyzési, törlési díj</w:t>
      </w:r>
      <w:r w:rsidR="00FF0BF1">
        <w:rPr>
          <w:rFonts w:cs="Arial"/>
          <w:bCs/>
          <w:sz w:val="24"/>
          <w:szCs w:val="24"/>
        </w:rPr>
        <w:t>,</w:t>
      </w:r>
    </w:p>
    <w:p w14:paraId="080C0995" w14:textId="3A8EE50F" w:rsidR="00930C2C" w:rsidRDefault="00A42945" w:rsidP="00930C2C">
      <w:pPr>
        <w:pStyle w:val="ListParagraph"/>
        <w:numPr>
          <w:ilvl w:val="0"/>
          <w:numId w:val="0"/>
        </w:numPr>
        <w:spacing w:after="0"/>
        <w:ind w:left="426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d) </w:t>
      </w:r>
      <w:r w:rsidR="00930C2C" w:rsidRPr="00930C2C">
        <w:rPr>
          <w:rFonts w:cs="Arial"/>
          <w:bCs/>
          <w:sz w:val="24"/>
          <w:szCs w:val="24"/>
        </w:rPr>
        <w:t>a hitel folyósításával összefüggő banki átutalás díja</w:t>
      </w:r>
    </w:p>
    <w:p w14:paraId="09558B28" w14:textId="7F3CA531" w:rsidR="00FF0BF1" w:rsidRDefault="00FF0BF1" w:rsidP="00930C2C">
      <w:pPr>
        <w:pStyle w:val="ListParagraph"/>
        <w:numPr>
          <w:ilvl w:val="0"/>
          <w:numId w:val="0"/>
        </w:numPr>
        <w:spacing w:after="0"/>
        <w:ind w:left="426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e) </w:t>
      </w:r>
      <w:r w:rsidRPr="00FF0BF1">
        <w:rPr>
          <w:rFonts w:cs="Arial"/>
          <w:bCs/>
          <w:sz w:val="24"/>
          <w:szCs w:val="24"/>
        </w:rPr>
        <w:t>az NHP ZOP vagy a Lakáshitel Szerződés feltételeinek nem teljesítéséhez kapcsolódó</w:t>
      </w:r>
      <w:r w:rsidR="003415AD">
        <w:rPr>
          <w:rFonts w:cs="Arial"/>
          <w:bCs/>
          <w:sz w:val="24"/>
          <w:szCs w:val="24"/>
        </w:rPr>
        <w:t xml:space="preserve"> </w:t>
      </w:r>
      <w:r w:rsidRPr="00FF0BF1">
        <w:rPr>
          <w:rFonts w:cs="Arial"/>
          <w:bCs/>
          <w:sz w:val="24"/>
          <w:szCs w:val="24"/>
        </w:rPr>
        <w:t xml:space="preserve">büntető jellegű kamat, késedelmi kamat, valamint egyéb, kizárólag szerződésszegéshez kapcsolódó díj és költség, </w:t>
      </w:r>
      <w:r>
        <w:rPr>
          <w:rFonts w:cs="Arial"/>
          <w:bCs/>
          <w:sz w:val="24"/>
          <w:szCs w:val="24"/>
        </w:rPr>
        <w:t xml:space="preserve">és </w:t>
      </w:r>
    </w:p>
    <w:p w14:paraId="1733C96C" w14:textId="57CEFD7D" w:rsidR="00FF0BF1" w:rsidRDefault="00FF0BF1" w:rsidP="00930C2C">
      <w:pPr>
        <w:pStyle w:val="ListParagraph"/>
        <w:numPr>
          <w:ilvl w:val="0"/>
          <w:numId w:val="0"/>
        </w:numPr>
        <w:spacing w:after="0"/>
        <w:ind w:left="426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f) </w:t>
      </w:r>
      <w:r w:rsidRPr="00FF0BF1">
        <w:rPr>
          <w:rFonts w:cs="Arial"/>
          <w:bCs/>
          <w:sz w:val="24"/>
          <w:szCs w:val="24"/>
        </w:rPr>
        <w:t>a futamidő alatt az Adós által kezdeményezett szerződésmódosítással (ideértve a fedezetmódosítást) kapcsolatban felmerülő mindenkori kondíciós lista szerinti díj.</w:t>
      </w:r>
    </w:p>
    <w:p w14:paraId="1758C0B2" w14:textId="333A8FF3" w:rsidR="00EA3ACD" w:rsidRDefault="00EA3ACD" w:rsidP="00930C2C">
      <w:pPr>
        <w:pStyle w:val="ListParagraph"/>
        <w:numPr>
          <w:ilvl w:val="0"/>
          <w:numId w:val="0"/>
        </w:numPr>
        <w:spacing w:after="0"/>
        <w:ind w:left="426"/>
        <w:rPr>
          <w:rFonts w:cs="Arial"/>
          <w:bCs/>
          <w:sz w:val="24"/>
          <w:szCs w:val="24"/>
        </w:rPr>
      </w:pPr>
    </w:p>
    <w:p w14:paraId="68B11E8A" w14:textId="38FDA26A" w:rsidR="00EA3ACD" w:rsidRPr="00821ADF" w:rsidRDefault="00EA3ACD" w:rsidP="00821ADF">
      <w:pPr>
        <w:spacing w:after="0"/>
        <w:rPr>
          <w:rFonts w:cs="Arial"/>
          <w:bCs/>
          <w:i/>
          <w:iCs/>
          <w:sz w:val="24"/>
          <w:szCs w:val="24"/>
          <w:u w:val="single"/>
        </w:rPr>
      </w:pPr>
      <w:r w:rsidRPr="00596BA1">
        <w:rPr>
          <w:rFonts w:cs="Arial"/>
          <w:bCs/>
          <w:sz w:val="24"/>
          <w:szCs w:val="24"/>
        </w:rPr>
        <w:t>Reprezentatív példa</w:t>
      </w:r>
      <w:r w:rsidRPr="00596BA1">
        <w:rPr>
          <w:rFonts w:cs="Arial"/>
          <w:b/>
          <w:sz w:val="24"/>
          <w:szCs w:val="24"/>
        </w:rPr>
        <w:t xml:space="preserve"> </w:t>
      </w:r>
      <w:r w:rsidRPr="00596BA1">
        <w:rPr>
          <w:rFonts w:cs="Arial"/>
          <w:bCs/>
          <w:i/>
          <w:iCs/>
          <w:sz w:val="24"/>
          <w:szCs w:val="24"/>
        </w:rPr>
        <w:t>&lt;Hitelintézet tölti ki a 3. pont alapján!&gt;</w:t>
      </w:r>
    </w:p>
    <w:p w14:paraId="1EF4065F" w14:textId="77777777" w:rsidR="00EA3ACD" w:rsidRPr="00930C2C" w:rsidRDefault="00EA3ACD" w:rsidP="00930C2C">
      <w:pPr>
        <w:pStyle w:val="ListParagraph"/>
        <w:numPr>
          <w:ilvl w:val="0"/>
          <w:numId w:val="0"/>
        </w:numPr>
        <w:spacing w:after="0"/>
        <w:ind w:left="426"/>
        <w:rPr>
          <w:rFonts w:cs="Arial"/>
          <w:bCs/>
          <w:sz w:val="24"/>
          <w:szCs w:val="24"/>
        </w:rPr>
      </w:pPr>
    </w:p>
    <w:p w14:paraId="13C04770" w14:textId="363F6475" w:rsidR="007A58B9" w:rsidRPr="0028416A" w:rsidRDefault="007A58B9" w:rsidP="003415AD">
      <w:pPr>
        <w:keepNext/>
        <w:spacing w:after="0"/>
        <w:rPr>
          <w:rFonts w:cs="Arial"/>
          <w:b/>
          <w:sz w:val="24"/>
          <w:szCs w:val="24"/>
          <w:u w:val="single"/>
        </w:rPr>
      </w:pPr>
      <w:r w:rsidRPr="0028416A">
        <w:rPr>
          <w:rFonts w:cs="Arial"/>
          <w:b/>
          <w:sz w:val="24"/>
          <w:szCs w:val="24"/>
          <w:u w:val="single"/>
        </w:rPr>
        <w:lastRenderedPageBreak/>
        <w:t xml:space="preserve">4. A </w:t>
      </w:r>
      <w:r w:rsidR="00596BA1">
        <w:rPr>
          <w:rFonts w:cs="Arial"/>
          <w:b/>
          <w:sz w:val="24"/>
          <w:szCs w:val="24"/>
          <w:u w:val="single"/>
        </w:rPr>
        <w:t>Lakáshitel</w:t>
      </w:r>
      <w:r w:rsidRPr="0028416A">
        <w:rPr>
          <w:rFonts w:cs="Arial"/>
          <w:b/>
          <w:sz w:val="24"/>
          <w:szCs w:val="24"/>
          <w:u w:val="single"/>
        </w:rPr>
        <w:t xml:space="preserve"> igénylésének általános feltételei</w:t>
      </w:r>
    </w:p>
    <w:p w14:paraId="5281539A" w14:textId="65818B01" w:rsidR="007A58B9" w:rsidRDefault="00E96DA4" w:rsidP="007A58B9">
      <w:pPr>
        <w:pStyle w:val="ListParagraph"/>
        <w:numPr>
          <w:ilvl w:val="0"/>
          <w:numId w:val="20"/>
        </w:numPr>
        <w:spacing w:after="0"/>
        <w:ind w:left="426" w:hanging="284"/>
        <w:rPr>
          <w:rFonts w:cs="Arial"/>
          <w:sz w:val="24"/>
          <w:szCs w:val="24"/>
        </w:rPr>
      </w:pPr>
      <w:r w:rsidRPr="00597872">
        <w:rPr>
          <w:rFonts w:cs="Arial"/>
          <w:sz w:val="24"/>
          <w:szCs w:val="24"/>
        </w:rPr>
        <w:t>A</w:t>
      </w:r>
      <w:r w:rsidR="00E9527D">
        <w:rPr>
          <w:rFonts w:cs="Arial"/>
          <w:sz w:val="24"/>
          <w:szCs w:val="24"/>
        </w:rPr>
        <w:t xml:space="preserve"> Lakáshitelt</w:t>
      </w:r>
      <w:r w:rsidRPr="00597872">
        <w:rPr>
          <w:rFonts w:cs="Arial"/>
          <w:sz w:val="24"/>
          <w:szCs w:val="24"/>
        </w:rPr>
        <w:t xml:space="preserve"> belföldi</w:t>
      </w:r>
      <w:r w:rsidRPr="00597872">
        <w:rPr>
          <w:rFonts w:cs="Arial"/>
          <w:sz w:val="24"/>
          <w:szCs w:val="24"/>
          <w:vertAlign w:val="superscript"/>
        </w:rPr>
        <w:footnoteReference w:id="5"/>
      </w:r>
      <w:r w:rsidRPr="00597872">
        <w:rPr>
          <w:rFonts w:cs="Arial"/>
          <w:sz w:val="24"/>
          <w:szCs w:val="24"/>
        </w:rPr>
        <w:t xml:space="preserve"> </w:t>
      </w:r>
      <w:r w:rsidR="00B7531F">
        <w:rPr>
          <w:rFonts w:cs="Arial"/>
          <w:sz w:val="24"/>
          <w:szCs w:val="24"/>
        </w:rPr>
        <w:t>f</w:t>
      </w:r>
      <w:r w:rsidRPr="00597872">
        <w:rPr>
          <w:rFonts w:cs="Arial"/>
          <w:sz w:val="24"/>
          <w:szCs w:val="24"/>
        </w:rPr>
        <w:t>ogyasztó</w:t>
      </w:r>
      <w:r w:rsidRPr="00597872">
        <w:rPr>
          <w:rFonts w:cs="Arial"/>
          <w:sz w:val="24"/>
          <w:szCs w:val="24"/>
          <w:vertAlign w:val="superscript"/>
        </w:rPr>
        <w:footnoteReference w:id="6"/>
      </w:r>
      <w:r w:rsidRPr="00597872">
        <w:rPr>
          <w:rFonts w:cs="Arial"/>
          <w:sz w:val="24"/>
          <w:szCs w:val="24"/>
        </w:rPr>
        <w:t xml:space="preserve"> igényelhet</w:t>
      </w:r>
      <w:r w:rsidR="00597872">
        <w:rPr>
          <w:rFonts w:cs="Arial"/>
          <w:sz w:val="24"/>
          <w:szCs w:val="24"/>
        </w:rPr>
        <w:t>i</w:t>
      </w:r>
      <w:r w:rsidRPr="00597872">
        <w:rPr>
          <w:rFonts w:cs="Arial"/>
          <w:sz w:val="24"/>
          <w:szCs w:val="24"/>
        </w:rPr>
        <w:t>.</w:t>
      </w:r>
    </w:p>
    <w:p w14:paraId="35667115" w14:textId="549A4D7F" w:rsidR="007A58B9" w:rsidRPr="00B01678" w:rsidRDefault="00B01678" w:rsidP="00B01678">
      <w:pPr>
        <w:pStyle w:val="ListParagraph"/>
        <w:numPr>
          <w:ilvl w:val="0"/>
          <w:numId w:val="20"/>
        </w:numPr>
        <w:spacing w:after="0"/>
        <w:ind w:left="426" w:hanging="284"/>
        <w:rPr>
          <w:rFonts w:cs="Arial"/>
          <w:sz w:val="24"/>
          <w:szCs w:val="24"/>
        </w:rPr>
      </w:pPr>
      <w:r w:rsidRPr="00B01678">
        <w:rPr>
          <w:rFonts w:cs="Arial"/>
          <w:sz w:val="24"/>
          <w:szCs w:val="24"/>
        </w:rPr>
        <w:t xml:space="preserve">A fogyasztó kizárólag egy Lakáshitel Szerződés Adósa lehet. </w:t>
      </w:r>
      <w:r w:rsidR="00C7700A">
        <w:rPr>
          <w:rFonts w:cs="Arial"/>
          <w:sz w:val="24"/>
          <w:szCs w:val="24"/>
        </w:rPr>
        <w:t>(</w:t>
      </w:r>
      <w:r w:rsidRPr="00B01678">
        <w:rPr>
          <w:rFonts w:cs="Arial"/>
          <w:sz w:val="24"/>
          <w:szCs w:val="24"/>
        </w:rPr>
        <w:t>Kivételt képez ez alól</w:t>
      </w:r>
      <w:r>
        <w:rPr>
          <w:rFonts w:cs="Arial"/>
          <w:sz w:val="24"/>
          <w:szCs w:val="24"/>
        </w:rPr>
        <w:t xml:space="preserve"> </w:t>
      </w:r>
      <w:r w:rsidRPr="00B01678">
        <w:rPr>
          <w:rFonts w:cs="Arial"/>
          <w:sz w:val="24"/>
          <w:szCs w:val="24"/>
        </w:rPr>
        <w:t xml:space="preserve">amennyiben az Adós által igényelt Lakáshitel összege meghaladja az OTK-támogatásra vonatkozó jogszabályban az OTK-támogatással érintett maximális kölcsönösszeget, és a </w:t>
      </w:r>
      <w:r w:rsidR="0064369B">
        <w:rPr>
          <w:rFonts w:cs="Arial"/>
          <w:sz w:val="24"/>
          <w:szCs w:val="24"/>
        </w:rPr>
        <w:t>H</w:t>
      </w:r>
      <w:r w:rsidRPr="00B01678">
        <w:rPr>
          <w:rFonts w:cs="Arial"/>
          <w:sz w:val="24"/>
          <w:szCs w:val="24"/>
        </w:rPr>
        <w:t xml:space="preserve">itelintézet </w:t>
      </w:r>
      <w:r w:rsidR="00C7700A">
        <w:rPr>
          <w:rFonts w:cs="Arial"/>
          <w:sz w:val="24"/>
          <w:szCs w:val="24"/>
        </w:rPr>
        <w:t xml:space="preserve">az azon </w:t>
      </w:r>
      <w:r w:rsidRPr="00B01678">
        <w:rPr>
          <w:rFonts w:cs="Arial"/>
          <w:sz w:val="24"/>
          <w:szCs w:val="24"/>
        </w:rPr>
        <w:t xml:space="preserve">felüli összegre külön </w:t>
      </w:r>
      <w:r w:rsidR="00C7700A">
        <w:rPr>
          <w:rFonts w:cs="Arial"/>
          <w:sz w:val="24"/>
          <w:szCs w:val="24"/>
        </w:rPr>
        <w:t>L</w:t>
      </w:r>
      <w:r w:rsidRPr="00B01678">
        <w:rPr>
          <w:rFonts w:cs="Arial"/>
          <w:sz w:val="24"/>
          <w:szCs w:val="24"/>
        </w:rPr>
        <w:t>akáshitel</w:t>
      </w:r>
      <w:r w:rsidR="00C7700A">
        <w:rPr>
          <w:rFonts w:cs="Arial"/>
          <w:sz w:val="24"/>
          <w:szCs w:val="24"/>
        </w:rPr>
        <w:t xml:space="preserve"> S</w:t>
      </w:r>
      <w:r w:rsidRPr="00B01678">
        <w:rPr>
          <w:rFonts w:cs="Arial"/>
          <w:sz w:val="24"/>
          <w:szCs w:val="24"/>
        </w:rPr>
        <w:t>zerződést köt az Adóssal az NHP ZOP keretében.</w:t>
      </w:r>
      <w:r w:rsidR="00C7700A">
        <w:rPr>
          <w:rFonts w:cs="Arial"/>
          <w:sz w:val="24"/>
          <w:szCs w:val="24"/>
        </w:rPr>
        <w:t>)</w:t>
      </w:r>
    </w:p>
    <w:p w14:paraId="2A2ED11A" w14:textId="42FAA16C" w:rsidR="007A58B9" w:rsidRDefault="007A58B9" w:rsidP="007A58B9">
      <w:pPr>
        <w:pStyle w:val="ListParagraph"/>
        <w:numPr>
          <w:ilvl w:val="0"/>
          <w:numId w:val="20"/>
        </w:numPr>
        <w:spacing w:after="0"/>
        <w:ind w:left="426" w:hanging="284"/>
        <w:rPr>
          <w:rFonts w:cs="Arial"/>
          <w:color w:val="000000"/>
          <w:sz w:val="24"/>
          <w:szCs w:val="24"/>
        </w:rPr>
      </w:pPr>
      <w:r w:rsidRPr="004E56A9">
        <w:rPr>
          <w:color w:val="000000"/>
          <w:sz w:val="24"/>
        </w:rPr>
        <w:t xml:space="preserve">A </w:t>
      </w:r>
      <w:r w:rsidR="00E96DA4" w:rsidRPr="004E56A9">
        <w:rPr>
          <w:color w:val="000000" w:themeColor="text1"/>
          <w:sz w:val="24"/>
        </w:rPr>
        <w:t>Lakáshitel célját</w:t>
      </w:r>
      <w:r w:rsidRPr="004E56A9">
        <w:rPr>
          <w:color w:val="000000"/>
          <w:sz w:val="24"/>
        </w:rPr>
        <w:t xml:space="preserve"> igazolni kell</w:t>
      </w:r>
      <w:r w:rsidR="005A5E58" w:rsidRPr="004E56A9">
        <w:rPr>
          <w:color w:val="000000" w:themeColor="text1"/>
          <w:sz w:val="24"/>
        </w:rPr>
        <w:t xml:space="preserve"> a Hitelintézet felé</w:t>
      </w:r>
      <w:r w:rsidRPr="004E56A9">
        <w:rPr>
          <w:color w:val="000000"/>
          <w:sz w:val="24"/>
        </w:rPr>
        <w:t>.</w:t>
      </w:r>
    </w:p>
    <w:p w14:paraId="5E55229D" w14:textId="5F7AA1D2" w:rsidR="00362CC8" w:rsidRDefault="00CA7184" w:rsidP="007A58B9">
      <w:pPr>
        <w:pStyle w:val="ListParagraph"/>
        <w:numPr>
          <w:ilvl w:val="0"/>
          <w:numId w:val="20"/>
        </w:numPr>
        <w:spacing w:after="0"/>
        <w:ind w:left="426" w:hanging="284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 Lakáshitelből energiahatékony új lakás finanszírozható, mely </w:t>
      </w:r>
      <w:r w:rsidRPr="00597872">
        <w:rPr>
          <w:rFonts w:cs="Arial"/>
          <w:color w:val="000000"/>
          <w:sz w:val="24"/>
          <w:szCs w:val="24"/>
        </w:rPr>
        <w:t>BB (azaz közel nulla energiaigényre vonatkozó követelménynek megfelelő) vagy annál jobb energetikai minőségi besorolással</w:t>
      </w:r>
      <w:r w:rsidRPr="00597872">
        <w:rPr>
          <w:rFonts w:cs="Arial"/>
          <w:sz w:val="24"/>
          <w:szCs w:val="24"/>
          <w:vertAlign w:val="superscript"/>
        </w:rPr>
        <w:footnoteReference w:id="7"/>
      </w:r>
      <w:r w:rsidRPr="00597872">
        <w:rPr>
          <w:rFonts w:cs="Arial"/>
          <w:sz w:val="24"/>
          <w:szCs w:val="24"/>
          <w:vertAlign w:val="superscript"/>
        </w:rPr>
        <w:t xml:space="preserve"> </w:t>
      </w:r>
      <w:r w:rsidRPr="00597872">
        <w:rPr>
          <w:rFonts w:cs="Arial"/>
          <w:color w:val="000000"/>
          <w:sz w:val="24"/>
          <w:szCs w:val="24"/>
        </w:rPr>
        <w:t>rendelkezik, továbbá összesített energetikai jellemzőjének számított értéke</w:t>
      </w:r>
      <w:r w:rsidRPr="00597872">
        <w:rPr>
          <w:rFonts w:cs="Arial"/>
          <w:sz w:val="24"/>
          <w:szCs w:val="24"/>
          <w:vertAlign w:val="superscript"/>
        </w:rPr>
        <w:footnoteReference w:id="8"/>
      </w:r>
      <w:r w:rsidRPr="00597872">
        <w:rPr>
          <w:rFonts w:cs="Arial"/>
          <w:color w:val="000000"/>
          <w:sz w:val="24"/>
          <w:szCs w:val="24"/>
        </w:rPr>
        <w:t xml:space="preserve"> (primer energiaigény) legfeljebb 90 kWh/m²/év.</w:t>
      </w:r>
    </w:p>
    <w:p w14:paraId="6869BE3C" w14:textId="31E9968A" w:rsidR="00B25E96" w:rsidRPr="00110526" w:rsidRDefault="00B25E96" w:rsidP="007A58B9">
      <w:pPr>
        <w:pStyle w:val="ListParagraph"/>
        <w:numPr>
          <w:ilvl w:val="0"/>
          <w:numId w:val="20"/>
        </w:numPr>
        <w:spacing w:after="0"/>
        <w:ind w:left="426" w:hanging="284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 Lakáshitelből vásárolt új lakás </w:t>
      </w:r>
      <w:r w:rsidRPr="00597872">
        <w:rPr>
          <w:rFonts w:cs="Arial"/>
          <w:color w:val="000000"/>
          <w:sz w:val="24"/>
          <w:szCs w:val="24"/>
        </w:rPr>
        <w:t xml:space="preserve">gazdálkodó szervezet </w:t>
      </w:r>
      <w:r w:rsidR="00667AD9" w:rsidRPr="00597872">
        <w:rPr>
          <w:rFonts w:cs="Arial"/>
          <w:color w:val="000000"/>
          <w:sz w:val="24"/>
          <w:szCs w:val="24"/>
        </w:rPr>
        <w:t>által a</w:t>
      </w:r>
      <w:r w:rsidR="008F27F8">
        <w:rPr>
          <w:rFonts w:cs="Arial"/>
          <w:color w:val="000000"/>
          <w:sz w:val="24"/>
          <w:szCs w:val="24"/>
        </w:rPr>
        <w:t xml:space="preserve"> természetes személy </w:t>
      </w:r>
      <w:r w:rsidR="00667AD9" w:rsidRPr="00597872">
        <w:rPr>
          <w:rFonts w:cs="Arial"/>
          <w:color w:val="000000"/>
          <w:sz w:val="24"/>
          <w:szCs w:val="24"/>
        </w:rPr>
        <w:t xml:space="preserve">részére történő </w:t>
      </w:r>
      <w:r w:rsidRPr="00597872">
        <w:rPr>
          <w:rFonts w:cs="Arial"/>
          <w:color w:val="000000"/>
          <w:sz w:val="24"/>
          <w:szCs w:val="24"/>
        </w:rPr>
        <w:t>értékesítés céljára épít</w:t>
      </w:r>
      <w:r w:rsidR="00667AD9" w:rsidRPr="00597872">
        <w:rPr>
          <w:rFonts w:cs="Arial"/>
          <w:color w:val="000000"/>
          <w:sz w:val="24"/>
          <w:szCs w:val="24"/>
        </w:rPr>
        <w:t>ett</w:t>
      </w:r>
      <w:r w:rsidRPr="00597872">
        <w:rPr>
          <w:rFonts w:cs="Arial"/>
          <w:color w:val="000000"/>
          <w:sz w:val="24"/>
          <w:szCs w:val="24"/>
        </w:rPr>
        <w:t xml:space="preserve"> vagy építtet</w:t>
      </w:r>
      <w:r w:rsidR="00667AD9" w:rsidRPr="00597872">
        <w:rPr>
          <w:rFonts w:cs="Arial"/>
          <w:color w:val="000000"/>
          <w:sz w:val="24"/>
          <w:szCs w:val="24"/>
        </w:rPr>
        <w:t>ett új lakás lehet</w:t>
      </w:r>
      <w:r w:rsidRPr="00597872">
        <w:rPr>
          <w:rFonts w:cs="Arial"/>
          <w:color w:val="000000"/>
          <w:sz w:val="24"/>
          <w:szCs w:val="24"/>
        </w:rPr>
        <w:t xml:space="preserve">, amelyet első ízben </w:t>
      </w:r>
      <w:r w:rsidR="008F27F8">
        <w:rPr>
          <w:rFonts w:cs="Arial"/>
          <w:color w:val="000000"/>
          <w:sz w:val="24"/>
          <w:szCs w:val="24"/>
        </w:rPr>
        <w:t xml:space="preserve">természetes személy részére </w:t>
      </w:r>
      <w:r w:rsidRPr="00597872">
        <w:rPr>
          <w:rFonts w:cs="Arial"/>
          <w:color w:val="000000"/>
          <w:sz w:val="24"/>
          <w:szCs w:val="24"/>
        </w:rPr>
        <w:t>értékesítenek.</w:t>
      </w:r>
    </w:p>
    <w:p w14:paraId="6FADD2B2" w14:textId="4B91FD4F" w:rsidR="00A64118" w:rsidRDefault="007A58B9" w:rsidP="007A58B9">
      <w:pPr>
        <w:pStyle w:val="ListParagraph"/>
        <w:numPr>
          <w:ilvl w:val="0"/>
          <w:numId w:val="20"/>
        </w:numPr>
        <w:spacing w:after="0"/>
        <w:ind w:left="426" w:hanging="284"/>
        <w:rPr>
          <w:rFonts w:cs="Arial"/>
          <w:sz w:val="24"/>
          <w:szCs w:val="24"/>
        </w:rPr>
      </w:pPr>
      <w:r w:rsidRPr="00110526">
        <w:rPr>
          <w:rFonts w:cs="Arial"/>
          <w:sz w:val="24"/>
          <w:szCs w:val="24"/>
        </w:rPr>
        <w:t>A</w:t>
      </w:r>
      <w:r w:rsidR="00A42945">
        <w:rPr>
          <w:rFonts w:cs="Arial"/>
          <w:sz w:val="24"/>
          <w:szCs w:val="24"/>
        </w:rPr>
        <w:t xml:space="preserve"> Tulajdonos a</w:t>
      </w:r>
      <w:r w:rsidR="008F27F8">
        <w:rPr>
          <w:rFonts w:cs="Arial"/>
          <w:sz w:val="24"/>
          <w:szCs w:val="24"/>
        </w:rPr>
        <w:t>dós</w:t>
      </w:r>
      <w:r w:rsidRPr="00110526">
        <w:rPr>
          <w:rFonts w:cs="Arial"/>
          <w:sz w:val="24"/>
          <w:szCs w:val="24"/>
        </w:rPr>
        <w:t xml:space="preserve"> a </w:t>
      </w:r>
      <w:r w:rsidR="0053297E">
        <w:rPr>
          <w:rFonts w:cs="Arial"/>
          <w:sz w:val="24"/>
          <w:szCs w:val="24"/>
        </w:rPr>
        <w:t>Lakáshitel célját képező</w:t>
      </w:r>
      <w:r w:rsidRPr="00110526">
        <w:rPr>
          <w:rFonts w:cs="Arial"/>
          <w:sz w:val="24"/>
          <w:szCs w:val="24"/>
        </w:rPr>
        <w:t xml:space="preserve"> ingatlannak tulajdonosa</w:t>
      </w:r>
      <w:r w:rsidR="00A64118">
        <w:rPr>
          <w:rFonts w:cs="Arial"/>
          <w:sz w:val="24"/>
          <w:szCs w:val="24"/>
        </w:rPr>
        <w:t>(</w:t>
      </w:r>
      <w:r w:rsidRPr="00110526">
        <w:rPr>
          <w:rFonts w:cs="Arial"/>
          <w:sz w:val="24"/>
          <w:szCs w:val="24"/>
        </w:rPr>
        <w:t>i</w:t>
      </w:r>
      <w:r w:rsidR="00A64118">
        <w:rPr>
          <w:rFonts w:cs="Arial"/>
          <w:sz w:val="24"/>
          <w:szCs w:val="24"/>
        </w:rPr>
        <w:t>)</w:t>
      </w:r>
      <w:r w:rsidRPr="00110526">
        <w:rPr>
          <w:rFonts w:cs="Arial"/>
          <w:sz w:val="24"/>
          <w:szCs w:val="24"/>
        </w:rPr>
        <w:t>/leendő tulajdonosa</w:t>
      </w:r>
      <w:r w:rsidR="00A64118">
        <w:rPr>
          <w:rFonts w:cs="Arial"/>
          <w:sz w:val="24"/>
          <w:szCs w:val="24"/>
        </w:rPr>
        <w:t>(</w:t>
      </w:r>
      <w:r w:rsidRPr="00110526">
        <w:rPr>
          <w:rFonts w:cs="Arial"/>
          <w:sz w:val="24"/>
          <w:szCs w:val="24"/>
        </w:rPr>
        <w:t>i</w:t>
      </w:r>
      <w:r w:rsidR="00A64118">
        <w:rPr>
          <w:rFonts w:cs="Arial"/>
          <w:sz w:val="24"/>
          <w:szCs w:val="24"/>
        </w:rPr>
        <w:t>)</w:t>
      </w:r>
      <w:r w:rsidR="002F4DEE">
        <w:rPr>
          <w:rFonts w:cs="Arial"/>
          <w:sz w:val="24"/>
          <w:szCs w:val="24"/>
        </w:rPr>
        <w:t xml:space="preserve">, </w:t>
      </w:r>
      <w:r w:rsidR="00A42945">
        <w:rPr>
          <w:rFonts w:cs="Arial"/>
          <w:sz w:val="24"/>
          <w:szCs w:val="24"/>
        </w:rPr>
        <w:t xml:space="preserve">Tulajdonos adóson kívül </w:t>
      </w:r>
      <w:r w:rsidR="002F4DEE" w:rsidRPr="00597872">
        <w:rPr>
          <w:rFonts w:cs="Arial"/>
          <w:sz w:val="24"/>
          <w:szCs w:val="24"/>
        </w:rPr>
        <w:t>egyéb tulajdonosa nem lehet a Lakáshitelből vásárolt, épített új lakásnak</w:t>
      </w:r>
      <w:r w:rsidRPr="00110526">
        <w:rPr>
          <w:rFonts w:cs="Arial"/>
          <w:sz w:val="24"/>
          <w:szCs w:val="24"/>
        </w:rPr>
        <w:t xml:space="preserve">. </w:t>
      </w:r>
    </w:p>
    <w:p w14:paraId="1E877DA9" w14:textId="3E9BF55A" w:rsidR="001E52E5" w:rsidRDefault="001E52E5" w:rsidP="00CB2DE0">
      <w:pPr>
        <w:pStyle w:val="ListParagraph"/>
        <w:numPr>
          <w:ilvl w:val="0"/>
          <w:numId w:val="20"/>
        </w:numPr>
        <w:spacing w:after="0"/>
        <w:ind w:left="426" w:hanging="284"/>
        <w:rPr>
          <w:rFonts w:cs="Arial"/>
          <w:color w:val="000000"/>
          <w:sz w:val="24"/>
          <w:szCs w:val="24"/>
        </w:rPr>
      </w:pPr>
      <w:r w:rsidRPr="00FE7153">
        <w:rPr>
          <w:rFonts w:cs="Arial"/>
          <w:color w:val="000000"/>
          <w:sz w:val="24"/>
          <w:szCs w:val="24"/>
        </w:rPr>
        <w:t>Az NHP ZOP keretében csak olyan új lakás vásárolható, illetve építhető, amely az Adós tulajdonába kerül (ezen személy</w:t>
      </w:r>
      <w:r w:rsidR="00450BE1">
        <w:rPr>
          <w:rFonts w:cs="Arial"/>
          <w:color w:val="000000"/>
          <w:sz w:val="24"/>
          <w:szCs w:val="24"/>
        </w:rPr>
        <w:t xml:space="preserve"> a továbbiakban</w:t>
      </w:r>
      <w:r w:rsidRPr="00FE7153">
        <w:rPr>
          <w:rFonts w:cs="Arial"/>
          <w:color w:val="000000"/>
          <w:sz w:val="24"/>
          <w:szCs w:val="24"/>
        </w:rPr>
        <w:t>: Tulajdonos adós) és amelyben a Tulajdonos adós a Lakáshitel Szerződés alapján történő utolsó folyósítást követő 10 évig életvitelszerűen lakik</w:t>
      </w:r>
      <w:r w:rsidRPr="00FE7153">
        <w:rPr>
          <w:rFonts w:cs="Arial"/>
          <w:sz w:val="24"/>
          <w:szCs w:val="24"/>
          <w:vertAlign w:val="superscript"/>
        </w:rPr>
        <w:footnoteReference w:id="9"/>
      </w:r>
      <w:r w:rsidRPr="00FE7153">
        <w:rPr>
          <w:rFonts w:cs="Arial"/>
          <w:color w:val="000000"/>
          <w:sz w:val="24"/>
          <w:szCs w:val="24"/>
        </w:rPr>
        <w:t xml:space="preserve">. </w:t>
      </w:r>
    </w:p>
    <w:p w14:paraId="0A001AD7" w14:textId="7235A6AC" w:rsidR="005B0F41" w:rsidRPr="00CB2DE0" w:rsidRDefault="00A64118" w:rsidP="00CB2DE0">
      <w:pPr>
        <w:pStyle w:val="ListParagraph"/>
        <w:numPr>
          <w:ilvl w:val="0"/>
          <w:numId w:val="20"/>
        </w:numPr>
        <w:spacing w:after="0"/>
        <w:ind w:left="426" w:hanging="284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 Lakáshitel célját képező új lakásnak a</w:t>
      </w:r>
      <w:r w:rsidR="008F27F8">
        <w:rPr>
          <w:rFonts w:cs="Arial"/>
          <w:color w:val="000000"/>
          <w:sz w:val="24"/>
          <w:szCs w:val="24"/>
        </w:rPr>
        <w:t xml:space="preserve"> Tulajdonos</w:t>
      </w:r>
      <w:r>
        <w:rPr>
          <w:rFonts w:cs="Arial"/>
          <w:color w:val="000000"/>
          <w:sz w:val="24"/>
          <w:szCs w:val="24"/>
        </w:rPr>
        <w:t xml:space="preserve"> </w:t>
      </w:r>
      <w:r w:rsidR="008F27F8">
        <w:rPr>
          <w:rFonts w:cs="Arial"/>
          <w:color w:val="000000"/>
          <w:sz w:val="24"/>
          <w:szCs w:val="24"/>
        </w:rPr>
        <w:t>a</w:t>
      </w:r>
      <w:r w:rsidR="002F4DEE" w:rsidRPr="00597872">
        <w:rPr>
          <w:rFonts w:cs="Arial"/>
          <w:color w:val="000000"/>
          <w:sz w:val="24"/>
          <w:szCs w:val="24"/>
        </w:rPr>
        <w:t xml:space="preserve">dós saját lakhatását kell szolgálnia, amit az új lakásban tulajdoni részesedést szerző </w:t>
      </w:r>
      <w:r w:rsidR="008F27F8">
        <w:rPr>
          <w:rFonts w:cs="Arial"/>
          <w:color w:val="000000"/>
          <w:sz w:val="24"/>
          <w:szCs w:val="24"/>
        </w:rPr>
        <w:t>Tulajdonos adós</w:t>
      </w:r>
      <w:r w:rsidR="002F4DEE" w:rsidRPr="00597872">
        <w:rPr>
          <w:rFonts w:cs="Arial"/>
          <w:color w:val="000000"/>
          <w:sz w:val="24"/>
          <w:szCs w:val="24"/>
        </w:rPr>
        <w:t xml:space="preserve"> állandó lakcímet igazoló hatósági igazolvánnyal igazol</w:t>
      </w:r>
      <w:r w:rsidR="00936F49">
        <w:rPr>
          <w:rFonts w:cs="Arial"/>
          <w:color w:val="000000"/>
          <w:sz w:val="24"/>
          <w:szCs w:val="24"/>
        </w:rPr>
        <w:t>ja</w:t>
      </w:r>
      <w:r w:rsidR="005B0F41">
        <w:rPr>
          <w:rFonts w:cs="Arial"/>
          <w:color w:val="000000"/>
          <w:sz w:val="24"/>
          <w:szCs w:val="24"/>
        </w:rPr>
        <w:t xml:space="preserve"> (első alkalommal)</w:t>
      </w:r>
      <w:r w:rsidR="00936F49">
        <w:rPr>
          <w:rFonts w:cs="Arial"/>
          <w:color w:val="000000"/>
          <w:sz w:val="24"/>
          <w:szCs w:val="24"/>
        </w:rPr>
        <w:t xml:space="preserve"> </w:t>
      </w:r>
      <w:r w:rsidR="00936F49" w:rsidRPr="00936F49">
        <w:rPr>
          <w:rFonts w:cs="Arial"/>
          <w:color w:val="000000"/>
          <w:sz w:val="24"/>
          <w:szCs w:val="24"/>
        </w:rPr>
        <w:t>legkésőbb a Lakáshitel Szerződés alapján történő utolsó lehívásától számított 90 napon</w:t>
      </w:r>
      <w:r w:rsidR="00B24D59" w:rsidRPr="00597872">
        <w:rPr>
          <w:rFonts w:cs="Arial"/>
          <w:color w:val="000000"/>
          <w:sz w:val="24"/>
          <w:szCs w:val="24"/>
        </w:rPr>
        <w:t xml:space="preserve"> belül</w:t>
      </w:r>
      <w:r w:rsidR="002F4DEE" w:rsidRPr="00597872">
        <w:rPr>
          <w:rFonts w:cs="Arial"/>
          <w:color w:val="000000"/>
          <w:sz w:val="24"/>
          <w:szCs w:val="24"/>
        </w:rPr>
        <w:t>.</w:t>
      </w:r>
      <w:r w:rsidR="005B0F41">
        <w:rPr>
          <w:rFonts w:cs="Arial"/>
          <w:color w:val="000000"/>
          <w:sz w:val="24"/>
          <w:szCs w:val="24"/>
        </w:rPr>
        <w:t xml:space="preserve"> </w:t>
      </w:r>
      <w:r w:rsidR="004B5411">
        <w:rPr>
          <w:rFonts w:cs="Arial"/>
          <w:color w:val="000000"/>
          <w:sz w:val="24"/>
          <w:szCs w:val="24"/>
        </w:rPr>
        <w:t xml:space="preserve">A bentlakási kötelezettségből fakadóan Lakáshitel célját képező új lakás </w:t>
      </w:r>
      <w:r w:rsidR="004B5411" w:rsidRPr="00FE7153">
        <w:rPr>
          <w:rFonts w:cs="Arial"/>
          <w:color w:val="000000"/>
          <w:sz w:val="24"/>
          <w:szCs w:val="24"/>
        </w:rPr>
        <w:t>a Lakáshitel Szerződés alapján történő utolsó folyósítást követő 10 évig</w:t>
      </w:r>
      <w:r w:rsidR="004B5411">
        <w:rPr>
          <w:rFonts w:cs="Arial"/>
          <w:color w:val="000000"/>
          <w:sz w:val="24"/>
          <w:szCs w:val="24"/>
        </w:rPr>
        <w:t xml:space="preserve"> nem adható bérbe.</w:t>
      </w:r>
    </w:p>
    <w:p w14:paraId="0E0A0317" w14:textId="77777777" w:rsidR="00344D81" w:rsidRPr="00821ADF" w:rsidRDefault="00344D81" w:rsidP="00344D81">
      <w:pPr>
        <w:pStyle w:val="ListParagraph"/>
        <w:numPr>
          <w:ilvl w:val="0"/>
          <w:numId w:val="0"/>
        </w:numPr>
        <w:spacing w:after="0"/>
        <w:ind w:left="426"/>
        <w:rPr>
          <w:rFonts w:cs="Arial"/>
          <w:color w:val="000000"/>
          <w:sz w:val="24"/>
          <w:szCs w:val="24"/>
        </w:rPr>
      </w:pPr>
    </w:p>
    <w:p w14:paraId="25A97CBD" w14:textId="04326CEB" w:rsidR="007A58B9" w:rsidRPr="00110526" w:rsidRDefault="007A58B9" w:rsidP="00936F49">
      <w:pPr>
        <w:keepNext/>
        <w:spacing w:after="0"/>
        <w:rPr>
          <w:rFonts w:cs="Arial"/>
          <w:b/>
          <w:sz w:val="24"/>
          <w:szCs w:val="24"/>
          <w:u w:val="single"/>
        </w:rPr>
      </w:pPr>
      <w:r w:rsidRPr="00110526">
        <w:rPr>
          <w:rFonts w:cs="Arial"/>
          <w:b/>
          <w:sz w:val="24"/>
          <w:szCs w:val="24"/>
          <w:u w:val="single"/>
        </w:rPr>
        <w:t xml:space="preserve">5. A </w:t>
      </w:r>
      <w:r w:rsidR="00596BA1">
        <w:rPr>
          <w:rFonts w:cs="Arial"/>
          <w:b/>
          <w:sz w:val="24"/>
          <w:szCs w:val="24"/>
          <w:u w:val="single"/>
        </w:rPr>
        <w:t>Lakáshitel</w:t>
      </w:r>
      <w:r w:rsidRPr="00110526">
        <w:rPr>
          <w:rFonts w:cs="Arial"/>
          <w:b/>
          <w:sz w:val="24"/>
          <w:szCs w:val="24"/>
          <w:u w:val="single"/>
        </w:rPr>
        <w:t xml:space="preserve"> biztosítéka</w:t>
      </w:r>
    </w:p>
    <w:p w14:paraId="72232D1B" w14:textId="27252CB0" w:rsidR="007A58B9" w:rsidRDefault="003C7352" w:rsidP="007A58B9">
      <w:pPr>
        <w:pStyle w:val="ListParagraph"/>
        <w:numPr>
          <w:ilvl w:val="0"/>
          <w:numId w:val="20"/>
        </w:numPr>
        <w:spacing w:after="0"/>
        <w:ind w:left="426" w:hanging="284"/>
        <w:rPr>
          <w:rFonts w:cs="Arial"/>
          <w:sz w:val="24"/>
          <w:szCs w:val="24"/>
        </w:rPr>
      </w:pPr>
      <w:r w:rsidRPr="003C7352">
        <w:rPr>
          <w:rFonts w:cs="Arial"/>
          <w:bCs/>
          <w:sz w:val="24"/>
          <w:szCs w:val="24"/>
        </w:rPr>
        <w:t xml:space="preserve">A Lakáshitelből finanszírozott ingatlan a Lakáshitel Szerződésből eredő követelés biztosítékát kell képezze </w:t>
      </w:r>
      <w:r w:rsidR="00936F49" w:rsidRPr="00936F49">
        <w:rPr>
          <w:rFonts w:cs="Arial"/>
          <w:bCs/>
          <w:sz w:val="24"/>
          <w:szCs w:val="24"/>
        </w:rPr>
        <w:t xml:space="preserve">oly módon, hogy arra a </w:t>
      </w:r>
      <w:r w:rsidR="0064369B">
        <w:rPr>
          <w:rFonts w:cs="Arial"/>
          <w:bCs/>
          <w:sz w:val="24"/>
          <w:szCs w:val="24"/>
        </w:rPr>
        <w:t>H</w:t>
      </w:r>
      <w:r w:rsidR="00936F49" w:rsidRPr="00936F49">
        <w:rPr>
          <w:rFonts w:cs="Arial"/>
          <w:bCs/>
          <w:sz w:val="24"/>
          <w:szCs w:val="24"/>
        </w:rPr>
        <w:t>itelintézet javára jelzálogjogot, valamint annak biztosítására elidegenítési és terhelési tilalmat kell bejegyeznie, melyet a Lakáshitel Szerződés teljes futamideje alatt fenn kell tartani.</w:t>
      </w:r>
      <w:r w:rsidR="00936F49">
        <w:rPr>
          <w:rFonts w:cs="Arial"/>
          <w:bCs/>
          <w:sz w:val="24"/>
          <w:szCs w:val="24"/>
        </w:rPr>
        <w:t xml:space="preserve"> </w:t>
      </w:r>
    </w:p>
    <w:p w14:paraId="15448FBF" w14:textId="4B1635C7" w:rsidR="00821ADF" w:rsidRDefault="00CB2DE0" w:rsidP="00136064">
      <w:pPr>
        <w:pStyle w:val="ListParagraph"/>
        <w:numPr>
          <w:ilvl w:val="0"/>
          <w:numId w:val="0"/>
        </w:numPr>
        <w:spacing w:after="0"/>
        <w:ind w:left="426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(</w:t>
      </w:r>
      <w:r w:rsidRPr="00CB2DE0">
        <w:rPr>
          <w:rFonts w:cs="Arial"/>
          <w:bCs/>
          <w:sz w:val="24"/>
          <w:szCs w:val="24"/>
        </w:rPr>
        <w:t xml:space="preserve">További biztosítékok bevonásáról a </w:t>
      </w:r>
      <w:r w:rsidR="0064369B">
        <w:rPr>
          <w:rFonts w:cs="Arial"/>
          <w:bCs/>
          <w:sz w:val="24"/>
          <w:szCs w:val="24"/>
        </w:rPr>
        <w:t>H</w:t>
      </w:r>
      <w:r w:rsidRPr="00CB2DE0">
        <w:rPr>
          <w:rFonts w:cs="Arial"/>
          <w:bCs/>
          <w:sz w:val="24"/>
          <w:szCs w:val="24"/>
        </w:rPr>
        <w:t xml:space="preserve">itelintézet saját hatáskörben dönthet, a </w:t>
      </w:r>
      <w:r w:rsidR="0064369B">
        <w:rPr>
          <w:rFonts w:cs="Arial"/>
          <w:bCs/>
          <w:sz w:val="24"/>
          <w:szCs w:val="24"/>
        </w:rPr>
        <w:t>H</w:t>
      </w:r>
      <w:r w:rsidRPr="00CB2DE0">
        <w:rPr>
          <w:rFonts w:cs="Arial"/>
          <w:bCs/>
          <w:sz w:val="24"/>
          <w:szCs w:val="24"/>
        </w:rPr>
        <w:t>itelintézet tevékenységére</w:t>
      </w:r>
      <w:r w:rsidRPr="00CB2DE0">
        <w:rPr>
          <w:rFonts w:cs="Arial"/>
          <w:sz w:val="24"/>
          <w:szCs w:val="24"/>
        </w:rPr>
        <w:t xml:space="preserve"> vonatkozó jogszabályi előírásoknak és üzletpolitikájának megfelelően,</w:t>
      </w:r>
      <w:r>
        <w:rPr>
          <w:rFonts w:cs="Arial"/>
          <w:sz w:val="24"/>
          <w:szCs w:val="24"/>
        </w:rPr>
        <w:t xml:space="preserve"> </w:t>
      </w:r>
      <w:r w:rsidRPr="00CB2DE0">
        <w:rPr>
          <w:rFonts w:cs="Arial"/>
          <w:sz w:val="24"/>
          <w:szCs w:val="24"/>
        </w:rPr>
        <w:t>azonban óvadéki betét, vagy értékpapír nem képezheti a Lakáshitel Szerződés biztosítékát.</w:t>
      </w:r>
      <w:r>
        <w:rPr>
          <w:rFonts w:cs="Arial"/>
          <w:sz w:val="24"/>
          <w:szCs w:val="24"/>
        </w:rPr>
        <w:t>)</w:t>
      </w:r>
    </w:p>
    <w:p w14:paraId="4CE78D46" w14:textId="4E89A449" w:rsidR="0064369B" w:rsidRDefault="0064369B" w:rsidP="00136064">
      <w:pPr>
        <w:pStyle w:val="ListParagraph"/>
        <w:numPr>
          <w:ilvl w:val="0"/>
          <w:numId w:val="0"/>
        </w:numPr>
        <w:spacing w:after="0"/>
        <w:ind w:left="426"/>
        <w:rPr>
          <w:rFonts w:cs="Arial"/>
          <w:sz w:val="24"/>
          <w:szCs w:val="24"/>
        </w:rPr>
      </w:pPr>
      <w:r w:rsidRPr="00596BA1">
        <w:rPr>
          <w:rFonts w:cs="Arial"/>
          <w:bCs/>
          <w:i/>
          <w:iCs/>
          <w:sz w:val="24"/>
          <w:szCs w:val="24"/>
        </w:rPr>
        <w:t>&lt;</w:t>
      </w:r>
      <w:r>
        <w:rPr>
          <w:rFonts w:cs="Arial"/>
          <w:bCs/>
          <w:i/>
          <w:iCs/>
          <w:sz w:val="24"/>
          <w:szCs w:val="24"/>
        </w:rPr>
        <w:t xml:space="preserve">További biztosítékok: a </w:t>
      </w:r>
      <w:r w:rsidRPr="00596BA1">
        <w:rPr>
          <w:rFonts w:cs="Arial"/>
          <w:bCs/>
          <w:i/>
          <w:iCs/>
          <w:sz w:val="24"/>
          <w:szCs w:val="24"/>
        </w:rPr>
        <w:t xml:space="preserve">Hitelintézet </w:t>
      </w:r>
      <w:r>
        <w:rPr>
          <w:rFonts w:cs="Arial"/>
          <w:bCs/>
          <w:i/>
          <w:iCs/>
          <w:sz w:val="24"/>
          <w:szCs w:val="24"/>
        </w:rPr>
        <w:t>tölti ki!</w:t>
      </w:r>
      <w:r w:rsidRPr="00596BA1">
        <w:rPr>
          <w:rFonts w:cs="Arial"/>
          <w:bCs/>
          <w:i/>
          <w:iCs/>
          <w:sz w:val="24"/>
          <w:szCs w:val="24"/>
        </w:rPr>
        <w:t>&gt;</w:t>
      </w:r>
    </w:p>
    <w:p w14:paraId="1320D967" w14:textId="77777777" w:rsidR="00CB2DE0" w:rsidRPr="00CB2DE0" w:rsidRDefault="00CB2DE0" w:rsidP="00136064">
      <w:pPr>
        <w:pStyle w:val="ListParagraph"/>
        <w:numPr>
          <w:ilvl w:val="0"/>
          <w:numId w:val="0"/>
        </w:numPr>
        <w:spacing w:after="0"/>
        <w:ind w:left="426"/>
        <w:rPr>
          <w:rFonts w:cs="Arial"/>
          <w:sz w:val="24"/>
          <w:szCs w:val="24"/>
        </w:rPr>
      </w:pPr>
    </w:p>
    <w:p w14:paraId="2EE9E7A9" w14:textId="5E690952" w:rsidR="00821ADF" w:rsidRPr="00110526" w:rsidRDefault="007A58B9" w:rsidP="00936F49">
      <w:pPr>
        <w:keepNext/>
        <w:spacing w:after="0"/>
        <w:rPr>
          <w:rFonts w:cs="Arial"/>
          <w:b/>
          <w:sz w:val="24"/>
          <w:szCs w:val="24"/>
          <w:u w:val="single"/>
        </w:rPr>
      </w:pPr>
      <w:r w:rsidRPr="00110526">
        <w:rPr>
          <w:rFonts w:cs="Arial"/>
          <w:b/>
          <w:sz w:val="24"/>
          <w:szCs w:val="24"/>
          <w:u w:val="single"/>
        </w:rPr>
        <w:t>6. A szerződéskötésre vonatkozó ajánlat</w:t>
      </w:r>
    </w:p>
    <w:p w14:paraId="4C36921E" w14:textId="2E19EB56" w:rsidR="00FA6E70" w:rsidRPr="00936F49" w:rsidRDefault="007A58B9" w:rsidP="00951EEF">
      <w:pPr>
        <w:pStyle w:val="ListParagraph"/>
        <w:keepNext/>
        <w:numPr>
          <w:ilvl w:val="0"/>
          <w:numId w:val="20"/>
        </w:numPr>
        <w:spacing w:after="0"/>
        <w:ind w:left="426" w:hanging="284"/>
        <w:rPr>
          <w:rFonts w:cs="Arial"/>
          <w:b/>
          <w:sz w:val="24"/>
          <w:szCs w:val="24"/>
          <w:u w:val="single"/>
        </w:rPr>
      </w:pPr>
      <w:r w:rsidRPr="00FA6E70">
        <w:rPr>
          <w:color w:val="000000"/>
          <w:sz w:val="24"/>
          <w:szCs w:val="24"/>
        </w:rPr>
        <w:t xml:space="preserve">A </w:t>
      </w:r>
      <w:r w:rsidR="00821ADF">
        <w:rPr>
          <w:color w:val="000000"/>
          <w:sz w:val="24"/>
          <w:szCs w:val="24"/>
        </w:rPr>
        <w:t>H</w:t>
      </w:r>
      <w:r w:rsidR="00FA6E70" w:rsidRPr="00FA6E70">
        <w:rPr>
          <w:color w:val="000000"/>
          <w:sz w:val="24"/>
          <w:szCs w:val="24"/>
        </w:rPr>
        <w:t>itelintézet</w:t>
      </w:r>
      <w:r w:rsidR="00821ADF">
        <w:rPr>
          <w:color w:val="000000"/>
          <w:sz w:val="24"/>
          <w:szCs w:val="24"/>
        </w:rPr>
        <w:t xml:space="preserve"> </w:t>
      </w:r>
      <w:r w:rsidR="00FA6E70" w:rsidRPr="00FA6E70">
        <w:rPr>
          <w:color w:val="000000"/>
          <w:sz w:val="24"/>
          <w:szCs w:val="24"/>
        </w:rPr>
        <w:t xml:space="preserve">köteles </w:t>
      </w:r>
      <w:r w:rsidRPr="00FA6E70">
        <w:rPr>
          <w:color w:val="000000"/>
          <w:sz w:val="24"/>
          <w:szCs w:val="24"/>
        </w:rPr>
        <w:t xml:space="preserve">a </w:t>
      </w:r>
      <w:r w:rsidR="00F33D3B">
        <w:rPr>
          <w:color w:val="000000"/>
          <w:sz w:val="24"/>
          <w:szCs w:val="24"/>
        </w:rPr>
        <w:t>f</w:t>
      </w:r>
      <w:r w:rsidR="00FA6E70" w:rsidRPr="00FA6E70">
        <w:rPr>
          <w:color w:val="000000"/>
          <w:sz w:val="24"/>
          <w:szCs w:val="24"/>
        </w:rPr>
        <w:t>ogyasztó</w:t>
      </w:r>
      <w:r w:rsidRPr="00FA6E70">
        <w:rPr>
          <w:color w:val="000000"/>
          <w:sz w:val="24"/>
          <w:szCs w:val="24"/>
        </w:rPr>
        <w:t xml:space="preserve"> részére</w:t>
      </w:r>
      <w:r w:rsidR="00FA6411">
        <w:rPr>
          <w:color w:val="000000"/>
          <w:sz w:val="24"/>
          <w:szCs w:val="24"/>
        </w:rPr>
        <w:t xml:space="preserve"> – a fogyasztó által megadott adat</w:t>
      </w:r>
      <w:r w:rsidR="00936F49">
        <w:rPr>
          <w:color w:val="000000"/>
          <w:sz w:val="24"/>
          <w:szCs w:val="24"/>
        </w:rPr>
        <w:t>ok</w:t>
      </w:r>
      <w:r w:rsidR="00FA6411">
        <w:rPr>
          <w:color w:val="000000"/>
          <w:sz w:val="24"/>
          <w:szCs w:val="24"/>
        </w:rPr>
        <w:t xml:space="preserve"> alapján – </w:t>
      </w:r>
      <w:r w:rsidR="00FA6E70" w:rsidRPr="00FA6E70">
        <w:rPr>
          <w:color w:val="000000"/>
          <w:sz w:val="24"/>
          <w:szCs w:val="24"/>
        </w:rPr>
        <w:t xml:space="preserve">a </w:t>
      </w:r>
      <w:r w:rsidR="00596BA1">
        <w:rPr>
          <w:color w:val="000000"/>
          <w:sz w:val="24"/>
          <w:szCs w:val="24"/>
        </w:rPr>
        <w:t xml:space="preserve">Lakáshitel </w:t>
      </w:r>
      <w:r w:rsidR="00FA6E70" w:rsidRPr="00FA6E70">
        <w:rPr>
          <w:color w:val="000000"/>
          <w:sz w:val="24"/>
          <w:szCs w:val="24"/>
        </w:rPr>
        <w:t>kérelem befogadáskor, a Lakáshitel főbb tulajdonságait összefoglaló visszavonhatatlan ajánlatot átadni.</w:t>
      </w:r>
      <w:r w:rsidRPr="00FA6E70">
        <w:rPr>
          <w:color w:val="000000"/>
          <w:sz w:val="24"/>
          <w:szCs w:val="24"/>
        </w:rPr>
        <w:t xml:space="preserve"> </w:t>
      </w:r>
    </w:p>
    <w:p w14:paraId="30B818AB" w14:textId="33660621" w:rsidR="00936F49" w:rsidRPr="00936F49" w:rsidRDefault="00936F49" w:rsidP="00951EEF">
      <w:pPr>
        <w:pStyle w:val="ListParagraph"/>
        <w:keepNext/>
        <w:numPr>
          <w:ilvl w:val="0"/>
          <w:numId w:val="20"/>
        </w:numPr>
        <w:spacing w:after="0"/>
        <w:ind w:left="426" w:hanging="284"/>
        <w:rPr>
          <w:rFonts w:cs="Arial"/>
          <w:b/>
          <w:sz w:val="24"/>
          <w:szCs w:val="24"/>
          <w:u w:val="single"/>
        </w:rPr>
      </w:pPr>
      <w:r w:rsidRPr="00936F49">
        <w:rPr>
          <w:color w:val="000000"/>
          <w:sz w:val="24"/>
          <w:szCs w:val="24"/>
        </w:rPr>
        <w:t xml:space="preserve">Az ajánlati kötöttség az ajánlat kiállítását követő legalább 90 napig köti a </w:t>
      </w:r>
      <w:r w:rsidR="00DA345C">
        <w:rPr>
          <w:color w:val="000000"/>
          <w:sz w:val="24"/>
          <w:szCs w:val="24"/>
        </w:rPr>
        <w:t>H</w:t>
      </w:r>
      <w:r w:rsidRPr="00936F49">
        <w:rPr>
          <w:color w:val="000000"/>
          <w:sz w:val="24"/>
          <w:szCs w:val="24"/>
        </w:rPr>
        <w:t>itelintézetet. A szerződéstervezet átadásával együtt átadott, vagy postai, elektronikus úton megküldött kötelező érvényű ajánlat átadásának időpontjától számított 15 napig szükséges fenntartani az ajánlati kötöttséget.</w:t>
      </w:r>
    </w:p>
    <w:p w14:paraId="1B5F90FF" w14:textId="77777777" w:rsidR="00821ADF" w:rsidRPr="00FA6E70" w:rsidRDefault="00821ADF" w:rsidP="00821ADF">
      <w:pPr>
        <w:pStyle w:val="ListParagraph"/>
        <w:keepNext/>
        <w:numPr>
          <w:ilvl w:val="0"/>
          <w:numId w:val="0"/>
        </w:numPr>
        <w:spacing w:after="0"/>
        <w:ind w:left="426"/>
        <w:rPr>
          <w:rFonts w:cs="Arial"/>
          <w:b/>
          <w:sz w:val="24"/>
          <w:szCs w:val="24"/>
          <w:u w:val="single"/>
        </w:rPr>
      </w:pPr>
    </w:p>
    <w:p w14:paraId="3A015F84" w14:textId="058FF647" w:rsidR="007A58B9" w:rsidRPr="006E2A36" w:rsidRDefault="007A58B9" w:rsidP="00936F49">
      <w:pPr>
        <w:keepNext/>
        <w:spacing w:after="0"/>
        <w:rPr>
          <w:sz w:val="24"/>
          <w:szCs w:val="24"/>
        </w:rPr>
      </w:pPr>
      <w:r w:rsidRPr="006E2A36">
        <w:rPr>
          <w:rFonts w:cs="Arial"/>
          <w:b/>
          <w:sz w:val="24"/>
          <w:szCs w:val="24"/>
          <w:u w:val="single"/>
        </w:rPr>
        <w:t>7. Folyósítás</w:t>
      </w:r>
      <w:r w:rsidRPr="006E2A36">
        <w:rPr>
          <w:sz w:val="24"/>
          <w:szCs w:val="24"/>
        </w:rPr>
        <w:t xml:space="preserve"> </w:t>
      </w:r>
    </w:p>
    <w:p w14:paraId="7EE7BFAE" w14:textId="631283A6" w:rsidR="006E2A36" w:rsidRDefault="006E2A36" w:rsidP="00FA6E70">
      <w:pPr>
        <w:keepNext/>
        <w:spacing w:after="0"/>
        <w:rPr>
          <w:i/>
          <w:iCs/>
          <w:sz w:val="24"/>
          <w:szCs w:val="24"/>
        </w:rPr>
      </w:pPr>
      <w:r w:rsidRPr="006E2A36">
        <w:rPr>
          <w:i/>
          <w:iCs/>
          <w:sz w:val="24"/>
          <w:szCs w:val="24"/>
        </w:rPr>
        <w:t>&lt;Hitelintézet tölti ki!&gt;</w:t>
      </w:r>
    </w:p>
    <w:p w14:paraId="58515E41" w14:textId="77777777" w:rsidR="00821ADF" w:rsidRPr="006E2A36" w:rsidRDefault="00821ADF" w:rsidP="00FA6E70">
      <w:pPr>
        <w:keepNext/>
        <w:spacing w:after="0"/>
        <w:rPr>
          <w:i/>
          <w:iCs/>
          <w:sz w:val="24"/>
          <w:szCs w:val="24"/>
        </w:rPr>
      </w:pPr>
    </w:p>
    <w:p w14:paraId="61BA1535" w14:textId="67B0BC35" w:rsidR="007A58B9" w:rsidRPr="006E2A36" w:rsidRDefault="007A58B9" w:rsidP="007A58B9">
      <w:pPr>
        <w:spacing w:after="0"/>
        <w:rPr>
          <w:rFonts w:cs="Arial"/>
          <w:b/>
          <w:sz w:val="24"/>
          <w:szCs w:val="24"/>
          <w:u w:val="single"/>
        </w:rPr>
      </w:pPr>
      <w:r w:rsidRPr="006E2A36">
        <w:rPr>
          <w:rFonts w:cs="Arial"/>
          <w:b/>
          <w:sz w:val="24"/>
          <w:szCs w:val="24"/>
          <w:u w:val="single"/>
        </w:rPr>
        <w:t>8. Törlesztés</w:t>
      </w:r>
    </w:p>
    <w:p w14:paraId="0231197F" w14:textId="4499D37B" w:rsidR="006E2A36" w:rsidRDefault="006E2A36" w:rsidP="00936F49">
      <w:pPr>
        <w:keepNext/>
        <w:spacing w:after="0"/>
        <w:rPr>
          <w:i/>
          <w:iCs/>
          <w:sz w:val="24"/>
          <w:szCs w:val="24"/>
        </w:rPr>
      </w:pPr>
      <w:r w:rsidRPr="006E2A36">
        <w:rPr>
          <w:i/>
          <w:iCs/>
          <w:sz w:val="24"/>
          <w:szCs w:val="24"/>
        </w:rPr>
        <w:t>&lt;Hitelintézet tölti ki!&gt;</w:t>
      </w:r>
    </w:p>
    <w:p w14:paraId="5C52F6CA" w14:textId="77777777" w:rsidR="00821ADF" w:rsidRPr="00110526" w:rsidRDefault="00821ADF" w:rsidP="007A58B9">
      <w:pPr>
        <w:spacing w:after="0"/>
        <w:rPr>
          <w:rFonts w:cs="Arial"/>
          <w:b/>
          <w:sz w:val="24"/>
          <w:szCs w:val="24"/>
          <w:u w:val="single"/>
        </w:rPr>
      </w:pPr>
    </w:p>
    <w:p w14:paraId="724B08AD" w14:textId="139EF39C" w:rsidR="007A58B9" w:rsidRPr="00110526" w:rsidRDefault="007A58B9" w:rsidP="00802795">
      <w:pPr>
        <w:keepNext/>
        <w:spacing w:after="0"/>
        <w:rPr>
          <w:rFonts w:cs="Arial"/>
          <w:b/>
          <w:sz w:val="24"/>
          <w:szCs w:val="24"/>
          <w:u w:val="single"/>
        </w:rPr>
      </w:pPr>
      <w:r w:rsidRPr="00110526">
        <w:rPr>
          <w:rFonts w:cs="Arial"/>
          <w:b/>
          <w:sz w:val="24"/>
          <w:szCs w:val="24"/>
          <w:u w:val="single"/>
        </w:rPr>
        <w:t>9. Kamat</w:t>
      </w:r>
      <w:r w:rsidR="004B41F2" w:rsidRPr="004B41F2">
        <w:rPr>
          <w:rFonts w:cs="Arial"/>
          <w:b/>
          <w:sz w:val="24"/>
          <w:szCs w:val="24"/>
          <w:u w:val="single"/>
        </w:rPr>
        <w:t xml:space="preserve"> </w:t>
      </w:r>
      <w:r w:rsidR="004B41F2">
        <w:rPr>
          <w:rFonts w:cs="Arial"/>
          <w:b/>
          <w:sz w:val="24"/>
          <w:szCs w:val="24"/>
          <w:u w:val="single"/>
        </w:rPr>
        <w:t>és egyéb díjak változása</w:t>
      </w:r>
    </w:p>
    <w:p w14:paraId="4AD40E57" w14:textId="388AFE4E" w:rsidR="004B41F2" w:rsidRPr="00821ADF" w:rsidRDefault="00F645AA" w:rsidP="00821ADF">
      <w:pPr>
        <w:pStyle w:val="ListParagraph"/>
        <w:keepNext/>
        <w:numPr>
          <w:ilvl w:val="0"/>
          <w:numId w:val="20"/>
        </w:numPr>
        <w:spacing w:after="0"/>
        <w:ind w:left="426" w:hanging="284"/>
        <w:rPr>
          <w:color w:val="000000"/>
          <w:sz w:val="24"/>
          <w:szCs w:val="24"/>
        </w:rPr>
      </w:pPr>
      <w:r w:rsidRPr="00821ADF">
        <w:rPr>
          <w:color w:val="000000"/>
          <w:sz w:val="24"/>
          <w:szCs w:val="24"/>
        </w:rPr>
        <w:t xml:space="preserve">Amennyiben a </w:t>
      </w:r>
      <w:r w:rsidR="00DA345C">
        <w:rPr>
          <w:color w:val="000000"/>
          <w:sz w:val="24"/>
          <w:szCs w:val="24"/>
        </w:rPr>
        <w:t>H</w:t>
      </w:r>
      <w:r w:rsidR="004B5411">
        <w:rPr>
          <w:color w:val="000000"/>
          <w:sz w:val="24"/>
          <w:szCs w:val="24"/>
        </w:rPr>
        <w:t xml:space="preserve">itelintézet a </w:t>
      </w:r>
      <w:r w:rsidRPr="00821ADF">
        <w:rPr>
          <w:color w:val="000000"/>
          <w:sz w:val="24"/>
          <w:szCs w:val="24"/>
        </w:rPr>
        <w:t>Lakáshitel Szerződés</w:t>
      </w:r>
      <w:r w:rsidR="004B5411">
        <w:rPr>
          <w:color w:val="000000"/>
          <w:sz w:val="24"/>
          <w:szCs w:val="24"/>
        </w:rPr>
        <w:t xml:space="preserve">hez kapcsolódóan a részére MNB által nyújtott </w:t>
      </w:r>
      <w:r w:rsidR="00936F49">
        <w:rPr>
          <w:color w:val="000000"/>
          <w:sz w:val="24"/>
          <w:szCs w:val="24"/>
        </w:rPr>
        <w:t>refinanszírozás</w:t>
      </w:r>
      <w:r w:rsidR="004B5411">
        <w:rPr>
          <w:color w:val="000000"/>
          <w:sz w:val="24"/>
          <w:szCs w:val="24"/>
        </w:rPr>
        <w:t xml:space="preserve">i kölcsönt </w:t>
      </w:r>
      <w:r w:rsidR="00936F49">
        <w:rPr>
          <w:color w:val="000000"/>
          <w:sz w:val="24"/>
          <w:szCs w:val="24"/>
        </w:rPr>
        <w:t>a</w:t>
      </w:r>
      <w:r w:rsidR="004B5411">
        <w:rPr>
          <w:color w:val="000000"/>
          <w:sz w:val="24"/>
          <w:szCs w:val="24"/>
        </w:rPr>
        <w:t>z Adósnak felróható ok</w:t>
      </w:r>
      <w:r w:rsidR="005F56CD">
        <w:rPr>
          <w:color w:val="000000"/>
          <w:sz w:val="24"/>
          <w:szCs w:val="24"/>
        </w:rPr>
        <w:t>ok</w:t>
      </w:r>
      <w:r w:rsidR="004B5411">
        <w:rPr>
          <w:color w:val="000000"/>
          <w:sz w:val="24"/>
          <w:szCs w:val="24"/>
        </w:rPr>
        <w:t xml:space="preserve"> valamelyike miatt köteles az MNB részére visszafizetni, </w:t>
      </w:r>
      <w:r w:rsidR="00E54782" w:rsidRPr="00821ADF">
        <w:rPr>
          <w:color w:val="000000"/>
          <w:sz w:val="24"/>
          <w:szCs w:val="24"/>
        </w:rPr>
        <w:t xml:space="preserve">úgy </w:t>
      </w:r>
      <w:r w:rsidR="005D35A8" w:rsidRPr="00821ADF">
        <w:rPr>
          <w:color w:val="000000"/>
          <w:sz w:val="24"/>
          <w:szCs w:val="24"/>
        </w:rPr>
        <w:t>a</w:t>
      </w:r>
      <w:r w:rsidR="004B5411">
        <w:rPr>
          <w:color w:val="000000"/>
          <w:sz w:val="24"/>
          <w:szCs w:val="24"/>
        </w:rPr>
        <w:t xml:space="preserve"> Lakáshitel </w:t>
      </w:r>
      <w:r w:rsidR="004B41F2" w:rsidRPr="00821ADF">
        <w:rPr>
          <w:color w:val="000000"/>
          <w:sz w:val="24"/>
          <w:szCs w:val="24"/>
        </w:rPr>
        <w:t>ügyleti kamat</w:t>
      </w:r>
      <w:r w:rsidR="004B5411">
        <w:rPr>
          <w:color w:val="000000"/>
          <w:sz w:val="24"/>
          <w:szCs w:val="24"/>
        </w:rPr>
        <w:t>a</w:t>
      </w:r>
      <w:r w:rsidR="004B41F2" w:rsidRPr="00821ADF">
        <w:rPr>
          <w:color w:val="000000"/>
          <w:sz w:val="24"/>
          <w:szCs w:val="24"/>
        </w:rPr>
        <w:t xml:space="preserve"> </w:t>
      </w:r>
      <w:r w:rsidR="005D35A8" w:rsidRPr="00821ADF">
        <w:rPr>
          <w:color w:val="000000"/>
          <w:sz w:val="24"/>
          <w:szCs w:val="24"/>
        </w:rPr>
        <w:t>és az egyéb díja</w:t>
      </w:r>
      <w:r w:rsidR="004B5411">
        <w:rPr>
          <w:color w:val="000000"/>
          <w:sz w:val="24"/>
          <w:szCs w:val="24"/>
        </w:rPr>
        <w:t>i</w:t>
      </w:r>
      <w:r w:rsidR="005D35A8" w:rsidRPr="00821ADF">
        <w:rPr>
          <w:color w:val="000000"/>
          <w:sz w:val="24"/>
          <w:szCs w:val="24"/>
        </w:rPr>
        <w:t xml:space="preserve"> </w:t>
      </w:r>
      <w:r w:rsidR="004B41F2" w:rsidRPr="00821ADF">
        <w:rPr>
          <w:color w:val="000000"/>
          <w:sz w:val="24"/>
          <w:szCs w:val="24"/>
        </w:rPr>
        <w:t xml:space="preserve">az alábbiak szerint </w:t>
      </w:r>
      <w:r w:rsidR="005D35A8" w:rsidRPr="00821ADF">
        <w:rPr>
          <w:color w:val="000000"/>
          <w:sz w:val="24"/>
          <w:szCs w:val="24"/>
        </w:rPr>
        <w:t>változnak</w:t>
      </w:r>
      <w:r w:rsidR="00821ADF">
        <w:rPr>
          <w:color w:val="000000"/>
          <w:sz w:val="24"/>
          <w:szCs w:val="24"/>
        </w:rPr>
        <w:t>:</w:t>
      </w:r>
    </w:p>
    <w:p w14:paraId="73933743" w14:textId="3628082A" w:rsidR="00FA6411" w:rsidRPr="006942E2" w:rsidRDefault="006942E2" w:rsidP="00FA6411">
      <w:pPr>
        <w:pStyle w:val="ListParagraph"/>
        <w:keepNext/>
        <w:numPr>
          <w:ilvl w:val="1"/>
          <w:numId w:val="20"/>
        </w:numPr>
        <w:spacing w:after="0"/>
        <w:ind w:left="709" w:hanging="283"/>
        <w:rPr>
          <w:color w:val="000000"/>
          <w:sz w:val="24"/>
          <w:szCs w:val="24"/>
        </w:rPr>
      </w:pPr>
      <w:r w:rsidRPr="006942E2">
        <w:rPr>
          <w:i/>
          <w:color w:val="000000" w:themeColor="text1"/>
          <w:sz w:val="24"/>
        </w:rPr>
        <w:t>&lt;a Hitelintézet az NHP ZOP Terméktájékoztatójában meghatározott keretek között határozza meg és tölti ki</w:t>
      </w:r>
      <w:r w:rsidRPr="006942E2">
        <w:rPr>
          <w:i/>
          <w:iCs/>
          <w:color w:val="000000"/>
          <w:sz w:val="24"/>
          <w:szCs w:val="24"/>
        </w:rPr>
        <w:t>!&gt;</w:t>
      </w:r>
      <w:r w:rsidR="00FA6411" w:rsidRPr="006942E2">
        <w:rPr>
          <w:color w:val="000000"/>
          <w:sz w:val="24"/>
          <w:szCs w:val="24"/>
        </w:rPr>
        <w:t>,</w:t>
      </w:r>
    </w:p>
    <w:p w14:paraId="63846CFE" w14:textId="1A8BD242" w:rsidR="005D35A8" w:rsidRDefault="004B41F2" w:rsidP="00D71CEB">
      <w:pPr>
        <w:pStyle w:val="ListParagraph"/>
        <w:keepNext/>
        <w:numPr>
          <w:ilvl w:val="1"/>
          <w:numId w:val="20"/>
        </w:numPr>
        <w:spacing w:after="0"/>
        <w:ind w:left="709" w:hanging="283"/>
        <w:rPr>
          <w:color w:val="000000"/>
          <w:sz w:val="24"/>
          <w:szCs w:val="24"/>
        </w:rPr>
      </w:pPr>
      <w:r w:rsidRPr="00107DEA">
        <w:rPr>
          <w:color w:val="000000"/>
          <w:sz w:val="24"/>
          <w:szCs w:val="24"/>
        </w:rPr>
        <w:t>a teljes vagy részleges előtörlesztési díj maximum az előtörlesztett összeg 1</w:t>
      </w:r>
      <w:r w:rsidR="00FA6411">
        <w:rPr>
          <w:color w:val="000000"/>
          <w:sz w:val="24"/>
          <w:szCs w:val="24"/>
        </w:rPr>
        <w:t xml:space="preserve"> százaléka</w:t>
      </w:r>
      <w:r w:rsidR="005D35A8">
        <w:rPr>
          <w:color w:val="000000"/>
          <w:sz w:val="24"/>
          <w:szCs w:val="24"/>
        </w:rPr>
        <w:t>,</w:t>
      </w:r>
      <w:r w:rsidRPr="00107DEA">
        <w:rPr>
          <w:color w:val="000000"/>
          <w:sz w:val="24"/>
          <w:szCs w:val="24"/>
        </w:rPr>
        <w:t xml:space="preserve"> </w:t>
      </w:r>
      <w:r w:rsidR="007D6896">
        <w:rPr>
          <w:color w:val="000000"/>
          <w:sz w:val="24"/>
          <w:szCs w:val="24"/>
        </w:rPr>
        <w:t xml:space="preserve">ide nem értve a lakástakarék-pénztári </w:t>
      </w:r>
      <w:r w:rsidR="000F0B33">
        <w:rPr>
          <w:color w:val="000000"/>
          <w:sz w:val="24"/>
          <w:szCs w:val="24"/>
        </w:rPr>
        <w:t xml:space="preserve">szerződés alapján </w:t>
      </w:r>
      <w:r w:rsidR="007D6896">
        <w:rPr>
          <w:color w:val="000000"/>
          <w:sz w:val="24"/>
          <w:szCs w:val="24"/>
        </w:rPr>
        <w:t>történt teljes vagy részleges előtörlesztést,</w:t>
      </w:r>
    </w:p>
    <w:p w14:paraId="2DC2C7D5" w14:textId="1BB43532" w:rsidR="00E54782" w:rsidRDefault="00F645AA" w:rsidP="00D71CEB">
      <w:pPr>
        <w:pStyle w:val="ListParagraph"/>
        <w:keepNext/>
        <w:numPr>
          <w:ilvl w:val="1"/>
          <w:numId w:val="20"/>
        </w:numPr>
        <w:spacing w:after="0"/>
        <w:ind w:left="709" w:hanging="283"/>
        <w:rPr>
          <w:i/>
          <w:iCs/>
          <w:color w:val="000000"/>
          <w:sz w:val="24"/>
          <w:szCs w:val="24"/>
        </w:rPr>
      </w:pPr>
      <w:r w:rsidRPr="004E56A9">
        <w:rPr>
          <w:color w:val="000000" w:themeColor="text1"/>
          <w:sz w:val="24"/>
        </w:rPr>
        <w:t xml:space="preserve"> </w:t>
      </w:r>
      <w:r w:rsidR="00596BA1" w:rsidRPr="004E56A9">
        <w:rPr>
          <w:color w:val="000000" w:themeColor="text1"/>
          <w:sz w:val="24"/>
        </w:rPr>
        <w:t xml:space="preserve">egyéb díjak </w:t>
      </w:r>
      <w:r w:rsidR="005D35A8" w:rsidRPr="004E56A9">
        <w:rPr>
          <w:i/>
          <w:color w:val="000000" w:themeColor="text1"/>
          <w:sz w:val="24"/>
        </w:rPr>
        <w:t>&lt;Hitelintézet tölti ki</w:t>
      </w:r>
      <w:r w:rsidR="005D35A8" w:rsidRPr="005D35A8">
        <w:rPr>
          <w:i/>
          <w:iCs/>
          <w:color w:val="000000"/>
          <w:sz w:val="24"/>
          <w:szCs w:val="24"/>
        </w:rPr>
        <w:t>!&gt;</w:t>
      </w:r>
    </w:p>
    <w:p w14:paraId="6B69836C" w14:textId="65D71F14" w:rsidR="007C4FAE" w:rsidRDefault="007C4FAE" w:rsidP="00D71CEB">
      <w:pPr>
        <w:pStyle w:val="ListParagraph"/>
        <w:keepNext/>
        <w:numPr>
          <w:ilvl w:val="1"/>
          <w:numId w:val="20"/>
        </w:numPr>
        <w:spacing w:after="0"/>
        <w:ind w:left="709" w:hanging="283"/>
        <w:rPr>
          <w:i/>
          <w:iCs/>
          <w:color w:val="000000"/>
          <w:sz w:val="24"/>
          <w:szCs w:val="24"/>
        </w:rPr>
      </w:pPr>
      <w:r>
        <w:rPr>
          <w:color w:val="000000" w:themeColor="text1"/>
          <w:sz w:val="24"/>
        </w:rPr>
        <w:t xml:space="preserve">a Hitelintézet </w:t>
      </w:r>
      <w:r w:rsidR="00447C61">
        <w:rPr>
          <w:color w:val="000000" w:themeColor="text1"/>
          <w:sz w:val="24"/>
        </w:rPr>
        <w:t xml:space="preserve">az </w:t>
      </w:r>
      <w:r>
        <w:rPr>
          <w:color w:val="000000" w:themeColor="text1"/>
          <w:sz w:val="24"/>
        </w:rPr>
        <w:t xml:space="preserve">általa az MNB részére – </w:t>
      </w:r>
      <w:r>
        <w:rPr>
          <w:color w:val="000000"/>
          <w:sz w:val="24"/>
          <w:szCs w:val="24"/>
        </w:rPr>
        <w:t>Adósnak felróható ok valamelyikére tekintettel – megfizetett</w:t>
      </w:r>
      <w:r>
        <w:rPr>
          <w:color w:val="000000" w:themeColor="text1"/>
          <w:sz w:val="24"/>
        </w:rPr>
        <w:t xml:space="preserve"> büntető kamatot jogosult az Adósra áthárítani (</w:t>
      </w:r>
      <w:r>
        <w:rPr>
          <w:iCs/>
          <w:sz w:val="24"/>
        </w:rPr>
        <w:t xml:space="preserve">a </w:t>
      </w:r>
      <w:r w:rsidRPr="00A31958">
        <w:rPr>
          <w:iCs/>
          <w:sz w:val="24"/>
        </w:rPr>
        <w:t xml:space="preserve">büntető kamat </w:t>
      </w:r>
      <w:r>
        <w:rPr>
          <w:iCs/>
          <w:sz w:val="24"/>
        </w:rPr>
        <w:t>mértéke</w:t>
      </w:r>
      <w:r w:rsidRPr="00A31958">
        <w:rPr>
          <w:iCs/>
          <w:sz w:val="24"/>
        </w:rPr>
        <w:t xml:space="preserve"> a mindenkori jegybanki alapkamat kétszeresének az Adós részére nyújtott kölcsönösszegre vetített összege</w:t>
      </w:r>
      <w:r>
        <w:rPr>
          <w:iCs/>
          <w:sz w:val="24"/>
        </w:rPr>
        <w:t>; a</w:t>
      </w:r>
      <w:r w:rsidRPr="00A31958">
        <w:rPr>
          <w:iCs/>
          <w:sz w:val="24"/>
        </w:rPr>
        <w:t xml:space="preserve"> büntető kamat számításának alapjául szolgáló időszak a jogosulatlan igénybevétel időtartama </w:t>
      </w:r>
      <w:r>
        <w:rPr>
          <w:iCs/>
          <w:sz w:val="24"/>
        </w:rPr>
        <w:t xml:space="preserve">– </w:t>
      </w:r>
      <w:r w:rsidRPr="00A31958">
        <w:rPr>
          <w:iCs/>
          <w:sz w:val="24"/>
        </w:rPr>
        <w:t>azaz a</w:t>
      </w:r>
      <w:r>
        <w:rPr>
          <w:iCs/>
          <w:sz w:val="24"/>
        </w:rPr>
        <w:t xml:space="preserve">z alábbiakban </w:t>
      </w:r>
      <w:r w:rsidRPr="00A31958">
        <w:rPr>
          <w:iCs/>
          <w:sz w:val="24"/>
        </w:rPr>
        <w:t>foglalt</w:t>
      </w:r>
      <w:r>
        <w:rPr>
          <w:iCs/>
          <w:sz w:val="24"/>
        </w:rPr>
        <w:t>, Adósnak felróható</w:t>
      </w:r>
      <w:r w:rsidRPr="00A31958">
        <w:rPr>
          <w:iCs/>
          <w:sz w:val="24"/>
        </w:rPr>
        <w:t xml:space="preserve"> esetek bekövetkezte és az MNB által az adott Lakáshitel Szerződés vonatkozásában a hitelintézet részére nyújtott refinanszírozási kölcsön visszafizetése közötti időszak</w:t>
      </w:r>
      <w:r>
        <w:rPr>
          <w:iCs/>
          <w:sz w:val="24"/>
        </w:rPr>
        <w:t xml:space="preserve"> –</w:t>
      </w:r>
      <w:r w:rsidRPr="00A31958">
        <w:rPr>
          <w:iCs/>
          <w:sz w:val="24"/>
        </w:rPr>
        <w:t xml:space="preserve">, vagy ha ez nem állapítható meg, </w:t>
      </w:r>
      <w:r w:rsidRPr="00A31958">
        <w:rPr>
          <w:iCs/>
          <w:sz w:val="24"/>
        </w:rPr>
        <w:lastRenderedPageBreak/>
        <w:t>illetve már a folyósításkor jogosulatlan volt az igénybevétel, a refinanszírozási kölcsön folyósítása és a visszafizetés közötti teljes időszak</w:t>
      </w:r>
      <w:r>
        <w:rPr>
          <w:iCs/>
          <w:sz w:val="24"/>
        </w:rPr>
        <w:t>)</w:t>
      </w:r>
      <w:r>
        <w:rPr>
          <w:color w:val="000000" w:themeColor="text1"/>
          <w:sz w:val="24"/>
        </w:rPr>
        <w:t xml:space="preserve"> </w:t>
      </w:r>
    </w:p>
    <w:p w14:paraId="04B51B0C" w14:textId="31F904B7" w:rsidR="005E6E9D" w:rsidRPr="004B297D" w:rsidRDefault="005E6E9D" w:rsidP="004B297D">
      <w:pPr>
        <w:pStyle w:val="ListParagraph"/>
        <w:keepNext/>
        <w:numPr>
          <w:ilvl w:val="0"/>
          <w:numId w:val="20"/>
        </w:numPr>
        <w:spacing w:after="0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Lakáshitel Szerződés NHP ZOP refinanszírozása az alábbi esetekben az Adósnak felróható okok miatt szűnik meg:</w:t>
      </w:r>
    </w:p>
    <w:p w14:paraId="03799428" w14:textId="77777777" w:rsidR="004B5411" w:rsidRPr="0071310D" w:rsidRDefault="004B5411" w:rsidP="004B5411">
      <w:pPr>
        <w:pStyle w:val="CommentText"/>
        <w:ind w:left="1276" w:hanging="426"/>
        <w:rPr>
          <w:sz w:val="24"/>
          <w:szCs w:val="24"/>
        </w:rPr>
      </w:pPr>
      <w:r w:rsidRPr="0071310D">
        <w:rPr>
          <w:iCs/>
          <w:sz w:val="24"/>
        </w:rPr>
        <w:t>(i) a Lakáshitelből megvásárolt, épített ingatlan nem minősül energiahatékony, Magyarország területén fekvő, új lakásnak, különösen, ha nem felel meg az új lakások építéséhez, vásárlásához kapcsolódó lakáscélú támogatásról szóló 16/2016. (II.10.) Korm. rendelet 3. § 9. pontjában meghatározott új lakásra vonatkozó elvárásoknak</w:t>
      </w:r>
      <w:r>
        <w:rPr>
          <w:iCs/>
          <w:sz w:val="24"/>
        </w:rPr>
        <w:t xml:space="preserve"> </w:t>
      </w:r>
      <w:r w:rsidRPr="0071310D">
        <w:rPr>
          <w:iCs/>
          <w:sz w:val="24"/>
        </w:rPr>
        <w:t xml:space="preserve">a következők szerint: </w:t>
      </w:r>
      <w:r w:rsidRPr="0071310D">
        <w:rPr>
          <w:sz w:val="24"/>
          <w:szCs w:val="24"/>
        </w:rPr>
        <w:t>a meglévő épület vagy épületrész átalakítása kivételével</w:t>
      </w:r>
    </w:p>
    <w:p w14:paraId="6A356944" w14:textId="77777777" w:rsidR="004B5411" w:rsidRPr="0071310D" w:rsidRDefault="004B5411" w:rsidP="004B5411">
      <w:pPr>
        <w:pStyle w:val="FootnoteText"/>
        <w:numPr>
          <w:ilvl w:val="0"/>
          <w:numId w:val="44"/>
        </w:numPr>
        <w:spacing w:after="0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>az alapozási munkáktól kezdődően – kivéve, ha a meglévő alap szakértői vélemény alapján felhasználható – újonnan épített, a lakhatás feltételeinek megfelelő, az ingatlan-nyilvántartásban lakóház vagy lakás megnevezéssel nyilvántartott vagy ilyenként feltüntetésre váró ingatlan a hozzá tartozó földrészlettel (a továbbiakban: lakás), amely elkészültét követően használatbavételi vagy hatósági bizonyítvánnyal igazolandó használatbavétel tudomásulvételi vagy bejelentéshez kötött épület felépítésének megtörténtéről szóló hatósági bizonyítvány iránti eljárásra köteles, ideértve a tanyán vagy birtokközpontban található lakóépületet is,</w:t>
      </w:r>
    </w:p>
    <w:p w14:paraId="1E145263" w14:textId="77777777" w:rsidR="004B5411" w:rsidRPr="0071310D" w:rsidRDefault="004B5411" w:rsidP="004B5411">
      <w:pPr>
        <w:pStyle w:val="FootnoteText"/>
        <w:spacing w:after="0"/>
        <w:ind w:left="1920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 xml:space="preserve"> vagy</w:t>
      </w:r>
    </w:p>
    <w:p w14:paraId="0CA95D09" w14:textId="77777777" w:rsidR="004B5411" w:rsidRPr="0071310D" w:rsidRDefault="004B5411" w:rsidP="004B5411">
      <w:pPr>
        <w:pStyle w:val="FootnoteText"/>
        <w:numPr>
          <w:ilvl w:val="0"/>
          <w:numId w:val="44"/>
        </w:numPr>
        <w:spacing w:after="0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>tetőtér beépítéssel vagy emelet-ráépítéssel létrehozott lakás akkor, ha a tetőtér beépítés vagy emelet-ráépítés révén új, önálló társasházi tulajdoni külön</w:t>
      </w:r>
      <w:r>
        <w:rPr>
          <w:color w:val="auto"/>
          <w:sz w:val="24"/>
          <w:szCs w:val="24"/>
        </w:rPr>
        <w:t xml:space="preserve"> </w:t>
      </w:r>
      <w:r w:rsidRPr="0071310D">
        <w:rPr>
          <w:color w:val="auto"/>
          <w:sz w:val="24"/>
          <w:szCs w:val="24"/>
        </w:rPr>
        <w:t xml:space="preserve">lapon nyilvántartott vagy több lakásból álló osztatlan közös tulajdon esetén a 16/2016. (II.10.) Korm. rendelet 20. § (2) bekezdése szerinti kizárólagos használati joggal érintett, lépcsőházból vagy szabadlépcsőn megközelíthető, külön bejárattal rendelkező, és a következő alpontok szerinti feltételnek megfelelő újabb lakás jön létre: </w:t>
      </w:r>
    </w:p>
    <w:p w14:paraId="5862D72B" w14:textId="77777777" w:rsidR="004B5411" w:rsidRPr="0071310D" w:rsidRDefault="004B5411" w:rsidP="004B5411">
      <w:pPr>
        <w:pStyle w:val="FootnoteText"/>
        <w:numPr>
          <w:ilvl w:val="2"/>
          <w:numId w:val="45"/>
        </w:numPr>
        <w:spacing w:after="0"/>
        <w:ind w:left="2268" w:hanging="283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>12 négyzetmétert meghaladó alapterületű lakószobával és főzőhelyiséggel – ennek hiányában további, legalább 4 négyzetméter alapterületű, a főzést lehetővé tevő, önálló szellőzésű lakótérrel, térbővülettel –, továbbá fürdőhelyiséggel és WC-vel rendelkezik,</w:t>
      </w:r>
    </w:p>
    <w:p w14:paraId="62E56F99" w14:textId="77777777" w:rsidR="004B5411" w:rsidRPr="0071310D" w:rsidRDefault="004B5411" w:rsidP="004B5411">
      <w:pPr>
        <w:pStyle w:val="FootnoteText"/>
        <w:numPr>
          <w:ilvl w:val="2"/>
          <w:numId w:val="45"/>
        </w:numPr>
        <w:spacing w:after="0"/>
        <w:ind w:left="2268" w:hanging="283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>közműves villamos energia szolgáltatással rendelkezik,</w:t>
      </w:r>
    </w:p>
    <w:p w14:paraId="16F73EC4" w14:textId="77777777" w:rsidR="004B5411" w:rsidRPr="0071310D" w:rsidRDefault="004B5411" w:rsidP="004B5411">
      <w:pPr>
        <w:pStyle w:val="FootnoteText"/>
        <w:numPr>
          <w:ilvl w:val="2"/>
          <w:numId w:val="45"/>
        </w:numPr>
        <w:spacing w:after="0"/>
        <w:ind w:left="2268" w:hanging="283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>egyedi fűtési móddal rendelkezik,</w:t>
      </w:r>
    </w:p>
    <w:p w14:paraId="262F942F" w14:textId="77777777" w:rsidR="004B5411" w:rsidRPr="0071310D" w:rsidRDefault="004B5411" w:rsidP="004B5411">
      <w:pPr>
        <w:pStyle w:val="FootnoteText"/>
        <w:numPr>
          <w:ilvl w:val="0"/>
          <w:numId w:val="45"/>
        </w:numPr>
        <w:spacing w:after="0"/>
        <w:ind w:left="2268" w:hanging="283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>közműves szennyvízelvezetéssel rendelkezik, vagy ha nincs a településen (településrészen) közműves szennyvízelvezetés, a szennyvíz tisztítása és elhelyezése egyedi szennyvízkezelő berendezéssel vagy tisztítómezővel ellátott oldómedencés műtárggyal vagy időszakos tárolása egyedi zárt szennyvíztárolóban történik, és</w:t>
      </w:r>
    </w:p>
    <w:p w14:paraId="0A54A4A5" w14:textId="77777777" w:rsidR="004B5411" w:rsidRPr="0071310D" w:rsidRDefault="004B5411" w:rsidP="004B5411">
      <w:pPr>
        <w:pStyle w:val="FootnoteText"/>
        <w:numPr>
          <w:ilvl w:val="0"/>
          <w:numId w:val="45"/>
        </w:numPr>
        <w:spacing w:after="0"/>
        <w:ind w:left="2268" w:hanging="283"/>
        <w:rPr>
          <w:color w:val="auto"/>
          <w:sz w:val="24"/>
          <w:szCs w:val="24"/>
        </w:rPr>
      </w:pPr>
      <w:r w:rsidRPr="0071310D">
        <w:rPr>
          <w:color w:val="auto"/>
          <w:sz w:val="24"/>
          <w:szCs w:val="24"/>
        </w:rPr>
        <w:t xml:space="preserve">közműves ivóvíz-szolgáltatással rendelkezik, vagy ha a településen (településrészen) nincs közműves vízszolgáltatás, a telken ivóvíz minőségű vizet szolgáltató kút van; </w:t>
      </w:r>
    </w:p>
    <w:p w14:paraId="6C3D120D" w14:textId="77777777" w:rsidR="004B5411" w:rsidRPr="0071310D" w:rsidRDefault="004B5411" w:rsidP="004B5411">
      <w:pPr>
        <w:pStyle w:val="CommentText"/>
        <w:ind w:left="1560" w:hanging="426"/>
        <w:rPr>
          <w:iCs/>
          <w:kern w:val="20"/>
          <w:sz w:val="24"/>
        </w:rPr>
      </w:pPr>
      <w:r w:rsidRPr="0071310D">
        <w:rPr>
          <w:iCs/>
          <w:sz w:val="24"/>
        </w:rPr>
        <w:lastRenderedPageBreak/>
        <w:t>(i</w:t>
      </w:r>
      <w:r>
        <w:rPr>
          <w:iCs/>
          <w:sz w:val="24"/>
        </w:rPr>
        <w:t>i</w:t>
      </w:r>
      <w:r w:rsidRPr="0071310D">
        <w:rPr>
          <w:iCs/>
          <w:sz w:val="24"/>
        </w:rPr>
        <w:t xml:space="preserve">) </w:t>
      </w:r>
      <w:r w:rsidRPr="0071310D">
        <w:rPr>
          <w:iCs/>
          <w:kern w:val="20"/>
          <w:sz w:val="24"/>
        </w:rPr>
        <w:t>az Adós a Lakáshitelt nem a Lakáshitel Szerződésben meghatározott célra használta fel</w:t>
      </w:r>
    </w:p>
    <w:p w14:paraId="7DEA5AD4" w14:textId="77777777" w:rsidR="004B5411" w:rsidRPr="0071310D" w:rsidRDefault="004B5411" w:rsidP="004B5411">
      <w:pPr>
        <w:pStyle w:val="CommentText"/>
        <w:ind w:left="1560" w:hanging="426"/>
        <w:rPr>
          <w:iCs/>
          <w:sz w:val="24"/>
        </w:rPr>
      </w:pPr>
      <w:r w:rsidRPr="0071310D">
        <w:rPr>
          <w:iCs/>
          <w:sz w:val="24"/>
        </w:rPr>
        <w:t>(</w:t>
      </w:r>
      <w:r>
        <w:rPr>
          <w:iCs/>
          <w:sz w:val="24"/>
        </w:rPr>
        <w:t>iii</w:t>
      </w:r>
      <w:r w:rsidRPr="0071310D">
        <w:rPr>
          <w:iCs/>
          <w:sz w:val="24"/>
        </w:rPr>
        <w:t>) az Adós (adóstárs) a Lakáshitelt a Lakáshitel Szerződés megkötésének időpontjáig korábban már pénzügyi intézmény által, ugyanazon hitelcél ingatlan megvásárlása, vagy építése céljából nyújtott az NHP ZOP-on kívüli másik hitel, kölcsön, vagy pénzügyi lízing visszafizetésére fordítja,</w:t>
      </w:r>
    </w:p>
    <w:p w14:paraId="22AB7C9D" w14:textId="77777777" w:rsidR="004B5411" w:rsidRPr="0071310D" w:rsidRDefault="004B5411" w:rsidP="004B5411">
      <w:pPr>
        <w:pStyle w:val="CommentText"/>
        <w:ind w:left="1560" w:hanging="426"/>
        <w:rPr>
          <w:iCs/>
          <w:sz w:val="24"/>
        </w:rPr>
      </w:pPr>
      <w:r w:rsidRPr="0071310D">
        <w:rPr>
          <w:iCs/>
          <w:sz w:val="24"/>
        </w:rPr>
        <w:t>(i</w:t>
      </w:r>
      <w:r>
        <w:rPr>
          <w:iCs/>
          <w:sz w:val="24"/>
        </w:rPr>
        <w:t>v</w:t>
      </w:r>
      <w:r w:rsidRPr="0071310D">
        <w:rPr>
          <w:iCs/>
          <w:sz w:val="24"/>
        </w:rPr>
        <w:t>) az Adós (adóstárs) akár a szerződéskötés időpontjáig, akár azt követően NHP ZOP keretében másik Lakáshitel Szerződést köt (ide nem értve, 1. a Lakáshitel Szerződésben megjelölt házastárs, illetve élettárs adóstársak esetén a vagyonközösség megszűntetésre kerül, úgy a Lakáshitel Szerződésből kilépő Adóst, 2. az illetve azon Adóst, akire az NHP ZOP keretében létrejött másik Lakáshitel Szerződésből eredő fizetési kötelezettség részben vagy egészben öröklés útján átszáll 3. a Lakáshitel Szerződéshez kapcsolódóan állami kamattámogatás igénybevétele okán a kamattámogatással érintett és azzal nem érintett hitelrészre vonatkozóan két külön Lakáshitel Szerződést kötő Adóst),</w:t>
      </w:r>
    </w:p>
    <w:p w14:paraId="27D867C8" w14:textId="265F7B09" w:rsidR="004B5411" w:rsidRPr="0071310D" w:rsidRDefault="004B5411" w:rsidP="004B5411">
      <w:pPr>
        <w:pStyle w:val="CommentText"/>
        <w:ind w:left="1560" w:hanging="426"/>
        <w:rPr>
          <w:iCs/>
          <w:sz w:val="24"/>
        </w:rPr>
      </w:pPr>
      <w:r w:rsidRPr="0071310D">
        <w:rPr>
          <w:iCs/>
          <w:sz w:val="24"/>
        </w:rPr>
        <w:t>(</w:t>
      </w:r>
      <w:r>
        <w:rPr>
          <w:iCs/>
          <w:sz w:val="24"/>
        </w:rPr>
        <w:t>v</w:t>
      </w:r>
      <w:r w:rsidRPr="0071310D">
        <w:rPr>
          <w:iCs/>
          <w:sz w:val="24"/>
        </w:rPr>
        <w:t>) a Lakáshitelből megvásárolt, épített ingatlan nem minősül energiahatékonynak, azaz az épületek energetikai jellemzőinek meghatározásáról szóló 7/2006. (V. 24.) TNM rendelet szerint meghatározott összesített energetikai jellemző számított értéke (primer energiaigény) az új lakás</w:t>
      </w:r>
      <w:r w:rsidR="006017F0">
        <w:rPr>
          <w:iCs/>
          <w:sz w:val="24"/>
        </w:rPr>
        <w:t>ra</w:t>
      </w:r>
      <w:r w:rsidRPr="0071310D">
        <w:rPr>
          <w:iCs/>
          <w:sz w:val="24"/>
        </w:rPr>
        <w:t xml:space="preserve"> vonatkoztatva legfeljebb 90 kWh/m²/év, továbbá az épületek energetikai jellemzőinek tanúsításáról szóló 176/2008. (VI. 30.) Korm. rend.</w:t>
      </w:r>
      <w:r w:rsidRPr="0071310D" w:rsidDel="003947DA">
        <w:rPr>
          <w:iCs/>
          <w:sz w:val="24"/>
        </w:rPr>
        <w:t xml:space="preserve"> </w:t>
      </w:r>
      <w:r w:rsidRPr="0071310D">
        <w:rPr>
          <w:iCs/>
          <w:sz w:val="24"/>
        </w:rPr>
        <w:t xml:space="preserve">szerinti BB (azaz közel nulla energiaigényre vonatkozó követelménynek megfelelő) vagy annál jobb energetikai minőség besorolással </w:t>
      </w:r>
    </w:p>
    <w:p w14:paraId="341227D8" w14:textId="77777777" w:rsidR="004B5411" w:rsidRPr="0071310D" w:rsidRDefault="004B5411" w:rsidP="004B5411">
      <w:pPr>
        <w:pStyle w:val="CommentText"/>
        <w:ind w:left="1985" w:hanging="426"/>
        <w:rPr>
          <w:iCs/>
          <w:sz w:val="24"/>
        </w:rPr>
      </w:pPr>
      <w:r w:rsidRPr="0071310D">
        <w:rPr>
          <w:iCs/>
          <w:sz w:val="24"/>
        </w:rPr>
        <w:t>- nem rendelkezett a szerződéskötéskor</w:t>
      </w:r>
    </w:p>
    <w:p w14:paraId="378F482F" w14:textId="77777777" w:rsidR="004B5411" w:rsidRPr="0071310D" w:rsidRDefault="004B5411" w:rsidP="004B5411">
      <w:pPr>
        <w:pStyle w:val="CommentText"/>
        <w:ind w:left="2127" w:hanging="285"/>
        <w:rPr>
          <w:iCs/>
          <w:sz w:val="24"/>
        </w:rPr>
      </w:pPr>
      <w:r>
        <w:rPr>
          <w:iCs/>
          <w:sz w:val="24"/>
        </w:rPr>
        <w:t xml:space="preserve">* </w:t>
      </w:r>
      <w:r w:rsidRPr="0071310D">
        <w:rPr>
          <w:iCs/>
          <w:sz w:val="24"/>
        </w:rPr>
        <w:t>amennyiben a vonatkozó jogszabályi rendelkezések alapján az új lakásnak már rendelkeznie kell energetikai tanúsítvánnyal, úgy az energetikai tanúsítvány alapján</w:t>
      </w:r>
    </w:p>
    <w:p w14:paraId="0ED10E31" w14:textId="77777777" w:rsidR="004B5411" w:rsidRPr="0071310D" w:rsidRDefault="004B5411" w:rsidP="004B5411">
      <w:pPr>
        <w:pStyle w:val="CommentText"/>
        <w:ind w:left="2127" w:hanging="285"/>
        <w:rPr>
          <w:iCs/>
          <w:sz w:val="24"/>
        </w:rPr>
      </w:pPr>
      <w:r>
        <w:rPr>
          <w:iCs/>
          <w:sz w:val="24"/>
        </w:rPr>
        <w:t>*</w:t>
      </w:r>
      <w:r w:rsidRPr="0071310D">
        <w:rPr>
          <w:iCs/>
          <w:sz w:val="24"/>
        </w:rPr>
        <w:t xml:space="preserve"> egyéb esetben az ingatlan építészeti-műszaki dokumentációja alapján energetikai tanúsítvány kiállítására jogosult szakember által készített előzetes energetikai számítást alapul véve; </w:t>
      </w:r>
    </w:p>
    <w:p w14:paraId="051A1C7C" w14:textId="77777777" w:rsidR="004B5411" w:rsidRPr="0071310D" w:rsidRDefault="004B5411" w:rsidP="004B5411">
      <w:pPr>
        <w:pStyle w:val="CommentText"/>
        <w:ind w:left="1985" w:hanging="425"/>
        <w:rPr>
          <w:iCs/>
          <w:sz w:val="24"/>
        </w:rPr>
      </w:pPr>
      <w:r w:rsidRPr="0071310D">
        <w:rPr>
          <w:iCs/>
          <w:sz w:val="24"/>
        </w:rPr>
        <w:t xml:space="preserve">vagy </w:t>
      </w:r>
    </w:p>
    <w:p w14:paraId="55C37ABE" w14:textId="77777777" w:rsidR="004B5411" w:rsidRPr="0071310D" w:rsidRDefault="004B5411" w:rsidP="004B5411">
      <w:pPr>
        <w:pStyle w:val="CommentText"/>
        <w:numPr>
          <w:ilvl w:val="0"/>
          <w:numId w:val="43"/>
        </w:numPr>
        <w:rPr>
          <w:iCs/>
          <w:sz w:val="24"/>
        </w:rPr>
      </w:pPr>
      <w:r w:rsidRPr="0071310D">
        <w:rPr>
          <w:iCs/>
          <w:sz w:val="24"/>
        </w:rPr>
        <w:t>a folyósítást követően használatbavételi engedély megszerzését</w:t>
      </w:r>
      <w:r w:rsidRPr="0071310D">
        <w:rPr>
          <w:rStyle w:val="FootnoteReference"/>
          <w:iCs/>
          <w:sz w:val="24"/>
        </w:rPr>
        <w:footnoteReference w:id="10"/>
      </w:r>
      <w:r w:rsidRPr="0071310D">
        <w:rPr>
          <w:iCs/>
          <w:sz w:val="24"/>
        </w:rPr>
        <w:t xml:space="preserve"> követően az energetikai tanúsítvány alapján végzett utólagos ellenőrzés alapján nem rendelkezik. </w:t>
      </w:r>
    </w:p>
    <w:p w14:paraId="47489F9E" w14:textId="010DE6A0" w:rsidR="004B5411" w:rsidRPr="0071310D" w:rsidRDefault="004B5411" w:rsidP="004B5411">
      <w:pPr>
        <w:pStyle w:val="CommentText"/>
        <w:ind w:left="1985" w:hanging="425"/>
        <w:rPr>
          <w:iCs/>
          <w:sz w:val="24"/>
        </w:rPr>
      </w:pPr>
      <w:r w:rsidRPr="0071310D">
        <w:rPr>
          <w:iCs/>
          <w:sz w:val="24"/>
        </w:rPr>
        <w:t>(</w:t>
      </w:r>
      <w:r>
        <w:rPr>
          <w:iCs/>
          <w:sz w:val="24"/>
        </w:rPr>
        <w:t>v</w:t>
      </w:r>
      <w:r w:rsidRPr="0071310D">
        <w:rPr>
          <w:iCs/>
          <w:sz w:val="24"/>
        </w:rPr>
        <w:t xml:space="preserve">i) részben építési telek finanszírozására nyújtott Lakáshitel esetén a szerződéskötéstől számított 1 éven belül az Adós nem mutatja be a </w:t>
      </w:r>
      <w:r w:rsidR="00DA345C">
        <w:rPr>
          <w:iCs/>
          <w:sz w:val="24"/>
        </w:rPr>
        <w:t>H</w:t>
      </w:r>
      <w:r w:rsidRPr="0071310D">
        <w:rPr>
          <w:iCs/>
          <w:sz w:val="24"/>
        </w:rPr>
        <w:t xml:space="preserve">itelintézet részére az új lakás építésére vonatkozó építési engedélyt, vagy az egyszerű bejelentéshez kötött építési tevékenységnek minősülő építés esetén a bejelentés megtörténtének igazolását, valamint az NHP ZOP-ban meghatározott energetikai </w:t>
      </w:r>
      <w:r w:rsidRPr="0071310D">
        <w:rPr>
          <w:iCs/>
          <w:sz w:val="24"/>
        </w:rPr>
        <w:lastRenderedPageBreak/>
        <w:t>elvárás teljesítésére vonatkozó előírásoknak való várható megfelelést (ld. (ix) alpont)</w:t>
      </w:r>
    </w:p>
    <w:p w14:paraId="48204D02" w14:textId="77777777" w:rsidR="004B5411" w:rsidRPr="0071310D" w:rsidRDefault="004B5411" w:rsidP="004B5411">
      <w:pPr>
        <w:pStyle w:val="CommentText"/>
        <w:ind w:left="1985" w:hanging="425"/>
        <w:rPr>
          <w:iCs/>
          <w:sz w:val="24"/>
        </w:rPr>
      </w:pPr>
      <w:r w:rsidRPr="0071310D">
        <w:rPr>
          <w:iCs/>
          <w:sz w:val="24"/>
        </w:rPr>
        <w:t>(v</w:t>
      </w:r>
      <w:r>
        <w:rPr>
          <w:iCs/>
          <w:sz w:val="24"/>
        </w:rPr>
        <w:t>ii</w:t>
      </w:r>
      <w:r w:rsidRPr="0071310D">
        <w:rPr>
          <w:iCs/>
          <w:sz w:val="24"/>
        </w:rPr>
        <w:t>) az új lakás (jelen pontban ideértve a Lakáshitelből épített/vásárolt gépkocsitárolót, tárolót, vásárolt építési telket is) nem az Adós (illetve adóstársak esetén legalább valamely adóstárs) tulajdona, illetve azt az új lakásban tulajdont szerző Adós a Lakáshitel futamideje alatt bármikor elidegeníti (ide nem értve azt az esetet, amennyiben az új lakásban az új lakásban tulajdont szerző Adós gyermeke, vagy öröklés okán harmadik személy tulajdonjogot szerez)</w:t>
      </w:r>
    </w:p>
    <w:p w14:paraId="1A37330D" w14:textId="315AC226" w:rsidR="004B5411" w:rsidRPr="0071310D" w:rsidRDefault="004B5411" w:rsidP="004B5411">
      <w:pPr>
        <w:pStyle w:val="CommentText"/>
        <w:ind w:left="1985" w:hanging="425"/>
        <w:rPr>
          <w:iCs/>
          <w:sz w:val="24"/>
        </w:rPr>
      </w:pPr>
      <w:r w:rsidRPr="0071310D">
        <w:rPr>
          <w:iCs/>
          <w:sz w:val="24"/>
        </w:rPr>
        <w:t>(v</w:t>
      </w:r>
      <w:r>
        <w:rPr>
          <w:iCs/>
          <w:sz w:val="24"/>
        </w:rPr>
        <w:t>iii</w:t>
      </w:r>
      <w:r w:rsidRPr="0071310D">
        <w:rPr>
          <w:iCs/>
          <w:sz w:val="24"/>
        </w:rPr>
        <w:t xml:space="preserve">) az új lakásban tulajdont szerző Adós megszegi azon feltételt, miszerint a Lakáshitel Szerződés utolsó folyósítását követő 10 évig életvitelszerűen az új lakásban lakik, ezen feltétel megszegésének minősül különösen, amennyiben ezen időtartam alatt a </w:t>
      </w:r>
      <w:r w:rsidR="00DA345C">
        <w:rPr>
          <w:iCs/>
          <w:sz w:val="24"/>
        </w:rPr>
        <w:t>H</w:t>
      </w:r>
      <w:r w:rsidRPr="0071310D">
        <w:rPr>
          <w:iCs/>
          <w:sz w:val="24"/>
        </w:rPr>
        <w:t xml:space="preserve">itelintézet felhívására (de első alkalommal legkésőbb a Lakáshitel Szerződés alapján történő utolsó lehívásától számított 90 napon belül) nem igazolja állandó lakcímet igazoló hatósági igazolvánnyal, hogy állandó lakcíme </w:t>
      </w:r>
      <w:r w:rsidR="006C1318">
        <w:rPr>
          <w:iCs/>
          <w:sz w:val="24"/>
        </w:rPr>
        <w:t xml:space="preserve">a fenti bejelentkezési határidőtől kezdően </w:t>
      </w:r>
      <w:r w:rsidRPr="0071310D">
        <w:rPr>
          <w:iCs/>
          <w:sz w:val="24"/>
        </w:rPr>
        <w:t>megegyezik az új lakás címével,</w:t>
      </w:r>
    </w:p>
    <w:p w14:paraId="52AE2DB9" w14:textId="1BB3BF69" w:rsidR="004B5411" w:rsidRPr="0071310D" w:rsidRDefault="004B5411" w:rsidP="004B5411">
      <w:pPr>
        <w:pStyle w:val="CommentText"/>
        <w:ind w:left="1985" w:hanging="425"/>
        <w:rPr>
          <w:iCs/>
          <w:sz w:val="24"/>
        </w:rPr>
      </w:pPr>
      <w:r w:rsidRPr="0071310D">
        <w:rPr>
          <w:iCs/>
          <w:sz w:val="24"/>
        </w:rPr>
        <w:t>(</w:t>
      </w:r>
      <w:r>
        <w:rPr>
          <w:iCs/>
          <w:sz w:val="24"/>
        </w:rPr>
        <w:t>i</w:t>
      </w:r>
      <w:r w:rsidRPr="0071310D">
        <w:rPr>
          <w:iCs/>
          <w:sz w:val="24"/>
        </w:rPr>
        <w:t xml:space="preserve">x) az új lakásban tulajdont szerző Adós az új lakást (ideértve a Lakáshitelből épített/vásárolt gépkocsitárolót, tárolót, vásárolt építési telket is) a Lakáshitel futamideje alatt bármikor a Lakáshitelt nyújtó </w:t>
      </w:r>
      <w:r w:rsidR="00DA345C">
        <w:rPr>
          <w:iCs/>
          <w:sz w:val="24"/>
        </w:rPr>
        <w:t>H</w:t>
      </w:r>
      <w:r w:rsidRPr="0071310D">
        <w:rPr>
          <w:iCs/>
          <w:sz w:val="24"/>
        </w:rPr>
        <w:t>itelintézeten kívül más személyek javára szóló joggal megterheli (ide nem értve a Lakáshitelhez kapcsolódóan igénybe vett állami kamattámogatásra tekintettel az állam javára alapított jelzálogjogot, valamint annak biztosításra bejegyzett elidegenítési és terhelelési tilalmat),</w:t>
      </w:r>
    </w:p>
    <w:p w14:paraId="7F1CEE4A" w14:textId="77777777" w:rsidR="004B5411" w:rsidRDefault="004B5411" w:rsidP="004B5411">
      <w:pPr>
        <w:pStyle w:val="CommentText"/>
        <w:ind w:left="1985" w:hanging="425"/>
        <w:rPr>
          <w:iCs/>
          <w:sz w:val="24"/>
        </w:rPr>
      </w:pPr>
      <w:r w:rsidRPr="0071310D">
        <w:rPr>
          <w:iCs/>
          <w:sz w:val="24"/>
        </w:rPr>
        <w:t>(x) az új lakásban tulajdont szerző Adós az új lakásra (ideértve a Lakáshitelből épített/vásárolt gépkocsitárolót, tárolót, vásárolt építési telket is) a Lakáshitel futamideje alatt bármikor haszonélvezeti jogot enged harmadik személy (ide nem értve az új lakásban tulajdont szerző Adós egyenes ági hozzátartozóját) részére,</w:t>
      </w:r>
    </w:p>
    <w:p w14:paraId="13EE9628" w14:textId="77777777" w:rsidR="004B5411" w:rsidRDefault="004B5411" w:rsidP="004B5411">
      <w:pPr>
        <w:pStyle w:val="CommentText"/>
        <w:ind w:left="1985" w:hanging="425"/>
        <w:rPr>
          <w:iCs/>
          <w:sz w:val="24"/>
        </w:rPr>
      </w:pPr>
      <w:r w:rsidRPr="0071310D">
        <w:rPr>
          <w:iCs/>
          <w:sz w:val="24"/>
        </w:rPr>
        <w:t>(xi)</w:t>
      </w:r>
      <w:r>
        <w:rPr>
          <w:iCs/>
          <w:sz w:val="24"/>
        </w:rPr>
        <w:t xml:space="preserve"> az új lakásban tulajdont szerző Adós az új lakást (jelen pontban ideértve </w:t>
      </w:r>
      <w:r w:rsidRPr="00871303">
        <w:rPr>
          <w:iCs/>
          <w:sz w:val="24"/>
        </w:rPr>
        <w:t>a Lakáshitelből épített/vásárolt gépkocsitároló</w:t>
      </w:r>
      <w:r>
        <w:rPr>
          <w:iCs/>
          <w:sz w:val="24"/>
        </w:rPr>
        <w:t>t</w:t>
      </w:r>
      <w:r w:rsidRPr="00871303">
        <w:rPr>
          <w:iCs/>
          <w:sz w:val="24"/>
        </w:rPr>
        <w:t>, tároló</w:t>
      </w:r>
      <w:r>
        <w:rPr>
          <w:iCs/>
          <w:sz w:val="24"/>
        </w:rPr>
        <w:t>t, vásárolt építési telket is)</w:t>
      </w:r>
      <w:r w:rsidRPr="00871303">
        <w:rPr>
          <w:iCs/>
          <w:sz w:val="24"/>
        </w:rPr>
        <w:t xml:space="preserve"> </w:t>
      </w:r>
      <w:r w:rsidRPr="0071310D">
        <w:rPr>
          <w:iCs/>
          <w:sz w:val="24"/>
        </w:rPr>
        <w:t>a Lakáshitel Szerződés utolsó folyósítását követő 10 év</w:t>
      </w:r>
      <w:r>
        <w:rPr>
          <w:iCs/>
          <w:sz w:val="24"/>
        </w:rPr>
        <w:t xml:space="preserve">en belül bérbeadja, vagy az életvitelszerű lakhatástól eltérő egyéb módon hasznosítja (kivéve, amennyiben </w:t>
      </w:r>
      <w:r w:rsidRPr="00587F64">
        <w:rPr>
          <w:iCs/>
          <w:sz w:val="24"/>
        </w:rPr>
        <w:t>a</w:t>
      </w:r>
      <w:r>
        <w:rPr>
          <w:iCs/>
          <w:sz w:val="24"/>
        </w:rPr>
        <w:t>z</w:t>
      </w:r>
      <w:r w:rsidRPr="00587F64">
        <w:rPr>
          <w:iCs/>
          <w:sz w:val="24"/>
        </w:rPr>
        <w:t xml:space="preserve"> </w:t>
      </w:r>
      <w:r>
        <w:rPr>
          <w:iCs/>
          <w:sz w:val="24"/>
        </w:rPr>
        <w:t xml:space="preserve">új lakásban tulajdont szerző Adós </w:t>
      </w:r>
      <w:r w:rsidRPr="00587F64">
        <w:rPr>
          <w:iCs/>
          <w:sz w:val="24"/>
        </w:rPr>
        <w:t>legalább többségi tulajdonában álló gazdasági társaság, illetve az általa folytatott egyéni vállalkozói tevékenység székhelyeként a cégnyilvántartásba, illetve az egyéni vállalkozók nyilvántartásába be kívánja jelenteni</w:t>
      </w:r>
      <w:r>
        <w:rPr>
          <w:iCs/>
          <w:sz w:val="24"/>
        </w:rPr>
        <w:t>),</w:t>
      </w:r>
    </w:p>
    <w:p w14:paraId="43032704" w14:textId="77777777" w:rsidR="004B5411" w:rsidRPr="0071310D" w:rsidRDefault="004B5411" w:rsidP="004B5411">
      <w:pPr>
        <w:pStyle w:val="CommentText"/>
        <w:ind w:left="1985" w:hanging="425"/>
        <w:rPr>
          <w:iCs/>
          <w:sz w:val="24"/>
        </w:rPr>
      </w:pPr>
      <w:r w:rsidRPr="0071310D">
        <w:rPr>
          <w:iCs/>
          <w:sz w:val="24"/>
        </w:rPr>
        <w:t>(x</w:t>
      </w:r>
      <w:r>
        <w:rPr>
          <w:iCs/>
          <w:sz w:val="24"/>
        </w:rPr>
        <w:t>i</w:t>
      </w:r>
      <w:r w:rsidRPr="0071310D">
        <w:rPr>
          <w:iCs/>
          <w:sz w:val="24"/>
        </w:rPr>
        <w:t>i) az új lakásban tulajdont szerző Adós az új lakás a Lakáshitel futamideje alatt bármikor üzleti célú ingatlanná való átminősítését kezdeményezi az ingatlan-nyilvántartásban</w:t>
      </w:r>
      <w:r w:rsidRPr="0071310D">
        <w:t>,</w:t>
      </w:r>
    </w:p>
    <w:p w14:paraId="6AFC9DEA" w14:textId="59C2EC5B" w:rsidR="004B5411" w:rsidRPr="0071310D" w:rsidRDefault="004B5411" w:rsidP="004B5411">
      <w:pPr>
        <w:pStyle w:val="CommentText"/>
        <w:ind w:left="1985" w:hanging="425"/>
        <w:rPr>
          <w:iCs/>
          <w:sz w:val="24"/>
        </w:rPr>
      </w:pPr>
      <w:r w:rsidRPr="0071310D">
        <w:rPr>
          <w:iCs/>
          <w:sz w:val="24"/>
        </w:rPr>
        <w:t>(x</w:t>
      </w:r>
      <w:r>
        <w:rPr>
          <w:iCs/>
          <w:sz w:val="24"/>
        </w:rPr>
        <w:t>iii</w:t>
      </w:r>
      <w:r w:rsidRPr="0071310D">
        <w:rPr>
          <w:iCs/>
          <w:sz w:val="24"/>
        </w:rPr>
        <w:t>)</w:t>
      </w:r>
      <w:r w:rsidRPr="0071310D">
        <w:rPr>
          <w:iCs/>
          <w:sz w:val="24"/>
        </w:rPr>
        <w:tab/>
        <w:t xml:space="preserve">amennyiben a </w:t>
      </w:r>
      <w:r w:rsidR="00DA345C">
        <w:rPr>
          <w:iCs/>
          <w:sz w:val="24"/>
        </w:rPr>
        <w:t>H</w:t>
      </w:r>
      <w:r w:rsidRPr="0071310D">
        <w:rPr>
          <w:iCs/>
          <w:sz w:val="24"/>
        </w:rPr>
        <w:t xml:space="preserve">itelintézet a Lakáshitel Szerződést </w:t>
      </w:r>
      <w:r>
        <w:rPr>
          <w:iCs/>
          <w:sz w:val="24"/>
        </w:rPr>
        <w:t xml:space="preserve">– az Adósnak felróható okból – </w:t>
      </w:r>
      <w:r w:rsidRPr="0071310D">
        <w:rPr>
          <w:iCs/>
          <w:sz w:val="24"/>
        </w:rPr>
        <w:t>felmondja, megújítja a Lakáshitel Szerződést, vagy az Adós a Lakáshitel Szerződésből eredő fizetési kötelezettsége vonatkozásában 120 napot meghaladó késedelembe esik,</w:t>
      </w:r>
    </w:p>
    <w:p w14:paraId="78431590" w14:textId="77777777" w:rsidR="004B5411" w:rsidRDefault="004B5411" w:rsidP="004B5411">
      <w:pPr>
        <w:pStyle w:val="CommentText"/>
        <w:ind w:left="1985" w:hanging="425"/>
        <w:rPr>
          <w:iCs/>
          <w:sz w:val="24"/>
        </w:rPr>
      </w:pPr>
      <w:r w:rsidRPr="0071310D">
        <w:rPr>
          <w:iCs/>
          <w:sz w:val="24"/>
        </w:rPr>
        <w:lastRenderedPageBreak/>
        <w:t>(xi</w:t>
      </w:r>
      <w:r>
        <w:rPr>
          <w:iCs/>
          <w:sz w:val="24"/>
        </w:rPr>
        <w:t>v</w:t>
      </w:r>
      <w:r w:rsidRPr="0071310D">
        <w:rPr>
          <w:iCs/>
          <w:sz w:val="24"/>
        </w:rPr>
        <w:t>) az Adós a Lakáshitel Szerződés célja teljesülésének MNB általi ellenőrzését akadályozza, vagy meghiúsítja,</w:t>
      </w:r>
    </w:p>
    <w:p w14:paraId="0AF07347" w14:textId="77777777" w:rsidR="00821ADF" w:rsidRPr="005E6E9D" w:rsidRDefault="00821ADF" w:rsidP="00821ADF">
      <w:pPr>
        <w:pStyle w:val="ListParagraph"/>
        <w:keepNext/>
        <w:numPr>
          <w:ilvl w:val="0"/>
          <w:numId w:val="0"/>
        </w:numPr>
        <w:spacing w:after="0"/>
        <w:ind w:left="709"/>
        <w:rPr>
          <w:color w:val="000000"/>
          <w:sz w:val="24"/>
          <w:szCs w:val="24"/>
        </w:rPr>
      </w:pPr>
    </w:p>
    <w:p w14:paraId="502CBFF6" w14:textId="4D856A96" w:rsidR="007A58B9" w:rsidRPr="00110526" w:rsidRDefault="007A58B9" w:rsidP="007A58B9">
      <w:pPr>
        <w:keepNext/>
        <w:spacing w:after="0"/>
        <w:rPr>
          <w:rFonts w:cs="Arial"/>
          <w:b/>
          <w:sz w:val="24"/>
          <w:szCs w:val="24"/>
          <w:u w:val="single"/>
        </w:rPr>
      </w:pPr>
      <w:r w:rsidRPr="00110526">
        <w:rPr>
          <w:rFonts w:cs="Arial"/>
          <w:b/>
          <w:sz w:val="24"/>
          <w:szCs w:val="24"/>
          <w:u w:val="single"/>
        </w:rPr>
        <w:t>1</w:t>
      </w:r>
      <w:r w:rsidR="00761A13">
        <w:rPr>
          <w:rFonts w:cs="Arial"/>
          <w:b/>
          <w:sz w:val="24"/>
          <w:szCs w:val="24"/>
          <w:u w:val="single"/>
        </w:rPr>
        <w:t>0</w:t>
      </w:r>
      <w:r w:rsidRPr="00110526">
        <w:rPr>
          <w:rFonts w:cs="Arial"/>
          <w:b/>
          <w:sz w:val="24"/>
          <w:szCs w:val="24"/>
          <w:u w:val="single"/>
        </w:rPr>
        <w:t>. Ügyintézési határidők</w:t>
      </w:r>
    </w:p>
    <w:p w14:paraId="7A77F288" w14:textId="71A4EB90" w:rsidR="00034DF3" w:rsidRPr="00034DF3" w:rsidRDefault="007A58B9">
      <w:pPr>
        <w:pStyle w:val="ListParagraph"/>
        <w:numPr>
          <w:ilvl w:val="0"/>
          <w:numId w:val="20"/>
        </w:numPr>
        <w:spacing w:after="0"/>
        <w:ind w:left="426" w:hanging="284"/>
        <w:rPr>
          <w:sz w:val="24"/>
          <w:szCs w:val="24"/>
        </w:rPr>
      </w:pPr>
      <w:r w:rsidRPr="00034DF3">
        <w:rPr>
          <w:color w:val="000000"/>
          <w:sz w:val="24"/>
          <w:szCs w:val="24"/>
        </w:rPr>
        <w:t xml:space="preserve">A hitelbírálati határidő nem haladhatja meg a </w:t>
      </w:r>
      <w:r w:rsidR="00596BA1">
        <w:rPr>
          <w:color w:val="000000"/>
          <w:sz w:val="24"/>
          <w:szCs w:val="24"/>
        </w:rPr>
        <w:t>Lakás</w:t>
      </w:r>
      <w:r w:rsidR="00034DF3" w:rsidRPr="00034DF3">
        <w:rPr>
          <w:color w:val="000000"/>
          <w:sz w:val="24"/>
          <w:szCs w:val="24"/>
        </w:rPr>
        <w:t>hitel</w:t>
      </w:r>
      <w:r w:rsidR="00596BA1">
        <w:rPr>
          <w:color w:val="000000"/>
          <w:sz w:val="24"/>
          <w:szCs w:val="24"/>
        </w:rPr>
        <w:t xml:space="preserve"> </w:t>
      </w:r>
      <w:r w:rsidR="00034DF3" w:rsidRPr="00034DF3">
        <w:rPr>
          <w:color w:val="000000"/>
          <w:sz w:val="24"/>
          <w:szCs w:val="24"/>
        </w:rPr>
        <w:t xml:space="preserve">kérelem </w:t>
      </w:r>
      <w:r w:rsidRPr="00034DF3">
        <w:rPr>
          <w:color w:val="000000"/>
          <w:sz w:val="24"/>
          <w:szCs w:val="24"/>
        </w:rPr>
        <w:t>befogadás</w:t>
      </w:r>
      <w:r w:rsidR="00034DF3" w:rsidRPr="00034DF3">
        <w:rPr>
          <w:color w:val="000000"/>
          <w:sz w:val="24"/>
          <w:szCs w:val="24"/>
        </w:rPr>
        <w:t>á</w:t>
      </w:r>
      <w:r w:rsidRPr="00034DF3">
        <w:rPr>
          <w:color w:val="000000"/>
          <w:sz w:val="24"/>
          <w:szCs w:val="24"/>
        </w:rPr>
        <w:t>t követően az értékbecslés rendelkezésre állásától számított 15 munkanapot</w:t>
      </w:r>
      <w:r w:rsidR="00034DF3" w:rsidRPr="00034DF3">
        <w:rPr>
          <w:color w:val="000000"/>
          <w:sz w:val="24"/>
          <w:szCs w:val="24"/>
        </w:rPr>
        <w:t>,</w:t>
      </w:r>
      <w:r w:rsidR="00034DF3" w:rsidRPr="005D35A8">
        <w:rPr>
          <w:color w:val="000000"/>
          <w:sz w:val="24"/>
          <w:szCs w:val="24"/>
        </w:rPr>
        <w:t xml:space="preserve"> új lakás építése esetén 25 munkanapot</w:t>
      </w:r>
      <w:r w:rsidR="005D35A8" w:rsidRPr="00B01678">
        <w:rPr>
          <w:sz w:val="24"/>
          <w:szCs w:val="24"/>
        </w:rPr>
        <w:t>.</w:t>
      </w:r>
      <w:r w:rsidR="00034DF3" w:rsidRPr="00B01678">
        <w:rPr>
          <w:sz w:val="24"/>
          <w:szCs w:val="24"/>
        </w:rPr>
        <w:t xml:space="preserve"> </w:t>
      </w:r>
      <w:r w:rsidR="00761A13" w:rsidRPr="00B01678">
        <w:rPr>
          <w:sz w:val="24"/>
          <w:szCs w:val="24"/>
        </w:rPr>
        <w:t>Amennyiben az NHP ZOP keretében folyósított Lakáshitelhez OTK-támogatás is kapcsolódik, a hitelbírálati határidő további 5 munkanappal</w:t>
      </w:r>
      <w:r w:rsidR="003D04F1">
        <w:rPr>
          <w:sz w:val="24"/>
          <w:szCs w:val="24"/>
        </w:rPr>
        <w:t>, új lakás építése esetén 15 munkanappal</w:t>
      </w:r>
      <w:r w:rsidR="00761A13" w:rsidRPr="00B01678">
        <w:rPr>
          <w:sz w:val="24"/>
          <w:szCs w:val="24"/>
        </w:rPr>
        <w:t xml:space="preserve"> meghosszabbodik. </w:t>
      </w:r>
      <w:r w:rsidR="00481C29" w:rsidRPr="00B01678">
        <w:rPr>
          <w:sz w:val="24"/>
          <w:szCs w:val="24"/>
        </w:rPr>
        <w:t xml:space="preserve">A </w:t>
      </w:r>
      <w:r w:rsidR="00DA345C">
        <w:rPr>
          <w:sz w:val="24"/>
          <w:szCs w:val="24"/>
        </w:rPr>
        <w:t>H</w:t>
      </w:r>
      <w:r w:rsidR="00481C29" w:rsidRPr="00B01678">
        <w:rPr>
          <w:sz w:val="24"/>
          <w:szCs w:val="24"/>
        </w:rPr>
        <w:t>itelintézet</w:t>
      </w:r>
      <w:r w:rsidR="00481C29" w:rsidRPr="00481C29">
        <w:rPr>
          <w:color w:val="000000"/>
          <w:sz w:val="24"/>
          <w:szCs w:val="24"/>
        </w:rPr>
        <w:t xml:space="preserve"> vállalja, hogy minden tőle telhetőt megtesz annak érdekében, hogy az értékbecslés a befogadástól számítva minél előbb rendelkezésre álljon. Amennyiben a </w:t>
      </w:r>
      <w:r w:rsidR="00DA345C">
        <w:rPr>
          <w:color w:val="000000"/>
          <w:sz w:val="24"/>
          <w:szCs w:val="24"/>
        </w:rPr>
        <w:t>H</w:t>
      </w:r>
      <w:r w:rsidR="00481C29" w:rsidRPr="00481C29">
        <w:rPr>
          <w:color w:val="000000"/>
          <w:sz w:val="24"/>
          <w:szCs w:val="24"/>
        </w:rPr>
        <w:t xml:space="preserve">itelintézet igazolja, hogy a határidő-mulasztás önhibáján kívül következett be és minden tőle telhetőt megtett annak elkerülése érdekében, úgy a mulasztás időtartama nem számít be a fent meghatározott határidőkbe, jogszabály eltérő rendelkezése esetén az abban meghatározott időtartamba.  </w:t>
      </w:r>
    </w:p>
    <w:p w14:paraId="5A003A19" w14:textId="257338DF" w:rsidR="007A58B9" w:rsidRPr="00110526" w:rsidRDefault="007A58B9" w:rsidP="007A58B9">
      <w:pPr>
        <w:pStyle w:val="ListParagraph"/>
        <w:numPr>
          <w:ilvl w:val="0"/>
          <w:numId w:val="20"/>
        </w:numPr>
        <w:spacing w:after="0"/>
        <w:ind w:left="426" w:hanging="284"/>
        <w:rPr>
          <w:sz w:val="24"/>
          <w:szCs w:val="24"/>
        </w:rPr>
      </w:pPr>
      <w:r w:rsidRPr="00110526">
        <w:rPr>
          <w:sz w:val="24"/>
          <w:szCs w:val="24"/>
        </w:rPr>
        <w:t xml:space="preserve">A folyósítás a folyósítási feltételek </w:t>
      </w:r>
      <w:r w:rsidR="00761A13">
        <w:rPr>
          <w:sz w:val="24"/>
          <w:szCs w:val="24"/>
        </w:rPr>
        <w:t>Adós</w:t>
      </w:r>
      <w:r w:rsidRPr="00110526">
        <w:rPr>
          <w:sz w:val="24"/>
          <w:szCs w:val="24"/>
        </w:rPr>
        <w:t xml:space="preserve"> általi </w:t>
      </w:r>
      <w:r w:rsidR="00704CF4">
        <w:rPr>
          <w:sz w:val="24"/>
          <w:szCs w:val="24"/>
        </w:rPr>
        <w:t xml:space="preserve">maradéktalan </w:t>
      </w:r>
      <w:r w:rsidRPr="00110526">
        <w:rPr>
          <w:sz w:val="24"/>
          <w:szCs w:val="24"/>
        </w:rPr>
        <w:t xml:space="preserve">teljesítését követő 2 munkanapon belül megtörténik. </w:t>
      </w:r>
    </w:p>
    <w:p w14:paraId="429354D4" w14:textId="72633F9A" w:rsidR="00034DF3" w:rsidRPr="0064369B" w:rsidRDefault="007A58B9" w:rsidP="009E6264">
      <w:pPr>
        <w:pStyle w:val="ListParagraph"/>
        <w:numPr>
          <w:ilvl w:val="0"/>
          <w:numId w:val="20"/>
        </w:numPr>
        <w:spacing w:after="0"/>
        <w:ind w:left="426" w:hanging="284"/>
        <w:rPr>
          <w:sz w:val="24"/>
          <w:szCs w:val="24"/>
        </w:rPr>
      </w:pPr>
      <w:r w:rsidRPr="0064369B">
        <w:rPr>
          <w:sz w:val="24"/>
          <w:szCs w:val="24"/>
        </w:rPr>
        <w:t xml:space="preserve">Amennyiben a </w:t>
      </w:r>
      <w:r w:rsidR="005D35A8" w:rsidRPr="0064369B">
        <w:rPr>
          <w:sz w:val="24"/>
          <w:szCs w:val="24"/>
        </w:rPr>
        <w:t>Hitelintézet</w:t>
      </w:r>
      <w:r w:rsidRPr="0064369B">
        <w:rPr>
          <w:sz w:val="24"/>
          <w:szCs w:val="24"/>
        </w:rPr>
        <w:t xml:space="preserve"> nem teljesíti </w:t>
      </w:r>
      <w:r w:rsidR="0064369B" w:rsidRPr="004B297D">
        <w:rPr>
          <w:sz w:val="24"/>
          <w:szCs w:val="24"/>
        </w:rPr>
        <w:t>fenti hitelbírálati, illetve folyósítási határidőt, úgy</w:t>
      </w:r>
      <w:r w:rsidR="0064369B" w:rsidRPr="0064369B">
        <w:t xml:space="preserve"> </w:t>
      </w:r>
      <w:r w:rsidRPr="004B297D">
        <w:rPr>
          <w:sz w:val="24"/>
          <w:szCs w:val="24"/>
        </w:rPr>
        <w:t>a teljes folyósítási díj megfizetésétől eltekint</w:t>
      </w:r>
      <w:r w:rsidRPr="0064369B">
        <w:rPr>
          <w:sz w:val="24"/>
          <w:szCs w:val="24"/>
        </w:rPr>
        <w:t>.</w:t>
      </w:r>
      <w:r w:rsidR="000632C3">
        <w:rPr>
          <w:sz w:val="24"/>
          <w:szCs w:val="24"/>
        </w:rPr>
        <w:t xml:space="preserve"> (</w:t>
      </w:r>
      <w:r w:rsidR="000632C3" w:rsidRPr="000632C3">
        <w:rPr>
          <w:sz w:val="24"/>
          <w:szCs w:val="24"/>
        </w:rPr>
        <w:t xml:space="preserve">Szakaszos folyósítás esetén csak azon (rész)folyósításhoz kapcsolódóan </w:t>
      </w:r>
      <w:r w:rsidR="000632C3">
        <w:rPr>
          <w:sz w:val="24"/>
          <w:szCs w:val="24"/>
        </w:rPr>
        <w:t>köteles eltekinteni a</w:t>
      </w:r>
      <w:r w:rsidR="000632C3" w:rsidRPr="000632C3">
        <w:rPr>
          <w:sz w:val="24"/>
          <w:szCs w:val="24"/>
        </w:rPr>
        <w:t xml:space="preserve"> folyósítási díjt</w:t>
      </w:r>
      <w:r w:rsidR="000632C3">
        <w:rPr>
          <w:sz w:val="24"/>
          <w:szCs w:val="24"/>
        </w:rPr>
        <w:t>ól</w:t>
      </w:r>
      <w:r w:rsidR="000632C3" w:rsidRPr="000632C3">
        <w:rPr>
          <w:sz w:val="24"/>
          <w:szCs w:val="24"/>
        </w:rPr>
        <w:t xml:space="preserve"> a hitelintézet</w:t>
      </w:r>
      <w:r w:rsidR="000632C3">
        <w:rPr>
          <w:sz w:val="24"/>
          <w:szCs w:val="24"/>
        </w:rPr>
        <w:t>,</w:t>
      </w:r>
      <w:r w:rsidR="000632C3" w:rsidRPr="000632C3">
        <w:rPr>
          <w:sz w:val="24"/>
          <w:szCs w:val="24"/>
        </w:rPr>
        <w:t xml:space="preserve"> amely esetén nem teljesítette a folyósítási határidőt.</w:t>
      </w:r>
      <w:r w:rsidR="000632C3">
        <w:rPr>
          <w:sz w:val="24"/>
          <w:szCs w:val="24"/>
        </w:rPr>
        <w:t>)</w:t>
      </w:r>
    </w:p>
    <w:p w14:paraId="6194DE46" w14:textId="059B05B7" w:rsidR="00EA3ACD" w:rsidRPr="00EA3ACD" w:rsidRDefault="00EA3ACD" w:rsidP="00B43817">
      <w:pPr>
        <w:pStyle w:val="ListParagraph"/>
        <w:numPr>
          <w:ilvl w:val="0"/>
          <w:numId w:val="0"/>
        </w:numPr>
        <w:spacing w:after="0"/>
        <w:ind w:left="426"/>
      </w:pPr>
    </w:p>
    <w:p w14:paraId="378F6B25" w14:textId="1528D3CE" w:rsidR="00EA3ACD" w:rsidRDefault="007A58B9" w:rsidP="003D04F1">
      <w:pPr>
        <w:keepNext/>
        <w:spacing w:after="0"/>
        <w:rPr>
          <w:rFonts w:cs="Arial"/>
          <w:bCs/>
          <w:sz w:val="24"/>
          <w:szCs w:val="24"/>
        </w:rPr>
      </w:pPr>
      <w:r w:rsidRPr="00110526">
        <w:rPr>
          <w:rFonts w:cs="Arial"/>
          <w:b/>
          <w:sz w:val="24"/>
          <w:szCs w:val="24"/>
          <w:u w:val="single"/>
        </w:rPr>
        <w:t>1</w:t>
      </w:r>
      <w:r w:rsidR="00761A13">
        <w:rPr>
          <w:rFonts w:cs="Arial"/>
          <w:b/>
          <w:sz w:val="24"/>
          <w:szCs w:val="24"/>
          <w:u w:val="single"/>
        </w:rPr>
        <w:t>1</w:t>
      </w:r>
      <w:r w:rsidRPr="00110526">
        <w:rPr>
          <w:rFonts w:cs="Arial"/>
          <w:b/>
          <w:sz w:val="24"/>
          <w:szCs w:val="24"/>
          <w:u w:val="single"/>
        </w:rPr>
        <w:t xml:space="preserve">. Általános tájékoztatás a </w:t>
      </w:r>
      <w:r w:rsidR="00DB43B4">
        <w:rPr>
          <w:rFonts w:cs="Arial"/>
          <w:b/>
          <w:sz w:val="24"/>
          <w:szCs w:val="24"/>
          <w:u w:val="single"/>
        </w:rPr>
        <w:t>Lakáshitel Szerződésben</w:t>
      </w:r>
      <w:r w:rsidRPr="00110526">
        <w:rPr>
          <w:rFonts w:cs="Arial"/>
          <w:b/>
          <w:sz w:val="24"/>
          <w:szCs w:val="24"/>
          <w:u w:val="single"/>
        </w:rPr>
        <w:t xml:space="preserve"> foglaltak be nem tartásának lehetséges következményeiről</w:t>
      </w:r>
      <w:r w:rsidR="00EA3ACD" w:rsidRPr="00EA3ACD">
        <w:rPr>
          <w:rFonts w:cs="Arial"/>
          <w:bCs/>
          <w:sz w:val="24"/>
          <w:szCs w:val="24"/>
        </w:rPr>
        <w:t xml:space="preserve"> </w:t>
      </w:r>
      <w:bookmarkStart w:id="0" w:name="_Hlk480563246"/>
    </w:p>
    <w:p w14:paraId="3F96240A" w14:textId="7806CFE2" w:rsidR="00EA3ACD" w:rsidRDefault="00EA3ACD" w:rsidP="00EA3ACD">
      <w:pPr>
        <w:keepNext/>
        <w:spacing w:after="0"/>
        <w:rPr>
          <w:i/>
          <w:iCs/>
          <w:color w:val="000000"/>
          <w:sz w:val="24"/>
          <w:szCs w:val="24"/>
        </w:rPr>
      </w:pPr>
      <w:r w:rsidRPr="005D35A8">
        <w:rPr>
          <w:i/>
          <w:iCs/>
          <w:color w:val="000000"/>
          <w:sz w:val="24"/>
          <w:szCs w:val="24"/>
        </w:rPr>
        <w:t>&lt;Hitelintézet tölti ki</w:t>
      </w:r>
      <w:r w:rsidR="00A436D4">
        <w:rPr>
          <w:i/>
          <w:iCs/>
          <w:color w:val="000000"/>
          <w:sz w:val="24"/>
          <w:szCs w:val="24"/>
        </w:rPr>
        <w:t xml:space="preserve"> a Terméktájékoztató keretei között</w:t>
      </w:r>
      <w:r w:rsidRPr="005D35A8">
        <w:rPr>
          <w:i/>
          <w:iCs/>
          <w:color w:val="000000"/>
          <w:sz w:val="24"/>
          <w:szCs w:val="24"/>
        </w:rPr>
        <w:t>!&gt;</w:t>
      </w:r>
    </w:p>
    <w:p w14:paraId="73A73098" w14:textId="77777777" w:rsidR="00B43817" w:rsidRPr="00EA3ACD" w:rsidRDefault="00B43817" w:rsidP="00EA3ACD">
      <w:pPr>
        <w:keepNext/>
        <w:spacing w:after="0"/>
        <w:rPr>
          <w:rFonts w:cs="Arial"/>
          <w:bCs/>
          <w:sz w:val="24"/>
          <w:szCs w:val="24"/>
        </w:rPr>
      </w:pPr>
    </w:p>
    <w:bookmarkEnd w:id="0"/>
    <w:p w14:paraId="11186EF9" w14:textId="232D988B" w:rsidR="007A58B9" w:rsidRPr="00110526" w:rsidRDefault="007A58B9" w:rsidP="007A58B9">
      <w:pPr>
        <w:keepNext/>
        <w:spacing w:after="0"/>
        <w:rPr>
          <w:rFonts w:cs="Arial"/>
          <w:b/>
          <w:sz w:val="24"/>
          <w:szCs w:val="24"/>
          <w:u w:val="single"/>
        </w:rPr>
      </w:pPr>
      <w:r w:rsidRPr="00110526">
        <w:rPr>
          <w:rFonts w:cs="Arial"/>
          <w:b/>
          <w:sz w:val="24"/>
          <w:szCs w:val="24"/>
          <w:u w:val="single"/>
        </w:rPr>
        <w:t>1</w:t>
      </w:r>
      <w:r w:rsidR="00761A13">
        <w:rPr>
          <w:rFonts w:cs="Arial"/>
          <w:b/>
          <w:sz w:val="24"/>
          <w:szCs w:val="24"/>
          <w:u w:val="single"/>
        </w:rPr>
        <w:t>2</w:t>
      </w:r>
      <w:r w:rsidRPr="00110526">
        <w:rPr>
          <w:rFonts w:cs="Arial"/>
          <w:b/>
          <w:sz w:val="24"/>
          <w:szCs w:val="24"/>
          <w:u w:val="single"/>
        </w:rPr>
        <w:t xml:space="preserve">. A </w:t>
      </w:r>
      <w:r w:rsidR="00596BA1">
        <w:rPr>
          <w:rFonts w:cs="Arial"/>
          <w:b/>
          <w:sz w:val="24"/>
          <w:szCs w:val="24"/>
          <w:u w:val="single"/>
        </w:rPr>
        <w:t>Lakás</w:t>
      </w:r>
      <w:r w:rsidRPr="00110526">
        <w:rPr>
          <w:rFonts w:cs="Arial"/>
          <w:b/>
          <w:sz w:val="24"/>
          <w:szCs w:val="24"/>
          <w:u w:val="single"/>
        </w:rPr>
        <w:t>hitel</w:t>
      </w:r>
      <w:r w:rsidR="00596BA1">
        <w:rPr>
          <w:rFonts w:cs="Arial"/>
          <w:b/>
          <w:sz w:val="24"/>
          <w:szCs w:val="24"/>
          <w:u w:val="single"/>
        </w:rPr>
        <w:t xml:space="preserve"> </w:t>
      </w:r>
      <w:r w:rsidRPr="00110526">
        <w:rPr>
          <w:rFonts w:cs="Arial"/>
          <w:b/>
          <w:sz w:val="24"/>
          <w:szCs w:val="24"/>
          <w:u w:val="single"/>
        </w:rPr>
        <w:t>igényléssel kapcsolatos teendők</w:t>
      </w:r>
    </w:p>
    <w:p w14:paraId="11CA5E9A" w14:textId="52E0813E" w:rsidR="007A58B9" w:rsidRDefault="007A58B9" w:rsidP="007A58B9">
      <w:pPr>
        <w:pStyle w:val="ListParagraph"/>
        <w:numPr>
          <w:ilvl w:val="0"/>
          <w:numId w:val="20"/>
        </w:numPr>
        <w:spacing w:after="0"/>
        <w:ind w:left="426" w:hanging="284"/>
        <w:rPr>
          <w:sz w:val="24"/>
        </w:rPr>
      </w:pPr>
      <w:bookmarkStart w:id="1" w:name="_Hlk480563270"/>
      <w:r w:rsidRPr="00110526">
        <w:rPr>
          <w:sz w:val="24"/>
        </w:rPr>
        <w:t xml:space="preserve">A befogadási feltételekről, a </w:t>
      </w:r>
      <w:r w:rsidR="00EA3ACD">
        <w:rPr>
          <w:sz w:val="24"/>
        </w:rPr>
        <w:t xml:space="preserve">Lakáshitel </w:t>
      </w:r>
      <w:r w:rsidRPr="00110526">
        <w:rPr>
          <w:sz w:val="24"/>
        </w:rPr>
        <w:t>kérelemhez szükséges dokumentumok</w:t>
      </w:r>
      <w:r w:rsidR="00596BA1">
        <w:rPr>
          <w:sz w:val="24"/>
        </w:rPr>
        <w:t xml:space="preserve"> köréről</w:t>
      </w:r>
      <w:r w:rsidRPr="00110526">
        <w:rPr>
          <w:sz w:val="24"/>
        </w:rPr>
        <w:t xml:space="preserve"> </w:t>
      </w:r>
      <w:r w:rsidR="00596BA1">
        <w:rPr>
          <w:sz w:val="24"/>
        </w:rPr>
        <w:t xml:space="preserve">a </w:t>
      </w:r>
      <w:r w:rsidR="00EA3ACD">
        <w:rPr>
          <w:sz w:val="24"/>
        </w:rPr>
        <w:t xml:space="preserve">Hitelintézet </w:t>
      </w:r>
      <w:r w:rsidRPr="00110526">
        <w:rPr>
          <w:sz w:val="24"/>
        </w:rPr>
        <w:t>mindenkori hatályos Üzletszabályzat</w:t>
      </w:r>
      <w:r w:rsidR="00EA3ACD">
        <w:rPr>
          <w:sz w:val="24"/>
        </w:rPr>
        <w:t>á</w:t>
      </w:r>
      <w:r w:rsidRPr="00110526">
        <w:rPr>
          <w:sz w:val="24"/>
        </w:rPr>
        <w:t xml:space="preserve">ból, </w:t>
      </w:r>
      <w:r w:rsidR="00A87FF5">
        <w:rPr>
          <w:sz w:val="24"/>
        </w:rPr>
        <w:t xml:space="preserve">ügyféltájékoztatójából, </w:t>
      </w:r>
      <w:r w:rsidRPr="00110526">
        <w:rPr>
          <w:sz w:val="24"/>
        </w:rPr>
        <w:t xml:space="preserve">illetve a </w:t>
      </w:r>
      <w:r w:rsidR="00EA3ACD">
        <w:rPr>
          <w:color w:val="000000"/>
          <w:sz w:val="24"/>
          <w:szCs w:val="24"/>
        </w:rPr>
        <w:t xml:space="preserve">Hitelintézet </w:t>
      </w:r>
      <w:r w:rsidRPr="00110526">
        <w:rPr>
          <w:sz w:val="24"/>
        </w:rPr>
        <w:t>fiókjaiban és szolgáltatásait közvetítő hitelközvetítőknél érdeklődhet.</w:t>
      </w:r>
    </w:p>
    <w:p w14:paraId="420853D6" w14:textId="77777777" w:rsidR="00B43817" w:rsidRPr="00110526" w:rsidRDefault="00B43817" w:rsidP="00B43817">
      <w:pPr>
        <w:pStyle w:val="ListParagraph"/>
        <w:numPr>
          <w:ilvl w:val="0"/>
          <w:numId w:val="0"/>
        </w:numPr>
        <w:spacing w:after="0"/>
        <w:ind w:left="426"/>
        <w:rPr>
          <w:sz w:val="24"/>
        </w:rPr>
      </w:pPr>
    </w:p>
    <w:bookmarkEnd w:id="1"/>
    <w:p w14:paraId="1B9BE302" w14:textId="210F7DE4" w:rsidR="007A58B9" w:rsidRPr="00110526" w:rsidRDefault="007A58B9" w:rsidP="0D17C421">
      <w:pPr>
        <w:keepNext/>
        <w:spacing w:after="0"/>
        <w:rPr>
          <w:rFonts w:cs="Arial"/>
          <w:b/>
          <w:bCs/>
          <w:sz w:val="24"/>
          <w:szCs w:val="24"/>
          <w:u w:val="single"/>
        </w:rPr>
      </w:pPr>
      <w:r w:rsidRPr="41EB6EF4">
        <w:rPr>
          <w:rFonts w:cs="Arial"/>
          <w:b/>
          <w:bCs/>
          <w:sz w:val="24"/>
          <w:szCs w:val="24"/>
          <w:u w:val="single"/>
        </w:rPr>
        <w:t>1</w:t>
      </w:r>
      <w:r w:rsidR="00761A13" w:rsidRPr="41EB6EF4">
        <w:rPr>
          <w:rFonts w:cs="Arial"/>
          <w:b/>
          <w:bCs/>
          <w:sz w:val="24"/>
          <w:szCs w:val="24"/>
          <w:u w:val="single"/>
        </w:rPr>
        <w:t>3</w:t>
      </w:r>
      <w:r w:rsidRPr="41EB6EF4">
        <w:rPr>
          <w:rFonts w:cs="Arial"/>
          <w:b/>
          <w:bCs/>
          <w:sz w:val="24"/>
          <w:szCs w:val="24"/>
          <w:u w:val="single"/>
        </w:rPr>
        <w:t>. További tájékoztatás</w:t>
      </w:r>
    </w:p>
    <w:p w14:paraId="2749B287" w14:textId="6F99E410" w:rsidR="007A58B9" w:rsidRPr="00110526" w:rsidRDefault="007A58B9" w:rsidP="007A58B9">
      <w:pPr>
        <w:pStyle w:val="ListParagraph"/>
        <w:numPr>
          <w:ilvl w:val="0"/>
          <w:numId w:val="20"/>
        </w:numPr>
        <w:spacing w:after="0"/>
        <w:ind w:left="426" w:hanging="284"/>
        <w:rPr>
          <w:sz w:val="24"/>
        </w:rPr>
      </w:pPr>
      <w:bookmarkStart w:id="2" w:name="_Hlk480563283"/>
      <w:r w:rsidRPr="00110526">
        <w:rPr>
          <w:sz w:val="24"/>
        </w:rPr>
        <w:t xml:space="preserve">Az e Termékismertetőben nyújtott tájékoztatás nem minősül ajánlattételnek és nem teljeskörű, az egyes feltételek a hitelbírálat eredményétől függően változhatnak. A </w:t>
      </w:r>
      <w:r w:rsidR="00B43817">
        <w:rPr>
          <w:sz w:val="24"/>
        </w:rPr>
        <w:t>H</w:t>
      </w:r>
      <w:r w:rsidR="0013745A" w:rsidRPr="00034DF3">
        <w:rPr>
          <w:color w:val="000000"/>
          <w:sz w:val="24"/>
          <w:szCs w:val="24"/>
        </w:rPr>
        <w:t>itelintézet</w:t>
      </w:r>
      <w:r w:rsidR="00B43817">
        <w:rPr>
          <w:color w:val="000000"/>
          <w:sz w:val="24"/>
          <w:szCs w:val="24"/>
        </w:rPr>
        <w:t xml:space="preserve"> a </w:t>
      </w:r>
      <w:r w:rsidRPr="00110526">
        <w:rPr>
          <w:sz w:val="24"/>
        </w:rPr>
        <w:t xml:space="preserve">belső kockázatkezelési szabályai alapján a hitelnyújtást a </w:t>
      </w:r>
      <w:r w:rsidR="00BB7159">
        <w:rPr>
          <w:sz w:val="24"/>
        </w:rPr>
        <w:t>f</w:t>
      </w:r>
      <w:r w:rsidRPr="00110526">
        <w:rPr>
          <w:sz w:val="24"/>
        </w:rPr>
        <w:t xml:space="preserve">ogyasztóról számára elérhető információk alapján a hitelkérelem befogadásáig megtagadhatja. </w:t>
      </w:r>
    </w:p>
    <w:p w14:paraId="6AF3C97E" w14:textId="77777777" w:rsidR="007A58B9" w:rsidRPr="00110526" w:rsidRDefault="007A58B9" w:rsidP="007A58B9">
      <w:pPr>
        <w:pStyle w:val="ListParagraph"/>
        <w:numPr>
          <w:ilvl w:val="0"/>
          <w:numId w:val="20"/>
        </w:numPr>
        <w:spacing w:after="0"/>
        <w:ind w:left="426" w:hanging="284"/>
      </w:pPr>
      <w:r w:rsidRPr="00110526">
        <w:rPr>
          <w:sz w:val="24"/>
        </w:rPr>
        <w:t xml:space="preserve">Elérhetőségek: </w:t>
      </w:r>
      <w:r w:rsidRPr="004B297D">
        <w:rPr>
          <w:i/>
          <w:iCs/>
          <w:sz w:val="24"/>
        </w:rPr>
        <w:t>&lt;Telefon, e-mail, honlap</w:t>
      </w:r>
      <w:bookmarkEnd w:id="2"/>
      <w:r w:rsidRPr="004B297D">
        <w:rPr>
          <w:i/>
          <w:iCs/>
          <w:sz w:val="24"/>
        </w:rPr>
        <w:t>&gt;</w:t>
      </w:r>
    </w:p>
    <w:p w14:paraId="2585DE83" w14:textId="77777777" w:rsidR="007A58B9" w:rsidRPr="00110526" w:rsidRDefault="007A58B9" w:rsidP="007A58B9">
      <w:pPr>
        <w:jc w:val="center"/>
        <w:rPr>
          <w:rFonts w:cs="Arial"/>
          <w:b/>
          <w:bCs/>
          <w:caps/>
          <w:color w:val="002060"/>
          <w:sz w:val="24"/>
          <w:szCs w:val="24"/>
        </w:rPr>
      </w:pPr>
    </w:p>
    <w:p w14:paraId="30F47B43" w14:textId="77777777" w:rsidR="007A58B9" w:rsidRPr="00110526" w:rsidRDefault="007A58B9" w:rsidP="007A58B9">
      <w:pPr>
        <w:rPr>
          <w:color w:val="000000"/>
          <w:sz w:val="24"/>
        </w:rPr>
      </w:pPr>
    </w:p>
    <w:sectPr w:rsidR="007A58B9" w:rsidRPr="00110526" w:rsidSect="00CD6E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8A31" w14:textId="77777777" w:rsidR="009E6107" w:rsidRDefault="009E6107">
      <w:r>
        <w:separator/>
      </w:r>
    </w:p>
  </w:endnote>
  <w:endnote w:type="continuationSeparator" w:id="0">
    <w:p w14:paraId="31249094" w14:textId="77777777" w:rsidR="009E6107" w:rsidRDefault="009E6107">
      <w:r>
        <w:continuationSeparator/>
      </w:r>
    </w:p>
  </w:endnote>
  <w:endnote w:type="continuationNotice" w:id="1">
    <w:p w14:paraId="2B492560" w14:textId="77777777" w:rsidR="009E6107" w:rsidRDefault="009E61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1B09" w14:textId="77777777" w:rsidR="009E6107" w:rsidRDefault="009E6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BA79" w14:textId="4F0F38E6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AA50E5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AA50E5">
      <w:rPr>
        <w:noProof/>
        <w:sz w:val="18"/>
        <w:szCs w:val="18"/>
      </w:rPr>
      <w:t>5</w:t>
    </w:r>
    <w:r w:rsidR="00A8495F" w:rsidRPr="00AC6950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70"/>
      <w:gridCol w:w="3170"/>
      <w:gridCol w:w="3170"/>
    </w:tblGrid>
    <w:tr w:rsidR="0D40F41E" w14:paraId="440A6B38" w14:textId="77777777" w:rsidTr="0D40F41E">
      <w:tc>
        <w:tcPr>
          <w:tcW w:w="3170" w:type="dxa"/>
        </w:tcPr>
        <w:p w14:paraId="237E7368" w14:textId="348B9BA8" w:rsidR="0D40F41E" w:rsidRDefault="0D40F41E" w:rsidP="0D40F41E">
          <w:pPr>
            <w:pStyle w:val="Header"/>
            <w:ind w:left="-115"/>
          </w:pPr>
        </w:p>
      </w:tc>
      <w:tc>
        <w:tcPr>
          <w:tcW w:w="3170" w:type="dxa"/>
        </w:tcPr>
        <w:p w14:paraId="3C34DE49" w14:textId="47774DAF" w:rsidR="0D40F41E" w:rsidRDefault="0D40F41E" w:rsidP="0D40F41E">
          <w:pPr>
            <w:pStyle w:val="Header"/>
            <w:jc w:val="center"/>
          </w:pPr>
        </w:p>
      </w:tc>
      <w:tc>
        <w:tcPr>
          <w:tcW w:w="3170" w:type="dxa"/>
        </w:tcPr>
        <w:p w14:paraId="4E588CA9" w14:textId="0BE2F031" w:rsidR="0D40F41E" w:rsidRDefault="0D40F41E" w:rsidP="0D40F41E">
          <w:pPr>
            <w:pStyle w:val="Header"/>
            <w:ind w:right="-115"/>
            <w:jc w:val="right"/>
          </w:pPr>
        </w:p>
      </w:tc>
    </w:tr>
  </w:tbl>
  <w:p w14:paraId="22A0CD2B" w14:textId="1C190406" w:rsidR="0D40F41E" w:rsidRDefault="0D40F41E" w:rsidP="0D40F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53AB" w14:textId="77777777" w:rsidR="009E6107" w:rsidRDefault="009E6107">
      <w:r>
        <w:separator/>
      </w:r>
    </w:p>
  </w:footnote>
  <w:footnote w:type="continuationSeparator" w:id="0">
    <w:p w14:paraId="26B8F238" w14:textId="77777777" w:rsidR="009E6107" w:rsidRDefault="009E6107">
      <w:r>
        <w:continuationSeparator/>
      </w:r>
    </w:p>
  </w:footnote>
  <w:footnote w:type="continuationNotice" w:id="1">
    <w:p w14:paraId="14505941" w14:textId="77777777" w:rsidR="009E6107" w:rsidRDefault="009E6107">
      <w:pPr>
        <w:spacing w:after="0" w:line="240" w:lineRule="auto"/>
      </w:pPr>
    </w:p>
  </w:footnote>
  <w:footnote w:id="2">
    <w:p w14:paraId="4B737D33" w14:textId="0ED7F239" w:rsidR="00E511AC" w:rsidRDefault="00E511AC">
      <w:pPr>
        <w:pStyle w:val="FootnoteText"/>
      </w:pPr>
      <w:r w:rsidRPr="00E511AC">
        <w:rPr>
          <w:rStyle w:val="FootnoteReference"/>
        </w:rPr>
        <w:footnoteRef/>
      </w:r>
      <w:r w:rsidRPr="00E511AC">
        <w:rPr>
          <w:rStyle w:val="FootnoteReference"/>
        </w:rPr>
        <w:t xml:space="preserve"> </w:t>
      </w:r>
      <w:r w:rsidRPr="00E511AC">
        <w:rPr>
          <w:color w:val="auto"/>
        </w:rPr>
        <w:t>A teljes hiteldíj mutató meghatározásáról, számításáról, és közzétételéről szóló 83/2010 (III.25.) Korm. rendelet.</w:t>
      </w:r>
    </w:p>
  </w:footnote>
  <w:footnote w:id="3">
    <w:p w14:paraId="035D2CA5" w14:textId="501B7521" w:rsidR="005B0F41" w:rsidRDefault="005B0F41">
      <w:pPr>
        <w:pStyle w:val="FootnoteText"/>
      </w:pPr>
      <w:r>
        <w:rPr>
          <w:rStyle w:val="FootnoteReference"/>
        </w:rPr>
        <w:footnoteRef/>
      </w:r>
      <w:r>
        <w:t xml:space="preserve"> Azaz </w:t>
      </w:r>
      <w:r w:rsidRPr="004B297D">
        <w:t>amennyiben a Lakáshitelhez az Adós OTK-támogatást is igénybe vesz</w:t>
      </w:r>
      <w:r>
        <w:t xml:space="preserve">, úgy az OTK-támogatással érintett hitelrészre, valamint az esetlegesen efölötti összegre kötött külön NHP ZOP keretében kötött Lakáshitel Szerződésekre összesítve. </w:t>
      </w:r>
    </w:p>
  </w:footnote>
  <w:footnote w:id="4">
    <w:p w14:paraId="7572B406" w14:textId="3678BB86" w:rsidR="00B7531F" w:rsidRDefault="00B7531F">
      <w:pPr>
        <w:pStyle w:val="FootnoteText"/>
      </w:pPr>
      <w:r w:rsidRPr="008F27F8">
        <w:rPr>
          <w:rStyle w:val="FootnoteReference"/>
          <w:color w:val="auto"/>
        </w:rPr>
        <w:footnoteRef/>
      </w:r>
      <w:r w:rsidRPr="008F27F8">
        <w:rPr>
          <w:color w:val="auto"/>
        </w:rPr>
        <w:t xml:space="preserve"> Azaz a lakástakarék-pénztári szerződésben rögzített összegű havi betét befizetésével a teljes vagy részleges előtörlesztés időpontjáig szerződés szerint elérhető megtakarításból, a hozzá kapcsolódó állami támogatásból és az azokra jóváírt kamatból finanszírozott teljes vagy részleges előtörlesztés annak lejáratakor díjmentes.</w:t>
      </w:r>
    </w:p>
  </w:footnote>
  <w:footnote w:id="5">
    <w:p w14:paraId="261F475B" w14:textId="77777777" w:rsidR="00E96DA4" w:rsidRPr="00596BA1" w:rsidRDefault="00E96DA4" w:rsidP="00936F49">
      <w:pPr>
        <w:pStyle w:val="FootnoteText"/>
        <w:rPr>
          <w:color w:val="auto"/>
        </w:rPr>
      </w:pPr>
      <w:r w:rsidRPr="00596BA1">
        <w:rPr>
          <w:rStyle w:val="FootnoteReference"/>
          <w:color w:val="auto"/>
        </w:rPr>
        <w:footnoteRef/>
      </w:r>
      <w:r w:rsidRPr="00596BA1">
        <w:rPr>
          <w:color w:val="auto"/>
        </w:rPr>
        <w:t xml:space="preserve"> Magyar állampolgár, a magyar állampolgárságról szóló törvény alapján magyar állampolgárnak tekintendő személy és a harmadik országbeli állampolgársággal rendelkező, bevándorolt és a letelepedett jogállású, valamint a szabad mozgás és tartózkodás jogával rendelkező személy, amennyiben a szabad mozgás és a három hónapot meghaladó tartózkodási jogukat Magyarország területén gyakorolja, illetve hontalan.</w:t>
      </w:r>
    </w:p>
  </w:footnote>
  <w:footnote w:id="6">
    <w:p w14:paraId="1901359F" w14:textId="77777777" w:rsidR="00E96DA4" w:rsidRPr="00596BA1" w:rsidRDefault="00E96DA4" w:rsidP="00936F49">
      <w:pPr>
        <w:pStyle w:val="FootnoteText"/>
        <w:rPr>
          <w:color w:val="auto"/>
        </w:rPr>
      </w:pPr>
      <w:r w:rsidRPr="00596BA1">
        <w:rPr>
          <w:rStyle w:val="FootnoteReference"/>
          <w:color w:val="auto"/>
        </w:rPr>
        <w:footnoteRef/>
      </w:r>
      <w:r w:rsidRPr="00596BA1">
        <w:rPr>
          <w:color w:val="auto"/>
        </w:rPr>
        <w:t xml:space="preserve"> A fogyasztónak nyújtott hitelről szóló 2009. évi CLXII. törvényben meghatározottak szerinti fogyasztó.</w:t>
      </w:r>
    </w:p>
  </w:footnote>
  <w:footnote w:id="7">
    <w:p w14:paraId="759457EF" w14:textId="4682C3EE" w:rsidR="00CA7184" w:rsidRPr="00596BA1" w:rsidRDefault="00CA7184" w:rsidP="00936F49">
      <w:pPr>
        <w:pStyle w:val="FootnoteText"/>
        <w:rPr>
          <w:color w:val="auto"/>
        </w:rPr>
      </w:pPr>
      <w:r w:rsidRPr="00596BA1">
        <w:rPr>
          <w:rStyle w:val="FootnoteReference"/>
          <w:color w:val="auto"/>
        </w:rPr>
        <w:footnoteRef/>
      </w:r>
      <w:r w:rsidRPr="00596BA1">
        <w:rPr>
          <w:color w:val="auto"/>
        </w:rPr>
        <w:t xml:space="preserve"> Az épületek energetikai jellemzőinek tanúsításáról szóló 176/2008. (VI. 30.) Korm rend. szerint.</w:t>
      </w:r>
    </w:p>
  </w:footnote>
  <w:footnote w:id="8">
    <w:p w14:paraId="6F776FC8" w14:textId="3677A480" w:rsidR="00CA7184" w:rsidRDefault="00CA7184" w:rsidP="00936F49">
      <w:pPr>
        <w:pStyle w:val="FootnoteText"/>
      </w:pPr>
      <w:r w:rsidRPr="00596BA1">
        <w:rPr>
          <w:rStyle w:val="FootnoteReference"/>
          <w:color w:val="auto"/>
        </w:rPr>
        <w:footnoteRef/>
      </w:r>
      <w:r w:rsidRPr="00596BA1">
        <w:rPr>
          <w:color w:val="auto"/>
        </w:rPr>
        <w:t xml:space="preserve"> Az épületek energetikai jellemzőinek meghatározásáról szóló 7/2006. (V. 24.) TNM rendelet szerint.</w:t>
      </w:r>
    </w:p>
  </w:footnote>
  <w:footnote w:id="9">
    <w:p w14:paraId="1C0632AE" w14:textId="77777777" w:rsidR="001E52E5" w:rsidRPr="006C1318" w:rsidRDefault="001E52E5" w:rsidP="001E52E5">
      <w:pPr>
        <w:pStyle w:val="FootnoteText"/>
        <w:rPr>
          <w:color w:val="auto"/>
        </w:rPr>
      </w:pPr>
      <w:r w:rsidRPr="000E74C0">
        <w:rPr>
          <w:rStyle w:val="FootnoteReference"/>
        </w:rPr>
        <w:footnoteRef/>
      </w:r>
      <w:r w:rsidRPr="000E74C0">
        <w:rPr>
          <w:rStyle w:val="FootnoteReference"/>
        </w:rPr>
        <w:t xml:space="preserve"> </w:t>
      </w:r>
      <w:r w:rsidRPr="006C1318">
        <w:rPr>
          <w:color w:val="auto"/>
        </w:rPr>
        <w:t xml:space="preserve">Nem minősül az életvitelszerű lakhatási szabályok megszegésének az új lakások építéséhez, vásárlásához kapcsolódó lakáscélú támogatásokról szóló 16/2016 (II.10.) Korm.rendelet 28. § alpontjaiban, valamint az 50. § (2) bekezdésben foglalt bármely eset bekövetkezte. </w:t>
      </w:r>
    </w:p>
  </w:footnote>
  <w:footnote w:id="10">
    <w:p w14:paraId="409F2362" w14:textId="77777777" w:rsidR="004B5411" w:rsidRDefault="004B5411" w:rsidP="004B5411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86CC" w14:textId="77777777" w:rsidR="009E6107" w:rsidRDefault="009E61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A940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70"/>
      <w:gridCol w:w="3170"/>
      <w:gridCol w:w="3170"/>
    </w:tblGrid>
    <w:tr w:rsidR="0D40F41E" w14:paraId="30AD21B8" w14:textId="77777777" w:rsidTr="0D40F41E">
      <w:tc>
        <w:tcPr>
          <w:tcW w:w="3170" w:type="dxa"/>
        </w:tcPr>
        <w:p w14:paraId="59233DC9" w14:textId="2580B298" w:rsidR="0D40F41E" w:rsidRDefault="0D40F41E" w:rsidP="0D40F41E">
          <w:pPr>
            <w:pStyle w:val="Header"/>
            <w:ind w:left="-115"/>
          </w:pPr>
        </w:p>
      </w:tc>
      <w:tc>
        <w:tcPr>
          <w:tcW w:w="3170" w:type="dxa"/>
        </w:tcPr>
        <w:p w14:paraId="7ADAAC7A" w14:textId="6FCF4FEE" w:rsidR="0D40F41E" w:rsidRDefault="0D40F41E" w:rsidP="0D40F41E">
          <w:pPr>
            <w:pStyle w:val="Header"/>
            <w:jc w:val="center"/>
          </w:pPr>
        </w:p>
      </w:tc>
      <w:tc>
        <w:tcPr>
          <w:tcW w:w="3170" w:type="dxa"/>
        </w:tcPr>
        <w:p w14:paraId="7E05E14A" w14:textId="47419A1B" w:rsidR="0D40F41E" w:rsidRDefault="0D40F41E" w:rsidP="0D40F41E">
          <w:pPr>
            <w:pStyle w:val="Header"/>
            <w:ind w:right="-115"/>
            <w:jc w:val="right"/>
          </w:pPr>
        </w:p>
      </w:tc>
    </w:tr>
  </w:tbl>
  <w:p w14:paraId="1D5108DB" w14:textId="0B6C9243" w:rsidR="0D40F41E" w:rsidRDefault="0D40F41E" w:rsidP="0D40F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4FE"/>
    <w:multiLevelType w:val="hybridMultilevel"/>
    <w:tmpl w:val="ED80D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5EC5"/>
    <w:multiLevelType w:val="hybridMultilevel"/>
    <w:tmpl w:val="52A278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30276"/>
    <w:multiLevelType w:val="hybridMultilevel"/>
    <w:tmpl w:val="BDE819DA"/>
    <w:lvl w:ilvl="0" w:tplc="7D22E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45287"/>
    <w:multiLevelType w:val="hybridMultilevel"/>
    <w:tmpl w:val="88C8FB28"/>
    <w:lvl w:ilvl="0" w:tplc="1DCECB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8011B"/>
    <w:multiLevelType w:val="hybridMultilevel"/>
    <w:tmpl w:val="23B8CF0E"/>
    <w:lvl w:ilvl="0" w:tplc="040E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509E8"/>
    <w:multiLevelType w:val="hybridMultilevel"/>
    <w:tmpl w:val="3AAC404E"/>
    <w:lvl w:ilvl="0" w:tplc="92F401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17EB8"/>
    <w:multiLevelType w:val="hybridMultilevel"/>
    <w:tmpl w:val="828EED14"/>
    <w:lvl w:ilvl="0" w:tplc="A1D4D8BE">
      <w:start w:val="1"/>
      <w:numFmt w:val="bullet"/>
      <w:lvlText w:val="–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BF256A8"/>
    <w:multiLevelType w:val="hybridMultilevel"/>
    <w:tmpl w:val="6CB2675C"/>
    <w:lvl w:ilvl="0" w:tplc="040E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52AC4674"/>
    <w:multiLevelType w:val="hybridMultilevel"/>
    <w:tmpl w:val="14D81B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655FD"/>
    <w:multiLevelType w:val="hybridMultilevel"/>
    <w:tmpl w:val="63B204B4"/>
    <w:lvl w:ilvl="0" w:tplc="C0645946">
      <w:start w:val="2"/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5E9D7B87"/>
    <w:multiLevelType w:val="hybridMultilevel"/>
    <w:tmpl w:val="9FA035E0"/>
    <w:lvl w:ilvl="0" w:tplc="1DCECBEA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236510A"/>
    <w:multiLevelType w:val="hybridMultilevel"/>
    <w:tmpl w:val="122C8B82"/>
    <w:lvl w:ilvl="0" w:tplc="C56432E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D11B3"/>
    <w:multiLevelType w:val="hybridMultilevel"/>
    <w:tmpl w:val="C6CC0228"/>
    <w:lvl w:ilvl="0" w:tplc="07849A2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0E0017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0708D5"/>
    <w:multiLevelType w:val="hybridMultilevel"/>
    <w:tmpl w:val="2B7A2CE6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2"/>
  </w:num>
  <w:num w:numId="7">
    <w:abstractNumId w:val="6"/>
  </w:num>
  <w:num w:numId="8">
    <w:abstractNumId w:val="20"/>
  </w:num>
  <w:num w:numId="9">
    <w:abstractNumId w:val="12"/>
    <w:lvlOverride w:ilvl="0">
      <w:startOverride w:val="1"/>
    </w:lvlOverride>
  </w:num>
  <w:num w:numId="10">
    <w:abstractNumId w:val="22"/>
  </w:num>
  <w:num w:numId="11">
    <w:abstractNumId w:val="14"/>
  </w:num>
  <w:num w:numId="12">
    <w:abstractNumId w:val="9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"/>
  </w:num>
  <w:num w:numId="20">
    <w:abstractNumId w:val="23"/>
  </w:num>
  <w:num w:numId="21">
    <w:abstractNumId w:val="10"/>
  </w:num>
  <w:num w:numId="22">
    <w:abstractNumId w:val="17"/>
  </w:num>
  <w:num w:numId="23">
    <w:abstractNumId w:val="24"/>
  </w:num>
  <w:num w:numId="24">
    <w:abstractNumId w:val="15"/>
  </w:num>
  <w:num w:numId="25">
    <w:abstractNumId w:val="12"/>
    <w:lvlOverride w:ilvl="0">
      <w:startOverride w:val="1"/>
    </w:lvlOverride>
  </w:num>
  <w:num w:numId="26">
    <w:abstractNumId w:val="19"/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4"/>
  </w:num>
  <w:num w:numId="40">
    <w:abstractNumId w:val="13"/>
  </w:num>
  <w:num w:numId="41">
    <w:abstractNumId w:val="11"/>
  </w:num>
  <w:num w:numId="42">
    <w:abstractNumId w:val="16"/>
  </w:num>
  <w:num w:numId="43">
    <w:abstractNumId w:val="18"/>
  </w:num>
  <w:num w:numId="44">
    <w:abstractNumId w:val="21"/>
  </w:num>
  <w:num w:numId="4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B9"/>
    <w:rsid w:val="0000273C"/>
    <w:rsid w:val="000071AB"/>
    <w:rsid w:val="00017B1B"/>
    <w:rsid w:val="00023681"/>
    <w:rsid w:val="0002498B"/>
    <w:rsid w:val="000250E6"/>
    <w:rsid w:val="00027695"/>
    <w:rsid w:val="00027B62"/>
    <w:rsid w:val="00033357"/>
    <w:rsid w:val="00034DF3"/>
    <w:rsid w:val="00035697"/>
    <w:rsid w:val="000504F7"/>
    <w:rsid w:val="0005577F"/>
    <w:rsid w:val="00060148"/>
    <w:rsid w:val="00063216"/>
    <w:rsid w:val="000632C3"/>
    <w:rsid w:val="0006374F"/>
    <w:rsid w:val="00064546"/>
    <w:rsid w:val="000674BE"/>
    <w:rsid w:val="00067BE2"/>
    <w:rsid w:val="00067C0C"/>
    <w:rsid w:val="0007315E"/>
    <w:rsid w:val="0008131E"/>
    <w:rsid w:val="00081934"/>
    <w:rsid w:val="000831EC"/>
    <w:rsid w:val="00087E97"/>
    <w:rsid w:val="000904C4"/>
    <w:rsid w:val="000A3A63"/>
    <w:rsid w:val="000A71F3"/>
    <w:rsid w:val="000B71A0"/>
    <w:rsid w:val="000C2918"/>
    <w:rsid w:val="000C3019"/>
    <w:rsid w:val="000C701E"/>
    <w:rsid w:val="000C701F"/>
    <w:rsid w:val="000D1C8B"/>
    <w:rsid w:val="000D1E44"/>
    <w:rsid w:val="000D40AE"/>
    <w:rsid w:val="000D4F61"/>
    <w:rsid w:val="000D5797"/>
    <w:rsid w:val="000D5F26"/>
    <w:rsid w:val="000D7C96"/>
    <w:rsid w:val="000E0A59"/>
    <w:rsid w:val="000E2CBD"/>
    <w:rsid w:val="000E4EE3"/>
    <w:rsid w:val="000F0B3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4479"/>
    <w:rsid w:val="001356A6"/>
    <w:rsid w:val="001357D0"/>
    <w:rsid w:val="00136260"/>
    <w:rsid w:val="0013745A"/>
    <w:rsid w:val="001421CC"/>
    <w:rsid w:val="00143691"/>
    <w:rsid w:val="00150045"/>
    <w:rsid w:val="00152DBF"/>
    <w:rsid w:val="00153CD6"/>
    <w:rsid w:val="00156613"/>
    <w:rsid w:val="00164D2A"/>
    <w:rsid w:val="001667BB"/>
    <w:rsid w:val="00166F6C"/>
    <w:rsid w:val="001747F6"/>
    <w:rsid w:val="0018359E"/>
    <w:rsid w:val="0018619A"/>
    <w:rsid w:val="001870A7"/>
    <w:rsid w:val="00197350"/>
    <w:rsid w:val="00197C98"/>
    <w:rsid w:val="001A2BAA"/>
    <w:rsid w:val="001B04E3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52E5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1376"/>
    <w:rsid w:val="0024525F"/>
    <w:rsid w:val="00250FF8"/>
    <w:rsid w:val="002522F1"/>
    <w:rsid w:val="002602F5"/>
    <w:rsid w:val="002611AE"/>
    <w:rsid w:val="0026180A"/>
    <w:rsid w:val="00267448"/>
    <w:rsid w:val="00270724"/>
    <w:rsid w:val="00271371"/>
    <w:rsid w:val="00273052"/>
    <w:rsid w:val="0027402D"/>
    <w:rsid w:val="002751D4"/>
    <w:rsid w:val="002833CF"/>
    <w:rsid w:val="0028416A"/>
    <w:rsid w:val="002866DE"/>
    <w:rsid w:val="00287D15"/>
    <w:rsid w:val="00290D47"/>
    <w:rsid w:val="00292177"/>
    <w:rsid w:val="002A3B0E"/>
    <w:rsid w:val="002A7453"/>
    <w:rsid w:val="002A7F27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D7ABB"/>
    <w:rsid w:val="002F34ED"/>
    <w:rsid w:val="002F4DEE"/>
    <w:rsid w:val="002F602F"/>
    <w:rsid w:val="00300EE3"/>
    <w:rsid w:val="00302136"/>
    <w:rsid w:val="00307535"/>
    <w:rsid w:val="00313246"/>
    <w:rsid w:val="003231ED"/>
    <w:rsid w:val="00327A74"/>
    <w:rsid w:val="00327ABB"/>
    <w:rsid w:val="00337954"/>
    <w:rsid w:val="003415AD"/>
    <w:rsid w:val="00341BB5"/>
    <w:rsid w:val="00343614"/>
    <w:rsid w:val="00344D81"/>
    <w:rsid w:val="0035153B"/>
    <w:rsid w:val="003524A6"/>
    <w:rsid w:val="003548F7"/>
    <w:rsid w:val="00362CC8"/>
    <w:rsid w:val="00363060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A35E5"/>
    <w:rsid w:val="003B03F9"/>
    <w:rsid w:val="003B12B2"/>
    <w:rsid w:val="003B46BE"/>
    <w:rsid w:val="003C5699"/>
    <w:rsid w:val="003C7352"/>
    <w:rsid w:val="003D04DD"/>
    <w:rsid w:val="003D04F1"/>
    <w:rsid w:val="003D52BC"/>
    <w:rsid w:val="003F0EED"/>
    <w:rsid w:val="003F128A"/>
    <w:rsid w:val="0041484F"/>
    <w:rsid w:val="00423D50"/>
    <w:rsid w:val="0043276D"/>
    <w:rsid w:val="004330EA"/>
    <w:rsid w:val="00434DC6"/>
    <w:rsid w:val="004364A2"/>
    <w:rsid w:val="004413FF"/>
    <w:rsid w:val="00442ABF"/>
    <w:rsid w:val="004451FE"/>
    <w:rsid w:val="00447C61"/>
    <w:rsid w:val="00450BE1"/>
    <w:rsid w:val="00453087"/>
    <w:rsid w:val="00455A38"/>
    <w:rsid w:val="00465939"/>
    <w:rsid w:val="0047029F"/>
    <w:rsid w:val="004725F3"/>
    <w:rsid w:val="004729CE"/>
    <w:rsid w:val="00474131"/>
    <w:rsid w:val="0048183A"/>
    <w:rsid w:val="00481C29"/>
    <w:rsid w:val="00491483"/>
    <w:rsid w:val="004919C2"/>
    <w:rsid w:val="004924CA"/>
    <w:rsid w:val="00494C89"/>
    <w:rsid w:val="004A58E3"/>
    <w:rsid w:val="004A5F09"/>
    <w:rsid w:val="004B1A68"/>
    <w:rsid w:val="004B297D"/>
    <w:rsid w:val="004B41F2"/>
    <w:rsid w:val="004B5411"/>
    <w:rsid w:val="004D270F"/>
    <w:rsid w:val="004D455D"/>
    <w:rsid w:val="004D7635"/>
    <w:rsid w:val="004E2BA2"/>
    <w:rsid w:val="004E56A9"/>
    <w:rsid w:val="004F19F3"/>
    <w:rsid w:val="004F1BAA"/>
    <w:rsid w:val="004F23EE"/>
    <w:rsid w:val="004F42D5"/>
    <w:rsid w:val="004F72B9"/>
    <w:rsid w:val="004F7F1C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3297E"/>
    <w:rsid w:val="00540AA7"/>
    <w:rsid w:val="0054358B"/>
    <w:rsid w:val="00544934"/>
    <w:rsid w:val="00557A68"/>
    <w:rsid w:val="00557EFB"/>
    <w:rsid w:val="00561175"/>
    <w:rsid w:val="005648EE"/>
    <w:rsid w:val="00571B83"/>
    <w:rsid w:val="00571C3C"/>
    <w:rsid w:val="005763C5"/>
    <w:rsid w:val="00581D24"/>
    <w:rsid w:val="0058459E"/>
    <w:rsid w:val="00586D4D"/>
    <w:rsid w:val="00591A4E"/>
    <w:rsid w:val="00596BA1"/>
    <w:rsid w:val="00597872"/>
    <w:rsid w:val="005A011E"/>
    <w:rsid w:val="005A3531"/>
    <w:rsid w:val="005A3DDE"/>
    <w:rsid w:val="005A5E58"/>
    <w:rsid w:val="005A788E"/>
    <w:rsid w:val="005A7D60"/>
    <w:rsid w:val="005B019D"/>
    <w:rsid w:val="005B0A26"/>
    <w:rsid w:val="005B0F41"/>
    <w:rsid w:val="005C3F73"/>
    <w:rsid w:val="005C498A"/>
    <w:rsid w:val="005C5BB7"/>
    <w:rsid w:val="005D1A2C"/>
    <w:rsid w:val="005D35A8"/>
    <w:rsid w:val="005E6E9D"/>
    <w:rsid w:val="005F1E42"/>
    <w:rsid w:val="005F3818"/>
    <w:rsid w:val="005F3E3D"/>
    <w:rsid w:val="005F56CD"/>
    <w:rsid w:val="006017F0"/>
    <w:rsid w:val="00601B56"/>
    <w:rsid w:val="00602F0C"/>
    <w:rsid w:val="00603723"/>
    <w:rsid w:val="00610E45"/>
    <w:rsid w:val="00627BFA"/>
    <w:rsid w:val="00632BEE"/>
    <w:rsid w:val="00642A07"/>
    <w:rsid w:val="00643529"/>
    <w:rsid w:val="0064369B"/>
    <w:rsid w:val="00643CB4"/>
    <w:rsid w:val="00644BE4"/>
    <w:rsid w:val="00651651"/>
    <w:rsid w:val="006639F9"/>
    <w:rsid w:val="00667AD9"/>
    <w:rsid w:val="0067570F"/>
    <w:rsid w:val="00681108"/>
    <w:rsid w:val="00686C51"/>
    <w:rsid w:val="00690C97"/>
    <w:rsid w:val="006942E2"/>
    <w:rsid w:val="0069441B"/>
    <w:rsid w:val="006A54BA"/>
    <w:rsid w:val="006A66EB"/>
    <w:rsid w:val="006B0392"/>
    <w:rsid w:val="006B2726"/>
    <w:rsid w:val="006B4271"/>
    <w:rsid w:val="006C1318"/>
    <w:rsid w:val="006C2C3D"/>
    <w:rsid w:val="006C4586"/>
    <w:rsid w:val="006C4871"/>
    <w:rsid w:val="006C4EEF"/>
    <w:rsid w:val="006C700F"/>
    <w:rsid w:val="006D0881"/>
    <w:rsid w:val="006D3867"/>
    <w:rsid w:val="006E2A36"/>
    <w:rsid w:val="006E45F8"/>
    <w:rsid w:val="006E5F78"/>
    <w:rsid w:val="006F0376"/>
    <w:rsid w:val="006F39C8"/>
    <w:rsid w:val="006F5D02"/>
    <w:rsid w:val="006F6144"/>
    <w:rsid w:val="00702E90"/>
    <w:rsid w:val="00703E97"/>
    <w:rsid w:val="00704CF4"/>
    <w:rsid w:val="0070653D"/>
    <w:rsid w:val="007073FC"/>
    <w:rsid w:val="00707C38"/>
    <w:rsid w:val="007236B8"/>
    <w:rsid w:val="00723790"/>
    <w:rsid w:val="0072398E"/>
    <w:rsid w:val="00732D87"/>
    <w:rsid w:val="00737660"/>
    <w:rsid w:val="007376E0"/>
    <w:rsid w:val="00744A1F"/>
    <w:rsid w:val="00746D82"/>
    <w:rsid w:val="007474DD"/>
    <w:rsid w:val="00754A11"/>
    <w:rsid w:val="00761A13"/>
    <w:rsid w:val="00767D3F"/>
    <w:rsid w:val="00774306"/>
    <w:rsid w:val="0077435B"/>
    <w:rsid w:val="00782B80"/>
    <w:rsid w:val="00784CC5"/>
    <w:rsid w:val="00786EF4"/>
    <w:rsid w:val="00791092"/>
    <w:rsid w:val="007913EE"/>
    <w:rsid w:val="00792C7B"/>
    <w:rsid w:val="007A2BE7"/>
    <w:rsid w:val="007A58B9"/>
    <w:rsid w:val="007B1174"/>
    <w:rsid w:val="007B24DC"/>
    <w:rsid w:val="007B39B9"/>
    <w:rsid w:val="007B7FC8"/>
    <w:rsid w:val="007C2FC8"/>
    <w:rsid w:val="007C4FAE"/>
    <w:rsid w:val="007C7A32"/>
    <w:rsid w:val="007D67A3"/>
    <w:rsid w:val="007D6896"/>
    <w:rsid w:val="007D7E92"/>
    <w:rsid w:val="007E0286"/>
    <w:rsid w:val="007E764E"/>
    <w:rsid w:val="007F197C"/>
    <w:rsid w:val="007F1D57"/>
    <w:rsid w:val="007F7E59"/>
    <w:rsid w:val="00802795"/>
    <w:rsid w:val="008123E3"/>
    <w:rsid w:val="0081373F"/>
    <w:rsid w:val="00821ADF"/>
    <w:rsid w:val="00823B7E"/>
    <w:rsid w:val="0083252A"/>
    <w:rsid w:val="008349B3"/>
    <w:rsid w:val="00834DF6"/>
    <w:rsid w:val="0083670C"/>
    <w:rsid w:val="008370C0"/>
    <w:rsid w:val="00840065"/>
    <w:rsid w:val="00844283"/>
    <w:rsid w:val="0084582F"/>
    <w:rsid w:val="00847C0A"/>
    <w:rsid w:val="00850ACD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8F1CE9"/>
    <w:rsid w:val="008F27F8"/>
    <w:rsid w:val="00903AC3"/>
    <w:rsid w:val="009228DF"/>
    <w:rsid w:val="00925712"/>
    <w:rsid w:val="00926EA9"/>
    <w:rsid w:val="00930C2C"/>
    <w:rsid w:val="00930F98"/>
    <w:rsid w:val="00933D1D"/>
    <w:rsid w:val="00933E50"/>
    <w:rsid w:val="00934193"/>
    <w:rsid w:val="00934F6E"/>
    <w:rsid w:val="00936F49"/>
    <w:rsid w:val="00937A0B"/>
    <w:rsid w:val="0094233D"/>
    <w:rsid w:val="00950ACA"/>
    <w:rsid w:val="00951EEF"/>
    <w:rsid w:val="00957F22"/>
    <w:rsid w:val="00961F15"/>
    <w:rsid w:val="00962FE4"/>
    <w:rsid w:val="009665AC"/>
    <w:rsid w:val="009731B6"/>
    <w:rsid w:val="00990B18"/>
    <w:rsid w:val="009A4F0C"/>
    <w:rsid w:val="009B2208"/>
    <w:rsid w:val="009B7F1B"/>
    <w:rsid w:val="009C09A6"/>
    <w:rsid w:val="009C5CBC"/>
    <w:rsid w:val="009C6632"/>
    <w:rsid w:val="009C6E8F"/>
    <w:rsid w:val="009D0800"/>
    <w:rsid w:val="009D1272"/>
    <w:rsid w:val="009D2629"/>
    <w:rsid w:val="009D3B3D"/>
    <w:rsid w:val="009D4156"/>
    <w:rsid w:val="009E3A57"/>
    <w:rsid w:val="009E6107"/>
    <w:rsid w:val="009E6264"/>
    <w:rsid w:val="009E7AC9"/>
    <w:rsid w:val="009F413A"/>
    <w:rsid w:val="00A00B01"/>
    <w:rsid w:val="00A00F2A"/>
    <w:rsid w:val="00A03212"/>
    <w:rsid w:val="00A16867"/>
    <w:rsid w:val="00A17488"/>
    <w:rsid w:val="00A17909"/>
    <w:rsid w:val="00A2173F"/>
    <w:rsid w:val="00A21EB8"/>
    <w:rsid w:val="00A244C7"/>
    <w:rsid w:val="00A26654"/>
    <w:rsid w:val="00A26ED3"/>
    <w:rsid w:val="00A3105B"/>
    <w:rsid w:val="00A3449C"/>
    <w:rsid w:val="00A34F95"/>
    <w:rsid w:val="00A42945"/>
    <w:rsid w:val="00A436D4"/>
    <w:rsid w:val="00A44C60"/>
    <w:rsid w:val="00A5096A"/>
    <w:rsid w:val="00A56BCD"/>
    <w:rsid w:val="00A57D44"/>
    <w:rsid w:val="00A60012"/>
    <w:rsid w:val="00A64118"/>
    <w:rsid w:val="00A77604"/>
    <w:rsid w:val="00A800A3"/>
    <w:rsid w:val="00A8495F"/>
    <w:rsid w:val="00A87FF5"/>
    <w:rsid w:val="00A917E0"/>
    <w:rsid w:val="00A94C01"/>
    <w:rsid w:val="00AA50E5"/>
    <w:rsid w:val="00AA7D28"/>
    <w:rsid w:val="00AB3E83"/>
    <w:rsid w:val="00AB5B26"/>
    <w:rsid w:val="00AB7DBF"/>
    <w:rsid w:val="00AC3574"/>
    <w:rsid w:val="00AC6950"/>
    <w:rsid w:val="00AD7615"/>
    <w:rsid w:val="00AE3CD1"/>
    <w:rsid w:val="00AE41D5"/>
    <w:rsid w:val="00AE4D73"/>
    <w:rsid w:val="00AF06C8"/>
    <w:rsid w:val="00AF0EB1"/>
    <w:rsid w:val="00AF1C92"/>
    <w:rsid w:val="00AF7B9B"/>
    <w:rsid w:val="00B01678"/>
    <w:rsid w:val="00B06F8B"/>
    <w:rsid w:val="00B15880"/>
    <w:rsid w:val="00B1673D"/>
    <w:rsid w:val="00B24D59"/>
    <w:rsid w:val="00B250ED"/>
    <w:rsid w:val="00B25BB7"/>
    <w:rsid w:val="00B25C26"/>
    <w:rsid w:val="00B25E96"/>
    <w:rsid w:val="00B261BA"/>
    <w:rsid w:val="00B3064A"/>
    <w:rsid w:val="00B3473A"/>
    <w:rsid w:val="00B36061"/>
    <w:rsid w:val="00B36A9C"/>
    <w:rsid w:val="00B37787"/>
    <w:rsid w:val="00B4230E"/>
    <w:rsid w:val="00B43817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7531F"/>
    <w:rsid w:val="00B800CB"/>
    <w:rsid w:val="00B8074B"/>
    <w:rsid w:val="00B8101A"/>
    <w:rsid w:val="00B861AB"/>
    <w:rsid w:val="00B944EB"/>
    <w:rsid w:val="00B946D4"/>
    <w:rsid w:val="00BA2A45"/>
    <w:rsid w:val="00BB27C2"/>
    <w:rsid w:val="00BB7159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1CCA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028"/>
    <w:rsid w:val="00C22FB8"/>
    <w:rsid w:val="00C31F64"/>
    <w:rsid w:val="00C33BCB"/>
    <w:rsid w:val="00C43AC5"/>
    <w:rsid w:val="00C470E8"/>
    <w:rsid w:val="00C522BD"/>
    <w:rsid w:val="00C54200"/>
    <w:rsid w:val="00C63F2A"/>
    <w:rsid w:val="00C64F11"/>
    <w:rsid w:val="00C709C7"/>
    <w:rsid w:val="00C72FB8"/>
    <w:rsid w:val="00C7700A"/>
    <w:rsid w:val="00C907C0"/>
    <w:rsid w:val="00C93837"/>
    <w:rsid w:val="00CA386E"/>
    <w:rsid w:val="00CA398B"/>
    <w:rsid w:val="00CA7184"/>
    <w:rsid w:val="00CB2DE0"/>
    <w:rsid w:val="00CC1D85"/>
    <w:rsid w:val="00CC4047"/>
    <w:rsid w:val="00CC4CB1"/>
    <w:rsid w:val="00CC5F3C"/>
    <w:rsid w:val="00CD36BC"/>
    <w:rsid w:val="00CD6E8D"/>
    <w:rsid w:val="00CD724F"/>
    <w:rsid w:val="00CE188C"/>
    <w:rsid w:val="00CE7724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0C94"/>
    <w:rsid w:val="00D524BB"/>
    <w:rsid w:val="00D531F1"/>
    <w:rsid w:val="00D55203"/>
    <w:rsid w:val="00D561C8"/>
    <w:rsid w:val="00D57CCE"/>
    <w:rsid w:val="00D65E8E"/>
    <w:rsid w:val="00D6703D"/>
    <w:rsid w:val="00D717DA"/>
    <w:rsid w:val="00D71CEB"/>
    <w:rsid w:val="00D7659E"/>
    <w:rsid w:val="00D815CF"/>
    <w:rsid w:val="00D82256"/>
    <w:rsid w:val="00D84BA5"/>
    <w:rsid w:val="00D86D47"/>
    <w:rsid w:val="00D946B0"/>
    <w:rsid w:val="00DA2679"/>
    <w:rsid w:val="00DA3039"/>
    <w:rsid w:val="00DA345C"/>
    <w:rsid w:val="00DA6B88"/>
    <w:rsid w:val="00DA73B6"/>
    <w:rsid w:val="00DB0C0E"/>
    <w:rsid w:val="00DB127D"/>
    <w:rsid w:val="00DB43B4"/>
    <w:rsid w:val="00DD62AD"/>
    <w:rsid w:val="00DD7153"/>
    <w:rsid w:val="00DF4F58"/>
    <w:rsid w:val="00E11F2F"/>
    <w:rsid w:val="00E12007"/>
    <w:rsid w:val="00E13A3A"/>
    <w:rsid w:val="00E14CD2"/>
    <w:rsid w:val="00E301AE"/>
    <w:rsid w:val="00E315BC"/>
    <w:rsid w:val="00E33610"/>
    <w:rsid w:val="00E35139"/>
    <w:rsid w:val="00E37991"/>
    <w:rsid w:val="00E44555"/>
    <w:rsid w:val="00E4526A"/>
    <w:rsid w:val="00E50608"/>
    <w:rsid w:val="00E511AC"/>
    <w:rsid w:val="00E5165B"/>
    <w:rsid w:val="00E52ABA"/>
    <w:rsid w:val="00E5314F"/>
    <w:rsid w:val="00E54782"/>
    <w:rsid w:val="00E653E3"/>
    <w:rsid w:val="00E66AEE"/>
    <w:rsid w:val="00E70FF5"/>
    <w:rsid w:val="00E736A7"/>
    <w:rsid w:val="00E87C26"/>
    <w:rsid w:val="00E9527D"/>
    <w:rsid w:val="00E96DA4"/>
    <w:rsid w:val="00EA2361"/>
    <w:rsid w:val="00EA3ACD"/>
    <w:rsid w:val="00EB11D4"/>
    <w:rsid w:val="00EB2886"/>
    <w:rsid w:val="00EB398E"/>
    <w:rsid w:val="00EC02AB"/>
    <w:rsid w:val="00EC3DEF"/>
    <w:rsid w:val="00EC4096"/>
    <w:rsid w:val="00EC429C"/>
    <w:rsid w:val="00EC6A51"/>
    <w:rsid w:val="00ED0199"/>
    <w:rsid w:val="00ED05AC"/>
    <w:rsid w:val="00ED10E2"/>
    <w:rsid w:val="00ED7150"/>
    <w:rsid w:val="00EE4050"/>
    <w:rsid w:val="00EE4149"/>
    <w:rsid w:val="00F03D65"/>
    <w:rsid w:val="00F04867"/>
    <w:rsid w:val="00F04E3E"/>
    <w:rsid w:val="00F10771"/>
    <w:rsid w:val="00F16E37"/>
    <w:rsid w:val="00F205E5"/>
    <w:rsid w:val="00F24144"/>
    <w:rsid w:val="00F277CE"/>
    <w:rsid w:val="00F33D3B"/>
    <w:rsid w:val="00F512A3"/>
    <w:rsid w:val="00F51AB4"/>
    <w:rsid w:val="00F523A8"/>
    <w:rsid w:val="00F54723"/>
    <w:rsid w:val="00F57359"/>
    <w:rsid w:val="00F57AF5"/>
    <w:rsid w:val="00F60A86"/>
    <w:rsid w:val="00F62B87"/>
    <w:rsid w:val="00F645AA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59D3"/>
    <w:rsid w:val="00F96EEB"/>
    <w:rsid w:val="00F96F8A"/>
    <w:rsid w:val="00F9761F"/>
    <w:rsid w:val="00FA102C"/>
    <w:rsid w:val="00FA6411"/>
    <w:rsid w:val="00FA6E70"/>
    <w:rsid w:val="00FB3124"/>
    <w:rsid w:val="00FB32EE"/>
    <w:rsid w:val="00FC51D0"/>
    <w:rsid w:val="00FC5616"/>
    <w:rsid w:val="00FC60B1"/>
    <w:rsid w:val="00FD328C"/>
    <w:rsid w:val="00FD7299"/>
    <w:rsid w:val="00FE2094"/>
    <w:rsid w:val="00FE21E8"/>
    <w:rsid w:val="00FE764B"/>
    <w:rsid w:val="00FF0A29"/>
    <w:rsid w:val="00FF0BF1"/>
    <w:rsid w:val="00FF5EA1"/>
    <w:rsid w:val="0BC9CD83"/>
    <w:rsid w:val="0D17C421"/>
    <w:rsid w:val="0D40F41E"/>
    <w:rsid w:val="2280417E"/>
    <w:rsid w:val="2493E379"/>
    <w:rsid w:val="273F9C60"/>
    <w:rsid w:val="2A98C3D7"/>
    <w:rsid w:val="2D38C8B4"/>
    <w:rsid w:val="368AA3AB"/>
    <w:rsid w:val="3C681A01"/>
    <w:rsid w:val="41EB6EF4"/>
    <w:rsid w:val="4687D8D1"/>
    <w:rsid w:val="52635F9B"/>
    <w:rsid w:val="5B3D580C"/>
    <w:rsid w:val="622216F2"/>
    <w:rsid w:val="6383D5B1"/>
    <w:rsid w:val="6FF0F5C8"/>
    <w:rsid w:val="74F9B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01773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7CE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F277CE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aliases w:val="Heading 2 Char1 Char,Heading 2 Char Char Char"/>
    <w:basedOn w:val="Normal"/>
    <w:next w:val="Normal"/>
    <w:link w:val="Heading2Char"/>
    <w:unhideWhenUsed/>
    <w:qFormat/>
    <w:rsid w:val="00F277CE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F277CE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aliases w:val="Heading 4 Char1,Heading 4 Char Char,Heading 4 Char1 Char,Heading 4 Char Char Char"/>
    <w:basedOn w:val="Normal"/>
    <w:next w:val="Normal"/>
    <w:link w:val="Heading4Char"/>
    <w:unhideWhenUsed/>
    <w:qFormat/>
    <w:rsid w:val="00F277CE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F277CE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277CE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77CE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277CE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277CE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F277C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77CE"/>
  </w:style>
  <w:style w:type="table" w:customStyle="1" w:styleId="tblzat-mtrix">
    <w:name w:val="táblázat - mátrix"/>
    <w:basedOn w:val="TableNormal"/>
    <w:uiPriority w:val="2"/>
    <w:qFormat/>
    <w:rsid w:val="00F277C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F277C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aliases w:val="lista_2,Yellow Bullet,Normal bullet 2,Számozott lista 1,LISTA,Welt L,Bullet List,FooterText,numbered,Paragraphe de liste1,列出段落,Bulletr List Paragraph,列出段落1,Listeafsnit1,Eszeri felsorolás,List Paragraph à moi,Welt L Char,リスト段落1,Dot pt"/>
    <w:basedOn w:val="Normal"/>
    <w:link w:val="ListParagraphChar"/>
    <w:uiPriority w:val="4"/>
    <w:qFormat/>
    <w:rsid w:val="00F277CE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F277C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F277CE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F277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7CE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F277CE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7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7CE"/>
  </w:style>
  <w:style w:type="paragraph" w:styleId="Footer">
    <w:name w:val="footer"/>
    <w:basedOn w:val="Normal"/>
    <w:link w:val="FooterChar"/>
    <w:uiPriority w:val="99"/>
    <w:unhideWhenUsed/>
    <w:rsid w:val="00F277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7CE"/>
  </w:style>
  <w:style w:type="paragraph" w:customStyle="1" w:styleId="Szmozs">
    <w:name w:val="Számozás"/>
    <w:basedOn w:val="Normal"/>
    <w:uiPriority w:val="4"/>
    <w:qFormat/>
    <w:rsid w:val="00F277CE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F277CE"/>
    <w:pPr>
      <w:contextualSpacing/>
    </w:pPr>
    <w:tblPr/>
    <w:tcPr>
      <w:vAlign w:val="center"/>
    </w:tcPr>
  </w:style>
  <w:style w:type="character" w:customStyle="1" w:styleId="Heading4Char">
    <w:name w:val="Heading 4 Char"/>
    <w:aliases w:val="Heading 4 Char1 Char1,Heading 4 Char Char Char1,Heading 4 Char1 Char Char,Heading 4 Char Char Char Char"/>
    <w:basedOn w:val="DefaultParagraphFont"/>
    <w:link w:val="Heading4"/>
    <w:rsid w:val="00F277CE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F277CE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F277CE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F277CE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aliases w:val="Heading 2 Char1 Char Char,Heading 2 Char Char Char Char"/>
    <w:basedOn w:val="DefaultParagraphFont"/>
    <w:link w:val="Heading2"/>
    <w:rsid w:val="00F277CE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F277CE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F277CE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F277CE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F277CE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277CE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277CE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F277CE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F277CE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F277CE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F277CE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F277CE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aliases w:val="lábléc,Footnote Text Char1 Char,Footnote Text Char Char Char,lábléc Char Char Char,lábléc Char1 Char,Footnote Text Char1,Footnote Text Char Char,lábléc Char Char,lábléc Char1"/>
    <w:basedOn w:val="Normal"/>
    <w:link w:val="FootnoteTextChar"/>
    <w:uiPriority w:val="99"/>
    <w:unhideWhenUsed/>
    <w:qFormat/>
    <w:rsid w:val="00F277CE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aliases w:val="lábléc Char,Footnote Text Char1 Char Char,Footnote Text Char Char Char Char,lábléc Char Char Char Char,lábléc Char1 Char Char,Footnote Text Char1 Char1,Footnote Text Char Char Char1,lábléc Char Char Char1,lábléc Char1 Char1"/>
    <w:basedOn w:val="DefaultParagraphFont"/>
    <w:link w:val="FootnoteText"/>
    <w:uiPriority w:val="99"/>
    <w:rsid w:val="00F277CE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F277C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F277CE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277CE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77CE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7CE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F277CE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F277CE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F277CE"/>
  </w:style>
  <w:style w:type="character" w:customStyle="1" w:styleId="ListParagraphChar">
    <w:name w:val="List Paragraph Char"/>
    <w:aliases w:val="lista_2 Char,Yellow Bullet Char,Normal bullet 2 Char,Számozott lista 1 Char,LISTA Char,Welt L Char1,Bullet List Char,FooterText Char,numbered Char,Paragraphe de liste1 Char,列出段落 Char,Bulletr List Paragraph Char,列出段落1 Char,リスト段落1 Char"/>
    <w:basedOn w:val="DefaultParagraphFont"/>
    <w:link w:val="ListParagraph"/>
    <w:uiPriority w:val="4"/>
    <w:rsid w:val="00F277CE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F277CE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F277CE"/>
  </w:style>
  <w:style w:type="character" w:styleId="SubtleReference">
    <w:name w:val="Subtle Reference"/>
    <w:basedOn w:val="DefaultParagraphFont"/>
    <w:uiPriority w:val="31"/>
    <w:rsid w:val="00F277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F277CE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F277CE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F277CE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F277CE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F277CE"/>
  </w:style>
  <w:style w:type="paragraph" w:styleId="Subtitle">
    <w:name w:val="Subtitle"/>
    <w:basedOn w:val="Normal"/>
    <w:next w:val="Normal"/>
    <w:link w:val="SubtitleChar"/>
    <w:uiPriority w:val="11"/>
    <w:rsid w:val="00F277CE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277CE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F277CE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F277CE"/>
  </w:style>
  <w:style w:type="paragraph" w:customStyle="1" w:styleId="Erskiemels1">
    <w:name w:val="Erős kiemelés1"/>
    <w:basedOn w:val="Normal"/>
    <w:uiPriority w:val="5"/>
    <w:qFormat/>
    <w:rsid w:val="001B04E3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F277CE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F277CE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F277CE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277CE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277CE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F277CE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F277CE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F277CE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F277CE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F277CE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F277CE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F277CE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F277CE"/>
  </w:style>
  <w:style w:type="character" w:styleId="Strong">
    <w:name w:val="Strong"/>
    <w:basedOn w:val="DefaultParagraphFont"/>
    <w:uiPriority w:val="22"/>
    <w:rsid w:val="00F277CE"/>
    <w:rPr>
      <w:b/>
      <w:bCs/>
    </w:rPr>
  </w:style>
  <w:style w:type="character" w:styleId="Emphasis">
    <w:name w:val="Emphasis"/>
    <w:basedOn w:val="DefaultParagraphFont"/>
    <w:uiPriority w:val="6"/>
    <w:qFormat/>
    <w:rsid w:val="00F277CE"/>
    <w:rPr>
      <w:i/>
      <w:iCs/>
    </w:rPr>
  </w:style>
  <w:style w:type="paragraph" w:styleId="NoSpacing">
    <w:name w:val="No Spacing"/>
    <w:basedOn w:val="Normal"/>
    <w:uiPriority w:val="1"/>
    <w:rsid w:val="00F277CE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F277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77C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F277CE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7CE"/>
    <w:rPr>
      <w:b/>
      <w:i/>
    </w:rPr>
  </w:style>
  <w:style w:type="character" w:styleId="IntenseEmphasis">
    <w:name w:val="Intense Emphasis"/>
    <w:basedOn w:val="DefaultParagraphFont"/>
    <w:uiPriority w:val="21"/>
    <w:rsid w:val="00F277CE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F277C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F277CE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F277CE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F277C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F277CE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F277CE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F277C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F277CE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F277CE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F277CE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F277CE"/>
  </w:style>
  <w:style w:type="paragraph" w:customStyle="1" w:styleId="ENNormalBox">
    <w:name w:val="EN_Normal_Box"/>
    <w:basedOn w:val="Normal"/>
    <w:uiPriority w:val="1"/>
    <w:qFormat/>
    <w:rsid w:val="00F277CE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F277CE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F277CE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F277CE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F277CE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F277CE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F277C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F277CE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F277CE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F277CE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F277CE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F277CE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F277CE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F277CE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F277CE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F277CE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F277CE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F277CE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F277CE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F277CE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F277CE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F277CE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F277CE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F277CE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F277CE"/>
    <w:rPr>
      <w:b w:val="0"/>
      <w:caps w:val="0"/>
      <w:sz w:val="52"/>
    </w:rPr>
  </w:style>
  <w:style w:type="character" w:styleId="FootnoteReference">
    <w:name w:val="footnote reference"/>
    <w:aliases w:val="Footnote reference number,Footnote symbol,note TESI,SUPERS,EN Footnote Reference,Times 10 Point,Exposant 3 Point,Ref,de nota al pie"/>
    <w:basedOn w:val="DefaultParagraphFont"/>
    <w:uiPriority w:val="99"/>
    <w:unhideWhenUsed/>
    <w:rsid w:val="007A58B9"/>
    <w:rPr>
      <w:vertAlign w:val="superscript"/>
    </w:rPr>
  </w:style>
  <w:style w:type="paragraph" w:customStyle="1" w:styleId="Default">
    <w:name w:val="Default"/>
    <w:rsid w:val="007A58B9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0D7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C9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C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C96"/>
    <w:rPr>
      <w:b/>
      <w:bCs/>
    </w:rPr>
  </w:style>
  <w:style w:type="paragraph" w:styleId="Revision">
    <w:name w:val="Revision"/>
    <w:hidden/>
    <w:uiPriority w:val="99"/>
    <w:semiHidden/>
    <w:rsid w:val="00307535"/>
  </w:style>
  <w:style w:type="paragraph" w:customStyle="1" w:styleId="Erskiemels2">
    <w:name w:val="Erős kiemelés2"/>
    <w:basedOn w:val="Normal"/>
    <w:uiPriority w:val="5"/>
    <w:qFormat/>
    <w:rsid w:val="003C7352"/>
    <w:rPr>
      <w:b/>
      <w:i/>
    </w:rPr>
  </w:style>
  <w:style w:type="paragraph" w:customStyle="1" w:styleId="Erskiemels3">
    <w:name w:val="Erős kiemelés3"/>
    <w:basedOn w:val="Normal"/>
    <w:uiPriority w:val="5"/>
    <w:qFormat/>
    <w:rsid w:val="006942E2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F277CE"/>
    <w:rPr>
      <w:b/>
      <w:i/>
    </w:rPr>
  </w:style>
  <w:style w:type="character" w:customStyle="1" w:styleId="CommentTextChar1">
    <w:name w:val="Comment Text Char1"/>
    <w:basedOn w:val="DefaultParagraphFont"/>
    <w:uiPriority w:val="99"/>
    <w:rsid w:val="00B946D4"/>
    <w:rPr>
      <w:rFonts w:eastAsiaTheme="minorHAnsi" w:cstheme="minorBidi"/>
      <w:lang w:eastAsia="en-US"/>
    </w:rPr>
  </w:style>
  <w:style w:type="character" w:customStyle="1" w:styleId="highlighted">
    <w:name w:val="highlighted"/>
    <w:basedOn w:val="DefaultParagraphFont"/>
    <w:rsid w:val="0093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24E2CE9007442848D4B02F9F4757D" ma:contentTypeVersion="8" ma:contentTypeDescription="Create a new document." ma:contentTypeScope="" ma:versionID="b249dec021b8b0a333dac4591677dbf9">
  <xsd:schema xmlns:xsd="http://www.w3.org/2001/XMLSchema" xmlns:xs="http://www.w3.org/2001/XMLSchema" xmlns:p="http://schemas.microsoft.com/office/2006/metadata/properties" xmlns:ns2="d91802b3-af60-4807-9524-6ba53f689f59" targetNamespace="http://schemas.microsoft.com/office/2006/metadata/properties" ma:root="true" ma:fieldsID="8edf122b4262b91d2d68fa23d2be8c7d" ns2:_="">
    <xsd:import namespace="d91802b3-af60-4807-9524-6ba53f689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802b3-af60-4807-9524-6ba53f689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92019910-C29E-4B56-A1FC-AB817675D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AA4DD-1144-4469-A848-5232991E1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948E8-E2B9-4900-8C16-01089FC50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802b3-af60-4807-9524-6ba53f689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75DFCB-8D7E-46D5-95E7-DFA86460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2475</Words>
  <Characters>17333</Characters>
  <Application>Microsoft Office Word</Application>
  <DocSecurity>0</DocSecurity>
  <Lines>144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2021-09-15T15:44:00Z</dcterms:created>
  <dcterms:modified xsi:type="dcterms:W3CDTF">2021-09-16T10:36:00Z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2026-09-03T08:49:15Z</vt:filetime>
  </property>
  <property fmtid="{D5CDD505-2E9C-101B-9397-08002B2CF9AE}" pid="3" name="Érvényességet beállító">
    <vt:lpwstr>szaszk</vt:lpwstr>
  </property>
  <property fmtid="{D5CDD505-2E9C-101B-9397-08002B2CF9AE}" pid="4" name="Érvényességi idő első beállítása">
    <vt:filetime>2021-09-03T08:49:15Z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szaszk@mnb.hu</vt:lpwstr>
  </property>
  <property fmtid="{D5CDD505-2E9C-101B-9397-08002B2CF9AE}" pid="8" name="MSIP_Label_b0d11092-50c9-4e74-84b5-b1af078dc3d0_SetDate">
    <vt:lpwstr>2021-09-03T09:11:12.7905007Z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97949f65-c05b-433a-a4f7-f03f40af243e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  <property fmtid="{D5CDD505-2E9C-101B-9397-08002B2CF9AE}" pid="14" name="ContentTypeId">
    <vt:lpwstr>0x01010021624E2CE9007442848D4B02F9F4757D</vt:lpwstr>
  </property>
</Properties>
</file>