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C9EC" w14:textId="77777777" w:rsidR="00755B70" w:rsidRPr="00773BE0" w:rsidRDefault="00755B70" w:rsidP="00755B70">
      <w:pPr>
        <w:pStyle w:val="BodyText"/>
        <w:shd w:val="clear" w:color="auto" w:fill="auto"/>
        <w:tabs>
          <w:tab w:val="left" w:pos="762"/>
        </w:tabs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73BE0">
        <w:rPr>
          <w:b/>
          <w:bCs/>
          <w:sz w:val="28"/>
          <w:szCs w:val="28"/>
        </w:rPr>
        <w:t>. számú melléklet:</w:t>
      </w:r>
      <w:r>
        <w:rPr>
          <w:b/>
          <w:bCs/>
          <w:sz w:val="28"/>
          <w:szCs w:val="28"/>
        </w:rPr>
        <w:t xml:space="preserve"> Pályázati ellenőrző lap</w:t>
      </w:r>
    </w:p>
    <w:p w14:paraId="3D5525CC" w14:textId="77777777" w:rsidR="00755B70" w:rsidRDefault="00755B70" w:rsidP="00755B70">
      <w:pPr>
        <w:pStyle w:val="BodyText"/>
        <w:shd w:val="clear" w:color="auto" w:fill="auto"/>
        <w:tabs>
          <w:tab w:val="left" w:pos="762"/>
        </w:tabs>
        <w:spacing w:after="0" w:line="276" w:lineRule="auto"/>
        <w:jc w:val="left"/>
        <w:rPr>
          <w:sz w:val="20"/>
          <w:szCs w:val="20"/>
        </w:rPr>
      </w:pPr>
    </w:p>
    <w:p w14:paraId="63F3A084" w14:textId="4AA7F8E8" w:rsidR="00755B70" w:rsidRPr="00203CAF" w:rsidRDefault="00755B70" w:rsidP="00203CAF">
      <w:pPr>
        <w:rPr>
          <w:rFonts w:ascii="Microsoft Sans Serif" w:hAnsi="Microsoft Sans Serif" w:cs="Microsoft Sans Serif"/>
        </w:rP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8118"/>
        <w:gridCol w:w="1099"/>
        <w:gridCol w:w="916"/>
      </w:tblGrid>
      <w:tr w:rsidR="00203CAF" w:rsidRPr="00203CAF" w14:paraId="788494C5" w14:textId="77777777" w:rsidTr="00956F4A">
        <w:trPr>
          <w:trHeight w:val="54"/>
        </w:trPr>
        <w:tc>
          <w:tcPr>
            <w:tcW w:w="6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2060"/>
            <w:noWrap/>
            <w:vAlign w:val="center"/>
            <w:hideMark/>
          </w:tcPr>
          <w:p w14:paraId="160794B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Ssz.</w:t>
            </w:r>
          </w:p>
        </w:tc>
        <w:tc>
          <w:tcPr>
            <w:tcW w:w="811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2060"/>
            <w:noWrap/>
            <w:vAlign w:val="center"/>
            <w:hideMark/>
          </w:tcPr>
          <w:p w14:paraId="3BE1AC04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Feltételek</w:t>
            </w:r>
          </w:p>
        </w:tc>
        <w:tc>
          <w:tcPr>
            <w:tcW w:w="109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2060"/>
          </w:tcPr>
          <w:p w14:paraId="5B90E660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A Biztosító megfelel a pályázati kiírásnak 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PK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) (igen/nem)</w:t>
            </w:r>
          </w:p>
        </w:tc>
        <w:tc>
          <w:tcPr>
            <w:tcW w:w="91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2060"/>
          </w:tcPr>
          <w:p w14:paraId="60E2D14E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 xml:space="preserve">Változás a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PK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bidi="hu-HU"/>
              </w:rPr>
              <w:t>-hoz képest</w:t>
            </w:r>
          </w:p>
        </w:tc>
      </w:tr>
      <w:tr w:rsidR="00203CAF" w:rsidRPr="00203CAF" w14:paraId="5E2EE1E9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114C37F0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340ABB1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Általános követelmények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1AB8577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2CFF6E1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A673599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79D9005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2AAEAA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kiírás: 3.1. - A jelen pályázatban szereplő termék hatálybalépésének dátumára a Pályázó Biztosító nem rendelkezik másik, hatályos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MFO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 termékkel.</w:t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ab/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ab/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1F8020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2726A5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BD5A1A3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47FF0D2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2B4671A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&lt;Nyilatkozat a Biztosító részéről; a feltételt teljesítő dokumentum megnevezése, oldalszáma, melyen a hatálybalépés dátuma szerepel&gt;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8829A1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555F15D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6FD1F7A7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DA6BD77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0BF2A2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3.11. - a Minősítés használatának ideje alatt az MNB felé személyes kapcsolattartót biztosít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0C06B7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0E86E0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1A6854E7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516BE33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348B8B8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teljesítő dokumentum(ok) megnevezése&gt;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6875CF6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0AA2963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3AFF6014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F8DF4D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3F79F0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3.9 – a Biztosító honlapjának lakásbiztosítási felületén az MNB összehasonlító oldalra mutató, figyelem felkeltésre alkalmas link elérhetősége.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D9D644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A1BE3D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5787639D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215BDF9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4725EA1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 webcímre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 xml:space="preserve"> mutató link, amelyen tervezi elhelyezni az MNB összehasonlító oldalra mutató linket</w:t>
            </w:r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491B50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4DB2E2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7BFFFEA0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0057420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4.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4AD4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3.12 – a PBT eljárásainak történő alávetési nyilatkozatot a Biztosító megtette.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1B8DC8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BF11D5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2A974937" w14:textId="77777777" w:rsidTr="00956F4A">
        <w:trPr>
          <w:trHeight w:val="54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D846C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521FDD2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&lt;PBT alávetésre vonatkozó nyilatkozat megtörtént, az alávetési nyilatkozat a xx. mellékletként csatolva</w:t>
            </w:r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2B73854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9CD789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66B7345F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8E08419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5.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83860A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3.14 – függő közvetítő eljárására vonatkozó teljesítés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5E037D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5CAF8C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4180254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D611C4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318745C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 xml:space="preserve"> feltételt teljesítő dokumentum(ok) megnevezése&gt;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D8CF00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2E05B3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E6CD5FC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81E36F1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6.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A2EA10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3.16 – fióktelep esetén a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-ban foglalt feltételek megléte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9E37AF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6F0C97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F663AFA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059E788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2414351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 xml:space="preserve"> feltételt teljesítő dokumentum(ok) megnevezése&gt;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64536F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859FDB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3BCB603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FF17432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7.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D0360C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- 4.1.5.7. A Biztosító a terméket a Lakásbiztosítási Standard Termékvázlat Szabályzat által előírt Standard Termékvázlat struktúrájában készítette el.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5A592F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C04805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D7BC084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99F8F91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59539EE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teljesítő dokumentum(ok) megnevezése&gt;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8037C4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8C3756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286CB245" w14:textId="77777777" w:rsidTr="00956F4A">
        <w:trPr>
          <w:trHeight w:val="54"/>
        </w:trPr>
        <w:tc>
          <w:tcPr>
            <w:tcW w:w="641" w:type="dxa"/>
            <w:vMerge w:val="restar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F95687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8.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1D54EE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5. sz. melléklet – Igényazonosító kérdőív minimális tartalmi elemei megfelelnek a Pályázati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kiiírásban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 foglaltaknak.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F41048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C579E9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F0F870A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CFFD49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</w:tcPr>
          <w:p w14:paraId="2D8C52D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7B51F65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126530D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71CABFAE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1BC69CB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9.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4335E7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5.11 – A Biztosító kereskedelmi kommunikációja során kizárólag a Minősített Fogyasztóbarát Otthonbiztosítás Tanúsító Védjegy Szabályzat szerinti logót használja.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1BB231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33EF85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4F841B8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A286363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4A79731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&lt;nyomtatványok, ajánlati dokumentumok, melyeken a Tanúsító Védjegy Szabályzat szerinti logó szerepel, a xx. mellékletként csatolva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04197B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5F67320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2E851B7B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12FDE24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30DE544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Szolgáltatási tartalom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5C53C7C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1524595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10FD522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37BF73B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10.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5C8591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4.1.10. – A Biztosító a feltételeiben kizárólag a Polgári Törvénykönyvről szóló 2013. évi V. törvényben foglalt mentesüléseket alkalmazza.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20EAC3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7F159D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648631C" w14:textId="77777777" w:rsidTr="00956F4A">
        <w:trPr>
          <w:trHeight w:val="54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705F4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4D031BA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B48A3B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7CBE943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3F72A425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20F094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11.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5E4D0E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4.1.1. – Alapcsomagra vonatkozó szolgáltatások elérhetősége.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62EE00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F55F3B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BBCAD13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C0FE6E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791AD08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4BE173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5B8C985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10AB1C5C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89495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12.</w:t>
            </w:r>
          </w:p>
        </w:tc>
        <w:tc>
          <w:tcPr>
            <w:tcW w:w="811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B78FA7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4.1.1. – A Pályázati kiírásban előírt, Alapcsomagra vonatkozó káreseményeken felül a Biztosító nem kínál más káreseményt az Alapcsomagban.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B2C5A2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F8B5E3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97DA08D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B2DE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1B9A00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93CFAE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372E30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78B9835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384FC7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13.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FD73B4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4.1.1. – Elnevezésükben sztenderd kiegészítő fedezetekre vonatkozó szolgáltatások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F08D90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17B702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BD69369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15B20F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500D6DC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E39BD2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81AEBD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12B14D61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1E20A2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14.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7AD0A7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4.1.1.– Egyedi, elnevezésében és tartalmában nem sztenderd kiegészítő fedezetekre vonatkozó szolgáltatások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477077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567303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D3DE6C4" w14:textId="77777777" w:rsidTr="000A779D">
        <w:trPr>
          <w:trHeight w:val="830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6F239E9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05A477E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198FE7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565CB8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6FC23B6A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ACAB62E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lastRenderedPageBreak/>
              <w:t>15.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DBBFFC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4.1.3. – Épület hasznos alapterületének meghatározása a Pályázati kiírásban meghatározottak szerint történik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04FE23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03A5192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74B135C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96E3A5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64C0AD3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EC1E4C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F71AEC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14AD6092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6328F0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16.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A6F5B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4.1.1, – A Biztosító alkalmaz-e egyéb kikötést, kizárást, szűkítést a Pályázati kiírásban meghatározottakon kívül az Alapcsomagra vonatkozóan (kivéve: 4.1.10-ben foglaltak)</w:t>
            </w:r>
          </w:p>
          <w:p w14:paraId="2C2E0B7C" w14:textId="77777777" w:rsidR="00203CAF" w:rsidRPr="00203CAF" w:rsidRDefault="00203CAF" w:rsidP="00203CAF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bCs/>
              </w:rPr>
            </w:pPr>
            <w:r w:rsidRPr="00203CAF">
              <w:rPr>
                <w:rFonts w:eastAsia="Times New Roman" w:cs="Times New Roman"/>
                <w:b/>
                <w:bCs/>
              </w:rPr>
              <w:t>az ingóságok definiálása során</w:t>
            </w:r>
          </w:p>
          <w:p w14:paraId="7D7B53F5" w14:textId="77777777" w:rsidR="00203CAF" w:rsidRPr="00203CAF" w:rsidRDefault="00203CAF" w:rsidP="00203CAF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bCs/>
              </w:rPr>
            </w:pPr>
            <w:r w:rsidRPr="00203CAF">
              <w:rPr>
                <w:rFonts w:eastAsia="Times New Roman" w:cs="Times New Roman"/>
                <w:b/>
                <w:bCs/>
              </w:rPr>
              <w:t>az ingatlan definiálása során</w:t>
            </w:r>
          </w:p>
          <w:p w14:paraId="7F50DBE1" w14:textId="77777777" w:rsidR="00203CAF" w:rsidRPr="00203CAF" w:rsidRDefault="00203CAF" w:rsidP="00203CAF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bCs/>
              </w:rPr>
            </w:pPr>
            <w:r w:rsidRPr="00203CAF">
              <w:rPr>
                <w:rFonts w:eastAsia="Times New Roman" w:cs="Times New Roman"/>
                <w:b/>
                <w:bCs/>
              </w:rPr>
              <w:t>a kizárások, mentesülések értelmezése során</w:t>
            </w:r>
          </w:p>
          <w:p w14:paraId="5C104CEF" w14:textId="77777777" w:rsidR="00203CAF" w:rsidRPr="00203CAF" w:rsidRDefault="00203CAF" w:rsidP="00203CAF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bCs/>
              </w:rPr>
            </w:pPr>
            <w:r w:rsidRPr="00203CAF">
              <w:rPr>
                <w:rFonts w:eastAsia="Times New Roman" w:cs="Times New Roman"/>
                <w:b/>
                <w:bCs/>
              </w:rPr>
              <w:t xml:space="preserve">bármilyen egyéb esetben eltér-e az Alapcsomagban meghatározottaktól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86452F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BCF243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1CFBC8D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A5E8DEA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787731C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0FBDB57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BE6D6E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11F8C0B0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79815CA3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72CBDD3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Elektronikus kommunikáció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11F3491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3D48192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699AA69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F04CE2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17.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4666243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- 4.1.4.2. Az elektronikus kommunikáció keretében az ügyfélnek lehetősége van elektronikus úton a szükséges nyilatkozatok megtételére, kárrendezésre, tájékoztatás kérésére, szerződés módosítására és felmondására.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</w:tcPr>
          <w:p w14:paraId="5788D8C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</w:tcPr>
          <w:p w14:paraId="37F03E7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51F49627" w14:textId="77777777" w:rsidTr="00203CAF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202B3AB0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357742C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B49F27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EE8543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3BA49CD6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F3148E2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18.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0C5E37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- 4.1.4.3. A Biztosító visszaigazoló e-mail kérésével, vagy az ügyfél a Biztosító által küldött visszaigazoló linkre kattintása révén ellenőrzi az ügyfél által megadott e-mail cím helyességét.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2B40C2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042BEF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7247237C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521A3C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66958BB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21DFE0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3A7AA9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49EC691E" w14:textId="77777777" w:rsidTr="00956F4A">
        <w:trPr>
          <w:trHeight w:val="54"/>
        </w:trPr>
        <w:tc>
          <w:tcPr>
            <w:tcW w:w="641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E294FB3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19.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1E33F0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- 4.1.4.4. Kommunikációs módok biztosítása a kárrendezés folyamán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5F691F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F4A8C1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549167D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D89859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6FD75FC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4813DC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5D2C3DB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2185030" w14:textId="77777777" w:rsidTr="00956F4A">
        <w:trPr>
          <w:trHeight w:val="54"/>
        </w:trPr>
        <w:tc>
          <w:tcPr>
            <w:tcW w:w="641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FF06DE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20.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5B6505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- 4.1.4.5. Kárrendezés nyomon követhetősége elektronikus/digitális formában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E346C9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C3616E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2030762C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9C91FD9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13D79C9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519E9DF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D1E585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5BC5B20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E324B0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21.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A752B9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- 4.1.4.6 Felmondásról szóló értesítés postai megküldése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C1687B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760557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932A97F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600B5D0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444BC89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A5A8B5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6EA05D9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D1232A8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479D1F90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71D0BA8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Ügyféltájékoztatás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6F9046A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0CF423E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0294DBF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E2E136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22.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8ABFF8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4.1.5.5. és 4.1.11.3. – Az egyes kockázatokkal kapcsolatos főbb kizárásokat maximum 3 oldal terjedelmű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IPID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 dokumentum is részletesen tartalmazza.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</w:tcPr>
          <w:p w14:paraId="1975FFF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</w:tcPr>
          <w:p w14:paraId="5EE8484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318B2B9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B98413A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3B0B015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&lt; Az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 xml:space="preserve">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>IPID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  <w:t xml:space="preserve"> dokumentum a XX. mellékletként csatolva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03E89E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6A3DE21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Cs/>
                <w:i/>
                <w:color w:val="000000"/>
                <w:lang w:bidi="hu-HU"/>
              </w:rPr>
            </w:pPr>
          </w:p>
        </w:tc>
      </w:tr>
      <w:tr w:rsidR="00203CAF" w:rsidRPr="00203CAF" w14:paraId="0DDA2C15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58D5FE3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23.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BA46AE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4.1.5.5. - a Bit. 152. § szerinti tájékoztatója kitér az ügyfél kárrendezéssel kapcsolatos teendőire, a kárbejelentés és kárrendezés formáira, valamint a Biztosító által vállalt ügyintézési határidőkre.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DA5AE7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8227B1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716AC9A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5D9D09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1024C63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6DD5FCA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hd w:val="clear" w:color="auto" w:fill="FFFF99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549B0F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hd w:val="clear" w:color="auto" w:fill="FFFF99"/>
                <w:lang w:bidi="hu-HU"/>
              </w:rPr>
            </w:pPr>
          </w:p>
        </w:tc>
      </w:tr>
      <w:tr w:rsidR="00203CAF" w:rsidRPr="00203CAF" w14:paraId="662EE839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7BE8649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1D68BE9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A szerződés megszüntetése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5665764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0D78966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719DE3F0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08FC7B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24.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6EEB99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- </w:t>
            </w:r>
            <w:r w:rsidRPr="00203CAF">
              <w:rPr>
                <w:rFonts w:ascii="Microsoft Sans Serif" w:eastAsia="Times New Roman" w:hAnsi="Microsoft Sans Serif" w:cs="Microsoft Sans Serif"/>
                <w:b/>
                <w:color w:val="000000"/>
                <w:lang w:bidi="hu-HU"/>
              </w:rPr>
              <w:t>4.1.5.6. Biztosító a szerződés felmondásáról szóló értesítést írásban, postai úton is megküldi az ügyfél részére.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F52891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C62B3E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AF5A48D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13E61C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613AD9C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9C26FA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3414B6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4890516F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CB686AB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25.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15938F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4.1.5.8. - A szerződő a tájékoztatás kézhezvételétől számított tizennégy napon belül a szerződést – indoklás nélkül – felmondhatja.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6EB5CA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E4F703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305B119D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390E15E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4822CF6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A7A9C3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CC8045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03540CBF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0BF7A9E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26.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CCFDD4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i/>
                <w:i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- </w:t>
            </w:r>
            <w:r w:rsidRPr="00203CAF">
              <w:rPr>
                <w:rFonts w:ascii="Microsoft Sans Serif" w:eastAsia="Times New Roman" w:hAnsi="Microsoft Sans Serif" w:cs="Microsoft Sans Serif"/>
                <w:b/>
                <w:i/>
                <w:iCs/>
                <w:color w:val="000000"/>
                <w:lang w:bidi="hu-HU"/>
              </w:rPr>
              <w:t>4.1.6.1. A szerződő 30 napos felmondási határidővel, a naptári negyedév végére a szerződést felmondhatja. (A kockázatviselés kezdetét követő három negyedévben a Biztosító ettől eltekinthet.)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0D6903D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0C57CD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574C5161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A79A26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3758FB6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6BB26E8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747C48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3546F9F8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25DACF41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564DC25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Biztosítási díjjal, biztosítási összeggel kapcsolatos követelmények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002623C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523779C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541A5FD7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EF075E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27.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9E93FA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4.1.7.1. – A terméktervezési fázisban a minősíteni kívánt termék (beleértve a kiegészítő fedezeteket is) tervezett kárhányada nem alacsonyabb, mint ötven százalék.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43C680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0C7087E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9A3B035" w14:textId="77777777" w:rsidTr="00956F4A">
        <w:trPr>
          <w:trHeight w:val="54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2DB9A6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0DBFB02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DD55AE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4D0D132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7B590D8B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7ABA53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lastRenderedPageBreak/>
              <w:t>28.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EEDFF2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4.1.7.7. – A Biztosító új értéken történő térítést alkalmaz az avultatás kizárásával.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B6262A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86F27D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7FA54FC" w14:textId="77777777" w:rsidTr="00956F4A">
        <w:trPr>
          <w:trHeight w:val="305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69798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4368A0A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1FE7709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CD6655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3F0C9092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99AF89F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29.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940EAF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4.1.7.8. – Indexálás - Ingatlanok esetében az indexálás értékét az új Otthonbiztosítási szerződéseknél alkalmazott épület vagyoncsoport megfelelő kategóriájához tartozó ajánlott érték (négyzetméterár) éves változása alapján határozza meg.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5A83D63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0EBE8BF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23E413E" w14:textId="77777777" w:rsidTr="00956F4A">
        <w:trPr>
          <w:trHeight w:val="305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1304F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54B215A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4EF4872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15F279F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6B06D6B5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9599DB2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30.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E039C0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4.1.7.9. – Indexálás - Ingóság</w:t>
            </w:r>
            <w:r w:rsidRPr="00203CAF">
              <w:rPr>
                <w:rFonts w:ascii="Microsoft Sans Serif" w:eastAsia="Microsoft Sans Serif" w:hAnsi="Microsoft Sans Serif" w:cs="Microsoft Sans Serif"/>
                <w:color w:val="000000"/>
                <w:lang w:bidi="hu-HU"/>
              </w:rPr>
              <w:t xml:space="preserve"> </w:t>
            </w:r>
            <w:r w:rsidRPr="00203CAF">
              <w:rPr>
                <w:rFonts w:ascii="Microsoft Sans Serif" w:eastAsia="Microsoft Sans Serif" w:hAnsi="Microsoft Sans Serif" w:cs="Microsoft Sans Serif"/>
                <w:b/>
                <w:color w:val="000000"/>
                <w:lang w:bidi="hu-HU"/>
              </w:rPr>
              <w:t xml:space="preserve">esetében </w:t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a biztosítási összeget, az inflációs hatások figyelembevételével, a mindenkori újérték elvének megfelelő szinten tartja. (Az indexszámok alapja a termék feltételeiben rögzített KSH árindexe)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B85241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DC649B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7C7F306F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067C6E2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2845799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0C562CC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6100F33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61AD7E88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36722004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5342FF8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Kárrendezésre vonatkozó rendelkezések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4C51180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5E14DEA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DC733F8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7DC2283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31.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324E62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4.1.4.5. - A Biztosító a kárrendezés folyamatának elektronikus vagy digitális formában történő nyomon követését lehetővé teszi (például e-mail, applikáció).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99DB1C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1BA93D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A73FB84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2E216ACA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530A9BF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590EA26E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217A434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6A2C6B92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E84F96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32.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E60C75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4.1.8.2. – A kárbejelentést követő maximum 2 munkanapon belül a Biztosító felveszi a kapcsolatot az ügyféllel, és a kárbejelentéstől számított 5 munkanapon belüli időpontot ajánl a kárszemlére. Amennyiben olyan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vis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 maior, illetve 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havaria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 helyzet áll elő, amely nem teszi lehetővé az 5 munkanapon belül történő kárszemlét, a Biztosítónak ezt haladéktalanul közzé kell tennie a saját weblapján.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1CB8BF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8C6B57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1113F49" w14:textId="77777777" w:rsidTr="00956F4A">
        <w:trPr>
          <w:trHeight w:val="305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27BBF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2063039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118CAFC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5D40914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4FE57BDA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DB590B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33.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97E658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4.1.8.3.  - A kárkifizetés az utolsó szükséges dokumentum beérkezését követő 5 munkanapon belül megtörténik.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10893E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11DD0F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0BB7CFE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1CD2CEB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2740FB3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02F2C15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5EF848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2CF0E415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3B7003A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34.</w:t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E9096B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4.1.8.5. – A Biztosító nem alkalmaz az Alapcsomag vonatkozásában a biztosítottak részéről önrészt.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</w:tcPr>
          <w:p w14:paraId="1BF409F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</w:tcPr>
          <w:p w14:paraId="7C2EDD6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292E114F" w14:textId="77777777" w:rsidTr="00956F4A">
        <w:trPr>
          <w:trHeight w:val="357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06AB28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084EAD2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00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a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D562E3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E3743B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0CD83C76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75ADC5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35.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3C3CAE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4.1.8.7. – 100 ezer forint alatti károk esetén gyorsított kárrendezés nyújtása, melynek ügyintézési határideje legfeljebb 5 munkanap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94AC1F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4005C0D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41B7A974" w14:textId="77777777" w:rsidTr="00956F4A">
        <w:trPr>
          <w:trHeight w:val="357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E94374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7718C83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0CC720F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E482B7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5AF1425E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DEC9657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36.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850613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4.1.8.8. - A kárigény elutasítása a kárszemlét, vagy az utolsó szükséges dokumentum beérkezését követő 10 munkanapon belül megtörténik.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EAE847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081CFBB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F6E7B6F" w14:textId="77777777" w:rsidTr="00956F4A">
        <w:trPr>
          <w:trHeight w:val="305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8BF46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382BEE9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86D8C6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6DAFE19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54055796" w14:textId="77777777" w:rsidTr="00956F4A">
        <w:trPr>
          <w:trHeight w:val="197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1C820481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37.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2F37EA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4.1.8.11. – Egyezségre vonatkozó rendelkezés: csak a kártérítési összeg vitatása esetén, és ha az ügyfél a biztosító által ajánlott biztosítási összeget és az indexálásokat elfogadta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24F034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C3D3AC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13C1DE06" w14:textId="77777777" w:rsidTr="00956F4A">
        <w:trPr>
          <w:trHeight w:val="197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BFDE73D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069CEF8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4D9D8B9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30003A1B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5A02BFAE" w14:textId="77777777" w:rsidTr="00956F4A">
        <w:trPr>
          <w:trHeight w:val="197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F6F593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38.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DBE159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4.1.9.1. – Kiemelt károk esetén kárrendezési kapcsolattartó biztosítása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04F9C7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9338F0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B3E67B1" w14:textId="77777777" w:rsidTr="00956F4A">
        <w:trPr>
          <w:trHeight w:val="305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8062A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7654B45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2A9694F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6DDDA63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16011C06" w14:textId="77777777" w:rsidTr="000A779D">
        <w:trPr>
          <w:trHeight w:val="2062"/>
        </w:trPr>
        <w:tc>
          <w:tcPr>
            <w:tcW w:w="641" w:type="dxa"/>
            <w:vMerge w:val="restar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41CD7BA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39.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18CE018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4.1.9.2. – Kiemelt károk esetén a Biztosító kárelőleget folyósít az alábbiak szerint:</w:t>
            </w:r>
          </w:p>
          <w:p w14:paraId="447DFDA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• az ügyfél életkörülményeit (mindennapi lakhatását) veszélyeztető káresemény bekövetkezésekor a Biztosító a kárrendezés keretében, gyorsított eljárásban, 5 munkanapon belül;</w:t>
            </w:r>
          </w:p>
          <w:p w14:paraId="30785F69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• kárfelülvizsgálat szükségessége esetén a biztosított kérésére - a Biztosító a kárszemlét követő 3 munkanapon belül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14F1090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7DF408C3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5E64FD53" w14:textId="77777777" w:rsidTr="000A779D">
        <w:trPr>
          <w:trHeight w:val="830"/>
        </w:trPr>
        <w:tc>
          <w:tcPr>
            <w:tcW w:w="641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9CDD5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  <w:hideMark/>
          </w:tcPr>
          <w:p w14:paraId="73E3E6D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91B7B3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7E53580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29A3BE18" w14:textId="77777777" w:rsidTr="00203CAF">
        <w:trPr>
          <w:trHeight w:val="54"/>
        </w:trPr>
        <w:tc>
          <w:tcPr>
            <w:tcW w:w="64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/>
            <w:noWrap/>
            <w:vAlign w:val="center"/>
          </w:tcPr>
          <w:p w14:paraId="635751D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  <w:vAlign w:val="center"/>
          </w:tcPr>
          <w:p w14:paraId="27EC56A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Díjfizetésre vonatkozó követelmények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30C58742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D9D9D9"/>
          </w:tcPr>
          <w:p w14:paraId="24E2BE1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29201E92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09C05F9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40.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420A2B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 xml:space="preserve">Pályázati kiírás 4.1.11.1. - </w:t>
            </w:r>
            <w:r w:rsidRPr="00203CAF">
              <w:rPr>
                <w:rFonts w:ascii="Microsoft Sans Serif" w:eastAsia="Microsoft Sans Serif" w:hAnsi="Microsoft Sans Serif" w:cs="Microsoft Sans Serif"/>
                <w:b/>
                <w:color w:val="000000"/>
                <w:lang w:bidi="hu-HU"/>
              </w:rPr>
              <w:t>A Biztosító legalább a következő díjfizetési módokat biztosítja: postai csekk, átutalás, csoportos beszedési megbízás, online fizetés.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30E0A8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2CB7FAE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42D0010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0418D8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  <w:vAlign w:val="center"/>
          </w:tcPr>
          <w:p w14:paraId="7DE00AC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170A42B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FFFF99"/>
          </w:tcPr>
          <w:p w14:paraId="7FAF53C1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65ECD6C6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4D681D7C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41.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E3FF65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4.1.11.2. – A Biztosító a következő díjfizetési ütemezést biztosítja: havi, negyedéves, féléves, éves.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6D933D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35A7156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28B9586F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</w:tcPr>
          <w:p w14:paraId="49F85946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</w:tcPr>
          <w:p w14:paraId="5785A91F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3DB5EA2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06E560A5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  <w:tr w:rsidR="00203CAF" w:rsidRPr="00203CAF" w14:paraId="2A95B510" w14:textId="77777777" w:rsidTr="00956F4A">
        <w:trPr>
          <w:trHeight w:val="54"/>
        </w:trPr>
        <w:tc>
          <w:tcPr>
            <w:tcW w:w="64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9826088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42.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9BE22D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Pályázati kiírás 4.1.2. – A Biztosító az alábbi elemeken keresztül érvényesíthet kedvezményeket az árazásban:</w:t>
            </w:r>
          </w:p>
          <w:p w14:paraId="1E4A648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-</w:t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ab/>
              <w:t>díjfizetés módja</w:t>
            </w:r>
          </w:p>
          <w:p w14:paraId="26FE3B4C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-</w:t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ab/>
              <w:t>díjfizetés gyakorisága</w:t>
            </w:r>
          </w:p>
          <w:p w14:paraId="0235A05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-</w:t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ab/>
              <w:t>kárrendezés módja</w:t>
            </w:r>
          </w:p>
          <w:p w14:paraId="5E53DE66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-</w:t>
            </w: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ab/>
              <w:t>kapcsolattartás módja</w:t>
            </w:r>
          </w:p>
          <w:p w14:paraId="5287D7E2" w14:textId="77777777" w:rsidR="00203CAF" w:rsidRPr="00203CAF" w:rsidRDefault="00203CAF" w:rsidP="00203CAF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hanging="724"/>
              <w:contextualSpacing/>
              <w:jc w:val="left"/>
              <w:rPr>
                <w:rFonts w:eastAsia="Times New Roman" w:cs="Times New Roman"/>
                <w:b/>
                <w:bCs/>
              </w:rPr>
            </w:pPr>
            <w:r w:rsidRPr="00203CA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  <w:t>szerződéskötés módja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4071C800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</w:tcPr>
          <w:p w14:paraId="68128C1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</w:tr>
      <w:tr w:rsidR="00203CAF" w:rsidRPr="00203CAF" w14:paraId="05EE3B68" w14:textId="77777777" w:rsidTr="00956F4A">
        <w:trPr>
          <w:trHeight w:val="54"/>
        </w:trPr>
        <w:tc>
          <w:tcPr>
            <w:tcW w:w="641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noWrap/>
            <w:vAlign w:val="center"/>
          </w:tcPr>
          <w:p w14:paraId="4C4FE4B4" w14:textId="77777777" w:rsidR="00203CAF" w:rsidRPr="00203CAF" w:rsidRDefault="00203CAF" w:rsidP="00203CAF">
            <w:pPr>
              <w:widowControl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bidi="hu-HU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  <w:vAlign w:val="center"/>
          </w:tcPr>
          <w:p w14:paraId="3005A894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  <w:proofErr w:type="gram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&lt; a</w:t>
            </w:r>
            <w:proofErr w:type="gram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 xml:space="preserve"> feltételt rögzítő dokumentum(ok) megnevezése, a vonatkozó fejezet(</w:t>
            </w:r>
            <w:proofErr w:type="spellStart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ek</w:t>
            </w:r>
            <w:proofErr w:type="spellEnd"/>
            <w:r w:rsidRPr="00203CAF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  <w:t>) és oldalszám(ok) megjelölésével &gt;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642111C7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99"/>
          </w:tcPr>
          <w:p w14:paraId="63B3DB3A" w14:textId="77777777" w:rsidR="00203CAF" w:rsidRPr="00203CAF" w:rsidRDefault="00203CAF" w:rsidP="00203CAF">
            <w:pPr>
              <w:widowControl w:val="0"/>
              <w:spacing w:after="0" w:line="240" w:lineRule="auto"/>
              <w:jc w:val="left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lang w:bidi="hu-HU"/>
              </w:rPr>
            </w:pPr>
          </w:p>
        </w:tc>
      </w:tr>
    </w:tbl>
    <w:p w14:paraId="3EF8D3EA" w14:textId="77777777" w:rsidR="00755B70" w:rsidRPr="00203CAF" w:rsidRDefault="00755B70" w:rsidP="00755B70">
      <w:pPr>
        <w:pStyle w:val="BodyText"/>
        <w:shd w:val="clear" w:color="auto" w:fill="auto"/>
        <w:tabs>
          <w:tab w:val="left" w:pos="762"/>
        </w:tabs>
        <w:spacing w:after="0" w:line="276" w:lineRule="auto"/>
        <w:jc w:val="left"/>
        <w:rPr>
          <w:rFonts w:ascii="Microsoft Sans Serif" w:hAnsi="Microsoft Sans Serif" w:cs="Microsoft Sans Serif"/>
          <w:sz w:val="20"/>
          <w:szCs w:val="20"/>
        </w:rPr>
      </w:pPr>
    </w:p>
    <w:p w14:paraId="709C148A" w14:textId="68595649" w:rsidR="00B944EB" w:rsidRPr="00203CAF" w:rsidRDefault="00B944EB" w:rsidP="00B944EB">
      <w:pPr>
        <w:rPr>
          <w:rFonts w:ascii="Microsoft Sans Serif" w:eastAsia="Calibri" w:hAnsi="Microsoft Sans Serif" w:cs="Microsoft Sans Serif"/>
          <w:b/>
          <w:bCs/>
        </w:rPr>
      </w:pPr>
    </w:p>
    <w:sectPr w:rsidR="00B944EB" w:rsidRPr="00203CAF" w:rsidSect="00203CAF">
      <w:headerReference w:type="default" r:id="rId8"/>
      <w:footerReference w:type="default" r:id="rId9"/>
      <w:pgSz w:w="11906" w:h="16838" w:code="9"/>
      <w:pgMar w:top="1418" w:right="1191" w:bottom="851" w:left="1191" w:header="709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2740" w14:textId="77777777" w:rsidR="00755B70" w:rsidRDefault="00755B70">
      <w:r>
        <w:separator/>
      </w:r>
    </w:p>
  </w:endnote>
  <w:endnote w:type="continuationSeparator" w:id="0">
    <w:p w14:paraId="0AD129F8" w14:textId="77777777" w:rsidR="00755B70" w:rsidRDefault="007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443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DBC8" w14:textId="77777777" w:rsidR="00755B70" w:rsidRDefault="00755B70">
      <w:r>
        <w:separator/>
      </w:r>
    </w:p>
  </w:footnote>
  <w:footnote w:type="continuationSeparator" w:id="0">
    <w:p w14:paraId="370D8F0D" w14:textId="77777777" w:rsidR="00755B70" w:rsidRDefault="0075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E535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E6F"/>
    <w:multiLevelType w:val="hybridMultilevel"/>
    <w:tmpl w:val="AC5487DE"/>
    <w:lvl w:ilvl="0" w:tplc="B6D8FB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9695257"/>
    <w:multiLevelType w:val="hybridMultilevel"/>
    <w:tmpl w:val="175EC51E"/>
    <w:lvl w:ilvl="0" w:tplc="B6D8FB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796A"/>
    <w:multiLevelType w:val="hybridMultilevel"/>
    <w:tmpl w:val="6B7ABDEE"/>
    <w:lvl w:ilvl="0" w:tplc="040E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476F7A"/>
    <w:multiLevelType w:val="hybridMultilevel"/>
    <w:tmpl w:val="C1682462"/>
    <w:lvl w:ilvl="0" w:tplc="A0B25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51FDE"/>
    <w:multiLevelType w:val="hybridMultilevel"/>
    <w:tmpl w:val="7A16FB12"/>
    <w:lvl w:ilvl="0" w:tplc="628E64EE">
      <w:numFmt w:val="bullet"/>
      <w:lvlText w:val="-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25558"/>
    <w:multiLevelType w:val="multilevel"/>
    <w:tmpl w:val="B7A84A14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4"/>
  </w:num>
  <w:num w:numId="9">
    <w:abstractNumId w:val="11"/>
    <w:lvlOverride w:ilvl="0">
      <w:startOverride w:val="1"/>
    </w:lvlOverride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6"/>
  </w:num>
  <w:num w:numId="20">
    <w:abstractNumId w:val="9"/>
  </w:num>
  <w:num w:numId="21">
    <w:abstractNumId w:val="10"/>
  </w:num>
  <w:num w:numId="22">
    <w:abstractNumId w:val="4"/>
  </w:num>
  <w:num w:numId="23">
    <w:abstractNumId w:val="6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70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A779D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3CAF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5DBA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55B70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5425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2A09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175EEC"/>
  <w15:chartTrackingRefBased/>
  <w15:docId w15:val="{C0675C7D-A95A-40C4-96B3-D0F619D9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AF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03CA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03CA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03CA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03CA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03CA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03CA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CA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CA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CA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03C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3CAF"/>
  </w:style>
  <w:style w:type="table" w:customStyle="1" w:styleId="tblzat-mtrix">
    <w:name w:val="táblázat - mátrix"/>
    <w:basedOn w:val="TableNormal"/>
    <w:uiPriority w:val="2"/>
    <w:qFormat/>
    <w:rsid w:val="00203CA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03CA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203CA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03CA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03CA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03C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A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03CA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AF"/>
  </w:style>
  <w:style w:type="paragraph" w:styleId="Footer">
    <w:name w:val="footer"/>
    <w:basedOn w:val="Normal"/>
    <w:link w:val="FooterChar"/>
    <w:uiPriority w:val="99"/>
    <w:unhideWhenUsed/>
    <w:rsid w:val="00203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AF"/>
  </w:style>
  <w:style w:type="paragraph" w:customStyle="1" w:styleId="Szmozs">
    <w:name w:val="Számozás"/>
    <w:basedOn w:val="Normal"/>
    <w:uiPriority w:val="4"/>
    <w:qFormat/>
    <w:rsid w:val="00203CA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03CAF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03CAF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03CAF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03CAF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03CA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03CAF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03CAF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03CA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03CA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CAF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CAF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CA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03CA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03CAF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03CAF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03CA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03CA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03CAF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CAF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03CA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03CA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03CA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3CAF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3CA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03CA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03CA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03CAF"/>
  </w:style>
  <w:style w:type="character" w:customStyle="1" w:styleId="ListParagraphChar">
    <w:name w:val="List Paragraph Char"/>
    <w:basedOn w:val="DefaultParagraphFont"/>
    <w:link w:val="ListParagraph"/>
    <w:uiPriority w:val="4"/>
    <w:rsid w:val="00203CAF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03CAF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03CAF"/>
  </w:style>
  <w:style w:type="character" w:styleId="SubtleReference">
    <w:name w:val="Subtle Reference"/>
    <w:basedOn w:val="DefaultParagraphFont"/>
    <w:uiPriority w:val="31"/>
    <w:rsid w:val="00203C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03CA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03CA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03CA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03CAF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03CAF"/>
  </w:style>
  <w:style w:type="paragraph" w:styleId="Subtitle">
    <w:name w:val="Subtitle"/>
    <w:basedOn w:val="Normal"/>
    <w:next w:val="Normal"/>
    <w:link w:val="SubtitleChar"/>
    <w:uiPriority w:val="11"/>
    <w:rsid w:val="00203CA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3CAF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03CA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03CAF"/>
  </w:style>
  <w:style w:type="paragraph" w:customStyle="1" w:styleId="Erskiemels">
    <w:name w:val="Erős kiemelés"/>
    <w:basedOn w:val="Normal"/>
    <w:link w:val="ErskiemelsChar"/>
    <w:uiPriority w:val="5"/>
    <w:qFormat/>
    <w:rsid w:val="00203CAF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03CAF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03CA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03CA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03CA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03CA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03CA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03CA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03CA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03CA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03CA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03CA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03CA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03CAF"/>
  </w:style>
  <w:style w:type="character" w:styleId="Strong">
    <w:name w:val="Strong"/>
    <w:basedOn w:val="DefaultParagraphFont"/>
    <w:uiPriority w:val="22"/>
    <w:rsid w:val="00203CAF"/>
    <w:rPr>
      <w:b/>
      <w:bCs/>
    </w:rPr>
  </w:style>
  <w:style w:type="character" w:styleId="Emphasis">
    <w:name w:val="Emphasis"/>
    <w:basedOn w:val="DefaultParagraphFont"/>
    <w:uiPriority w:val="6"/>
    <w:qFormat/>
    <w:rsid w:val="00203CAF"/>
    <w:rPr>
      <w:i/>
      <w:iCs/>
    </w:rPr>
  </w:style>
  <w:style w:type="paragraph" w:styleId="NoSpacing">
    <w:name w:val="No Spacing"/>
    <w:basedOn w:val="Normal"/>
    <w:uiPriority w:val="1"/>
    <w:rsid w:val="00203CA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03C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3CA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03CA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CAF"/>
    <w:rPr>
      <w:b/>
      <w:i/>
    </w:rPr>
  </w:style>
  <w:style w:type="character" w:styleId="IntenseEmphasis">
    <w:name w:val="Intense Emphasis"/>
    <w:basedOn w:val="DefaultParagraphFont"/>
    <w:uiPriority w:val="21"/>
    <w:rsid w:val="00203CA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03CA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03CA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03CA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03CA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03CA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03CA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03CA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03CA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03CA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03CA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03CAF"/>
  </w:style>
  <w:style w:type="paragraph" w:customStyle="1" w:styleId="ENNormalBox">
    <w:name w:val="EN_Normal_Box"/>
    <w:basedOn w:val="Normal"/>
    <w:uiPriority w:val="1"/>
    <w:qFormat/>
    <w:rsid w:val="00203CA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03CA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03CA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03CA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03CA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03CA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03CA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03CA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03CA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03CA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03CA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03CA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03CA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03CAF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03CA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03CA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03CA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03CA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03CA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03CA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03CA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03CA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03CA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03CAF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03CAF"/>
    <w:rPr>
      <w:b w:val="0"/>
      <w:caps w:val="0"/>
      <w:sz w:val="52"/>
    </w:rPr>
  </w:style>
  <w:style w:type="character" w:customStyle="1" w:styleId="BodyTextChar">
    <w:name w:val="Body Text Char"/>
    <w:basedOn w:val="DefaultParagraphFont"/>
    <w:link w:val="BodyText"/>
    <w:rsid w:val="00755B70"/>
    <w:rPr>
      <w:rFonts w:eastAsia="Calibri" w:cs="Calibri"/>
      <w:sz w:val="22"/>
      <w:szCs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755B70"/>
    <w:pPr>
      <w:shd w:val="clear" w:color="auto" w:fill="FFFFFF"/>
      <w:spacing w:after="60" w:line="271" w:lineRule="auto"/>
    </w:pPr>
    <w:rPr>
      <w:rFonts w:eastAsia="Calibri" w:cs="Calibr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755B70"/>
    <w:rPr>
      <w:rFonts w:ascii="Microsoft Sans Serif" w:eastAsia="Microsoft Sans Serif" w:hAnsi="Microsoft Sans Serif" w:cs="Microsoft Sans Serif"/>
      <w:color w:val="000000"/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B32554E-7673-4A8F-A4CB-2505459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1426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 Katalin</dc:creator>
  <cp:keywords/>
  <dc:description/>
  <cp:lastModifiedBy>Zeke Katalin</cp:lastModifiedBy>
  <cp:revision>10</cp:revision>
  <cp:lastPrinted>1900-12-31T23:00:00Z</cp:lastPrinted>
  <dcterms:created xsi:type="dcterms:W3CDTF">2020-07-16T15:14:00Z</dcterms:created>
  <dcterms:modified xsi:type="dcterms:W3CDTF">2020-07-17T09:08:00Z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zekek@mnb.hu</vt:lpwstr>
  </property>
  <property fmtid="{D5CDD505-2E9C-101B-9397-08002B2CF9AE}" pid="5" name="MSIP_Label_b0d11092-50c9-4e74-84b5-b1af078dc3d0_SetDate">
    <vt:lpwstr>2020-07-16T15:17:49.1108344Z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f14c4c52-8dc1-4a68-a8ad-463c1ebaa9b8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