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62E5" w14:textId="63B58C6F" w:rsidR="00C20D90" w:rsidRPr="00A52C2B" w:rsidRDefault="00CE2EA2" w:rsidP="00CE2EA2">
      <w:pPr>
        <w:pStyle w:val="BasicParagraph"/>
        <w:spacing w:before="3840" w:line="240" w:lineRule="auto"/>
        <w:ind w:left="-284"/>
        <w:jc w:val="center"/>
        <w:rPr>
          <w:rFonts w:ascii="Calibri" w:eastAsia="AGaramondPro-Bold" w:hAnsi="Calibri" w:cs="Times New Roman"/>
          <w:b/>
          <w:bCs/>
          <w:color w:val="FFFFFF" w:themeColor="background1"/>
          <w:kern w:val="1"/>
          <w:sz w:val="66"/>
          <w:szCs w:val="66"/>
        </w:rPr>
      </w:pPr>
      <w:r w:rsidRPr="00A52C2B">
        <w:rPr>
          <w:rFonts w:ascii="Calibri" w:eastAsia="AGaramondPro-Bold" w:hAnsi="Calibri" w:cs="Times New Roman"/>
          <w:b/>
          <w:bCs/>
          <w:noProof/>
          <w:color w:val="FFFFFF" w:themeColor="background1"/>
          <w:kern w:val="1"/>
          <w:sz w:val="66"/>
          <w:szCs w:val="66"/>
        </w:rPr>
        <w:drawing>
          <wp:anchor distT="0" distB="0" distL="114300" distR="114300" simplePos="0" relativeHeight="251659264" behindDoc="1" locked="0" layoutInCell="1" allowOverlap="1" wp14:anchorId="0080EBFB" wp14:editId="6CE9AB50">
            <wp:simplePos x="0" y="0"/>
            <wp:positionH relativeFrom="column">
              <wp:posOffset>-807085</wp:posOffset>
            </wp:positionH>
            <wp:positionV relativeFrom="paragraph">
              <wp:posOffset>-917575</wp:posOffset>
            </wp:positionV>
            <wp:extent cx="7587343" cy="10728872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ti szem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343" cy="10728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54E">
        <w:rPr>
          <w:rFonts w:ascii="Calibri" w:eastAsia="AGaramondPro-Bold" w:hAnsi="Calibri" w:cs="Times New Roman"/>
          <w:b/>
          <w:bCs/>
          <w:color w:val="FFFFFF" w:themeColor="background1"/>
          <w:kern w:val="1"/>
          <w:sz w:val="66"/>
          <w:szCs w:val="66"/>
        </w:rPr>
        <w:t>AMLA</w:t>
      </w:r>
      <w:r w:rsidR="00E810C0" w:rsidRPr="00A52C2B">
        <w:rPr>
          <w:rFonts w:ascii="Calibri" w:eastAsia="AGaramondPro-Bold" w:hAnsi="Calibri" w:cs="Times New Roman"/>
          <w:b/>
          <w:bCs/>
          <w:color w:val="FFFFFF" w:themeColor="background1"/>
          <w:kern w:val="1"/>
          <w:sz w:val="66"/>
          <w:szCs w:val="66"/>
        </w:rPr>
        <w:t xml:space="preserve"> hírlevél</w:t>
      </w:r>
    </w:p>
    <w:p w14:paraId="12D0D30C" w14:textId="7683DAA5" w:rsidR="00C20D90" w:rsidRPr="00A52C2B" w:rsidRDefault="00E810C0" w:rsidP="00533DAE">
      <w:pPr>
        <w:pStyle w:val="BasicParagraph"/>
        <w:numPr>
          <w:ilvl w:val="0"/>
          <w:numId w:val="10"/>
        </w:numPr>
        <w:spacing w:line="240" w:lineRule="auto"/>
        <w:rPr>
          <w:rFonts w:ascii="Calibri" w:eastAsia="AGaramondPro-Bold" w:hAnsi="Calibri" w:cs="Times New Roman"/>
          <w:bCs/>
          <w:color w:val="FFFFFF" w:themeColor="background1"/>
          <w:sz w:val="66"/>
          <w:szCs w:val="66"/>
        </w:rPr>
      </w:pPr>
      <w:r w:rsidRPr="00A52C2B">
        <w:rPr>
          <w:rFonts w:ascii="Calibri" w:eastAsia="AGaramondPro-Bold" w:hAnsi="Calibri" w:cs="Times New Roman"/>
          <w:bCs/>
          <w:color w:val="FFFFFF" w:themeColor="background1"/>
          <w:sz w:val="66"/>
          <w:szCs w:val="66"/>
        </w:rPr>
        <w:t>szám</w:t>
      </w:r>
    </w:p>
    <w:p w14:paraId="703D1D64" w14:textId="77777777" w:rsidR="00CE2EA2" w:rsidRPr="00C635CE" w:rsidRDefault="00CE2EA2" w:rsidP="00C20D90">
      <w:pPr>
        <w:pStyle w:val="BasicParagraph"/>
        <w:spacing w:line="240" w:lineRule="auto"/>
        <w:jc w:val="center"/>
        <w:rPr>
          <w:rFonts w:ascii="Calibri" w:eastAsia="AGaramondPro-Bold" w:hAnsi="Calibri" w:cs="Times New Roman"/>
          <w:bCs/>
          <w:color w:val="FFFFFF" w:themeColor="background1"/>
        </w:rPr>
      </w:pPr>
    </w:p>
    <w:p w14:paraId="739D81B5" w14:textId="77777777" w:rsidR="00CE2EA2" w:rsidRPr="00C635CE" w:rsidRDefault="00CE2EA2" w:rsidP="00C20D90">
      <w:pPr>
        <w:pStyle w:val="BasicParagraph"/>
        <w:spacing w:line="240" w:lineRule="auto"/>
        <w:jc w:val="center"/>
        <w:rPr>
          <w:rFonts w:ascii="Calibri" w:eastAsia="AGaramondPro-Bold" w:hAnsi="Calibri" w:cs="Times New Roman"/>
          <w:bCs/>
          <w:color w:val="FFFFFF" w:themeColor="background1"/>
        </w:rPr>
      </w:pPr>
    </w:p>
    <w:p w14:paraId="7C85EAAC" w14:textId="77777777" w:rsidR="00CE2EA2" w:rsidRPr="00C635CE" w:rsidRDefault="00CE2EA2" w:rsidP="00CE2EA2">
      <w:pPr>
        <w:pStyle w:val="BasicParagraph"/>
        <w:spacing w:line="240" w:lineRule="auto"/>
        <w:ind w:left="-284"/>
        <w:jc w:val="center"/>
        <w:rPr>
          <w:rFonts w:ascii="Calibri" w:eastAsia="AGaramondPro-Bold" w:hAnsi="Calibri" w:cs="Times New Roman"/>
          <w:bCs/>
          <w:color w:val="FFFFFF" w:themeColor="background1"/>
        </w:rPr>
      </w:pPr>
    </w:p>
    <w:p w14:paraId="747A0E92" w14:textId="05CD7B96" w:rsidR="00690D0E" w:rsidRPr="00690D0E" w:rsidRDefault="00E93007" w:rsidP="00690D0E">
      <w:pPr>
        <w:pStyle w:val="BasicParagraph"/>
        <w:spacing w:line="240" w:lineRule="auto"/>
        <w:ind w:left="-284"/>
        <w:jc w:val="center"/>
        <w:rPr>
          <w:rFonts w:ascii="Calibri" w:eastAsiaTheme="majorEastAsia" w:hAnsi="Calibri" w:cstheme="majorBidi"/>
          <w:caps/>
          <w:color w:val="898D8D" w:themeColor="text2"/>
          <w:spacing w:val="5"/>
          <w:kern w:val="28"/>
          <w:sz w:val="66"/>
          <w:szCs w:val="66"/>
        </w:rPr>
      </w:pPr>
      <w:r w:rsidRPr="00A52C2B">
        <w:rPr>
          <w:rFonts w:ascii="Calibri" w:eastAsia="AGaramondPro-Bold" w:hAnsi="Calibri" w:cs="Times New Roman"/>
          <w:bCs/>
          <w:color w:val="FFFFFF" w:themeColor="background1"/>
          <w:sz w:val="66"/>
          <w:szCs w:val="66"/>
        </w:rPr>
        <w:t>20</w:t>
      </w:r>
      <w:r w:rsidR="0086154E">
        <w:rPr>
          <w:rFonts w:ascii="Calibri" w:eastAsia="AGaramondPro-Bold" w:hAnsi="Calibri" w:cs="Times New Roman"/>
          <w:bCs/>
          <w:color w:val="FFFFFF" w:themeColor="background1"/>
          <w:sz w:val="66"/>
          <w:szCs w:val="66"/>
        </w:rPr>
        <w:t>26</w:t>
      </w:r>
      <w:r w:rsidRPr="00A52C2B">
        <w:rPr>
          <w:rFonts w:ascii="Calibri" w:eastAsia="AGaramondPro-Bold" w:hAnsi="Calibri" w:cs="Times New Roman"/>
          <w:bCs/>
          <w:color w:val="FFFFFF" w:themeColor="background1"/>
          <w:sz w:val="66"/>
          <w:szCs w:val="66"/>
        </w:rPr>
        <w:t xml:space="preserve">. </w:t>
      </w:r>
      <w:r w:rsidR="005B01A8">
        <w:rPr>
          <w:rFonts w:ascii="Calibri" w:eastAsia="AGaramondPro-Bold" w:hAnsi="Calibri" w:cs="Times New Roman"/>
          <w:bCs/>
          <w:color w:val="FFFFFF" w:themeColor="background1"/>
          <w:sz w:val="66"/>
          <w:szCs w:val="66"/>
        </w:rPr>
        <w:t>jú</w:t>
      </w:r>
      <w:r w:rsidR="00B43866">
        <w:rPr>
          <w:rFonts w:ascii="Calibri" w:eastAsia="AGaramondPro-Bold" w:hAnsi="Calibri" w:cs="Times New Roman"/>
          <w:bCs/>
          <w:color w:val="FFFFFF" w:themeColor="background1"/>
          <w:sz w:val="66"/>
          <w:szCs w:val="66"/>
        </w:rPr>
        <w:t>l</w:t>
      </w:r>
      <w:r w:rsidR="005B01A8">
        <w:rPr>
          <w:rFonts w:ascii="Calibri" w:eastAsia="AGaramondPro-Bold" w:hAnsi="Calibri" w:cs="Times New Roman"/>
          <w:bCs/>
          <w:color w:val="FFFFFF" w:themeColor="background1"/>
          <w:sz w:val="66"/>
          <w:szCs w:val="66"/>
        </w:rPr>
        <w:t>ius</w:t>
      </w:r>
    </w:p>
    <w:p w14:paraId="553A4471" w14:textId="77777777" w:rsidR="00690D0E" w:rsidRDefault="00690D0E" w:rsidP="00B07AA0"/>
    <w:p w14:paraId="0EB7A511" w14:textId="77777777" w:rsidR="00690D0E" w:rsidRDefault="00690D0E" w:rsidP="00B07AA0"/>
    <w:p w14:paraId="743BA39C" w14:textId="77777777" w:rsidR="00690D0E" w:rsidRDefault="00690D0E" w:rsidP="00B07AA0"/>
    <w:p w14:paraId="41D2A086" w14:textId="77777777" w:rsidR="00690D0E" w:rsidRDefault="00690D0E" w:rsidP="00B07AA0"/>
    <w:p w14:paraId="667246EE" w14:textId="77777777" w:rsidR="00690D0E" w:rsidRDefault="00690D0E" w:rsidP="00B07AA0"/>
    <w:p w14:paraId="371061A3" w14:textId="77777777" w:rsidR="00690D0E" w:rsidRDefault="00690D0E" w:rsidP="00B07AA0"/>
    <w:p w14:paraId="30A5D564" w14:textId="77777777" w:rsidR="00690D0E" w:rsidRDefault="00690D0E" w:rsidP="00B07AA0"/>
    <w:p w14:paraId="202FEC64" w14:textId="77777777" w:rsidR="00690D0E" w:rsidRDefault="00690D0E" w:rsidP="00B07AA0"/>
    <w:p w14:paraId="4F12C156" w14:textId="77777777" w:rsidR="00690D0E" w:rsidRDefault="00690D0E" w:rsidP="00B07AA0"/>
    <w:p w14:paraId="365A1F03" w14:textId="77777777" w:rsidR="00690D0E" w:rsidRDefault="00690D0E" w:rsidP="00B07AA0"/>
    <w:p w14:paraId="3E265851" w14:textId="77777777" w:rsidR="00690D0E" w:rsidRDefault="00690D0E" w:rsidP="00B07AA0"/>
    <w:p w14:paraId="6995BCDA" w14:textId="77777777" w:rsidR="00690D0E" w:rsidRDefault="00690D0E" w:rsidP="00B07AA0"/>
    <w:p w14:paraId="738F6DFB" w14:textId="77777777" w:rsidR="00690D0E" w:rsidRDefault="00690D0E" w:rsidP="00B07AA0"/>
    <w:p w14:paraId="70417889" w14:textId="77777777" w:rsidR="00690D0E" w:rsidRDefault="00690D0E" w:rsidP="00B07AA0"/>
    <w:p w14:paraId="17FA1F4E" w14:textId="77777777" w:rsidR="0084467A" w:rsidRDefault="0084467A" w:rsidP="00304959">
      <w:pPr>
        <w:pStyle w:val="HierarchikusLista0"/>
        <w:rPr>
          <w:rFonts w:cstheme="minorHAnsi"/>
          <w:caps/>
          <w:color w:val="A99A6F"/>
        </w:rPr>
      </w:pPr>
    </w:p>
    <w:p w14:paraId="5F127924" w14:textId="77777777" w:rsidR="00304959" w:rsidRPr="00C635CE" w:rsidRDefault="00304959" w:rsidP="00313526">
      <w:pPr>
        <w:pStyle w:val="HierarchikusLista0"/>
      </w:pPr>
    </w:p>
    <w:bookmarkStart w:id="0" w:name="_Toc235702124" w:displacedByCustomXml="next"/>
    <w:sdt>
      <w:sdtPr>
        <w:rPr>
          <w:b w:val="0"/>
          <w:color w:val="auto"/>
          <w:sz w:val="20"/>
          <w:szCs w:val="20"/>
        </w:rPr>
        <w:id w:val="179771305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DDC592D" w14:textId="5AA1B79A" w:rsidR="00D243CD" w:rsidRDefault="00D243CD" w:rsidP="00532C7B">
          <w:pPr>
            <w:pStyle w:val="Cmsor2"/>
            <w:numPr>
              <w:ilvl w:val="0"/>
              <w:numId w:val="0"/>
            </w:numPr>
          </w:pPr>
          <w:r>
            <w:t>Tartalom</w:t>
          </w:r>
          <w:bookmarkEnd w:id="0"/>
        </w:p>
        <w:p w14:paraId="5791CB44" w14:textId="1648396E" w:rsidR="00AF0057" w:rsidRDefault="00D243CD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702124" w:history="1">
            <w:r w:rsidR="00AF0057" w:rsidRPr="003D2EE2">
              <w:rPr>
                <w:rStyle w:val="Hiperhivatkozs"/>
                <w:noProof/>
              </w:rPr>
              <w:t>Tartalom</w:t>
            </w:r>
            <w:r w:rsidR="00AF0057">
              <w:rPr>
                <w:noProof/>
                <w:webHidden/>
              </w:rPr>
              <w:tab/>
            </w:r>
            <w:r w:rsidR="00AF0057">
              <w:rPr>
                <w:noProof/>
                <w:webHidden/>
              </w:rPr>
              <w:fldChar w:fldCharType="begin"/>
            </w:r>
            <w:r w:rsidR="00AF0057">
              <w:rPr>
                <w:noProof/>
                <w:webHidden/>
              </w:rPr>
              <w:instrText xml:space="preserve"> PAGEREF _Toc235702124 \h </w:instrText>
            </w:r>
            <w:r w:rsidR="00AF0057">
              <w:rPr>
                <w:noProof/>
                <w:webHidden/>
              </w:rPr>
            </w:r>
            <w:r w:rsidR="00AF0057">
              <w:rPr>
                <w:noProof/>
                <w:webHidden/>
              </w:rPr>
              <w:fldChar w:fldCharType="separate"/>
            </w:r>
            <w:r w:rsidR="00AF0057">
              <w:rPr>
                <w:noProof/>
                <w:webHidden/>
              </w:rPr>
              <w:t>2</w:t>
            </w:r>
            <w:r w:rsidR="00AF0057">
              <w:rPr>
                <w:noProof/>
                <w:webHidden/>
              </w:rPr>
              <w:fldChar w:fldCharType="end"/>
            </w:r>
          </w:hyperlink>
        </w:p>
        <w:p w14:paraId="0F2FDB9A" w14:textId="15C8172D" w:rsidR="00AF0057" w:rsidRDefault="00AF0057" w:rsidP="002603E9">
          <w:pPr>
            <w:pStyle w:val="TJ1"/>
            <w:rPr>
              <w:rFonts w:asciiTheme="minorHAnsi" w:hAnsiTheme="minorHAnsi"/>
              <w:kern w:val="2"/>
              <w:sz w:val="24"/>
              <w:szCs w:val="24"/>
              <w14:ligatures w14:val="standardContextual"/>
            </w:rPr>
          </w:pPr>
          <w:hyperlink w:anchor="_Toc235702125" w:history="1">
            <w:r w:rsidRPr="003D2EE2">
              <w:rPr>
                <w:rStyle w:val="Hiperhivatkozs"/>
              </w:rPr>
              <w:t>1. Bevezető</w:t>
            </w:r>
            <w:r w:rsidR="002603E9">
              <w:rPr>
                <w:rStyle w:val="Hiperhivatkozs"/>
              </w:rPr>
              <w:t>…………………………………………………………………………………………………………………………………………………………………</w:t>
            </w:r>
            <w:r w:rsidR="002603E9">
              <w:rPr>
                <w:webHidden/>
              </w:rPr>
              <w:t>………….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_Toc235702125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A086C00" w14:textId="41C9C1BB" w:rsidR="00AF0057" w:rsidRPr="002603E9" w:rsidRDefault="00AF0057" w:rsidP="002603E9">
          <w:pPr>
            <w:pStyle w:val="TJ1"/>
            <w:rPr>
              <w:rFonts w:asciiTheme="minorHAnsi" w:hAnsiTheme="minorHAnsi"/>
              <w:kern w:val="2"/>
              <w:sz w:val="24"/>
              <w:szCs w:val="24"/>
              <w14:ligatures w14:val="standardContextual"/>
            </w:rPr>
          </w:pPr>
          <w:hyperlink w:anchor="_Toc235702126" w:history="1">
            <w:r w:rsidRPr="002603E9">
              <w:rPr>
                <w:rStyle w:val="Hiperhivatkozs"/>
                <w:b/>
                <w:bCs/>
              </w:rPr>
              <w:t>2. Másodszintű szabályozás: kialakítás alatt álló standardtervezetek (RTS, ITS)</w:t>
            </w:r>
            <w:r w:rsidR="002603E9">
              <w:rPr>
                <w:rStyle w:val="Hiperhivatkozs"/>
                <w:b/>
                <w:bCs/>
              </w:rPr>
              <w:t>………………………………………………………………..</w:t>
            </w:r>
            <w:r w:rsidRPr="002603E9">
              <w:rPr>
                <w:webHidden/>
              </w:rPr>
              <w:fldChar w:fldCharType="begin"/>
            </w:r>
            <w:r w:rsidRPr="002603E9">
              <w:rPr>
                <w:webHidden/>
              </w:rPr>
              <w:instrText xml:space="preserve"> PAGEREF _Toc235702126 \h </w:instrText>
            </w:r>
            <w:r w:rsidRPr="002603E9">
              <w:rPr>
                <w:webHidden/>
              </w:rPr>
            </w:r>
            <w:r w:rsidRPr="002603E9">
              <w:rPr>
                <w:webHidden/>
              </w:rPr>
              <w:fldChar w:fldCharType="separate"/>
            </w:r>
            <w:r w:rsidRPr="002603E9">
              <w:rPr>
                <w:webHidden/>
              </w:rPr>
              <w:t>4</w:t>
            </w:r>
            <w:r w:rsidRPr="002603E9">
              <w:rPr>
                <w:webHidden/>
              </w:rPr>
              <w:fldChar w:fldCharType="end"/>
            </w:r>
          </w:hyperlink>
        </w:p>
        <w:p w14:paraId="702419A8" w14:textId="445277C4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27" w:history="1">
            <w:r w:rsidRPr="003D2EE2">
              <w:rPr>
                <w:rStyle w:val="Hiperhivatkozs"/>
                <w:noProof/>
              </w:rPr>
              <w:t>2.1. Az üzleti kapcsolatok, alkalmi ügyletek és ügyletsorozatok azonosítási kritériumrendszerének meghatározásáról szóló szabályozástechnikai standardok (RTS) tervezete („draft RTS on Business Relationships”)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F9442F" w14:textId="1021BCE4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28" w:history="1">
            <w:r w:rsidRPr="003D2EE2">
              <w:rPr>
                <w:rStyle w:val="Hiperhivatkozs"/>
                <w:noProof/>
              </w:rPr>
              <w:t>2.2. Az ügyfél-átvilágítás elvégzéséhez szükséges információkról szóló szabályozástechnikai standardok (RTS) tervezete („draft RTS on Customer Due Diligence”)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9862E" w14:textId="48C8A813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29" w:history="1">
            <w:r w:rsidRPr="003D2EE2">
              <w:rPr>
                <w:rStyle w:val="Hiperhivatkozs"/>
                <w:noProof/>
              </w:rPr>
              <w:t>2.3. Csoportszintű követelményekről szóló szabályozástechnikai standardok (RTS) tervezete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D7B02" w14:textId="64A66AA9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30" w:history="1">
            <w:r w:rsidRPr="003D2EE2">
              <w:rPr>
                <w:rStyle w:val="Hiperhivatkozs"/>
                <w:noProof/>
              </w:rPr>
              <w:t>2.4. Home-host felügyeleti együttműködésről szóló szabályozástechnikai standardok (RTS) tervezete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4F5EF" w14:textId="1EF17B6A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31" w:history="1">
            <w:r w:rsidRPr="003D2EE2">
              <w:rPr>
                <w:rStyle w:val="Hiperhivatkozs"/>
                <w:noProof/>
              </w:rPr>
              <w:t>2.5. A gyanús ügyletek bejelentésére szolgáló egységes formátum létrehozását célzó végrehajtás-technikai standardok (ITS) tervezete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BB58F" w14:textId="0E402503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32" w:history="1">
            <w:r w:rsidRPr="003D2EE2">
              <w:rPr>
                <w:rStyle w:val="Hiperhivatkozs"/>
                <w:noProof/>
              </w:rPr>
              <w:t>2.6. A közvetlen felügyeléssel kapcsolatos felügyeleti együttműködésről szóló végrehajtás-technikai standardok (ITS) tervezete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0D95C" w14:textId="08B72D4D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33" w:history="1">
            <w:r w:rsidRPr="003D2EE2">
              <w:rPr>
                <w:rStyle w:val="Hiperhivatkozs"/>
                <w:noProof/>
              </w:rPr>
              <w:t>2.7. A jogsértések súlyosságának értékeléséről, valamint a pénzbeli szankciók és felügyeleti intézkedések alkalmazásánál figyelembe veendő kritériumokról szóló végső jelentés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F70EB" w14:textId="329E101B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34" w:history="1">
            <w:r w:rsidRPr="003D2EE2">
              <w:rPr>
                <w:rStyle w:val="Hiperhivatkozs"/>
                <w:noProof/>
              </w:rPr>
              <w:t>2.8. A pénzügyi információs egységek közötti együttműködés és az Európai Ügyészség (EPPO) részére történő jelentés közös formátumait tartalmazó tervezetek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BC0AF" w14:textId="6E626297" w:rsidR="00AF0057" w:rsidRPr="002603E9" w:rsidRDefault="00AF0057" w:rsidP="002603E9">
          <w:pPr>
            <w:pStyle w:val="TJ1"/>
            <w:rPr>
              <w:rFonts w:asciiTheme="minorHAnsi" w:hAnsiTheme="minorHAnsi"/>
              <w:kern w:val="2"/>
              <w:sz w:val="24"/>
              <w:szCs w:val="24"/>
              <w14:ligatures w14:val="standardContextual"/>
            </w:rPr>
          </w:pPr>
          <w:hyperlink w:anchor="_Toc235702135" w:history="1">
            <w:r w:rsidRPr="002603E9">
              <w:rPr>
                <w:rStyle w:val="Hiperhivatkozs"/>
                <w:b/>
                <w:bCs/>
              </w:rPr>
              <w:t>3. Harmadszintű szabályozás: kialakítás alatt álló iránymutatástervezetek</w:t>
            </w:r>
            <w:r w:rsidR="002603E9">
              <w:rPr>
                <w:webHidden/>
              </w:rPr>
              <w:t>………………………………………………………………………….</w:t>
            </w:r>
            <w:r w:rsidRPr="002603E9">
              <w:rPr>
                <w:webHidden/>
              </w:rPr>
              <w:fldChar w:fldCharType="begin"/>
            </w:r>
            <w:r w:rsidRPr="002603E9">
              <w:rPr>
                <w:webHidden/>
              </w:rPr>
              <w:instrText xml:space="preserve"> PAGEREF _Toc235702135 \h </w:instrText>
            </w:r>
            <w:r w:rsidRPr="002603E9">
              <w:rPr>
                <w:webHidden/>
              </w:rPr>
            </w:r>
            <w:r w:rsidRPr="002603E9">
              <w:rPr>
                <w:webHidden/>
              </w:rPr>
              <w:fldChar w:fldCharType="separate"/>
            </w:r>
            <w:r w:rsidRPr="002603E9">
              <w:rPr>
                <w:webHidden/>
              </w:rPr>
              <w:t>8</w:t>
            </w:r>
            <w:r w:rsidRPr="002603E9">
              <w:rPr>
                <w:webHidden/>
              </w:rPr>
              <w:fldChar w:fldCharType="end"/>
            </w:r>
          </w:hyperlink>
        </w:p>
        <w:p w14:paraId="03ABE733" w14:textId="1EC7A8FD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36" w:history="1">
            <w:r w:rsidRPr="003D2EE2">
              <w:rPr>
                <w:rStyle w:val="Hiperhivatkozs"/>
                <w:noProof/>
              </w:rPr>
              <w:t>3.1. Iránymutatástervezet az üzleti kapcsolatok folyamatos nyomon követéséről és az ilyen kapcsolat keretében végrehajtott ügyletek nyomon követéséről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13909" w14:textId="69BFD6D3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37" w:history="1">
            <w:r w:rsidRPr="003D2EE2">
              <w:rPr>
                <w:rStyle w:val="Hiperhivatkozs"/>
                <w:noProof/>
              </w:rPr>
              <w:t>3.2. Iránymutatástervezet a vállalkozás egészére kiterjedő szintű kockázatértékelésről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86003D" w14:textId="697D315F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38" w:history="1">
            <w:r w:rsidRPr="003D2EE2">
              <w:rPr>
                <w:rStyle w:val="Hiperhivatkozs"/>
                <w:noProof/>
              </w:rPr>
              <w:t>3.3. Az AMLA és EDPB közös iránymutatások kialakításán dolgozik az információmegosztási partnerségek tárgyában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3E247" w14:textId="6685125E" w:rsidR="00AF0057" w:rsidRPr="002603E9" w:rsidRDefault="00AF0057" w:rsidP="002603E9">
          <w:pPr>
            <w:pStyle w:val="TJ1"/>
            <w:rPr>
              <w:rFonts w:asciiTheme="minorHAnsi" w:hAnsiTheme="minorHAnsi"/>
              <w:kern w:val="2"/>
              <w:sz w:val="24"/>
              <w:szCs w:val="24"/>
              <w14:ligatures w14:val="standardContextual"/>
            </w:rPr>
          </w:pPr>
          <w:hyperlink w:anchor="_Toc235702139" w:history="1">
            <w:r w:rsidRPr="002603E9">
              <w:rPr>
                <w:rStyle w:val="Hiperhivatkozs"/>
                <w:b/>
                <w:bCs/>
              </w:rPr>
              <w:t>4. Az AMLA közvetlen felügyelési tevékenysége érdekében tett előkészületek</w:t>
            </w:r>
            <w:r w:rsidR="002603E9">
              <w:rPr>
                <w:webHidden/>
              </w:rPr>
              <w:t>………………………………………………………………….</w:t>
            </w:r>
            <w:r w:rsidRPr="002603E9">
              <w:rPr>
                <w:webHidden/>
              </w:rPr>
              <w:fldChar w:fldCharType="begin"/>
            </w:r>
            <w:r w:rsidRPr="002603E9">
              <w:rPr>
                <w:webHidden/>
              </w:rPr>
              <w:instrText xml:space="preserve"> PAGEREF _Toc235702139 \h </w:instrText>
            </w:r>
            <w:r w:rsidRPr="002603E9">
              <w:rPr>
                <w:webHidden/>
              </w:rPr>
            </w:r>
            <w:r w:rsidRPr="002603E9">
              <w:rPr>
                <w:webHidden/>
              </w:rPr>
              <w:fldChar w:fldCharType="separate"/>
            </w:r>
            <w:r w:rsidRPr="002603E9">
              <w:rPr>
                <w:webHidden/>
              </w:rPr>
              <w:t>10</w:t>
            </w:r>
            <w:r w:rsidRPr="002603E9">
              <w:rPr>
                <w:webHidden/>
              </w:rPr>
              <w:fldChar w:fldCharType="end"/>
            </w:r>
          </w:hyperlink>
        </w:p>
        <w:p w14:paraId="29CC8786" w14:textId="026FC772" w:rsidR="00AF0057" w:rsidRPr="002603E9" w:rsidRDefault="00AF0057" w:rsidP="002603E9">
          <w:pPr>
            <w:pStyle w:val="TJ1"/>
            <w:rPr>
              <w:rFonts w:asciiTheme="minorHAnsi" w:hAnsiTheme="minorHAnsi"/>
              <w:b/>
              <w:bCs/>
              <w:kern w:val="2"/>
              <w:sz w:val="24"/>
              <w:szCs w:val="24"/>
              <w14:ligatures w14:val="standardContextual"/>
            </w:rPr>
          </w:pPr>
          <w:hyperlink w:anchor="_Toc235702140" w:history="1">
            <w:r w:rsidRPr="002603E9">
              <w:rPr>
                <w:rStyle w:val="Hiperhivatkozs"/>
                <w:b/>
                <w:bCs/>
              </w:rPr>
              <w:t>5. A MiCA rendelet által meghatározott átmeneti időszak végéből fakadó ML/TF kockázatokról és azok lehetséges kezelési módjairól szóló dokumentum</w:t>
            </w:r>
            <w:r w:rsidR="002603E9">
              <w:rPr>
                <w:b/>
                <w:bCs/>
                <w:webHidden/>
              </w:rPr>
              <w:t>………………………………………………………………………………………………………………………………………….</w:t>
            </w:r>
            <w:r w:rsidRPr="002603E9">
              <w:rPr>
                <w:b/>
                <w:bCs/>
                <w:webHidden/>
              </w:rPr>
              <w:fldChar w:fldCharType="begin"/>
            </w:r>
            <w:r w:rsidRPr="002603E9">
              <w:rPr>
                <w:b/>
                <w:bCs/>
                <w:webHidden/>
              </w:rPr>
              <w:instrText xml:space="preserve"> PAGEREF _Toc235702140 \h </w:instrText>
            </w:r>
            <w:r w:rsidRPr="002603E9">
              <w:rPr>
                <w:b/>
                <w:bCs/>
                <w:webHidden/>
              </w:rPr>
            </w:r>
            <w:r w:rsidRPr="002603E9">
              <w:rPr>
                <w:b/>
                <w:bCs/>
                <w:webHidden/>
              </w:rPr>
              <w:fldChar w:fldCharType="separate"/>
            </w:r>
            <w:r w:rsidRPr="002603E9">
              <w:rPr>
                <w:b/>
                <w:bCs/>
                <w:webHidden/>
              </w:rPr>
              <w:t>10</w:t>
            </w:r>
            <w:r w:rsidRPr="002603E9">
              <w:rPr>
                <w:b/>
                <w:bCs/>
                <w:webHidden/>
              </w:rPr>
              <w:fldChar w:fldCharType="end"/>
            </w:r>
          </w:hyperlink>
        </w:p>
        <w:p w14:paraId="2677EF55" w14:textId="377DAA0D" w:rsidR="00AF0057" w:rsidRPr="002603E9" w:rsidRDefault="00AF0057" w:rsidP="002603E9">
          <w:pPr>
            <w:pStyle w:val="TJ1"/>
            <w:rPr>
              <w:rFonts w:asciiTheme="minorHAnsi" w:hAnsiTheme="minorHAnsi"/>
              <w:b/>
              <w:bCs/>
              <w:kern w:val="2"/>
              <w:sz w:val="24"/>
              <w:szCs w:val="24"/>
              <w14:ligatures w14:val="standardContextual"/>
            </w:rPr>
          </w:pPr>
          <w:hyperlink w:anchor="_Toc235702141" w:history="1">
            <w:r w:rsidRPr="002603E9">
              <w:rPr>
                <w:rStyle w:val="Hiperhivatkozs"/>
                <w:b/>
                <w:bCs/>
              </w:rPr>
              <w:t>6. Konferenciák, jelentések</w:t>
            </w:r>
            <w:r w:rsidR="002603E9">
              <w:rPr>
                <w:b/>
                <w:bCs/>
                <w:webHidden/>
              </w:rPr>
              <w:t>……………………………………………………………………………………………………………………………………………..</w:t>
            </w:r>
            <w:r w:rsidRPr="002603E9">
              <w:rPr>
                <w:b/>
                <w:bCs/>
                <w:webHidden/>
              </w:rPr>
              <w:fldChar w:fldCharType="begin"/>
            </w:r>
            <w:r w:rsidRPr="002603E9">
              <w:rPr>
                <w:b/>
                <w:bCs/>
                <w:webHidden/>
              </w:rPr>
              <w:instrText xml:space="preserve"> PAGEREF _Toc235702141 \h </w:instrText>
            </w:r>
            <w:r w:rsidRPr="002603E9">
              <w:rPr>
                <w:b/>
                <w:bCs/>
                <w:webHidden/>
              </w:rPr>
            </w:r>
            <w:r w:rsidRPr="002603E9">
              <w:rPr>
                <w:b/>
                <w:bCs/>
                <w:webHidden/>
              </w:rPr>
              <w:fldChar w:fldCharType="separate"/>
            </w:r>
            <w:r w:rsidRPr="002603E9">
              <w:rPr>
                <w:b/>
                <w:bCs/>
                <w:webHidden/>
              </w:rPr>
              <w:t>11</w:t>
            </w:r>
            <w:r w:rsidRPr="002603E9">
              <w:rPr>
                <w:b/>
                <w:bCs/>
                <w:webHidden/>
              </w:rPr>
              <w:fldChar w:fldCharType="end"/>
            </w:r>
          </w:hyperlink>
        </w:p>
        <w:p w14:paraId="62254693" w14:textId="420A763B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42" w:history="1">
            <w:r w:rsidRPr="003D2EE2">
              <w:rPr>
                <w:rStyle w:val="Hiperhivatkozs"/>
                <w:noProof/>
              </w:rPr>
              <w:t>6.1. Lezajlott az első AMLA konferencia, ahol a pénzmosás és terrorizmusfinanszírozás elleni fellépés aktuális kérdéseit vitatták meg a résztvevők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1662B" w14:textId="4548DC7C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43" w:history="1">
            <w:r w:rsidRPr="003D2EE2">
              <w:rPr>
                <w:rStyle w:val="Hiperhivatkozs"/>
                <w:noProof/>
              </w:rPr>
              <w:t>6.2. Az AMLA elnöke bemutatta az Európai Parlamentnek az AMLA 2025. évre vonatkozó konszolidált éves jelentését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89679E" w14:textId="73FECE9A" w:rsidR="00AF0057" w:rsidRDefault="00AF0057">
          <w:pPr>
            <w:pStyle w:val="TJ2"/>
            <w:tabs>
              <w:tab w:val="right" w:leader="dot" w:pos="10112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702144" w:history="1">
            <w:r w:rsidRPr="003D2EE2">
              <w:rPr>
                <w:rStyle w:val="Hiperhivatkozs"/>
                <w:noProof/>
              </w:rPr>
              <w:t>6.3. AMLA 2025 Roadshow Report: Az AMLA jelentése a 2025. évi uniós AMLA Roadshow főbb megállapításairól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_Toc235702144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91D19" w14:textId="15593C09" w:rsidR="00AF0057" w:rsidRPr="002603E9" w:rsidRDefault="00AF0057" w:rsidP="002603E9">
          <w:pPr>
            <w:pStyle w:val="TJ1"/>
            <w:rPr>
              <w:rFonts w:asciiTheme="minorHAnsi" w:hAnsiTheme="minorHAnsi"/>
              <w:b/>
              <w:bCs/>
              <w:kern w:val="2"/>
              <w:sz w:val="24"/>
              <w:szCs w:val="24"/>
              <w14:ligatures w14:val="standardContextual"/>
            </w:rPr>
          </w:pPr>
          <w:hyperlink w:anchor="_Toc235702145" w:history="1">
            <w:r w:rsidRPr="002603E9">
              <w:rPr>
                <w:rStyle w:val="Hiperhivatkozs"/>
                <w:b/>
                <w:bCs/>
              </w:rPr>
              <w:t xml:space="preserve">7. Az MNB honlapján elérhető információk </w:t>
            </w:r>
            <w:r w:rsidR="002603E9">
              <w:rPr>
                <w:rStyle w:val="Hiperhivatkozs"/>
                <w:b/>
                <w:bCs/>
              </w:rPr>
              <w:t>–</w:t>
            </w:r>
            <w:r w:rsidRPr="002603E9">
              <w:rPr>
                <w:rStyle w:val="Hiperhivatkozs"/>
                <w:b/>
                <w:bCs/>
              </w:rPr>
              <w:t xml:space="preserve"> AMLA</w:t>
            </w:r>
            <w:r w:rsidR="002603E9">
              <w:rPr>
                <w:rStyle w:val="Hiperhivatkozs"/>
                <w:b/>
                <w:bCs/>
              </w:rPr>
              <w:t>…………………………………………………………………………………………</w:t>
            </w:r>
            <w:r w:rsidRPr="002603E9">
              <w:rPr>
                <w:b/>
                <w:bCs/>
                <w:webHidden/>
              </w:rPr>
              <w:tab/>
            </w:r>
            <w:r w:rsidRPr="002603E9">
              <w:rPr>
                <w:b/>
                <w:bCs/>
                <w:webHidden/>
              </w:rPr>
              <w:fldChar w:fldCharType="begin"/>
            </w:r>
            <w:r w:rsidRPr="002603E9">
              <w:rPr>
                <w:b/>
                <w:bCs/>
                <w:webHidden/>
              </w:rPr>
              <w:instrText xml:space="preserve"> PAGEREF _Toc235702145 \h </w:instrText>
            </w:r>
            <w:r w:rsidRPr="002603E9">
              <w:rPr>
                <w:b/>
                <w:bCs/>
                <w:webHidden/>
              </w:rPr>
            </w:r>
            <w:r w:rsidRPr="002603E9">
              <w:rPr>
                <w:b/>
                <w:bCs/>
                <w:webHidden/>
              </w:rPr>
              <w:fldChar w:fldCharType="separate"/>
            </w:r>
            <w:r w:rsidRPr="002603E9">
              <w:rPr>
                <w:b/>
                <w:bCs/>
                <w:webHidden/>
              </w:rPr>
              <w:t>16</w:t>
            </w:r>
            <w:r w:rsidRPr="002603E9">
              <w:rPr>
                <w:b/>
                <w:bCs/>
                <w:webHidden/>
              </w:rPr>
              <w:fldChar w:fldCharType="end"/>
            </w:r>
          </w:hyperlink>
        </w:p>
        <w:p w14:paraId="7CBE15EE" w14:textId="084DBD4D" w:rsidR="00AF0057" w:rsidRPr="002603E9" w:rsidRDefault="00AF0057" w:rsidP="002603E9">
          <w:pPr>
            <w:pStyle w:val="TJ1"/>
            <w:rPr>
              <w:rFonts w:asciiTheme="minorHAnsi" w:hAnsiTheme="minorHAnsi"/>
              <w:b/>
              <w:bCs/>
              <w:kern w:val="2"/>
              <w:sz w:val="24"/>
              <w:szCs w:val="24"/>
              <w14:ligatures w14:val="standardContextual"/>
            </w:rPr>
          </w:pPr>
          <w:hyperlink w:anchor="_Toc235702146" w:history="1">
            <w:r w:rsidRPr="002603E9">
              <w:rPr>
                <w:rStyle w:val="Hiperhivatkozs"/>
                <w:b/>
                <w:bCs/>
              </w:rPr>
              <w:t>8. Jogszabályok és elérhetőségeik</w:t>
            </w:r>
            <w:r w:rsidR="002603E9">
              <w:rPr>
                <w:rStyle w:val="Hiperhivatkozs"/>
                <w:b/>
                <w:bCs/>
              </w:rPr>
              <w:t>………………………………………………………………………………………………………………</w:t>
            </w:r>
            <w:r w:rsidRPr="002603E9">
              <w:rPr>
                <w:b/>
                <w:bCs/>
                <w:webHidden/>
              </w:rPr>
              <w:tab/>
            </w:r>
            <w:r w:rsidRPr="002603E9">
              <w:rPr>
                <w:b/>
                <w:bCs/>
                <w:webHidden/>
              </w:rPr>
              <w:fldChar w:fldCharType="begin"/>
            </w:r>
            <w:r w:rsidRPr="002603E9">
              <w:rPr>
                <w:b/>
                <w:bCs/>
                <w:webHidden/>
              </w:rPr>
              <w:instrText xml:space="preserve"> PAGEREF _Toc235702146 \h </w:instrText>
            </w:r>
            <w:r w:rsidRPr="002603E9">
              <w:rPr>
                <w:b/>
                <w:bCs/>
                <w:webHidden/>
              </w:rPr>
            </w:r>
            <w:r w:rsidRPr="002603E9">
              <w:rPr>
                <w:b/>
                <w:bCs/>
                <w:webHidden/>
              </w:rPr>
              <w:fldChar w:fldCharType="separate"/>
            </w:r>
            <w:r w:rsidRPr="002603E9">
              <w:rPr>
                <w:b/>
                <w:bCs/>
                <w:webHidden/>
              </w:rPr>
              <w:t>16</w:t>
            </w:r>
            <w:r w:rsidRPr="002603E9">
              <w:rPr>
                <w:b/>
                <w:bCs/>
                <w:webHidden/>
              </w:rPr>
              <w:fldChar w:fldCharType="end"/>
            </w:r>
          </w:hyperlink>
        </w:p>
        <w:p w14:paraId="1955EC4A" w14:textId="235C411A" w:rsidR="00D243CD" w:rsidRDefault="00D243CD">
          <w:r>
            <w:rPr>
              <w:b/>
              <w:bCs/>
            </w:rPr>
            <w:fldChar w:fldCharType="end"/>
          </w:r>
        </w:p>
      </w:sdtContent>
    </w:sdt>
    <w:p w14:paraId="40E94776" w14:textId="77777777" w:rsidR="0081115F" w:rsidRDefault="0081115F" w:rsidP="00800FD8">
      <w:pPr>
        <w:pStyle w:val="HierarchikusLista0"/>
        <w:rPr>
          <w:rFonts w:eastAsia="AGaramondPro-Bold"/>
          <w:b/>
          <w:bCs/>
          <w:sz w:val="22"/>
          <w:szCs w:val="22"/>
        </w:rPr>
      </w:pPr>
    </w:p>
    <w:p w14:paraId="2473B5EA" w14:textId="77777777" w:rsidR="0081115F" w:rsidRDefault="0081115F" w:rsidP="00800FD8">
      <w:pPr>
        <w:pStyle w:val="HierarchikusLista0"/>
        <w:rPr>
          <w:rFonts w:eastAsia="AGaramondPro-Bold"/>
          <w:b/>
          <w:bCs/>
          <w:sz w:val="22"/>
          <w:szCs w:val="22"/>
        </w:rPr>
      </w:pPr>
    </w:p>
    <w:p w14:paraId="2BCED7E8" w14:textId="77777777" w:rsidR="0081115F" w:rsidRDefault="0081115F" w:rsidP="00800FD8">
      <w:pPr>
        <w:pStyle w:val="HierarchikusLista0"/>
        <w:rPr>
          <w:rFonts w:eastAsia="AGaramondPro-Bold"/>
          <w:b/>
          <w:bCs/>
          <w:sz w:val="22"/>
          <w:szCs w:val="22"/>
        </w:rPr>
      </w:pPr>
    </w:p>
    <w:p w14:paraId="14605080" w14:textId="77777777" w:rsidR="0081115F" w:rsidRDefault="0081115F" w:rsidP="00800FD8">
      <w:pPr>
        <w:pStyle w:val="HierarchikusLista0"/>
        <w:rPr>
          <w:rFonts w:eastAsia="AGaramondPro-Bold"/>
          <w:b/>
          <w:bCs/>
          <w:sz w:val="22"/>
          <w:szCs w:val="22"/>
        </w:rPr>
      </w:pPr>
    </w:p>
    <w:p w14:paraId="2AFC752D" w14:textId="1A0DD403" w:rsidR="00D93500" w:rsidRDefault="00800FD8" w:rsidP="00D243CD">
      <w:pPr>
        <w:pStyle w:val="Cmsor1"/>
        <w:rPr>
          <w:rFonts w:eastAsia="AGaramondPro-Bold"/>
        </w:rPr>
      </w:pPr>
      <w:bookmarkStart w:id="1" w:name="_Toc235702125"/>
      <w:r w:rsidRPr="00800FD8">
        <w:rPr>
          <w:rFonts w:eastAsia="AGaramondPro-Bold"/>
        </w:rPr>
        <w:lastRenderedPageBreak/>
        <w:t>Bevezető</w:t>
      </w:r>
      <w:bookmarkEnd w:id="1"/>
    </w:p>
    <w:p w14:paraId="714C0871" w14:textId="77777777" w:rsidR="00974738" w:rsidRDefault="00800FD8" w:rsidP="00800FD8">
      <w:pPr>
        <w:pStyle w:val="HierarchikusLista0"/>
        <w:rPr>
          <w:rFonts w:eastAsia="AGaramondPro-Bold"/>
          <w:sz w:val="22"/>
          <w:szCs w:val="22"/>
        </w:rPr>
      </w:pPr>
      <w:r w:rsidRPr="00800FD8">
        <w:rPr>
          <w:rFonts w:eastAsia="AGaramondPro-Bold"/>
          <w:sz w:val="22"/>
          <w:szCs w:val="22"/>
        </w:rPr>
        <w:t>A pénzmosás és terrorizmusfinanszírozás elleni uniós keret megerősítését szolgáló új és átfogó jellegű pénzmosás elleni jogszabálycsomagot alkotó rendeleteket és irányelvet 2024. június 19-én tették közzé az EU Hivatalos Lapjában</w:t>
      </w:r>
      <w:r>
        <w:rPr>
          <w:rFonts w:eastAsia="AGaramondPro-Bold"/>
          <w:sz w:val="22"/>
          <w:szCs w:val="22"/>
        </w:rPr>
        <w:t xml:space="preserve">, melynek egyik eleme a </w:t>
      </w:r>
      <w:r w:rsidRPr="00800FD8">
        <w:rPr>
          <w:rFonts w:eastAsia="AGaramondPro-Bold"/>
          <w:sz w:val="22"/>
          <w:szCs w:val="22"/>
        </w:rPr>
        <w:t>Pénzmosás és Terrorizmusfinanszírozás Elleni Hatóság létrehozásáról</w:t>
      </w:r>
      <w:r>
        <w:rPr>
          <w:rFonts w:eastAsia="AGaramondPro-Bold"/>
          <w:sz w:val="22"/>
          <w:szCs w:val="22"/>
        </w:rPr>
        <w:t xml:space="preserve"> szóló rendelet. Ez alapján jö</w:t>
      </w:r>
      <w:r w:rsidR="001B01ED">
        <w:rPr>
          <w:rFonts w:eastAsia="AGaramondPro-Bold"/>
          <w:sz w:val="22"/>
          <w:szCs w:val="22"/>
        </w:rPr>
        <w:t>tt</w:t>
      </w:r>
      <w:r>
        <w:rPr>
          <w:rFonts w:eastAsia="AGaramondPro-Bold"/>
          <w:sz w:val="22"/>
          <w:szCs w:val="22"/>
        </w:rPr>
        <w:t xml:space="preserve"> létre </w:t>
      </w:r>
      <w:r w:rsidRPr="00800FD8">
        <w:rPr>
          <w:rFonts w:eastAsia="AGaramondPro-Bold"/>
          <w:sz w:val="22"/>
          <w:szCs w:val="22"/>
        </w:rPr>
        <w:t xml:space="preserve">a frankfurti székhelyű, Pénzmosás és Terrorizmusfinanszírozás Elleni Hatóság </w:t>
      </w:r>
      <w:r w:rsidRPr="006F4481">
        <w:rPr>
          <w:rFonts w:eastAsia="AGaramondPro-Bold"/>
          <w:i/>
          <w:iCs/>
          <w:sz w:val="22"/>
          <w:szCs w:val="22"/>
        </w:rPr>
        <w:t>(</w:t>
      </w:r>
      <w:proofErr w:type="spellStart"/>
      <w:r w:rsidRPr="006F4481">
        <w:rPr>
          <w:rFonts w:eastAsia="AGaramondPro-Bold"/>
          <w:i/>
          <w:iCs/>
          <w:sz w:val="22"/>
          <w:szCs w:val="22"/>
        </w:rPr>
        <w:t>Authority</w:t>
      </w:r>
      <w:proofErr w:type="spellEnd"/>
      <w:r w:rsidRPr="006F4481">
        <w:rPr>
          <w:rFonts w:eastAsia="AGaramondPro-Bold"/>
          <w:i/>
          <w:iCs/>
          <w:sz w:val="22"/>
          <w:szCs w:val="22"/>
        </w:rPr>
        <w:t xml:space="preserve"> </w:t>
      </w:r>
      <w:proofErr w:type="spellStart"/>
      <w:r w:rsidRPr="006F4481">
        <w:rPr>
          <w:rFonts w:eastAsia="AGaramondPro-Bold"/>
          <w:i/>
          <w:iCs/>
          <w:sz w:val="22"/>
          <w:szCs w:val="22"/>
        </w:rPr>
        <w:t>for</w:t>
      </w:r>
      <w:proofErr w:type="spellEnd"/>
      <w:r w:rsidRPr="006F4481">
        <w:rPr>
          <w:rFonts w:eastAsia="AGaramondPro-Bold"/>
          <w:i/>
          <w:iCs/>
          <w:sz w:val="22"/>
          <w:szCs w:val="22"/>
        </w:rPr>
        <w:t xml:space="preserve"> Anti-Money </w:t>
      </w:r>
      <w:proofErr w:type="spellStart"/>
      <w:r w:rsidRPr="006F4481">
        <w:rPr>
          <w:rFonts w:eastAsia="AGaramondPro-Bold"/>
          <w:i/>
          <w:iCs/>
          <w:sz w:val="22"/>
          <w:szCs w:val="22"/>
        </w:rPr>
        <w:t>Laundering</w:t>
      </w:r>
      <w:proofErr w:type="spellEnd"/>
      <w:r w:rsidRPr="006F4481">
        <w:rPr>
          <w:rFonts w:eastAsia="AGaramondPro-Bold"/>
          <w:i/>
          <w:iCs/>
          <w:sz w:val="22"/>
          <w:szCs w:val="22"/>
        </w:rPr>
        <w:t xml:space="preserve"> and </w:t>
      </w:r>
      <w:proofErr w:type="spellStart"/>
      <w:r w:rsidRPr="006F4481">
        <w:rPr>
          <w:rFonts w:eastAsia="AGaramondPro-Bold"/>
          <w:i/>
          <w:iCs/>
          <w:sz w:val="22"/>
          <w:szCs w:val="22"/>
        </w:rPr>
        <w:t>Countering</w:t>
      </w:r>
      <w:proofErr w:type="spellEnd"/>
      <w:r w:rsidRPr="006F4481">
        <w:rPr>
          <w:rFonts w:eastAsia="AGaramondPro-Bold"/>
          <w:i/>
          <w:iCs/>
          <w:sz w:val="22"/>
          <w:szCs w:val="22"/>
        </w:rPr>
        <w:t xml:space="preserve"> </w:t>
      </w:r>
      <w:proofErr w:type="spellStart"/>
      <w:r w:rsidRPr="006F4481">
        <w:rPr>
          <w:rFonts w:eastAsia="AGaramondPro-Bold"/>
          <w:i/>
          <w:iCs/>
          <w:sz w:val="22"/>
          <w:szCs w:val="22"/>
        </w:rPr>
        <w:t>the</w:t>
      </w:r>
      <w:proofErr w:type="spellEnd"/>
      <w:r w:rsidRPr="006F4481">
        <w:rPr>
          <w:rFonts w:eastAsia="AGaramondPro-Bold"/>
          <w:i/>
          <w:iCs/>
          <w:sz w:val="22"/>
          <w:szCs w:val="22"/>
        </w:rPr>
        <w:t xml:space="preserve"> </w:t>
      </w:r>
      <w:proofErr w:type="spellStart"/>
      <w:r w:rsidRPr="006F4481">
        <w:rPr>
          <w:rFonts w:eastAsia="AGaramondPro-Bold"/>
          <w:i/>
          <w:iCs/>
          <w:sz w:val="22"/>
          <w:szCs w:val="22"/>
        </w:rPr>
        <w:t>Financing</w:t>
      </w:r>
      <w:proofErr w:type="spellEnd"/>
      <w:r w:rsidRPr="006F4481">
        <w:rPr>
          <w:rFonts w:eastAsia="AGaramondPro-Bold"/>
          <w:i/>
          <w:iCs/>
          <w:sz w:val="22"/>
          <w:szCs w:val="22"/>
        </w:rPr>
        <w:t xml:space="preserve"> of </w:t>
      </w:r>
      <w:proofErr w:type="spellStart"/>
      <w:r w:rsidRPr="006F4481">
        <w:rPr>
          <w:rFonts w:eastAsia="AGaramondPro-Bold"/>
          <w:i/>
          <w:iCs/>
          <w:sz w:val="22"/>
          <w:szCs w:val="22"/>
        </w:rPr>
        <w:t>Terrorism</w:t>
      </w:r>
      <w:proofErr w:type="spellEnd"/>
      <w:r w:rsidRPr="006F4481">
        <w:rPr>
          <w:rFonts w:eastAsia="AGaramondPro-Bold"/>
          <w:i/>
          <w:iCs/>
          <w:sz w:val="22"/>
          <w:szCs w:val="22"/>
        </w:rPr>
        <w:t>/AMLA)</w:t>
      </w:r>
      <w:r w:rsidRPr="00800FD8">
        <w:rPr>
          <w:rFonts w:eastAsia="AGaramondPro-Bold"/>
          <w:sz w:val="22"/>
          <w:szCs w:val="22"/>
        </w:rPr>
        <w:t xml:space="preserve">, melynek két fő tevékenységi fókusza az európai szintű (közvetlen és közvetett) felügyelés, valamint a pénzügyi információs egységek </w:t>
      </w:r>
      <w:r w:rsidRPr="006F4481">
        <w:rPr>
          <w:rFonts w:eastAsia="AGaramondPro-Bold"/>
          <w:i/>
          <w:iCs/>
          <w:sz w:val="22"/>
          <w:szCs w:val="22"/>
        </w:rPr>
        <w:t xml:space="preserve">(Financial </w:t>
      </w:r>
      <w:proofErr w:type="spellStart"/>
      <w:r w:rsidRPr="006F4481">
        <w:rPr>
          <w:rFonts w:eastAsia="AGaramondPro-Bold"/>
          <w:i/>
          <w:iCs/>
          <w:sz w:val="22"/>
          <w:szCs w:val="22"/>
        </w:rPr>
        <w:t>Intelligence</w:t>
      </w:r>
      <w:proofErr w:type="spellEnd"/>
      <w:r w:rsidRPr="006F4481">
        <w:rPr>
          <w:rFonts w:eastAsia="AGaramondPro-Bold"/>
          <w:i/>
          <w:iCs/>
          <w:sz w:val="22"/>
          <w:szCs w:val="22"/>
        </w:rPr>
        <w:t xml:space="preserve"> </w:t>
      </w:r>
      <w:proofErr w:type="spellStart"/>
      <w:r w:rsidRPr="006F4481">
        <w:rPr>
          <w:rFonts w:eastAsia="AGaramondPro-Bold"/>
          <w:i/>
          <w:iCs/>
          <w:sz w:val="22"/>
          <w:szCs w:val="22"/>
        </w:rPr>
        <w:t>Units</w:t>
      </w:r>
      <w:proofErr w:type="spellEnd"/>
      <w:r w:rsidRPr="006F4481">
        <w:rPr>
          <w:rFonts w:eastAsia="AGaramondPro-Bold"/>
          <w:i/>
          <w:iCs/>
          <w:sz w:val="22"/>
          <w:szCs w:val="22"/>
        </w:rPr>
        <w:t>)</w:t>
      </w:r>
      <w:r w:rsidRPr="00800FD8">
        <w:rPr>
          <w:rFonts w:eastAsia="AGaramondPro-Bold"/>
          <w:sz w:val="22"/>
          <w:szCs w:val="22"/>
        </w:rPr>
        <w:t xml:space="preserve"> tevékenységének koordinációja, </w:t>
      </w:r>
      <w:r>
        <w:rPr>
          <w:rFonts w:eastAsia="AGaramondPro-Bold"/>
          <w:sz w:val="22"/>
          <w:szCs w:val="22"/>
        </w:rPr>
        <w:t xml:space="preserve">illetve </w:t>
      </w:r>
      <w:r w:rsidRPr="00800FD8">
        <w:rPr>
          <w:rFonts w:eastAsia="AGaramondPro-Bold"/>
          <w:sz w:val="22"/>
          <w:szCs w:val="22"/>
        </w:rPr>
        <w:t>támogatása.</w:t>
      </w:r>
      <w:r>
        <w:rPr>
          <w:rFonts w:eastAsia="AGaramondPro-Bold"/>
          <w:sz w:val="22"/>
          <w:szCs w:val="22"/>
        </w:rPr>
        <w:t xml:space="preserve"> </w:t>
      </w:r>
    </w:p>
    <w:p w14:paraId="737DFC34" w14:textId="77777777" w:rsidR="00974738" w:rsidRDefault="00974738" w:rsidP="00800FD8">
      <w:pPr>
        <w:pStyle w:val="HierarchikusLista0"/>
        <w:rPr>
          <w:rFonts w:eastAsia="AGaramondPro-Bold"/>
          <w:sz w:val="22"/>
          <w:szCs w:val="22"/>
        </w:rPr>
      </w:pPr>
    </w:p>
    <w:p w14:paraId="219EAEA7" w14:textId="226783EF" w:rsidR="00974738" w:rsidRDefault="00974738" w:rsidP="00800FD8">
      <w:pPr>
        <w:pStyle w:val="HierarchikusLista0"/>
        <w:rPr>
          <w:rFonts w:eastAsia="AGaramondPro-Bold"/>
          <w:sz w:val="22"/>
          <w:szCs w:val="22"/>
        </w:rPr>
      </w:pPr>
      <w:r w:rsidRPr="00974738">
        <w:rPr>
          <w:rFonts w:eastAsia="AGaramondPro-Bold"/>
          <w:sz w:val="22"/>
          <w:szCs w:val="22"/>
        </w:rPr>
        <w:t>Az új pénzmosási rendeletet (</w:t>
      </w:r>
      <w:proofErr w:type="spellStart"/>
      <w:r w:rsidRPr="00974738">
        <w:rPr>
          <w:rFonts w:eastAsia="AGaramondPro-Bold"/>
          <w:sz w:val="22"/>
          <w:szCs w:val="22"/>
        </w:rPr>
        <w:t>AMLR</w:t>
      </w:r>
      <w:proofErr w:type="spellEnd"/>
      <w:r w:rsidRPr="00974738">
        <w:rPr>
          <w:rFonts w:eastAsia="AGaramondPro-Bold"/>
          <w:sz w:val="22"/>
          <w:szCs w:val="22"/>
        </w:rPr>
        <w:t>) főszabályként 2027. július 10-től kell alkalmazni és az új pénzmosási irányelv (</w:t>
      </w:r>
      <w:proofErr w:type="spellStart"/>
      <w:r w:rsidRPr="00974738">
        <w:rPr>
          <w:rFonts w:eastAsia="AGaramondPro-Bold"/>
          <w:sz w:val="22"/>
          <w:szCs w:val="22"/>
        </w:rPr>
        <w:t>AMLD</w:t>
      </w:r>
      <w:proofErr w:type="spellEnd"/>
      <w:r w:rsidRPr="00974738">
        <w:rPr>
          <w:rFonts w:eastAsia="AGaramondPro-Bold"/>
          <w:sz w:val="22"/>
          <w:szCs w:val="22"/>
        </w:rPr>
        <w:t xml:space="preserve"> VI) rendelkezéseit a tagállamoknak szintén 2027. július 10-ig szükséges átültetni a nemzeti jogrendjükbe. Ezeket számos másodszintű jogszabály és iránymutatás egészíti ki, aminek többségét az AMLA készíti el. Emellett a kiválasztott kötelezett szolgáltatók AMLA általi közvetlen felügyelete 2028-ban kezdődik, ami szintén hosszú és alapos előkészítő munkát igényel. Mindez rámutat arra, hogy</w:t>
      </w:r>
      <w:r>
        <w:rPr>
          <w:rFonts w:eastAsia="AGaramondPro-Bold"/>
          <w:sz w:val="22"/>
          <w:szCs w:val="22"/>
        </w:rPr>
        <w:t xml:space="preserve"> az AMLA</w:t>
      </w:r>
      <w:r w:rsidRPr="00974738">
        <w:rPr>
          <w:rFonts w:eastAsia="AGaramondPro-Bold"/>
          <w:sz w:val="22"/>
          <w:szCs w:val="22"/>
        </w:rPr>
        <w:t xml:space="preserve"> milyen jelentőségű és volumenű munkát végez jelenleg, illetve fog végezni a jövőben, aminek nemcsak a </w:t>
      </w:r>
      <w:proofErr w:type="spellStart"/>
      <w:r w:rsidRPr="00974738">
        <w:rPr>
          <w:rFonts w:eastAsia="AGaramondPro-Bold"/>
          <w:sz w:val="22"/>
          <w:szCs w:val="22"/>
        </w:rPr>
        <w:t>nyomonkövetése</w:t>
      </w:r>
      <w:proofErr w:type="spellEnd"/>
      <w:r w:rsidRPr="00974738">
        <w:rPr>
          <w:rFonts w:eastAsia="AGaramondPro-Bold"/>
          <w:sz w:val="22"/>
          <w:szCs w:val="22"/>
        </w:rPr>
        <w:t>, hanem az abban való aktív részvétel is kiemelt jelentőségű, nemcsak a felügyeleti hatóságok, hanem minden érintett számára.</w:t>
      </w:r>
      <w:r>
        <w:rPr>
          <w:rFonts w:eastAsia="AGaramondPro-Bold"/>
          <w:sz w:val="22"/>
          <w:szCs w:val="22"/>
        </w:rPr>
        <w:t xml:space="preserve"> E</w:t>
      </w:r>
      <w:r w:rsidR="00D44361">
        <w:rPr>
          <w:rFonts w:eastAsia="AGaramondPro-Bold"/>
          <w:sz w:val="22"/>
          <w:szCs w:val="22"/>
        </w:rPr>
        <w:t xml:space="preserve"> folyamatok támogatására</w:t>
      </w:r>
      <w:r>
        <w:rPr>
          <w:rFonts w:eastAsia="AGaramondPro-Bold"/>
          <w:sz w:val="22"/>
          <w:szCs w:val="22"/>
        </w:rPr>
        <w:t xml:space="preserve"> </w:t>
      </w:r>
      <w:r w:rsidRPr="00AF0057">
        <w:rPr>
          <w:rFonts w:eastAsia="AGaramondPro-Bold"/>
          <w:b/>
          <w:bCs/>
          <w:sz w:val="22"/>
          <w:szCs w:val="22"/>
        </w:rPr>
        <w:t>az MNB 2026. márciusban tette közzé az első AMLA Hírlevelet</w:t>
      </w:r>
      <w:r>
        <w:rPr>
          <w:rFonts w:eastAsia="AGaramondPro-Bold"/>
          <w:sz w:val="22"/>
          <w:szCs w:val="22"/>
        </w:rPr>
        <w:t xml:space="preserve">, melyben kiemelt szerepet kaptak a </w:t>
      </w:r>
      <w:r w:rsidRPr="00974738">
        <w:rPr>
          <w:rFonts w:eastAsia="AGaramondPro-Bold"/>
          <w:sz w:val="22"/>
          <w:szCs w:val="22"/>
        </w:rPr>
        <w:t>másodszintű jogszabályok és iránymutatások</w:t>
      </w:r>
      <w:r>
        <w:rPr>
          <w:rFonts w:eastAsia="AGaramondPro-Bold"/>
          <w:sz w:val="22"/>
          <w:szCs w:val="22"/>
        </w:rPr>
        <w:t xml:space="preserve"> kialakításával kapcsolatos folyamatok, a nyilvános szakmai konzultációk és ütem</w:t>
      </w:r>
      <w:r w:rsidR="00D44361">
        <w:rPr>
          <w:rFonts w:eastAsia="AGaramondPro-Bold"/>
          <w:sz w:val="22"/>
          <w:szCs w:val="22"/>
        </w:rPr>
        <w:t>tervek</w:t>
      </w:r>
      <w:r>
        <w:rPr>
          <w:rFonts w:eastAsia="AGaramondPro-Bold"/>
          <w:sz w:val="22"/>
          <w:szCs w:val="22"/>
        </w:rPr>
        <w:t xml:space="preserve">. Az </w:t>
      </w:r>
      <w:r w:rsidRPr="00AF0057">
        <w:rPr>
          <w:rFonts w:eastAsia="AGaramondPro-Bold"/>
          <w:b/>
          <w:bCs/>
          <w:sz w:val="22"/>
          <w:szCs w:val="22"/>
        </w:rPr>
        <w:t xml:space="preserve">AMLA Hírlevél </w:t>
      </w:r>
      <w:r w:rsidR="00D44361" w:rsidRPr="00AF0057">
        <w:rPr>
          <w:rFonts w:eastAsia="AGaramondPro-Bold"/>
          <w:b/>
          <w:bCs/>
          <w:sz w:val="22"/>
          <w:szCs w:val="22"/>
        </w:rPr>
        <w:t>célja</w:t>
      </w:r>
      <w:r w:rsidR="00D44361">
        <w:rPr>
          <w:rFonts w:eastAsia="AGaramondPro-Bold"/>
          <w:sz w:val="22"/>
          <w:szCs w:val="22"/>
        </w:rPr>
        <w:t xml:space="preserve">, hogy továbbra is, </w:t>
      </w:r>
      <w:r w:rsidRPr="00974738">
        <w:rPr>
          <w:rFonts w:eastAsia="AGaramondPro-Bold"/>
          <w:sz w:val="22"/>
          <w:szCs w:val="22"/>
        </w:rPr>
        <w:t>rendszeres jelleggel összefoglalja az</w:t>
      </w:r>
      <w:r>
        <w:rPr>
          <w:rFonts w:eastAsia="AGaramondPro-Bold"/>
          <w:sz w:val="22"/>
          <w:szCs w:val="22"/>
        </w:rPr>
        <w:t xml:space="preserve"> AMLA tevékenységével kapcsolatos, előző Hírlevél közzétételét követő</w:t>
      </w:r>
      <w:r w:rsidRPr="00974738">
        <w:rPr>
          <w:rFonts w:eastAsia="AGaramondPro-Bold"/>
          <w:sz w:val="22"/>
          <w:szCs w:val="22"/>
        </w:rPr>
        <w:t xml:space="preserve"> időszak</w:t>
      </w:r>
      <w:r>
        <w:rPr>
          <w:rFonts w:eastAsia="AGaramondPro-Bold"/>
          <w:sz w:val="22"/>
          <w:szCs w:val="22"/>
        </w:rPr>
        <w:t>ban megjelent</w:t>
      </w:r>
      <w:r w:rsidRPr="00974738">
        <w:rPr>
          <w:rFonts w:eastAsia="AGaramondPro-Bold"/>
          <w:sz w:val="22"/>
          <w:szCs w:val="22"/>
        </w:rPr>
        <w:t xml:space="preserve"> főbb híre</w:t>
      </w:r>
      <w:r>
        <w:rPr>
          <w:rFonts w:eastAsia="AGaramondPro-Bold"/>
          <w:sz w:val="22"/>
          <w:szCs w:val="22"/>
        </w:rPr>
        <w:t xml:space="preserve">ket, eseményeket, azon belül egyes témákat részletesebben is ismertetve. </w:t>
      </w:r>
    </w:p>
    <w:p w14:paraId="7118F9F8" w14:textId="77777777" w:rsidR="00974738" w:rsidRDefault="00974738" w:rsidP="00800FD8">
      <w:pPr>
        <w:pStyle w:val="HierarchikusLista0"/>
        <w:rPr>
          <w:rFonts w:eastAsia="AGaramondPro-Bold"/>
          <w:sz w:val="22"/>
          <w:szCs w:val="22"/>
        </w:rPr>
      </w:pPr>
    </w:p>
    <w:p w14:paraId="7D4A610A" w14:textId="69D21C6E" w:rsidR="009F4BED" w:rsidRDefault="00963000" w:rsidP="003C1A2E">
      <w:pPr>
        <w:pStyle w:val="HierarchikusLista0"/>
        <w:rPr>
          <w:rFonts w:eastAsia="AGaramondPro-Bold"/>
          <w:sz w:val="22"/>
          <w:szCs w:val="22"/>
        </w:rPr>
      </w:pPr>
      <w:r>
        <w:rPr>
          <w:rFonts w:eastAsia="AGaramondPro-Bold"/>
          <w:sz w:val="22"/>
          <w:szCs w:val="22"/>
        </w:rPr>
        <w:t xml:space="preserve">Az elmúlt hónapokban számos másod-és harmadszintű szabályozási dokumentum tervezete és azokkal kapcsolatos részletek váltak nyilvánosan elérhetővé, akár szakmai konzultáció, nyilvános meghallgatás vagy végső jelentés keretében. Ezek megismerésének és a szakmai konzultációkba történő bekapcsolódásnak a jelentőségét az AMLA is folyamatosan hangsúlyozza. Az </w:t>
      </w:r>
      <w:r w:rsidRPr="009D04B8">
        <w:rPr>
          <w:rFonts w:eastAsia="AGaramondPro-Bold"/>
          <w:b/>
          <w:bCs/>
          <w:sz w:val="22"/>
          <w:szCs w:val="22"/>
        </w:rPr>
        <w:t>AMLA Hírlevél 2. számában</w:t>
      </w:r>
      <w:r>
        <w:rPr>
          <w:rFonts w:eastAsia="AGaramondPro-Bold"/>
          <w:sz w:val="22"/>
          <w:szCs w:val="22"/>
        </w:rPr>
        <w:t xml:space="preserve"> az ezekkel kapcsolatos információk strukt</w:t>
      </w:r>
      <w:r w:rsidR="00536605">
        <w:rPr>
          <w:rFonts w:eastAsia="AGaramondPro-Bold"/>
          <w:sz w:val="22"/>
          <w:szCs w:val="22"/>
        </w:rPr>
        <w:t>u</w:t>
      </w:r>
      <w:r>
        <w:rPr>
          <w:rFonts w:eastAsia="AGaramondPro-Bold"/>
          <w:sz w:val="22"/>
          <w:szCs w:val="22"/>
        </w:rPr>
        <w:t xml:space="preserve">rált formában, összegző jelleggel szerepelnek, megjelenítve a tervezetek státuszát és a nyilvános konzultációk, illetve </w:t>
      </w:r>
      <w:r w:rsidR="0076506B">
        <w:rPr>
          <w:rFonts w:eastAsia="AGaramondPro-Bold"/>
          <w:sz w:val="22"/>
          <w:szCs w:val="22"/>
        </w:rPr>
        <w:t xml:space="preserve">- </w:t>
      </w:r>
      <w:r>
        <w:rPr>
          <w:rFonts w:eastAsia="AGaramondPro-Bold"/>
          <w:sz w:val="22"/>
          <w:szCs w:val="22"/>
        </w:rPr>
        <w:t xml:space="preserve">azok elérhetősége esetén </w:t>
      </w:r>
      <w:r w:rsidR="0076506B">
        <w:rPr>
          <w:rFonts w:eastAsia="AGaramondPro-Bold"/>
          <w:sz w:val="22"/>
          <w:szCs w:val="22"/>
        </w:rPr>
        <w:t xml:space="preserve">- </w:t>
      </w:r>
      <w:r>
        <w:rPr>
          <w:rFonts w:eastAsia="AGaramondPro-Bold"/>
          <w:sz w:val="22"/>
          <w:szCs w:val="22"/>
        </w:rPr>
        <w:t xml:space="preserve">a nyilvános meghallgatások prezentációit. </w:t>
      </w:r>
      <w:r w:rsidR="003C1A2E">
        <w:rPr>
          <w:rFonts w:eastAsia="AGaramondPro-Bold"/>
          <w:sz w:val="22"/>
          <w:szCs w:val="22"/>
        </w:rPr>
        <w:t>Kiemelendő, hogy három témakörben a tervezetek már végső jelentés</w:t>
      </w:r>
      <w:r w:rsidR="00495F81">
        <w:rPr>
          <w:rFonts w:eastAsia="AGaramondPro-Bold"/>
          <w:sz w:val="22"/>
          <w:szCs w:val="22"/>
        </w:rPr>
        <w:t xml:space="preserve"> formáját öltik</w:t>
      </w:r>
      <w:r w:rsidR="003C1A2E">
        <w:rPr>
          <w:rFonts w:eastAsia="AGaramondPro-Bold"/>
          <w:sz w:val="22"/>
          <w:szCs w:val="22"/>
        </w:rPr>
        <w:t xml:space="preserve">, vagyis benyújtásra kerülnek az Európai Bizottság részére elfogadás céljából. Ezek közé tartoznak a </w:t>
      </w:r>
      <w:r w:rsidR="003C1A2E" w:rsidRPr="003C1A2E">
        <w:rPr>
          <w:rFonts w:eastAsia="AGaramondPro-Bold"/>
          <w:sz w:val="22"/>
          <w:szCs w:val="22"/>
        </w:rPr>
        <w:t>közvetlen felügyeléssel kapcsolatos felügyeleti együttműködésről</w:t>
      </w:r>
      <w:r w:rsidR="003C1A2E">
        <w:rPr>
          <w:rFonts w:eastAsia="AGaramondPro-Bold"/>
          <w:sz w:val="22"/>
          <w:szCs w:val="22"/>
        </w:rPr>
        <w:t xml:space="preserve">, a </w:t>
      </w:r>
      <w:r w:rsidR="003C1A2E" w:rsidRPr="003C1A2E">
        <w:rPr>
          <w:rFonts w:eastAsia="AGaramondPro-Bold"/>
          <w:sz w:val="22"/>
          <w:szCs w:val="22"/>
        </w:rPr>
        <w:t>jogsértések súlyosságának értékeléséről, valamint a pénzbeli szankciók és felügyeleti intézkedések alkalmazásánál figyelembe veendő kritériumokról</w:t>
      </w:r>
      <w:r w:rsidR="003C1A2E">
        <w:rPr>
          <w:rFonts w:eastAsia="AGaramondPro-Bold"/>
          <w:sz w:val="22"/>
          <w:szCs w:val="22"/>
        </w:rPr>
        <w:t xml:space="preserve">, továbbá az </w:t>
      </w:r>
      <w:proofErr w:type="spellStart"/>
      <w:r w:rsidR="003C1A2E">
        <w:rPr>
          <w:rFonts w:eastAsia="AGaramondPro-Bold"/>
          <w:sz w:val="22"/>
          <w:szCs w:val="22"/>
        </w:rPr>
        <w:t>FIU</w:t>
      </w:r>
      <w:proofErr w:type="spellEnd"/>
      <w:r w:rsidR="003C1A2E">
        <w:rPr>
          <w:rFonts w:eastAsia="AGaramondPro-Bold"/>
          <w:sz w:val="22"/>
          <w:szCs w:val="22"/>
        </w:rPr>
        <w:t xml:space="preserve">-k </w:t>
      </w:r>
      <w:r w:rsidR="003C1A2E" w:rsidRPr="003C1A2E">
        <w:rPr>
          <w:rFonts w:eastAsia="AGaramondPro-Bold"/>
          <w:sz w:val="22"/>
          <w:szCs w:val="22"/>
        </w:rPr>
        <w:t>közötti együttműködés és az Európai Ügyészség (</w:t>
      </w:r>
      <w:proofErr w:type="spellStart"/>
      <w:r w:rsidR="003C1A2E" w:rsidRPr="003C1A2E">
        <w:rPr>
          <w:rFonts w:eastAsia="AGaramondPro-Bold"/>
          <w:sz w:val="22"/>
          <w:szCs w:val="22"/>
        </w:rPr>
        <w:t>EPPO</w:t>
      </w:r>
      <w:proofErr w:type="spellEnd"/>
      <w:r w:rsidR="003C1A2E" w:rsidRPr="003C1A2E">
        <w:rPr>
          <w:rFonts w:eastAsia="AGaramondPro-Bold"/>
          <w:sz w:val="22"/>
          <w:szCs w:val="22"/>
        </w:rPr>
        <w:t>) részére történő jelentés közös formátumai</w:t>
      </w:r>
      <w:r w:rsidR="003C1A2E">
        <w:rPr>
          <w:rFonts w:eastAsia="AGaramondPro-Bold"/>
          <w:sz w:val="22"/>
          <w:szCs w:val="22"/>
        </w:rPr>
        <w:t xml:space="preserve">ról szóló tervezetek. </w:t>
      </w:r>
    </w:p>
    <w:p w14:paraId="368F95C5" w14:textId="77777777" w:rsidR="003C1A2E" w:rsidRDefault="003C1A2E" w:rsidP="003C1A2E">
      <w:pPr>
        <w:pStyle w:val="HierarchikusLista0"/>
        <w:rPr>
          <w:rFonts w:eastAsia="AGaramondPro-Bold"/>
          <w:sz w:val="22"/>
          <w:szCs w:val="22"/>
        </w:rPr>
      </w:pPr>
    </w:p>
    <w:p w14:paraId="437DC84D" w14:textId="0DE23DC3" w:rsidR="003C1A2E" w:rsidRDefault="003C1A2E" w:rsidP="003C1A2E">
      <w:pPr>
        <w:pStyle w:val="HierarchikusLista0"/>
        <w:rPr>
          <w:rFonts w:eastAsia="AGaramondPro-Bold"/>
          <w:sz w:val="22"/>
          <w:szCs w:val="22"/>
        </w:rPr>
      </w:pPr>
      <w:r>
        <w:rPr>
          <w:rFonts w:eastAsia="AGaramondPro-Bold"/>
          <w:sz w:val="22"/>
          <w:szCs w:val="22"/>
        </w:rPr>
        <w:t xml:space="preserve">Ezeken kívül, az AMLA Hírlevél 2. száma is felhívja a figyelmet arra, hogy sikeresen lezajlott az első, AMLA által szervezett konferencia Frankfurtban, </w:t>
      </w:r>
      <w:r w:rsidRPr="003C1A2E">
        <w:rPr>
          <w:rFonts w:eastAsia="AGaramondPro-Bold"/>
          <w:sz w:val="22"/>
          <w:szCs w:val="22"/>
        </w:rPr>
        <w:t>ahol a pénzmosás és terrorizmusfinanszírozás elleni fellépés aktuális kérdéseit vitatták meg a résztvevők</w:t>
      </w:r>
      <w:r>
        <w:rPr>
          <w:rFonts w:eastAsia="AGaramondPro-Bold"/>
          <w:sz w:val="22"/>
          <w:szCs w:val="22"/>
        </w:rPr>
        <w:t>. Emellett két jelentést is nyilvánosságra hoztak, egyrészt a tavalyi uniós AMLA Roadshow főbb megállapításairól, másrészt a tavalyi évben elért főbb eredményekről</w:t>
      </w:r>
      <w:r w:rsidR="009045A3">
        <w:rPr>
          <w:rFonts w:eastAsia="AGaramondPro-Bold"/>
          <w:sz w:val="22"/>
          <w:szCs w:val="22"/>
        </w:rPr>
        <w:t>, mely</w:t>
      </w:r>
      <w:r w:rsidR="00495F81">
        <w:rPr>
          <w:rFonts w:eastAsia="AGaramondPro-Bold"/>
          <w:sz w:val="22"/>
          <w:szCs w:val="22"/>
        </w:rPr>
        <w:t>ek</w:t>
      </w:r>
      <w:r w:rsidR="009045A3">
        <w:rPr>
          <w:rFonts w:eastAsia="AGaramondPro-Bold"/>
          <w:sz w:val="22"/>
          <w:szCs w:val="22"/>
        </w:rPr>
        <w:t xml:space="preserve"> számos hasznos és érdekes részletet tartalmaznak minden érintett és érdeklődő számára. </w:t>
      </w:r>
    </w:p>
    <w:p w14:paraId="13A6F64B" w14:textId="10193B93" w:rsidR="00094AF2" w:rsidRDefault="00094AF2" w:rsidP="00800FD8">
      <w:pPr>
        <w:pStyle w:val="HierarchikusLista0"/>
        <w:rPr>
          <w:rFonts w:eastAsia="AGaramondPro-Bold"/>
          <w:sz w:val="22"/>
          <w:szCs w:val="22"/>
        </w:rPr>
      </w:pPr>
    </w:p>
    <w:p w14:paraId="2910B116" w14:textId="77777777" w:rsidR="00F9323C" w:rsidRPr="00800FD8" w:rsidRDefault="00F9323C" w:rsidP="00800FD8">
      <w:pPr>
        <w:pStyle w:val="HierarchikusLista0"/>
        <w:rPr>
          <w:rFonts w:eastAsia="AGaramondPro-Bold"/>
          <w:sz w:val="22"/>
          <w:szCs w:val="22"/>
        </w:rPr>
      </w:pPr>
    </w:p>
    <w:p w14:paraId="7CFFC8B1" w14:textId="6B46819B" w:rsidR="00D237BD" w:rsidRPr="00532C7B" w:rsidRDefault="00D237BD" w:rsidP="007A3902">
      <w:pPr>
        <w:pStyle w:val="Cmsor1"/>
        <w:rPr>
          <w:rFonts w:eastAsia="AGaramondPro-Bold"/>
        </w:rPr>
      </w:pPr>
      <w:bookmarkStart w:id="2" w:name="_Toc235702126"/>
      <w:r>
        <w:rPr>
          <w:rFonts w:eastAsia="AGaramondPro-Bold"/>
        </w:rPr>
        <w:lastRenderedPageBreak/>
        <w:t xml:space="preserve">Másodszintű szabályozás: kialakítás alatt álló </w:t>
      </w:r>
      <w:r w:rsidR="00A30A2D">
        <w:rPr>
          <w:rFonts w:eastAsia="AGaramondPro-Bold"/>
        </w:rPr>
        <w:t>standar</w:t>
      </w:r>
      <w:r>
        <w:rPr>
          <w:rFonts w:eastAsia="AGaramondPro-Bold"/>
        </w:rPr>
        <w:t>dtervezetek (</w:t>
      </w:r>
      <w:proofErr w:type="spellStart"/>
      <w:r>
        <w:rPr>
          <w:rFonts w:eastAsia="AGaramondPro-Bold"/>
        </w:rPr>
        <w:t>RTS</w:t>
      </w:r>
      <w:proofErr w:type="spellEnd"/>
      <w:r>
        <w:rPr>
          <w:rFonts w:eastAsia="AGaramondPro-Bold"/>
        </w:rPr>
        <w:t xml:space="preserve">, </w:t>
      </w:r>
      <w:proofErr w:type="spellStart"/>
      <w:r>
        <w:rPr>
          <w:rFonts w:eastAsia="AGaramondPro-Bold"/>
        </w:rPr>
        <w:t>ITS</w:t>
      </w:r>
      <w:proofErr w:type="spellEnd"/>
      <w:r>
        <w:rPr>
          <w:rFonts w:eastAsia="AGaramondPro-Bold"/>
        </w:rPr>
        <w:t>)</w:t>
      </w:r>
      <w:bookmarkEnd w:id="2"/>
    </w:p>
    <w:p w14:paraId="08C8135E" w14:textId="476CFB8F" w:rsidR="00B154F6" w:rsidRDefault="00B154F6" w:rsidP="00886009">
      <w:pPr>
        <w:pStyle w:val="Cmsor2"/>
        <w:jc w:val="both"/>
      </w:pPr>
      <w:bookmarkStart w:id="3" w:name="_Toc235702127"/>
      <w:r w:rsidRPr="00B154F6">
        <w:t xml:space="preserve">Az üzleti kapcsolatok, alkalmi ügyletek és ügyletsorozatok azonosítási kritériumrendszerének meghatározásáról szóló szabályozástechnikai </w:t>
      </w:r>
      <w:r>
        <w:t>standardok (</w:t>
      </w:r>
      <w:proofErr w:type="spellStart"/>
      <w:r>
        <w:t>RTS</w:t>
      </w:r>
      <w:proofErr w:type="spellEnd"/>
      <w:r>
        <w:t xml:space="preserve">) tervezete </w:t>
      </w:r>
      <w:r w:rsidRPr="00B154F6">
        <w:t>(„</w:t>
      </w:r>
      <w:proofErr w:type="spellStart"/>
      <w:r w:rsidRPr="00B154F6">
        <w:t>draft</w:t>
      </w:r>
      <w:proofErr w:type="spellEnd"/>
      <w:r w:rsidRPr="00B154F6">
        <w:t xml:space="preserve"> </w:t>
      </w:r>
      <w:proofErr w:type="spellStart"/>
      <w:r w:rsidRPr="00B154F6">
        <w:t>RTS</w:t>
      </w:r>
      <w:proofErr w:type="spellEnd"/>
      <w:r w:rsidRPr="00B154F6">
        <w:t xml:space="preserve"> </w:t>
      </w:r>
      <w:proofErr w:type="spellStart"/>
      <w:r w:rsidRPr="00B154F6">
        <w:t>on</w:t>
      </w:r>
      <w:proofErr w:type="spellEnd"/>
      <w:r w:rsidRPr="00B154F6">
        <w:t xml:space="preserve"> Business </w:t>
      </w:r>
      <w:proofErr w:type="spellStart"/>
      <w:r w:rsidRPr="00B154F6">
        <w:t>Relationships</w:t>
      </w:r>
      <w:proofErr w:type="spellEnd"/>
      <w:r w:rsidRPr="00B154F6">
        <w:t>”)</w:t>
      </w:r>
      <w:bookmarkEnd w:id="3"/>
      <w:r w:rsidRPr="00B154F6">
        <w:t xml:space="preserve"> </w:t>
      </w:r>
    </w:p>
    <w:p w14:paraId="05F62A62" w14:textId="7344C452" w:rsidR="00AE7082" w:rsidRPr="00AE7082" w:rsidRDefault="00AE7082" w:rsidP="008A2665">
      <w:pPr>
        <w:pStyle w:val="HierarchikusLista0"/>
        <w:rPr>
          <w:rFonts w:eastAsia="AGaramondPro-Bold"/>
          <w:sz w:val="22"/>
          <w:szCs w:val="22"/>
        </w:rPr>
      </w:pPr>
      <w:r w:rsidRPr="00AE7082">
        <w:rPr>
          <w:rFonts w:eastAsia="AGaramondPro-Bold"/>
          <w:sz w:val="22"/>
          <w:szCs w:val="22"/>
        </w:rPr>
        <w:t>A pénzügyi rendszer pénzmosás vagy terrorizmusfinanszírozás céljára való felhasználásának megelőzéséről szóló 2024. május 31-i (EU) 2024/1624 európai parlamenti és tanácsi rendelet (</w:t>
      </w:r>
      <w:proofErr w:type="spellStart"/>
      <w:r w:rsidRPr="00AE7082">
        <w:rPr>
          <w:rFonts w:eastAsia="AGaramondPro-Bold"/>
          <w:sz w:val="22"/>
          <w:szCs w:val="22"/>
        </w:rPr>
        <w:t>AMLR</w:t>
      </w:r>
      <w:proofErr w:type="spellEnd"/>
      <w:r w:rsidRPr="00AE7082">
        <w:rPr>
          <w:rFonts w:eastAsia="AGaramondPro-Bold"/>
          <w:sz w:val="22"/>
          <w:szCs w:val="22"/>
        </w:rPr>
        <w:t xml:space="preserve">) 19. cikk (9) bekezdése alapján </w:t>
      </w:r>
      <w:r w:rsidR="00886009">
        <w:rPr>
          <w:rFonts w:eastAsia="AGaramondPro-Bold"/>
          <w:sz w:val="22"/>
          <w:szCs w:val="22"/>
        </w:rPr>
        <w:t xml:space="preserve">az AMLA </w:t>
      </w:r>
      <w:r w:rsidRPr="00AE7082">
        <w:rPr>
          <w:rFonts w:eastAsia="AGaramondPro-Bold"/>
          <w:sz w:val="22"/>
          <w:szCs w:val="22"/>
        </w:rPr>
        <w:t>szabályozástechnikai sztenderdtervezetet (</w:t>
      </w:r>
      <w:proofErr w:type="spellStart"/>
      <w:r w:rsidRPr="00AE7082">
        <w:rPr>
          <w:rFonts w:eastAsia="AGaramondPro-Bold"/>
          <w:sz w:val="22"/>
          <w:szCs w:val="22"/>
        </w:rPr>
        <w:t>RTS</w:t>
      </w:r>
      <w:proofErr w:type="spellEnd"/>
      <w:r w:rsidRPr="00AE7082">
        <w:rPr>
          <w:rFonts w:eastAsia="AGaramondPro-Bold"/>
          <w:sz w:val="22"/>
          <w:szCs w:val="22"/>
        </w:rPr>
        <w:t xml:space="preserve">) </w:t>
      </w:r>
      <w:proofErr w:type="spellStart"/>
      <w:r w:rsidRPr="00AE7082">
        <w:rPr>
          <w:rFonts w:eastAsia="AGaramondPro-Bold"/>
          <w:sz w:val="22"/>
          <w:szCs w:val="22"/>
        </w:rPr>
        <w:t>dolgoz</w:t>
      </w:r>
      <w:proofErr w:type="spellEnd"/>
      <w:r w:rsidRPr="00AE7082">
        <w:rPr>
          <w:rFonts w:eastAsia="AGaramondPro-Bold"/>
          <w:sz w:val="22"/>
          <w:szCs w:val="22"/>
        </w:rPr>
        <w:t xml:space="preserve"> ki, melyben meghatározza az alábbiakat:</w:t>
      </w:r>
    </w:p>
    <w:p w14:paraId="484DE74C" w14:textId="302C6916" w:rsidR="00AE7082" w:rsidRPr="00AE7082" w:rsidRDefault="00AE7082" w:rsidP="008A2665">
      <w:pPr>
        <w:pStyle w:val="HierarchikusLista0"/>
        <w:rPr>
          <w:rFonts w:eastAsia="AGaramondPro-Bold"/>
          <w:sz w:val="22"/>
          <w:szCs w:val="22"/>
        </w:rPr>
      </w:pPr>
      <w:r w:rsidRPr="00AE7082">
        <w:rPr>
          <w:rFonts w:eastAsia="AGaramondPro-Bold"/>
          <w:sz w:val="22"/>
          <w:szCs w:val="22"/>
        </w:rPr>
        <w:t xml:space="preserve">(1) azon kötelezett szolgáltatók, valamint ágazatok vagy ügyletek, aki vagy amelyek esetében magasabb a pénzmosási és terrorizmusfinanszírozási kockázat, továbbá akiknek vagy amelyeknek az </w:t>
      </w:r>
      <w:proofErr w:type="spellStart"/>
      <w:r w:rsidRPr="00AE7082">
        <w:rPr>
          <w:rFonts w:eastAsia="AGaramondPro-Bold"/>
          <w:sz w:val="22"/>
          <w:szCs w:val="22"/>
        </w:rPr>
        <w:t>AMLR</w:t>
      </w:r>
      <w:proofErr w:type="spellEnd"/>
      <w:r w:rsidRPr="00AE7082">
        <w:rPr>
          <w:rFonts w:eastAsia="AGaramondPro-Bold"/>
          <w:sz w:val="22"/>
          <w:szCs w:val="22"/>
        </w:rPr>
        <w:t xml:space="preserve"> 19. cikk (1) bekezdés b) pontjában megállapított értékeknél alacsonyabb értékeknek kell megfelelniük;</w:t>
      </w:r>
    </w:p>
    <w:p w14:paraId="2CE09EC3" w14:textId="32C84F07" w:rsidR="00AE7082" w:rsidRPr="00AE7082" w:rsidRDefault="00AE7082" w:rsidP="008A2665">
      <w:pPr>
        <w:pStyle w:val="HierarchikusLista0"/>
        <w:rPr>
          <w:rFonts w:eastAsia="AGaramondPro-Bold"/>
          <w:sz w:val="22"/>
          <w:szCs w:val="22"/>
        </w:rPr>
      </w:pPr>
      <w:r w:rsidRPr="00AE7082">
        <w:rPr>
          <w:rFonts w:eastAsia="AGaramondPro-Bold"/>
          <w:sz w:val="22"/>
          <w:szCs w:val="22"/>
        </w:rPr>
        <w:t>(2) az alkalmi ügyletekre vonatkozó kapcsolódó értékek;</w:t>
      </w:r>
    </w:p>
    <w:p w14:paraId="298B0EFD" w14:textId="498C97CF" w:rsidR="00AE7082" w:rsidRPr="00AE7082" w:rsidRDefault="00AE7082" w:rsidP="008A2665">
      <w:pPr>
        <w:pStyle w:val="HierarchikusLista0"/>
        <w:rPr>
          <w:rFonts w:eastAsia="AGaramondPro-Bold"/>
          <w:sz w:val="22"/>
          <w:szCs w:val="22"/>
        </w:rPr>
      </w:pPr>
      <w:r w:rsidRPr="00AE7082">
        <w:rPr>
          <w:rFonts w:eastAsia="AGaramondPro-Bold"/>
          <w:sz w:val="22"/>
          <w:szCs w:val="22"/>
        </w:rPr>
        <w:t>(3) az alkalmi ügyletek és az üzleti kapcsolatok azonosításához figyelembe veendő kritériumok;</w:t>
      </w:r>
    </w:p>
    <w:p w14:paraId="606899F2" w14:textId="7B82E291" w:rsidR="00AE7082" w:rsidRDefault="00AE7082" w:rsidP="008A2665">
      <w:pPr>
        <w:pStyle w:val="HierarchikusLista0"/>
        <w:rPr>
          <w:rFonts w:eastAsia="AGaramondPro-Bold"/>
          <w:sz w:val="22"/>
          <w:szCs w:val="22"/>
        </w:rPr>
      </w:pPr>
      <w:r w:rsidRPr="00AE7082">
        <w:rPr>
          <w:rFonts w:eastAsia="AGaramondPro-Bold"/>
          <w:sz w:val="22"/>
          <w:szCs w:val="22"/>
        </w:rPr>
        <w:t>(4) az ügyletsorozatok azonosításának kritériumai.</w:t>
      </w:r>
    </w:p>
    <w:p w14:paraId="7BF60F17" w14:textId="257CF1EA" w:rsidR="00AE7082" w:rsidRDefault="00AE7082" w:rsidP="00AE7082">
      <w:pPr>
        <w:pStyle w:val="HierarchikusLista0"/>
        <w:rPr>
          <w:rFonts w:eastAsia="AGaramondPro-Bold"/>
          <w:sz w:val="22"/>
          <w:szCs w:val="22"/>
        </w:rPr>
      </w:pPr>
    </w:p>
    <w:p w14:paraId="5D978BB2" w14:textId="39F653AF" w:rsidR="00AE7082" w:rsidRDefault="00AE7082" w:rsidP="00AE7082">
      <w:pPr>
        <w:pStyle w:val="HierarchikusLista0"/>
        <w:rPr>
          <w:rFonts w:eastAsia="AGaramondPro-Bold"/>
          <w:sz w:val="22"/>
          <w:szCs w:val="22"/>
        </w:rPr>
      </w:pPr>
      <w:hyperlink r:id="rId9" w:history="1">
        <w:r w:rsidRPr="00AE7082">
          <w:rPr>
            <w:rStyle w:val="Hiperhivatkozs"/>
            <w:rFonts w:eastAsia="AGaramondPro-Bold"/>
            <w:sz w:val="22"/>
            <w:szCs w:val="22"/>
            <w:vertAlign w:val="baseline"/>
          </w:rPr>
          <w:t>Nyilvános szakmai konzultáció</w:t>
        </w:r>
      </w:hyperlink>
      <w:r w:rsidRPr="00AE7082">
        <w:rPr>
          <w:rFonts w:eastAsia="AGaramondPro-Bold"/>
          <w:sz w:val="22"/>
          <w:szCs w:val="22"/>
        </w:rPr>
        <w:t xml:space="preserve"> keretében 2026. május 8-ig </w:t>
      </w:r>
      <w:r>
        <w:rPr>
          <w:rFonts w:eastAsia="AGaramondPro-Bold"/>
          <w:sz w:val="22"/>
          <w:szCs w:val="22"/>
        </w:rPr>
        <w:t xml:space="preserve">volt lehetősége </w:t>
      </w:r>
      <w:r w:rsidRPr="00AE7082">
        <w:rPr>
          <w:rFonts w:eastAsia="AGaramondPro-Bold"/>
          <w:sz w:val="22"/>
          <w:szCs w:val="22"/>
        </w:rPr>
        <w:t xml:space="preserve">minden pénzügyi és nem pénzügyi </w:t>
      </w:r>
      <w:proofErr w:type="spellStart"/>
      <w:r w:rsidRPr="00AE7082">
        <w:rPr>
          <w:rFonts w:eastAsia="AGaramondPro-Bold"/>
          <w:sz w:val="22"/>
          <w:szCs w:val="22"/>
        </w:rPr>
        <w:t>szektorbeli</w:t>
      </w:r>
      <w:proofErr w:type="spellEnd"/>
      <w:r w:rsidRPr="00AE7082">
        <w:rPr>
          <w:rFonts w:eastAsia="AGaramondPro-Bold"/>
          <w:sz w:val="22"/>
          <w:szCs w:val="22"/>
        </w:rPr>
        <w:t xml:space="preserve"> kötelezett szolgáltató</w:t>
      </w:r>
      <w:r>
        <w:rPr>
          <w:rFonts w:eastAsia="AGaramondPro-Bold"/>
          <w:sz w:val="22"/>
          <w:szCs w:val="22"/>
        </w:rPr>
        <w:t>nak</w:t>
      </w:r>
      <w:r w:rsidRPr="00AE7082">
        <w:rPr>
          <w:rFonts w:eastAsia="AGaramondPro-Bold"/>
          <w:sz w:val="22"/>
          <w:szCs w:val="22"/>
        </w:rPr>
        <w:t xml:space="preserve"> visszajelzést</w:t>
      </w:r>
      <w:r>
        <w:rPr>
          <w:rFonts w:eastAsia="AGaramondPro-Bold"/>
          <w:sz w:val="22"/>
          <w:szCs w:val="22"/>
        </w:rPr>
        <w:t xml:space="preserve"> küldeni az AMLA részére. </w:t>
      </w:r>
    </w:p>
    <w:p w14:paraId="76627AAF" w14:textId="3F2AB7CE" w:rsidR="00B0054A" w:rsidRDefault="00B0054A" w:rsidP="00AE7082">
      <w:pPr>
        <w:pStyle w:val="HierarchikusLista0"/>
        <w:rPr>
          <w:rFonts w:eastAsia="AGaramondPro-Bold"/>
          <w:sz w:val="22"/>
          <w:szCs w:val="22"/>
        </w:rPr>
      </w:pPr>
    </w:p>
    <w:p w14:paraId="75A9AB81" w14:textId="0B34DB86" w:rsidR="00B0054A" w:rsidRDefault="00886009" w:rsidP="00AE7082">
      <w:pPr>
        <w:pStyle w:val="HierarchikusLista0"/>
        <w:rPr>
          <w:rFonts w:eastAsia="AGaramondPro-Bold"/>
          <w:sz w:val="22"/>
          <w:szCs w:val="22"/>
        </w:rPr>
      </w:pPr>
      <w:r>
        <w:rPr>
          <w:rFonts w:eastAsia="AGaramondPro-Bold"/>
          <w:sz w:val="22"/>
          <w:szCs w:val="22"/>
        </w:rPr>
        <w:t xml:space="preserve">Fontos, hogy a nyilvános szakmai konzultáció mellett </w:t>
      </w:r>
      <w:r w:rsidR="00B0054A">
        <w:rPr>
          <w:rFonts w:eastAsia="AGaramondPro-Bold"/>
          <w:sz w:val="22"/>
          <w:szCs w:val="22"/>
        </w:rPr>
        <w:t>az AMLA nyilvános meghallgatást is tartott, melynek diasorát elérhetővé tette a honlapján</w:t>
      </w:r>
      <w:r>
        <w:rPr>
          <w:rFonts w:eastAsia="AGaramondPro-Bold"/>
          <w:sz w:val="22"/>
          <w:szCs w:val="22"/>
        </w:rPr>
        <w:t xml:space="preserve">. Ebben az AMLA feladatiról és az </w:t>
      </w:r>
      <w:proofErr w:type="spellStart"/>
      <w:r>
        <w:rPr>
          <w:rFonts w:eastAsia="AGaramondPro-Bold"/>
          <w:sz w:val="22"/>
          <w:szCs w:val="22"/>
        </w:rPr>
        <w:t>RTS</w:t>
      </w:r>
      <w:proofErr w:type="spellEnd"/>
      <w:r>
        <w:rPr>
          <w:rFonts w:eastAsia="AGaramondPro-Bold"/>
          <w:sz w:val="22"/>
          <w:szCs w:val="22"/>
        </w:rPr>
        <w:t xml:space="preserve"> jellemzőiről szóló bevezetőt követően felvázolja a tervezet főbb elemeit, végül kitérve arra, hogy a tervezet benyújtás</w:t>
      </w:r>
      <w:r w:rsidR="008A2665">
        <w:rPr>
          <w:rFonts w:eastAsia="AGaramondPro-Bold"/>
          <w:sz w:val="22"/>
          <w:szCs w:val="22"/>
        </w:rPr>
        <w:t>a</w:t>
      </w:r>
      <w:r>
        <w:rPr>
          <w:rFonts w:eastAsia="AGaramondPro-Bold"/>
          <w:sz w:val="22"/>
          <w:szCs w:val="22"/>
        </w:rPr>
        <w:t xml:space="preserve"> az Európai Bizottság részére 2026. III. negyedévében várható. </w:t>
      </w:r>
    </w:p>
    <w:p w14:paraId="7E22E145" w14:textId="77777777" w:rsidR="008A2665" w:rsidRDefault="008A2665" w:rsidP="00AE7082">
      <w:pPr>
        <w:pStyle w:val="HierarchikusLista0"/>
        <w:rPr>
          <w:rFonts w:eastAsia="AGaramondPro-Bold"/>
          <w:sz w:val="22"/>
          <w:szCs w:val="22"/>
        </w:rPr>
      </w:pPr>
    </w:p>
    <w:p w14:paraId="2B530608" w14:textId="2B1B343A" w:rsidR="00886009" w:rsidRDefault="00886009" w:rsidP="00AE7082">
      <w:pPr>
        <w:pStyle w:val="HierarchikusLista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A nyilvános meghallgatás során bemutatott prezentáció az alábbi linken keresztül érhető el: </w:t>
      </w:r>
    </w:p>
    <w:p w14:paraId="007EF8BB" w14:textId="0DBB54E7" w:rsidR="00B0054A" w:rsidRDefault="00886009" w:rsidP="00AE7082">
      <w:pPr>
        <w:pStyle w:val="HierarchikusLista0"/>
        <w:rPr>
          <w:rFonts w:cs="Calibri"/>
          <w:sz w:val="22"/>
          <w:szCs w:val="22"/>
        </w:rPr>
      </w:pPr>
      <w:hyperlink r:id="rId10" w:history="1">
        <w:r w:rsidRPr="00886009">
          <w:rPr>
            <w:rStyle w:val="Hiperhivatkozs"/>
            <w:rFonts w:cs="Calibri"/>
            <w:sz w:val="22"/>
            <w:szCs w:val="22"/>
            <w:vertAlign w:val="baseline"/>
          </w:rPr>
          <w:t xml:space="preserve">Business </w:t>
        </w:r>
        <w:proofErr w:type="spellStart"/>
        <w:r w:rsidRPr="00886009">
          <w:rPr>
            <w:rStyle w:val="Hiperhivatkozs"/>
            <w:rFonts w:cs="Calibri"/>
            <w:sz w:val="22"/>
            <w:szCs w:val="22"/>
            <w:vertAlign w:val="baseline"/>
          </w:rPr>
          <w:t>Relationships</w:t>
        </w:r>
        <w:proofErr w:type="spellEnd"/>
        <w:r w:rsidRPr="00886009">
          <w:rPr>
            <w:rStyle w:val="Hiperhivatkozs"/>
            <w:rFonts w:cs="Calibri"/>
            <w:sz w:val="22"/>
            <w:szCs w:val="22"/>
            <w:vertAlign w:val="baseline"/>
          </w:rPr>
          <w:t xml:space="preserve"> (19(9) </w:t>
        </w:r>
        <w:proofErr w:type="spellStart"/>
        <w:r w:rsidRPr="00886009">
          <w:rPr>
            <w:rStyle w:val="Hiperhivatkozs"/>
            <w:rFonts w:cs="Calibri"/>
            <w:sz w:val="22"/>
            <w:szCs w:val="22"/>
            <w:vertAlign w:val="baseline"/>
          </w:rPr>
          <w:t>AMLR</w:t>
        </w:r>
        <w:proofErr w:type="spellEnd"/>
        <w:r w:rsidRPr="00886009">
          <w:rPr>
            <w:rStyle w:val="Hiperhivatkozs"/>
            <w:rFonts w:cs="Calibri"/>
            <w:sz w:val="22"/>
            <w:szCs w:val="22"/>
            <w:vertAlign w:val="baseline"/>
          </w:rPr>
          <w:t>)</w:t>
        </w:r>
      </w:hyperlink>
    </w:p>
    <w:p w14:paraId="0ACD2529" w14:textId="77777777" w:rsidR="00886009" w:rsidRDefault="00886009" w:rsidP="00AE7082">
      <w:pPr>
        <w:pStyle w:val="HierarchikusLista0"/>
        <w:rPr>
          <w:rFonts w:cs="Calibri"/>
          <w:sz w:val="22"/>
          <w:szCs w:val="22"/>
        </w:rPr>
      </w:pPr>
    </w:p>
    <w:p w14:paraId="1A350E2D" w14:textId="10367A37" w:rsidR="00B154F6" w:rsidRDefault="00B154F6" w:rsidP="00886009">
      <w:pPr>
        <w:pStyle w:val="Cmsor2"/>
        <w:jc w:val="both"/>
      </w:pPr>
      <w:bookmarkStart w:id="4" w:name="_Toc235702128"/>
      <w:r>
        <w:t>A</w:t>
      </w:r>
      <w:r w:rsidRPr="00B154F6">
        <w:t>z ügyfél-átvilágítás elvégzéséhez szükséges információkról szóló szabályozástechnikai standardok (</w:t>
      </w:r>
      <w:proofErr w:type="spellStart"/>
      <w:r w:rsidRPr="00B154F6">
        <w:t>RTS</w:t>
      </w:r>
      <w:proofErr w:type="spellEnd"/>
      <w:r w:rsidRPr="00B154F6">
        <w:t>) tervezete</w:t>
      </w:r>
      <w:r>
        <w:t xml:space="preserve"> </w:t>
      </w:r>
      <w:r w:rsidRPr="00B154F6">
        <w:t>(„</w:t>
      </w:r>
      <w:proofErr w:type="spellStart"/>
      <w:r w:rsidRPr="00B154F6">
        <w:t>draft</w:t>
      </w:r>
      <w:proofErr w:type="spellEnd"/>
      <w:r w:rsidRPr="00B154F6">
        <w:t xml:space="preserve"> </w:t>
      </w:r>
      <w:proofErr w:type="spellStart"/>
      <w:r w:rsidRPr="00B154F6">
        <w:t>RTS</w:t>
      </w:r>
      <w:proofErr w:type="spellEnd"/>
      <w:r w:rsidRPr="00B154F6">
        <w:t xml:space="preserve"> </w:t>
      </w:r>
      <w:proofErr w:type="spellStart"/>
      <w:r w:rsidRPr="00B154F6">
        <w:t>on</w:t>
      </w:r>
      <w:proofErr w:type="spellEnd"/>
      <w:r w:rsidRPr="00B154F6">
        <w:t xml:space="preserve"> </w:t>
      </w:r>
      <w:proofErr w:type="spellStart"/>
      <w:r w:rsidRPr="00B154F6">
        <w:t>Customer</w:t>
      </w:r>
      <w:proofErr w:type="spellEnd"/>
      <w:r w:rsidRPr="00B154F6">
        <w:t xml:space="preserve"> </w:t>
      </w:r>
      <w:proofErr w:type="spellStart"/>
      <w:r w:rsidRPr="00B154F6">
        <w:t>Due</w:t>
      </w:r>
      <w:proofErr w:type="spellEnd"/>
      <w:r w:rsidRPr="00B154F6">
        <w:t xml:space="preserve"> </w:t>
      </w:r>
      <w:proofErr w:type="spellStart"/>
      <w:r w:rsidRPr="00B154F6">
        <w:t>Diligence</w:t>
      </w:r>
      <w:proofErr w:type="spellEnd"/>
      <w:r w:rsidRPr="00B154F6">
        <w:t>”)</w:t>
      </w:r>
      <w:bookmarkEnd w:id="4"/>
    </w:p>
    <w:p w14:paraId="00D8C359" w14:textId="77777777" w:rsidR="00AE7082" w:rsidRPr="00AE7082" w:rsidRDefault="00AE7082" w:rsidP="008A2665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AE7082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AE7082">
        <w:rPr>
          <w:rFonts w:eastAsia="Times New Roman" w:cs="Calibri"/>
          <w:sz w:val="22"/>
          <w:szCs w:val="22"/>
        </w:rPr>
        <w:t>AMLR</w:t>
      </w:r>
      <w:proofErr w:type="spellEnd"/>
      <w:r w:rsidRPr="00AE7082">
        <w:rPr>
          <w:rFonts w:eastAsia="Times New Roman" w:cs="Calibri"/>
          <w:sz w:val="22"/>
          <w:szCs w:val="22"/>
        </w:rPr>
        <w:t xml:space="preserve"> 28. cikk (1) bekezdése alapján az AMLA szabályozástechnikai sztenderdtervezetet (</w:t>
      </w:r>
      <w:proofErr w:type="spellStart"/>
      <w:r w:rsidRPr="00AE7082">
        <w:rPr>
          <w:rFonts w:eastAsia="Times New Roman" w:cs="Calibri"/>
          <w:sz w:val="22"/>
          <w:szCs w:val="22"/>
        </w:rPr>
        <w:t>RTS</w:t>
      </w:r>
      <w:proofErr w:type="spellEnd"/>
      <w:r w:rsidRPr="00AE7082">
        <w:rPr>
          <w:rFonts w:eastAsia="Times New Roman" w:cs="Calibri"/>
          <w:sz w:val="22"/>
          <w:szCs w:val="22"/>
        </w:rPr>
        <w:t xml:space="preserve">) </w:t>
      </w:r>
      <w:proofErr w:type="spellStart"/>
      <w:r w:rsidRPr="00AE7082">
        <w:rPr>
          <w:rFonts w:eastAsia="Times New Roman" w:cs="Calibri"/>
          <w:sz w:val="22"/>
          <w:szCs w:val="22"/>
        </w:rPr>
        <w:t>dolgoz</w:t>
      </w:r>
      <w:proofErr w:type="spellEnd"/>
      <w:r w:rsidRPr="00AE7082">
        <w:rPr>
          <w:rFonts w:eastAsia="Times New Roman" w:cs="Calibri"/>
          <w:sz w:val="22"/>
          <w:szCs w:val="22"/>
        </w:rPr>
        <w:t xml:space="preserve"> ki az ügyfél-átvilágítás elvégzéséhez szükséges információk vonatkozásában.</w:t>
      </w:r>
    </w:p>
    <w:p w14:paraId="16CAE9A7" w14:textId="77777777" w:rsidR="00AE7082" w:rsidRPr="00AE7082" w:rsidRDefault="00AE7082" w:rsidP="008A2665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AE7082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AE7082">
        <w:rPr>
          <w:rFonts w:eastAsia="Times New Roman" w:cs="Calibri"/>
          <w:sz w:val="22"/>
          <w:szCs w:val="22"/>
        </w:rPr>
        <w:t>EBA</w:t>
      </w:r>
      <w:proofErr w:type="spellEnd"/>
      <w:r w:rsidRPr="00AE7082">
        <w:rPr>
          <w:rFonts w:eastAsia="Times New Roman" w:cs="Calibri"/>
          <w:sz w:val="22"/>
          <w:szCs w:val="22"/>
        </w:rPr>
        <w:t xml:space="preserve"> korábban már tartott egy konzultációt a tervezettel kapcsolatban, majd az AMLA tovább folytatta a munkát, figyelembe véve többek között az arányosság, kockázatalapú megközelítés, illetve a kötelezett szolgáltatók összes kategóriájára történő alkalmazhatóságot. A konzultáció célja annak biztosítása, hogy ezen szempontok megfelelően érvényesülnek-e a tervezetben, különös tekintettel a nem pénzügyi szektorra.</w:t>
      </w:r>
    </w:p>
    <w:p w14:paraId="0172679E" w14:textId="77777777" w:rsidR="00AE7082" w:rsidRPr="00AE7082" w:rsidRDefault="00AE7082" w:rsidP="008A2665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AE7082">
        <w:rPr>
          <w:rFonts w:eastAsia="Times New Roman" w:cs="Calibri"/>
          <w:sz w:val="22"/>
          <w:szCs w:val="22"/>
        </w:rPr>
        <w:t xml:space="preserve">Az AMLA elérhetővé tette az </w:t>
      </w:r>
      <w:proofErr w:type="spellStart"/>
      <w:r w:rsidRPr="00AE7082">
        <w:rPr>
          <w:rFonts w:eastAsia="Times New Roman" w:cs="Calibri"/>
          <w:sz w:val="22"/>
          <w:szCs w:val="22"/>
        </w:rPr>
        <w:t>EBA</w:t>
      </w:r>
      <w:proofErr w:type="spellEnd"/>
      <w:r w:rsidRPr="00AE7082">
        <w:rPr>
          <w:rFonts w:eastAsia="Times New Roman" w:cs="Calibri"/>
          <w:sz w:val="22"/>
          <w:szCs w:val="22"/>
        </w:rPr>
        <w:t xml:space="preserve"> által 2025. október 30-án közétett tervezet óta eszközölt módosításokat tartalmazó dokumentumot is, mely az alábbi linken érhető el:</w:t>
      </w:r>
    </w:p>
    <w:p w14:paraId="0FF5ED3B" w14:textId="24040940" w:rsidR="00B0054A" w:rsidRDefault="00B0054A" w:rsidP="00AE70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hyperlink r:id="rId11" w:history="1">
        <w:r w:rsidRPr="007B2373">
          <w:rPr>
            <w:rStyle w:val="Hiperhivatkozs"/>
            <w:rFonts w:eastAsia="Times New Roman" w:cs="Calibri"/>
            <w:sz w:val="22"/>
            <w:szCs w:val="22"/>
            <w:vertAlign w:val="baseline"/>
          </w:rPr>
          <w:t>https://www.amla.europa.eu/document/download/566682ce-89fa-4299-9ea5-2b646cb39223_en?filename=Draft%20RTS%20CDD%20track%20changes%20from%20EBA%20draft.pdf</w:t>
        </w:r>
      </w:hyperlink>
    </w:p>
    <w:p w14:paraId="0622CE44" w14:textId="6FAC6B28" w:rsidR="00B154F6" w:rsidRDefault="00AE7082" w:rsidP="00B0054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AE7082">
        <w:rPr>
          <w:rFonts w:eastAsia="Times New Roman" w:cs="Calibri"/>
          <w:sz w:val="22"/>
          <w:szCs w:val="22"/>
        </w:rPr>
        <w:lastRenderedPageBreak/>
        <w:t xml:space="preserve">Az AMLA a válaszokat a </w:t>
      </w:r>
      <w:hyperlink r:id="rId12" w:history="1">
        <w:r w:rsidRPr="00AE7082">
          <w:rPr>
            <w:rStyle w:val="Hiperhivatkozs"/>
            <w:rFonts w:eastAsia="Times New Roman" w:cs="Calibri"/>
            <w:sz w:val="22"/>
            <w:szCs w:val="22"/>
            <w:vertAlign w:val="baseline"/>
          </w:rPr>
          <w:t>konzultáció keretében</w:t>
        </w:r>
      </w:hyperlink>
      <w:r w:rsidRPr="00AE7082">
        <w:rPr>
          <w:rFonts w:eastAsia="Times New Roman" w:cs="Calibri"/>
          <w:sz w:val="22"/>
          <w:szCs w:val="22"/>
        </w:rPr>
        <w:t xml:space="preserve"> 2026. május 8-ig vár</w:t>
      </w:r>
      <w:r w:rsidR="00B0054A">
        <w:rPr>
          <w:rFonts w:eastAsia="Times New Roman" w:cs="Calibri"/>
          <w:sz w:val="22"/>
          <w:szCs w:val="22"/>
        </w:rPr>
        <w:t>t</w:t>
      </w:r>
      <w:r w:rsidRPr="00AE7082">
        <w:rPr>
          <w:rFonts w:eastAsia="Times New Roman" w:cs="Calibri"/>
          <w:sz w:val="22"/>
          <w:szCs w:val="22"/>
        </w:rPr>
        <w:t xml:space="preserve">a a pénzügyi és nem pénzügyi </w:t>
      </w:r>
      <w:proofErr w:type="spellStart"/>
      <w:r w:rsidRPr="00AE7082">
        <w:rPr>
          <w:rFonts w:eastAsia="Times New Roman" w:cs="Calibri"/>
          <w:sz w:val="22"/>
          <w:szCs w:val="22"/>
        </w:rPr>
        <w:t>szektorbeli</w:t>
      </w:r>
      <w:proofErr w:type="spellEnd"/>
      <w:r w:rsidRPr="00AE7082">
        <w:rPr>
          <w:rFonts w:eastAsia="Times New Roman" w:cs="Calibri"/>
          <w:sz w:val="22"/>
          <w:szCs w:val="22"/>
        </w:rPr>
        <w:t xml:space="preserve"> kötelezett szolgáltatók részéről.</w:t>
      </w:r>
    </w:p>
    <w:p w14:paraId="341857B1" w14:textId="77777777" w:rsidR="00886009" w:rsidRDefault="00DB429F" w:rsidP="00B0054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DB429F">
        <w:rPr>
          <w:rFonts w:eastAsia="Times New Roman" w:cs="Calibri"/>
          <w:sz w:val="22"/>
          <w:szCs w:val="22"/>
        </w:rPr>
        <w:t>Emellett az AMLA nyilvános meghallgatást is tartott, melynek diasorát elérhetővé tette a honlapján:</w:t>
      </w:r>
    </w:p>
    <w:p w14:paraId="6A18300E" w14:textId="7660D69D" w:rsidR="00C75AB6" w:rsidRPr="00933A14" w:rsidRDefault="00933A14" w:rsidP="00B0054A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Style w:val="Hiperhivatkozs"/>
          <w:rFonts w:eastAsia="Times New Roman" w:cs="Calibri"/>
          <w:sz w:val="22"/>
          <w:szCs w:val="22"/>
          <w:vertAlign w:val="baseline"/>
        </w:rPr>
      </w:pPr>
      <w:r>
        <w:rPr>
          <w:rFonts w:eastAsia="Times New Roman" w:cs="Calibri"/>
          <w:sz w:val="22"/>
          <w:szCs w:val="22"/>
        </w:rPr>
        <w:fldChar w:fldCharType="begin"/>
      </w:r>
      <w:r>
        <w:rPr>
          <w:rFonts w:eastAsia="Times New Roman" w:cs="Calibri"/>
          <w:sz w:val="22"/>
          <w:szCs w:val="22"/>
        </w:rPr>
        <w:instrText>HYPERLINK "https://www.amla.europa.eu/document/download/b2367b44-9572-4802-a2c9-6d2bdd40eafa_en?filename=AMLA%20Public%20Hearing%20-%20Draft%20RTS%20under%20Article%2028%281%29%20AMLR.pdf"</w:instrText>
      </w:r>
      <w:r>
        <w:rPr>
          <w:rFonts w:eastAsia="Times New Roman" w:cs="Calibri"/>
          <w:sz w:val="22"/>
          <w:szCs w:val="22"/>
        </w:rPr>
      </w:r>
      <w:r>
        <w:rPr>
          <w:rFonts w:eastAsia="Times New Roman" w:cs="Calibri"/>
          <w:sz w:val="22"/>
          <w:szCs w:val="22"/>
        </w:rPr>
        <w:fldChar w:fldCharType="separate"/>
      </w:r>
      <w:proofErr w:type="spellStart"/>
      <w:r w:rsidR="00DB429F" w:rsidRPr="00933A14">
        <w:rPr>
          <w:rStyle w:val="Hiperhivatkozs"/>
          <w:rFonts w:eastAsia="Times New Roman" w:cs="Calibri"/>
          <w:sz w:val="22"/>
          <w:szCs w:val="22"/>
          <w:vertAlign w:val="baseline"/>
        </w:rPr>
        <w:t>Customer</w:t>
      </w:r>
      <w:proofErr w:type="spellEnd"/>
      <w:r w:rsidR="00DB429F" w:rsidRPr="00933A14">
        <w:rPr>
          <w:rStyle w:val="Hiperhivatkozs"/>
          <w:rFonts w:eastAsia="Times New Roman" w:cs="Calibri"/>
          <w:sz w:val="22"/>
          <w:szCs w:val="22"/>
          <w:vertAlign w:val="baseline"/>
        </w:rPr>
        <w:t xml:space="preserve"> </w:t>
      </w:r>
      <w:proofErr w:type="spellStart"/>
      <w:r w:rsidR="00DB429F" w:rsidRPr="00933A14">
        <w:rPr>
          <w:rStyle w:val="Hiperhivatkozs"/>
          <w:rFonts w:eastAsia="Times New Roman" w:cs="Calibri"/>
          <w:sz w:val="22"/>
          <w:szCs w:val="22"/>
          <w:vertAlign w:val="baseline"/>
        </w:rPr>
        <w:t>Due</w:t>
      </w:r>
      <w:proofErr w:type="spellEnd"/>
      <w:r w:rsidR="00DB429F" w:rsidRPr="00933A14">
        <w:rPr>
          <w:rStyle w:val="Hiperhivatkozs"/>
          <w:rFonts w:eastAsia="Times New Roman" w:cs="Calibri"/>
          <w:sz w:val="22"/>
          <w:szCs w:val="22"/>
          <w:vertAlign w:val="baseline"/>
        </w:rPr>
        <w:t xml:space="preserve"> </w:t>
      </w:r>
      <w:proofErr w:type="spellStart"/>
      <w:r w:rsidR="00DB429F" w:rsidRPr="00933A14">
        <w:rPr>
          <w:rStyle w:val="Hiperhivatkozs"/>
          <w:rFonts w:eastAsia="Times New Roman" w:cs="Calibri"/>
          <w:sz w:val="22"/>
          <w:szCs w:val="22"/>
          <w:vertAlign w:val="baseline"/>
        </w:rPr>
        <w:t>Diligence</w:t>
      </w:r>
      <w:proofErr w:type="spellEnd"/>
      <w:r w:rsidR="00DB429F" w:rsidRPr="00933A14">
        <w:rPr>
          <w:rStyle w:val="Hiperhivatkozs"/>
          <w:rFonts w:eastAsia="Times New Roman" w:cs="Calibri"/>
          <w:sz w:val="22"/>
          <w:szCs w:val="22"/>
          <w:vertAlign w:val="baseline"/>
        </w:rPr>
        <w:t xml:space="preserve"> (28(1) </w:t>
      </w:r>
      <w:proofErr w:type="spellStart"/>
      <w:r w:rsidR="00DB429F" w:rsidRPr="00933A14">
        <w:rPr>
          <w:rStyle w:val="Hiperhivatkozs"/>
          <w:rFonts w:eastAsia="Times New Roman" w:cs="Calibri"/>
          <w:sz w:val="22"/>
          <w:szCs w:val="22"/>
          <w:vertAlign w:val="baseline"/>
        </w:rPr>
        <w:t>AMLR</w:t>
      </w:r>
      <w:proofErr w:type="spellEnd"/>
      <w:r w:rsidR="00DB429F" w:rsidRPr="00933A14">
        <w:rPr>
          <w:rStyle w:val="Hiperhivatkozs"/>
          <w:rFonts w:eastAsia="Times New Roman" w:cs="Calibri"/>
          <w:sz w:val="22"/>
          <w:szCs w:val="22"/>
          <w:vertAlign w:val="baseline"/>
        </w:rPr>
        <w:t>)</w:t>
      </w:r>
    </w:p>
    <w:p w14:paraId="5672B97A" w14:textId="46A5225B" w:rsidR="00DB429F" w:rsidRPr="00C75AB6" w:rsidRDefault="00933A14" w:rsidP="00C75AB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fldChar w:fldCharType="end"/>
      </w:r>
      <w:r w:rsidR="00C6372E">
        <w:rPr>
          <w:rFonts w:cs="Calibri"/>
          <w:noProof/>
          <w:sz w:val="22"/>
          <w:szCs w:val="22"/>
        </w:rPr>
        <mc:AlternateContent>
          <mc:Choice Requires="wps">
            <w:drawing>
              <wp:inline distT="0" distB="0" distL="0" distR="0" wp14:anchorId="3564F4E4" wp14:editId="1AEF51DC">
                <wp:extent cx="6162675" cy="3495675"/>
                <wp:effectExtent l="57150" t="38100" r="85725" b="104775"/>
                <wp:docPr id="873457172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4956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A229A" w14:textId="50303C48" w:rsidR="00B0054A" w:rsidRPr="00260B6F" w:rsidRDefault="00B0054A" w:rsidP="00B0054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60B6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Public hearing (nyilvános meghallgatás)</w:t>
                            </w:r>
                          </w:p>
                          <w:p w14:paraId="75826670" w14:textId="464BA8CF" w:rsidR="00B0054A" w:rsidRPr="00DB429F" w:rsidRDefault="00B0054A" w:rsidP="00B0054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B429F">
                              <w:rPr>
                                <w:sz w:val="22"/>
                                <w:szCs w:val="22"/>
                              </w:rPr>
                              <w:t>Az AMLA által meghirdetett nyilvános meghallgatásokon, vagyis public hearing nevű eseményeken lehetőség van a sztenderdeket kidolgozó, AMLA-ban dolgozó szakemberekkel való közvetlen eszmecserére, kérdések feltételére, tapasztalatok megosztására és annak jelzésére, hogy milyen esetekben lenne szükség további egyértelműsítést szolgáló lépésekre.</w:t>
                            </w:r>
                          </w:p>
                          <w:p w14:paraId="607EC833" w14:textId="07F87AC7" w:rsidR="00B0054A" w:rsidRPr="00DB429F" w:rsidRDefault="00B0054A" w:rsidP="00B0054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B429F">
                              <w:rPr>
                                <w:sz w:val="22"/>
                                <w:szCs w:val="22"/>
                              </w:rPr>
                              <w:t xml:space="preserve">Az AMLA számos alkalommal, többek között ezeken az eseményeken is hangsúlyozza, hogy a hatékony szabályozási keretrendszer kialakítása során rendkívül fontos szereppel bír a kötelezett szolgáltatók és minden szabályozás által érintett fél rendszeres és konstruktív hozzájárulása a folyamatokhoz. </w:t>
                            </w:r>
                          </w:p>
                          <w:p w14:paraId="548185D7" w14:textId="7C8D04C5" w:rsidR="00B0054A" w:rsidRPr="00DB429F" w:rsidRDefault="00DB429F" w:rsidP="00B0054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B429F">
                              <w:rPr>
                                <w:sz w:val="22"/>
                                <w:szCs w:val="22"/>
                              </w:rPr>
                              <w:t xml:space="preserve">A márciusi meghallgatáson, melynek témája a Business Relationships és Customer Due Diligence RTS tervezetek voltak, több mint 1600 érintett vett részt, köztük számos pénzügyi és nem pénzügyi szektorból érkező kötelezett szolgáltató. </w:t>
                            </w:r>
                          </w:p>
                          <w:p w14:paraId="5FE51267" w14:textId="62FA9EE1" w:rsidR="00DB429F" w:rsidRPr="00DB429F" w:rsidRDefault="00DB429F" w:rsidP="00B0054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B429F">
                              <w:rPr>
                                <w:sz w:val="22"/>
                                <w:szCs w:val="22"/>
                              </w:rPr>
                              <w:t>Fontos, hogy az eseményeken bemutatott diasorokat általában az AMLA elérhetővé teszi utólag a honlapján, így részvétel hiányában lehetőség van a</w:t>
                            </w:r>
                            <w:r w:rsidR="00886009">
                              <w:rPr>
                                <w:sz w:val="22"/>
                                <w:szCs w:val="22"/>
                              </w:rPr>
                              <w:t xml:space="preserve"> főbb</w:t>
                            </w:r>
                            <w:r w:rsidRPr="00DB429F">
                              <w:rPr>
                                <w:sz w:val="22"/>
                                <w:szCs w:val="22"/>
                              </w:rPr>
                              <w:t xml:space="preserve"> információk </w:t>
                            </w:r>
                            <w:r w:rsidR="00886009">
                              <w:rPr>
                                <w:sz w:val="22"/>
                                <w:szCs w:val="22"/>
                              </w:rPr>
                              <w:t xml:space="preserve">utólagos </w:t>
                            </w:r>
                            <w:r w:rsidRPr="00DB429F">
                              <w:rPr>
                                <w:sz w:val="22"/>
                                <w:szCs w:val="22"/>
                              </w:rPr>
                              <w:t>nyomonkövetésére</w:t>
                            </w:r>
                            <w:r w:rsidR="00886009">
                              <w:rPr>
                                <w:sz w:val="22"/>
                                <w:szCs w:val="22"/>
                              </w:rPr>
                              <w:t>, azzal, hogy ezek a diasorok az AMLA által kiemelten fontosnak vélt információkat tartalmazzák, a kérdések</w:t>
                            </w:r>
                            <w:r w:rsidR="00D6720E">
                              <w:rPr>
                                <w:sz w:val="22"/>
                                <w:szCs w:val="22"/>
                              </w:rPr>
                              <w:t xml:space="preserve"> és válaszok</w:t>
                            </w:r>
                            <w:r w:rsidR="00886009">
                              <w:rPr>
                                <w:sz w:val="22"/>
                                <w:szCs w:val="22"/>
                              </w:rPr>
                              <w:t xml:space="preserve"> feltételére, </w:t>
                            </w:r>
                            <w:r w:rsidR="00D6720E">
                              <w:rPr>
                                <w:sz w:val="22"/>
                                <w:szCs w:val="22"/>
                              </w:rPr>
                              <w:t xml:space="preserve">illetve </w:t>
                            </w:r>
                            <w:r w:rsidR="00886009">
                              <w:rPr>
                                <w:sz w:val="22"/>
                                <w:szCs w:val="22"/>
                              </w:rPr>
                              <w:t xml:space="preserve">meghallgatására az eseményen </w:t>
                            </w:r>
                            <w:r w:rsidR="00D6720E">
                              <w:rPr>
                                <w:sz w:val="22"/>
                                <w:szCs w:val="22"/>
                              </w:rPr>
                              <w:t>nyílik</w:t>
                            </w:r>
                            <w:r w:rsidR="00886009">
                              <w:rPr>
                                <w:sz w:val="22"/>
                                <w:szCs w:val="22"/>
                              </w:rPr>
                              <w:t xml:space="preserve"> lehetőség</w:t>
                            </w:r>
                            <w:r w:rsidR="00D6720E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64F4E4" id="Téglalap 1" o:spid="_x0000_s1026" style="width:485.25pt;height:27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015A229A" w14:textId="50303C48" w:rsidR="00B0054A" w:rsidRPr="00260B6F" w:rsidRDefault="00B0054A" w:rsidP="00B0054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260B6F">
                        <w:rPr>
                          <w:b/>
                          <w:bCs/>
                          <w:sz w:val="22"/>
                          <w:szCs w:val="22"/>
                        </w:rPr>
                        <w:t>Public hearing (nyilvános meghallgatás)</w:t>
                      </w:r>
                    </w:p>
                    <w:p w14:paraId="75826670" w14:textId="464BA8CF" w:rsidR="00B0054A" w:rsidRPr="00DB429F" w:rsidRDefault="00B0054A" w:rsidP="00B0054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B429F">
                        <w:rPr>
                          <w:sz w:val="22"/>
                          <w:szCs w:val="22"/>
                        </w:rPr>
                        <w:t>Az AMLA által meghirdetett nyilvános meghallgatásokon, vagyis public hearing nevű eseményeken lehetőség van a sztenderdeket kidolgozó, AMLA-ban dolgozó szakemberekkel való közvetlen eszmecserére, kérdések feltételére, tapasztalatok megosztására és annak jelzésére, hogy milyen esetekben lenne szükség további egyértelműsítést szolgáló lépésekre.</w:t>
                      </w:r>
                    </w:p>
                    <w:p w14:paraId="607EC833" w14:textId="07F87AC7" w:rsidR="00B0054A" w:rsidRPr="00DB429F" w:rsidRDefault="00B0054A" w:rsidP="00B0054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B429F">
                        <w:rPr>
                          <w:sz w:val="22"/>
                          <w:szCs w:val="22"/>
                        </w:rPr>
                        <w:t xml:space="preserve">Az AMLA számos alkalommal, többek között ezeken az eseményeken is hangsúlyozza, hogy a hatékony szabályozási keretrendszer kialakítása során rendkívül fontos szereppel bír a kötelezett szolgáltatók és minden szabályozás által érintett fél rendszeres és konstruktív hozzájárulása a folyamatokhoz. </w:t>
                      </w:r>
                    </w:p>
                    <w:p w14:paraId="548185D7" w14:textId="7C8D04C5" w:rsidR="00B0054A" w:rsidRPr="00DB429F" w:rsidRDefault="00DB429F" w:rsidP="00B0054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B429F">
                        <w:rPr>
                          <w:sz w:val="22"/>
                          <w:szCs w:val="22"/>
                        </w:rPr>
                        <w:t xml:space="preserve">A márciusi meghallgatáson, melynek témája a Business Relationships és Customer Due Diligence RTS tervezetek voltak, több mint 1600 érintett vett részt, köztük számos pénzügyi és nem pénzügyi szektorból érkező kötelezett szolgáltató. </w:t>
                      </w:r>
                    </w:p>
                    <w:p w14:paraId="5FE51267" w14:textId="62FA9EE1" w:rsidR="00DB429F" w:rsidRPr="00DB429F" w:rsidRDefault="00DB429F" w:rsidP="00B0054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B429F">
                        <w:rPr>
                          <w:sz w:val="22"/>
                          <w:szCs w:val="22"/>
                        </w:rPr>
                        <w:t>Fontos, hogy az eseményeken bemutatott diasorokat általában az AMLA elérhetővé teszi utólag a honlapján, így részvétel hiányában lehetőség van a</w:t>
                      </w:r>
                      <w:r w:rsidR="00886009">
                        <w:rPr>
                          <w:sz w:val="22"/>
                          <w:szCs w:val="22"/>
                        </w:rPr>
                        <w:t xml:space="preserve"> főbb</w:t>
                      </w:r>
                      <w:r w:rsidRPr="00DB429F">
                        <w:rPr>
                          <w:sz w:val="22"/>
                          <w:szCs w:val="22"/>
                        </w:rPr>
                        <w:t xml:space="preserve"> információk </w:t>
                      </w:r>
                      <w:r w:rsidR="00886009">
                        <w:rPr>
                          <w:sz w:val="22"/>
                          <w:szCs w:val="22"/>
                        </w:rPr>
                        <w:t xml:space="preserve">utólagos </w:t>
                      </w:r>
                      <w:r w:rsidRPr="00DB429F">
                        <w:rPr>
                          <w:sz w:val="22"/>
                          <w:szCs w:val="22"/>
                        </w:rPr>
                        <w:t>nyomonkövetésére</w:t>
                      </w:r>
                      <w:r w:rsidR="00886009">
                        <w:rPr>
                          <w:sz w:val="22"/>
                          <w:szCs w:val="22"/>
                        </w:rPr>
                        <w:t>, azzal, hogy ezek a diasorok az AMLA által kiemelten fontosnak vélt információkat tartalmazzák, a kérdések</w:t>
                      </w:r>
                      <w:r w:rsidR="00D6720E">
                        <w:rPr>
                          <w:sz w:val="22"/>
                          <w:szCs w:val="22"/>
                        </w:rPr>
                        <w:t xml:space="preserve"> és válaszok</w:t>
                      </w:r>
                      <w:r w:rsidR="00886009">
                        <w:rPr>
                          <w:sz w:val="22"/>
                          <w:szCs w:val="22"/>
                        </w:rPr>
                        <w:t xml:space="preserve"> feltételére, </w:t>
                      </w:r>
                      <w:r w:rsidR="00D6720E">
                        <w:rPr>
                          <w:sz w:val="22"/>
                          <w:szCs w:val="22"/>
                        </w:rPr>
                        <w:t xml:space="preserve">illetve </w:t>
                      </w:r>
                      <w:r w:rsidR="00886009">
                        <w:rPr>
                          <w:sz w:val="22"/>
                          <w:szCs w:val="22"/>
                        </w:rPr>
                        <w:t xml:space="preserve">meghallgatására az eseményen </w:t>
                      </w:r>
                      <w:r w:rsidR="00D6720E">
                        <w:rPr>
                          <w:sz w:val="22"/>
                          <w:szCs w:val="22"/>
                        </w:rPr>
                        <w:t>nyílik</w:t>
                      </w:r>
                      <w:r w:rsidR="00886009">
                        <w:rPr>
                          <w:sz w:val="22"/>
                          <w:szCs w:val="22"/>
                        </w:rPr>
                        <w:t xml:space="preserve"> lehetőség</w:t>
                      </w:r>
                      <w:r w:rsidR="00D6720E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C27F54C" w14:textId="57D7EA85" w:rsidR="00391258" w:rsidRPr="00391258" w:rsidRDefault="00391258" w:rsidP="00933A14">
      <w:pPr>
        <w:pStyle w:val="Cmsor2"/>
        <w:jc w:val="both"/>
      </w:pPr>
      <w:bookmarkStart w:id="5" w:name="_Toc235702129"/>
      <w:r w:rsidRPr="00391258">
        <w:t>Csoportszintű követelményekről szóló szabályozástechnikai standardok (</w:t>
      </w:r>
      <w:proofErr w:type="spellStart"/>
      <w:r w:rsidRPr="00391258">
        <w:t>RTS</w:t>
      </w:r>
      <w:proofErr w:type="spellEnd"/>
      <w:r w:rsidRPr="00391258">
        <w:t>) tervezete</w:t>
      </w:r>
      <w:bookmarkEnd w:id="5"/>
    </w:p>
    <w:p w14:paraId="5F32765E" w14:textId="77777777" w:rsidR="00391258" w:rsidRDefault="00391258" w:rsidP="007A3902">
      <w:pPr>
        <w:pStyle w:val="HierarchikusLista0"/>
        <w:rPr>
          <w:rFonts w:eastAsia="AGaramondPro-Bold"/>
          <w:sz w:val="22"/>
          <w:szCs w:val="22"/>
        </w:rPr>
      </w:pPr>
    </w:p>
    <w:p w14:paraId="58ED8F82" w14:textId="026343A6" w:rsidR="00391258" w:rsidRDefault="00391258" w:rsidP="007A3902">
      <w:pPr>
        <w:pStyle w:val="HierarchikusLista0"/>
        <w:rPr>
          <w:rFonts w:eastAsia="AGaramondPro-Bold"/>
          <w:sz w:val="22"/>
          <w:szCs w:val="22"/>
        </w:rPr>
      </w:pPr>
      <w:r w:rsidRPr="00391258">
        <w:rPr>
          <w:rFonts w:eastAsia="AGaramondPro-Bold"/>
          <w:sz w:val="22"/>
          <w:szCs w:val="22"/>
        </w:rPr>
        <w:t xml:space="preserve">Az </w:t>
      </w:r>
      <w:proofErr w:type="spellStart"/>
      <w:r w:rsidRPr="00391258">
        <w:rPr>
          <w:rFonts w:eastAsia="AGaramondPro-Bold"/>
          <w:sz w:val="22"/>
          <w:szCs w:val="22"/>
        </w:rPr>
        <w:t>AMLR</w:t>
      </w:r>
      <w:proofErr w:type="spellEnd"/>
      <w:r w:rsidRPr="00391258">
        <w:rPr>
          <w:rFonts w:eastAsia="AGaramondPro-Bold"/>
          <w:sz w:val="22"/>
          <w:szCs w:val="22"/>
        </w:rPr>
        <w:t xml:space="preserve"> 16. cikkének (4) bekezdése és 17. cikkének (3) bekezdése szerinti </w:t>
      </w:r>
      <w:proofErr w:type="spellStart"/>
      <w:r w:rsidRPr="00391258">
        <w:rPr>
          <w:rFonts w:eastAsia="AGaramondPro-Bold"/>
          <w:sz w:val="22"/>
          <w:szCs w:val="22"/>
        </w:rPr>
        <w:t>RTS</w:t>
      </w:r>
      <w:proofErr w:type="spellEnd"/>
      <w:r w:rsidRPr="00391258">
        <w:rPr>
          <w:rFonts w:eastAsia="AGaramondPro-Bold"/>
          <w:sz w:val="22"/>
          <w:szCs w:val="22"/>
        </w:rPr>
        <w:t xml:space="preserve"> tervezete tartalmazza a csoportszintű pénzmosás- és terrorizmusfinanszírozás elleni keretrendszerekre vonatkozó minimumkövetelményeket, beleértve azokat a határokon átnyúló eseteket is, amikor a kötelezett szolgáltatók harmadik országokban működnek. Ezek a követelmények annak biztosítását célozzák, hogy a csoportok teljes szervezetükre nézve konszolidált képet kapjanak a pénzmosás és a terrorizmusfinanszírozási kockázataikról, és ennek megfelelően kiigazítsák politikáikat, eljárásaikat és ellenőrzési funkcióikat.</w:t>
      </w:r>
    </w:p>
    <w:p w14:paraId="2FE49986" w14:textId="77777777" w:rsidR="00391258" w:rsidRDefault="00391258" w:rsidP="007A3902">
      <w:pPr>
        <w:pStyle w:val="HierarchikusLista0"/>
        <w:rPr>
          <w:rFonts w:eastAsia="AGaramondPro-Bold"/>
          <w:sz w:val="22"/>
          <w:szCs w:val="22"/>
        </w:rPr>
      </w:pPr>
    </w:p>
    <w:p w14:paraId="5C903F9B" w14:textId="77777777" w:rsidR="00933A14" w:rsidRDefault="00391258" w:rsidP="00391258">
      <w:pPr>
        <w:pStyle w:val="HierarchikusLista0"/>
      </w:pPr>
      <w:r w:rsidRPr="00391258">
        <w:rPr>
          <w:rFonts w:eastAsia="AGaramondPro-Bold"/>
          <w:sz w:val="22"/>
          <w:szCs w:val="22"/>
        </w:rPr>
        <w:t xml:space="preserve">Az </w:t>
      </w:r>
      <w:proofErr w:type="spellStart"/>
      <w:r w:rsidRPr="00391258">
        <w:rPr>
          <w:rFonts w:eastAsia="AGaramondPro-Bold"/>
          <w:sz w:val="22"/>
          <w:szCs w:val="22"/>
        </w:rPr>
        <w:t>RTS</w:t>
      </w:r>
      <w:proofErr w:type="spellEnd"/>
      <w:r w:rsidRPr="00391258">
        <w:rPr>
          <w:rFonts w:eastAsia="AGaramondPro-Bold"/>
          <w:sz w:val="22"/>
          <w:szCs w:val="22"/>
        </w:rPr>
        <w:t xml:space="preserve"> tervezetével kapcsolatban az AMLA 2026. 05. 20-án nyilvános meghallgatást</w:t>
      </w:r>
      <w:r>
        <w:rPr>
          <w:rFonts w:eastAsia="AGaramondPro-Bold"/>
          <w:sz w:val="22"/>
          <w:szCs w:val="22"/>
        </w:rPr>
        <w:t xml:space="preserve"> (</w:t>
      </w:r>
      <w:proofErr w:type="spellStart"/>
      <w:r>
        <w:rPr>
          <w:rFonts w:eastAsia="AGaramondPro-Bold"/>
          <w:sz w:val="22"/>
          <w:szCs w:val="22"/>
        </w:rPr>
        <w:t>public</w:t>
      </w:r>
      <w:proofErr w:type="spellEnd"/>
      <w:r>
        <w:rPr>
          <w:rFonts w:eastAsia="AGaramondPro-Bold"/>
          <w:sz w:val="22"/>
          <w:szCs w:val="22"/>
        </w:rPr>
        <w:t xml:space="preserve"> </w:t>
      </w:r>
      <w:proofErr w:type="spellStart"/>
      <w:r>
        <w:rPr>
          <w:rFonts w:eastAsia="AGaramondPro-Bold"/>
          <w:sz w:val="22"/>
          <w:szCs w:val="22"/>
        </w:rPr>
        <w:t>hearing</w:t>
      </w:r>
      <w:proofErr w:type="spellEnd"/>
      <w:r>
        <w:rPr>
          <w:rFonts w:eastAsia="AGaramondPro-Bold"/>
          <w:sz w:val="22"/>
          <w:szCs w:val="22"/>
        </w:rPr>
        <w:t>)</w:t>
      </w:r>
      <w:r w:rsidRPr="00391258">
        <w:rPr>
          <w:rFonts w:eastAsia="AGaramondPro-Bold"/>
          <w:sz w:val="22"/>
          <w:szCs w:val="22"/>
        </w:rPr>
        <w:t xml:space="preserve"> tart</w:t>
      </w:r>
      <w:r>
        <w:rPr>
          <w:rFonts w:eastAsia="AGaramondPro-Bold"/>
          <w:sz w:val="22"/>
          <w:szCs w:val="22"/>
        </w:rPr>
        <w:t xml:space="preserve">ott. </w:t>
      </w:r>
      <w:r w:rsidRPr="00391258">
        <w:rPr>
          <w:rFonts w:eastAsia="AGaramondPro-Bold"/>
          <w:sz w:val="22"/>
          <w:szCs w:val="22"/>
        </w:rPr>
        <w:t>Az eseményen több, mint 650 fő vett részt, többek között a kötelezett szolgáltatók és érdekképviseleti szervek részéről.</w:t>
      </w:r>
      <w:r w:rsidR="00B154F6" w:rsidRPr="00B154F6">
        <w:t xml:space="preserve"> </w:t>
      </w:r>
    </w:p>
    <w:p w14:paraId="03D545D6" w14:textId="77777777" w:rsidR="00933A14" w:rsidRDefault="00933A14" w:rsidP="00391258">
      <w:pPr>
        <w:pStyle w:val="HierarchikusLista0"/>
      </w:pPr>
    </w:p>
    <w:p w14:paraId="43DD645B" w14:textId="24E517F8" w:rsidR="00391258" w:rsidRPr="00B154F6" w:rsidRDefault="00B154F6" w:rsidP="00391258">
      <w:pPr>
        <w:pStyle w:val="HierarchikusLista0"/>
      </w:pPr>
      <w:r w:rsidRPr="00B154F6">
        <w:rPr>
          <w:rFonts w:eastAsia="AGaramondPro-Bold"/>
          <w:sz w:val="22"/>
          <w:szCs w:val="22"/>
        </w:rPr>
        <w:t>A nyilvános meghallgatás keretében bemutatott diasor az alábbi linken elérhető</w:t>
      </w:r>
      <w:r>
        <w:rPr>
          <w:rFonts w:eastAsia="AGaramondPro-Bold"/>
          <w:sz w:val="22"/>
          <w:szCs w:val="22"/>
        </w:rPr>
        <w:t>:</w:t>
      </w:r>
    </w:p>
    <w:p w14:paraId="6396291B" w14:textId="282F8961" w:rsidR="00B154F6" w:rsidRPr="00933A14" w:rsidRDefault="00933A14" w:rsidP="00391258">
      <w:pPr>
        <w:pStyle w:val="HierarchikusLista0"/>
        <w:rPr>
          <w:rStyle w:val="Hiperhivatkozs"/>
          <w:rFonts w:eastAsia="AGaramondPro-Bold"/>
          <w:sz w:val="22"/>
          <w:szCs w:val="22"/>
          <w:vertAlign w:val="baseline"/>
        </w:rPr>
      </w:pPr>
      <w:r>
        <w:rPr>
          <w:rFonts w:eastAsia="AGaramondPro-Bold"/>
          <w:sz w:val="22"/>
          <w:szCs w:val="22"/>
        </w:rPr>
        <w:fldChar w:fldCharType="begin"/>
      </w:r>
      <w:r>
        <w:rPr>
          <w:rFonts w:eastAsia="AGaramondPro-Bold"/>
          <w:sz w:val="22"/>
          <w:szCs w:val="22"/>
        </w:rPr>
        <w:instrText>HYPERLINK "https://www.amla.europa.eu/amla-concludes-public-hearing-draft-rts-group-wide-requirements_en"</w:instrText>
      </w:r>
      <w:r>
        <w:rPr>
          <w:rFonts w:eastAsia="AGaramondPro-Bold"/>
          <w:sz w:val="22"/>
          <w:szCs w:val="22"/>
        </w:rPr>
      </w:r>
      <w:r>
        <w:rPr>
          <w:rFonts w:eastAsia="AGaramondPro-Bold"/>
          <w:sz w:val="22"/>
          <w:szCs w:val="22"/>
        </w:rPr>
        <w:fldChar w:fldCharType="separate"/>
      </w:r>
      <w:r w:rsidR="00B154F6" w:rsidRPr="00933A14">
        <w:rPr>
          <w:rStyle w:val="Hiperhivatkozs"/>
          <w:rFonts w:eastAsia="AGaramondPro-Bold"/>
          <w:sz w:val="22"/>
          <w:szCs w:val="22"/>
          <w:vertAlign w:val="baseline"/>
        </w:rPr>
        <w:t>https://www.amla.europa.eu/amla-concludes-public-hearing-draft-rts-group-wide-requirements_en</w:t>
      </w:r>
    </w:p>
    <w:p w14:paraId="6451F6F4" w14:textId="5943180B" w:rsidR="00B154F6" w:rsidRDefault="00933A14" w:rsidP="00391258">
      <w:pPr>
        <w:pStyle w:val="HierarchikusLista0"/>
        <w:rPr>
          <w:rFonts w:eastAsia="AGaramondPro-Bold"/>
          <w:sz w:val="22"/>
          <w:szCs w:val="22"/>
        </w:rPr>
      </w:pPr>
      <w:r>
        <w:rPr>
          <w:rFonts w:eastAsia="AGaramondPro-Bold"/>
          <w:sz w:val="22"/>
          <w:szCs w:val="22"/>
        </w:rPr>
        <w:fldChar w:fldCharType="end"/>
      </w:r>
    </w:p>
    <w:p w14:paraId="5D3E951F" w14:textId="398B2AFB" w:rsidR="00391258" w:rsidRDefault="00B154F6" w:rsidP="00391258">
      <w:pPr>
        <w:pStyle w:val="HierarchikusLista0"/>
        <w:rPr>
          <w:rFonts w:eastAsia="AGaramondPro-Bold"/>
          <w:sz w:val="22"/>
          <w:szCs w:val="22"/>
        </w:rPr>
      </w:pPr>
      <w:r>
        <w:rPr>
          <w:rFonts w:eastAsia="AGaramondPro-Bold"/>
          <w:sz w:val="22"/>
          <w:szCs w:val="22"/>
        </w:rPr>
        <w:t>A tervezet</w:t>
      </w:r>
      <w:r w:rsidR="00391258">
        <w:rPr>
          <w:rFonts w:eastAsia="AGaramondPro-Bold"/>
          <w:sz w:val="22"/>
          <w:szCs w:val="22"/>
        </w:rPr>
        <w:t xml:space="preserve"> </w:t>
      </w:r>
      <w:hyperlink r:id="rId13" w:history="1">
        <w:r w:rsidR="00391258" w:rsidRPr="00391258">
          <w:rPr>
            <w:rStyle w:val="Hiperhivatkozs"/>
            <w:rFonts w:eastAsia="AGaramondPro-Bold"/>
            <w:sz w:val="22"/>
            <w:szCs w:val="22"/>
            <w:vertAlign w:val="baseline"/>
          </w:rPr>
          <w:t>nyilvános szakmai konzultáció</w:t>
        </w:r>
      </w:hyperlink>
      <w:r>
        <w:rPr>
          <w:rFonts w:eastAsia="AGaramondPro-Bold"/>
          <w:sz w:val="22"/>
          <w:szCs w:val="22"/>
        </w:rPr>
        <w:t>ja</w:t>
      </w:r>
      <w:r w:rsidR="00391258">
        <w:rPr>
          <w:rFonts w:eastAsia="AGaramondPro-Bold"/>
          <w:sz w:val="22"/>
          <w:szCs w:val="22"/>
        </w:rPr>
        <w:t xml:space="preserve"> </w:t>
      </w:r>
      <w:r w:rsidR="00391258" w:rsidRPr="00391258">
        <w:rPr>
          <w:rFonts w:eastAsia="AGaramondPro-Bold"/>
          <w:sz w:val="22"/>
          <w:szCs w:val="22"/>
        </w:rPr>
        <w:t>2026. június 15-</w:t>
      </w:r>
      <w:r w:rsidR="00391258">
        <w:rPr>
          <w:rFonts w:eastAsia="AGaramondPro-Bold"/>
          <w:sz w:val="22"/>
          <w:szCs w:val="22"/>
        </w:rPr>
        <w:t xml:space="preserve">én ért véget. </w:t>
      </w:r>
    </w:p>
    <w:p w14:paraId="2B9F2435" w14:textId="77777777" w:rsidR="00933A14" w:rsidRDefault="00933A14" w:rsidP="00391258">
      <w:pPr>
        <w:pStyle w:val="HierarchikusLista0"/>
        <w:rPr>
          <w:rFonts w:eastAsia="AGaramondPro-Bold"/>
          <w:sz w:val="22"/>
          <w:szCs w:val="22"/>
        </w:rPr>
      </w:pPr>
    </w:p>
    <w:p w14:paraId="37A81295" w14:textId="66D39051" w:rsidR="00087896" w:rsidRPr="00B43866" w:rsidRDefault="00087896" w:rsidP="008D4892">
      <w:pPr>
        <w:pStyle w:val="Cmsor2"/>
      </w:pPr>
      <w:bookmarkStart w:id="6" w:name="_Toc235702130"/>
      <w:r w:rsidRPr="00B43866">
        <w:lastRenderedPageBreak/>
        <w:t>Home-</w:t>
      </w:r>
      <w:proofErr w:type="spellStart"/>
      <w:r w:rsidRPr="00B43866">
        <w:t>host</w:t>
      </w:r>
      <w:proofErr w:type="spellEnd"/>
      <w:r w:rsidRPr="00B43866">
        <w:t xml:space="preserve"> felügyeleti együttműködésről szóló </w:t>
      </w:r>
      <w:r w:rsidR="000005FA" w:rsidRPr="000005FA">
        <w:t xml:space="preserve">szabályozástechnikai standardok </w:t>
      </w:r>
      <w:r w:rsidR="000005FA">
        <w:t>(</w:t>
      </w:r>
      <w:proofErr w:type="spellStart"/>
      <w:r w:rsidRPr="00B43866">
        <w:t>RTS</w:t>
      </w:r>
      <w:proofErr w:type="spellEnd"/>
      <w:r w:rsidR="000005FA">
        <w:t>)</w:t>
      </w:r>
      <w:r w:rsidRPr="00B43866">
        <w:t xml:space="preserve"> tervezet</w:t>
      </w:r>
      <w:r w:rsidR="000005FA">
        <w:t>e</w:t>
      </w:r>
      <w:bookmarkEnd w:id="6"/>
    </w:p>
    <w:p w14:paraId="51B45432" w14:textId="3359DD21" w:rsidR="00933A14" w:rsidRDefault="00B43866" w:rsidP="009D04B8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B43866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B43866">
        <w:rPr>
          <w:rFonts w:eastAsia="Times New Roman" w:cs="Calibri"/>
          <w:sz w:val="22"/>
          <w:szCs w:val="22"/>
        </w:rPr>
        <w:t>AMLD</w:t>
      </w:r>
      <w:proofErr w:type="spellEnd"/>
      <w:r w:rsidRPr="00B43866">
        <w:rPr>
          <w:rFonts w:eastAsia="Times New Roman" w:cs="Calibri"/>
          <w:sz w:val="22"/>
          <w:szCs w:val="22"/>
        </w:rPr>
        <w:t xml:space="preserve"> 46. cikke tartalmazza a csoportfelügyelet keretében folytatott együttműködésre vonatkozó rendelkezéseket, e cikk (4) bekezdése alapján az AMLA-</w:t>
      </w:r>
      <w:proofErr w:type="spellStart"/>
      <w:r w:rsidRPr="00B43866">
        <w:rPr>
          <w:rFonts w:eastAsia="Times New Roman" w:cs="Calibri"/>
          <w:sz w:val="22"/>
          <w:szCs w:val="22"/>
        </w:rPr>
        <w:t>nak</w:t>
      </w:r>
      <w:proofErr w:type="spellEnd"/>
      <w:r w:rsidRPr="00B43866">
        <w:rPr>
          <w:rFonts w:eastAsia="Times New Roman" w:cs="Calibri"/>
          <w:sz w:val="22"/>
          <w:szCs w:val="22"/>
        </w:rPr>
        <w:t xml:space="preserve"> szabályozástechnikai </w:t>
      </w:r>
      <w:proofErr w:type="spellStart"/>
      <w:r w:rsidRPr="00B43866">
        <w:rPr>
          <w:rFonts w:eastAsia="Times New Roman" w:cs="Calibri"/>
          <w:sz w:val="22"/>
          <w:szCs w:val="22"/>
        </w:rPr>
        <w:t>sztendertervezeteket</w:t>
      </w:r>
      <w:proofErr w:type="spellEnd"/>
      <w:r w:rsidRPr="00B43866">
        <w:rPr>
          <w:rFonts w:eastAsia="Times New Roman" w:cs="Calibri"/>
          <w:sz w:val="22"/>
          <w:szCs w:val="22"/>
        </w:rPr>
        <w:t xml:space="preserve"> (</w:t>
      </w:r>
      <w:proofErr w:type="spellStart"/>
      <w:r w:rsidRPr="00B43866">
        <w:rPr>
          <w:rFonts w:eastAsia="Times New Roman" w:cs="Calibri"/>
          <w:sz w:val="22"/>
          <w:szCs w:val="22"/>
        </w:rPr>
        <w:t>RTS</w:t>
      </w:r>
      <w:proofErr w:type="spellEnd"/>
      <w:r w:rsidRPr="00B43866">
        <w:rPr>
          <w:rFonts w:eastAsia="Times New Roman" w:cs="Calibri"/>
          <w:sz w:val="22"/>
          <w:szCs w:val="22"/>
        </w:rPr>
        <w:t xml:space="preserve">) kell kidolgoznia a székhely szerinti </w:t>
      </w:r>
      <w:r w:rsidR="00933A14">
        <w:rPr>
          <w:rFonts w:eastAsia="Times New Roman" w:cs="Calibri"/>
          <w:sz w:val="22"/>
          <w:szCs w:val="22"/>
        </w:rPr>
        <w:t>(</w:t>
      </w:r>
      <w:proofErr w:type="spellStart"/>
      <w:r w:rsidR="00933A14">
        <w:rPr>
          <w:rFonts w:eastAsia="Times New Roman" w:cs="Calibri"/>
          <w:sz w:val="22"/>
          <w:szCs w:val="22"/>
        </w:rPr>
        <w:t>home</w:t>
      </w:r>
      <w:proofErr w:type="spellEnd"/>
      <w:r w:rsidR="00933A14">
        <w:rPr>
          <w:rFonts w:eastAsia="Times New Roman" w:cs="Calibri"/>
          <w:sz w:val="22"/>
          <w:szCs w:val="22"/>
        </w:rPr>
        <w:t xml:space="preserve">) </w:t>
      </w:r>
      <w:r w:rsidRPr="00B43866">
        <w:rPr>
          <w:rFonts w:eastAsia="Times New Roman" w:cs="Calibri"/>
          <w:sz w:val="22"/>
          <w:szCs w:val="22"/>
        </w:rPr>
        <w:t>és a fogadó</w:t>
      </w:r>
      <w:r w:rsidR="00933A14">
        <w:rPr>
          <w:rFonts w:eastAsia="Times New Roman" w:cs="Calibri"/>
          <w:sz w:val="22"/>
          <w:szCs w:val="22"/>
        </w:rPr>
        <w:t xml:space="preserve"> (</w:t>
      </w:r>
      <w:proofErr w:type="spellStart"/>
      <w:r w:rsidR="00933A14">
        <w:rPr>
          <w:rFonts w:eastAsia="Times New Roman" w:cs="Calibri"/>
          <w:sz w:val="22"/>
          <w:szCs w:val="22"/>
        </w:rPr>
        <w:t>ho</w:t>
      </w:r>
      <w:r w:rsidR="007449C4">
        <w:rPr>
          <w:rFonts w:eastAsia="Times New Roman" w:cs="Calibri"/>
          <w:sz w:val="22"/>
          <w:szCs w:val="22"/>
        </w:rPr>
        <w:t>st</w:t>
      </w:r>
      <w:proofErr w:type="spellEnd"/>
      <w:r w:rsidR="00933A14">
        <w:rPr>
          <w:rFonts w:eastAsia="Times New Roman" w:cs="Calibri"/>
          <w:sz w:val="22"/>
          <w:szCs w:val="22"/>
        </w:rPr>
        <w:t>)</w:t>
      </w:r>
      <w:r w:rsidRPr="00B43866">
        <w:rPr>
          <w:rFonts w:eastAsia="Times New Roman" w:cs="Calibri"/>
          <w:sz w:val="22"/>
          <w:szCs w:val="22"/>
        </w:rPr>
        <w:t xml:space="preserve"> tagállambeli felügyeletek feladatainak, valamint az e felügyeletek között megvalósuló együttműködés módozatainak részletes ismertetése céljából. </w:t>
      </w:r>
    </w:p>
    <w:p w14:paraId="76E715DB" w14:textId="7A7410C5" w:rsidR="00B43866" w:rsidRPr="00B43866" w:rsidRDefault="00B43866" w:rsidP="009D04B8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B43866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B43866">
        <w:rPr>
          <w:rFonts w:eastAsia="Times New Roman" w:cs="Calibri"/>
          <w:sz w:val="22"/>
          <w:szCs w:val="22"/>
        </w:rPr>
        <w:t>RTS</w:t>
      </w:r>
      <w:proofErr w:type="spellEnd"/>
      <w:r w:rsidRPr="00B43866">
        <w:rPr>
          <w:rFonts w:eastAsia="Times New Roman" w:cs="Calibri"/>
          <w:sz w:val="22"/>
          <w:szCs w:val="22"/>
        </w:rPr>
        <w:t xml:space="preserve"> tervezet egy együttműködési keretrendszert hoz létre a kötelezett szolgáltatók csoportjainak felügyelete vonatkozásában, amely egy átfogó együttműködési rendszer részét képezi.</w:t>
      </w:r>
    </w:p>
    <w:p w14:paraId="7810F9E9" w14:textId="0E0EDB1B" w:rsidR="00287919" w:rsidRDefault="00B43866" w:rsidP="009D04B8">
      <w:pPr>
        <w:shd w:val="clear" w:color="auto" w:fill="FFFFFF"/>
        <w:spacing w:beforeAutospacing="1" w:after="0" w:afterAutospacing="1"/>
        <w:textAlignment w:val="baseline"/>
        <w:rPr>
          <w:rFonts w:eastAsia="Times New Roman" w:cs="Calibri"/>
          <w:sz w:val="22"/>
          <w:szCs w:val="22"/>
        </w:rPr>
      </w:pPr>
      <w:r w:rsidRPr="00B43866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B43866">
        <w:rPr>
          <w:rFonts w:eastAsia="Times New Roman" w:cs="Calibri"/>
          <w:sz w:val="22"/>
          <w:szCs w:val="22"/>
        </w:rPr>
        <w:t>RTS</w:t>
      </w:r>
      <w:proofErr w:type="spellEnd"/>
      <w:r w:rsidRPr="00B43866">
        <w:rPr>
          <w:rFonts w:eastAsia="Times New Roman" w:cs="Calibri"/>
          <w:sz w:val="22"/>
          <w:szCs w:val="22"/>
        </w:rPr>
        <w:t xml:space="preserve"> tervezet konzultációja céljából az AMLA </w:t>
      </w:r>
      <w:hyperlink r:id="rId14" w:history="1">
        <w:r w:rsidRPr="00C475B9">
          <w:rPr>
            <w:rStyle w:val="Hiperhivatkozs"/>
            <w:rFonts w:eastAsia="Times New Roman" w:cs="Calibri"/>
            <w:sz w:val="22"/>
            <w:szCs w:val="22"/>
            <w:bdr w:val="none" w:sz="0" w:space="0" w:color="auto" w:frame="1"/>
            <w:vertAlign w:val="baseline"/>
          </w:rPr>
          <w:t>nyilvános meghallgatást</w:t>
        </w:r>
        <w:r w:rsidRPr="00C475B9">
          <w:rPr>
            <w:rStyle w:val="Hiperhivatkozs"/>
            <w:rFonts w:eastAsia="Times New Roman" w:cs="Calibri"/>
            <w:sz w:val="22"/>
            <w:szCs w:val="22"/>
            <w:vertAlign w:val="baseline"/>
          </w:rPr>
          <w:t> </w:t>
        </w:r>
      </w:hyperlink>
      <w:r w:rsidRPr="00B43866">
        <w:rPr>
          <w:rFonts w:eastAsia="Times New Roman" w:cs="Calibri"/>
          <w:sz w:val="22"/>
          <w:szCs w:val="22"/>
        </w:rPr>
        <w:t>(</w:t>
      </w:r>
      <w:proofErr w:type="spellStart"/>
      <w:r w:rsidRPr="00B43866">
        <w:rPr>
          <w:rFonts w:eastAsia="Times New Roman" w:cs="Calibri"/>
          <w:sz w:val="22"/>
          <w:szCs w:val="22"/>
        </w:rPr>
        <w:t>public</w:t>
      </w:r>
      <w:proofErr w:type="spellEnd"/>
      <w:r w:rsidRPr="00B43866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B43866">
        <w:rPr>
          <w:rFonts w:eastAsia="Times New Roman" w:cs="Calibri"/>
          <w:sz w:val="22"/>
          <w:szCs w:val="22"/>
        </w:rPr>
        <w:t>hearing</w:t>
      </w:r>
      <w:proofErr w:type="spellEnd"/>
      <w:r w:rsidRPr="00B43866">
        <w:rPr>
          <w:rFonts w:eastAsia="Times New Roman" w:cs="Calibri"/>
          <w:sz w:val="22"/>
          <w:szCs w:val="22"/>
        </w:rPr>
        <w:t>) tart</w:t>
      </w:r>
      <w:r>
        <w:rPr>
          <w:rFonts w:eastAsia="Times New Roman" w:cs="Calibri"/>
          <w:sz w:val="22"/>
          <w:szCs w:val="22"/>
        </w:rPr>
        <w:t>ott</w:t>
      </w:r>
      <w:r w:rsidRPr="00B43866">
        <w:rPr>
          <w:rFonts w:eastAsia="Times New Roman" w:cs="Calibri"/>
          <w:sz w:val="22"/>
          <w:szCs w:val="22"/>
        </w:rPr>
        <w:t> </w:t>
      </w:r>
      <w:r w:rsidRPr="00B43866">
        <w:rPr>
          <w:rFonts w:eastAsia="Times New Roman" w:cs="Calibri"/>
          <w:sz w:val="22"/>
          <w:szCs w:val="22"/>
          <w:bdr w:val="none" w:sz="0" w:space="0" w:color="auto" w:frame="1"/>
        </w:rPr>
        <w:t>2026. május 28-án</w:t>
      </w:r>
      <w:r w:rsidRPr="00B43866">
        <w:rPr>
          <w:rFonts w:eastAsia="Times New Roman" w:cs="Calibri"/>
          <w:sz w:val="22"/>
          <w:szCs w:val="22"/>
        </w:rPr>
        <w:t xml:space="preserve">, melynek keretében lehetőség </w:t>
      </w:r>
      <w:r>
        <w:rPr>
          <w:rFonts w:eastAsia="Times New Roman" w:cs="Calibri"/>
          <w:sz w:val="22"/>
          <w:szCs w:val="22"/>
        </w:rPr>
        <w:t>volt</w:t>
      </w:r>
      <w:r w:rsidRPr="00B43866">
        <w:rPr>
          <w:rFonts w:eastAsia="Times New Roman" w:cs="Calibri"/>
          <w:sz w:val="22"/>
          <w:szCs w:val="22"/>
        </w:rPr>
        <w:t xml:space="preserve"> a konzultációs dokumentumban szereplő kérdések tekintetében észrevételek jelzésére. </w:t>
      </w:r>
      <w:r>
        <w:rPr>
          <w:rFonts w:eastAsia="Times New Roman" w:cs="Calibri"/>
          <w:sz w:val="22"/>
          <w:szCs w:val="22"/>
        </w:rPr>
        <w:t>(Í</w:t>
      </w:r>
      <w:r w:rsidRPr="00B43866">
        <w:rPr>
          <w:rFonts w:eastAsia="Times New Roman" w:cs="Calibri"/>
          <w:sz w:val="22"/>
          <w:szCs w:val="22"/>
        </w:rPr>
        <w:t xml:space="preserve">rásbeli észrevételeket az </w:t>
      </w:r>
      <w:proofErr w:type="spellStart"/>
      <w:r w:rsidRPr="00B43866">
        <w:rPr>
          <w:rFonts w:eastAsia="Times New Roman" w:cs="Calibri"/>
          <w:sz w:val="22"/>
          <w:szCs w:val="22"/>
        </w:rPr>
        <w:t>RTS</w:t>
      </w:r>
      <w:proofErr w:type="spellEnd"/>
      <w:r w:rsidRPr="00B43866">
        <w:rPr>
          <w:rFonts w:eastAsia="Times New Roman" w:cs="Calibri"/>
          <w:sz w:val="22"/>
          <w:szCs w:val="22"/>
        </w:rPr>
        <w:t xml:space="preserve"> tervezet kapcsán</w:t>
      </w:r>
      <w:r>
        <w:rPr>
          <w:rFonts w:eastAsia="Times New Roman" w:cs="Calibri"/>
          <w:sz w:val="22"/>
          <w:szCs w:val="22"/>
        </w:rPr>
        <w:t xml:space="preserve"> az AMLA</w:t>
      </w:r>
      <w:r w:rsidRPr="00B43866">
        <w:rPr>
          <w:rFonts w:eastAsia="Times New Roman" w:cs="Calibri"/>
          <w:sz w:val="22"/>
          <w:szCs w:val="22"/>
        </w:rPr>
        <w:t xml:space="preserve"> nem fogad</w:t>
      </w:r>
      <w:r>
        <w:rPr>
          <w:rFonts w:eastAsia="Times New Roman" w:cs="Calibri"/>
          <w:sz w:val="22"/>
          <w:szCs w:val="22"/>
        </w:rPr>
        <w:t>ott</w:t>
      </w:r>
      <w:r w:rsidRPr="00B43866">
        <w:rPr>
          <w:rFonts w:eastAsia="Times New Roman" w:cs="Calibri"/>
          <w:sz w:val="22"/>
          <w:szCs w:val="22"/>
        </w:rPr>
        <w:t xml:space="preserve"> el, visszajelzés</w:t>
      </w:r>
      <w:r>
        <w:rPr>
          <w:rFonts w:eastAsia="Times New Roman" w:cs="Calibri"/>
          <w:sz w:val="22"/>
          <w:szCs w:val="22"/>
        </w:rPr>
        <w:t>re</w:t>
      </w:r>
      <w:r w:rsidRPr="00B43866">
        <w:rPr>
          <w:rFonts w:eastAsia="Times New Roman" w:cs="Calibri"/>
          <w:sz w:val="22"/>
          <w:szCs w:val="22"/>
        </w:rPr>
        <w:t xml:space="preserve"> kizárólag a nyilvános meghallgatás során </w:t>
      </w:r>
      <w:r>
        <w:rPr>
          <w:rFonts w:eastAsia="Times New Roman" w:cs="Calibri"/>
          <w:sz w:val="22"/>
          <w:szCs w:val="22"/>
        </w:rPr>
        <w:t>volt lehetőség.)</w:t>
      </w:r>
    </w:p>
    <w:p w14:paraId="4FF12A3E" w14:textId="57D9785A" w:rsidR="002B5716" w:rsidRDefault="002B5716" w:rsidP="009D04B8">
      <w:pPr>
        <w:pStyle w:val="Cmsor2"/>
        <w:jc w:val="both"/>
      </w:pPr>
      <w:bookmarkStart w:id="7" w:name="_Toc235702131"/>
      <w:r w:rsidRPr="002B5716">
        <w:t xml:space="preserve">A gyanús ügyletek bejelentésére szolgáló egységes formátum létrehozását célzó végrehajtás-technikai </w:t>
      </w:r>
      <w:r w:rsidR="000005FA">
        <w:t>standardok</w:t>
      </w:r>
      <w:r w:rsidRPr="002B5716">
        <w:t xml:space="preserve"> (</w:t>
      </w:r>
      <w:proofErr w:type="spellStart"/>
      <w:r w:rsidRPr="002B5716">
        <w:t>ITS</w:t>
      </w:r>
      <w:proofErr w:type="spellEnd"/>
      <w:r w:rsidRPr="002B5716">
        <w:t>)</w:t>
      </w:r>
      <w:r w:rsidR="000005FA">
        <w:t xml:space="preserve"> tervezete</w:t>
      </w:r>
      <w:bookmarkEnd w:id="7"/>
    </w:p>
    <w:p w14:paraId="4CD83A1C" w14:textId="61B979C2" w:rsidR="00371811" w:rsidRPr="00371811" w:rsidRDefault="00371811" w:rsidP="009D04B8">
      <w:pPr>
        <w:shd w:val="clear" w:color="auto" w:fill="FFFFFF"/>
        <w:spacing w:after="0"/>
        <w:textAlignment w:val="baseline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 xml:space="preserve">Az </w:t>
      </w:r>
      <w:r w:rsidRPr="00371811">
        <w:rPr>
          <w:rFonts w:eastAsia="Times New Roman" w:cs="Calibri"/>
          <w:sz w:val="22"/>
          <w:szCs w:val="22"/>
        </w:rPr>
        <w:t xml:space="preserve">AMLA 2026. július 2-től 2026. szeptember 20-ig nyilvános szakmai konzultációt tart a gyanús ügyletek bejelentésére szolgáló egységes formátum létrehozása vonatkozásában. A cél, hogy a közös </w:t>
      </w:r>
      <w:proofErr w:type="spellStart"/>
      <w:r w:rsidRPr="00371811">
        <w:rPr>
          <w:rFonts w:eastAsia="Times New Roman" w:cs="Calibri"/>
          <w:sz w:val="22"/>
          <w:szCs w:val="22"/>
        </w:rPr>
        <w:t>template</w:t>
      </w:r>
      <w:proofErr w:type="spellEnd"/>
      <w:r w:rsidRPr="00371811">
        <w:rPr>
          <w:rFonts w:eastAsia="Times New Roman" w:cs="Calibri"/>
          <w:sz w:val="22"/>
          <w:szCs w:val="22"/>
        </w:rPr>
        <w:t xml:space="preserve">-ek kialakításával a tagállamok közötti </w:t>
      </w:r>
      <w:proofErr w:type="spellStart"/>
      <w:r w:rsidRPr="00371811">
        <w:rPr>
          <w:rFonts w:eastAsia="Times New Roman" w:cs="Calibri"/>
          <w:sz w:val="22"/>
          <w:szCs w:val="22"/>
        </w:rPr>
        <w:t>konszisztencia</w:t>
      </w:r>
      <w:proofErr w:type="spellEnd"/>
      <w:r w:rsidRPr="00371811">
        <w:rPr>
          <w:rFonts w:eastAsia="Times New Roman" w:cs="Calibri"/>
          <w:sz w:val="22"/>
          <w:szCs w:val="22"/>
        </w:rPr>
        <w:t xml:space="preserve"> megvalósuljon, a szektorspecifikus igények figyelembevétele mellett.</w:t>
      </w:r>
    </w:p>
    <w:p w14:paraId="66C950B7" w14:textId="186DDE71" w:rsidR="00371811" w:rsidRPr="00371811" w:rsidRDefault="00371811" w:rsidP="009D04B8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371811">
        <w:rPr>
          <w:rFonts w:eastAsia="Times New Roman" w:cs="Calibri"/>
          <w:sz w:val="22"/>
          <w:szCs w:val="22"/>
        </w:rPr>
        <w:t xml:space="preserve">Ennek jogszabályi alapja, hogy az </w:t>
      </w:r>
      <w:proofErr w:type="spellStart"/>
      <w:r w:rsidRPr="00371811">
        <w:rPr>
          <w:rFonts w:eastAsia="Times New Roman" w:cs="Calibri"/>
          <w:sz w:val="22"/>
          <w:szCs w:val="22"/>
        </w:rPr>
        <w:t>AMLR</w:t>
      </w:r>
      <w:proofErr w:type="spellEnd"/>
      <w:r w:rsidRPr="00371811">
        <w:rPr>
          <w:rFonts w:eastAsia="Times New Roman" w:cs="Calibri"/>
          <w:sz w:val="22"/>
          <w:szCs w:val="22"/>
        </w:rPr>
        <w:t xml:space="preserve"> 69. cikk (3) bekezdése alapján az AMLA végrehajtás-technikai standardtervezeteket (</w:t>
      </w:r>
      <w:proofErr w:type="spellStart"/>
      <w:r w:rsidRPr="00371811">
        <w:rPr>
          <w:rFonts w:eastAsia="Times New Roman" w:cs="Calibri"/>
          <w:sz w:val="22"/>
          <w:szCs w:val="22"/>
        </w:rPr>
        <w:t>ITS</w:t>
      </w:r>
      <w:proofErr w:type="spellEnd"/>
      <w:r w:rsidRPr="00371811">
        <w:rPr>
          <w:rFonts w:eastAsia="Times New Roman" w:cs="Calibri"/>
          <w:sz w:val="22"/>
          <w:szCs w:val="22"/>
        </w:rPr>
        <w:t xml:space="preserve">) </w:t>
      </w:r>
      <w:proofErr w:type="spellStart"/>
      <w:r w:rsidRPr="00371811">
        <w:rPr>
          <w:rFonts w:eastAsia="Times New Roman" w:cs="Calibri"/>
          <w:sz w:val="22"/>
          <w:szCs w:val="22"/>
        </w:rPr>
        <w:t>dolgoz</w:t>
      </w:r>
      <w:proofErr w:type="spellEnd"/>
      <w:r w:rsidRPr="00371811">
        <w:rPr>
          <w:rFonts w:eastAsia="Times New Roman" w:cs="Calibri"/>
          <w:sz w:val="22"/>
          <w:szCs w:val="22"/>
        </w:rPr>
        <w:t xml:space="preserve"> ki, melyben meghatározza, hogy milyen formátumban szükséges</w:t>
      </w:r>
      <w:r w:rsidR="009D04B8">
        <w:rPr>
          <w:rFonts w:eastAsia="Times New Roman" w:cs="Calibri"/>
          <w:sz w:val="22"/>
          <w:szCs w:val="22"/>
        </w:rPr>
        <w:t xml:space="preserve"> </w:t>
      </w:r>
      <w:r w:rsidRPr="00371811">
        <w:rPr>
          <w:rFonts w:eastAsia="Times New Roman" w:cs="Calibri"/>
          <w:sz w:val="22"/>
          <w:szCs w:val="22"/>
        </w:rPr>
        <w:t xml:space="preserve">(1) a kötelezett szolgáltató által a </w:t>
      </w:r>
      <w:proofErr w:type="spellStart"/>
      <w:r w:rsidRPr="00371811">
        <w:rPr>
          <w:rFonts w:eastAsia="Times New Roman" w:cs="Calibri"/>
          <w:sz w:val="22"/>
          <w:szCs w:val="22"/>
        </w:rPr>
        <w:t>FIU-nak</w:t>
      </w:r>
      <w:proofErr w:type="spellEnd"/>
      <w:r w:rsidRPr="00371811">
        <w:rPr>
          <w:rFonts w:eastAsia="Times New Roman" w:cs="Calibri"/>
          <w:sz w:val="22"/>
          <w:szCs w:val="22"/>
        </w:rPr>
        <w:t xml:space="preserve"> történő gyanú bejelentése arról, hogy bizonyos pénzeszközök vagy tevékenységek büntetendő cselekményből befolyt jövedelemből származnak vagy terrorizmus finanszírozásához vagy büntetendő cselekményhez kapcsolódnak;</w:t>
      </w:r>
      <w:r w:rsidR="009D04B8">
        <w:rPr>
          <w:rFonts w:eastAsia="Times New Roman" w:cs="Calibri"/>
          <w:sz w:val="22"/>
          <w:szCs w:val="22"/>
        </w:rPr>
        <w:t xml:space="preserve"> </w:t>
      </w:r>
      <w:r w:rsidRPr="00371811">
        <w:rPr>
          <w:rFonts w:eastAsia="Times New Roman" w:cs="Calibri"/>
          <w:sz w:val="22"/>
          <w:szCs w:val="22"/>
        </w:rPr>
        <w:t>(2) az ügyleti adatok megadása.</w:t>
      </w:r>
    </w:p>
    <w:p w14:paraId="542A6B4C" w14:textId="77777777" w:rsidR="00371811" w:rsidRPr="00371811" w:rsidRDefault="00371811" w:rsidP="00371811">
      <w:pPr>
        <w:shd w:val="clear" w:color="auto" w:fill="FFFFFF"/>
        <w:spacing w:beforeAutospacing="1" w:after="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371811">
        <w:rPr>
          <w:rFonts w:eastAsia="Times New Roman" w:cs="Calibri"/>
          <w:sz w:val="22"/>
          <w:szCs w:val="22"/>
        </w:rPr>
        <w:t>A tervezettel kapcsolatban az AMLA </w:t>
      </w:r>
      <w:r w:rsidRPr="00C475B9">
        <w:rPr>
          <w:rFonts w:eastAsia="Times New Roman" w:cs="Calibri"/>
          <w:sz w:val="22"/>
          <w:szCs w:val="22"/>
          <w:bdr w:val="none" w:sz="0" w:space="0" w:color="auto" w:frame="1"/>
        </w:rPr>
        <w:t>2026. szeptember 9-én nyilvános meghallgatást</w:t>
      </w:r>
      <w:r w:rsidRPr="00371811">
        <w:rPr>
          <w:rFonts w:eastAsia="Times New Roman" w:cs="Calibri"/>
          <w:sz w:val="22"/>
          <w:szCs w:val="22"/>
        </w:rPr>
        <w:t> is tervez, melyre regisztrálni az alábbi linken keresztül lehetséges:</w:t>
      </w:r>
    </w:p>
    <w:p w14:paraId="7A63353F" w14:textId="228C7856" w:rsidR="00371811" w:rsidRPr="001F079C" w:rsidRDefault="001F079C" w:rsidP="00371811">
      <w:pPr>
        <w:shd w:val="clear" w:color="auto" w:fill="FFFFFF"/>
        <w:spacing w:beforeAutospacing="1" w:after="0" w:afterAutospacing="1" w:line="240" w:lineRule="auto"/>
        <w:textAlignment w:val="baseline"/>
        <w:rPr>
          <w:rStyle w:val="Hiperhivatkozs"/>
          <w:rFonts w:eastAsia="Times New Roman" w:cs="Calibri"/>
          <w:sz w:val="22"/>
          <w:szCs w:val="22"/>
          <w:vertAlign w:val="baseline"/>
        </w:rPr>
      </w:pP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begin"/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instrText>HYPERLINK "https://www.amla.europa.eu/events/public-hearing-draft-its-format-reporting-suspicions-and-providing-transaction-records-2026-09-09_en"</w:instrText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separate"/>
      </w:r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https://www.amla.europa.eu/events/public-hearing-draft-its-format-reporting-suspicions-and-providing-transaction-records-2026-09-09_en</w:t>
      </w:r>
    </w:p>
    <w:p w14:paraId="4AFEAEA4" w14:textId="29DF7C10" w:rsidR="00371811" w:rsidRPr="00371811" w:rsidRDefault="001F079C" w:rsidP="00371811">
      <w:pPr>
        <w:shd w:val="clear" w:color="auto" w:fill="FFFFFF"/>
        <w:spacing w:beforeAutospacing="1" w:after="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end"/>
      </w:r>
      <w:r w:rsidR="00371811" w:rsidRPr="00371811">
        <w:rPr>
          <w:rFonts w:eastAsia="Times New Roman" w:cs="Calibri"/>
          <w:sz w:val="22"/>
          <w:szCs w:val="22"/>
        </w:rPr>
        <w:t>A </w:t>
      </w:r>
      <w:r w:rsidR="00371811" w:rsidRPr="00C475B9">
        <w:rPr>
          <w:rFonts w:eastAsia="Times New Roman" w:cs="Calibri"/>
          <w:sz w:val="22"/>
          <w:szCs w:val="22"/>
          <w:bdr w:val="none" w:sz="0" w:space="0" w:color="auto" w:frame="1"/>
        </w:rPr>
        <w:t>nyilvános konzultáció 2026. július 2-től 2026. szeptember 20-ig tart</w:t>
      </w:r>
      <w:r w:rsidR="00371811" w:rsidRPr="00371811">
        <w:rPr>
          <w:rFonts w:eastAsia="Times New Roman" w:cs="Calibri"/>
          <w:sz w:val="22"/>
          <w:szCs w:val="22"/>
        </w:rPr>
        <w:t>, a tervezet és a hozzá kapcsolódó mellékletek az alábbi linken érhető</w:t>
      </w:r>
      <w:r>
        <w:rPr>
          <w:rFonts w:eastAsia="Times New Roman" w:cs="Calibri"/>
          <w:sz w:val="22"/>
          <w:szCs w:val="22"/>
        </w:rPr>
        <w:t>k</w:t>
      </w:r>
      <w:r w:rsidR="00371811" w:rsidRPr="00371811">
        <w:rPr>
          <w:rFonts w:eastAsia="Times New Roman" w:cs="Calibri"/>
          <w:sz w:val="22"/>
          <w:szCs w:val="22"/>
        </w:rPr>
        <w:t xml:space="preserve"> el:</w:t>
      </w:r>
    </w:p>
    <w:p w14:paraId="133509F4" w14:textId="23E981F7" w:rsidR="001F079C" w:rsidRPr="001F079C" w:rsidRDefault="001F079C" w:rsidP="00371811">
      <w:pPr>
        <w:shd w:val="clear" w:color="auto" w:fill="FFFFFF"/>
        <w:spacing w:beforeAutospacing="1" w:after="0" w:afterAutospacing="1" w:line="240" w:lineRule="auto"/>
        <w:textAlignment w:val="baseline"/>
        <w:rPr>
          <w:rStyle w:val="Hiperhivatkozs"/>
          <w:vertAlign w:val="baseline"/>
        </w:rPr>
      </w:pP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begin"/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instrText>HYPERLINK "https://www.amla.europa.eu/policy/public-consultations/consultation-draft-its-format-reporting-suspicions-and-providing-transaction-records_en"</w:instrText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separate"/>
      </w:r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https://www.amla.europa.eu/policy/public-consultations/consultation-draft-its-format-reporting-suspicions-and-providing-transaction-records_en</w:t>
      </w:r>
    </w:p>
    <w:p w14:paraId="42CE34D5" w14:textId="45C10D56" w:rsidR="00371811" w:rsidRPr="00371811" w:rsidRDefault="001F079C" w:rsidP="0037181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end"/>
      </w:r>
      <w:r w:rsidR="00371811" w:rsidRPr="00371811">
        <w:rPr>
          <w:rFonts w:eastAsia="Times New Roman" w:cs="Calibri"/>
          <w:sz w:val="22"/>
          <w:szCs w:val="22"/>
        </w:rPr>
        <w:t>A kapcsolódó hír az AMLA honlapján itt érhető el:</w:t>
      </w:r>
    </w:p>
    <w:p w14:paraId="57C9393E" w14:textId="3B2EE4FC" w:rsidR="00D237BD" w:rsidRPr="001F079C" w:rsidRDefault="001F079C" w:rsidP="00371811">
      <w:pPr>
        <w:shd w:val="clear" w:color="auto" w:fill="FFFFFF"/>
        <w:spacing w:beforeAutospacing="1" w:after="0" w:afterAutospacing="1" w:line="240" w:lineRule="auto"/>
        <w:textAlignment w:val="baseline"/>
        <w:rPr>
          <w:rStyle w:val="Hiperhivatkozs"/>
          <w:vertAlign w:val="baseline"/>
        </w:rPr>
      </w:pP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begin"/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instrText>HYPERLINK "https://www.amla.europa.eu/amla-launches-public-consultation-common-format-reporting-suspicions_en"</w:instrText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separate"/>
      </w:r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AMLA </w:t>
      </w:r>
      <w:proofErr w:type="spellStart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launches</w:t>
      </w:r>
      <w:proofErr w:type="spellEnd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public</w:t>
      </w:r>
      <w:proofErr w:type="spellEnd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consultation</w:t>
      </w:r>
      <w:proofErr w:type="spellEnd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on</w:t>
      </w:r>
      <w:proofErr w:type="spellEnd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common</w:t>
      </w:r>
      <w:proofErr w:type="spellEnd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format</w:t>
      </w:r>
      <w:proofErr w:type="spellEnd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for</w:t>
      </w:r>
      <w:proofErr w:type="spellEnd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reporting</w:t>
      </w:r>
      <w:proofErr w:type="spellEnd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371811" w:rsidRPr="001F079C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suspicions</w:t>
      </w:r>
      <w:proofErr w:type="spellEnd"/>
    </w:p>
    <w:p w14:paraId="54938FF4" w14:textId="4073B075" w:rsidR="00D237BD" w:rsidRPr="00740EE2" w:rsidRDefault="001F079C" w:rsidP="001F079C">
      <w:pPr>
        <w:pStyle w:val="Cmsor2"/>
        <w:jc w:val="both"/>
      </w:pPr>
      <w:r>
        <w:rPr>
          <w:rFonts w:eastAsia="Times New Roman" w:cs="Calibri"/>
          <w:b w:val="0"/>
          <w:color w:val="auto"/>
          <w:sz w:val="22"/>
          <w:szCs w:val="22"/>
          <w:u w:val="single"/>
          <w:bdr w:val="none" w:sz="0" w:space="0" w:color="auto" w:frame="1"/>
        </w:rPr>
        <w:lastRenderedPageBreak/>
        <w:fldChar w:fldCharType="end"/>
      </w:r>
      <w:bookmarkStart w:id="8" w:name="_Toc235702132"/>
      <w:r w:rsidR="00D237BD">
        <w:t xml:space="preserve">A </w:t>
      </w:r>
      <w:r w:rsidR="00D237BD" w:rsidRPr="00740EE2">
        <w:t>közvetlen felügyeléssel kapcsolatos felügyeleti együttműködés</w:t>
      </w:r>
      <w:r w:rsidR="00D237BD">
        <w:t xml:space="preserve">ről szóló </w:t>
      </w:r>
      <w:r w:rsidR="00D237BD" w:rsidRPr="00740EE2">
        <w:t xml:space="preserve">végrehajtás-technikai </w:t>
      </w:r>
      <w:r w:rsidR="00D237BD">
        <w:t>standardok</w:t>
      </w:r>
      <w:r w:rsidR="00D237BD" w:rsidRPr="00740EE2">
        <w:t xml:space="preserve"> (</w:t>
      </w:r>
      <w:proofErr w:type="spellStart"/>
      <w:r w:rsidR="00D237BD" w:rsidRPr="00740EE2">
        <w:t>ITS</w:t>
      </w:r>
      <w:proofErr w:type="spellEnd"/>
      <w:r w:rsidR="00D237BD" w:rsidRPr="00740EE2">
        <w:t>)</w:t>
      </w:r>
      <w:r w:rsidR="00D237BD">
        <w:t xml:space="preserve"> tervezete</w:t>
      </w:r>
      <w:bookmarkEnd w:id="8"/>
    </w:p>
    <w:p w14:paraId="3C066978" w14:textId="77777777" w:rsidR="00D237BD" w:rsidRPr="00740EE2" w:rsidRDefault="00D237BD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Az AMLA Rendelet 15. cikk (3) bekezdése alapján az AMLA végrehajtástechnikai sztenderdeket (</w:t>
      </w:r>
      <w:proofErr w:type="spellStart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ITS</w:t>
      </w:r>
      <w:proofErr w:type="spellEnd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) </w:t>
      </w:r>
      <w:proofErr w:type="spellStart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dolgoz</w:t>
      </w:r>
      <w:proofErr w:type="spellEnd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ki, amelyben meghatározza a felügyelt intézmények közvetlen felügyeletre való kiválasztásának főbb lépéseit, valamint a felügyeleti feladatok és hatáskörök nemzeti felügyeleti hatóságok és az AMLA közötti átruházásának gyakorlati szabályait.</w:t>
      </w:r>
    </w:p>
    <w:p w14:paraId="5D08F4A9" w14:textId="77777777" w:rsidR="00D237BD" w:rsidRPr="00740EE2" w:rsidRDefault="00D237BD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60054973" w14:textId="77777777" w:rsidR="001F079C" w:rsidRDefault="00D237BD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Az AMLA a kiválasztott kötelezett szolgáltatók közvetlen felügyeletét 2028-ban kezdi meg, így az </w:t>
      </w:r>
      <w:proofErr w:type="spellStart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ITS</w:t>
      </w:r>
      <w:proofErr w:type="spellEnd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tervezete kulcsszerepet játszik az </w:t>
      </w:r>
      <w:proofErr w:type="spellStart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AML</w:t>
      </w:r>
      <w:proofErr w:type="spellEnd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/</w:t>
      </w:r>
      <w:proofErr w:type="spellStart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CFT</w:t>
      </w:r>
      <w:proofErr w:type="spellEnd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felügyelet folytonosságának és következetességének biztosításában az EU-ban.</w:t>
      </w:r>
    </w:p>
    <w:p w14:paraId="2EC56ADD" w14:textId="77777777" w:rsidR="001F079C" w:rsidRDefault="001F079C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3B9EEFF4" w14:textId="45DF9E37" w:rsidR="00D237BD" w:rsidRPr="00740EE2" w:rsidRDefault="00D237BD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A tervezet rendezi azon operatív kérdéseket, amelyek az AMLA közvetlen felügyelete és az érintett nemzeti pénzügyi felügyeletek közötti feladatok átruházása során felmerülnek, továbbá meghatározza azt is, hogyan kell lebonyolítani a kiválasztási folyamatot, az adatgyűjtéstől a közvetlen felügyeletre kiválasztott kötelezett szolgáltatók listájának közzétételéig.</w:t>
      </w:r>
    </w:p>
    <w:p w14:paraId="5B684772" w14:textId="77777777" w:rsidR="00D237BD" w:rsidRPr="00740EE2" w:rsidRDefault="00D237BD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4A89B828" w14:textId="77777777" w:rsidR="00D237BD" w:rsidRDefault="00D237BD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Az AMLA </w:t>
      </w:r>
      <w:r>
        <w:rPr>
          <w:rFonts w:eastAsia="Aptos" w:cs="Calibri"/>
          <w:sz w:val="22"/>
          <w:szCs w:val="22"/>
          <w:lang w:eastAsia="en-US"/>
          <w14:ligatures w14:val="standardContextual"/>
        </w:rPr>
        <w:t>2026. július 21-én</w:t>
      </w:r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közzétett</w:t>
      </w:r>
      <w:r>
        <w:rPr>
          <w:rFonts w:eastAsia="Aptos" w:cs="Calibri"/>
          <w:sz w:val="22"/>
          <w:szCs w:val="22"/>
          <w:lang w:eastAsia="en-US"/>
          <w14:ligatures w14:val="standardContextual"/>
        </w:rPr>
        <w:t>e a</w:t>
      </w:r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végső jelentés</w:t>
      </w:r>
      <w:r>
        <w:rPr>
          <w:rFonts w:eastAsia="Aptos" w:cs="Calibri"/>
          <w:sz w:val="22"/>
          <w:szCs w:val="22"/>
          <w:lang w:eastAsia="en-US"/>
          <w14:ligatures w14:val="standardContextual"/>
        </w:rPr>
        <w:t>t</w:t>
      </w:r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(</w:t>
      </w:r>
      <w:proofErr w:type="spellStart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final</w:t>
      </w:r>
      <w:proofErr w:type="spellEnd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report</w:t>
      </w:r>
      <w:proofErr w:type="spellEnd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)</w:t>
      </w:r>
      <w:r>
        <w:rPr>
          <w:rFonts w:eastAsia="Aptos" w:cs="Calibri"/>
          <w:sz w:val="22"/>
          <w:szCs w:val="22"/>
          <w:lang w:eastAsia="en-US"/>
          <w14:ligatures w14:val="standardContextual"/>
        </w:rPr>
        <w:t>, mely</w:t>
      </w:r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tartalmazza a témával kapcsolatos háttérinformációkat, az </w:t>
      </w:r>
      <w:proofErr w:type="spellStart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ITS</w:t>
      </w:r>
      <w:proofErr w:type="spellEnd"/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tervezetet, valamint a hatáselemzést és a nyilvános szakmai konzultáció főbb eredményeit is. </w:t>
      </w:r>
    </w:p>
    <w:p w14:paraId="206AA4E9" w14:textId="77777777" w:rsidR="00D237BD" w:rsidRPr="00740EE2" w:rsidRDefault="00D237BD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364531F9" w14:textId="77777777" w:rsidR="00D237BD" w:rsidRPr="00740EE2" w:rsidRDefault="00D237BD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A tervezet benyújtásra kerül az Európai Bizottság részére, elfogadását, illetve EU Hivatalos Lapjában való kihirdetését követően közvetlenül alkalmazandó jogszabály lesz. </w:t>
      </w:r>
    </w:p>
    <w:p w14:paraId="179AE132" w14:textId="77777777" w:rsidR="00D237BD" w:rsidRPr="00740EE2" w:rsidRDefault="00D237BD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2BBDF66F" w14:textId="77777777" w:rsidR="00D237BD" w:rsidRPr="00740EE2" w:rsidRDefault="00D237BD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740EE2">
        <w:rPr>
          <w:rFonts w:eastAsia="Aptos" w:cs="Calibri"/>
          <w:sz w:val="22"/>
          <w:szCs w:val="22"/>
          <w:lang w:eastAsia="en-US"/>
          <w14:ligatures w14:val="standardContextual"/>
        </w:rPr>
        <w:t>Az AMLA által közzétett hír, mely a végső jelentést is tartalmazza, az alábbi linken érhető el:</w:t>
      </w:r>
    </w:p>
    <w:p w14:paraId="28F9DA8D" w14:textId="15163EC3" w:rsidR="002B5716" w:rsidRPr="001F079C" w:rsidRDefault="00D237BD" w:rsidP="00D237BD">
      <w:pPr>
        <w:spacing w:after="0" w:line="240" w:lineRule="auto"/>
        <w:rPr>
          <w:rFonts w:eastAsia="Aptos" w:cs="Calibri"/>
          <w:sz w:val="22"/>
          <w:szCs w:val="22"/>
          <w:lang w:eastAsia="en-US"/>
          <w14:ligatures w14:val="standardContextual"/>
        </w:rPr>
      </w:pPr>
      <w:hyperlink r:id="rId15" w:history="1"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 xml:space="preserve">AMLA </w:t>
        </w:r>
        <w:proofErr w:type="spellStart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>finalises</w:t>
        </w:r>
        <w:proofErr w:type="spellEnd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 xml:space="preserve"> </w:t>
        </w:r>
        <w:proofErr w:type="spellStart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>standards</w:t>
        </w:r>
        <w:proofErr w:type="spellEnd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 xml:space="preserve"> </w:t>
        </w:r>
        <w:proofErr w:type="spellStart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>for</w:t>
        </w:r>
        <w:proofErr w:type="spellEnd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 xml:space="preserve"> </w:t>
        </w:r>
        <w:proofErr w:type="spellStart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>supervisory</w:t>
        </w:r>
        <w:proofErr w:type="spellEnd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 xml:space="preserve"> </w:t>
        </w:r>
        <w:proofErr w:type="spellStart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>cooperation</w:t>
        </w:r>
        <w:proofErr w:type="spellEnd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 xml:space="preserve"> in </w:t>
        </w:r>
        <w:proofErr w:type="spellStart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>direct</w:t>
        </w:r>
        <w:proofErr w:type="spellEnd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 xml:space="preserve"> </w:t>
        </w:r>
        <w:proofErr w:type="spellStart"/>
        <w:r w:rsidRPr="00740EE2">
          <w:rPr>
            <w:rFonts w:eastAsia="Aptos" w:cs="Calibri"/>
            <w:color w:val="0000FF"/>
            <w:sz w:val="22"/>
            <w:szCs w:val="22"/>
            <w:u w:val="single"/>
            <w:lang w:eastAsia="en-US"/>
            <w14:ligatures w14:val="standardContextual"/>
          </w:rPr>
          <w:t>supervision</w:t>
        </w:r>
        <w:proofErr w:type="spellEnd"/>
      </w:hyperlink>
    </w:p>
    <w:p w14:paraId="060517AB" w14:textId="77777777" w:rsidR="00D237BD" w:rsidRDefault="00D237BD" w:rsidP="00D237BD">
      <w:pPr>
        <w:spacing w:after="0" w:line="240" w:lineRule="auto"/>
        <w:rPr>
          <w:rFonts w:ascii="Aptos" w:eastAsia="Aptos" w:hAnsi="Aptos" w:cs="Aptos"/>
          <w:sz w:val="22"/>
          <w:szCs w:val="22"/>
          <w:lang w:eastAsia="en-US"/>
          <w14:ligatures w14:val="standardContextual"/>
        </w:rPr>
      </w:pPr>
    </w:p>
    <w:p w14:paraId="50976B87" w14:textId="6E236A1E" w:rsidR="00D237BD" w:rsidRDefault="00D237BD" w:rsidP="00070E99">
      <w:pPr>
        <w:pStyle w:val="Cmsor2"/>
        <w:jc w:val="both"/>
      </w:pPr>
      <w:bookmarkStart w:id="9" w:name="_Toc235702133"/>
      <w:r>
        <w:t>A</w:t>
      </w:r>
      <w:r w:rsidRPr="003D0E74">
        <w:t xml:space="preserve"> jogsértések súlyosságának értékeléséről, valamint a pénzbeli szankciók és felügyeleti intézkedések alkalmazásánál figyelembe veendő kritériumokról szóló végső jelentés</w:t>
      </w:r>
      <w:bookmarkEnd w:id="9"/>
    </w:p>
    <w:p w14:paraId="5C04F41B" w14:textId="686E3D14" w:rsidR="00D237BD" w:rsidRPr="003D0E74" w:rsidRDefault="00D237BD" w:rsidP="009D04B8">
      <w:pPr>
        <w:shd w:val="clear" w:color="auto" w:fill="FFFFFF"/>
        <w:spacing w:beforeAutospacing="1" w:after="0" w:afterAutospacing="1"/>
        <w:textAlignment w:val="baseline"/>
        <w:rPr>
          <w:rFonts w:eastAsia="Times New Roman" w:cs="Calibri"/>
          <w:sz w:val="22"/>
          <w:szCs w:val="22"/>
        </w:rPr>
      </w:pPr>
      <w:r w:rsidRPr="003D0E74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3D0E74">
        <w:rPr>
          <w:rFonts w:eastAsia="Times New Roman" w:cs="Calibri"/>
          <w:sz w:val="22"/>
          <w:szCs w:val="22"/>
        </w:rPr>
        <w:t>AMLD</w:t>
      </w:r>
      <w:proofErr w:type="spellEnd"/>
      <w:r w:rsidR="006857DB">
        <w:rPr>
          <w:rFonts w:eastAsia="Times New Roman" w:cs="Calibri"/>
          <w:sz w:val="22"/>
          <w:szCs w:val="22"/>
        </w:rPr>
        <w:t xml:space="preserve"> </w:t>
      </w:r>
      <w:r w:rsidRPr="003D0E74">
        <w:rPr>
          <w:rFonts w:eastAsia="Times New Roman" w:cs="Calibri"/>
          <w:sz w:val="22"/>
          <w:szCs w:val="22"/>
        </w:rPr>
        <w:t>6 53. cikk (10) bekezdése szerint az AMLA szabályozástechnikai standardtervezeteket (</w:t>
      </w:r>
      <w:proofErr w:type="spellStart"/>
      <w:r w:rsidRPr="003D0E74">
        <w:rPr>
          <w:rFonts w:eastAsia="Times New Roman" w:cs="Calibri"/>
          <w:sz w:val="22"/>
          <w:szCs w:val="22"/>
        </w:rPr>
        <w:t>RTS</w:t>
      </w:r>
      <w:proofErr w:type="spellEnd"/>
      <w:r w:rsidRPr="003D0E74">
        <w:rPr>
          <w:rFonts w:eastAsia="Times New Roman" w:cs="Calibri"/>
          <w:sz w:val="22"/>
          <w:szCs w:val="22"/>
        </w:rPr>
        <w:t xml:space="preserve">) </w:t>
      </w:r>
      <w:proofErr w:type="spellStart"/>
      <w:r w:rsidRPr="003D0E74">
        <w:rPr>
          <w:rFonts w:eastAsia="Times New Roman" w:cs="Calibri"/>
          <w:sz w:val="22"/>
          <w:szCs w:val="22"/>
        </w:rPr>
        <w:t>dolgoz</w:t>
      </w:r>
      <w:proofErr w:type="spellEnd"/>
      <w:r w:rsidRPr="003D0E74">
        <w:rPr>
          <w:rFonts w:eastAsia="Times New Roman" w:cs="Calibri"/>
          <w:sz w:val="22"/>
          <w:szCs w:val="22"/>
        </w:rPr>
        <w:t xml:space="preserve"> ki a jogsértések súlyosságának értékeléséhez szükséges mutatókról, valamint a pénzbeli szankciók és a felügyeleti intézkedések alkalmazásánál figyelembe veendő kritériumokról, melyet elfogadás céljából benyújt a</w:t>
      </w:r>
      <w:r w:rsidR="006857DB">
        <w:rPr>
          <w:rFonts w:eastAsia="Times New Roman" w:cs="Calibri"/>
          <w:sz w:val="22"/>
          <w:szCs w:val="22"/>
        </w:rPr>
        <w:t>z Európai</w:t>
      </w:r>
      <w:r w:rsidRPr="003D0E74">
        <w:rPr>
          <w:rFonts w:eastAsia="Times New Roman" w:cs="Calibri"/>
          <w:sz w:val="22"/>
          <w:szCs w:val="22"/>
        </w:rPr>
        <w:t xml:space="preserve"> Bizottságnak.</w:t>
      </w:r>
    </w:p>
    <w:p w14:paraId="2F5D4EF2" w14:textId="77777777" w:rsidR="006857DB" w:rsidRDefault="00D237BD" w:rsidP="009D04B8">
      <w:pPr>
        <w:shd w:val="clear" w:color="auto" w:fill="FFFFFF"/>
        <w:spacing w:beforeAutospacing="1" w:after="0" w:afterAutospacing="1"/>
        <w:textAlignment w:val="baseline"/>
        <w:rPr>
          <w:rFonts w:eastAsia="Times New Roman" w:cs="Calibri"/>
          <w:sz w:val="22"/>
          <w:szCs w:val="22"/>
        </w:rPr>
      </w:pPr>
      <w:r w:rsidRPr="003D0E74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3D0E74">
        <w:rPr>
          <w:rFonts w:eastAsia="Times New Roman" w:cs="Calibri"/>
          <w:sz w:val="22"/>
          <w:szCs w:val="22"/>
        </w:rPr>
        <w:t>RTS</w:t>
      </w:r>
      <w:proofErr w:type="spellEnd"/>
      <w:r w:rsidRPr="003D0E74">
        <w:rPr>
          <w:rFonts w:eastAsia="Times New Roman" w:cs="Calibri"/>
          <w:sz w:val="22"/>
          <w:szCs w:val="22"/>
        </w:rPr>
        <w:t xml:space="preserve"> célja az, hogy a tagállamok pénzügyi és nem pénzügyi felügyeleti hatóságai egyformán értékeljék ugyanazt a jogsértést és az abból következő jogérvényesítési intézkedések arányosak, visszatartó </w:t>
      </w:r>
      <w:proofErr w:type="spellStart"/>
      <w:r w:rsidRPr="003D0E74">
        <w:rPr>
          <w:rFonts w:eastAsia="Times New Roman" w:cs="Calibri"/>
          <w:sz w:val="22"/>
          <w:szCs w:val="22"/>
        </w:rPr>
        <w:t>erejűek</w:t>
      </w:r>
      <w:proofErr w:type="spellEnd"/>
      <w:r w:rsidRPr="003D0E74">
        <w:rPr>
          <w:rFonts w:eastAsia="Times New Roman" w:cs="Calibri"/>
          <w:sz w:val="22"/>
          <w:szCs w:val="22"/>
        </w:rPr>
        <w:t xml:space="preserve"> és hatékonyak legyenek, valamint az időszakos kényszerítő bírságok módszertanát is meghatározza. </w:t>
      </w:r>
    </w:p>
    <w:p w14:paraId="45159663" w14:textId="682A070C" w:rsidR="00D237BD" w:rsidRPr="000005FA" w:rsidRDefault="00D237BD" w:rsidP="009D04B8">
      <w:pPr>
        <w:shd w:val="clear" w:color="auto" w:fill="FFFFFF"/>
        <w:spacing w:beforeAutospacing="1" w:after="0" w:afterAutospacing="1"/>
        <w:textAlignment w:val="baseline"/>
        <w:rPr>
          <w:rFonts w:eastAsia="Times New Roman" w:cs="Calibri"/>
          <w:sz w:val="22"/>
          <w:szCs w:val="22"/>
        </w:rPr>
      </w:pPr>
      <w:r w:rsidRPr="003D0E74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3D0E74">
        <w:rPr>
          <w:rFonts w:eastAsia="Times New Roman" w:cs="Calibri"/>
          <w:sz w:val="22"/>
          <w:szCs w:val="22"/>
        </w:rPr>
        <w:t>RTS</w:t>
      </w:r>
      <w:proofErr w:type="spellEnd"/>
      <w:r w:rsidRPr="003D0E74">
        <w:rPr>
          <w:rFonts w:eastAsia="Times New Roman" w:cs="Calibri"/>
          <w:sz w:val="22"/>
          <w:szCs w:val="22"/>
        </w:rPr>
        <w:t xml:space="preserve"> ezzel hozzájárul a felügyeleti konvergencia erősítéséhez, az Európai Bizottság általi elfogadása esetén közvetlenül alkalmazandó jogszabály lesz.</w:t>
      </w:r>
    </w:p>
    <w:p w14:paraId="683720FD" w14:textId="77777777" w:rsidR="00D237BD" w:rsidRDefault="00D237BD" w:rsidP="009D04B8">
      <w:pPr>
        <w:shd w:val="clear" w:color="auto" w:fill="FFFFFF"/>
        <w:spacing w:beforeAutospacing="1" w:after="0" w:afterAutospacing="1"/>
        <w:textAlignment w:val="baseline"/>
        <w:rPr>
          <w:rFonts w:eastAsia="Times New Roman" w:cs="Calibri"/>
          <w:sz w:val="22"/>
          <w:szCs w:val="22"/>
        </w:rPr>
      </w:pPr>
      <w:r w:rsidRPr="003D0E74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3D0E74">
        <w:rPr>
          <w:rFonts w:eastAsia="Times New Roman" w:cs="Calibri"/>
          <w:sz w:val="22"/>
          <w:szCs w:val="22"/>
        </w:rPr>
        <w:t>RTS</w:t>
      </w:r>
      <w:proofErr w:type="spellEnd"/>
      <w:r w:rsidRPr="003D0E74">
        <w:rPr>
          <w:rFonts w:eastAsia="Times New Roman" w:cs="Calibri"/>
          <w:sz w:val="22"/>
          <w:szCs w:val="22"/>
        </w:rPr>
        <w:t xml:space="preserve"> tervezetet tartalmazó végső jelentés (</w:t>
      </w:r>
      <w:proofErr w:type="spellStart"/>
      <w:r w:rsidRPr="003D0E74">
        <w:rPr>
          <w:rFonts w:eastAsia="Times New Roman" w:cs="Calibri"/>
          <w:sz w:val="22"/>
          <w:szCs w:val="22"/>
        </w:rPr>
        <w:t>Final</w:t>
      </w:r>
      <w:proofErr w:type="spellEnd"/>
      <w:r w:rsidRPr="003D0E74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3D0E74">
        <w:rPr>
          <w:rFonts w:eastAsia="Times New Roman" w:cs="Calibri"/>
          <w:sz w:val="22"/>
          <w:szCs w:val="22"/>
        </w:rPr>
        <w:t>Report</w:t>
      </w:r>
      <w:proofErr w:type="spellEnd"/>
      <w:r w:rsidRPr="003D0E74">
        <w:rPr>
          <w:rFonts w:eastAsia="Times New Roman" w:cs="Calibri"/>
          <w:sz w:val="22"/>
          <w:szCs w:val="22"/>
        </w:rPr>
        <w:t>) és kapcsolódó sajtóközlemény az alábbi linken érhető el:</w:t>
      </w:r>
    </w:p>
    <w:p w14:paraId="25F97FA0" w14:textId="77777777" w:rsidR="00D237BD" w:rsidRDefault="00D237BD" w:rsidP="00D237BD">
      <w:pPr>
        <w:shd w:val="clear" w:color="auto" w:fill="FFFFFF"/>
        <w:spacing w:beforeAutospacing="1" w:after="0" w:afterAutospacing="1" w:line="240" w:lineRule="auto"/>
        <w:textAlignment w:val="baseline"/>
      </w:pPr>
      <w:hyperlink r:id="rId16" w:history="1"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Press </w:t>
        </w:r>
        <w:proofErr w:type="spellStart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>Release</w:t>
        </w:r>
        <w:proofErr w:type="spellEnd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: AMLA </w:t>
        </w:r>
        <w:proofErr w:type="spellStart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>introduces</w:t>
        </w:r>
        <w:proofErr w:type="spellEnd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a </w:t>
        </w:r>
        <w:proofErr w:type="spellStart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>common</w:t>
        </w:r>
        <w:proofErr w:type="spellEnd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EU </w:t>
        </w:r>
        <w:proofErr w:type="spellStart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>approach</w:t>
        </w:r>
        <w:proofErr w:type="spellEnd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>to</w:t>
        </w:r>
        <w:proofErr w:type="spellEnd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>enforcing</w:t>
        </w:r>
        <w:proofErr w:type="spellEnd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>anti-money</w:t>
        </w:r>
        <w:proofErr w:type="spellEnd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>laundering</w:t>
        </w:r>
        <w:proofErr w:type="spellEnd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3D0E74">
          <w:rPr>
            <w:rStyle w:val="Hiperhivatkozs"/>
            <w:rFonts w:eastAsia="Times New Roman" w:cs="Calibri"/>
            <w:sz w:val="22"/>
            <w:szCs w:val="22"/>
            <w:vertAlign w:val="baseline"/>
          </w:rPr>
          <w:t>rules</w:t>
        </w:r>
        <w:proofErr w:type="spellEnd"/>
      </w:hyperlink>
    </w:p>
    <w:p w14:paraId="0A920B83" w14:textId="77777777" w:rsidR="006857DB" w:rsidRPr="003D0E74" w:rsidRDefault="006857DB" w:rsidP="00D237BD">
      <w:pPr>
        <w:shd w:val="clear" w:color="auto" w:fill="FFFFFF"/>
        <w:spacing w:beforeAutospacing="1" w:after="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</w:p>
    <w:p w14:paraId="6FA1DE4F" w14:textId="08B5EA19" w:rsidR="00D237BD" w:rsidRDefault="00D237BD" w:rsidP="006857DB">
      <w:pPr>
        <w:pStyle w:val="Cmsor2"/>
        <w:jc w:val="both"/>
      </w:pPr>
      <w:bookmarkStart w:id="10" w:name="_Toc235702134"/>
      <w:r>
        <w:lastRenderedPageBreak/>
        <w:t>A</w:t>
      </w:r>
      <w:r w:rsidRPr="00FC3E92">
        <w:t xml:space="preserve"> pénzügyi információs egységek közötti együttműködés és az Európai Ügyészség (</w:t>
      </w:r>
      <w:proofErr w:type="spellStart"/>
      <w:r w:rsidRPr="00FC3E92">
        <w:t>EPPO</w:t>
      </w:r>
      <w:proofErr w:type="spellEnd"/>
      <w:r w:rsidRPr="00FC3E92">
        <w:t>) részére történő jelentés közös formátumait tartalmazó tervezetek</w:t>
      </w:r>
      <w:bookmarkEnd w:id="10"/>
    </w:p>
    <w:p w14:paraId="2FDA7DF4" w14:textId="77777777" w:rsidR="00D237BD" w:rsidRPr="00FC3E92" w:rsidRDefault="00D237BD" w:rsidP="00D237B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FC3E92">
        <w:rPr>
          <w:rFonts w:eastAsia="Times New Roman" w:cs="Calibri"/>
          <w:sz w:val="22"/>
          <w:szCs w:val="22"/>
        </w:rPr>
        <w:t>Az AMLA véglegesítette és közzétette a pénzügyi információs egységek (</w:t>
      </w:r>
      <w:proofErr w:type="spellStart"/>
      <w:r w:rsidRPr="00FC3E92">
        <w:rPr>
          <w:rFonts w:eastAsia="Times New Roman" w:cs="Calibri"/>
          <w:sz w:val="22"/>
          <w:szCs w:val="22"/>
        </w:rPr>
        <w:t>FIU</w:t>
      </w:r>
      <w:proofErr w:type="spellEnd"/>
      <w:r w:rsidRPr="00FC3E92">
        <w:rPr>
          <w:rFonts w:eastAsia="Times New Roman" w:cs="Calibri"/>
          <w:sz w:val="22"/>
          <w:szCs w:val="22"/>
        </w:rPr>
        <w:t>) közötti együttműködés és az Európai Ügyészség (</w:t>
      </w:r>
      <w:proofErr w:type="spellStart"/>
      <w:r w:rsidRPr="00FC3E92">
        <w:rPr>
          <w:rFonts w:eastAsia="Times New Roman" w:cs="Calibri"/>
          <w:sz w:val="22"/>
          <w:szCs w:val="22"/>
        </w:rPr>
        <w:t>EPPO</w:t>
      </w:r>
      <w:proofErr w:type="spellEnd"/>
      <w:r w:rsidRPr="00FC3E92">
        <w:rPr>
          <w:rFonts w:eastAsia="Times New Roman" w:cs="Calibri"/>
          <w:sz w:val="22"/>
          <w:szCs w:val="22"/>
        </w:rPr>
        <w:t>) részére történő jelentés egységes formátumait tartalmazó tervezeteket.</w:t>
      </w:r>
    </w:p>
    <w:p w14:paraId="6C1EB9DA" w14:textId="77777777" w:rsidR="00D237BD" w:rsidRPr="00FC3E92" w:rsidRDefault="00D237BD" w:rsidP="00D237B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FC3E92">
        <w:rPr>
          <w:rFonts w:eastAsia="Times New Roman" w:cs="Calibri"/>
          <w:sz w:val="22"/>
          <w:szCs w:val="22"/>
        </w:rPr>
        <w:t>Ennek jogszabályi hátterei a következők.</w:t>
      </w:r>
    </w:p>
    <w:p w14:paraId="71CCD395" w14:textId="77777777" w:rsidR="00D237BD" w:rsidRPr="00FC3E92" w:rsidRDefault="00D237BD" w:rsidP="00D237B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FC3E92">
        <w:rPr>
          <w:rFonts w:eastAsia="Times New Roman" w:cs="Calibri"/>
          <w:sz w:val="22"/>
          <w:szCs w:val="22"/>
        </w:rPr>
        <w:t>Az AMLA Rendelet 41. cikk (2) bekezdése alapján az AMLA végrehajtástechnikai standardtervezeteket (</w:t>
      </w:r>
      <w:proofErr w:type="spellStart"/>
      <w:r w:rsidRPr="00FC3E92">
        <w:rPr>
          <w:rFonts w:eastAsia="Times New Roman" w:cs="Calibri"/>
          <w:sz w:val="22"/>
          <w:szCs w:val="22"/>
        </w:rPr>
        <w:t>ITS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) </w:t>
      </w:r>
      <w:proofErr w:type="spellStart"/>
      <w:r w:rsidRPr="00FC3E92">
        <w:rPr>
          <w:rFonts w:eastAsia="Times New Roman" w:cs="Calibri"/>
          <w:sz w:val="22"/>
          <w:szCs w:val="22"/>
        </w:rPr>
        <w:t>dolgoz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 ki az AMLA-</w:t>
      </w:r>
      <w:proofErr w:type="spellStart"/>
      <w:r w:rsidRPr="00FC3E92">
        <w:rPr>
          <w:rFonts w:eastAsia="Times New Roman" w:cs="Calibri"/>
          <w:sz w:val="22"/>
          <w:szCs w:val="22"/>
        </w:rPr>
        <w:t>nak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 az Európai Ügyészség (</w:t>
      </w:r>
      <w:proofErr w:type="spellStart"/>
      <w:r w:rsidRPr="00FC3E92">
        <w:rPr>
          <w:rFonts w:eastAsia="Times New Roman" w:cs="Calibri"/>
          <w:sz w:val="22"/>
          <w:szCs w:val="22"/>
        </w:rPr>
        <w:t>EPPO</w:t>
      </w:r>
      <w:proofErr w:type="spellEnd"/>
      <w:r w:rsidRPr="00FC3E92">
        <w:rPr>
          <w:rFonts w:eastAsia="Times New Roman" w:cs="Calibri"/>
          <w:sz w:val="22"/>
          <w:szCs w:val="22"/>
        </w:rPr>
        <w:t>) részére történő, információkra vonatkozó jelentése formátumának meghatározása érdekében.</w:t>
      </w:r>
    </w:p>
    <w:p w14:paraId="59DDF0D7" w14:textId="77777777" w:rsidR="00D237BD" w:rsidRPr="00FC3E92" w:rsidRDefault="00D237BD" w:rsidP="00D237B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FC3E92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FC3E92">
        <w:rPr>
          <w:rFonts w:eastAsia="Times New Roman" w:cs="Calibri"/>
          <w:sz w:val="22"/>
          <w:szCs w:val="22"/>
        </w:rPr>
        <w:t>AMLD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 31. cikk (2) bekezdése alapján az AMLA </w:t>
      </w:r>
      <w:proofErr w:type="spellStart"/>
      <w:r w:rsidRPr="00FC3E92">
        <w:rPr>
          <w:rFonts w:eastAsia="Times New Roman" w:cs="Calibri"/>
          <w:sz w:val="22"/>
          <w:szCs w:val="22"/>
        </w:rPr>
        <w:t>ITS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-t </w:t>
      </w:r>
      <w:proofErr w:type="spellStart"/>
      <w:r w:rsidRPr="00FC3E92">
        <w:rPr>
          <w:rFonts w:eastAsia="Times New Roman" w:cs="Calibri"/>
          <w:sz w:val="22"/>
          <w:szCs w:val="22"/>
        </w:rPr>
        <w:t>dolgoz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 ki a pénzügyi információs egységek közötti információcsere során használandó formátum vonatkozásában.</w:t>
      </w:r>
    </w:p>
    <w:p w14:paraId="326D4FBC" w14:textId="03DBBE44" w:rsidR="00D237BD" w:rsidRPr="00FC3E92" w:rsidRDefault="00D237BD" w:rsidP="00D237B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FC3E92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FC3E92">
        <w:rPr>
          <w:rFonts w:eastAsia="Times New Roman" w:cs="Calibri"/>
          <w:sz w:val="22"/>
          <w:szCs w:val="22"/>
        </w:rPr>
        <w:t>AML</w:t>
      </w:r>
      <w:r w:rsidR="00947F8A">
        <w:rPr>
          <w:rFonts w:eastAsia="Times New Roman" w:cs="Calibri"/>
          <w:sz w:val="22"/>
          <w:szCs w:val="22"/>
        </w:rPr>
        <w:t>R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 81. cikk (1) bekezdése alapján az AMLA az </w:t>
      </w:r>
      <w:proofErr w:type="spellStart"/>
      <w:r w:rsidRPr="00FC3E92">
        <w:rPr>
          <w:rFonts w:eastAsia="Times New Roman" w:cs="Calibri"/>
          <w:sz w:val="22"/>
          <w:szCs w:val="22"/>
        </w:rPr>
        <w:t>EPPO-val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 konzultálva </w:t>
      </w:r>
      <w:proofErr w:type="spellStart"/>
      <w:r w:rsidRPr="00FC3E92">
        <w:rPr>
          <w:rFonts w:eastAsia="Times New Roman" w:cs="Calibri"/>
          <w:sz w:val="22"/>
          <w:szCs w:val="22"/>
        </w:rPr>
        <w:t>ITS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-t </w:t>
      </w:r>
      <w:proofErr w:type="spellStart"/>
      <w:r w:rsidRPr="00FC3E92">
        <w:rPr>
          <w:rFonts w:eastAsia="Times New Roman" w:cs="Calibri"/>
          <w:sz w:val="22"/>
          <w:szCs w:val="22"/>
        </w:rPr>
        <w:t>dolgoz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 ki, melyben meghatározza a pénzügyi információs egységek által az </w:t>
      </w:r>
      <w:proofErr w:type="spellStart"/>
      <w:r w:rsidRPr="00FC3E92">
        <w:rPr>
          <w:rFonts w:eastAsia="Times New Roman" w:cs="Calibri"/>
          <w:sz w:val="22"/>
          <w:szCs w:val="22"/>
        </w:rPr>
        <w:t>EPPO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 részére történő információ jelentése során használandó formátumot.</w:t>
      </w:r>
    </w:p>
    <w:p w14:paraId="26989ACB" w14:textId="77777777" w:rsidR="00D237BD" w:rsidRPr="00FC3E92" w:rsidRDefault="00D237BD" w:rsidP="00D237B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FC3E92">
        <w:rPr>
          <w:rFonts w:eastAsia="Times New Roman" w:cs="Calibri"/>
          <w:sz w:val="22"/>
          <w:szCs w:val="22"/>
        </w:rPr>
        <w:t xml:space="preserve">A kapcsolódó </w:t>
      </w:r>
      <w:proofErr w:type="spellStart"/>
      <w:r w:rsidRPr="00FC3E92">
        <w:rPr>
          <w:rFonts w:eastAsia="Times New Roman" w:cs="Calibri"/>
          <w:sz w:val="22"/>
          <w:szCs w:val="22"/>
        </w:rPr>
        <w:t>ITS-eket</w:t>
      </w:r>
      <w:proofErr w:type="spellEnd"/>
      <w:r w:rsidRPr="00FC3E92">
        <w:rPr>
          <w:rFonts w:eastAsia="Times New Roman" w:cs="Calibri"/>
          <w:sz w:val="22"/>
          <w:szCs w:val="22"/>
        </w:rPr>
        <w:t xml:space="preserve"> tartalmazó végső jelentések az alábbi linken érhetők el, melyeket benyújtanak az Európai Bizottság részére elfogadásra.</w:t>
      </w:r>
    </w:p>
    <w:p w14:paraId="5B6BC5FD" w14:textId="7099DAF5" w:rsidR="00D237BD" w:rsidRPr="006857DB" w:rsidRDefault="006857DB" w:rsidP="00D237BD">
      <w:pPr>
        <w:spacing w:after="0" w:line="240" w:lineRule="auto"/>
        <w:rPr>
          <w:rStyle w:val="Hiperhivatkozs"/>
          <w:rFonts w:ascii="Aptos" w:eastAsia="Aptos" w:hAnsi="Aptos" w:cs="Aptos"/>
          <w:sz w:val="22"/>
          <w:szCs w:val="22"/>
          <w:vertAlign w:val="baseline"/>
          <w:lang w:eastAsia="en-US"/>
          <w14:ligatures w14:val="standardContextual"/>
        </w:rPr>
      </w:pP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begin"/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instrText>HYPERLINK "https://www.amla.europa.eu/press-release-amla-finalises-common-formats-fiu-cooperation-and-reporting-eppo_en"</w:instrText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separate"/>
      </w:r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AMLA </w:t>
      </w:r>
      <w:proofErr w:type="spellStart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finalises</w:t>
      </w:r>
      <w:proofErr w:type="spellEnd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common</w:t>
      </w:r>
      <w:proofErr w:type="spellEnd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formats</w:t>
      </w:r>
      <w:proofErr w:type="spellEnd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for</w:t>
      </w:r>
      <w:proofErr w:type="spellEnd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FIU</w:t>
      </w:r>
      <w:proofErr w:type="spellEnd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cooperation</w:t>
      </w:r>
      <w:proofErr w:type="spellEnd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and </w:t>
      </w:r>
      <w:proofErr w:type="spellStart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reporting</w:t>
      </w:r>
      <w:proofErr w:type="spellEnd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to</w:t>
      </w:r>
      <w:proofErr w:type="spellEnd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the</w:t>
      </w:r>
      <w:proofErr w:type="spellEnd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D237BD" w:rsidRPr="006857DB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EPPO</w:t>
      </w:r>
      <w:proofErr w:type="spellEnd"/>
    </w:p>
    <w:p w14:paraId="724454CE" w14:textId="24857F2C" w:rsidR="00D237BD" w:rsidRPr="00FD4C52" w:rsidRDefault="006857DB" w:rsidP="00D243CD">
      <w:pPr>
        <w:pStyle w:val="Cmsor1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b w:val="0"/>
          <w:bCs w:val="0"/>
          <w:caps w:val="0"/>
          <w:color w:val="auto"/>
          <w:sz w:val="22"/>
          <w:szCs w:val="22"/>
          <w:u w:val="single"/>
          <w:bdr w:val="none" w:sz="0" w:space="0" w:color="auto" w:frame="1"/>
        </w:rPr>
        <w:fldChar w:fldCharType="end"/>
      </w:r>
      <w:bookmarkStart w:id="11" w:name="_Toc235702135"/>
      <w:r w:rsidR="00D237BD" w:rsidRPr="00FD4C52">
        <w:rPr>
          <w:rFonts w:eastAsia="Times New Roman" w:cs="Calibri"/>
          <w:sz w:val="22"/>
          <w:szCs w:val="22"/>
        </w:rPr>
        <w:t>Harmadszintű szabályozás: kialakítás alatt álló iránymutatástervezetek</w:t>
      </w:r>
      <w:bookmarkEnd w:id="11"/>
    </w:p>
    <w:p w14:paraId="6F89B6B5" w14:textId="26043467" w:rsidR="00287919" w:rsidRDefault="00287919" w:rsidP="00635E97">
      <w:pPr>
        <w:pStyle w:val="Cmsor2"/>
        <w:jc w:val="both"/>
      </w:pPr>
      <w:bookmarkStart w:id="12" w:name="_Toc235702136"/>
      <w:r w:rsidRPr="00287919">
        <w:t>Iránymutatástervezet az üzleti kapcsolatok folyamatos nyomon követéséről és az ilyen kapcsolat keretében végrehajtott ügyletek nyomon követéséről</w:t>
      </w:r>
      <w:bookmarkEnd w:id="12"/>
    </w:p>
    <w:p w14:paraId="59A87CE8" w14:textId="77777777" w:rsidR="00635E97" w:rsidRDefault="00635E97" w:rsidP="00287919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sz w:val="22"/>
          <w:szCs w:val="22"/>
        </w:rPr>
      </w:pPr>
    </w:p>
    <w:p w14:paraId="7EAFFAA1" w14:textId="7915702B" w:rsidR="00287919" w:rsidRPr="00287919" w:rsidRDefault="00287919" w:rsidP="00287919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sz w:val="22"/>
          <w:szCs w:val="22"/>
        </w:rPr>
      </w:pPr>
      <w:r w:rsidRPr="00287919">
        <w:rPr>
          <w:rFonts w:eastAsia="Times New Roman" w:cs="Calibri"/>
          <w:sz w:val="22"/>
          <w:szCs w:val="22"/>
        </w:rPr>
        <w:t xml:space="preserve">Az </w:t>
      </w:r>
      <w:proofErr w:type="spellStart"/>
      <w:r w:rsidRPr="00287919">
        <w:rPr>
          <w:rFonts w:eastAsia="Times New Roman" w:cs="Calibri"/>
          <w:sz w:val="22"/>
          <w:szCs w:val="22"/>
        </w:rPr>
        <w:t>AML</w:t>
      </w:r>
      <w:r w:rsidR="00947F8A">
        <w:rPr>
          <w:rFonts w:eastAsia="Times New Roman" w:cs="Calibri"/>
          <w:sz w:val="22"/>
          <w:szCs w:val="22"/>
        </w:rPr>
        <w:t>R</w:t>
      </w:r>
      <w:proofErr w:type="spellEnd"/>
      <w:r w:rsidRPr="00287919">
        <w:rPr>
          <w:rFonts w:eastAsia="Times New Roman" w:cs="Calibri"/>
          <w:sz w:val="22"/>
          <w:szCs w:val="22"/>
        </w:rPr>
        <w:t xml:space="preserve"> 26. cikk (5) bekezdése alapján az AMLA iránymutatásokat </w:t>
      </w:r>
      <w:r w:rsidR="00635E97">
        <w:rPr>
          <w:rFonts w:eastAsia="Times New Roman" w:cs="Calibri"/>
          <w:sz w:val="22"/>
          <w:szCs w:val="22"/>
        </w:rPr>
        <w:t>(</w:t>
      </w:r>
      <w:proofErr w:type="spellStart"/>
      <w:r w:rsidR="00635E97">
        <w:rPr>
          <w:rFonts w:eastAsia="Times New Roman" w:cs="Calibri"/>
          <w:sz w:val="22"/>
          <w:szCs w:val="22"/>
        </w:rPr>
        <w:t>guidelines</w:t>
      </w:r>
      <w:proofErr w:type="spellEnd"/>
      <w:r w:rsidR="00635E97">
        <w:rPr>
          <w:rFonts w:eastAsia="Times New Roman" w:cs="Calibri"/>
          <w:sz w:val="22"/>
          <w:szCs w:val="22"/>
        </w:rPr>
        <w:t xml:space="preserve">) </w:t>
      </w:r>
      <w:r w:rsidRPr="00287919">
        <w:rPr>
          <w:rFonts w:eastAsia="Times New Roman" w:cs="Calibri"/>
          <w:sz w:val="22"/>
          <w:szCs w:val="22"/>
        </w:rPr>
        <w:t>ad ki az üzleti kapcsolatok folyamatos nyomon követéséről és az ilyen kapcsolat keretében végrehajtott ügyletek nyomon követéséről.</w:t>
      </w:r>
    </w:p>
    <w:p w14:paraId="402EFC22" w14:textId="77777777" w:rsidR="00287919" w:rsidRPr="00287919" w:rsidRDefault="00287919" w:rsidP="0028791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287919">
        <w:rPr>
          <w:rFonts w:eastAsia="Times New Roman" w:cs="Calibri"/>
          <w:sz w:val="22"/>
          <w:szCs w:val="22"/>
        </w:rPr>
        <w:t>Az iránymutatások célja az üzleti és ügyleti kapcsolat folyamatos monitorozására, az ügyfélprofil folyamatos naprakészen tartására és a gyanús tranzakciók szűrésére vonatkozó elvárások kialakítása.</w:t>
      </w:r>
    </w:p>
    <w:p w14:paraId="658B71C0" w14:textId="77777777" w:rsidR="00287919" w:rsidRPr="00287919" w:rsidRDefault="00287919" w:rsidP="00287919">
      <w:pPr>
        <w:shd w:val="clear" w:color="auto" w:fill="FFFFFF"/>
        <w:spacing w:beforeAutospacing="1" w:after="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287919">
        <w:rPr>
          <w:rFonts w:eastAsia="Times New Roman" w:cs="Calibri"/>
          <w:sz w:val="22"/>
          <w:szCs w:val="22"/>
        </w:rPr>
        <w:t>A tervezettel kapcsolatban az AMLA </w:t>
      </w:r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 xml:space="preserve">2026. július 2-án nyilvános meghallgatást (Public </w:t>
      </w:r>
      <w:proofErr w:type="spellStart"/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>Hearing</w:t>
      </w:r>
      <w:proofErr w:type="spellEnd"/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>) tartott</w:t>
      </w:r>
      <w:r w:rsidRPr="00287919">
        <w:rPr>
          <w:rFonts w:eastAsia="Times New Roman" w:cs="Calibri"/>
          <w:sz w:val="22"/>
          <w:szCs w:val="22"/>
        </w:rPr>
        <w:t>, több mint 1200 résztvevővel, melyhez a pénzügyi és nem pénzügyi szektor kötelezett szolgáltatói közül is sokan csatlakoztak.</w:t>
      </w:r>
    </w:p>
    <w:p w14:paraId="3197C4F1" w14:textId="0B75D43C" w:rsidR="00287919" w:rsidRPr="00287919" w:rsidRDefault="00287919" w:rsidP="00287919">
      <w:pPr>
        <w:shd w:val="clear" w:color="auto" w:fill="FFFFFF"/>
        <w:spacing w:beforeAutospacing="1" w:after="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287919">
        <w:rPr>
          <w:rFonts w:eastAsia="Times New Roman" w:cs="Calibri"/>
          <w:sz w:val="22"/>
          <w:szCs w:val="22"/>
        </w:rPr>
        <w:t>A nyilvános meghallgatás </w:t>
      </w:r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>prezentációja</w:t>
      </w:r>
      <w:r w:rsidRPr="00287919">
        <w:rPr>
          <w:rFonts w:eastAsia="Times New Roman" w:cs="Calibri"/>
          <w:sz w:val="22"/>
          <w:szCs w:val="22"/>
        </w:rPr>
        <w:t> az alábbi linken elérhető</w:t>
      </w:r>
      <w:r w:rsidR="00B0645E">
        <w:rPr>
          <w:rFonts w:eastAsia="Times New Roman" w:cs="Calibri"/>
          <w:sz w:val="22"/>
          <w:szCs w:val="22"/>
        </w:rPr>
        <w:t xml:space="preserve">. Ez alapján az iránymutatás tervezetek AMLA általi publikációja 2026. IV. negyedévben várható. </w:t>
      </w:r>
    </w:p>
    <w:p w14:paraId="121ED96F" w14:textId="0531EEB6" w:rsidR="00FD4C52" w:rsidRPr="00FD4C52" w:rsidRDefault="00FD4C52" w:rsidP="00287919">
      <w:pPr>
        <w:shd w:val="clear" w:color="auto" w:fill="FFFFFF"/>
        <w:spacing w:beforeAutospacing="1" w:after="0" w:afterAutospacing="1" w:line="240" w:lineRule="auto"/>
        <w:textAlignment w:val="baseline"/>
        <w:rPr>
          <w:rStyle w:val="Hiperhivatkozs"/>
          <w:vertAlign w:val="baseline"/>
        </w:rPr>
      </w:pP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begin"/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instrText>HYPERLINK "https://www.amla.europa.eu/press-release-amla-concludes-public-hearing-draft-guidelines-ongoing-monitoring-business_en"</w:instrText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separate"/>
      </w:r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AMLA </w:t>
      </w:r>
      <w:proofErr w:type="spellStart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concludes</w:t>
      </w:r>
      <w:proofErr w:type="spellEnd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public</w:t>
      </w:r>
      <w:proofErr w:type="spellEnd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hearing</w:t>
      </w:r>
      <w:proofErr w:type="spellEnd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on</w:t>
      </w:r>
      <w:proofErr w:type="spellEnd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draft</w:t>
      </w:r>
      <w:proofErr w:type="spellEnd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guidelines</w:t>
      </w:r>
      <w:proofErr w:type="spellEnd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on</w:t>
      </w:r>
      <w:proofErr w:type="spellEnd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ongoing</w:t>
      </w:r>
      <w:proofErr w:type="spellEnd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monitoring of business </w:t>
      </w:r>
      <w:proofErr w:type="spellStart"/>
      <w:r w:rsidR="00287919" w:rsidRPr="00FD4C52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relationships</w:t>
      </w:r>
      <w:proofErr w:type="spellEnd"/>
    </w:p>
    <w:p w14:paraId="7763F8E5" w14:textId="4AFCF8ED" w:rsidR="00287919" w:rsidRPr="00287919" w:rsidRDefault="00FD4C52" w:rsidP="00287919">
      <w:pPr>
        <w:shd w:val="clear" w:color="auto" w:fill="FFFFFF"/>
        <w:spacing w:beforeAutospacing="1" w:after="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end"/>
      </w:r>
      <w:r w:rsidR="00287919" w:rsidRPr="00287919">
        <w:rPr>
          <w:rFonts w:eastAsia="Times New Roman" w:cs="Calibri"/>
          <w:sz w:val="22"/>
          <w:szCs w:val="22"/>
        </w:rPr>
        <w:t>Az iránymutatás tervezeteinek (</w:t>
      </w:r>
      <w:proofErr w:type="spellStart"/>
      <w:r w:rsidR="00287919" w:rsidRPr="00287919">
        <w:rPr>
          <w:rFonts w:eastAsia="Times New Roman" w:cs="Calibri"/>
          <w:sz w:val="22"/>
          <w:szCs w:val="22"/>
        </w:rPr>
        <w:t>draft</w:t>
      </w:r>
      <w:proofErr w:type="spellEnd"/>
      <w:r w:rsidR="00287919" w:rsidRPr="00287919">
        <w:rPr>
          <w:rFonts w:eastAsia="Times New Roman" w:cs="Calibri"/>
          <w:sz w:val="22"/>
          <w:szCs w:val="22"/>
        </w:rPr>
        <w:t xml:space="preserve"> </w:t>
      </w:r>
      <w:proofErr w:type="spellStart"/>
      <w:r w:rsidR="00287919" w:rsidRPr="00287919">
        <w:rPr>
          <w:rFonts w:eastAsia="Times New Roman" w:cs="Calibri"/>
          <w:sz w:val="22"/>
          <w:szCs w:val="22"/>
        </w:rPr>
        <w:t>guidelines</w:t>
      </w:r>
      <w:proofErr w:type="spellEnd"/>
      <w:r w:rsidR="00287919" w:rsidRPr="00287919">
        <w:rPr>
          <w:rFonts w:eastAsia="Times New Roman" w:cs="Calibri"/>
          <w:sz w:val="22"/>
          <w:szCs w:val="22"/>
        </w:rPr>
        <w:t xml:space="preserve">) véleményezése céljából az </w:t>
      </w:r>
      <w:r w:rsidR="00287919" w:rsidRPr="009D04B8">
        <w:rPr>
          <w:rFonts w:eastAsia="Times New Roman" w:cs="Calibri"/>
          <w:sz w:val="22"/>
          <w:szCs w:val="22"/>
        </w:rPr>
        <w:t>AMLA </w:t>
      </w:r>
      <w:r w:rsidR="00287919" w:rsidRPr="009D04B8">
        <w:rPr>
          <w:rFonts w:eastAsia="Times New Roman" w:cs="Calibri"/>
          <w:sz w:val="22"/>
          <w:szCs w:val="22"/>
          <w:bdr w:val="none" w:sz="0" w:space="0" w:color="auto" w:frame="1"/>
        </w:rPr>
        <w:t>2026. június 3-tól 2026. szeptember 3-ig nyilvános konzultációt is tart</w:t>
      </w:r>
      <w:r w:rsidR="00287919" w:rsidRPr="00287919">
        <w:rPr>
          <w:rFonts w:eastAsia="Times New Roman" w:cs="Calibri"/>
          <w:sz w:val="22"/>
          <w:szCs w:val="22"/>
        </w:rPr>
        <w:t>, az észrevételek jelzésére az alábbi linken keresztül van lehetőség:</w:t>
      </w:r>
    </w:p>
    <w:p w14:paraId="51506473" w14:textId="6B0D5F86" w:rsidR="00287919" w:rsidRPr="00D750FE" w:rsidRDefault="00D750FE" w:rsidP="00287919">
      <w:pPr>
        <w:shd w:val="clear" w:color="auto" w:fill="FFFFFF"/>
        <w:spacing w:beforeAutospacing="1" w:after="0" w:afterAutospacing="1" w:line="240" w:lineRule="auto"/>
        <w:textAlignment w:val="baseline"/>
        <w:rPr>
          <w:rStyle w:val="Hiperhivatkozs"/>
          <w:rFonts w:eastAsia="Times New Roman" w:cs="Calibri"/>
          <w:sz w:val="22"/>
          <w:szCs w:val="22"/>
          <w:vertAlign w:val="baseline"/>
        </w:rPr>
      </w:pP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begin"/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instrText>HYPERLINK "https://www.amla.europa.eu/policy/public-consultations_en"</w:instrText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</w: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separate"/>
      </w:r>
      <w:r w:rsidR="00287919" w:rsidRPr="00D750F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https://www.amla.europa.eu/policy/public-consultations_en</w:t>
      </w:r>
    </w:p>
    <w:p w14:paraId="022573F9" w14:textId="47326964" w:rsidR="00740EE2" w:rsidRPr="00D750FE" w:rsidRDefault="00D750FE" w:rsidP="00D750F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end"/>
      </w:r>
    </w:p>
    <w:p w14:paraId="09204E56" w14:textId="7B168EBD" w:rsidR="00533DAE" w:rsidRDefault="00533DAE" w:rsidP="008D4892">
      <w:pPr>
        <w:pStyle w:val="Cmsor2"/>
      </w:pPr>
      <w:bookmarkStart w:id="13" w:name="_Toc235702137"/>
      <w:r w:rsidRPr="00DB429F">
        <w:lastRenderedPageBreak/>
        <w:t>Iránymutatástervezet a vállalkozás egészére kiterjedő szintű kockázatértékelésről</w:t>
      </w:r>
      <w:bookmarkEnd w:id="13"/>
    </w:p>
    <w:p w14:paraId="376A01B3" w14:textId="77777777" w:rsidR="00533DAE" w:rsidRDefault="00533DAE" w:rsidP="00533DAE">
      <w:pPr>
        <w:pStyle w:val="HierarchikusLista0"/>
        <w:rPr>
          <w:b/>
          <w:bCs/>
          <w:sz w:val="22"/>
          <w:szCs w:val="22"/>
        </w:rPr>
      </w:pPr>
    </w:p>
    <w:p w14:paraId="78CFFC4D" w14:textId="77777777" w:rsidR="00533DAE" w:rsidRPr="00DB429F" w:rsidRDefault="00533DAE" w:rsidP="004108D9">
      <w:pPr>
        <w:pStyle w:val="HierarchikusLista0"/>
        <w:rPr>
          <w:sz w:val="22"/>
          <w:szCs w:val="22"/>
        </w:rPr>
      </w:pPr>
      <w:r w:rsidRPr="00DB429F">
        <w:rPr>
          <w:sz w:val="22"/>
          <w:szCs w:val="22"/>
        </w:rPr>
        <w:t xml:space="preserve">A kötelezett szolgáltatók a működésük során kötelesek azonosítani az őket érintő </w:t>
      </w:r>
      <w:proofErr w:type="spellStart"/>
      <w:r w:rsidRPr="00DB429F">
        <w:rPr>
          <w:sz w:val="22"/>
          <w:szCs w:val="22"/>
        </w:rPr>
        <w:t>AML</w:t>
      </w:r>
      <w:proofErr w:type="spellEnd"/>
      <w:r w:rsidRPr="00DB429F">
        <w:rPr>
          <w:sz w:val="22"/>
          <w:szCs w:val="22"/>
        </w:rPr>
        <w:t>/</w:t>
      </w:r>
      <w:proofErr w:type="spellStart"/>
      <w:r w:rsidRPr="00DB429F">
        <w:rPr>
          <w:sz w:val="22"/>
          <w:szCs w:val="22"/>
        </w:rPr>
        <w:t>CFT</w:t>
      </w:r>
      <w:proofErr w:type="spellEnd"/>
      <w:r w:rsidRPr="00DB429F">
        <w:rPr>
          <w:sz w:val="22"/>
          <w:szCs w:val="22"/>
        </w:rPr>
        <w:t xml:space="preserve"> kockázatokat. Az átfogó kockázatértékelés kulcsfontosságú a szervezet kockázati kitettségének meghatározásához és a megfelelő </w:t>
      </w:r>
      <w:proofErr w:type="spellStart"/>
      <w:r w:rsidRPr="00DB429F">
        <w:rPr>
          <w:sz w:val="22"/>
          <w:szCs w:val="22"/>
        </w:rPr>
        <w:t>AML</w:t>
      </w:r>
      <w:proofErr w:type="spellEnd"/>
      <w:r w:rsidRPr="00DB429F">
        <w:rPr>
          <w:sz w:val="22"/>
          <w:szCs w:val="22"/>
        </w:rPr>
        <w:t>/</w:t>
      </w:r>
      <w:proofErr w:type="spellStart"/>
      <w:r w:rsidRPr="00DB429F">
        <w:rPr>
          <w:sz w:val="22"/>
          <w:szCs w:val="22"/>
        </w:rPr>
        <w:t>CFT</w:t>
      </w:r>
      <w:proofErr w:type="spellEnd"/>
      <w:r w:rsidRPr="00DB429F">
        <w:rPr>
          <w:sz w:val="22"/>
          <w:szCs w:val="22"/>
        </w:rPr>
        <w:t xml:space="preserve"> ellenőrzések biztosításához. Az </w:t>
      </w:r>
      <w:proofErr w:type="spellStart"/>
      <w:r w:rsidRPr="00DB429F">
        <w:rPr>
          <w:sz w:val="22"/>
          <w:szCs w:val="22"/>
        </w:rPr>
        <w:t>AMLR</w:t>
      </w:r>
      <w:proofErr w:type="spellEnd"/>
      <w:r w:rsidRPr="00DB429F">
        <w:rPr>
          <w:sz w:val="22"/>
          <w:szCs w:val="22"/>
        </w:rPr>
        <w:t xml:space="preserve"> 10. cikkének (4) bekezdése szerinti iránymutatástervezet minimumkövetelményeket határoz meg minden kötelezett szolgáltató számára, mind a pénzügyi, mind a nem pénzügyi szektorban, miközben arányosságot biztosít a szervezet mérete, üzleti modellje és kockázati profilja alapján. Az Iránymutatások támogatják a szolgáltatókat abban, hogy megalapozott kockázatalapú döntéseket hozzanak arról, hogyan kezeljék sajátos </w:t>
      </w:r>
      <w:proofErr w:type="spellStart"/>
      <w:r w:rsidRPr="00DB429F">
        <w:rPr>
          <w:sz w:val="22"/>
          <w:szCs w:val="22"/>
        </w:rPr>
        <w:t>AML</w:t>
      </w:r>
      <w:proofErr w:type="spellEnd"/>
      <w:r w:rsidRPr="00DB429F">
        <w:rPr>
          <w:sz w:val="22"/>
          <w:szCs w:val="22"/>
        </w:rPr>
        <w:t>/</w:t>
      </w:r>
      <w:proofErr w:type="spellStart"/>
      <w:r w:rsidRPr="00DB429F">
        <w:rPr>
          <w:sz w:val="22"/>
          <w:szCs w:val="22"/>
        </w:rPr>
        <w:t>CFT</w:t>
      </w:r>
      <w:proofErr w:type="spellEnd"/>
      <w:r w:rsidRPr="00DB429F">
        <w:rPr>
          <w:sz w:val="22"/>
          <w:szCs w:val="22"/>
        </w:rPr>
        <w:t xml:space="preserve"> kockázati kitettségüket.</w:t>
      </w:r>
    </w:p>
    <w:p w14:paraId="5E0F12BA" w14:textId="77777777" w:rsidR="00533DAE" w:rsidRPr="00DB429F" w:rsidRDefault="00533DAE" w:rsidP="004108D9">
      <w:pPr>
        <w:pStyle w:val="HierarchikusLista0"/>
        <w:rPr>
          <w:sz w:val="22"/>
          <w:szCs w:val="22"/>
        </w:rPr>
      </w:pPr>
    </w:p>
    <w:p w14:paraId="4CAACB07" w14:textId="07E135BF" w:rsidR="00426198" w:rsidRDefault="00533DAE" w:rsidP="00533DAE">
      <w:pPr>
        <w:pStyle w:val="HierarchikusLista0"/>
        <w:rPr>
          <w:sz w:val="22"/>
          <w:szCs w:val="22"/>
        </w:rPr>
      </w:pPr>
      <w:r w:rsidRPr="00DB429F">
        <w:rPr>
          <w:sz w:val="22"/>
          <w:szCs w:val="22"/>
        </w:rPr>
        <w:t>Az Iránymutatások tervezetével kapcsolatban az AMLA 2026. 05. 28</w:t>
      </w:r>
      <w:r>
        <w:rPr>
          <w:sz w:val="22"/>
          <w:szCs w:val="22"/>
        </w:rPr>
        <w:t>-án</w:t>
      </w:r>
      <w:r w:rsidRPr="00DB429F">
        <w:rPr>
          <w:sz w:val="22"/>
          <w:szCs w:val="22"/>
        </w:rPr>
        <w:t xml:space="preserve"> nyilvános meghallgatást tart</w:t>
      </w:r>
      <w:r>
        <w:rPr>
          <w:sz w:val="22"/>
          <w:szCs w:val="22"/>
        </w:rPr>
        <w:t xml:space="preserve">ott, a </w:t>
      </w:r>
      <w:r w:rsidRPr="00DB429F">
        <w:rPr>
          <w:sz w:val="22"/>
          <w:szCs w:val="22"/>
        </w:rPr>
        <w:t>nyilvános konzultáció</w:t>
      </w:r>
      <w:r>
        <w:rPr>
          <w:sz w:val="22"/>
          <w:szCs w:val="22"/>
        </w:rPr>
        <w:t xml:space="preserve"> pedig</w:t>
      </w:r>
      <w:r w:rsidRPr="00DB429F">
        <w:rPr>
          <w:sz w:val="22"/>
          <w:szCs w:val="22"/>
        </w:rPr>
        <w:t xml:space="preserve"> 2026. jú</w:t>
      </w:r>
      <w:r w:rsidR="00426198">
        <w:rPr>
          <w:sz w:val="22"/>
          <w:szCs w:val="22"/>
        </w:rPr>
        <w:t>l</w:t>
      </w:r>
      <w:r w:rsidRPr="00DB429F">
        <w:rPr>
          <w:sz w:val="22"/>
          <w:szCs w:val="22"/>
        </w:rPr>
        <w:t>ius 15-</w:t>
      </w:r>
      <w:r w:rsidR="00D750FE">
        <w:rPr>
          <w:sz w:val="22"/>
          <w:szCs w:val="22"/>
        </w:rPr>
        <w:t>én ért véget</w:t>
      </w:r>
      <w:r w:rsidR="00426198">
        <w:rPr>
          <w:sz w:val="22"/>
          <w:szCs w:val="22"/>
        </w:rPr>
        <w:t xml:space="preserve">, a konzultációs anyag tervezete azonban </w:t>
      </w:r>
      <w:r w:rsidR="00EE4EF9">
        <w:rPr>
          <w:sz w:val="22"/>
          <w:szCs w:val="22"/>
        </w:rPr>
        <w:t>ezen a</w:t>
      </w:r>
      <w:r w:rsidR="00426198">
        <w:rPr>
          <w:sz w:val="22"/>
          <w:szCs w:val="22"/>
        </w:rPr>
        <w:t xml:space="preserve"> linken továbbra is elérhető</w:t>
      </w:r>
      <w:r w:rsidR="00EE4EF9">
        <w:rPr>
          <w:sz w:val="22"/>
          <w:szCs w:val="22"/>
        </w:rPr>
        <w:t xml:space="preserve">: </w:t>
      </w:r>
      <w:hyperlink r:id="rId17" w:history="1">
        <w:proofErr w:type="spellStart"/>
        <w:r w:rsidR="00426198" w:rsidRPr="00426198">
          <w:rPr>
            <w:rStyle w:val="Hiperhivatkozs"/>
            <w:sz w:val="22"/>
            <w:szCs w:val="22"/>
            <w:vertAlign w:val="baseline"/>
          </w:rPr>
          <w:t>Consultation</w:t>
        </w:r>
        <w:proofErr w:type="spellEnd"/>
        <w:r w:rsidR="00426198" w:rsidRPr="00426198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="00426198" w:rsidRPr="00426198">
          <w:rPr>
            <w:rStyle w:val="Hiperhivatkozs"/>
            <w:sz w:val="22"/>
            <w:szCs w:val="22"/>
            <w:vertAlign w:val="baseline"/>
          </w:rPr>
          <w:t>on</w:t>
        </w:r>
        <w:proofErr w:type="spellEnd"/>
        <w:r w:rsidR="00426198" w:rsidRPr="00426198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="00426198" w:rsidRPr="00426198">
          <w:rPr>
            <w:rStyle w:val="Hiperhivatkozs"/>
            <w:sz w:val="22"/>
            <w:szCs w:val="22"/>
            <w:vertAlign w:val="baseline"/>
          </w:rPr>
          <w:t>the</w:t>
        </w:r>
        <w:proofErr w:type="spellEnd"/>
        <w:r w:rsidR="00426198" w:rsidRPr="00426198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="00426198" w:rsidRPr="00426198">
          <w:rPr>
            <w:rStyle w:val="Hiperhivatkozs"/>
            <w:sz w:val="22"/>
            <w:szCs w:val="22"/>
            <w:vertAlign w:val="baseline"/>
          </w:rPr>
          <w:t>draft</w:t>
        </w:r>
        <w:proofErr w:type="spellEnd"/>
        <w:r w:rsidR="00426198" w:rsidRPr="00426198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="00426198" w:rsidRPr="00426198">
          <w:rPr>
            <w:rStyle w:val="Hiperhivatkozs"/>
            <w:sz w:val="22"/>
            <w:szCs w:val="22"/>
            <w:vertAlign w:val="baseline"/>
          </w:rPr>
          <w:t>Guidelines</w:t>
        </w:r>
        <w:proofErr w:type="spellEnd"/>
        <w:r w:rsidR="00426198" w:rsidRPr="00426198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="00426198" w:rsidRPr="00426198">
          <w:rPr>
            <w:rStyle w:val="Hiperhivatkozs"/>
            <w:sz w:val="22"/>
            <w:szCs w:val="22"/>
            <w:vertAlign w:val="baseline"/>
          </w:rPr>
          <w:t>on</w:t>
        </w:r>
        <w:proofErr w:type="spellEnd"/>
        <w:r w:rsidR="00426198" w:rsidRPr="00426198">
          <w:rPr>
            <w:rStyle w:val="Hiperhivatkozs"/>
            <w:sz w:val="22"/>
            <w:szCs w:val="22"/>
            <w:vertAlign w:val="baseline"/>
          </w:rPr>
          <w:t xml:space="preserve"> business-</w:t>
        </w:r>
        <w:proofErr w:type="spellStart"/>
        <w:r w:rsidR="00426198" w:rsidRPr="00426198">
          <w:rPr>
            <w:rStyle w:val="Hiperhivatkozs"/>
            <w:sz w:val="22"/>
            <w:szCs w:val="22"/>
            <w:vertAlign w:val="baseline"/>
          </w:rPr>
          <w:t>wide</w:t>
        </w:r>
        <w:proofErr w:type="spellEnd"/>
        <w:r w:rsidR="00426198" w:rsidRPr="00426198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="00426198" w:rsidRPr="00426198">
          <w:rPr>
            <w:rStyle w:val="Hiperhivatkozs"/>
            <w:sz w:val="22"/>
            <w:szCs w:val="22"/>
            <w:vertAlign w:val="baseline"/>
          </w:rPr>
          <w:t>risk</w:t>
        </w:r>
        <w:proofErr w:type="spellEnd"/>
        <w:r w:rsidR="00426198" w:rsidRPr="00426198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="00426198" w:rsidRPr="00426198">
          <w:rPr>
            <w:rStyle w:val="Hiperhivatkozs"/>
            <w:sz w:val="22"/>
            <w:szCs w:val="22"/>
            <w:vertAlign w:val="baseline"/>
          </w:rPr>
          <w:t>assessment</w:t>
        </w:r>
        <w:proofErr w:type="spellEnd"/>
      </w:hyperlink>
    </w:p>
    <w:p w14:paraId="3B9FDB64" w14:textId="77777777" w:rsidR="0093182C" w:rsidRDefault="0093182C" w:rsidP="00533DAE">
      <w:pPr>
        <w:pStyle w:val="HierarchikusLista0"/>
        <w:rPr>
          <w:sz w:val="22"/>
          <w:szCs w:val="22"/>
        </w:rPr>
      </w:pPr>
    </w:p>
    <w:p w14:paraId="51E6601E" w14:textId="71945CDD" w:rsidR="0093182C" w:rsidRDefault="0093182C" w:rsidP="008D4892">
      <w:pPr>
        <w:pStyle w:val="Cmsor2"/>
      </w:pPr>
      <w:bookmarkStart w:id="14" w:name="_Toc235702138"/>
      <w:r w:rsidRPr="0093182C">
        <w:t xml:space="preserve">Az AMLA és </w:t>
      </w:r>
      <w:proofErr w:type="spellStart"/>
      <w:r w:rsidRPr="0093182C">
        <w:t>EDPB</w:t>
      </w:r>
      <w:proofErr w:type="spellEnd"/>
      <w:r w:rsidRPr="0093182C">
        <w:t xml:space="preserve"> közös iránymutatások kialakításán dolgozik az információmegosztási partnerségek tárgyában</w:t>
      </w:r>
      <w:bookmarkEnd w:id="14"/>
    </w:p>
    <w:p w14:paraId="1FA7AACD" w14:textId="77777777" w:rsidR="0093182C" w:rsidRDefault="0093182C" w:rsidP="00533DAE">
      <w:pPr>
        <w:pStyle w:val="HierarchikusLista0"/>
        <w:rPr>
          <w:b/>
          <w:bCs/>
          <w:sz w:val="22"/>
          <w:szCs w:val="22"/>
        </w:rPr>
      </w:pPr>
    </w:p>
    <w:p w14:paraId="30E4A1A2" w14:textId="63DFDD56" w:rsidR="0093182C" w:rsidRPr="00D237BD" w:rsidRDefault="0093182C" w:rsidP="00FE3392">
      <w:pPr>
        <w:pStyle w:val="HierarchikusLista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25CB5C4" wp14:editId="037BE0BD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2170430" cy="2200910"/>
            <wp:effectExtent l="0" t="0" r="1270" b="8890"/>
            <wp:wrapSquare wrapText="bothSides"/>
            <wp:docPr id="132479307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3182C">
        <w:rPr>
          <w:sz w:val="22"/>
          <w:szCs w:val="22"/>
        </w:rPr>
        <w:t>A</w:t>
      </w:r>
      <w:r w:rsidR="00FE3392">
        <w:rPr>
          <w:sz w:val="22"/>
          <w:szCs w:val="22"/>
        </w:rPr>
        <w:t xml:space="preserve">z </w:t>
      </w:r>
      <w:r w:rsidRPr="0093182C">
        <w:rPr>
          <w:sz w:val="22"/>
          <w:szCs w:val="22"/>
        </w:rPr>
        <w:t xml:space="preserve">AMLA és az </w:t>
      </w:r>
      <w:proofErr w:type="spellStart"/>
      <w:r w:rsidRPr="0093182C">
        <w:rPr>
          <w:sz w:val="22"/>
          <w:szCs w:val="22"/>
        </w:rPr>
        <w:t>EDPB</w:t>
      </w:r>
      <w:proofErr w:type="spellEnd"/>
      <w:r w:rsidRPr="0093182C">
        <w:rPr>
          <w:sz w:val="22"/>
          <w:szCs w:val="22"/>
        </w:rPr>
        <w:t xml:space="preserve"> (European Data </w:t>
      </w:r>
      <w:proofErr w:type="spellStart"/>
      <w:r w:rsidRPr="0093182C">
        <w:rPr>
          <w:sz w:val="22"/>
          <w:szCs w:val="22"/>
        </w:rPr>
        <w:t>Protection</w:t>
      </w:r>
      <w:proofErr w:type="spellEnd"/>
      <w:r w:rsidRPr="0093182C">
        <w:rPr>
          <w:sz w:val="22"/>
          <w:szCs w:val="22"/>
        </w:rPr>
        <w:t xml:space="preserve"> </w:t>
      </w:r>
      <w:proofErr w:type="spellStart"/>
      <w:r w:rsidRPr="0093182C">
        <w:rPr>
          <w:sz w:val="22"/>
          <w:szCs w:val="22"/>
        </w:rPr>
        <w:t>Board</w:t>
      </w:r>
      <w:proofErr w:type="spellEnd"/>
      <w:r w:rsidRPr="0093182C">
        <w:rPr>
          <w:sz w:val="22"/>
          <w:szCs w:val="22"/>
        </w:rPr>
        <w:t>/Európai Adatvédelmi Testület) közös iránymutatások (</w:t>
      </w:r>
      <w:proofErr w:type="spellStart"/>
      <w:r w:rsidRPr="0093182C">
        <w:rPr>
          <w:sz w:val="22"/>
          <w:szCs w:val="22"/>
        </w:rPr>
        <w:t>Joint</w:t>
      </w:r>
      <w:proofErr w:type="spellEnd"/>
      <w:r w:rsidRPr="0093182C">
        <w:rPr>
          <w:sz w:val="22"/>
          <w:szCs w:val="22"/>
        </w:rPr>
        <w:t xml:space="preserve"> </w:t>
      </w:r>
      <w:proofErr w:type="spellStart"/>
      <w:r w:rsidRPr="0093182C">
        <w:rPr>
          <w:sz w:val="22"/>
          <w:szCs w:val="22"/>
        </w:rPr>
        <w:t>Guidelines</w:t>
      </w:r>
      <w:proofErr w:type="spellEnd"/>
      <w:r w:rsidRPr="0093182C">
        <w:rPr>
          <w:sz w:val="22"/>
          <w:szCs w:val="22"/>
        </w:rPr>
        <w:t>) kialakításán dolgozik az AML Rendelet 75. cikkében meghatározott, információmegosztási partnerség (</w:t>
      </w:r>
      <w:proofErr w:type="spellStart"/>
      <w:r w:rsidRPr="0093182C">
        <w:rPr>
          <w:sz w:val="22"/>
          <w:szCs w:val="22"/>
        </w:rPr>
        <w:t>Partnerships</w:t>
      </w:r>
      <w:proofErr w:type="spellEnd"/>
      <w:r w:rsidRPr="0093182C">
        <w:rPr>
          <w:sz w:val="22"/>
          <w:szCs w:val="22"/>
        </w:rPr>
        <w:t xml:space="preserve"> </w:t>
      </w:r>
      <w:proofErr w:type="spellStart"/>
      <w:r w:rsidRPr="0093182C">
        <w:rPr>
          <w:sz w:val="22"/>
          <w:szCs w:val="22"/>
        </w:rPr>
        <w:t>for</w:t>
      </w:r>
      <w:proofErr w:type="spellEnd"/>
      <w:r w:rsidRPr="0093182C">
        <w:rPr>
          <w:sz w:val="22"/>
          <w:szCs w:val="22"/>
        </w:rPr>
        <w:t xml:space="preserve"> </w:t>
      </w:r>
      <w:proofErr w:type="spellStart"/>
      <w:r w:rsidRPr="0093182C">
        <w:rPr>
          <w:sz w:val="22"/>
          <w:szCs w:val="22"/>
        </w:rPr>
        <w:t>Information</w:t>
      </w:r>
      <w:proofErr w:type="spellEnd"/>
      <w:r w:rsidRPr="0093182C">
        <w:rPr>
          <w:sz w:val="22"/>
          <w:szCs w:val="22"/>
        </w:rPr>
        <w:t xml:space="preserve"> </w:t>
      </w:r>
      <w:proofErr w:type="spellStart"/>
      <w:r w:rsidRPr="0093182C">
        <w:rPr>
          <w:sz w:val="22"/>
          <w:szCs w:val="22"/>
        </w:rPr>
        <w:t>Sharing</w:t>
      </w:r>
      <w:proofErr w:type="spellEnd"/>
      <w:r w:rsidRPr="0093182C">
        <w:rPr>
          <w:sz w:val="22"/>
          <w:szCs w:val="22"/>
        </w:rPr>
        <w:t>/</w:t>
      </w:r>
      <w:proofErr w:type="spellStart"/>
      <w:r w:rsidRPr="0093182C">
        <w:rPr>
          <w:sz w:val="22"/>
          <w:szCs w:val="22"/>
        </w:rPr>
        <w:t>PfIS</w:t>
      </w:r>
      <w:proofErr w:type="spellEnd"/>
      <w:r w:rsidRPr="0093182C">
        <w:rPr>
          <w:sz w:val="22"/>
          <w:szCs w:val="22"/>
        </w:rPr>
        <w:t>) keretében történő információcsere részleteinek meghatározása vonatkozásában.</w:t>
      </w:r>
    </w:p>
    <w:p w14:paraId="4E198ACF" w14:textId="77777777" w:rsidR="0093182C" w:rsidRPr="0093182C" w:rsidRDefault="0093182C" w:rsidP="00FE3392">
      <w:pPr>
        <w:pStyle w:val="HierarchikusLista0"/>
        <w:rPr>
          <w:sz w:val="22"/>
          <w:szCs w:val="22"/>
        </w:rPr>
      </w:pPr>
    </w:p>
    <w:p w14:paraId="44EF0190" w14:textId="77777777" w:rsidR="0093182C" w:rsidRPr="0093182C" w:rsidRDefault="0093182C" w:rsidP="00FE3392">
      <w:pPr>
        <w:pStyle w:val="HierarchikusLista0"/>
        <w:rPr>
          <w:sz w:val="22"/>
          <w:szCs w:val="22"/>
        </w:rPr>
      </w:pPr>
      <w:r w:rsidRPr="0093182C">
        <w:rPr>
          <w:sz w:val="22"/>
          <w:szCs w:val="22"/>
        </w:rPr>
        <w:t xml:space="preserve">A közös iránymutatások a </w:t>
      </w:r>
      <w:proofErr w:type="spellStart"/>
      <w:r w:rsidRPr="0093182C">
        <w:rPr>
          <w:sz w:val="22"/>
          <w:szCs w:val="22"/>
        </w:rPr>
        <w:t>PfIS</w:t>
      </w:r>
      <w:proofErr w:type="spellEnd"/>
      <w:r w:rsidRPr="0093182C">
        <w:rPr>
          <w:sz w:val="22"/>
          <w:szCs w:val="22"/>
        </w:rPr>
        <w:t xml:space="preserve"> létrehozásával érintett felügyeleti hatóságok és kötelezett szolgáltatók számára egyaránt útmutatást fognak adni annak érdekében, hogy az információk hatékony megosztása mellett a személyes adatok védelme is biztosított legyen.</w:t>
      </w:r>
    </w:p>
    <w:p w14:paraId="201BCD67" w14:textId="77777777" w:rsidR="0093182C" w:rsidRPr="0093182C" w:rsidRDefault="0093182C" w:rsidP="0093182C">
      <w:pPr>
        <w:pStyle w:val="HierarchikusLista0"/>
        <w:rPr>
          <w:sz w:val="22"/>
          <w:szCs w:val="22"/>
        </w:rPr>
      </w:pPr>
    </w:p>
    <w:p w14:paraId="65A3A4F5" w14:textId="77777777" w:rsidR="0093182C" w:rsidRDefault="0093182C" w:rsidP="0093182C">
      <w:pPr>
        <w:pStyle w:val="HierarchikusLista0"/>
        <w:rPr>
          <w:sz w:val="22"/>
          <w:szCs w:val="22"/>
        </w:rPr>
      </w:pPr>
      <w:r w:rsidRPr="0093182C">
        <w:rPr>
          <w:sz w:val="22"/>
          <w:szCs w:val="22"/>
        </w:rPr>
        <w:t xml:space="preserve">Az AMLA és az </w:t>
      </w:r>
      <w:proofErr w:type="spellStart"/>
      <w:r w:rsidRPr="0093182C">
        <w:rPr>
          <w:sz w:val="22"/>
          <w:szCs w:val="22"/>
        </w:rPr>
        <w:t>EDPB</w:t>
      </w:r>
      <w:proofErr w:type="spellEnd"/>
      <w:r w:rsidRPr="0093182C">
        <w:rPr>
          <w:sz w:val="22"/>
          <w:szCs w:val="22"/>
        </w:rPr>
        <w:t xml:space="preserve"> még az idei évben eseményt szervez, hogy összegyűjtse a korai véleményeket azokról az elemekről, amelyek tisztázása előnyös lenne az iránymutatásokban. Ezt követően, 2027. első felében nyilvános konzultáció lefolytatása is várható.</w:t>
      </w:r>
    </w:p>
    <w:p w14:paraId="77C5834D" w14:textId="77777777" w:rsidR="0093182C" w:rsidRDefault="0093182C" w:rsidP="0093182C">
      <w:pPr>
        <w:pStyle w:val="HierarchikusLista0"/>
        <w:rPr>
          <w:sz w:val="22"/>
          <w:szCs w:val="22"/>
        </w:rPr>
      </w:pPr>
    </w:p>
    <w:p w14:paraId="2E3F2460" w14:textId="7C4CC4C0" w:rsidR="0093182C" w:rsidRDefault="0093182C" w:rsidP="0093182C">
      <w:pPr>
        <w:pStyle w:val="HierarchikusLista0"/>
        <w:rPr>
          <w:sz w:val="22"/>
          <w:szCs w:val="22"/>
        </w:rPr>
      </w:pPr>
      <w:hyperlink r:id="rId19" w:history="1">
        <w:r w:rsidRPr="0093182C">
          <w:rPr>
            <w:rStyle w:val="Hiperhivatkozs"/>
            <w:sz w:val="22"/>
            <w:szCs w:val="22"/>
            <w:vertAlign w:val="baseline"/>
          </w:rPr>
          <w:t xml:space="preserve">Press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Release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: AMLA and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EDPB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to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develop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Joint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Guidelines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on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partnerships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for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information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sharing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-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Authority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for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Anti-Money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Laundering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and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Countering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the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Financing</w:t>
        </w:r>
        <w:proofErr w:type="spellEnd"/>
        <w:r w:rsidRPr="0093182C">
          <w:rPr>
            <w:rStyle w:val="Hiperhivatkozs"/>
            <w:sz w:val="22"/>
            <w:szCs w:val="22"/>
            <w:vertAlign w:val="baseline"/>
          </w:rPr>
          <w:t xml:space="preserve"> of </w:t>
        </w:r>
        <w:proofErr w:type="spellStart"/>
        <w:r w:rsidRPr="0093182C">
          <w:rPr>
            <w:rStyle w:val="Hiperhivatkozs"/>
            <w:sz w:val="22"/>
            <w:szCs w:val="22"/>
            <w:vertAlign w:val="baseline"/>
          </w:rPr>
          <w:t>Terrorism</w:t>
        </w:r>
        <w:proofErr w:type="spellEnd"/>
      </w:hyperlink>
    </w:p>
    <w:p w14:paraId="71648909" w14:textId="77777777" w:rsidR="00DB429F" w:rsidRDefault="00DB429F" w:rsidP="00247B29">
      <w:pPr>
        <w:pStyle w:val="HierarchikusLista0"/>
        <w:rPr>
          <w:sz w:val="22"/>
          <w:szCs w:val="22"/>
        </w:rPr>
      </w:pPr>
    </w:p>
    <w:p w14:paraId="07246AC7" w14:textId="0ABA847F" w:rsidR="00DB429F" w:rsidRDefault="00DB429F" w:rsidP="00D243CD">
      <w:pPr>
        <w:pStyle w:val="Cmsor1"/>
      </w:pPr>
      <w:bookmarkStart w:id="15" w:name="_Toc235702139"/>
      <w:r w:rsidRPr="00DB429F">
        <w:t>az AMLA közvetlen felügyelési tevékenysége érdekében tett előkészületek</w:t>
      </w:r>
      <w:bookmarkEnd w:id="15"/>
      <w:r w:rsidRPr="00DB429F">
        <w:t xml:space="preserve"> </w:t>
      </w:r>
    </w:p>
    <w:p w14:paraId="12789BE8" w14:textId="02FE3E13" w:rsidR="00CE4E5D" w:rsidRPr="00CE4E5D" w:rsidRDefault="00CE4E5D" w:rsidP="00CE4E5D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CE4E5D">
        <w:rPr>
          <w:rFonts w:eastAsia="Times New Roman" w:cs="Calibri"/>
          <w:sz w:val="22"/>
          <w:szCs w:val="22"/>
        </w:rPr>
        <w:t>Az AMLA új információ</w:t>
      </w:r>
      <w:r>
        <w:rPr>
          <w:rFonts w:eastAsia="Times New Roman" w:cs="Calibri"/>
          <w:sz w:val="22"/>
          <w:szCs w:val="22"/>
        </w:rPr>
        <w:t>kat</w:t>
      </w:r>
      <w:r w:rsidRPr="00CE4E5D">
        <w:rPr>
          <w:rFonts w:eastAsia="Times New Roman" w:cs="Calibri"/>
          <w:sz w:val="22"/>
          <w:szCs w:val="22"/>
        </w:rPr>
        <w:t xml:space="preserve"> tett közé az azon kötelezett szolgáltatók kiválasztását érintő előkészületek tekintetében, melyek közvetlen felügyeletét 2028-ban kezdi meg.</w:t>
      </w:r>
    </w:p>
    <w:p w14:paraId="3801CA5B" w14:textId="77777777" w:rsidR="00CE4E5D" w:rsidRPr="00CE4E5D" w:rsidRDefault="00CE4E5D" w:rsidP="00CE4E5D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CE4E5D">
        <w:rPr>
          <w:rFonts w:eastAsia="Times New Roman" w:cs="Calibri"/>
          <w:sz w:val="22"/>
          <w:szCs w:val="22"/>
        </w:rPr>
        <w:lastRenderedPageBreak/>
        <w:t>A jelentéstételi keretrendszer (</w:t>
      </w:r>
      <w:proofErr w:type="spellStart"/>
      <w:r w:rsidRPr="00CE4E5D">
        <w:rPr>
          <w:rFonts w:eastAsia="Times New Roman" w:cs="Calibri"/>
          <w:sz w:val="22"/>
          <w:szCs w:val="22"/>
        </w:rPr>
        <w:t>Reporting</w:t>
      </w:r>
      <w:proofErr w:type="spellEnd"/>
      <w:r w:rsidRPr="00CE4E5D">
        <w:rPr>
          <w:rFonts w:eastAsia="Times New Roman" w:cs="Calibri"/>
          <w:sz w:val="22"/>
          <w:szCs w:val="22"/>
        </w:rPr>
        <w:t xml:space="preserve"> Framework 4.3 </w:t>
      </w:r>
      <w:proofErr w:type="spellStart"/>
      <w:r w:rsidRPr="00CE4E5D">
        <w:rPr>
          <w:rFonts w:eastAsia="Times New Roman" w:cs="Calibri"/>
          <w:sz w:val="22"/>
          <w:szCs w:val="22"/>
        </w:rPr>
        <w:t>taxonomy</w:t>
      </w:r>
      <w:proofErr w:type="spellEnd"/>
      <w:r w:rsidRPr="00CE4E5D">
        <w:rPr>
          <w:rFonts w:eastAsia="Times New Roman" w:cs="Calibri"/>
          <w:sz w:val="22"/>
          <w:szCs w:val="22"/>
        </w:rPr>
        <w:t>) részeként az Európai Bankhatóság (</w:t>
      </w:r>
      <w:proofErr w:type="spellStart"/>
      <w:r w:rsidRPr="00CE4E5D">
        <w:rPr>
          <w:rFonts w:eastAsia="Times New Roman" w:cs="Calibri"/>
          <w:sz w:val="22"/>
          <w:szCs w:val="22"/>
        </w:rPr>
        <w:t>EBA</w:t>
      </w:r>
      <w:proofErr w:type="spellEnd"/>
      <w:r w:rsidRPr="00CE4E5D">
        <w:rPr>
          <w:rFonts w:eastAsia="Times New Roman" w:cs="Calibri"/>
          <w:sz w:val="22"/>
          <w:szCs w:val="22"/>
        </w:rPr>
        <w:t xml:space="preserve">) egy tervezetet tett közzé azon adatmodell és taxonómia vonatkozásában, mely az AMLA közvetlen felügyelete alá eső kötelezett szolgáltatók beazonosításához hozzájáruló módszertan támogatását célozza. Az </w:t>
      </w:r>
      <w:proofErr w:type="spellStart"/>
      <w:r w:rsidRPr="00CE4E5D">
        <w:rPr>
          <w:rFonts w:eastAsia="Times New Roman" w:cs="Calibri"/>
          <w:sz w:val="22"/>
          <w:szCs w:val="22"/>
        </w:rPr>
        <w:t>EBA</w:t>
      </w:r>
      <w:proofErr w:type="spellEnd"/>
      <w:r w:rsidRPr="00CE4E5D">
        <w:rPr>
          <w:rFonts w:eastAsia="Times New Roman" w:cs="Calibri"/>
          <w:sz w:val="22"/>
          <w:szCs w:val="22"/>
        </w:rPr>
        <w:t xml:space="preserve"> honlapján elérhető tervezetet az AMLA által tesztelés és kalibráció tárgyában közzétett információkkal (</w:t>
      </w:r>
      <w:proofErr w:type="spellStart"/>
      <w:r w:rsidRPr="00CE4E5D">
        <w:rPr>
          <w:rFonts w:eastAsia="Times New Roman" w:cs="Calibri"/>
          <w:sz w:val="22"/>
          <w:szCs w:val="22"/>
        </w:rPr>
        <w:t>template-ekkel</w:t>
      </w:r>
      <w:proofErr w:type="spellEnd"/>
      <w:r w:rsidRPr="00CE4E5D">
        <w:rPr>
          <w:rFonts w:eastAsia="Times New Roman" w:cs="Calibri"/>
          <w:sz w:val="22"/>
          <w:szCs w:val="22"/>
        </w:rPr>
        <w:t>, instrukciókkal) együtt kell értelmezni.</w:t>
      </w:r>
    </w:p>
    <w:p w14:paraId="37BCCBF1" w14:textId="7409D1B1" w:rsidR="00CE4E5D" w:rsidRPr="00CE4E5D" w:rsidRDefault="00CE4E5D" w:rsidP="00CE4E5D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CE4E5D">
        <w:rPr>
          <w:rFonts w:eastAsia="Times New Roman" w:cs="Calibri"/>
          <w:sz w:val="22"/>
          <w:szCs w:val="22"/>
        </w:rPr>
        <w:t>Az érintetteknek május 10-ig észrevételek megfogalmazására</w:t>
      </w:r>
      <w:r>
        <w:rPr>
          <w:rFonts w:eastAsia="Times New Roman" w:cs="Calibri"/>
          <w:sz w:val="22"/>
          <w:szCs w:val="22"/>
        </w:rPr>
        <w:t xml:space="preserve"> is lehetősége volt.</w:t>
      </w:r>
    </w:p>
    <w:p w14:paraId="60E8AFF2" w14:textId="77777777" w:rsidR="00CE4E5D" w:rsidRPr="00CE4E5D" w:rsidRDefault="00CE4E5D" w:rsidP="00CE4E5D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CE4E5D">
        <w:rPr>
          <w:rFonts w:eastAsia="Times New Roman" w:cs="Calibri"/>
          <w:sz w:val="22"/>
          <w:szCs w:val="22"/>
        </w:rPr>
        <w:t xml:space="preserve">Emellett a 2026. évi tesztelési és kalibrációs gyakorlat adatgyűjtéssel kapcsolatos frissített </w:t>
      </w:r>
      <w:proofErr w:type="spellStart"/>
      <w:r w:rsidRPr="00CE4E5D">
        <w:rPr>
          <w:rFonts w:eastAsia="Times New Roman" w:cs="Calibri"/>
          <w:sz w:val="22"/>
          <w:szCs w:val="22"/>
        </w:rPr>
        <w:t>template</w:t>
      </w:r>
      <w:proofErr w:type="spellEnd"/>
      <w:r w:rsidRPr="00CE4E5D">
        <w:rPr>
          <w:rFonts w:eastAsia="Times New Roman" w:cs="Calibri"/>
          <w:sz w:val="22"/>
          <w:szCs w:val="22"/>
        </w:rPr>
        <w:t xml:space="preserve">-je is elérhetővé vált az AMLA honlapján, az érintett módosítások feltüntetésével, felhívva a figyelmet arra, hogy az eredeti és frissített </w:t>
      </w:r>
      <w:proofErr w:type="spellStart"/>
      <w:r w:rsidRPr="00CE4E5D">
        <w:rPr>
          <w:rFonts w:eastAsia="Times New Roman" w:cs="Calibri"/>
          <w:sz w:val="22"/>
          <w:szCs w:val="22"/>
        </w:rPr>
        <w:t>template</w:t>
      </w:r>
      <w:proofErr w:type="spellEnd"/>
      <w:r w:rsidRPr="00CE4E5D">
        <w:rPr>
          <w:rFonts w:eastAsia="Times New Roman" w:cs="Calibri"/>
          <w:sz w:val="22"/>
          <w:szCs w:val="22"/>
        </w:rPr>
        <w:t>-ek benyújtása is elfogadható.</w:t>
      </w:r>
    </w:p>
    <w:p w14:paraId="0574F61C" w14:textId="5F9841DC" w:rsidR="00C87EEC" w:rsidRPr="004108D9" w:rsidRDefault="00CE4E5D" w:rsidP="001B6B84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CE4E5D">
        <w:rPr>
          <w:rFonts w:eastAsia="Times New Roman" w:cs="Calibri"/>
          <w:sz w:val="22"/>
          <w:szCs w:val="22"/>
        </w:rPr>
        <w:t xml:space="preserve">Az ezzel kapcsolatos hír, illetve az AMLA és </w:t>
      </w:r>
      <w:proofErr w:type="spellStart"/>
      <w:r w:rsidRPr="00CE4E5D">
        <w:rPr>
          <w:rFonts w:eastAsia="Times New Roman" w:cs="Calibri"/>
          <w:sz w:val="22"/>
          <w:szCs w:val="22"/>
        </w:rPr>
        <w:t>EBA</w:t>
      </w:r>
      <w:proofErr w:type="spellEnd"/>
      <w:r w:rsidRPr="00CE4E5D">
        <w:rPr>
          <w:rFonts w:eastAsia="Times New Roman" w:cs="Calibri"/>
          <w:sz w:val="22"/>
          <w:szCs w:val="22"/>
        </w:rPr>
        <w:t xml:space="preserve"> honlapján elérhető információk </w:t>
      </w:r>
      <w:r w:rsidR="004108D9">
        <w:rPr>
          <w:rFonts w:eastAsia="Times New Roman" w:cs="Calibri"/>
          <w:sz w:val="22"/>
          <w:szCs w:val="22"/>
        </w:rPr>
        <w:t>ezen a</w:t>
      </w:r>
      <w:r w:rsidRPr="00CE4E5D">
        <w:rPr>
          <w:rFonts w:eastAsia="Times New Roman" w:cs="Calibri"/>
          <w:sz w:val="22"/>
          <w:szCs w:val="22"/>
        </w:rPr>
        <w:t xml:space="preserve"> linken keresztül érhetők el</w:t>
      </w:r>
      <w:r w:rsidR="004108D9">
        <w:rPr>
          <w:rFonts w:eastAsia="Times New Roman" w:cs="Calibri"/>
          <w:sz w:val="22"/>
          <w:szCs w:val="22"/>
        </w:rPr>
        <w:t xml:space="preserve">: </w:t>
      </w:r>
      <w:hyperlink r:id="rId20" w:history="1">
        <w:r w:rsidR="00C87EEC" w:rsidRPr="00C87EEC">
          <w:rPr>
            <w:rStyle w:val="Hiperhivatkozs"/>
            <w:sz w:val="22"/>
            <w:szCs w:val="22"/>
            <w:vertAlign w:val="baseline"/>
          </w:rPr>
          <w:t xml:space="preserve">AMLA </w:t>
        </w:r>
        <w:proofErr w:type="spellStart"/>
        <w:r w:rsidR="00C87EEC" w:rsidRPr="00C87EEC">
          <w:rPr>
            <w:rStyle w:val="Hiperhivatkozs"/>
            <w:sz w:val="22"/>
            <w:szCs w:val="22"/>
            <w:vertAlign w:val="baseline"/>
          </w:rPr>
          <w:t>advances</w:t>
        </w:r>
        <w:proofErr w:type="spellEnd"/>
        <w:r w:rsidR="00C87EEC" w:rsidRPr="00C87EE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="00C87EEC" w:rsidRPr="00C87EEC">
          <w:rPr>
            <w:rStyle w:val="Hiperhivatkozs"/>
            <w:sz w:val="22"/>
            <w:szCs w:val="22"/>
            <w:vertAlign w:val="baseline"/>
          </w:rPr>
          <w:t>preparations</w:t>
        </w:r>
        <w:proofErr w:type="spellEnd"/>
        <w:r w:rsidR="00C87EEC" w:rsidRPr="00C87EE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="00C87EEC" w:rsidRPr="00C87EEC">
          <w:rPr>
            <w:rStyle w:val="Hiperhivatkozs"/>
            <w:sz w:val="22"/>
            <w:szCs w:val="22"/>
            <w:vertAlign w:val="baseline"/>
          </w:rPr>
          <w:t>for</w:t>
        </w:r>
        <w:proofErr w:type="spellEnd"/>
        <w:r w:rsidR="00C87EEC" w:rsidRPr="00C87EE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="00C87EEC" w:rsidRPr="00C87EEC">
          <w:rPr>
            <w:rStyle w:val="Hiperhivatkozs"/>
            <w:sz w:val="22"/>
            <w:szCs w:val="22"/>
            <w:vertAlign w:val="baseline"/>
          </w:rPr>
          <w:t>the</w:t>
        </w:r>
        <w:proofErr w:type="spellEnd"/>
        <w:r w:rsidR="00C87EEC" w:rsidRPr="00C87EEC">
          <w:rPr>
            <w:rStyle w:val="Hiperhivatkozs"/>
            <w:sz w:val="22"/>
            <w:szCs w:val="22"/>
            <w:vertAlign w:val="baseline"/>
          </w:rPr>
          <w:t xml:space="preserve"> 2027 </w:t>
        </w:r>
        <w:proofErr w:type="spellStart"/>
        <w:r w:rsidR="00C87EEC" w:rsidRPr="00C87EEC">
          <w:rPr>
            <w:rStyle w:val="Hiperhivatkozs"/>
            <w:sz w:val="22"/>
            <w:szCs w:val="22"/>
            <w:vertAlign w:val="baseline"/>
          </w:rPr>
          <w:t>selection</w:t>
        </w:r>
        <w:proofErr w:type="spellEnd"/>
        <w:r w:rsidR="00C87EEC" w:rsidRPr="00C87EEC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="00C87EEC" w:rsidRPr="00C87EEC">
          <w:rPr>
            <w:rStyle w:val="Hiperhivatkozs"/>
            <w:sz w:val="22"/>
            <w:szCs w:val="22"/>
            <w:vertAlign w:val="baseline"/>
          </w:rPr>
          <w:t>exercise</w:t>
        </w:r>
        <w:proofErr w:type="spellEnd"/>
      </w:hyperlink>
    </w:p>
    <w:p w14:paraId="24F3DC3E" w14:textId="77777777" w:rsidR="00221FE7" w:rsidRDefault="001B6B84" w:rsidP="001B6B84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1B6B84">
        <w:rPr>
          <w:rFonts w:eastAsia="Times New Roman" w:cs="Calibri"/>
          <w:sz w:val="22"/>
          <w:szCs w:val="22"/>
        </w:rPr>
        <w:t xml:space="preserve">A kötelezett szolgáltatók AMLA általi közvetlen felügyeletre való kiválasztásának áttekintéséről és az ezzel kapcsolatban eddig közzétett dokumentumok gyakorlati aspektusainak ismertetése céljából az AMLA 2026. június 10-én </w:t>
      </w:r>
      <w:proofErr w:type="spellStart"/>
      <w:r w:rsidRPr="001B6B84">
        <w:rPr>
          <w:rFonts w:eastAsia="Times New Roman" w:cs="Calibri"/>
          <w:sz w:val="22"/>
          <w:szCs w:val="22"/>
        </w:rPr>
        <w:t>webinar</w:t>
      </w:r>
      <w:proofErr w:type="spellEnd"/>
      <w:r w:rsidRPr="001B6B84">
        <w:rPr>
          <w:rFonts w:eastAsia="Times New Roman" w:cs="Calibri"/>
          <w:sz w:val="22"/>
          <w:szCs w:val="22"/>
        </w:rPr>
        <w:t xml:space="preserve">-t szervezett. Ennek anyagait (videó, diasorok, előzetesen kitöltött </w:t>
      </w:r>
      <w:proofErr w:type="spellStart"/>
      <w:r w:rsidRPr="001B6B84">
        <w:rPr>
          <w:rFonts w:eastAsia="Times New Roman" w:cs="Calibri"/>
          <w:sz w:val="22"/>
          <w:szCs w:val="22"/>
        </w:rPr>
        <w:t>template</w:t>
      </w:r>
      <w:proofErr w:type="spellEnd"/>
      <w:r w:rsidRPr="001B6B84">
        <w:rPr>
          <w:rFonts w:eastAsia="Times New Roman" w:cs="Calibri"/>
          <w:sz w:val="22"/>
          <w:szCs w:val="22"/>
        </w:rPr>
        <w:t>-ek, példák) az AMLA honlapján, az alábbi linken tették elérhetővé</w:t>
      </w:r>
      <w:r w:rsidR="00B0647B">
        <w:rPr>
          <w:rFonts w:eastAsia="Times New Roman" w:cs="Calibri"/>
          <w:sz w:val="22"/>
          <w:szCs w:val="22"/>
        </w:rPr>
        <w:t xml:space="preserve">: </w:t>
      </w:r>
    </w:p>
    <w:p w14:paraId="1FFFEBE3" w14:textId="07DF84BC" w:rsidR="001B6B84" w:rsidRDefault="001B6B84" w:rsidP="001B6B84">
      <w:pPr>
        <w:shd w:val="clear" w:color="auto" w:fill="FFFFFF"/>
        <w:spacing w:before="100" w:beforeAutospacing="1" w:after="100" w:afterAutospacing="1"/>
        <w:textAlignment w:val="baseline"/>
      </w:pPr>
      <w:hyperlink r:id="rId21" w:history="1"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Webinar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materials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now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available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: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identifying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obliged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entities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eligible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for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direct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supervision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– AMLA</w:t>
        </w:r>
      </w:hyperlink>
    </w:p>
    <w:p w14:paraId="0E1BE6B1" w14:textId="5D951D88" w:rsidR="000C4824" w:rsidRPr="000C4824" w:rsidRDefault="00002911" w:rsidP="000C4824">
      <w:pPr>
        <w:shd w:val="clear" w:color="auto" w:fill="FFFFFF"/>
        <w:spacing w:before="100" w:beforeAutospacing="1" w:after="100" w:afterAutospacing="1"/>
        <w:textAlignment w:val="baseline"/>
        <w:rPr>
          <w:sz w:val="22"/>
          <w:szCs w:val="22"/>
        </w:rPr>
      </w:pPr>
      <w:r w:rsidRPr="00002911">
        <w:rPr>
          <w:sz w:val="22"/>
          <w:szCs w:val="22"/>
        </w:rPr>
        <w:t xml:space="preserve">2026. július 22-én </w:t>
      </w:r>
      <w:r>
        <w:rPr>
          <w:sz w:val="22"/>
          <w:szCs w:val="22"/>
        </w:rPr>
        <w:t xml:space="preserve">az AMLA </w:t>
      </w:r>
      <w:r w:rsidR="000C4824" w:rsidRPr="000C4824">
        <w:rPr>
          <w:sz w:val="22"/>
          <w:szCs w:val="22"/>
        </w:rPr>
        <w:t>a közvetlen felügyeletre kiválasztható intézmények beazonosítása vonatkozásában létrehozott dokumentumok („</w:t>
      </w:r>
      <w:proofErr w:type="spellStart"/>
      <w:r w:rsidR="000C4824" w:rsidRPr="000C4824">
        <w:rPr>
          <w:sz w:val="22"/>
          <w:szCs w:val="22"/>
        </w:rPr>
        <w:t>reporting</w:t>
      </w:r>
      <w:proofErr w:type="spellEnd"/>
      <w:r w:rsidR="000C4824" w:rsidRPr="000C4824">
        <w:rPr>
          <w:sz w:val="22"/>
          <w:szCs w:val="22"/>
        </w:rPr>
        <w:t xml:space="preserve"> </w:t>
      </w:r>
      <w:proofErr w:type="spellStart"/>
      <w:r w:rsidR="000C4824" w:rsidRPr="000C4824">
        <w:rPr>
          <w:sz w:val="22"/>
          <w:szCs w:val="22"/>
        </w:rPr>
        <w:t>package</w:t>
      </w:r>
      <w:proofErr w:type="spellEnd"/>
      <w:r w:rsidR="000C4824" w:rsidRPr="000C4824">
        <w:rPr>
          <w:sz w:val="22"/>
          <w:szCs w:val="22"/>
        </w:rPr>
        <w:t xml:space="preserve">”) kapcsán egy </w:t>
      </w:r>
      <w:r w:rsidR="000C4824" w:rsidRPr="000C4824">
        <w:rPr>
          <w:b/>
          <w:bCs/>
          <w:sz w:val="22"/>
          <w:szCs w:val="22"/>
        </w:rPr>
        <w:t>„Kérdések és válaszok” (</w:t>
      </w:r>
      <w:proofErr w:type="spellStart"/>
      <w:r w:rsidR="000C4824" w:rsidRPr="000C4824">
        <w:rPr>
          <w:b/>
          <w:bCs/>
          <w:sz w:val="22"/>
          <w:szCs w:val="22"/>
        </w:rPr>
        <w:t>FAQ</w:t>
      </w:r>
      <w:proofErr w:type="spellEnd"/>
      <w:r w:rsidR="000C4824" w:rsidRPr="000C4824">
        <w:rPr>
          <w:b/>
          <w:bCs/>
          <w:sz w:val="22"/>
          <w:szCs w:val="22"/>
        </w:rPr>
        <w:t>)</w:t>
      </w:r>
      <w:r w:rsidR="000C4824" w:rsidRPr="000C4824">
        <w:rPr>
          <w:sz w:val="22"/>
          <w:szCs w:val="22"/>
        </w:rPr>
        <w:t xml:space="preserve"> anyagot készített, alapul véve a leggyakrabban feltett kérdéseket. Az anyagban szereplő kérdések és válaszok az adatok benyújtásának pontosságát és hatékonyságát kívánják elősegíteni. Emellett az AMLA felhívja a figyelmet, hogy a témában korábban közétett anyagok ismételt áttekintése is javasolt. </w:t>
      </w:r>
    </w:p>
    <w:p w14:paraId="5F6DD364" w14:textId="77777777" w:rsidR="000C4824" w:rsidRPr="000C4824" w:rsidRDefault="000C4824" w:rsidP="000C4824">
      <w:pPr>
        <w:shd w:val="clear" w:color="auto" w:fill="FFFFFF"/>
        <w:spacing w:before="100" w:beforeAutospacing="1" w:after="100" w:afterAutospacing="1"/>
        <w:textAlignment w:val="baseline"/>
        <w:rPr>
          <w:sz w:val="22"/>
          <w:szCs w:val="22"/>
        </w:rPr>
      </w:pPr>
      <w:r w:rsidRPr="000C4824">
        <w:rPr>
          <w:sz w:val="22"/>
          <w:szCs w:val="22"/>
        </w:rPr>
        <w:t>A Kérdések és válaszok, valamint a korábban közétett anyagok (</w:t>
      </w:r>
      <w:proofErr w:type="spellStart"/>
      <w:r w:rsidRPr="000C4824">
        <w:rPr>
          <w:sz w:val="22"/>
          <w:szCs w:val="22"/>
        </w:rPr>
        <w:t>reporting</w:t>
      </w:r>
      <w:proofErr w:type="spellEnd"/>
      <w:r w:rsidRPr="000C4824">
        <w:rPr>
          <w:sz w:val="22"/>
          <w:szCs w:val="22"/>
        </w:rPr>
        <w:t xml:space="preserve"> </w:t>
      </w:r>
      <w:proofErr w:type="spellStart"/>
      <w:r w:rsidRPr="000C4824">
        <w:rPr>
          <w:sz w:val="22"/>
          <w:szCs w:val="22"/>
        </w:rPr>
        <w:t>package</w:t>
      </w:r>
      <w:proofErr w:type="spellEnd"/>
      <w:r w:rsidRPr="000C4824">
        <w:rPr>
          <w:sz w:val="22"/>
          <w:szCs w:val="22"/>
        </w:rPr>
        <w:t xml:space="preserve"> és </w:t>
      </w:r>
      <w:proofErr w:type="spellStart"/>
      <w:r w:rsidRPr="000C4824">
        <w:rPr>
          <w:sz w:val="22"/>
          <w:szCs w:val="22"/>
        </w:rPr>
        <w:t>webinar</w:t>
      </w:r>
      <w:proofErr w:type="spellEnd"/>
      <w:r w:rsidRPr="000C4824">
        <w:rPr>
          <w:sz w:val="22"/>
          <w:szCs w:val="22"/>
        </w:rPr>
        <w:t xml:space="preserve"> anyagok) az alábbi linken keresztül érhetők el:</w:t>
      </w:r>
    </w:p>
    <w:p w14:paraId="3E57EE0B" w14:textId="3C9ACFB6" w:rsidR="00221FE7" w:rsidRPr="000C4824" w:rsidRDefault="000C4824" w:rsidP="001B6B84">
      <w:pPr>
        <w:shd w:val="clear" w:color="auto" w:fill="FFFFFF"/>
        <w:spacing w:before="100" w:beforeAutospacing="1" w:after="100" w:afterAutospacing="1"/>
        <w:textAlignment w:val="baseline"/>
        <w:rPr>
          <w:sz w:val="22"/>
          <w:szCs w:val="22"/>
        </w:rPr>
      </w:pPr>
      <w:hyperlink r:id="rId22" w:history="1"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Frequently</w:t>
        </w:r>
        <w:proofErr w:type="spellEnd"/>
        <w:r w:rsidRPr="000C4824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asked</w:t>
        </w:r>
        <w:proofErr w:type="spellEnd"/>
        <w:r w:rsidRPr="000C4824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questions</w:t>
        </w:r>
        <w:proofErr w:type="spellEnd"/>
        <w:r w:rsidRPr="000C4824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on</w:t>
        </w:r>
        <w:proofErr w:type="spellEnd"/>
        <w:r w:rsidRPr="000C4824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the</w:t>
        </w:r>
        <w:proofErr w:type="spellEnd"/>
        <w:r w:rsidRPr="000C4824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reporting</w:t>
        </w:r>
        <w:proofErr w:type="spellEnd"/>
        <w:r w:rsidRPr="000C4824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package</w:t>
        </w:r>
        <w:proofErr w:type="spellEnd"/>
        <w:r w:rsidRPr="000C4824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for</w:t>
        </w:r>
        <w:proofErr w:type="spellEnd"/>
        <w:r w:rsidRPr="000C4824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identifying</w:t>
        </w:r>
        <w:proofErr w:type="spellEnd"/>
        <w:r w:rsidRPr="000C4824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provisionally</w:t>
        </w:r>
        <w:proofErr w:type="spellEnd"/>
        <w:r w:rsidRPr="000C4824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eligible</w:t>
        </w:r>
        <w:proofErr w:type="spellEnd"/>
        <w:r w:rsidRPr="000C4824">
          <w:rPr>
            <w:rStyle w:val="Hiperhivatkozs"/>
            <w:sz w:val="22"/>
            <w:szCs w:val="22"/>
            <w:vertAlign w:val="baseline"/>
          </w:rPr>
          <w:t xml:space="preserve"> </w:t>
        </w:r>
        <w:proofErr w:type="spellStart"/>
        <w:r w:rsidRPr="000C4824">
          <w:rPr>
            <w:rStyle w:val="Hiperhivatkozs"/>
            <w:sz w:val="22"/>
            <w:szCs w:val="22"/>
            <w:vertAlign w:val="baseline"/>
          </w:rPr>
          <w:t>entities</w:t>
        </w:r>
        <w:proofErr w:type="spellEnd"/>
      </w:hyperlink>
    </w:p>
    <w:p w14:paraId="7116BF5F" w14:textId="54E2FA8A" w:rsidR="001B6B84" w:rsidRDefault="00D243CD" w:rsidP="00D243CD">
      <w:pPr>
        <w:pStyle w:val="Cmsor1"/>
        <w:rPr>
          <w:rFonts w:eastAsia="Times New Roman"/>
        </w:rPr>
      </w:pPr>
      <w:bookmarkStart w:id="16" w:name="_Toc235702140"/>
      <w:r>
        <w:rPr>
          <w:rFonts w:eastAsia="Times New Roman"/>
        </w:rPr>
        <w:t xml:space="preserve">A </w:t>
      </w:r>
      <w:proofErr w:type="spellStart"/>
      <w:r w:rsidR="001B6B84" w:rsidRPr="001B6B84">
        <w:rPr>
          <w:rFonts w:eastAsia="Times New Roman"/>
        </w:rPr>
        <w:t>MiCA</w:t>
      </w:r>
      <w:proofErr w:type="spellEnd"/>
      <w:r w:rsidR="001B6B84" w:rsidRPr="001B6B84">
        <w:rPr>
          <w:rFonts w:eastAsia="Times New Roman"/>
        </w:rPr>
        <w:t xml:space="preserve"> rendelet által meghatározott átmeneti időszak végéből fakadó ML/</w:t>
      </w:r>
      <w:proofErr w:type="spellStart"/>
      <w:r w:rsidR="001B6B84" w:rsidRPr="001B6B84">
        <w:rPr>
          <w:rFonts w:eastAsia="Times New Roman"/>
        </w:rPr>
        <w:t>TF</w:t>
      </w:r>
      <w:proofErr w:type="spellEnd"/>
      <w:r w:rsidR="001B6B84" w:rsidRPr="001B6B84">
        <w:rPr>
          <w:rFonts w:eastAsia="Times New Roman"/>
        </w:rPr>
        <w:t xml:space="preserve"> kockázatokról és azok lehetséges kezelési módjai</w:t>
      </w:r>
      <w:r w:rsidR="005428B5">
        <w:rPr>
          <w:rFonts w:eastAsia="Times New Roman"/>
        </w:rPr>
        <w:t>ról szóló dokumentum</w:t>
      </w:r>
      <w:bookmarkEnd w:id="16"/>
    </w:p>
    <w:p w14:paraId="139C4B21" w14:textId="77777777" w:rsidR="001B6B84" w:rsidRPr="009D04B8" w:rsidRDefault="001B6B84" w:rsidP="009D04B8">
      <w:pPr>
        <w:shd w:val="clear" w:color="auto" w:fill="FFFFFF"/>
        <w:spacing w:beforeAutospacing="1" w:after="0" w:afterAutospacing="1"/>
        <w:textAlignment w:val="baseline"/>
        <w:rPr>
          <w:rFonts w:eastAsia="Times New Roman" w:cs="Calibri"/>
          <w:sz w:val="22"/>
          <w:szCs w:val="22"/>
        </w:rPr>
      </w:pPr>
      <w:r w:rsidRPr="009D04B8">
        <w:rPr>
          <w:rFonts w:eastAsia="Times New Roman" w:cs="Calibri"/>
          <w:sz w:val="22"/>
          <w:szCs w:val="22"/>
        </w:rPr>
        <w:t>Az AMLA közzétett egy dokumentumot („</w:t>
      </w:r>
      <w:proofErr w:type="spellStart"/>
      <w:r w:rsidRPr="009D04B8">
        <w:rPr>
          <w:rFonts w:eastAsia="Times New Roman" w:cs="Calibri"/>
          <w:sz w:val="22"/>
          <w:szCs w:val="22"/>
        </w:rPr>
        <w:t>advisory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9D04B8">
        <w:rPr>
          <w:rFonts w:eastAsia="Times New Roman" w:cs="Calibri"/>
          <w:sz w:val="22"/>
          <w:szCs w:val="22"/>
        </w:rPr>
        <w:t>note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”) a </w:t>
      </w:r>
      <w:proofErr w:type="spellStart"/>
      <w:r w:rsidRPr="009D04B8">
        <w:rPr>
          <w:rFonts w:eastAsia="Times New Roman" w:cs="Calibri"/>
          <w:sz w:val="22"/>
          <w:szCs w:val="22"/>
        </w:rPr>
        <w:t>MiCA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 rendelet (</w:t>
      </w:r>
      <w:proofErr w:type="spellStart"/>
      <w:r w:rsidRPr="009D04B8">
        <w:rPr>
          <w:rFonts w:eastAsia="Times New Roman" w:cs="Calibri"/>
          <w:sz w:val="22"/>
          <w:szCs w:val="22"/>
        </w:rPr>
        <w:t>MiCAR</w:t>
      </w:r>
      <w:proofErr w:type="spellEnd"/>
      <w:r w:rsidRPr="009D04B8">
        <w:rPr>
          <w:rFonts w:eastAsia="Times New Roman" w:cs="Calibri"/>
          <w:sz w:val="22"/>
          <w:szCs w:val="22"/>
        </w:rPr>
        <w:t>) által meghatározott átmeneti időszak végéből eredő </w:t>
      </w:r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>ML/</w:t>
      </w:r>
      <w:proofErr w:type="spellStart"/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>TF</w:t>
      </w:r>
      <w:proofErr w:type="spellEnd"/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 xml:space="preserve"> kockázatokról</w:t>
      </w:r>
      <w:r w:rsidRPr="009D04B8">
        <w:rPr>
          <w:rFonts w:eastAsia="Times New Roman" w:cs="Calibri"/>
          <w:sz w:val="22"/>
          <w:szCs w:val="22"/>
        </w:rPr>
        <w:t>, valamint azokról a </w:t>
      </w:r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>kockázatcsökkentő intézkedésekről</w:t>
      </w:r>
      <w:r w:rsidRPr="009D04B8">
        <w:rPr>
          <w:rFonts w:eastAsia="Times New Roman" w:cs="Calibri"/>
          <w:sz w:val="22"/>
          <w:szCs w:val="22"/>
        </w:rPr>
        <w:t xml:space="preserve">, amelyeket a </w:t>
      </w:r>
      <w:proofErr w:type="spellStart"/>
      <w:r w:rsidRPr="009D04B8">
        <w:rPr>
          <w:rFonts w:eastAsia="Times New Roman" w:cs="Calibri"/>
          <w:sz w:val="22"/>
          <w:szCs w:val="22"/>
        </w:rPr>
        <w:t>kriptoeszköz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-szektor, a </w:t>
      </w:r>
      <w:proofErr w:type="spellStart"/>
      <w:r w:rsidRPr="009D04B8">
        <w:rPr>
          <w:rFonts w:eastAsia="Times New Roman" w:cs="Calibri"/>
          <w:sz w:val="22"/>
          <w:szCs w:val="22"/>
        </w:rPr>
        <w:t>pénzmosás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 és a terrorizmusfinanszírozás elleni felügyeleti szervek és a pénzügyi információs egységek (</w:t>
      </w:r>
      <w:proofErr w:type="spellStart"/>
      <w:r w:rsidRPr="009D04B8">
        <w:rPr>
          <w:rFonts w:eastAsia="Times New Roman" w:cs="Calibri"/>
          <w:sz w:val="22"/>
          <w:szCs w:val="22"/>
        </w:rPr>
        <w:t>FIU</w:t>
      </w:r>
      <w:proofErr w:type="spellEnd"/>
      <w:r w:rsidRPr="009D04B8">
        <w:rPr>
          <w:rFonts w:eastAsia="Times New Roman" w:cs="Calibri"/>
          <w:sz w:val="22"/>
          <w:szCs w:val="22"/>
        </w:rPr>
        <w:t>) megtehetnek a kockázatok kezelésére.</w:t>
      </w:r>
    </w:p>
    <w:p w14:paraId="6DFAF7A5" w14:textId="77777777" w:rsidR="001B6B84" w:rsidRPr="009D04B8" w:rsidRDefault="001B6B84" w:rsidP="009D04B8">
      <w:pPr>
        <w:shd w:val="clear" w:color="auto" w:fill="FFFFFF"/>
        <w:spacing w:beforeAutospacing="1" w:after="0" w:afterAutospacing="1"/>
        <w:textAlignment w:val="baseline"/>
        <w:rPr>
          <w:rFonts w:eastAsia="Times New Roman" w:cs="Calibri"/>
          <w:sz w:val="22"/>
          <w:szCs w:val="22"/>
        </w:rPr>
      </w:pPr>
      <w:r w:rsidRPr="009D04B8">
        <w:rPr>
          <w:rFonts w:eastAsia="Times New Roman" w:cs="Calibri"/>
          <w:sz w:val="22"/>
          <w:szCs w:val="22"/>
        </w:rPr>
        <w:t>Az AMLA a dokumentumban kiemeli, hogy a nem engedélyezett virtuális eszközszolgáltatók (</w:t>
      </w:r>
      <w:proofErr w:type="spellStart"/>
      <w:r w:rsidRPr="009D04B8">
        <w:rPr>
          <w:rFonts w:eastAsia="Times New Roman" w:cs="Calibri"/>
          <w:sz w:val="22"/>
          <w:szCs w:val="22"/>
        </w:rPr>
        <w:t>virtual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9D04B8">
        <w:rPr>
          <w:rFonts w:eastAsia="Times New Roman" w:cs="Calibri"/>
          <w:sz w:val="22"/>
          <w:szCs w:val="22"/>
        </w:rPr>
        <w:t>asset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 service </w:t>
      </w:r>
      <w:proofErr w:type="spellStart"/>
      <w:r w:rsidRPr="009D04B8">
        <w:rPr>
          <w:rFonts w:eastAsia="Times New Roman" w:cs="Calibri"/>
          <w:sz w:val="22"/>
          <w:szCs w:val="22"/>
        </w:rPr>
        <w:t>providers</w:t>
      </w:r>
      <w:proofErr w:type="spellEnd"/>
      <w:r w:rsidRPr="009D04B8">
        <w:rPr>
          <w:rFonts w:eastAsia="Times New Roman" w:cs="Calibri"/>
          <w:sz w:val="22"/>
          <w:szCs w:val="22"/>
        </w:rPr>
        <w:t>/</w:t>
      </w:r>
      <w:proofErr w:type="spellStart"/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>VASP</w:t>
      </w:r>
      <w:proofErr w:type="spellEnd"/>
      <w:r w:rsidRPr="009D04B8">
        <w:rPr>
          <w:rFonts w:eastAsia="Times New Roman" w:cs="Calibri"/>
          <w:sz w:val="22"/>
          <w:szCs w:val="22"/>
        </w:rPr>
        <w:t>)</w:t>
      </w:r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 xml:space="preserve"> tevékenységének megszüntetése jelentős strukturális változásokat eredményez az EU </w:t>
      </w:r>
      <w:proofErr w:type="spellStart"/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>kriptoeszköz</w:t>
      </w:r>
      <w:proofErr w:type="spellEnd"/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>-szolgáltató ökoszisztémájában</w:t>
      </w:r>
      <w:r w:rsidRPr="009D04B8">
        <w:rPr>
          <w:rFonts w:eastAsia="Times New Roman" w:cs="Calibri"/>
          <w:sz w:val="22"/>
          <w:szCs w:val="22"/>
        </w:rPr>
        <w:t xml:space="preserve">. A nem engedélyezett </w:t>
      </w:r>
      <w:proofErr w:type="spellStart"/>
      <w:r w:rsidRPr="009D04B8">
        <w:rPr>
          <w:rFonts w:eastAsia="Times New Roman" w:cs="Calibri"/>
          <w:sz w:val="22"/>
          <w:szCs w:val="22"/>
        </w:rPr>
        <w:t>VASP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-ok piacról való kilépése, a nagyszámú </w:t>
      </w:r>
      <w:r w:rsidRPr="009D04B8">
        <w:rPr>
          <w:rFonts w:eastAsia="Times New Roman" w:cs="Calibri"/>
          <w:sz w:val="22"/>
          <w:szCs w:val="22"/>
        </w:rPr>
        <w:lastRenderedPageBreak/>
        <w:t xml:space="preserve">ügyfélkapcsolat áthelyezése vagy megszüntetése, valamint a </w:t>
      </w:r>
      <w:proofErr w:type="spellStart"/>
      <w:r w:rsidRPr="009D04B8">
        <w:rPr>
          <w:rFonts w:eastAsia="Times New Roman" w:cs="Calibri"/>
          <w:sz w:val="22"/>
          <w:szCs w:val="22"/>
        </w:rPr>
        <w:t>kriptoeszköz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-tevékenység kevesebb engedélyezett </w:t>
      </w:r>
      <w:proofErr w:type="spellStart"/>
      <w:r w:rsidRPr="009D04B8">
        <w:rPr>
          <w:rFonts w:eastAsia="Times New Roman" w:cs="Calibri"/>
          <w:sz w:val="22"/>
          <w:szCs w:val="22"/>
        </w:rPr>
        <w:t>kriptoeszköz</w:t>
      </w:r>
      <w:proofErr w:type="spellEnd"/>
      <w:r w:rsidRPr="009D04B8">
        <w:rPr>
          <w:rFonts w:eastAsia="Times New Roman" w:cs="Calibri"/>
          <w:sz w:val="22"/>
          <w:szCs w:val="22"/>
        </w:rPr>
        <w:t>-szolgáltatóban (</w:t>
      </w:r>
      <w:proofErr w:type="spellStart"/>
      <w:r w:rsidRPr="009D04B8">
        <w:rPr>
          <w:rFonts w:eastAsia="Times New Roman" w:cs="Calibri"/>
          <w:sz w:val="22"/>
          <w:szCs w:val="22"/>
        </w:rPr>
        <w:t>crypto-asset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 service </w:t>
      </w:r>
      <w:proofErr w:type="spellStart"/>
      <w:r w:rsidRPr="009D04B8">
        <w:rPr>
          <w:rFonts w:eastAsia="Times New Roman" w:cs="Calibri"/>
          <w:sz w:val="22"/>
          <w:szCs w:val="22"/>
        </w:rPr>
        <w:t>provider</w:t>
      </w:r>
      <w:proofErr w:type="spellEnd"/>
      <w:r w:rsidRPr="009D04B8">
        <w:rPr>
          <w:rFonts w:eastAsia="Times New Roman" w:cs="Calibri"/>
          <w:sz w:val="22"/>
          <w:szCs w:val="22"/>
        </w:rPr>
        <w:t>/</w:t>
      </w:r>
      <w:proofErr w:type="spellStart"/>
      <w:r w:rsidRPr="009D04B8">
        <w:rPr>
          <w:rFonts w:eastAsia="Times New Roman" w:cs="Calibri"/>
          <w:sz w:val="22"/>
          <w:szCs w:val="22"/>
          <w:bdr w:val="none" w:sz="0" w:space="0" w:color="auto" w:frame="1"/>
        </w:rPr>
        <w:t>CASP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) való koncentrálódása lényeges hatással lesz a piac működésére és </w:t>
      </w:r>
      <w:proofErr w:type="spellStart"/>
      <w:r w:rsidRPr="009D04B8">
        <w:rPr>
          <w:rFonts w:eastAsia="Times New Roman" w:cs="Calibri"/>
          <w:sz w:val="22"/>
          <w:szCs w:val="22"/>
        </w:rPr>
        <w:t>AML</w:t>
      </w:r>
      <w:proofErr w:type="spellEnd"/>
      <w:r w:rsidRPr="009D04B8">
        <w:rPr>
          <w:rFonts w:eastAsia="Times New Roman" w:cs="Calibri"/>
          <w:sz w:val="22"/>
          <w:szCs w:val="22"/>
        </w:rPr>
        <w:t>/</w:t>
      </w:r>
      <w:proofErr w:type="spellStart"/>
      <w:r w:rsidRPr="009D04B8">
        <w:rPr>
          <w:rFonts w:eastAsia="Times New Roman" w:cs="Calibri"/>
          <w:sz w:val="22"/>
          <w:szCs w:val="22"/>
        </w:rPr>
        <w:t>CFT</w:t>
      </w:r>
      <w:proofErr w:type="spellEnd"/>
      <w:r w:rsidRPr="009D04B8">
        <w:rPr>
          <w:rFonts w:eastAsia="Times New Roman" w:cs="Calibri"/>
          <w:sz w:val="22"/>
          <w:szCs w:val="22"/>
        </w:rPr>
        <w:t xml:space="preserve"> megfelelési képességére.</w:t>
      </w:r>
    </w:p>
    <w:p w14:paraId="4FFB59CB" w14:textId="77777777" w:rsidR="001B6B84" w:rsidRPr="001B6B84" w:rsidRDefault="001B6B84" w:rsidP="00EE4EF9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1B6B84">
        <w:rPr>
          <w:rFonts w:eastAsia="Times New Roman" w:cs="Calibri"/>
          <w:sz w:val="22"/>
          <w:szCs w:val="22"/>
        </w:rPr>
        <w:t xml:space="preserve">A dokumentum táblázatos formában foglalja össze a </w:t>
      </w:r>
      <w:proofErr w:type="spellStart"/>
      <w:r w:rsidRPr="001B6B84">
        <w:rPr>
          <w:rFonts w:eastAsia="Times New Roman" w:cs="Calibri"/>
          <w:sz w:val="22"/>
          <w:szCs w:val="22"/>
        </w:rPr>
        <w:t>MiCAR</w:t>
      </w:r>
      <w:proofErr w:type="spellEnd"/>
      <w:r w:rsidRPr="001B6B84">
        <w:rPr>
          <w:rFonts w:eastAsia="Times New Roman" w:cs="Calibri"/>
          <w:sz w:val="22"/>
          <w:szCs w:val="22"/>
        </w:rPr>
        <w:t xml:space="preserve"> átmeneti időszak végéből fakadó lehetséges ML/</w:t>
      </w:r>
      <w:proofErr w:type="spellStart"/>
      <w:r w:rsidRPr="001B6B84">
        <w:rPr>
          <w:rFonts w:eastAsia="Times New Roman" w:cs="Calibri"/>
          <w:sz w:val="22"/>
          <w:szCs w:val="22"/>
        </w:rPr>
        <w:t>TF</w:t>
      </w:r>
      <w:proofErr w:type="spellEnd"/>
      <w:r w:rsidRPr="001B6B84">
        <w:rPr>
          <w:rFonts w:eastAsia="Times New Roman" w:cs="Calibri"/>
          <w:sz w:val="22"/>
          <w:szCs w:val="22"/>
        </w:rPr>
        <w:t xml:space="preserve"> kockázatokat és a javasolt kezelési módokat a nem engedélyezett </w:t>
      </w:r>
      <w:proofErr w:type="spellStart"/>
      <w:r w:rsidRPr="001B6B84">
        <w:rPr>
          <w:rFonts w:eastAsia="Times New Roman" w:cs="Calibri"/>
          <w:sz w:val="22"/>
          <w:szCs w:val="22"/>
        </w:rPr>
        <w:t>VASP</w:t>
      </w:r>
      <w:proofErr w:type="spellEnd"/>
      <w:r w:rsidRPr="001B6B84">
        <w:rPr>
          <w:rFonts w:eastAsia="Times New Roman" w:cs="Calibri"/>
          <w:sz w:val="22"/>
          <w:szCs w:val="22"/>
        </w:rPr>
        <w:t xml:space="preserve">-ok, engedélyezett </w:t>
      </w:r>
      <w:proofErr w:type="spellStart"/>
      <w:r w:rsidRPr="001B6B84">
        <w:rPr>
          <w:rFonts w:eastAsia="Times New Roman" w:cs="Calibri"/>
          <w:sz w:val="22"/>
          <w:szCs w:val="22"/>
        </w:rPr>
        <w:t>CASP</w:t>
      </w:r>
      <w:proofErr w:type="spellEnd"/>
      <w:r w:rsidRPr="001B6B84">
        <w:rPr>
          <w:rFonts w:eastAsia="Times New Roman" w:cs="Calibri"/>
          <w:sz w:val="22"/>
          <w:szCs w:val="22"/>
        </w:rPr>
        <w:t xml:space="preserve">-ok, valamint az </w:t>
      </w:r>
      <w:proofErr w:type="spellStart"/>
      <w:r w:rsidRPr="001B6B84">
        <w:rPr>
          <w:rFonts w:eastAsia="Times New Roman" w:cs="Calibri"/>
          <w:sz w:val="22"/>
          <w:szCs w:val="22"/>
        </w:rPr>
        <w:t>AML</w:t>
      </w:r>
      <w:proofErr w:type="spellEnd"/>
      <w:r w:rsidRPr="001B6B84">
        <w:rPr>
          <w:rFonts w:eastAsia="Times New Roman" w:cs="Calibri"/>
          <w:sz w:val="22"/>
          <w:szCs w:val="22"/>
        </w:rPr>
        <w:t>/</w:t>
      </w:r>
      <w:proofErr w:type="spellStart"/>
      <w:r w:rsidRPr="001B6B84">
        <w:rPr>
          <w:rFonts w:eastAsia="Times New Roman" w:cs="Calibri"/>
          <w:sz w:val="22"/>
          <w:szCs w:val="22"/>
        </w:rPr>
        <w:t>CFT</w:t>
      </w:r>
      <w:proofErr w:type="spellEnd"/>
      <w:r w:rsidRPr="001B6B84">
        <w:rPr>
          <w:rFonts w:eastAsia="Times New Roman" w:cs="Calibri"/>
          <w:sz w:val="22"/>
          <w:szCs w:val="22"/>
        </w:rPr>
        <w:t xml:space="preserve"> felügyeletek és pénzügyi információs egységek számára, mely az alábbi linken tekinthető meg:</w:t>
      </w:r>
    </w:p>
    <w:p w14:paraId="3249FA81" w14:textId="14F6558E" w:rsidR="001B6B84" w:rsidRPr="001B6B84" w:rsidRDefault="001B6B84" w:rsidP="001B6B84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hyperlink r:id="rId23" w:history="1"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Advisory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note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on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money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laundering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risks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as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the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MiCAR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transitional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period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>ends</w:t>
        </w:r>
        <w:proofErr w:type="spellEnd"/>
        <w:r w:rsidRPr="001B6B84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- AMLA</w:t>
        </w:r>
      </w:hyperlink>
    </w:p>
    <w:p w14:paraId="2A2DD48C" w14:textId="0A9E3D5B" w:rsidR="00D237BD" w:rsidRDefault="00D237BD" w:rsidP="00D243CD">
      <w:pPr>
        <w:pStyle w:val="Cmsor1"/>
        <w:rPr>
          <w:rFonts w:eastAsia="Times New Roman"/>
        </w:rPr>
      </w:pPr>
      <w:bookmarkStart w:id="17" w:name="_Toc235702141"/>
      <w:r>
        <w:rPr>
          <w:rFonts w:eastAsia="Times New Roman"/>
        </w:rPr>
        <w:t>Konferenciák, jelentések</w:t>
      </w:r>
      <w:bookmarkEnd w:id="17"/>
    </w:p>
    <w:p w14:paraId="14B1AE5E" w14:textId="30F30CD0" w:rsidR="001B6B84" w:rsidRDefault="0093182C" w:rsidP="00CE0323">
      <w:pPr>
        <w:pStyle w:val="Cmsor2"/>
      </w:pPr>
      <w:bookmarkStart w:id="18" w:name="_Toc235702142"/>
      <w:r w:rsidRPr="0093182C">
        <w:t>Lezajlott az első AMLA konferencia, ahol a pénzmosás és terrorizmusfinanszírozás elleni fellépés aktuális kérdéseit vitatták meg a résztvevők</w:t>
      </w:r>
      <w:bookmarkEnd w:id="18"/>
    </w:p>
    <w:p w14:paraId="5B6FEE4C" w14:textId="77777777" w:rsidR="0093182C" w:rsidRPr="0093182C" w:rsidRDefault="0093182C" w:rsidP="00EE4EF9">
      <w:pPr>
        <w:shd w:val="clear" w:color="auto" w:fill="FFFFFF"/>
        <w:spacing w:beforeAutospacing="1" w:after="0" w:afterAutospacing="1"/>
        <w:textAlignment w:val="baseline"/>
        <w:rPr>
          <w:rFonts w:eastAsia="Times New Roman" w:cs="Calibri"/>
          <w:sz w:val="22"/>
          <w:szCs w:val="22"/>
        </w:rPr>
      </w:pPr>
      <w:r w:rsidRPr="0093182C">
        <w:rPr>
          <w:rFonts w:eastAsia="Times New Roman" w:cs="Calibri"/>
          <w:sz w:val="22"/>
          <w:szCs w:val="22"/>
        </w:rPr>
        <w:t>2026. június 9-én lezajlott az első AMLA által szervezett konferencia Frankfurtban, </w:t>
      </w:r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 xml:space="preserve">“Building </w:t>
      </w:r>
      <w:proofErr w:type="spellStart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>Trust</w:t>
      </w:r>
      <w:proofErr w:type="spellEnd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>Enhancing</w:t>
      </w:r>
      <w:proofErr w:type="spellEnd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>Integrity</w:t>
      </w:r>
      <w:proofErr w:type="spellEnd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 xml:space="preserve">: A New </w:t>
      </w:r>
      <w:proofErr w:type="spellStart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>Chapter</w:t>
      </w:r>
      <w:proofErr w:type="spellEnd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>the</w:t>
      </w:r>
      <w:proofErr w:type="spellEnd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>EU's</w:t>
      </w:r>
      <w:proofErr w:type="spellEnd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>Fight</w:t>
      </w:r>
      <w:proofErr w:type="spellEnd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>Against</w:t>
      </w:r>
      <w:proofErr w:type="spellEnd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 xml:space="preserve"> Financial </w:t>
      </w:r>
      <w:proofErr w:type="spellStart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>Crime</w:t>
      </w:r>
      <w:proofErr w:type="spellEnd"/>
      <w:r w:rsidRPr="0093182C">
        <w:rPr>
          <w:rFonts w:eastAsia="Times New Roman" w:cs="Calibri"/>
          <w:i/>
          <w:iCs/>
          <w:sz w:val="22"/>
          <w:szCs w:val="22"/>
          <w:bdr w:val="none" w:sz="0" w:space="0" w:color="auto" w:frame="1"/>
        </w:rPr>
        <w:t>”</w:t>
      </w:r>
      <w:r w:rsidRPr="0093182C">
        <w:rPr>
          <w:rFonts w:eastAsia="Times New Roman" w:cs="Calibri"/>
          <w:sz w:val="22"/>
          <w:szCs w:val="22"/>
        </w:rPr>
        <w:t> címmel.</w:t>
      </w:r>
    </w:p>
    <w:p w14:paraId="7015BD56" w14:textId="77777777" w:rsidR="0093182C" w:rsidRPr="0093182C" w:rsidRDefault="0093182C" w:rsidP="00EE4EF9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93182C">
        <w:rPr>
          <w:rFonts w:eastAsia="Times New Roman" w:cs="Calibri"/>
          <w:sz w:val="22"/>
          <w:szCs w:val="22"/>
        </w:rPr>
        <w:t>A konferencia széles körű résztvevői között megjelentek mindazok, akik az európai pénzmosás és terrorizmusfinanszírozás elleni fellépésben érintettek, beleértve a felügyeleti hatóságokat, a pénzügyi információs egységeket, a magánszektort, a bűnüldöző szerveket, az akadémiai köröket, valamint az uniós szerveket és a nemzetközi intézményeket.</w:t>
      </w:r>
    </w:p>
    <w:p w14:paraId="0D0D8362" w14:textId="77777777" w:rsidR="0093182C" w:rsidRPr="0093182C" w:rsidRDefault="0093182C" w:rsidP="00EE4EF9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93182C">
        <w:rPr>
          <w:rFonts w:eastAsia="Times New Roman" w:cs="Calibri"/>
          <w:sz w:val="22"/>
          <w:szCs w:val="22"/>
        </w:rPr>
        <w:t>A konferencia három olyan fő témakörre épült, melyekkel a résztvevők a pénzmosás és terrorizmusfinanszírozás elleni fellépés aktuális kérdéseit járták körül.</w:t>
      </w:r>
    </w:p>
    <w:p w14:paraId="5A75F2E2" w14:textId="77777777" w:rsidR="0093182C" w:rsidRPr="0093182C" w:rsidRDefault="0093182C" w:rsidP="00EE4EF9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93182C">
        <w:rPr>
          <w:rFonts w:eastAsia="Times New Roman" w:cs="Calibri"/>
          <w:sz w:val="22"/>
          <w:szCs w:val="22"/>
        </w:rPr>
        <w:t>Ezek közé tartoztak az alábbiak:</w:t>
      </w:r>
    </w:p>
    <w:p w14:paraId="75659F56" w14:textId="77777777" w:rsidR="00F00867" w:rsidRDefault="0093182C" w:rsidP="00EE4EF9">
      <w:pPr>
        <w:pStyle w:val="Listaszerbekezds"/>
        <w:numPr>
          <w:ilvl w:val="0"/>
          <w:numId w:val="31"/>
        </w:numPr>
        <w:shd w:val="clear" w:color="auto" w:fill="FFFFFF"/>
        <w:spacing w:after="0"/>
        <w:textAlignment w:val="baseline"/>
        <w:rPr>
          <w:rFonts w:eastAsia="Times New Roman" w:cs="Calibri"/>
          <w:sz w:val="22"/>
          <w:szCs w:val="22"/>
        </w:rPr>
      </w:pPr>
      <w:r w:rsidRPr="00F00867">
        <w:rPr>
          <w:rFonts w:eastAsia="Times New Roman" w:cs="Calibri"/>
          <w:b/>
          <w:bCs/>
          <w:sz w:val="22"/>
          <w:szCs w:val="22"/>
          <w:bdr w:val="none" w:sz="0" w:space="0" w:color="auto" w:frame="1"/>
        </w:rPr>
        <w:t>a pénzügyi információk (</w:t>
      </w:r>
      <w:proofErr w:type="spellStart"/>
      <w:r w:rsidRPr="00F00867">
        <w:rPr>
          <w:rFonts w:eastAsia="Times New Roman" w:cs="Calibri"/>
          <w:b/>
          <w:bCs/>
          <w:sz w:val="22"/>
          <w:szCs w:val="22"/>
          <w:bdr w:val="none" w:sz="0" w:space="0" w:color="auto" w:frame="1"/>
        </w:rPr>
        <w:t>financial</w:t>
      </w:r>
      <w:proofErr w:type="spellEnd"/>
      <w:r w:rsidRPr="00F00867">
        <w:rPr>
          <w:rFonts w:eastAsia="Times New Roman" w:cs="Calibri"/>
          <w:b/>
          <w:b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F00867">
        <w:rPr>
          <w:rFonts w:eastAsia="Times New Roman" w:cs="Calibri"/>
          <w:b/>
          <w:bCs/>
          <w:sz w:val="22"/>
          <w:szCs w:val="22"/>
          <w:bdr w:val="none" w:sz="0" w:space="0" w:color="auto" w:frame="1"/>
        </w:rPr>
        <w:t>intelligence</w:t>
      </w:r>
      <w:proofErr w:type="spellEnd"/>
      <w:r w:rsidRPr="00F00867">
        <w:rPr>
          <w:rFonts w:eastAsia="Times New Roman" w:cs="Calibri"/>
          <w:b/>
          <w:bCs/>
          <w:sz w:val="22"/>
          <w:szCs w:val="22"/>
          <w:bdr w:val="none" w:sz="0" w:space="0" w:color="auto" w:frame="1"/>
        </w:rPr>
        <w:t>) szerepe a transznacionális szervezett bűnözés elleni küzdelemben</w:t>
      </w:r>
      <w:r w:rsidRPr="00F00867">
        <w:rPr>
          <w:rFonts w:eastAsia="Times New Roman" w:cs="Calibri"/>
          <w:sz w:val="22"/>
          <w:szCs w:val="22"/>
        </w:rPr>
        <w:t>: a megbeszélés a pénzmosás elleni rendszer elemeit átfogóan érintette, a gyanús tevékenységek magánszektor általi bejelentésétől kezdve a pénzügyi információs egységek közötti információcserén és elemzéseken át, valamint ezen információk további szereplők (pl. bűnüldöző szervek) általi felhasználásáig, kiemelve többek között az információcsere minőségének javításának fontosságát;</w:t>
      </w:r>
    </w:p>
    <w:p w14:paraId="192F1135" w14:textId="77777777" w:rsidR="00F00867" w:rsidRDefault="0093182C" w:rsidP="00EE4EF9">
      <w:pPr>
        <w:pStyle w:val="Listaszerbekezds"/>
        <w:numPr>
          <w:ilvl w:val="0"/>
          <w:numId w:val="31"/>
        </w:numPr>
        <w:shd w:val="clear" w:color="auto" w:fill="FFFFFF"/>
        <w:spacing w:after="0"/>
        <w:textAlignment w:val="baseline"/>
        <w:rPr>
          <w:rFonts w:eastAsia="Times New Roman" w:cs="Calibri"/>
          <w:sz w:val="22"/>
          <w:szCs w:val="22"/>
        </w:rPr>
      </w:pPr>
      <w:r w:rsidRPr="00F00867">
        <w:rPr>
          <w:rFonts w:eastAsia="Times New Roman" w:cs="Calibri"/>
          <w:b/>
          <w:bCs/>
          <w:sz w:val="22"/>
          <w:szCs w:val="22"/>
          <w:bdr w:val="none" w:sz="0" w:space="0" w:color="auto" w:frame="1"/>
        </w:rPr>
        <w:t>az AMLA szerepe gyakorlati, vagyis felügyelési és együttműködési aspektusból</w:t>
      </w:r>
      <w:r w:rsidRPr="00F00867">
        <w:rPr>
          <w:rFonts w:eastAsia="Times New Roman" w:cs="Calibri"/>
          <w:sz w:val="22"/>
          <w:szCs w:val="22"/>
        </w:rPr>
        <w:t>: a panel résztvevői kiemelték a szabályozási konvergencia szükségszerűségét a közös módszertanok kidolgozásában és az egyértelmű elvárások lefektetésében;</w:t>
      </w:r>
    </w:p>
    <w:p w14:paraId="17B8AA9A" w14:textId="0D05237C" w:rsidR="0093182C" w:rsidRPr="00F00867" w:rsidRDefault="0093182C" w:rsidP="00EE4EF9">
      <w:pPr>
        <w:pStyle w:val="Listaszerbekezds"/>
        <w:numPr>
          <w:ilvl w:val="0"/>
          <w:numId w:val="31"/>
        </w:numPr>
        <w:shd w:val="clear" w:color="auto" w:fill="FFFFFF"/>
        <w:spacing w:after="0"/>
        <w:textAlignment w:val="baseline"/>
        <w:rPr>
          <w:rFonts w:eastAsia="Times New Roman" w:cs="Calibri"/>
          <w:sz w:val="22"/>
          <w:szCs w:val="22"/>
        </w:rPr>
      </w:pPr>
      <w:r w:rsidRPr="00F00867">
        <w:rPr>
          <w:rFonts w:eastAsia="Times New Roman" w:cs="Calibri"/>
          <w:b/>
          <w:bCs/>
          <w:sz w:val="22"/>
          <w:szCs w:val="22"/>
          <w:bdr w:val="none" w:sz="0" w:space="0" w:color="auto" w:frame="1"/>
        </w:rPr>
        <w:t>a technológia szerepe a pénzügyi bűnözés elleni küzdelemben.</w:t>
      </w:r>
    </w:p>
    <w:p w14:paraId="13C9D4EA" w14:textId="77777777" w:rsidR="0093182C" w:rsidRDefault="0093182C" w:rsidP="00EE4EF9">
      <w:pPr>
        <w:shd w:val="clear" w:color="auto" w:fill="FFFFFF"/>
        <w:spacing w:after="0"/>
        <w:textAlignment w:val="baseline"/>
        <w:rPr>
          <w:rFonts w:eastAsia="Times New Roman" w:cs="Calibri"/>
          <w:sz w:val="22"/>
          <w:szCs w:val="22"/>
        </w:rPr>
      </w:pPr>
    </w:p>
    <w:p w14:paraId="2275A17A" w14:textId="50F9A207" w:rsidR="0093182C" w:rsidRPr="0093182C" w:rsidRDefault="0093182C" w:rsidP="00EE4EF9">
      <w:pPr>
        <w:shd w:val="clear" w:color="auto" w:fill="FFFFFF"/>
        <w:spacing w:after="0"/>
        <w:textAlignment w:val="baseline"/>
        <w:rPr>
          <w:rFonts w:eastAsia="Times New Roman" w:cs="Calibri"/>
          <w:sz w:val="22"/>
          <w:szCs w:val="22"/>
        </w:rPr>
      </w:pPr>
      <w:r w:rsidRPr="0093182C">
        <w:rPr>
          <w:rFonts w:eastAsia="Times New Roman" w:cs="Calibri"/>
          <w:sz w:val="22"/>
          <w:szCs w:val="22"/>
        </w:rPr>
        <w:t>A konferencia során elhangzott beszélgetések az alábbi linken megtekinthetők:</w:t>
      </w:r>
    </w:p>
    <w:p w14:paraId="425AB643" w14:textId="276F1992" w:rsidR="0093182C" w:rsidRDefault="0093182C" w:rsidP="001B6B84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hyperlink r:id="rId24" w:history="1"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First AMLA Conference </w:t>
        </w:r>
        <w:proofErr w:type="spellStart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>Recap</w:t>
        </w:r>
        <w:proofErr w:type="spellEnd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: Key </w:t>
        </w:r>
        <w:proofErr w:type="spellStart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>Moments</w:t>
        </w:r>
        <w:proofErr w:type="spellEnd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and </w:t>
        </w:r>
        <w:proofErr w:type="spellStart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>Insights</w:t>
        </w:r>
        <w:proofErr w:type="spellEnd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- </w:t>
        </w:r>
        <w:proofErr w:type="spellStart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>Authority</w:t>
        </w:r>
        <w:proofErr w:type="spellEnd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>for</w:t>
        </w:r>
        <w:proofErr w:type="spellEnd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Anti-Money </w:t>
        </w:r>
        <w:proofErr w:type="spellStart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>Laundering</w:t>
        </w:r>
        <w:proofErr w:type="spellEnd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and </w:t>
        </w:r>
        <w:proofErr w:type="spellStart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>Countering</w:t>
        </w:r>
        <w:proofErr w:type="spellEnd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>the</w:t>
        </w:r>
        <w:proofErr w:type="spellEnd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</w:t>
        </w:r>
        <w:proofErr w:type="spellStart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>Financing</w:t>
        </w:r>
        <w:proofErr w:type="spellEnd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 xml:space="preserve"> of </w:t>
        </w:r>
        <w:proofErr w:type="spellStart"/>
        <w:r w:rsidRPr="0093182C">
          <w:rPr>
            <w:rStyle w:val="Hiperhivatkozs"/>
            <w:rFonts w:eastAsia="Times New Roman" w:cs="Calibri"/>
            <w:sz w:val="22"/>
            <w:szCs w:val="22"/>
            <w:vertAlign w:val="baseline"/>
          </w:rPr>
          <w:t>Terrorism</w:t>
        </w:r>
        <w:proofErr w:type="spellEnd"/>
      </w:hyperlink>
    </w:p>
    <w:p w14:paraId="132453EE" w14:textId="4C59DCED" w:rsidR="000E7731" w:rsidRDefault="000E7731" w:rsidP="00CE0323">
      <w:pPr>
        <w:pStyle w:val="Cmsor2"/>
      </w:pPr>
      <w:bookmarkStart w:id="19" w:name="_Toc235702143"/>
      <w:r w:rsidRPr="000E7731">
        <w:lastRenderedPageBreak/>
        <w:t>Az AMLA elnöke bemutatta az Európai Parlamentnek az AMLA 2025. évre vonatkozó konszolidált éves jelentését</w:t>
      </w:r>
      <w:bookmarkEnd w:id="19"/>
    </w:p>
    <w:p w14:paraId="448FCB08" w14:textId="41B57B4E" w:rsidR="000E7731" w:rsidRPr="000E7731" w:rsidRDefault="000E7731" w:rsidP="000E773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Calibri"/>
          <w:sz w:val="22"/>
          <w:szCs w:val="22"/>
        </w:rPr>
      </w:pPr>
      <w:r w:rsidRPr="000E7731">
        <w:rPr>
          <w:rFonts w:eastAsia="Times New Roman" w:cs="Calibri"/>
          <w:sz w:val="22"/>
          <w:szCs w:val="22"/>
        </w:rPr>
        <w:t xml:space="preserve">Az AMLA elnöke, Bruna </w:t>
      </w:r>
      <w:proofErr w:type="spellStart"/>
      <w:r w:rsidRPr="000E7731">
        <w:rPr>
          <w:rFonts w:eastAsia="Times New Roman" w:cs="Calibri"/>
          <w:sz w:val="22"/>
          <w:szCs w:val="22"/>
        </w:rPr>
        <w:t>Szego</w:t>
      </w:r>
      <w:proofErr w:type="spellEnd"/>
      <w:r w:rsidRPr="000E7731">
        <w:rPr>
          <w:rFonts w:eastAsia="Times New Roman" w:cs="Calibri"/>
          <w:sz w:val="22"/>
          <w:szCs w:val="22"/>
        </w:rPr>
        <w:t xml:space="preserve"> bemutatta az AMLA 2025. évre vonatkozó konszolidált éves jelentését („</w:t>
      </w:r>
      <w:proofErr w:type="spellStart"/>
      <w:r w:rsidRPr="000E7731">
        <w:rPr>
          <w:rFonts w:eastAsia="Times New Roman" w:cs="Calibri"/>
          <w:sz w:val="22"/>
          <w:szCs w:val="22"/>
        </w:rPr>
        <w:t>Consolidated</w:t>
      </w:r>
      <w:proofErr w:type="spellEnd"/>
      <w:r w:rsidRPr="000E7731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0E7731">
        <w:rPr>
          <w:rFonts w:eastAsia="Times New Roman" w:cs="Calibri"/>
          <w:sz w:val="22"/>
          <w:szCs w:val="22"/>
        </w:rPr>
        <w:t>Annual</w:t>
      </w:r>
      <w:proofErr w:type="spellEnd"/>
      <w:r w:rsidRPr="000E7731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0E7731">
        <w:rPr>
          <w:rFonts w:eastAsia="Times New Roman" w:cs="Calibri"/>
          <w:sz w:val="22"/>
          <w:szCs w:val="22"/>
        </w:rPr>
        <w:t>Activity</w:t>
      </w:r>
      <w:proofErr w:type="spellEnd"/>
      <w:r w:rsidRPr="000E7731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0E7731">
        <w:rPr>
          <w:rFonts w:eastAsia="Times New Roman" w:cs="Calibri"/>
          <w:sz w:val="22"/>
          <w:szCs w:val="22"/>
        </w:rPr>
        <w:t>Report</w:t>
      </w:r>
      <w:proofErr w:type="spellEnd"/>
      <w:r w:rsidRPr="000E7731">
        <w:rPr>
          <w:rFonts w:eastAsia="Times New Roman" w:cs="Calibri"/>
          <w:sz w:val="22"/>
          <w:szCs w:val="22"/>
        </w:rPr>
        <w:t>”).</w:t>
      </w:r>
    </w:p>
    <w:p w14:paraId="5B6CC381" w14:textId="4DDFEDC8" w:rsidR="000E7731" w:rsidRPr="000E7731" w:rsidRDefault="000E7731" w:rsidP="00EE4EF9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0E7731">
        <w:rPr>
          <w:rFonts w:eastAsia="Times New Roman" w:cs="Calibri"/>
          <w:sz w:val="22"/>
          <w:szCs w:val="22"/>
        </w:rPr>
        <w:t xml:space="preserve">Ennek </w:t>
      </w:r>
      <w:r w:rsidR="00582462">
        <w:rPr>
          <w:rFonts w:eastAsia="Times New Roman" w:cs="Calibri"/>
          <w:sz w:val="22"/>
          <w:szCs w:val="22"/>
        </w:rPr>
        <w:t xml:space="preserve">jogszabályi </w:t>
      </w:r>
      <w:r w:rsidRPr="000E7731">
        <w:rPr>
          <w:rFonts w:eastAsia="Times New Roman" w:cs="Calibri"/>
          <w:sz w:val="22"/>
          <w:szCs w:val="22"/>
        </w:rPr>
        <w:t>háttere, hogy az AMLA Rendelet 64. cikk</w:t>
      </w:r>
      <w:r w:rsidR="00386B5E">
        <w:rPr>
          <w:rFonts w:eastAsia="Times New Roman" w:cs="Calibri"/>
          <w:sz w:val="22"/>
          <w:szCs w:val="22"/>
        </w:rPr>
        <w:t>e</w:t>
      </w:r>
      <w:r w:rsidRPr="000E7731">
        <w:rPr>
          <w:rFonts w:eastAsia="Times New Roman" w:cs="Calibri"/>
          <w:sz w:val="22"/>
          <w:szCs w:val="22"/>
        </w:rPr>
        <w:t xml:space="preserve"> alapján az AMLA kötelezettsége, hogy konszolidált éves jelentést készítsen feladatainak teljesítéséről és a jelentést továbbítsa az Európai Parlamentnek, a Tanácsnak, a Bizottságnak és a Számvevőszéknek, valamint nyilvánosságra hozza.</w:t>
      </w:r>
    </w:p>
    <w:p w14:paraId="0494FAE9" w14:textId="6EFF5E94" w:rsidR="001F7175" w:rsidRDefault="000E7731" w:rsidP="00EE4EF9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0E7731">
        <w:rPr>
          <w:rFonts w:eastAsia="Times New Roman" w:cs="Calibri"/>
          <w:sz w:val="22"/>
          <w:szCs w:val="22"/>
        </w:rPr>
        <w:t>A jelentés áttekintést ad az AMLA intézményi fejlődéséről és a 2025-ben elért eredményekről a főbb tevékenységei tekintetében</w:t>
      </w:r>
      <w:r w:rsidR="001F7175">
        <w:rPr>
          <w:rFonts w:eastAsia="Times New Roman" w:cs="Calibri"/>
          <w:sz w:val="22"/>
          <w:szCs w:val="22"/>
        </w:rPr>
        <w:t>, az alábbiakat érintően</w:t>
      </w:r>
      <w:r w:rsidRPr="000E7731">
        <w:rPr>
          <w:rFonts w:eastAsia="Times New Roman" w:cs="Calibri"/>
          <w:sz w:val="22"/>
          <w:szCs w:val="22"/>
        </w:rPr>
        <w:t xml:space="preserve">: </w:t>
      </w:r>
    </w:p>
    <w:p w14:paraId="49AB5022" w14:textId="77777777" w:rsidR="00386B5E" w:rsidRDefault="000E7731" w:rsidP="00EE4EF9">
      <w:pPr>
        <w:pStyle w:val="Listaszerbekezds"/>
        <w:numPr>
          <w:ilvl w:val="0"/>
          <w:numId w:val="32"/>
        </w:num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386B5E">
        <w:rPr>
          <w:rFonts w:eastAsia="Times New Roman" w:cs="Calibri"/>
          <w:sz w:val="22"/>
          <w:szCs w:val="22"/>
        </w:rPr>
        <w:t xml:space="preserve">az EU egységes szabálykönyvének </w:t>
      </w:r>
      <w:r w:rsidR="001F7175" w:rsidRPr="00386B5E">
        <w:rPr>
          <w:rFonts w:eastAsia="Times New Roman" w:cs="Calibri"/>
          <w:sz w:val="22"/>
          <w:szCs w:val="22"/>
        </w:rPr>
        <w:t>(</w:t>
      </w:r>
      <w:proofErr w:type="spellStart"/>
      <w:r w:rsidR="001F7175" w:rsidRPr="00386B5E">
        <w:rPr>
          <w:rFonts w:eastAsia="Times New Roman" w:cs="Calibri"/>
          <w:sz w:val="22"/>
          <w:szCs w:val="22"/>
        </w:rPr>
        <w:t>Single</w:t>
      </w:r>
      <w:proofErr w:type="spellEnd"/>
      <w:r w:rsidR="001F7175" w:rsidRPr="00386B5E">
        <w:rPr>
          <w:rFonts w:eastAsia="Times New Roman" w:cs="Calibri"/>
          <w:sz w:val="22"/>
          <w:szCs w:val="22"/>
        </w:rPr>
        <w:t xml:space="preserve"> </w:t>
      </w:r>
      <w:proofErr w:type="spellStart"/>
      <w:r w:rsidR="001F7175" w:rsidRPr="00386B5E">
        <w:rPr>
          <w:rFonts w:eastAsia="Times New Roman" w:cs="Calibri"/>
          <w:sz w:val="22"/>
          <w:szCs w:val="22"/>
        </w:rPr>
        <w:t>Rulebook</w:t>
      </w:r>
      <w:proofErr w:type="spellEnd"/>
      <w:r w:rsidR="001F7175" w:rsidRPr="00386B5E">
        <w:rPr>
          <w:rFonts w:eastAsia="Times New Roman" w:cs="Calibri"/>
          <w:sz w:val="22"/>
          <w:szCs w:val="22"/>
        </w:rPr>
        <w:t xml:space="preserve">) </w:t>
      </w:r>
      <w:r w:rsidRPr="00386B5E">
        <w:rPr>
          <w:rFonts w:eastAsia="Times New Roman" w:cs="Calibri"/>
          <w:sz w:val="22"/>
          <w:szCs w:val="22"/>
        </w:rPr>
        <w:t>kidolgozás</w:t>
      </w:r>
      <w:r w:rsidR="001F7175" w:rsidRPr="00386B5E">
        <w:rPr>
          <w:rFonts w:eastAsia="Times New Roman" w:cs="Calibri"/>
          <w:sz w:val="22"/>
          <w:szCs w:val="22"/>
        </w:rPr>
        <w:t>a</w:t>
      </w:r>
      <w:r w:rsidRPr="00386B5E">
        <w:rPr>
          <w:rFonts w:eastAsia="Times New Roman" w:cs="Calibri"/>
          <w:sz w:val="22"/>
          <w:szCs w:val="22"/>
        </w:rPr>
        <w:t xml:space="preserve">, </w:t>
      </w:r>
    </w:p>
    <w:p w14:paraId="48CB5946" w14:textId="77777777" w:rsidR="00386B5E" w:rsidRDefault="000E7731" w:rsidP="00EE4EF9">
      <w:pPr>
        <w:pStyle w:val="Listaszerbekezds"/>
        <w:numPr>
          <w:ilvl w:val="0"/>
          <w:numId w:val="32"/>
        </w:num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386B5E">
        <w:rPr>
          <w:rFonts w:eastAsia="Times New Roman" w:cs="Calibri"/>
          <w:sz w:val="22"/>
          <w:szCs w:val="22"/>
        </w:rPr>
        <w:t>a pénzmosás és a terrorizmusfinanszírozás elleni felügyelet megerősítés</w:t>
      </w:r>
      <w:r w:rsidR="001F7175" w:rsidRPr="00386B5E">
        <w:rPr>
          <w:rFonts w:eastAsia="Times New Roman" w:cs="Calibri"/>
          <w:sz w:val="22"/>
          <w:szCs w:val="22"/>
        </w:rPr>
        <w:t>e,</w:t>
      </w:r>
    </w:p>
    <w:p w14:paraId="5B509106" w14:textId="372F63A8" w:rsidR="001F7175" w:rsidRPr="00386B5E" w:rsidRDefault="000E7731" w:rsidP="00EE4EF9">
      <w:pPr>
        <w:pStyle w:val="Listaszerbekezds"/>
        <w:numPr>
          <w:ilvl w:val="0"/>
          <w:numId w:val="32"/>
        </w:num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386B5E">
        <w:rPr>
          <w:rFonts w:eastAsia="Times New Roman" w:cs="Calibri"/>
          <w:sz w:val="22"/>
          <w:szCs w:val="22"/>
        </w:rPr>
        <w:t xml:space="preserve">a pénzügyi információs egységek </w:t>
      </w:r>
      <w:r w:rsidR="00386B5E">
        <w:rPr>
          <w:rFonts w:eastAsia="Times New Roman" w:cs="Calibri"/>
          <w:sz w:val="22"/>
          <w:szCs w:val="22"/>
        </w:rPr>
        <w:t>(</w:t>
      </w:r>
      <w:proofErr w:type="spellStart"/>
      <w:r w:rsidR="00386B5E">
        <w:rPr>
          <w:rFonts w:eastAsia="Times New Roman" w:cs="Calibri"/>
          <w:sz w:val="22"/>
          <w:szCs w:val="22"/>
        </w:rPr>
        <w:t>FIU</w:t>
      </w:r>
      <w:proofErr w:type="spellEnd"/>
      <w:r w:rsidR="00386B5E">
        <w:rPr>
          <w:rFonts w:eastAsia="Times New Roman" w:cs="Calibri"/>
          <w:sz w:val="22"/>
          <w:szCs w:val="22"/>
        </w:rPr>
        <w:t xml:space="preserve">-k) </w:t>
      </w:r>
      <w:r w:rsidRPr="00386B5E">
        <w:rPr>
          <w:rFonts w:eastAsia="Times New Roman" w:cs="Calibri"/>
          <w:sz w:val="22"/>
          <w:szCs w:val="22"/>
        </w:rPr>
        <w:t>közötti együttműködés támogatás</w:t>
      </w:r>
      <w:r w:rsidR="001F7175" w:rsidRPr="00386B5E">
        <w:rPr>
          <w:rFonts w:eastAsia="Times New Roman" w:cs="Calibri"/>
          <w:sz w:val="22"/>
          <w:szCs w:val="22"/>
        </w:rPr>
        <w:t>a</w:t>
      </w:r>
      <w:r w:rsidRPr="00386B5E">
        <w:rPr>
          <w:rFonts w:eastAsia="Times New Roman" w:cs="Calibri"/>
          <w:sz w:val="22"/>
          <w:szCs w:val="22"/>
        </w:rPr>
        <w:t xml:space="preserve">. </w:t>
      </w:r>
    </w:p>
    <w:p w14:paraId="60C0B07E" w14:textId="77777777" w:rsidR="00386B5E" w:rsidRDefault="000E7731" w:rsidP="00EE4EF9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1F7175">
        <w:rPr>
          <w:rFonts w:eastAsia="Times New Roman" w:cs="Calibri"/>
          <w:sz w:val="22"/>
          <w:szCs w:val="22"/>
        </w:rPr>
        <w:t xml:space="preserve">A jelentés azért is kiemelten fontos, mert ez az </w:t>
      </w:r>
      <w:r w:rsidRPr="001F7175">
        <w:rPr>
          <w:rFonts w:eastAsia="Times New Roman" w:cs="Calibri"/>
          <w:b/>
          <w:bCs/>
          <w:sz w:val="22"/>
          <w:szCs w:val="22"/>
        </w:rPr>
        <w:t xml:space="preserve">AMLA első hivatalos éves </w:t>
      </w:r>
      <w:r w:rsidR="001F7175">
        <w:rPr>
          <w:rFonts w:eastAsia="Times New Roman" w:cs="Calibri"/>
          <w:b/>
          <w:bCs/>
          <w:sz w:val="22"/>
          <w:szCs w:val="22"/>
        </w:rPr>
        <w:t xml:space="preserve">konszolidált </w:t>
      </w:r>
      <w:r w:rsidRPr="001F7175">
        <w:rPr>
          <w:rFonts w:eastAsia="Times New Roman" w:cs="Calibri"/>
          <w:b/>
          <w:bCs/>
          <w:sz w:val="22"/>
          <w:szCs w:val="22"/>
        </w:rPr>
        <w:t>jelentése</w:t>
      </w:r>
      <w:r w:rsidRPr="001F7175">
        <w:rPr>
          <w:rFonts w:eastAsia="Times New Roman" w:cs="Calibri"/>
          <w:sz w:val="22"/>
          <w:szCs w:val="22"/>
        </w:rPr>
        <w:t>, mely a 2025. év</w:t>
      </w:r>
      <w:r w:rsidR="001F7175">
        <w:rPr>
          <w:rFonts w:eastAsia="Times New Roman" w:cs="Calibri"/>
          <w:sz w:val="22"/>
          <w:szCs w:val="22"/>
        </w:rPr>
        <w:t xml:space="preserve">, vagyis a megalakulás évének főbb </w:t>
      </w:r>
      <w:r w:rsidRPr="001F7175">
        <w:rPr>
          <w:rFonts w:eastAsia="Times New Roman" w:cs="Calibri"/>
          <w:sz w:val="22"/>
          <w:szCs w:val="22"/>
        </w:rPr>
        <w:t>tevékenység</w:t>
      </w:r>
      <w:r w:rsidR="001F7175">
        <w:rPr>
          <w:rFonts w:eastAsia="Times New Roman" w:cs="Calibri"/>
          <w:sz w:val="22"/>
          <w:szCs w:val="22"/>
        </w:rPr>
        <w:t>ei</w:t>
      </w:r>
      <w:r w:rsidRPr="001F7175">
        <w:rPr>
          <w:rFonts w:eastAsia="Times New Roman" w:cs="Calibri"/>
          <w:sz w:val="22"/>
          <w:szCs w:val="22"/>
        </w:rPr>
        <w:t>ről és eredménye</w:t>
      </w:r>
      <w:r w:rsidR="001F7175">
        <w:rPr>
          <w:rFonts w:eastAsia="Times New Roman" w:cs="Calibri"/>
          <w:sz w:val="22"/>
          <w:szCs w:val="22"/>
        </w:rPr>
        <w:t>i</w:t>
      </w:r>
      <w:r w:rsidRPr="001F7175">
        <w:rPr>
          <w:rFonts w:eastAsia="Times New Roman" w:cs="Calibri"/>
          <w:sz w:val="22"/>
          <w:szCs w:val="22"/>
        </w:rPr>
        <w:t>ről</w:t>
      </w:r>
      <w:r w:rsidR="001F7175">
        <w:rPr>
          <w:rFonts w:eastAsia="Times New Roman" w:cs="Calibri"/>
          <w:sz w:val="22"/>
          <w:szCs w:val="22"/>
        </w:rPr>
        <w:t xml:space="preserve"> számol be</w:t>
      </w:r>
      <w:r w:rsidR="00386B5E">
        <w:rPr>
          <w:rFonts w:eastAsia="Times New Roman" w:cs="Calibri"/>
          <w:sz w:val="22"/>
          <w:szCs w:val="22"/>
        </w:rPr>
        <w:t xml:space="preserve">. A tavalyi év </w:t>
      </w:r>
      <w:r w:rsidR="001F7175">
        <w:rPr>
          <w:rFonts w:eastAsia="Times New Roman" w:cs="Calibri"/>
          <w:sz w:val="22"/>
          <w:szCs w:val="22"/>
        </w:rPr>
        <w:t xml:space="preserve">során </w:t>
      </w:r>
      <w:r w:rsidR="001F7175" w:rsidRPr="001F7175">
        <w:rPr>
          <w:rFonts w:eastAsia="Times New Roman" w:cs="Calibri"/>
          <w:sz w:val="22"/>
          <w:szCs w:val="22"/>
        </w:rPr>
        <w:t xml:space="preserve">az AMLA létrehozta a jövőbeli megbízatásának támogatásához szükséges kezdeti irányítási, személyzeti, pénzügyi, digitális és együttműködési </w:t>
      </w:r>
      <w:r w:rsidR="001F7175">
        <w:rPr>
          <w:rFonts w:eastAsia="Times New Roman" w:cs="Calibri"/>
          <w:sz w:val="22"/>
          <w:szCs w:val="22"/>
        </w:rPr>
        <w:t>alapokat</w:t>
      </w:r>
      <w:r w:rsidR="001F7175" w:rsidRPr="001F7175">
        <w:rPr>
          <w:rFonts w:eastAsia="Times New Roman" w:cs="Calibri"/>
          <w:sz w:val="22"/>
          <w:szCs w:val="22"/>
        </w:rPr>
        <w:t xml:space="preserve">. </w:t>
      </w:r>
    </w:p>
    <w:p w14:paraId="71222201" w14:textId="0F75EFA6" w:rsidR="001F7175" w:rsidRPr="001F7175" w:rsidRDefault="001F7175" w:rsidP="00EE4EF9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 w:cs="Calibri"/>
          <w:sz w:val="22"/>
          <w:szCs w:val="22"/>
        </w:rPr>
      </w:pPr>
      <w:r w:rsidRPr="001F7175">
        <w:rPr>
          <w:rFonts w:eastAsia="Times New Roman" w:cs="Calibri"/>
          <w:sz w:val="22"/>
          <w:szCs w:val="22"/>
        </w:rPr>
        <w:t xml:space="preserve">Az </w:t>
      </w:r>
      <w:r w:rsidR="00B17BAE">
        <w:rPr>
          <w:rFonts w:eastAsia="Times New Roman" w:cs="Calibri"/>
          <w:sz w:val="22"/>
          <w:szCs w:val="22"/>
        </w:rPr>
        <w:t xml:space="preserve">alábbi ábra szemlélteti, </w:t>
      </w:r>
      <w:r w:rsidRPr="001F7175">
        <w:rPr>
          <w:rFonts w:eastAsia="Times New Roman" w:cs="Calibri"/>
          <w:sz w:val="22"/>
          <w:szCs w:val="22"/>
        </w:rPr>
        <w:t xml:space="preserve">hogyan kapcsolódnak az első év eredményei egy koherens működési modellhez, amely négy </w:t>
      </w:r>
      <w:r w:rsidR="00B17BAE">
        <w:rPr>
          <w:rFonts w:eastAsia="Times New Roman" w:cs="Calibri"/>
          <w:sz w:val="22"/>
          <w:szCs w:val="22"/>
        </w:rPr>
        <w:t xml:space="preserve">fő </w:t>
      </w:r>
      <w:r w:rsidRPr="001F7175">
        <w:rPr>
          <w:rFonts w:eastAsia="Times New Roman" w:cs="Calibri"/>
          <w:sz w:val="22"/>
          <w:szCs w:val="22"/>
        </w:rPr>
        <w:t xml:space="preserve">vertikális </w:t>
      </w:r>
      <w:r w:rsidR="00B17BAE">
        <w:rPr>
          <w:rFonts w:eastAsia="Times New Roman" w:cs="Calibri"/>
          <w:sz w:val="22"/>
          <w:szCs w:val="22"/>
        </w:rPr>
        <w:t>pillér és</w:t>
      </w:r>
      <w:r w:rsidRPr="001F7175">
        <w:rPr>
          <w:rFonts w:eastAsia="Times New Roman" w:cs="Calibri"/>
          <w:sz w:val="22"/>
          <w:szCs w:val="22"/>
        </w:rPr>
        <w:t xml:space="preserve"> négy horizontális</w:t>
      </w:r>
      <w:r w:rsidR="00B17BAE">
        <w:rPr>
          <w:rFonts w:eastAsia="Times New Roman" w:cs="Calibri"/>
          <w:sz w:val="22"/>
          <w:szCs w:val="22"/>
        </w:rPr>
        <w:t>, átfogó</w:t>
      </w:r>
      <w:r w:rsidRPr="001F7175">
        <w:rPr>
          <w:rFonts w:eastAsia="Times New Roman" w:cs="Calibri"/>
          <w:sz w:val="22"/>
          <w:szCs w:val="22"/>
        </w:rPr>
        <w:t xml:space="preserve"> tevékenység köré épül. Az éves jelentés szerkezete ezt a modellt tükrözi, és az AMLA 2025-ös eredményeit </w:t>
      </w:r>
      <w:r w:rsidR="00B17BAE">
        <w:rPr>
          <w:rFonts w:eastAsia="Times New Roman" w:cs="Calibri"/>
          <w:sz w:val="22"/>
          <w:szCs w:val="22"/>
        </w:rPr>
        <w:t>ezen pilléreken</w:t>
      </w:r>
      <w:r w:rsidRPr="001F7175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1F7175">
        <w:rPr>
          <w:rFonts w:eastAsia="Times New Roman" w:cs="Calibri"/>
          <w:sz w:val="22"/>
          <w:szCs w:val="22"/>
        </w:rPr>
        <w:t>pilléreken</w:t>
      </w:r>
      <w:proofErr w:type="spellEnd"/>
      <w:r w:rsidRPr="001F7175">
        <w:rPr>
          <w:rFonts w:eastAsia="Times New Roman" w:cs="Calibri"/>
          <w:sz w:val="22"/>
          <w:szCs w:val="22"/>
        </w:rPr>
        <w:t xml:space="preserve"> keresztül mutatja be. Ezek az elemek együttesen összekapcsolják a felügyeletet, a</w:t>
      </w:r>
      <w:r w:rsidR="00386B5E">
        <w:rPr>
          <w:rFonts w:eastAsia="Times New Roman" w:cs="Calibri"/>
          <w:sz w:val="22"/>
          <w:szCs w:val="22"/>
        </w:rPr>
        <w:t xml:space="preserve">z ún. </w:t>
      </w:r>
      <w:proofErr w:type="spellStart"/>
      <w:r w:rsidR="00386B5E">
        <w:rPr>
          <w:rFonts w:eastAsia="Times New Roman" w:cs="Calibri"/>
          <w:sz w:val="22"/>
          <w:szCs w:val="22"/>
        </w:rPr>
        <w:t>financial</w:t>
      </w:r>
      <w:proofErr w:type="spellEnd"/>
      <w:r w:rsidR="00386B5E">
        <w:rPr>
          <w:rFonts w:eastAsia="Times New Roman" w:cs="Calibri"/>
          <w:sz w:val="22"/>
          <w:szCs w:val="22"/>
        </w:rPr>
        <w:t xml:space="preserve"> </w:t>
      </w:r>
      <w:proofErr w:type="spellStart"/>
      <w:r w:rsidR="00386B5E">
        <w:rPr>
          <w:rFonts w:eastAsia="Times New Roman" w:cs="Calibri"/>
          <w:sz w:val="22"/>
          <w:szCs w:val="22"/>
        </w:rPr>
        <w:t>intelligence</w:t>
      </w:r>
      <w:proofErr w:type="spellEnd"/>
      <w:r w:rsidR="00386B5E">
        <w:rPr>
          <w:rFonts w:eastAsia="Times New Roman" w:cs="Calibri"/>
          <w:sz w:val="22"/>
          <w:szCs w:val="22"/>
        </w:rPr>
        <w:t>-t</w:t>
      </w:r>
      <w:r w:rsidRPr="001F7175">
        <w:rPr>
          <w:rFonts w:eastAsia="Times New Roman" w:cs="Calibri"/>
          <w:sz w:val="22"/>
          <w:szCs w:val="22"/>
        </w:rPr>
        <w:t>, a szabályozási konvergenciát, a kockázatelemzést, az érdekelt felek bevonását, az adatokat, a technológiát és az irányítást egy integrált modellbe, amelynek célja annak biztosítása, hogy az AMLA funkciói erősítsék egymást, ahogy az AMLA a kezdeti szakaszból az operatív megvalósítás felé halad.</w:t>
      </w:r>
    </w:p>
    <w:p w14:paraId="72D40A65" w14:textId="083EDFF8" w:rsidR="001F7175" w:rsidRDefault="001F7175" w:rsidP="001F7175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eastAsia="Times New Roman" w:cs="Calibri"/>
          <w:sz w:val="22"/>
          <w:szCs w:val="22"/>
        </w:rPr>
      </w:pPr>
      <w:r w:rsidRPr="001F7175">
        <w:rPr>
          <w:rFonts w:eastAsia="Times New Roman" w:cs="Calibri"/>
          <w:noProof/>
          <w:sz w:val="22"/>
          <w:szCs w:val="22"/>
        </w:rPr>
        <w:lastRenderedPageBreak/>
        <w:drawing>
          <wp:inline distT="0" distB="0" distL="0" distR="0" wp14:anchorId="6F22E6C9" wp14:editId="49169D56">
            <wp:extent cx="6019800" cy="3624250"/>
            <wp:effectExtent l="0" t="0" r="0" b="0"/>
            <wp:docPr id="263100241" name="Kép 1" descr="A képen szöveg, képernyőkép, Betűtípus, Tégla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00241" name="Kép 1" descr="A képen szöveg, képernyőkép, Betűtípus, Téglalap látható&#10;&#10;Előfordulhat, hogy az AI által létrehozott tartalom helytelen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25224" cy="362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3BA5B" w14:textId="601F54A7" w:rsidR="001F7175" w:rsidRPr="00386B5E" w:rsidRDefault="001F7175" w:rsidP="001F7175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eastAsia="Times New Roman" w:cs="Calibri"/>
          <w:i/>
          <w:iCs/>
          <w:sz w:val="22"/>
          <w:szCs w:val="22"/>
        </w:rPr>
      </w:pPr>
      <w:r w:rsidRPr="00386B5E">
        <w:rPr>
          <w:rFonts w:eastAsia="Times New Roman" w:cs="Calibri"/>
          <w:i/>
          <w:iCs/>
          <w:sz w:val="22"/>
          <w:szCs w:val="22"/>
        </w:rPr>
        <w:t xml:space="preserve">              Forrás: AMLA </w:t>
      </w:r>
      <w:proofErr w:type="spellStart"/>
      <w:r w:rsidRPr="00386B5E">
        <w:rPr>
          <w:rFonts w:eastAsia="Times New Roman" w:cs="Calibri"/>
          <w:i/>
          <w:iCs/>
          <w:sz w:val="22"/>
          <w:szCs w:val="22"/>
        </w:rPr>
        <w:t>Annual</w:t>
      </w:r>
      <w:proofErr w:type="spellEnd"/>
      <w:r w:rsidRPr="00386B5E">
        <w:rPr>
          <w:rFonts w:eastAsia="Times New Roman" w:cs="Calibri"/>
          <w:i/>
          <w:iCs/>
          <w:sz w:val="22"/>
          <w:szCs w:val="22"/>
        </w:rPr>
        <w:t xml:space="preserve"> </w:t>
      </w:r>
      <w:proofErr w:type="spellStart"/>
      <w:r w:rsidRPr="00386B5E">
        <w:rPr>
          <w:rFonts w:eastAsia="Times New Roman" w:cs="Calibri"/>
          <w:i/>
          <w:iCs/>
          <w:sz w:val="22"/>
          <w:szCs w:val="22"/>
        </w:rPr>
        <w:t>Report</w:t>
      </w:r>
      <w:proofErr w:type="spellEnd"/>
      <w:r w:rsidRPr="00386B5E">
        <w:rPr>
          <w:rFonts w:eastAsia="Times New Roman" w:cs="Calibri"/>
          <w:i/>
          <w:iCs/>
          <w:sz w:val="22"/>
          <w:szCs w:val="22"/>
        </w:rPr>
        <w:t xml:space="preserve"> 2025 </w:t>
      </w:r>
    </w:p>
    <w:p w14:paraId="215F1D5B" w14:textId="315AC7E9" w:rsidR="000E7731" w:rsidRPr="00EE4EF9" w:rsidRDefault="000E7731" w:rsidP="00EE4EF9">
      <w:pPr>
        <w:shd w:val="clear" w:color="auto" w:fill="FFFFFF"/>
        <w:spacing w:before="100" w:beforeAutospacing="1" w:after="100" w:afterAutospacing="1"/>
        <w:textAlignment w:val="baseline"/>
        <w:rPr>
          <w:rStyle w:val="Hiperhivatkozs"/>
          <w:rFonts w:eastAsia="Times New Roman" w:cs="Calibri"/>
          <w:color w:val="auto"/>
          <w:sz w:val="22"/>
          <w:szCs w:val="22"/>
          <w:u w:val="none"/>
          <w:vertAlign w:val="baseline"/>
        </w:rPr>
      </w:pPr>
      <w:r w:rsidRPr="000E7731">
        <w:rPr>
          <w:rFonts w:eastAsia="Times New Roman" w:cs="Calibri"/>
          <w:sz w:val="22"/>
          <w:szCs w:val="22"/>
        </w:rPr>
        <w:t xml:space="preserve">Az ezzel kapcsolatos AMLA honlapján elérhető hír, mely a jelentéshez vezető linket is tartalmazza, </w:t>
      </w:r>
      <w:r w:rsidR="00EE4EF9">
        <w:rPr>
          <w:rFonts w:eastAsia="Times New Roman" w:cs="Calibri"/>
          <w:sz w:val="22"/>
          <w:szCs w:val="22"/>
        </w:rPr>
        <w:t>a következő</w:t>
      </w:r>
      <w:r w:rsidRPr="000E7731">
        <w:rPr>
          <w:rFonts w:eastAsia="Times New Roman" w:cs="Calibri"/>
          <w:sz w:val="22"/>
          <w:szCs w:val="22"/>
        </w:rPr>
        <w:t>:</w:t>
      </w:r>
      <w:r w:rsidR="00EE4EF9">
        <w:rPr>
          <w:rFonts w:eastAsia="Times New Roman" w:cs="Calibri"/>
          <w:sz w:val="22"/>
          <w:szCs w:val="22"/>
        </w:rPr>
        <w:t xml:space="preserve"> </w:t>
      </w:r>
      <w:r w:rsidR="00386B5E"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begin"/>
      </w:r>
      <w:r w:rsidR="00386B5E"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instrText>HYPERLINK "https://www.amla.europa.eu/news-media/news-articles/amla-chair-presents-2025-consolidated-annual-activity-report-european-parliament_en"</w:instrText>
      </w:r>
      <w:r w:rsidR="00386B5E">
        <w:rPr>
          <w:rFonts w:eastAsia="Times New Roman" w:cs="Calibri"/>
          <w:sz w:val="22"/>
          <w:szCs w:val="22"/>
          <w:u w:val="single"/>
          <w:bdr w:val="none" w:sz="0" w:space="0" w:color="auto" w:frame="1"/>
        </w:rPr>
      </w:r>
      <w:r w:rsidR="00386B5E"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separate"/>
      </w:r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AMLA Chair </w:t>
      </w:r>
      <w:proofErr w:type="spellStart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presents</w:t>
      </w:r>
      <w:proofErr w:type="spellEnd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2025 </w:t>
      </w:r>
      <w:proofErr w:type="spellStart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Consolidated</w:t>
      </w:r>
      <w:proofErr w:type="spellEnd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Annual</w:t>
      </w:r>
      <w:proofErr w:type="spellEnd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Activity</w:t>
      </w:r>
      <w:proofErr w:type="spellEnd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Report</w:t>
      </w:r>
      <w:proofErr w:type="spellEnd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to</w:t>
      </w:r>
      <w:proofErr w:type="spellEnd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</w:t>
      </w:r>
      <w:proofErr w:type="spellStart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the</w:t>
      </w:r>
      <w:proofErr w:type="spellEnd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 xml:space="preserve"> European </w:t>
      </w:r>
      <w:proofErr w:type="spellStart"/>
      <w:r w:rsidRPr="00386B5E">
        <w:rPr>
          <w:rStyle w:val="Hiperhivatkozs"/>
          <w:rFonts w:eastAsia="Times New Roman" w:cs="Calibri"/>
          <w:sz w:val="22"/>
          <w:szCs w:val="22"/>
          <w:bdr w:val="none" w:sz="0" w:space="0" w:color="auto" w:frame="1"/>
          <w:vertAlign w:val="baseline"/>
        </w:rPr>
        <w:t>Parliament</w:t>
      </w:r>
      <w:proofErr w:type="spellEnd"/>
    </w:p>
    <w:p w14:paraId="19AD671D" w14:textId="39830F1F" w:rsidR="00386B5E" w:rsidRDefault="00386B5E" w:rsidP="00EE4EF9">
      <w:pPr>
        <w:shd w:val="clear" w:color="auto" w:fill="FFFFFF"/>
        <w:spacing w:beforeAutospacing="1" w:after="0" w:afterAutospacing="1"/>
        <w:textAlignment w:val="baseline"/>
      </w:pPr>
      <w:r>
        <w:rPr>
          <w:rFonts w:eastAsia="Times New Roman" w:cs="Calibri"/>
          <w:sz w:val="22"/>
          <w:szCs w:val="22"/>
          <w:u w:val="single"/>
          <w:bdr w:val="none" w:sz="0" w:space="0" w:color="auto" w:frame="1"/>
        </w:rPr>
        <w:fldChar w:fldCharType="end"/>
      </w:r>
    </w:p>
    <w:p w14:paraId="10CE464B" w14:textId="63A7DCBC" w:rsidR="00D237BD" w:rsidRPr="00B43866" w:rsidRDefault="00906EA5" w:rsidP="00CE0323">
      <w:pPr>
        <w:pStyle w:val="Cmsor2"/>
      </w:pPr>
      <w:bookmarkStart w:id="20" w:name="_Toc235702144"/>
      <w:r w:rsidRPr="00906EA5">
        <w:t xml:space="preserve">AMLA 2025 Roadshow </w:t>
      </w:r>
      <w:proofErr w:type="spellStart"/>
      <w:r w:rsidRPr="00906EA5">
        <w:t>Report</w:t>
      </w:r>
      <w:proofErr w:type="spellEnd"/>
      <w:r>
        <w:t>: A</w:t>
      </w:r>
      <w:r w:rsidR="00D237BD" w:rsidRPr="00640808">
        <w:t>z AMLA jelentése a 2025. évi uniós AMLA Roadshow főbb megállapításairól</w:t>
      </w:r>
      <w:bookmarkEnd w:id="20"/>
    </w:p>
    <w:p w14:paraId="24EB2CE5" w14:textId="77777777" w:rsidR="00104FAD" w:rsidRDefault="00D237BD" w:rsidP="00EE4EF9">
      <w:pPr>
        <w:pStyle w:val="HierarchikusLista0"/>
        <w:rPr>
          <w:rFonts w:cs="Calibri"/>
          <w:sz w:val="22"/>
          <w:szCs w:val="22"/>
          <w:shd w:val="clear" w:color="auto" w:fill="FFFFFF"/>
        </w:rPr>
      </w:pPr>
      <w:r w:rsidRPr="00640808">
        <w:rPr>
          <w:rFonts w:cs="Calibri"/>
          <w:sz w:val="22"/>
          <w:szCs w:val="22"/>
          <w:shd w:val="clear" w:color="auto" w:fill="FFFFFF"/>
        </w:rPr>
        <w:t xml:space="preserve">Az AMLA elnöke, Bruna </w:t>
      </w:r>
      <w:proofErr w:type="spellStart"/>
      <w:r w:rsidRPr="00640808">
        <w:rPr>
          <w:rFonts w:cs="Calibri"/>
          <w:sz w:val="22"/>
          <w:szCs w:val="22"/>
          <w:shd w:val="clear" w:color="auto" w:fill="FFFFFF"/>
        </w:rPr>
        <w:t>Szego</w:t>
      </w:r>
      <w:proofErr w:type="spellEnd"/>
      <w:r w:rsidRPr="00640808">
        <w:rPr>
          <w:rFonts w:cs="Calibri"/>
          <w:sz w:val="22"/>
          <w:szCs w:val="22"/>
          <w:shd w:val="clear" w:color="auto" w:fill="FFFFFF"/>
        </w:rPr>
        <w:t xml:space="preserve">, 2025-ben minden uniós tagállamba ellátogatott annak érdekében, hogy egyeztetést folytasson a felügyeleti hatóságok, minisztériumok, önszabályozó testületek </w:t>
      </w:r>
      <w:r w:rsidR="00104FAD">
        <w:rPr>
          <w:rFonts w:cs="Calibri"/>
          <w:sz w:val="22"/>
          <w:szCs w:val="22"/>
          <w:shd w:val="clear" w:color="auto" w:fill="FFFFFF"/>
        </w:rPr>
        <w:t>(</w:t>
      </w:r>
      <w:proofErr w:type="spellStart"/>
      <w:r w:rsidR="00104FAD">
        <w:rPr>
          <w:rFonts w:cs="Calibri"/>
          <w:sz w:val="22"/>
          <w:szCs w:val="22"/>
          <w:shd w:val="clear" w:color="auto" w:fill="FFFFFF"/>
        </w:rPr>
        <w:t>SRB</w:t>
      </w:r>
      <w:proofErr w:type="spellEnd"/>
      <w:r w:rsidR="00104FAD">
        <w:rPr>
          <w:rFonts w:cs="Calibri"/>
          <w:sz w:val="22"/>
          <w:szCs w:val="22"/>
          <w:shd w:val="clear" w:color="auto" w:fill="FFFFFF"/>
        </w:rPr>
        <w:t xml:space="preserve">) </w:t>
      </w:r>
      <w:r w:rsidRPr="00640808">
        <w:rPr>
          <w:rFonts w:cs="Calibri"/>
          <w:sz w:val="22"/>
          <w:szCs w:val="22"/>
          <w:shd w:val="clear" w:color="auto" w:fill="FFFFFF"/>
        </w:rPr>
        <w:t xml:space="preserve">és piaci szereplők képviselőivel. </w:t>
      </w:r>
    </w:p>
    <w:p w14:paraId="682218B4" w14:textId="77777777" w:rsidR="00104FAD" w:rsidRDefault="00104FAD" w:rsidP="00EE4EF9">
      <w:pPr>
        <w:pStyle w:val="HierarchikusLista0"/>
        <w:rPr>
          <w:rFonts w:cs="Calibri"/>
          <w:sz w:val="22"/>
          <w:szCs w:val="22"/>
          <w:shd w:val="clear" w:color="auto" w:fill="FFFFFF"/>
        </w:rPr>
      </w:pPr>
    </w:p>
    <w:p w14:paraId="546B555B" w14:textId="6D260F33" w:rsidR="00D237BD" w:rsidRDefault="00D237BD" w:rsidP="00EE4EF9">
      <w:pPr>
        <w:pStyle w:val="HierarchikusLista0"/>
        <w:rPr>
          <w:rFonts w:cs="Calibri"/>
          <w:sz w:val="22"/>
          <w:szCs w:val="22"/>
          <w:shd w:val="clear" w:color="auto" w:fill="FFFFFF"/>
        </w:rPr>
      </w:pPr>
      <w:r w:rsidRPr="00640808">
        <w:rPr>
          <w:rFonts w:cs="Calibri"/>
          <w:sz w:val="22"/>
          <w:szCs w:val="22"/>
          <w:shd w:val="clear" w:color="auto" w:fill="FFFFFF"/>
        </w:rPr>
        <w:t>Az AMLA Roadshow célja a hatékony szakmai együttműködés előmozdítása és a tagállami tapasztalatok, álláspontok megismerése volt. A Roadshow során lebonyolított találkozók főbb megállapításairól az AMLA egy jelentést is készített, mely kitér a kockázatokra, kihívásokra, valamint az AMLA szerepére is.</w:t>
      </w:r>
    </w:p>
    <w:p w14:paraId="34B6610C" w14:textId="77777777" w:rsidR="00D237BD" w:rsidRPr="00533DAE" w:rsidRDefault="00D237BD" w:rsidP="00EE4EF9">
      <w:pPr>
        <w:pStyle w:val="HierarchikusLista0"/>
        <w:rPr>
          <w:rFonts w:cs="Calibri"/>
          <w:sz w:val="22"/>
          <w:szCs w:val="22"/>
          <w:shd w:val="clear" w:color="auto" w:fill="FFFFFF"/>
        </w:rPr>
      </w:pPr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A </w:t>
      </w:r>
      <w:hyperlink r:id="rId26" w:history="1">
        <w:r w:rsidRPr="00533DAE">
          <w:rPr>
            <w:rFonts w:eastAsia="Aptos" w:cs="Calibri"/>
            <w:color w:val="467886"/>
            <w:sz w:val="22"/>
            <w:szCs w:val="22"/>
            <w:u w:val="single"/>
            <w:lang w:eastAsia="en-US"/>
            <w14:ligatures w14:val="standardContextual"/>
          </w:rPr>
          <w:t>budapesti találkozóra</w:t>
        </w:r>
      </w:hyperlink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2025. októberben került sor.  </w:t>
      </w:r>
    </w:p>
    <w:p w14:paraId="53B5CCCB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007E73DF" w14:textId="77777777" w:rsidR="00D237BD" w:rsidRPr="00906EA5" w:rsidRDefault="00D237BD" w:rsidP="00EE4EF9">
      <w:pPr>
        <w:spacing w:after="0"/>
        <w:rPr>
          <w:rFonts w:eastAsia="Aptos" w:cs="Calibri"/>
          <w:b/>
          <w:bCs/>
          <w:lang w:eastAsia="en-US"/>
          <w14:ligatures w14:val="standardContextual"/>
        </w:rPr>
      </w:pPr>
      <w:r w:rsidRPr="00906EA5">
        <w:rPr>
          <w:rFonts w:eastAsia="Aptos" w:cs="Calibri"/>
          <w:b/>
          <w:bCs/>
          <w:sz w:val="22"/>
          <w:szCs w:val="22"/>
          <w:lang w:eastAsia="en-US"/>
          <w14:ligatures w14:val="standardContextual"/>
        </w:rPr>
        <w:t xml:space="preserve">AMLA 2025 Roadshow </w:t>
      </w:r>
      <w:proofErr w:type="spellStart"/>
      <w:r w:rsidRPr="00906EA5">
        <w:rPr>
          <w:rFonts w:eastAsia="Aptos" w:cs="Calibri"/>
          <w:b/>
          <w:bCs/>
          <w:sz w:val="22"/>
          <w:szCs w:val="22"/>
          <w:lang w:eastAsia="en-US"/>
          <w14:ligatures w14:val="standardContextual"/>
        </w:rPr>
        <w:t>Report</w:t>
      </w:r>
      <w:proofErr w:type="spellEnd"/>
    </w:p>
    <w:p w14:paraId="0E2FE99D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A Roadshow során lebonyolított találkozók főbb megállapításairól az AMLA egy jelentést készített, mely kitér a kockázatokra, európai szintű kihívásokra, valamint az AMLA szerepére is. Ebben az AMLA kiemeli, hogy úgy töltheti be sikeresen a szerepét, ha megérti a kötelezett szolgáltatók felügyeletét ellátók, valamint az új szabályokat alkalmazó szolgáltatók által azonosított nehézségeket egyaránt. </w:t>
      </w:r>
    </w:p>
    <w:p w14:paraId="5F21D6F8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3040D082" w14:textId="77777777" w:rsidR="00D237BD" w:rsidRPr="00906EA5" w:rsidRDefault="00D237BD" w:rsidP="00EE4EF9">
      <w:pPr>
        <w:spacing w:after="0"/>
        <w:rPr>
          <w:rFonts w:eastAsia="Aptos" w:cs="Calibri"/>
          <w:b/>
          <w:bCs/>
          <w:lang w:eastAsia="en-US"/>
          <w14:ligatures w14:val="standardContextual"/>
        </w:rPr>
      </w:pPr>
      <w:r w:rsidRPr="00906EA5">
        <w:rPr>
          <w:rFonts w:eastAsia="Aptos" w:cs="Calibri"/>
          <w:b/>
          <w:bCs/>
          <w:sz w:val="22"/>
          <w:szCs w:val="22"/>
          <w:lang w:eastAsia="en-US"/>
          <w14:ligatures w14:val="standardContextual"/>
        </w:rPr>
        <w:t>Az AMLA elnökének fő üzenetei</w:t>
      </w:r>
    </w:p>
    <w:p w14:paraId="418BD64E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  <w:proofErr w:type="spellStart"/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lastRenderedPageBreak/>
        <w:t>Ms</w:t>
      </w:r>
      <w:proofErr w:type="spellEnd"/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. </w:t>
      </w:r>
      <w:proofErr w:type="spellStart"/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>Szego</w:t>
      </w:r>
      <w:proofErr w:type="spellEnd"/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a beszélgetések alkalmával az alábbi fő üzeneteket hangsúlyozta:</w:t>
      </w:r>
    </w:p>
    <w:p w14:paraId="2CA94854" w14:textId="77777777" w:rsidR="00D237BD" w:rsidRPr="00533DAE" w:rsidRDefault="00D237BD" w:rsidP="00EE4EF9">
      <w:pPr>
        <w:numPr>
          <w:ilvl w:val="0"/>
          <w:numId w:val="11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az AMLA létrehozásának célja egy olyan struktúra kiépítése, mely képes a korábbi keretrendszer hiányosságait kezelni és a kockázati környezet változásaira reagálni; ennek során központi szerepet kell betöltenie a felügyeleti hatóságok, </w:t>
      </w:r>
      <w:proofErr w:type="spellStart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>FIU</w:t>
      </w:r>
      <w:proofErr w:type="spellEnd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>-k és magánszektor közötti együttműködésnek,</w:t>
      </w:r>
    </w:p>
    <w:p w14:paraId="754877C2" w14:textId="77777777" w:rsidR="00D237BD" w:rsidRPr="00533DAE" w:rsidRDefault="00D237BD" w:rsidP="00EE4EF9">
      <w:pPr>
        <w:numPr>
          <w:ilvl w:val="0"/>
          <w:numId w:val="11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>az új jogszabálycsomag kapcsán kiemelte a nem pénzügyi szektorban a felügyelők és kötelezett szolgáltatók felkészülésének fontosságát.</w:t>
      </w:r>
    </w:p>
    <w:p w14:paraId="782744FC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158E6CF6" w14:textId="77777777" w:rsidR="00D237BD" w:rsidRPr="00906EA5" w:rsidRDefault="00D237BD" w:rsidP="00EE4EF9">
      <w:pPr>
        <w:spacing w:after="0"/>
        <w:rPr>
          <w:rFonts w:eastAsia="Aptos" w:cs="Calibri"/>
          <w:b/>
          <w:bCs/>
          <w:lang w:eastAsia="en-US"/>
          <w14:ligatures w14:val="standardContextual"/>
        </w:rPr>
      </w:pPr>
      <w:r w:rsidRPr="00906EA5">
        <w:rPr>
          <w:rFonts w:eastAsia="Aptos" w:cs="Calibri"/>
          <w:b/>
          <w:bCs/>
          <w:sz w:val="22"/>
          <w:szCs w:val="22"/>
          <w:lang w:eastAsia="en-US"/>
          <w14:ligatures w14:val="standardContextual"/>
        </w:rPr>
        <w:t>A tagállamok által kiemelt tapasztalatok összegzése</w:t>
      </w:r>
    </w:p>
    <w:p w14:paraId="13F6E51F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Az AMLA megállapítása, hogy a tagállami szintű gazdasági helyzetekből és felügyeleti tradíciókból fakadó eltérések ellenére a tagállamok által kiemelt tapasztalatok alapvetően megegyeznek. </w:t>
      </w:r>
    </w:p>
    <w:p w14:paraId="561CDF0B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Ezek az alábbi </w:t>
      </w:r>
      <w:r w:rsidRPr="00533DAE">
        <w:rPr>
          <w:rFonts w:eastAsia="Aptos" w:cs="Calibri"/>
          <w:b/>
          <w:bCs/>
          <w:sz w:val="22"/>
          <w:szCs w:val="22"/>
          <w:lang w:eastAsia="en-US"/>
          <w14:ligatures w14:val="standardContextual"/>
        </w:rPr>
        <w:t>5 fő témakör</w:t>
      </w:r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köré csoportosíthatók:</w:t>
      </w:r>
    </w:p>
    <w:p w14:paraId="2CA57D85" w14:textId="77777777" w:rsidR="00D237BD" w:rsidRPr="00906EA5" w:rsidRDefault="00D237BD" w:rsidP="00EE4EF9">
      <w:pPr>
        <w:pStyle w:val="Listaszerbekezds"/>
        <w:numPr>
          <w:ilvl w:val="0"/>
          <w:numId w:val="33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906EA5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az ML/</w:t>
      </w:r>
      <w:proofErr w:type="spellStart"/>
      <w:r w:rsidRPr="00906EA5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TF</w:t>
      </w:r>
      <w:proofErr w:type="spellEnd"/>
      <w:r w:rsidRPr="00906EA5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 xml:space="preserve"> kockázati környezet gyors változása</w:t>
      </w:r>
    </w:p>
    <w:p w14:paraId="63CD1D99" w14:textId="77777777" w:rsidR="00D237BD" w:rsidRPr="00702671" w:rsidRDefault="00D237BD" w:rsidP="00EE4EF9">
      <w:pPr>
        <w:numPr>
          <w:ilvl w:val="0"/>
          <w:numId w:val="13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a régóta fennálló tipológiák mellett egyre fontosabb szereppel bírnak a 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technológiai innovációk és geopolitikai változások </w:t>
      </w:r>
    </w:p>
    <w:p w14:paraId="4EF55EF5" w14:textId="77777777" w:rsidR="00D237BD" w:rsidRPr="00906EA5" w:rsidRDefault="00D237BD" w:rsidP="00EE4EF9">
      <w:pPr>
        <w:pStyle w:val="Listaszerbekezds"/>
        <w:numPr>
          <w:ilvl w:val="0"/>
          <w:numId w:val="33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906EA5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a</w:t>
      </w:r>
      <w:r w:rsidRPr="00906EA5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</w:t>
      </w:r>
      <w:r w:rsidRPr="00906EA5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tagállamok és az egyes szektorok közötti jelentős eltérések</w:t>
      </w:r>
      <w:r w:rsidRPr="00906EA5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</w:t>
      </w:r>
    </w:p>
    <w:p w14:paraId="3648B7D1" w14:textId="77777777" w:rsidR="00D237BD" w:rsidRPr="00533DAE" w:rsidRDefault="00D237BD" w:rsidP="00EE4EF9">
      <w:pPr>
        <w:numPr>
          <w:ilvl w:val="0"/>
          <w:numId w:val="13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az eltérések a felügyeleti és jogérvényesítési gyakorlatok, elemzési eszközök és felkészültségi szint vonatkozásában is megfigyelhetők, ami az új szabályrendszer 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inkonzisztens implementálásához és kockázatokhoz vezethet</w:t>
      </w: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; </w:t>
      </w:r>
    </w:p>
    <w:p w14:paraId="104C2036" w14:textId="77777777" w:rsidR="00702671" w:rsidRDefault="00D237BD" w:rsidP="00EE4EF9">
      <w:pPr>
        <w:numPr>
          <w:ilvl w:val="0"/>
          <w:numId w:val="13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a Roadshow során számos alkalommal elhangzott, hogy 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a nem pénzügyi szektor lemaradásban van a pénzügyi szektorhoz képest</w:t>
      </w: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az ML/</w:t>
      </w:r>
      <w:proofErr w:type="spellStart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>TF</w:t>
      </w:r>
      <w:proofErr w:type="spellEnd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elleni küzdelemmel kapcsolatos információk, tapasztalat és tudás tekintetében, ami gyakran a korlátozott erőforrásokat és a széttagolt felügyeleti rendszereket tükrözi</w:t>
      </w:r>
    </w:p>
    <w:p w14:paraId="60A4F50B" w14:textId="2661C841" w:rsidR="00D237BD" w:rsidRPr="00702671" w:rsidRDefault="00D237BD" w:rsidP="00EE4EF9">
      <w:pPr>
        <w:pStyle w:val="Listaszerbekezds"/>
        <w:numPr>
          <w:ilvl w:val="0"/>
          <w:numId w:val="33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a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</w:t>
      </w: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technológia egy kockázati tényező, ugyanakkor komoly lehetőség is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</w:t>
      </w:r>
    </w:p>
    <w:p w14:paraId="3359A075" w14:textId="77777777" w:rsidR="00D237BD" w:rsidRPr="00533DAE" w:rsidRDefault="00D237BD" w:rsidP="00EE4EF9">
      <w:pPr>
        <w:numPr>
          <w:ilvl w:val="0"/>
          <w:numId w:val="14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a 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lehetőségeket</w:t>
      </w: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elsősorban a kockázatok hatékonyabb észlelése, a felügyeleti gyakorlatok erősítése és a megfelelésből fakadó </w:t>
      </w:r>
      <w:proofErr w:type="spellStart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>terhek</w:t>
      </w:r>
      <w:proofErr w:type="spellEnd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csökkentése vonatkozásában említették (a piaci szereplők a fejlett adatelemzést, illetve az </w:t>
      </w:r>
      <w:proofErr w:type="spellStart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>interoperabilitásban</w:t>
      </w:r>
      <w:proofErr w:type="spellEnd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és a megosztott eszközökben rejlő lehetőségeket emelték ki)</w:t>
      </w:r>
    </w:p>
    <w:p w14:paraId="106D6CD7" w14:textId="77777777" w:rsidR="00D237BD" w:rsidRPr="00702671" w:rsidRDefault="00D237BD" w:rsidP="00EE4EF9">
      <w:pPr>
        <w:pStyle w:val="Listaszerbekezds"/>
        <w:numPr>
          <w:ilvl w:val="0"/>
          <w:numId w:val="33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 xml:space="preserve">az </w:t>
      </w:r>
      <w:proofErr w:type="spellStart"/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AML</w:t>
      </w:r>
      <w:proofErr w:type="spellEnd"/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/</w:t>
      </w:r>
      <w:proofErr w:type="spellStart"/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CFT</w:t>
      </w:r>
      <w:proofErr w:type="spellEnd"/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 xml:space="preserve"> keretrendszer európai reformja</w:t>
      </w:r>
    </w:p>
    <w:p w14:paraId="50F540C2" w14:textId="77777777" w:rsidR="00D237BD" w:rsidRPr="00533DAE" w:rsidRDefault="00D237BD" w:rsidP="00EE4EF9">
      <w:pPr>
        <w:numPr>
          <w:ilvl w:val="0"/>
          <w:numId w:val="14"/>
        </w:numPr>
        <w:spacing w:after="0"/>
        <w:rPr>
          <w:rFonts w:eastAsia="Times New Roman" w:cs="Calibri"/>
          <w:sz w:val="22"/>
          <w:szCs w:val="22"/>
          <w:u w:val="single"/>
          <w:lang w:eastAsia="en-US"/>
          <w14:ligatures w14:val="standardContextual"/>
        </w:rPr>
      </w:pP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a korábbi, irányelven alapuló modell helyett a közvetlenül alkalmazandó szabályrendszert és az AMLA létrehozását 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széleskörű támogatás övezte</w:t>
      </w:r>
    </w:p>
    <w:p w14:paraId="6BC22558" w14:textId="77777777" w:rsidR="00D237BD" w:rsidRPr="00702671" w:rsidRDefault="00D237BD" w:rsidP="00EE4EF9">
      <w:pPr>
        <w:pStyle w:val="Listaszerbekezds"/>
        <w:numPr>
          <w:ilvl w:val="0"/>
          <w:numId w:val="33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az AMLA-</w:t>
      </w:r>
      <w:proofErr w:type="spellStart"/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val</w:t>
      </w:r>
      <w:proofErr w:type="spellEnd"/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 xml:space="preserve"> szemben támasztott elvárások </w:t>
      </w:r>
    </w:p>
    <w:p w14:paraId="121F9D21" w14:textId="08220F1F" w:rsidR="00D237BD" w:rsidRPr="00533DAE" w:rsidRDefault="00D237BD" w:rsidP="00EE4EF9">
      <w:pPr>
        <w:numPr>
          <w:ilvl w:val="0"/>
          <w:numId w:val="14"/>
        </w:numPr>
        <w:spacing w:after="0"/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az elvárások </w:t>
      </w:r>
      <w:r w:rsid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összességében 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magasak</w:t>
      </w: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>, ezek közé tartozik a növekvő ML/</w:t>
      </w:r>
      <w:proofErr w:type="spellStart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>TF</w:t>
      </w:r>
      <w:proofErr w:type="spellEnd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kockázatok átfogóbb megértésében, felügyeleti konvergencia elérésében és legjobb gyakorlatok megosztásában való központi szerep, valamint az </w:t>
      </w:r>
      <w:proofErr w:type="spellStart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>FIU</w:t>
      </w:r>
      <w:proofErr w:type="spellEnd"/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-k közötti együttműködés elősegítése; az AMLA kiemeli, hogy az 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elvárások realitása</w:t>
      </w:r>
      <w:r w:rsidRPr="00533DAE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rendkívül fontos, figyelemmel kell lenni arra, hogy az AMLA feladata a felügyeleti konvergencia, képzések, és együttműködés erősítése, azonban a nemzeti felügyeletek felelősségi körének megsértése nélkül; emellett az egyszerűsítést és arányosságot szolgáló jogszabálymódosítások az elsőszintű szabályozást érintik, amire nem terjed ki az AMLA mandátuma</w:t>
      </w:r>
    </w:p>
    <w:p w14:paraId="61DBADB7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0A274068" w14:textId="1166DE9F" w:rsidR="00D237BD" w:rsidRPr="00702671" w:rsidRDefault="00D237BD" w:rsidP="00EE4EF9">
      <w:pPr>
        <w:spacing w:after="0"/>
        <w:rPr>
          <w:rFonts w:eastAsia="Aptos" w:cs="Calibri"/>
          <w:b/>
          <w:bCs/>
          <w:lang w:eastAsia="en-US"/>
          <w14:ligatures w14:val="standardContextual"/>
        </w:rPr>
      </w:pPr>
      <w:r w:rsidRPr="00702671">
        <w:rPr>
          <w:rFonts w:eastAsia="Aptos" w:cs="Calibri"/>
          <w:b/>
          <w:bCs/>
          <w:sz w:val="22"/>
          <w:szCs w:val="22"/>
          <w:lang w:eastAsia="en-US"/>
          <w14:ligatures w14:val="standardContextual"/>
        </w:rPr>
        <w:t>Kockázatok</w:t>
      </w:r>
    </w:p>
    <w:p w14:paraId="1EDE79E6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A kockázatok vonatkozásában a résztvevők két fő tényezőt emeltek ki: </w:t>
      </w:r>
    </w:p>
    <w:p w14:paraId="57F73529" w14:textId="3D13BC3B" w:rsidR="00D237BD" w:rsidRPr="00702671" w:rsidRDefault="00D237BD" w:rsidP="00EE4EF9">
      <w:pPr>
        <w:pStyle w:val="Listaszerbekezds"/>
        <w:numPr>
          <w:ilvl w:val="0"/>
          <w:numId w:val="33"/>
        </w:num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a gyorsan változó környezetet (technológiai fejlődés és geopolitikai dinamika) és </w:t>
      </w:r>
    </w:p>
    <w:p w14:paraId="610B4052" w14:textId="4D2C4D26" w:rsidR="00D237BD" w:rsidRPr="00822D96" w:rsidRDefault="00D237BD" w:rsidP="00EE4EF9">
      <w:pPr>
        <w:pStyle w:val="Listaszerbekezds"/>
        <w:numPr>
          <w:ilvl w:val="0"/>
          <w:numId w:val="33"/>
        </w:num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Aptos" w:cs="Calibri"/>
          <w:sz w:val="22"/>
          <w:szCs w:val="22"/>
          <w:lang w:eastAsia="en-US"/>
          <w14:ligatures w14:val="standardContextual"/>
        </w:rPr>
        <w:t>a növekvő kockázatok miatti AMLA-</w:t>
      </w:r>
      <w:proofErr w:type="spellStart"/>
      <w:r w:rsidRPr="00702671">
        <w:rPr>
          <w:rFonts w:eastAsia="Aptos" w:cs="Calibri"/>
          <w:sz w:val="22"/>
          <w:szCs w:val="22"/>
          <w:lang w:eastAsia="en-US"/>
          <w14:ligatures w14:val="standardContextual"/>
        </w:rPr>
        <w:t>val</w:t>
      </w:r>
      <w:proofErr w:type="spellEnd"/>
      <w:r w:rsidRPr="00702671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 szemben támasztott elvárásokat. </w:t>
      </w:r>
    </w:p>
    <w:p w14:paraId="07AF74F1" w14:textId="77777777" w:rsidR="00D237BD" w:rsidRPr="00702671" w:rsidRDefault="00D237BD" w:rsidP="00EE4EF9">
      <w:pPr>
        <w:spacing w:after="0"/>
        <w:rPr>
          <w:rFonts w:eastAsia="Aptos" w:cs="Calibri"/>
          <w:b/>
          <w:bCs/>
          <w:sz w:val="22"/>
          <w:szCs w:val="22"/>
          <w:lang w:eastAsia="en-US"/>
          <w14:ligatures w14:val="standardContextual"/>
        </w:rPr>
      </w:pPr>
      <w:r w:rsidRPr="00702671">
        <w:rPr>
          <w:rFonts w:eastAsia="Aptos" w:cs="Calibri"/>
          <w:b/>
          <w:bCs/>
          <w:sz w:val="22"/>
          <w:szCs w:val="22"/>
          <w:lang w:eastAsia="en-US"/>
          <w14:ligatures w14:val="standardContextual"/>
        </w:rPr>
        <w:lastRenderedPageBreak/>
        <w:t xml:space="preserve">A jelentésben említett kockázatok: </w:t>
      </w:r>
    </w:p>
    <w:p w14:paraId="7125EB48" w14:textId="77777777" w:rsidR="00D237BD" w:rsidRPr="00702671" w:rsidRDefault="00D237BD" w:rsidP="00EE4EF9">
      <w:pPr>
        <w:pStyle w:val="Listaszerbekezds"/>
        <w:numPr>
          <w:ilvl w:val="0"/>
          <w:numId w:val="34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csalás (</w:t>
      </w:r>
      <w:proofErr w:type="spellStart"/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fraud</w:t>
      </w:r>
      <w:proofErr w:type="spellEnd"/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):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a bűnözés egyik legjelentősebb és leggyorsabban növekvő területeként a résztvevők a csalásokat azonosították, kiemelve, hogy egyre jobban elmosódik a határvonal a csalás és pénzmosás között (több érdekképviseleti szerv elmondta, hogy egyes pénzügyi intézmények ugyanazon szervezeti egységbe konszolidálták az 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AML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és 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fraud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funkciókat, az összekapcsolódó kockázatok könnyebb feltérképezése érdekében); az AMLA szerint fontos a PSD3 és 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PSR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szabályozás 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AML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követelményekkel való összhangja az esetleges 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duplikációk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elkerülése érdekében;</w:t>
      </w:r>
    </w:p>
    <w:p w14:paraId="56C03007" w14:textId="77777777" w:rsidR="00D237BD" w:rsidRPr="00702671" w:rsidRDefault="00D237BD" w:rsidP="00EE4EF9">
      <w:pPr>
        <w:pStyle w:val="Listaszerbekezds"/>
        <w:numPr>
          <w:ilvl w:val="0"/>
          <w:numId w:val="34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proofErr w:type="spellStart"/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kriptoeszközök</w:t>
      </w:r>
      <w:proofErr w:type="spellEnd"/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 xml:space="preserve"> és szolgáltatások: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a tagállamok többsége kiemelte az ezekkel kapcsolatos ML/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TF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kockázatokat, strukturális sebezhetőségeket (a feleket és tényleges tulajdonosokat érintő korlátozott transzparencia, 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kriptoeszközök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átruházásának gyorsasága, határon átnyúló jelleg), elvárásként megfogalmazva az AMLA felé a harmonizált felügyeleti sztenderdek lefektetését;</w:t>
      </w:r>
    </w:p>
    <w:p w14:paraId="25FF5496" w14:textId="0BE78E21" w:rsidR="00D237BD" w:rsidRPr="00702671" w:rsidRDefault="00D237BD" w:rsidP="00EE4EF9">
      <w:pPr>
        <w:pStyle w:val="Listaszerbekezds"/>
        <w:numPr>
          <w:ilvl w:val="0"/>
          <w:numId w:val="34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 xml:space="preserve">határon átnyúló tranzakciók és azonnali fizetések: 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az azonnali fizetés egy addicionális működési kihívást generál, mert jelentősen lerövidül a kockázatok beazonosítására és az arra való reagálásra rendelkezésre álló időkeret, ami a határon átnyúló kontextusban további nehézséget jelent a tagállamok közötti információmegosztás és együttműködés lefolytatása tekintetében; e témakörben fontos szerepet játszik a EU 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IR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(Instant 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Payments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Regulation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), </w:t>
      </w:r>
      <w:r w:rsidR="00536605">
        <w:rPr>
          <w:rFonts w:eastAsia="Times New Roman" w:cs="Calibri"/>
          <w:sz w:val="22"/>
          <w:szCs w:val="22"/>
          <w:lang w:eastAsia="en-US"/>
          <w14:ligatures w14:val="standardContextual"/>
        </w:rPr>
        <w:t>a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mi ezekben az esetekben is az 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AML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/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CFT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követelmények rögzítését célozza;</w:t>
      </w:r>
    </w:p>
    <w:p w14:paraId="4F5CC260" w14:textId="77777777" w:rsidR="00D237BD" w:rsidRPr="00702671" w:rsidRDefault="00D237BD" w:rsidP="00EE4EF9">
      <w:pPr>
        <w:pStyle w:val="Listaszerbekezds"/>
        <w:numPr>
          <w:ilvl w:val="0"/>
          <w:numId w:val="34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készpénz, ingatlanok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: a készpénz továbbra is materiális ML/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TF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kockázati tényező számos szektorban, ami a digitális tipológiák mellett van jelen, emellett többen felhívták a figyelmet az ingatlanszektorban megfigyelhető jelentős pénzmosási potenciálra;</w:t>
      </w:r>
    </w:p>
    <w:p w14:paraId="3499CC72" w14:textId="77777777" w:rsidR="00D237BD" w:rsidRPr="00702671" w:rsidRDefault="00D237BD" w:rsidP="00EE4EF9">
      <w:pPr>
        <w:pStyle w:val="Listaszerbekezds"/>
        <w:numPr>
          <w:ilvl w:val="0"/>
          <w:numId w:val="34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online and illegális szerencsejáték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: az online és illegális szerencsejáték, valamint az EU-n kívüli online szerencsejáték platformokból eredő kockázatok növekednek, a tagállamok közötti harmonizált szabályok hiánya pedig strukturális sérülékenységhez vezet, így az AMLA koordinatív szerepét kiemelték e témakörben is;</w:t>
      </w:r>
    </w:p>
    <w:p w14:paraId="0B44F6A7" w14:textId="6381A543" w:rsidR="00D237BD" w:rsidRPr="00702671" w:rsidRDefault="00D237BD" w:rsidP="00EE4EF9">
      <w:pPr>
        <w:pStyle w:val="Listaszerbekezds"/>
        <w:numPr>
          <w:ilvl w:val="0"/>
          <w:numId w:val="34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geopolitikai tényezők: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az érintettek fontosnak tartották az EU szintű kockázati indikátorok meghatározását, a strukt</w:t>
      </w:r>
      <w:r w:rsidR="00536605">
        <w:rPr>
          <w:rFonts w:eastAsia="Times New Roman" w:cs="Calibri"/>
          <w:sz w:val="22"/>
          <w:szCs w:val="22"/>
          <w:lang w:eastAsia="en-US"/>
          <w14:ligatures w14:val="standardContextual"/>
        </w:rPr>
        <w:t>u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ráltabb határon átnyúló koordinációt, és ebben az AMLA vezető szerepét.</w:t>
      </w:r>
    </w:p>
    <w:p w14:paraId="6FB711D9" w14:textId="77777777" w:rsidR="00D237BD" w:rsidRPr="00533DAE" w:rsidRDefault="00D237BD" w:rsidP="00EE4EF9">
      <w:pPr>
        <w:spacing w:after="0"/>
        <w:jc w:val="left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5D349FFA" w14:textId="77777777" w:rsidR="00D237BD" w:rsidRPr="00702671" w:rsidRDefault="00D237BD" w:rsidP="00EE4EF9">
      <w:pPr>
        <w:spacing w:after="0"/>
        <w:jc w:val="left"/>
        <w:rPr>
          <w:rFonts w:eastAsia="Aptos" w:cs="Calibri"/>
          <w:b/>
          <w:bCs/>
          <w:lang w:eastAsia="en-US"/>
          <w14:ligatures w14:val="standardContextual"/>
        </w:rPr>
      </w:pPr>
      <w:r w:rsidRPr="00702671">
        <w:rPr>
          <w:rFonts w:eastAsia="Aptos" w:cs="Calibri"/>
          <w:b/>
          <w:bCs/>
          <w:sz w:val="22"/>
          <w:szCs w:val="22"/>
          <w:lang w:eastAsia="en-US"/>
          <w14:ligatures w14:val="standardContextual"/>
        </w:rPr>
        <w:t>Európai szintű kihívások:</w:t>
      </w:r>
      <w:r w:rsidRPr="00702671">
        <w:rPr>
          <w:rFonts w:eastAsia="Aptos" w:cs="Calibri"/>
          <w:b/>
          <w:bCs/>
          <w:lang w:eastAsia="en-US"/>
          <w14:ligatures w14:val="standardContextual"/>
        </w:rPr>
        <w:t xml:space="preserve"> </w:t>
      </w:r>
    </w:p>
    <w:p w14:paraId="46EA1442" w14:textId="77777777" w:rsidR="00D237BD" w:rsidRPr="00533DAE" w:rsidRDefault="00D237BD" w:rsidP="00EE4EF9">
      <w:pPr>
        <w:spacing w:after="0"/>
        <w:jc w:val="left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>A beszélgetések alapján az AMLA három fő kihívást azonosított:</w:t>
      </w:r>
    </w:p>
    <w:p w14:paraId="1D180B09" w14:textId="56BD8113" w:rsidR="00D237BD" w:rsidRPr="00702671" w:rsidRDefault="00D237BD" w:rsidP="00EE4EF9">
      <w:pPr>
        <w:pStyle w:val="Listaszerbekezds"/>
        <w:numPr>
          <w:ilvl w:val="0"/>
          <w:numId w:val="35"/>
        </w:numPr>
        <w:spacing w:after="0"/>
        <w:jc w:val="left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jogi kihívások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(</w:t>
      </w:r>
      <w:r w:rsid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széttagoltság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a korábbi nemzeti implementációs eljárásokból fakadóan, mely tagállami szinten eltérő módszertanokat, elvárásokat eredményezett; a nem pénzügyi szektor alacsonyabb felkészültségi szintje; erőforrások hiánya)</w:t>
      </w:r>
    </w:p>
    <w:p w14:paraId="3E6C10B1" w14:textId="77777777" w:rsidR="00D237BD" w:rsidRPr="00702671" w:rsidRDefault="00D237BD" w:rsidP="00EE4EF9">
      <w:pPr>
        <w:pStyle w:val="Listaszerbekezds"/>
        <w:numPr>
          <w:ilvl w:val="0"/>
          <w:numId w:val="35"/>
        </w:numPr>
        <w:spacing w:after="0"/>
        <w:jc w:val="left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technológiából, digitalizációból fakadó kockázatok</w:t>
      </w:r>
    </w:p>
    <w:p w14:paraId="52C92786" w14:textId="77777777" w:rsidR="00D237BD" w:rsidRPr="00702671" w:rsidRDefault="00D237BD" w:rsidP="00EE4EF9">
      <w:pPr>
        <w:pStyle w:val="Listaszerbekezds"/>
        <w:numPr>
          <w:ilvl w:val="0"/>
          <w:numId w:val="35"/>
        </w:numPr>
        <w:spacing w:after="0"/>
        <w:jc w:val="left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b/>
          <w:bCs/>
          <w:sz w:val="22"/>
          <w:szCs w:val="22"/>
          <w:lang w:eastAsia="en-US"/>
          <w14:ligatures w14:val="standardContextual"/>
        </w:rPr>
        <w:t>szabályozás komplexitása és implementációs nehézségek</w:t>
      </w: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 (információk megoszthatósága és bizalmassága, mandátumok kidolgozásának szűk időkerete, felkészülési nehézségek)</w:t>
      </w:r>
    </w:p>
    <w:p w14:paraId="09FE15A0" w14:textId="77777777" w:rsidR="00D237BD" w:rsidRPr="00533DAE" w:rsidRDefault="00D237BD" w:rsidP="00EE4EF9">
      <w:pPr>
        <w:spacing w:after="0"/>
        <w:jc w:val="left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73905BB6" w14:textId="77777777" w:rsidR="00D237BD" w:rsidRPr="00702671" w:rsidRDefault="00D237BD" w:rsidP="00EE4EF9">
      <w:pPr>
        <w:spacing w:after="0"/>
        <w:jc w:val="left"/>
        <w:rPr>
          <w:rFonts w:eastAsia="Aptos" w:cs="Calibri"/>
          <w:b/>
          <w:bCs/>
          <w:lang w:eastAsia="en-US"/>
          <w14:ligatures w14:val="standardContextual"/>
        </w:rPr>
      </w:pPr>
      <w:r w:rsidRPr="00702671">
        <w:rPr>
          <w:rFonts w:eastAsia="Aptos" w:cs="Calibri"/>
          <w:b/>
          <w:bCs/>
          <w:sz w:val="22"/>
          <w:szCs w:val="22"/>
          <w:lang w:eastAsia="en-US"/>
          <w14:ligatures w14:val="standardContextual"/>
        </w:rPr>
        <w:t>Következtetés:</w:t>
      </w:r>
    </w:p>
    <w:p w14:paraId="041B44FD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t xml:space="preserve">A Roadshow mindenekelőtt azt mutatta be, hogy egy valóban hatékony, uniós szintű pénzmosás és terrorizmusfinanszírozás elleni rendszer feltételei most először állnak fenn: </w:t>
      </w:r>
    </w:p>
    <w:p w14:paraId="1F8BD715" w14:textId="77777777" w:rsidR="00702671" w:rsidRDefault="00D237BD" w:rsidP="00EE4EF9">
      <w:pPr>
        <w:pStyle w:val="Listaszerbekezds"/>
        <w:numPr>
          <w:ilvl w:val="0"/>
          <w:numId w:val="36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az új AML jogszabálycsomag, </w:t>
      </w:r>
    </w:p>
    <w:p w14:paraId="5C84A4C4" w14:textId="77777777" w:rsidR="00702671" w:rsidRDefault="00D237BD" w:rsidP="00EE4EF9">
      <w:pPr>
        <w:pStyle w:val="Listaszerbekezds"/>
        <w:numPr>
          <w:ilvl w:val="0"/>
          <w:numId w:val="36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az AMLA létrehozása, valamint </w:t>
      </w:r>
    </w:p>
    <w:p w14:paraId="0F3E13E5" w14:textId="0D9D0990" w:rsidR="00D237BD" w:rsidRPr="00702671" w:rsidRDefault="00D237BD" w:rsidP="00EE4EF9">
      <w:pPr>
        <w:pStyle w:val="Listaszerbekezds"/>
        <w:numPr>
          <w:ilvl w:val="0"/>
          <w:numId w:val="36"/>
        </w:numPr>
        <w:spacing w:after="0"/>
        <w:rPr>
          <w:rFonts w:eastAsia="Times New Roman" w:cs="Calibri"/>
          <w:sz w:val="22"/>
          <w:szCs w:val="22"/>
          <w:lang w:eastAsia="en-US"/>
          <w14:ligatures w14:val="standardContextual"/>
        </w:rPr>
      </w:pPr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 xml:space="preserve">a felügyelők, </w:t>
      </w:r>
      <w:proofErr w:type="spellStart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FIU</w:t>
      </w:r>
      <w:proofErr w:type="spellEnd"/>
      <w:r w:rsidRPr="00702671">
        <w:rPr>
          <w:rFonts w:eastAsia="Times New Roman" w:cs="Calibri"/>
          <w:sz w:val="22"/>
          <w:szCs w:val="22"/>
          <w:lang w:eastAsia="en-US"/>
          <w14:ligatures w14:val="standardContextual"/>
        </w:rPr>
        <w:t>-k és magánszféra közötti együttműködési hajlandóság.  </w:t>
      </w:r>
    </w:p>
    <w:p w14:paraId="5B8DDE67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</w:p>
    <w:p w14:paraId="6C9A07AE" w14:textId="77777777" w:rsidR="00D237BD" w:rsidRPr="00533DAE" w:rsidRDefault="00D237BD" w:rsidP="00EE4EF9">
      <w:pPr>
        <w:spacing w:after="0"/>
        <w:rPr>
          <w:rFonts w:eastAsia="Aptos" w:cs="Calibri"/>
          <w:sz w:val="22"/>
          <w:szCs w:val="22"/>
          <w:lang w:eastAsia="en-US"/>
          <w14:ligatures w14:val="standardContextual"/>
        </w:rPr>
      </w:pPr>
      <w:r w:rsidRPr="00533DAE">
        <w:rPr>
          <w:rFonts w:eastAsia="Aptos" w:cs="Calibri"/>
          <w:sz w:val="22"/>
          <w:szCs w:val="22"/>
          <w:lang w:eastAsia="en-US"/>
          <w14:ligatures w14:val="standardContextual"/>
        </w:rPr>
        <w:lastRenderedPageBreak/>
        <w:t xml:space="preserve">Az egyeztetések és a jelentésben részletezett témakörök alátámasztották a reformok szükségességét, az AMLA felé megfogalmazott elvárások pedig meghatározzák azt a szerepet, amit a jövőben be kell töltenie. </w:t>
      </w:r>
    </w:p>
    <w:p w14:paraId="6C259E7C" w14:textId="77777777" w:rsidR="00D237BD" w:rsidRDefault="00D237BD" w:rsidP="00EE4EF9">
      <w:pPr>
        <w:pStyle w:val="HierarchikusLista0"/>
        <w:rPr>
          <w:rFonts w:eastAsia="AGaramondPro-Bold"/>
          <w:sz w:val="22"/>
          <w:szCs w:val="22"/>
        </w:rPr>
      </w:pPr>
    </w:p>
    <w:p w14:paraId="7A3DFA0C" w14:textId="77777777" w:rsidR="00D237BD" w:rsidRPr="00533DAE" w:rsidRDefault="00D237BD" w:rsidP="00EE4EF9">
      <w:pPr>
        <w:pStyle w:val="HierarchikusLista0"/>
        <w:rPr>
          <w:rFonts w:eastAsia="AGaramondPro-Bold"/>
          <w:sz w:val="22"/>
          <w:szCs w:val="22"/>
        </w:rPr>
      </w:pPr>
      <w:r w:rsidRPr="00533DAE">
        <w:rPr>
          <w:rFonts w:eastAsia="AGaramondPro-Bold"/>
          <w:sz w:val="22"/>
          <w:szCs w:val="22"/>
        </w:rPr>
        <w:t>A jelentés az alábbi linken érhető el:</w:t>
      </w:r>
    </w:p>
    <w:p w14:paraId="14300220" w14:textId="4B4AE4C8" w:rsidR="00D237BD" w:rsidRPr="00D243CD" w:rsidRDefault="00D237BD" w:rsidP="00D243CD">
      <w:pPr>
        <w:pStyle w:val="HierarchikusLista0"/>
        <w:rPr>
          <w:rFonts w:eastAsia="AGaramondPro-Bold"/>
          <w:sz w:val="22"/>
          <w:szCs w:val="22"/>
        </w:rPr>
      </w:pPr>
      <w:hyperlink r:id="rId27" w:history="1">
        <w:r w:rsidRPr="00483063">
          <w:rPr>
            <w:rStyle w:val="Hiperhivatkozs"/>
            <w:rFonts w:eastAsia="AGaramondPro-Bold"/>
            <w:sz w:val="22"/>
            <w:szCs w:val="22"/>
            <w:vertAlign w:val="baseline"/>
          </w:rPr>
          <w:t>https://www.amla.europa.eu/document/download/631d6de9-5155-4e32-a791-4b8b65d1f70f_en?filename=AMLA%20Roadshow%20Report.pdf</w:t>
        </w:r>
      </w:hyperlink>
    </w:p>
    <w:p w14:paraId="135CC13A" w14:textId="75FB3385" w:rsidR="00297C3C" w:rsidRDefault="00031F09" w:rsidP="00D243CD">
      <w:pPr>
        <w:pStyle w:val="Cmsor1"/>
      </w:pPr>
      <w:bookmarkStart w:id="21" w:name="_Seregdi_László:A_bankszabályozás"/>
      <w:bookmarkStart w:id="22" w:name="_Toc235702145"/>
      <w:bookmarkEnd w:id="21"/>
      <w:r w:rsidRPr="00031F09">
        <w:t xml:space="preserve">Az MNB honlapján elérhető információk </w:t>
      </w:r>
      <w:r w:rsidR="00CE0323">
        <w:t>- amla</w:t>
      </w:r>
      <w:bookmarkEnd w:id="22"/>
    </w:p>
    <w:p w14:paraId="181BC697" w14:textId="7BABCE2E" w:rsidR="00DC1A71" w:rsidRPr="00DC1A71" w:rsidRDefault="00DC1A71" w:rsidP="00346EBC">
      <w:pPr>
        <w:suppressAutoHyphens/>
        <w:spacing w:after="120" w:line="259" w:lineRule="auto"/>
        <w:rPr>
          <w:iCs/>
          <w:sz w:val="22"/>
          <w:szCs w:val="22"/>
        </w:rPr>
      </w:pPr>
      <w:r w:rsidRPr="00DC1A71">
        <w:rPr>
          <w:iCs/>
          <w:sz w:val="22"/>
          <w:szCs w:val="22"/>
        </w:rPr>
        <w:t xml:space="preserve">Az MNB </w:t>
      </w:r>
      <w:r>
        <w:rPr>
          <w:iCs/>
          <w:sz w:val="22"/>
          <w:szCs w:val="22"/>
        </w:rPr>
        <w:t xml:space="preserve">kiemelten fontosnak tartja az érintettek folyamatos és naprakész tájékoztatását az AMLA </w:t>
      </w:r>
      <w:r w:rsidR="008E3A61">
        <w:rPr>
          <w:iCs/>
          <w:sz w:val="22"/>
          <w:szCs w:val="22"/>
        </w:rPr>
        <w:t xml:space="preserve">vonatkozású hírek kapcsán, ezért az MNB honlapján a Felügyeleti hírek között </w:t>
      </w:r>
      <w:r w:rsidR="002E2583">
        <w:rPr>
          <w:iCs/>
          <w:sz w:val="22"/>
          <w:szCs w:val="22"/>
        </w:rPr>
        <w:t xml:space="preserve">folyamatosan </w:t>
      </w:r>
      <w:r w:rsidR="008E3A61">
        <w:rPr>
          <w:iCs/>
          <w:sz w:val="22"/>
          <w:szCs w:val="22"/>
        </w:rPr>
        <w:t>közzétesszük az AMLA honlapján megjelent legfontosabb információkat, továbbá az MNB Pénzmosás elle</w:t>
      </w:r>
      <w:r w:rsidR="006F441A">
        <w:rPr>
          <w:iCs/>
          <w:sz w:val="22"/>
          <w:szCs w:val="22"/>
        </w:rPr>
        <w:t>ni aloldalának AMLA részén az alapvető információk mellett rendszerezve is megtalálhatók a</w:t>
      </w:r>
      <w:r w:rsidR="006F441A" w:rsidRPr="006F441A">
        <w:rPr>
          <w:iCs/>
          <w:sz w:val="22"/>
          <w:szCs w:val="22"/>
        </w:rPr>
        <w:t>z MNB által közzétett, AMLA vonatkozású hírek, közlemények</w:t>
      </w:r>
      <w:r w:rsidR="006F441A">
        <w:rPr>
          <w:iCs/>
          <w:sz w:val="22"/>
          <w:szCs w:val="22"/>
        </w:rPr>
        <w:t xml:space="preserve">, valamint az </w:t>
      </w:r>
      <w:r w:rsidR="006F441A" w:rsidRPr="006F441A">
        <w:rPr>
          <w:iCs/>
          <w:sz w:val="22"/>
          <w:szCs w:val="22"/>
        </w:rPr>
        <w:t>AMLA által konzultációra bocsátott dokumentumok</w:t>
      </w:r>
      <w:r w:rsidR="006F441A">
        <w:rPr>
          <w:iCs/>
          <w:sz w:val="22"/>
          <w:szCs w:val="22"/>
        </w:rPr>
        <w:t xml:space="preserve">. </w:t>
      </w:r>
    </w:p>
    <w:p w14:paraId="4DA426A2" w14:textId="04FBAA88" w:rsidR="00DC1A71" w:rsidRPr="00DC1A71" w:rsidRDefault="00DC1A71" w:rsidP="00346EBC">
      <w:pPr>
        <w:suppressAutoHyphens/>
        <w:spacing w:after="120" w:line="259" w:lineRule="auto"/>
        <w:rPr>
          <w:b/>
          <w:bCs/>
          <w:iCs/>
          <w:sz w:val="22"/>
          <w:szCs w:val="22"/>
        </w:rPr>
      </w:pPr>
      <w:hyperlink r:id="rId28" w:history="1">
        <w:r w:rsidRPr="00DC1A71">
          <w:rPr>
            <w:color w:val="0000FF"/>
            <w:sz w:val="22"/>
            <w:szCs w:val="22"/>
            <w:u w:val="single"/>
          </w:rPr>
          <w:t>Felügyeleti Hírek | MNB.hu</w:t>
        </w:r>
      </w:hyperlink>
    </w:p>
    <w:p w14:paraId="1C58B099" w14:textId="693E4190" w:rsidR="00E21582" w:rsidRDefault="00DC1A71" w:rsidP="00346EBC">
      <w:pPr>
        <w:suppressAutoHyphens/>
        <w:spacing w:after="120" w:line="259" w:lineRule="auto"/>
      </w:pPr>
      <w:hyperlink r:id="rId29" w:history="1">
        <w:r w:rsidRPr="00DC1A71">
          <w:rPr>
            <w:color w:val="0000FF"/>
            <w:sz w:val="22"/>
            <w:szCs w:val="22"/>
            <w:u w:val="single"/>
          </w:rPr>
          <w:t>Pénzmosás és Terrorizmusfinanszírozás Elleni Hatóság | MNB.hu</w:t>
        </w:r>
      </w:hyperlink>
    </w:p>
    <w:p w14:paraId="11B3F913" w14:textId="5DC02716" w:rsidR="005D0716" w:rsidRDefault="005D0716" w:rsidP="00D243CD">
      <w:pPr>
        <w:pStyle w:val="Cmsor1"/>
      </w:pPr>
      <w:bookmarkStart w:id="23" w:name="_Toc235702146"/>
      <w:r w:rsidRPr="005D0716">
        <w:t xml:space="preserve">Jogszabályok </w:t>
      </w:r>
      <w:r>
        <w:t>és elérhetőségeik</w:t>
      </w:r>
      <w:bookmarkEnd w:id="23"/>
    </w:p>
    <w:p w14:paraId="20F2A2DA" w14:textId="221E4903" w:rsidR="005D0716" w:rsidRPr="00E21582" w:rsidRDefault="005D0716" w:rsidP="00346EBC">
      <w:pPr>
        <w:suppressAutoHyphens/>
        <w:spacing w:after="120" w:line="259" w:lineRule="auto"/>
        <w:rPr>
          <w:i/>
          <w:iCs/>
          <w:sz w:val="22"/>
          <w:szCs w:val="22"/>
        </w:rPr>
      </w:pPr>
      <w:r w:rsidRPr="005D0716">
        <w:rPr>
          <w:sz w:val="22"/>
          <w:szCs w:val="22"/>
        </w:rPr>
        <w:t xml:space="preserve">A Pénzmosás és Terrorizmusfinanszírozás Elleni Hatóság létrehozásáról, valamint az 1093/2010/EU, az 1094/2010/EU és az 1095/2010/EU rendelet módosításáról szóló 2024. május 31-i (EU) 2024/1620 európai parlamenti és tanácsi rendelet </w:t>
      </w:r>
      <w:r w:rsidRPr="00E21582">
        <w:rPr>
          <w:i/>
          <w:iCs/>
          <w:sz w:val="22"/>
          <w:szCs w:val="22"/>
        </w:rPr>
        <w:t>(</w:t>
      </w:r>
      <w:proofErr w:type="spellStart"/>
      <w:r w:rsidRPr="00E21582">
        <w:rPr>
          <w:i/>
          <w:iCs/>
          <w:sz w:val="22"/>
          <w:szCs w:val="22"/>
        </w:rPr>
        <w:t>AMLAR</w:t>
      </w:r>
      <w:proofErr w:type="spellEnd"/>
      <w:r w:rsidRPr="00E21582">
        <w:rPr>
          <w:i/>
          <w:iCs/>
          <w:sz w:val="22"/>
          <w:szCs w:val="22"/>
        </w:rPr>
        <w:t>)</w:t>
      </w:r>
    </w:p>
    <w:p w14:paraId="21AB2E45" w14:textId="46A1DB5F" w:rsidR="005D0716" w:rsidRDefault="005D0716" w:rsidP="00346EBC">
      <w:pPr>
        <w:suppressAutoHyphens/>
        <w:spacing w:after="120" w:line="259" w:lineRule="auto"/>
        <w:rPr>
          <w:sz w:val="22"/>
          <w:szCs w:val="22"/>
        </w:rPr>
      </w:pPr>
      <w:hyperlink r:id="rId30" w:history="1">
        <w:r w:rsidRPr="008A41A2">
          <w:rPr>
            <w:rStyle w:val="Hiperhivatkozs"/>
            <w:sz w:val="22"/>
            <w:szCs w:val="22"/>
            <w:vertAlign w:val="baseline"/>
          </w:rPr>
          <w:t>https://eur-lex.europa.eu/legal-content/HU/TXT/?qid=1718786410441&amp;uri=CELEX%3A32024R1620</w:t>
        </w:r>
      </w:hyperlink>
    </w:p>
    <w:p w14:paraId="5D9DCF80" w14:textId="00B20F43" w:rsidR="005D0716" w:rsidRPr="00E21582" w:rsidRDefault="005D0716" w:rsidP="00346EBC">
      <w:pPr>
        <w:suppressAutoHyphens/>
        <w:spacing w:after="120" w:line="259" w:lineRule="auto"/>
        <w:rPr>
          <w:i/>
          <w:iCs/>
          <w:sz w:val="22"/>
          <w:szCs w:val="22"/>
        </w:rPr>
      </w:pPr>
      <w:r w:rsidRPr="005D0716">
        <w:rPr>
          <w:sz w:val="22"/>
          <w:szCs w:val="22"/>
        </w:rPr>
        <w:t xml:space="preserve">A pénzügyi rendszer pénzmosás vagy terrorizmusfinanszírozás céljára való felhasználásának megelőzéséről szóló 2024. május 31-i (EU) 2024/1624 európai parlamenti és tanácsi rendelet </w:t>
      </w:r>
      <w:r w:rsidRPr="00E21582">
        <w:rPr>
          <w:i/>
          <w:iCs/>
          <w:sz w:val="22"/>
          <w:szCs w:val="22"/>
        </w:rPr>
        <w:t>(</w:t>
      </w:r>
      <w:proofErr w:type="spellStart"/>
      <w:r w:rsidRPr="00E21582">
        <w:rPr>
          <w:i/>
          <w:iCs/>
          <w:sz w:val="22"/>
          <w:szCs w:val="22"/>
        </w:rPr>
        <w:t>AMLR</w:t>
      </w:r>
      <w:proofErr w:type="spellEnd"/>
      <w:r w:rsidRPr="00E21582">
        <w:rPr>
          <w:i/>
          <w:iCs/>
          <w:sz w:val="22"/>
          <w:szCs w:val="22"/>
        </w:rPr>
        <w:t>)</w:t>
      </w:r>
    </w:p>
    <w:p w14:paraId="156B7CE1" w14:textId="671D0703" w:rsidR="005D0716" w:rsidRDefault="005D0716" w:rsidP="00346EBC">
      <w:pPr>
        <w:suppressAutoHyphens/>
        <w:spacing w:after="120" w:line="259" w:lineRule="auto"/>
        <w:rPr>
          <w:sz w:val="22"/>
          <w:szCs w:val="22"/>
        </w:rPr>
      </w:pPr>
      <w:hyperlink r:id="rId31" w:history="1">
        <w:r w:rsidRPr="008A41A2">
          <w:rPr>
            <w:rStyle w:val="Hiperhivatkozs"/>
            <w:sz w:val="22"/>
            <w:szCs w:val="22"/>
            <w:vertAlign w:val="baseline"/>
          </w:rPr>
          <w:t>https://eur-lex.europa.eu/legal-content/HU/TXT/?uri=CELEX%3A32024R1624&amp;qid=1718786619074</w:t>
        </w:r>
      </w:hyperlink>
    </w:p>
    <w:p w14:paraId="40C7F391" w14:textId="6FB23542" w:rsidR="005D0716" w:rsidRPr="00E21582" w:rsidRDefault="005D0716" w:rsidP="00346EBC">
      <w:pPr>
        <w:suppressAutoHyphens/>
        <w:spacing w:after="120" w:line="259" w:lineRule="auto"/>
        <w:rPr>
          <w:i/>
          <w:iCs/>
          <w:sz w:val="22"/>
          <w:szCs w:val="22"/>
        </w:rPr>
      </w:pPr>
      <w:r w:rsidRPr="005D0716">
        <w:rPr>
          <w:sz w:val="22"/>
          <w:szCs w:val="22"/>
        </w:rPr>
        <w:t xml:space="preserve">A pénzügyi rendszer pénzmosás vagy terrorizmusfinanszírozás céljára való felhasználásának megelőzése érdekében a tagállamok által létrehozandó mechanizmusokról, az (EU) 2019/1937 irányelv módosításáról, és az (EU) 2015/849 irányelv módosításáról és hatályon kívül helyezéséről szóló 2024. május 31-i európai parlamenti és tanácsi 2024/1640 irányelv </w:t>
      </w:r>
      <w:r w:rsidRPr="00E21582">
        <w:rPr>
          <w:i/>
          <w:iCs/>
          <w:sz w:val="22"/>
          <w:szCs w:val="22"/>
        </w:rPr>
        <w:t>(</w:t>
      </w:r>
      <w:proofErr w:type="spellStart"/>
      <w:r w:rsidRPr="00E21582">
        <w:rPr>
          <w:i/>
          <w:iCs/>
          <w:sz w:val="22"/>
          <w:szCs w:val="22"/>
        </w:rPr>
        <w:t>AMLD</w:t>
      </w:r>
      <w:proofErr w:type="spellEnd"/>
      <w:r w:rsidRPr="00E21582">
        <w:rPr>
          <w:i/>
          <w:iCs/>
          <w:sz w:val="22"/>
          <w:szCs w:val="22"/>
        </w:rPr>
        <w:t xml:space="preserve"> 6)</w:t>
      </w:r>
    </w:p>
    <w:p w14:paraId="79C13491" w14:textId="276E016B" w:rsidR="00DC1A71" w:rsidRDefault="005D0716" w:rsidP="00346EBC">
      <w:pPr>
        <w:suppressAutoHyphens/>
        <w:spacing w:after="120" w:line="259" w:lineRule="auto"/>
        <w:rPr>
          <w:iCs/>
          <w:sz w:val="22"/>
          <w:szCs w:val="22"/>
        </w:rPr>
      </w:pPr>
      <w:hyperlink r:id="rId32" w:history="1">
        <w:r w:rsidRPr="008A41A2">
          <w:rPr>
            <w:rStyle w:val="Hiperhivatkozs"/>
            <w:iCs/>
            <w:sz w:val="22"/>
            <w:szCs w:val="22"/>
            <w:vertAlign w:val="baseline"/>
          </w:rPr>
          <w:t>https://eur-lex.europa.eu/legal-content/HU/TXT/?uri=CELEX%3A32024L1640&amp;qid=1718786772248</w:t>
        </w:r>
      </w:hyperlink>
    </w:p>
    <w:p w14:paraId="76DA6A6C" w14:textId="77777777" w:rsidR="005D0716" w:rsidRPr="00DC1A71" w:rsidRDefault="005D0716" w:rsidP="00346EBC">
      <w:pPr>
        <w:suppressAutoHyphens/>
        <w:spacing w:after="120" w:line="259" w:lineRule="auto"/>
        <w:rPr>
          <w:iCs/>
          <w:sz w:val="22"/>
          <w:szCs w:val="22"/>
        </w:rPr>
      </w:pPr>
    </w:p>
    <w:sectPr w:rsidR="005D0716" w:rsidRPr="00DC1A71" w:rsidSect="006719CB">
      <w:headerReference w:type="default" r:id="rId33"/>
      <w:footerReference w:type="even" r:id="rId34"/>
      <w:footerReference w:type="default" r:id="rId35"/>
      <w:type w:val="continuous"/>
      <w:pgSz w:w="11905" w:h="16837" w:code="9"/>
      <w:pgMar w:top="1259" w:right="706" w:bottom="1078" w:left="1077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8488" w14:textId="77777777" w:rsidR="00FC7E15" w:rsidRDefault="00FC7E15">
      <w:r>
        <w:separator/>
      </w:r>
    </w:p>
  </w:endnote>
  <w:endnote w:type="continuationSeparator" w:id="0">
    <w:p w14:paraId="5C22281C" w14:textId="77777777" w:rsidR="00FC7E15" w:rsidRDefault="00FC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GaramondPro-Bold">
    <w:altName w:val="Times New Roman"/>
    <w:charset w:val="00"/>
    <w:family w:val="auto"/>
    <w:pitch w:val="default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MS Mincho"/>
    <w:charset w:val="00"/>
    <w:family w:val="auto"/>
    <w:pitch w:val="default"/>
    <w:sig w:usb0="00000000" w:usb1="08070000" w:usb2="00000010" w:usb3="00000000" w:csb0="0002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4691" w14:textId="77777777" w:rsidR="00FC7E15" w:rsidRDefault="00FC7E15" w:rsidP="00EA534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BDE08F5" w14:textId="77777777" w:rsidR="00FC7E15" w:rsidRDefault="00FC7E15" w:rsidP="00EA534F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6CFB" w14:textId="77777777" w:rsidR="00FC7E15" w:rsidRPr="000C67D7" w:rsidRDefault="00FC7E15" w:rsidP="00A26A67">
    <w:pPr>
      <w:framePr w:wrap="around" w:vAnchor="text" w:hAnchor="page" w:x="11011" w:y="34"/>
      <w:jc w:val="right"/>
      <w:rPr>
        <w:rFonts w:ascii="Trebuchet MS" w:hAnsi="Trebuchet MS"/>
      </w:rPr>
    </w:pPr>
    <w:r w:rsidRPr="000C67D7">
      <w:rPr>
        <w:rFonts w:ascii="Trebuchet MS" w:hAnsi="Trebuchet MS"/>
      </w:rPr>
      <w:fldChar w:fldCharType="begin"/>
    </w:r>
    <w:r w:rsidRPr="000C67D7">
      <w:rPr>
        <w:rFonts w:ascii="Trebuchet MS" w:hAnsi="Trebuchet MS"/>
      </w:rPr>
      <w:instrText xml:space="preserve">PAGE  </w:instrText>
    </w:r>
    <w:r w:rsidRPr="000C67D7">
      <w:rPr>
        <w:rFonts w:ascii="Trebuchet MS" w:hAnsi="Trebuchet MS"/>
      </w:rPr>
      <w:fldChar w:fldCharType="separate"/>
    </w:r>
    <w:r w:rsidR="002F45DA">
      <w:rPr>
        <w:rFonts w:ascii="Trebuchet MS" w:hAnsi="Trebuchet MS"/>
        <w:noProof/>
      </w:rPr>
      <w:t>19</w:t>
    </w:r>
    <w:r w:rsidRPr="000C67D7">
      <w:rPr>
        <w:rFonts w:ascii="Trebuchet MS" w:hAnsi="Trebuchet MS"/>
      </w:rPr>
      <w:fldChar w:fldCharType="end"/>
    </w:r>
  </w:p>
  <w:p w14:paraId="602FC381" w14:textId="77777777" w:rsidR="00FC7E15" w:rsidRDefault="00FC7E15" w:rsidP="00A26A67">
    <w:pPr>
      <w:ind w:right="360"/>
      <w:jc w:val="cen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5AD6D" w14:textId="77777777" w:rsidR="00FC7E15" w:rsidRDefault="00FC7E15">
      <w:r>
        <w:separator/>
      </w:r>
    </w:p>
  </w:footnote>
  <w:footnote w:type="continuationSeparator" w:id="0">
    <w:p w14:paraId="04381793" w14:textId="77777777" w:rsidR="00FC7E15" w:rsidRDefault="00FC7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0F0F7" w14:textId="70EA5247" w:rsidR="00FC7E15" w:rsidRPr="00CA374B" w:rsidRDefault="00FC7E15" w:rsidP="00EA534F">
    <w:pPr>
      <w:autoSpaceDE w:val="0"/>
      <w:autoSpaceDN w:val="0"/>
      <w:adjustRightInd w:val="0"/>
      <w:spacing w:line="288" w:lineRule="auto"/>
      <w:jc w:val="center"/>
      <w:textAlignment w:val="center"/>
      <w:rPr>
        <w:rFonts w:eastAsia="Times New Roman" w:cs="Times New Roman"/>
        <w:color w:val="AC9F70" w:themeColor="background2"/>
        <w:sz w:val="24"/>
        <w:szCs w:val="24"/>
      </w:rPr>
    </w:pPr>
    <w:r w:rsidRPr="00CA374B">
      <w:rPr>
        <w:rFonts w:eastAsia="Times New Roman" w:cs="Times New Roman"/>
        <w:color w:val="AC9F70" w:themeColor="background2"/>
        <w:sz w:val="24"/>
        <w:szCs w:val="24"/>
      </w:rPr>
      <w:t>Magyar Nemzeti Bank</w:t>
    </w:r>
    <w:r>
      <w:rPr>
        <w:rFonts w:eastAsia="Times New Roman" w:cs="Times New Roman"/>
        <w:color w:val="AC9F70" w:themeColor="background2"/>
        <w:sz w:val="24"/>
        <w:szCs w:val="24"/>
      </w:rPr>
      <w:t xml:space="preserve"> </w:t>
    </w:r>
    <w:r w:rsidRPr="00CA374B">
      <w:rPr>
        <w:rFonts w:eastAsia="Times New Roman" w:cs="Times New Roman"/>
        <w:color w:val="AC9F70" w:themeColor="background2"/>
        <w:sz w:val="24"/>
        <w:szCs w:val="24"/>
      </w:rPr>
      <w:t>-</w:t>
    </w:r>
    <w:r>
      <w:rPr>
        <w:rFonts w:eastAsia="Times New Roman" w:cs="Times New Roman"/>
        <w:color w:val="AC9F70" w:themeColor="background2"/>
        <w:sz w:val="24"/>
        <w:szCs w:val="24"/>
      </w:rPr>
      <w:t xml:space="preserve"> </w:t>
    </w:r>
    <w:r w:rsidR="0086154E">
      <w:rPr>
        <w:rFonts w:eastAsia="Times New Roman" w:cs="Times New Roman"/>
        <w:color w:val="AC9F70" w:themeColor="background2"/>
        <w:sz w:val="24"/>
        <w:szCs w:val="24"/>
      </w:rPr>
      <w:t>AMLA</w:t>
    </w:r>
    <w:r w:rsidRPr="00CA374B">
      <w:rPr>
        <w:rFonts w:eastAsia="Times New Roman" w:cs="Times New Roman"/>
        <w:color w:val="AC9F70" w:themeColor="background2"/>
        <w:sz w:val="24"/>
        <w:szCs w:val="24"/>
      </w:rPr>
      <w:t xml:space="preserve"> hírlevél</w:t>
    </w:r>
  </w:p>
  <w:p w14:paraId="67D9161C" w14:textId="77777777" w:rsidR="00FC7E15" w:rsidRPr="000714EA" w:rsidRDefault="00FC7E15">
    <w:pPr>
      <w:pStyle w:val="lfej"/>
      <w:rPr>
        <w:sz w:val="18"/>
        <w:szCs w:val="18"/>
      </w:rPr>
    </w:pPr>
  </w:p>
  <w:p w14:paraId="0E321CF9" w14:textId="77777777" w:rsidR="00FC7E15" w:rsidRPr="00D85678" w:rsidRDefault="00FC7E15">
    <w:pPr>
      <w:pStyle w:val="lfej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0A4C"/>
    <w:multiLevelType w:val="hybridMultilevel"/>
    <w:tmpl w:val="F216B5CA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212A97"/>
    <w:multiLevelType w:val="hybridMultilevel"/>
    <w:tmpl w:val="9658586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02D29"/>
    <w:multiLevelType w:val="multilevel"/>
    <w:tmpl w:val="794E25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A0F89"/>
    <w:multiLevelType w:val="multilevel"/>
    <w:tmpl w:val="AC78E908"/>
    <w:lvl w:ilvl="0">
      <w:start w:val="1"/>
      <w:numFmt w:val="decimal"/>
      <w:pStyle w:val="Szmozs"/>
      <w:isLgl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3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Restart w:val="3"/>
      <w:lvlText w:val="1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7D07EA"/>
    <w:multiLevelType w:val="hybridMultilevel"/>
    <w:tmpl w:val="39C0C754"/>
    <w:lvl w:ilvl="0" w:tplc="6A20DF42">
      <w:numFmt w:val="bullet"/>
      <w:pStyle w:val="Listaszerbekezds2"/>
      <w:lvlText w:val="-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D63A5"/>
    <w:multiLevelType w:val="multilevel"/>
    <w:tmpl w:val="2480BFBC"/>
    <w:styleLink w:val="Hierarchikuslist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7721CCF"/>
    <w:multiLevelType w:val="hybridMultilevel"/>
    <w:tmpl w:val="FC96AC80"/>
    <w:lvl w:ilvl="0" w:tplc="5B1A86A4">
      <w:start w:val="1"/>
      <w:numFmt w:val="lowerLetter"/>
      <w:pStyle w:val="Listabetve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06FD9"/>
    <w:multiLevelType w:val="hybridMultilevel"/>
    <w:tmpl w:val="30A22EB0"/>
    <w:lvl w:ilvl="0" w:tplc="78025054">
      <w:start w:val="2"/>
      <w:numFmt w:val="decimal"/>
      <w:lvlText w:val="%1."/>
      <w:lvlJc w:val="left"/>
      <w:pPr>
        <w:ind w:left="4755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115" w:hanging="360"/>
      </w:pPr>
    </w:lvl>
    <w:lvl w:ilvl="2" w:tplc="040E001B" w:tentative="1">
      <w:start w:val="1"/>
      <w:numFmt w:val="lowerRoman"/>
      <w:lvlText w:val="%3."/>
      <w:lvlJc w:val="right"/>
      <w:pPr>
        <w:ind w:left="5835" w:hanging="180"/>
      </w:pPr>
    </w:lvl>
    <w:lvl w:ilvl="3" w:tplc="040E000F" w:tentative="1">
      <w:start w:val="1"/>
      <w:numFmt w:val="decimal"/>
      <w:lvlText w:val="%4."/>
      <w:lvlJc w:val="left"/>
      <w:pPr>
        <w:ind w:left="6555" w:hanging="360"/>
      </w:pPr>
    </w:lvl>
    <w:lvl w:ilvl="4" w:tplc="040E0019" w:tentative="1">
      <w:start w:val="1"/>
      <w:numFmt w:val="lowerLetter"/>
      <w:lvlText w:val="%5."/>
      <w:lvlJc w:val="left"/>
      <w:pPr>
        <w:ind w:left="7275" w:hanging="360"/>
      </w:pPr>
    </w:lvl>
    <w:lvl w:ilvl="5" w:tplc="040E001B" w:tentative="1">
      <w:start w:val="1"/>
      <w:numFmt w:val="lowerRoman"/>
      <w:lvlText w:val="%6."/>
      <w:lvlJc w:val="right"/>
      <w:pPr>
        <w:ind w:left="7995" w:hanging="180"/>
      </w:pPr>
    </w:lvl>
    <w:lvl w:ilvl="6" w:tplc="040E000F" w:tentative="1">
      <w:start w:val="1"/>
      <w:numFmt w:val="decimal"/>
      <w:lvlText w:val="%7."/>
      <w:lvlJc w:val="left"/>
      <w:pPr>
        <w:ind w:left="8715" w:hanging="360"/>
      </w:pPr>
    </w:lvl>
    <w:lvl w:ilvl="7" w:tplc="040E0019" w:tentative="1">
      <w:start w:val="1"/>
      <w:numFmt w:val="lowerLetter"/>
      <w:lvlText w:val="%8."/>
      <w:lvlJc w:val="left"/>
      <w:pPr>
        <w:ind w:left="9435" w:hanging="360"/>
      </w:pPr>
    </w:lvl>
    <w:lvl w:ilvl="8" w:tplc="040E001B" w:tentative="1">
      <w:start w:val="1"/>
      <w:numFmt w:val="lowerRoman"/>
      <w:lvlText w:val="%9."/>
      <w:lvlJc w:val="right"/>
      <w:pPr>
        <w:ind w:left="10155" w:hanging="180"/>
      </w:pPr>
    </w:lvl>
  </w:abstractNum>
  <w:abstractNum w:abstractNumId="8" w15:restartNumberingAfterBreak="0">
    <w:nsid w:val="1AC112DD"/>
    <w:multiLevelType w:val="hybridMultilevel"/>
    <w:tmpl w:val="BBCC019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D2B45"/>
    <w:multiLevelType w:val="hybridMultilevel"/>
    <w:tmpl w:val="3CDE92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53B15"/>
    <w:multiLevelType w:val="multilevel"/>
    <w:tmpl w:val="E8AEFF86"/>
    <w:styleLink w:val="Style1"/>
    <w:lvl w:ilvl="0">
      <w:start w:val="1"/>
      <w:numFmt w:val="decimal"/>
      <w:pStyle w:val="ENChapterTitle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ENSectionTitle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ENSubsectionTitle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11" w15:restartNumberingAfterBreak="0">
    <w:nsid w:val="25446930"/>
    <w:multiLevelType w:val="hybridMultilevel"/>
    <w:tmpl w:val="EB6413B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abstractNum w:abstractNumId="13" w15:restartNumberingAfterBreak="0">
    <w:nsid w:val="2DCB043B"/>
    <w:multiLevelType w:val="hybridMultilevel"/>
    <w:tmpl w:val="07DA96DC"/>
    <w:lvl w:ilvl="0" w:tplc="A156FC80">
      <w:start w:val="1"/>
      <w:numFmt w:val="bullet"/>
      <w:lvlText w:val=""/>
      <w:lvlJc w:val="left"/>
      <w:pPr>
        <w:ind w:left="72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1" w:tplc="41420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898D8D" w:themeColor="text2"/>
        <w:sz w:val="24"/>
      </w:rPr>
    </w:lvl>
    <w:lvl w:ilvl="2" w:tplc="EA2C5BBE">
      <w:start w:val="1"/>
      <w:numFmt w:val="bulle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898D8D" w:themeColor="text2"/>
        <w:sz w:val="24"/>
      </w:rPr>
    </w:lvl>
    <w:lvl w:ilvl="3" w:tplc="6C34901E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321BD"/>
    <w:multiLevelType w:val="hybridMultilevel"/>
    <w:tmpl w:val="1C08CAD2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BD2CDC"/>
    <w:multiLevelType w:val="hybridMultilevel"/>
    <w:tmpl w:val="8B6E95E0"/>
    <w:lvl w:ilvl="0" w:tplc="65ACF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E2C07"/>
    <w:multiLevelType w:val="hybridMultilevel"/>
    <w:tmpl w:val="94D67F6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D227C"/>
    <w:multiLevelType w:val="hybridMultilevel"/>
    <w:tmpl w:val="C2FCD6E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C66E8"/>
    <w:multiLevelType w:val="hybridMultilevel"/>
    <w:tmpl w:val="0ECE5A1C"/>
    <w:lvl w:ilvl="0" w:tplc="A156FC80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202653" w:themeColor="accent5"/>
        <w:sz w:val="24"/>
      </w:rPr>
    </w:lvl>
    <w:lvl w:ilvl="2" w:tplc="AA782C4A">
      <w:start w:val="1"/>
      <w:numFmt w:val="bulle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202653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202653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01573"/>
    <w:multiLevelType w:val="hybridMultilevel"/>
    <w:tmpl w:val="BC3E5008"/>
    <w:lvl w:ilvl="0" w:tplc="A5147D12">
      <w:start w:val="1"/>
      <w:numFmt w:val="decimal"/>
      <w:lvlText w:val="%1.)"/>
      <w:lvlJc w:val="left"/>
      <w:pPr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C78C0"/>
    <w:multiLevelType w:val="hybridMultilevel"/>
    <w:tmpl w:val="27D0C85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CE539B"/>
    <w:multiLevelType w:val="hybridMultilevel"/>
    <w:tmpl w:val="5972DB12"/>
    <w:lvl w:ilvl="0" w:tplc="A156FC80">
      <w:start w:val="1"/>
      <w:numFmt w:val="bullet"/>
      <w:lvlText w:val=""/>
      <w:lvlJc w:val="left"/>
      <w:pPr>
        <w:ind w:left="72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1" w:tplc="41420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898D8D" w:themeColor="text2"/>
        <w:sz w:val="24"/>
      </w:rPr>
    </w:lvl>
    <w:lvl w:ilvl="2" w:tplc="EA2C5BBE">
      <w:start w:val="1"/>
      <w:numFmt w:val="bulle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898D8D" w:themeColor="text2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202653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68A"/>
    <w:multiLevelType w:val="hybridMultilevel"/>
    <w:tmpl w:val="3CCE2E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E2DB1"/>
    <w:multiLevelType w:val="hybridMultilevel"/>
    <w:tmpl w:val="31D040B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3056F"/>
    <w:multiLevelType w:val="hybridMultilevel"/>
    <w:tmpl w:val="4D1EFDF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46139"/>
    <w:multiLevelType w:val="hybridMultilevel"/>
    <w:tmpl w:val="48264B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655D3"/>
    <w:multiLevelType w:val="hybridMultilevel"/>
    <w:tmpl w:val="875667E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D2CC2"/>
    <w:multiLevelType w:val="hybridMultilevel"/>
    <w:tmpl w:val="81BC742C"/>
    <w:lvl w:ilvl="0" w:tplc="F198E8E6">
      <w:start w:val="4"/>
      <w:numFmt w:val="bullet"/>
      <w:lvlText w:val="-"/>
      <w:lvlJc w:val="left"/>
      <w:pPr>
        <w:ind w:left="720" w:hanging="360"/>
      </w:pPr>
      <w:rPr>
        <w:rFonts w:ascii="Calibri" w:eastAsia="AGaramondPro-Bold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2785D"/>
    <w:multiLevelType w:val="hybridMultilevel"/>
    <w:tmpl w:val="906E4D0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22B13"/>
    <w:multiLevelType w:val="hybridMultilevel"/>
    <w:tmpl w:val="C15EA44C"/>
    <w:lvl w:ilvl="0" w:tplc="D0BC46E8">
      <w:start w:val="1"/>
      <w:numFmt w:val="bullet"/>
      <w:pStyle w:val="Listaszerbekezds2szint"/>
      <w:lvlText w:val=""/>
      <w:lvlJc w:val="left"/>
      <w:pPr>
        <w:ind w:left="180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29333F9"/>
    <w:multiLevelType w:val="hybridMultilevel"/>
    <w:tmpl w:val="248EE0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5E0A6D"/>
    <w:multiLevelType w:val="hybridMultilevel"/>
    <w:tmpl w:val="30024616"/>
    <w:lvl w:ilvl="0" w:tplc="A156FC80">
      <w:start w:val="1"/>
      <w:numFmt w:val="bullet"/>
      <w:lvlText w:val=""/>
      <w:lvlJc w:val="left"/>
      <w:pPr>
        <w:ind w:left="720" w:hanging="360"/>
      </w:pPr>
      <w:rPr>
        <w:rFonts w:ascii="Symbol" w:hAnsi="Symbol" w:cstheme="minorHAnsi" w:hint="default"/>
        <w:b/>
        <w:color w:val="898D8D" w:themeColor="text2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202653" w:themeColor="accent5"/>
        <w:sz w:val="24"/>
      </w:rPr>
    </w:lvl>
    <w:lvl w:ilvl="2" w:tplc="EA2C5BBE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898D8D" w:themeColor="text2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202653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5480A"/>
    <w:multiLevelType w:val="hybridMultilevel"/>
    <w:tmpl w:val="D2B27EF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DA5CBD"/>
    <w:multiLevelType w:val="hybridMultilevel"/>
    <w:tmpl w:val="3A1C9C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A6EF8"/>
    <w:multiLevelType w:val="hybridMultilevel"/>
    <w:tmpl w:val="C5EEEF3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1153233">
    <w:abstractNumId w:val="10"/>
  </w:num>
  <w:num w:numId="2" w16cid:durableId="919218121">
    <w:abstractNumId w:val="5"/>
  </w:num>
  <w:num w:numId="3" w16cid:durableId="164521434">
    <w:abstractNumId w:val="12"/>
  </w:num>
  <w:num w:numId="4" w16cid:durableId="323167763">
    <w:abstractNumId w:val="3"/>
  </w:num>
  <w:num w:numId="5" w16cid:durableId="1371297108">
    <w:abstractNumId w:val="6"/>
  </w:num>
  <w:num w:numId="6" w16cid:durableId="1552183759">
    <w:abstractNumId w:val="29"/>
  </w:num>
  <w:num w:numId="7" w16cid:durableId="1968536990">
    <w:abstractNumId w:val="18"/>
    <w:lvlOverride w:ilvl="0">
      <w:startOverride w:val="1"/>
    </w:lvlOverride>
  </w:num>
  <w:num w:numId="8" w16cid:durableId="993216943">
    <w:abstractNumId w:val="4"/>
  </w:num>
  <w:num w:numId="9" w16cid:durableId="650718150">
    <w:abstractNumId w:val="31"/>
  </w:num>
  <w:num w:numId="10" w16cid:durableId="312174219">
    <w:abstractNumId w:val="7"/>
  </w:num>
  <w:num w:numId="11" w16cid:durableId="1800761585">
    <w:abstractNumId w:val="1"/>
  </w:num>
  <w:num w:numId="12" w16cid:durableId="5256311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7112947">
    <w:abstractNumId w:val="34"/>
  </w:num>
  <w:num w:numId="14" w16cid:durableId="2089644597">
    <w:abstractNumId w:val="20"/>
  </w:num>
  <w:num w:numId="15" w16cid:durableId="1411656272">
    <w:abstractNumId w:val="33"/>
  </w:num>
  <w:num w:numId="16" w16cid:durableId="1040252972">
    <w:abstractNumId w:val="22"/>
  </w:num>
  <w:num w:numId="17" w16cid:durableId="1362242128">
    <w:abstractNumId w:val="0"/>
  </w:num>
  <w:num w:numId="18" w16cid:durableId="380252220">
    <w:abstractNumId w:val="14"/>
  </w:num>
  <w:num w:numId="19" w16cid:durableId="1210609159">
    <w:abstractNumId w:val="24"/>
  </w:num>
  <w:num w:numId="20" w16cid:durableId="143132698">
    <w:abstractNumId w:val="2"/>
  </w:num>
  <w:num w:numId="21" w16cid:durableId="1823815134">
    <w:abstractNumId w:val="1"/>
  </w:num>
  <w:num w:numId="22" w16cid:durableId="1236861086">
    <w:abstractNumId w:val="30"/>
  </w:num>
  <w:num w:numId="23" w16cid:durableId="1706369796">
    <w:abstractNumId w:val="17"/>
  </w:num>
  <w:num w:numId="24" w16cid:durableId="990208429">
    <w:abstractNumId w:val="32"/>
  </w:num>
  <w:num w:numId="25" w16cid:durableId="250159563">
    <w:abstractNumId w:val="9"/>
  </w:num>
  <w:num w:numId="26" w16cid:durableId="754866332">
    <w:abstractNumId w:val="18"/>
  </w:num>
  <w:num w:numId="27" w16cid:durableId="183399180">
    <w:abstractNumId w:val="21"/>
  </w:num>
  <w:num w:numId="28" w16cid:durableId="345060052">
    <w:abstractNumId w:val="13"/>
  </w:num>
  <w:num w:numId="29" w16cid:durableId="1428160716">
    <w:abstractNumId w:val="15"/>
  </w:num>
  <w:num w:numId="30" w16cid:durableId="2076468436">
    <w:abstractNumId w:val="25"/>
  </w:num>
  <w:num w:numId="31" w16cid:durableId="1155802736">
    <w:abstractNumId w:val="23"/>
  </w:num>
  <w:num w:numId="32" w16cid:durableId="650409774">
    <w:abstractNumId w:val="28"/>
  </w:num>
  <w:num w:numId="33" w16cid:durableId="453594612">
    <w:abstractNumId w:val="26"/>
  </w:num>
  <w:num w:numId="34" w16cid:durableId="510920748">
    <w:abstractNumId w:val="16"/>
  </w:num>
  <w:num w:numId="35" w16cid:durableId="589657059">
    <w:abstractNumId w:val="11"/>
  </w:num>
  <w:num w:numId="36" w16cid:durableId="1354840845">
    <w:abstractNumId w:val="8"/>
  </w:num>
  <w:num w:numId="37" w16cid:durableId="828398617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A28"/>
    <w:rsid w:val="000005FA"/>
    <w:rsid w:val="00002911"/>
    <w:rsid w:val="000103B5"/>
    <w:rsid w:val="0002013F"/>
    <w:rsid w:val="00031F09"/>
    <w:rsid w:val="00041F03"/>
    <w:rsid w:val="00055577"/>
    <w:rsid w:val="00065749"/>
    <w:rsid w:val="00070E99"/>
    <w:rsid w:val="000720A3"/>
    <w:rsid w:val="000766E2"/>
    <w:rsid w:val="00087896"/>
    <w:rsid w:val="000901A5"/>
    <w:rsid w:val="00092B5E"/>
    <w:rsid w:val="00094AF2"/>
    <w:rsid w:val="00096F80"/>
    <w:rsid w:val="000A0133"/>
    <w:rsid w:val="000A221E"/>
    <w:rsid w:val="000A5A72"/>
    <w:rsid w:val="000B1F3F"/>
    <w:rsid w:val="000B67D2"/>
    <w:rsid w:val="000B6C66"/>
    <w:rsid w:val="000B70B2"/>
    <w:rsid w:val="000C4824"/>
    <w:rsid w:val="000C5EEB"/>
    <w:rsid w:val="000C6325"/>
    <w:rsid w:val="000D09E8"/>
    <w:rsid w:val="000D0DD0"/>
    <w:rsid w:val="000D26FA"/>
    <w:rsid w:val="000D4C16"/>
    <w:rsid w:val="000D51B4"/>
    <w:rsid w:val="000E0A99"/>
    <w:rsid w:val="000E37A3"/>
    <w:rsid w:val="000E7731"/>
    <w:rsid w:val="000F03AC"/>
    <w:rsid w:val="000F72B2"/>
    <w:rsid w:val="001048B5"/>
    <w:rsid w:val="00104FAD"/>
    <w:rsid w:val="001056F6"/>
    <w:rsid w:val="00105BC2"/>
    <w:rsid w:val="0011527C"/>
    <w:rsid w:val="0012550E"/>
    <w:rsid w:val="00126614"/>
    <w:rsid w:val="00150BF2"/>
    <w:rsid w:val="00153C51"/>
    <w:rsid w:val="00180E17"/>
    <w:rsid w:val="00182D37"/>
    <w:rsid w:val="00182F43"/>
    <w:rsid w:val="00187052"/>
    <w:rsid w:val="001A09AB"/>
    <w:rsid w:val="001A692A"/>
    <w:rsid w:val="001B01ED"/>
    <w:rsid w:val="001B6B84"/>
    <w:rsid w:val="001C1ABB"/>
    <w:rsid w:val="001D2CFE"/>
    <w:rsid w:val="001E0BF2"/>
    <w:rsid w:val="001E3173"/>
    <w:rsid w:val="001F024A"/>
    <w:rsid w:val="001F079C"/>
    <w:rsid w:val="001F1016"/>
    <w:rsid w:val="001F47FC"/>
    <w:rsid w:val="001F7175"/>
    <w:rsid w:val="00200FF3"/>
    <w:rsid w:val="00214290"/>
    <w:rsid w:val="00220D0E"/>
    <w:rsid w:val="00221FE7"/>
    <w:rsid w:val="00222AED"/>
    <w:rsid w:val="00231DF5"/>
    <w:rsid w:val="00236E22"/>
    <w:rsid w:val="00237386"/>
    <w:rsid w:val="002426B1"/>
    <w:rsid w:val="002466B1"/>
    <w:rsid w:val="00247B29"/>
    <w:rsid w:val="00250F92"/>
    <w:rsid w:val="00251046"/>
    <w:rsid w:val="00253A1C"/>
    <w:rsid w:val="002603E9"/>
    <w:rsid w:val="00260B6F"/>
    <w:rsid w:val="00262DCB"/>
    <w:rsid w:val="002733B8"/>
    <w:rsid w:val="00275572"/>
    <w:rsid w:val="00283A51"/>
    <w:rsid w:val="00285196"/>
    <w:rsid w:val="00287919"/>
    <w:rsid w:val="002918E5"/>
    <w:rsid w:val="002976A0"/>
    <w:rsid w:val="00297C3C"/>
    <w:rsid w:val="002A43C5"/>
    <w:rsid w:val="002A499E"/>
    <w:rsid w:val="002A720E"/>
    <w:rsid w:val="002B5716"/>
    <w:rsid w:val="002D1436"/>
    <w:rsid w:val="002E2583"/>
    <w:rsid w:val="002F4585"/>
    <w:rsid w:val="002F45DA"/>
    <w:rsid w:val="002F462C"/>
    <w:rsid w:val="00304959"/>
    <w:rsid w:val="0030653C"/>
    <w:rsid w:val="00311D41"/>
    <w:rsid w:val="00313526"/>
    <w:rsid w:val="00321BC6"/>
    <w:rsid w:val="00322866"/>
    <w:rsid w:val="003241E1"/>
    <w:rsid w:val="00326A4C"/>
    <w:rsid w:val="0032735D"/>
    <w:rsid w:val="003425EF"/>
    <w:rsid w:val="00344E4C"/>
    <w:rsid w:val="00346EBC"/>
    <w:rsid w:val="00353AAC"/>
    <w:rsid w:val="003545C6"/>
    <w:rsid w:val="003667F4"/>
    <w:rsid w:val="00371811"/>
    <w:rsid w:val="00373584"/>
    <w:rsid w:val="00377B63"/>
    <w:rsid w:val="0038172E"/>
    <w:rsid w:val="00386B5E"/>
    <w:rsid w:val="00391258"/>
    <w:rsid w:val="003A23F3"/>
    <w:rsid w:val="003A6B23"/>
    <w:rsid w:val="003B36A3"/>
    <w:rsid w:val="003B6905"/>
    <w:rsid w:val="003B6A6A"/>
    <w:rsid w:val="003C010D"/>
    <w:rsid w:val="003C1A2E"/>
    <w:rsid w:val="003C4A3F"/>
    <w:rsid w:val="003C7A5A"/>
    <w:rsid w:val="003D0A32"/>
    <w:rsid w:val="003D0E74"/>
    <w:rsid w:val="003D1954"/>
    <w:rsid w:val="003D7B59"/>
    <w:rsid w:val="003E483B"/>
    <w:rsid w:val="003F6E86"/>
    <w:rsid w:val="0040668F"/>
    <w:rsid w:val="004108D9"/>
    <w:rsid w:val="0041257F"/>
    <w:rsid w:val="0041789A"/>
    <w:rsid w:val="00425E27"/>
    <w:rsid w:val="00426198"/>
    <w:rsid w:val="00434B61"/>
    <w:rsid w:val="0043563D"/>
    <w:rsid w:val="00436FCD"/>
    <w:rsid w:val="00437910"/>
    <w:rsid w:val="00440512"/>
    <w:rsid w:val="00442AE2"/>
    <w:rsid w:val="00443DA7"/>
    <w:rsid w:val="00445140"/>
    <w:rsid w:val="0046569F"/>
    <w:rsid w:val="00465A3D"/>
    <w:rsid w:val="004872E1"/>
    <w:rsid w:val="00495F81"/>
    <w:rsid w:val="004A1D73"/>
    <w:rsid w:val="004B61D2"/>
    <w:rsid w:val="004B7BE2"/>
    <w:rsid w:val="004C6C57"/>
    <w:rsid w:val="004D2A28"/>
    <w:rsid w:val="004D3632"/>
    <w:rsid w:val="004D44A2"/>
    <w:rsid w:val="004E07F2"/>
    <w:rsid w:val="004E6090"/>
    <w:rsid w:val="004E61A9"/>
    <w:rsid w:val="004F1A9A"/>
    <w:rsid w:val="004F244E"/>
    <w:rsid w:val="004F3491"/>
    <w:rsid w:val="004F35D5"/>
    <w:rsid w:val="00500780"/>
    <w:rsid w:val="005062F3"/>
    <w:rsid w:val="00506E66"/>
    <w:rsid w:val="00510673"/>
    <w:rsid w:val="005110D8"/>
    <w:rsid w:val="00514152"/>
    <w:rsid w:val="00521C02"/>
    <w:rsid w:val="00532688"/>
    <w:rsid w:val="00532C7B"/>
    <w:rsid w:val="00532EAF"/>
    <w:rsid w:val="00533DAE"/>
    <w:rsid w:val="00536572"/>
    <w:rsid w:val="00536605"/>
    <w:rsid w:val="005428B5"/>
    <w:rsid w:val="00545EA8"/>
    <w:rsid w:val="00551E54"/>
    <w:rsid w:val="00553EE4"/>
    <w:rsid w:val="0056530B"/>
    <w:rsid w:val="00571541"/>
    <w:rsid w:val="0057157C"/>
    <w:rsid w:val="00571901"/>
    <w:rsid w:val="00574861"/>
    <w:rsid w:val="005752AF"/>
    <w:rsid w:val="00576058"/>
    <w:rsid w:val="00580B43"/>
    <w:rsid w:val="00582462"/>
    <w:rsid w:val="00586972"/>
    <w:rsid w:val="0059359B"/>
    <w:rsid w:val="005A410B"/>
    <w:rsid w:val="005B01A8"/>
    <w:rsid w:val="005C08B5"/>
    <w:rsid w:val="005C578D"/>
    <w:rsid w:val="005C5C6A"/>
    <w:rsid w:val="005D0716"/>
    <w:rsid w:val="005D0ED6"/>
    <w:rsid w:val="005E1A4A"/>
    <w:rsid w:val="005E735E"/>
    <w:rsid w:val="005F46B7"/>
    <w:rsid w:val="005F6C48"/>
    <w:rsid w:val="00611B4A"/>
    <w:rsid w:val="00625EFD"/>
    <w:rsid w:val="00635E97"/>
    <w:rsid w:val="006377C6"/>
    <w:rsid w:val="00640808"/>
    <w:rsid w:val="00651139"/>
    <w:rsid w:val="00655601"/>
    <w:rsid w:val="00666048"/>
    <w:rsid w:val="00666130"/>
    <w:rsid w:val="00666FA7"/>
    <w:rsid w:val="006701B5"/>
    <w:rsid w:val="006719CB"/>
    <w:rsid w:val="0067301E"/>
    <w:rsid w:val="00682356"/>
    <w:rsid w:val="00683A32"/>
    <w:rsid w:val="006857DB"/>
    <w:rsid w:val="006902F7"/>
    <w:rsid w:val="00690D0E"/>
    <w:rsid w:val="0069297B"/>
    <w:rsid w:val="00692B85"/>
    <w:rsid w:val="00694FB1"/>
    <w:rsid w:val="006A3674"/>
    <w:rsid w:val="006A597B"/>
    <w:rsid w:val="006A6B22"/>
    <w:rsid w:val="006D05A7"/>
    <w:rsid w:val="006D1BB1"/>
    <w:rsid w:val="006D3B73"/>
    <w:rsid w:val="006E0FF3"/>
    <w:rsid w:val="006F441A"/>
    <w:rsid w:val="006F4481"/>
    <w:rsid w:val="006F5A25"/>
    <w:rsid w:val="006F6227"/>
    <w:rsid w:val="007017F7"/>
    <w:rsid w:val="007019AC"/>
    <w:rsid w:val="00702671"/>
    <w:rsid w:val="00702727"/>
    <w:rsid w:val="00706944"/>
    <w:rsid w:val="00712448"/>
    <w:rsid w:val="007207A2"/>
    <w:rsid w:val="0073140B"/>
    <w:rsid w:val="00735DAC"/>
    <w:rsid w:val="00740EE2"/>
    <w:rsid w:val="00742DE1"/>
    <w:rsid w:val="00744558"/>
    <w:rsid w:val="007449C4"/>
    <w:rsid w:val="00754C4D"/>
    <w:rsid w:val="0075655D"/>
    <w:rsid w:val="00757A75"/>
    <w:rsid w:val="0076506B"/>
    <w:rsid w:val="00773715"/>
    <w:rsid w:val="007746B5"/>
    <w:rsid w:val="00774CB9"/>
    <w:rsid w:val="007878CA"/>
    <w:rsid w:val="007935C6"/>
    <w:rsid w:val="007A29D2"/>
    <w:rsid w:val="007A3902"/>
    <w:rsid w:val="007A46E1"/>
    <w:rsid w:val="007B4456"/>
    <w:rsid w:val="007C12DE"/>
    <w:rsid w:val="007D1D2E"/>
    <w:rsid w:val="007D295F"/>
    <w:rsid w:val="007E57AA"/>
    <w:rsid w:val="00800FD8"/>
    <w:rsid w:val="0080597D"/>
    <w:rsid w:val="008061A2"/>
    <w:rsid w:val="0081115F"/>
    <w:rsid w:val="008141A8"/>
    <w:rsid w:val="00817828"/>
    <w:rsid w:val="00822D96"/>
    <w:rsid w:val="0082357A"/>
    <w:rsid w:val="0084467A"/>
    <w:rsid w:val="0085674D"/>
    <w:rsid w:val="0086154E"/>
    <w:rsid w:val="00866401"/>
    <w:rsid w:val="00867F23"/>
    <w:rsid w:val="00870AA6"/>
    <w:rsid w:val="00871C6F"/>
    <w:rsid w:val="00873783"/>
    <w:rsid w:val="008819B1"/>
    <w:rsid w:val="00882F4F"/>
    <w:rsid w:val="00886009"/>
    <w:rsid w:val="00886C84"/>
    <w:rsid w:val="0089276D"/>
    <w:rsid w:val="008A2665"/>
    <w:rsid w:val="008A6875"/>
    <w:rsid w:val="008B58F9"/>
    <w:rsid w:val="008B61C1"/>
    <w:rsid w:val="008B6338"/>
    <w:rsid w:val="008D4892"/>
    <w:rsid w:val="008D7A55"/>
    <w:rsid w:val="008E35A3"/>
    <w:rsid w:val="008E3A61"/>
    <w:rsid w:val="008E7CE1"/>
    <w:rsid w:val="008F14A7"/>
    <w:rsid w:val="008F7C16"/>
    <w:rsid w:val="008F7E4D"/>
    <w:rsid w:val="009045A3"/>
    <w:rsid w:val="00906EA5"/>
    <w:rsid w:val="00910071"/>
    <w:rsid w:val="009262DD"/>
    <w:rsid w:val="00927FC1"/>
    <w:rsid w:val="0093182C"/>
    <w:rsid w:val="00933A14"/>
    <w:rsid w:val="00934B7E"/>
    <w:rsid w:val="0093724C"/>
    <w:rsid w:val="00947F8A"/>
    <w:rsid w:val="00952C2F"/>
    <w:rsid w:val="009531F8"/>
    <w:rsid w:val="00954BA0"/>
    <w:rsid w:val="00963000"/>
    <w:rsid w:val="00970DE6"/>
    <w:rsid w:val="00974738"/>
    <w:rsid w:val="00980658"/>
    <w:rsid w:val="00981AE4"/>
    <w:rsid w:val="00995923"/>
    <w:rsid w:val="009A271D"/>
    <w:rsid w:val="009A6C1F"/>
    <w:rsid w:val="009A6D84"/>
    <w:rsid w:val="009B0202"/>
    <w:rsid w:val="009B23F9"/>
    <w:rsid w:val="009B31D5"/>
    <w:rsid w:val="009D04B8"/>
    <w:rsid w:val="009D2F59"/>
    <w:rsid w:val="009D5ABA"/>
    <w:rsid w:val="009D7286"/>
    <w:rsid w:val="009D730E"/>
    <w:rsid w:val="009E2B96"/>
    <w:rsid w:val="009E33FB"/>
    <w:rsid w:val="009E7E5B"/>
    <w:rsid w:val="009F4BED"/>
    <w:rsid w:val="009F71DD"/>
    <w:rsid w:val="00A06C3D"/>
    <w:rsid w:val="00A20AA0"/>
    <w:rsid w:val="00A26A67"/>
    <w:rsid w:val="00A26F4D"/>
    <w:rsid w:val="00A30A2D"/>
    <w:rsid w:val="00A32BA4"/>
    <w:rsid w:val="00A447FB"/>
    <w:rsid w:val="00A451CF"/>
    <w:rsid w:val="00A46177"/>
    <w:rsid w:val="00A50D02"/>
    <w:rsid w:val="00A52C2B"/>
    <w:rsid w:val="00A60842"/>
    <w:rsid w:val="00A635F3"/>
    <w:rsid w:val="00A97C32"/>
    <w:rsid w:val="00AA1C94"/>
    <w:rsid w:val="00AA2863"/>
    <w:rsid w:val="00AB13AB"/>
    <w:rsid w:val="00AC3C58"/>
    <w:rsid w:val="00AE0204"/>
    <w:rsid w:val="00AE0D30"/>
    <w:rsid w:val="00AE5CB5"/>
    <w:rsid w:val="00AE7082"/>
    <w:rsid w:val="00AF0057"/>
    <w:rsid w:val="00AF6490"/>
    <w:rsid w:val="00B0054A"/>
    <w:rsid w:val="00B06325"/>
    <w:rsid w:val="00B0645E"/>
    <w:rsid w:val="00B0647B"/>
    <w:rsid w:val="00B0785E"/>
    <w:rsid w:val="00B07AA0"/>
    <w:rsid w:val="00B10D40"/>
    <w:rsid w:val="00B1275C"/>
    <w:rsid w:val="00B132B9"/>
    <w:rsid w:val="00B154F6"/>
    <w:rsid w:val="00B17BAE"/>
    <w:rsid w:val="00B214DE"/>
    <w:rsid w:val="00B24592"/>
    <w:rsid w:val="00B40DD5"/>
    <w:rsid w:val="00B422E7"/>
    <w:rsid w:val="00B43866"/>
    <w:rsid w:val="00B50264"/>
    <w:rsid w:val="00B52245"/>
    <w:rsid w:val="00B530D5"/>
    <w:rsid w:val="00B63D94"/>
    <w:rsid w:val="00B73415"/>
    <w:rsid w:val="00B84397"/>
    <w:rsid w:val="00B9221C"/>
    <w:rsid w:val="00B95081"/>
    <w:rsid w:val="00BA23C8"/>
    <w:rsid w:val="00BA27E2"/>
    <w:rsid w:val="00BA2A51"/>
    <w:rsid w:val="00BB2857"/>
    <w:rsid w:val="00BB6B05"/>
    <w:rsid w:val="00BC5108"/>
    <w:rsid w:val="00BC5E1D"/>
    <w:rsid w:val="00BD0E73"/>
    <w:rsid w:val="00BD2078"/>
    <w:rsid w:val="00BD31DA"/>
    <w:rsid w:val="00BD696F"/>
    <w:rsid w:val="00BD6F22"/>
    <w:rsid w:val="00BD7DB0"/>
    <w:rsid w:val="00BE5338"/>
    <w:rsid w:val="00C00195"/>
    <w:rsid w:val="00C00663"/>
    <w:rsid w:val="00C01987"/>
    <w:rsid w:val="00C03C04"/>
    <w:rsid w:val="00C04E20"/>
    <w:rsid w:val="00C0721F"/>
    <w:rsid w:val="00C11B27"/>
    <w:rsid w:val="00C12CCB"/>
    <w:rsid w:val="00C20D90"/>
    <w:rsid w:val="00C26306"/>
    <w:rsid w:val="00C34472"/>
    <w:rsid w:val="00C475B9"/>
    <w:rsid w:val="00C50FDC"/>
    <w:rsid w:val="00C5237A"/>
    <w:rsid w:val="00C635CE"/>
    <w:rsid w:val="00C6372E"/>
    <w:rsid w:val="00C72125"/>
    <w:rsid w:val="00C7580F"/>
    <w:rsid w:val="00C75AB6"/>
    <w:rsid w:val="00C81E1B"/>
    <w:rsid w:val="00C86299"/>
    <w:rsid w:val="00C86D77"/>
    <w:rsid w:val="00C87EEC"/>
    <w:rsid w:val="00C92EC8"/>
    <w:rsid w:val="00C95BC4"/>
    <w:rsid w:val="00CA374B"/>
    <w:rsid w:val="00CB0788"/>
    <w:rsid w:val="00CB5153"/>
    <w:rsid w:val="00CB65AE"/>
    <w:rsid w:val="00CD0F62"/>
    <w:rsid w:val="00CD6A91"/>
    <w:rsid w:val="00CD77F7"/>
    <w:rsid w:val="00CE0323"/>
    <w:rsid w:val="00CE2EA2"/>
    <w:rsid w:val="00CE4E5D"/>
    <w:rsid w:val="00CF0E9E"/>
    <w:rsid w:val="00CF28A8"/>
    <w:rsid w:val="00CF4293"/>
    <w:rsid w:val="00D06B7E"/>
    <w:rsid w:val="00D13A54"/>
    <w:rsid w:val="00D176E1"/>
    <w:rsid w:val="00D237BD"/>
    <w:rsid w:val="00D243CD"/>
    <w:rsid w:val="00D41508"/>
    <w:rsid w:val="00D44361"/>
    <w:rsid w:val="00D47A03"/>
    <w:rsid w:val="00D509D6"/>
    <w:rsid w:val="00D52359"/>
    <w:rsid w:val="00D6281B"/>
    <w:rsid w:val="00D6720E"/>
    <w:rsid w:val="00D67645"/>
    <w:rsid w:val="00D73E6F"/>
    <w:rsid w:val="00D73FD5"/>
    <w:rsid w:val="00D750FE"/>
    <w:rsid w:val="00D76282"/>
    <w:rsid w:val="00D8137E"/>
    <w:rsid w:val="00D82C90"/>
    <w:rsid w:val="00D852CE"/>
    <w:rsid w:val="00D91A66"/>
    <w:rsid w:val="00D93500"/>
    <w:rsid w:val="00D9370D"/>
    <w:rsid w:val="00D944ED"/>
    <w:rsid w:val="00DA0912"/>
    <w:rsid w:val="00DA1D38"/>
    <w:rsid w:val="00DA457E"/>
    <w:rsid w:val="00DB2BBD"/>
    <w:rsid w:val="00DB429F"/>
    <w:rsid w:val="00DC1A71"/>
    <w:rsid w:val="00DC3505"/>
    <w:rsid w:val="00DC734C"/>
    <w:rsid w:val="00DD4515"/>
    <w:rsid w:val="00DD6FD9"/>
    <w:rsid w:val="00DD6FEB"/>
    <w:rsid w:val="00DE456A"/>
    <w:rsid w:val="00DE683F"/>
    <w:rsid w:val="00DF2A32"/>
    <w:rsid w:val="00DF484E"/>
    <w:rsid w:val="00DF5255"/>
    <w:rsid w:val="00E05A2B"/>
    <w:rsid w:val="00E10C49"/>
    <w:rsid w:val="00E21582"/>
    <w:rsid w:val="00E22765"/>
    <w:rsid w:val="00E32E04"/>
    <w:rsid w:val="00E3507C"/>
    <w:rsid w:val="00E410A0"/>
    <w:rsid w:val="00E44DF0"/>
    <w:rsid w:val="00E53A26"/>
    <w:rsid w:val="00E77706"/>
    <w:rsid w:val="00E810C0"/>
    <w:rsid w:val="00E857CB"/>
    <w:rsid w:val="00E93007"/>
    <w:rsid w:val="00E935AD"/>
    <w:rsid w:val="00E971EA"/>
    <w:rsid w:val="00EA0980"/>
    <w:rsid w:val="00EA276C"/>
    <w:rsid w:val="00EA534F"/>
    <w:rsid w:val="00EA60F3"/>
    <w:rsid w:val="00EC397D"/>
    <w:rsid w:val="00EC6988"/>
    <w:rsid w:val="00EE4EF9"/>
    <w:rsid w:val="00EF07A8"/>
    <w:rsid w:val="00EF3496"/>
    <w:rsid w:val="00F00867"/>
    <w:rsid w:val="00F01954"/>
    <w:rsid w:val="00F03EC8"/>
    <w:rsid w:val="00F1618D"/>
    <w:rsid w:val="00F25DD4"/>
    <w:rsid w:val="00F335DC"/>
    <w:rsid w:val="00F3396F"/>
    <w:rsid w:val="00F42417"/>
    <w:rsid w:val="00F427FB"/>
    <w:rsid w:val="00F43891"/>
    <w:rsid w:val="00F43E44"/>
    <w:rsid w:val="00F576C0"/>
    <w:rsid w:val="00F764B2"/>
    <w:rsid w:val="00F8439D"/>
    <w:rsid w:val="00F84BB7"/>
    <w:rsid w:val="00F9323C"/>
    <w:rsid w:val="00F977F8"/>
    <w:rsid w:val="00FA0DF1"/>
    <w:rsid w:val="00FA205C"/>
    <w:rsid w:val="00FA3ED3"/>
    <w:rsid w:val="00FA61D8"/>
    <w:rsid w:val="00FA7B58"/>
    <w:rsid w:val="00FB3030"/>
    <w:rsid w:val="00FB3AB6"/>
    <w:rsid w:val="00FC0C73"/>
    <w:rsid w:val="00FC3E92"/>
    <w:rsid w:val="00FC7E15"/>
    <w:rsid w:val="00FD2200"/>
    <w:rsid w:val="00FD4C52"/>
    <w:rsid w:val="00FE3392"/>
    <w:rsid w:val="00FE3473"/>
    <w:rsid w:val="00FE53B0"/>
    <w:rsid w:val="00FE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0F3A17F3"/>
  <w15:docId w15:val="{26876282-A4B2-41C5-8BA9-FD55A671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6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22AED"/>
    <w:pPr>
      <w:spacing w:after="150" w:line="276" w:lineRule="auto"/>
      <w:jc w:val="both"/>
    </w:pPr>
    <w:rPr>
      <w:rFonts w:ascii="Calibri" w:eastAsiaTheme="minorHAnsi" w:hAnsi="Calibri" w:cstheme="minorBidi"/>
      <w:lang w:val="hu-HU" w:eastAsia="hu-HU"/>
    </w:rPr>
  </w:style>
  <w:style w:type="paragraph" w:styleId="Cmsor1">
    <w:name w:val="heading 1"/>
    <w:basedOn w:val="Norml"/>
    <w:next w:val="Norml"/>
    <w:link w:val="Cmsor1Char"/>
    <w:qFormat/>
    <w:rsid w:val="00222AED"/>
    <w:pPr>
      <w:keepNext/>
      <w:keepLines/>
      <w:numPr>
        <w:numId w:val="3"/>
      </w:numPr>
      <w:spacing w:before="480" w:after="210"/>
      <w:jc w:val="left"/>
      <w:outlineLvl w:val="0"/>
    </w:pPr>
    <w:rPr>
      <w:rFonts w:eastAsiaTheme="majorEastAsia" w:cstheme="majorBidi"/>
      <w:b/>
      <w:bCs/>
      <w:caps/>
      <w:color w:val="898D8D" w:themeColor="text2"/>
      <w:sz w:val="24"/>
      <w:szCs w:val="42"/>
    </w:rPr>
  </w:style>
  <w:style w:type="paragraph" w:styleId="Cmsor2">
    <w:name w:val="heading 2"/>
    <w:basedOn w:val="Norml"/>
    <w:next w:val="Norml"/>
    <w:link w:val="Cmsor2Char"/>
    <w:unhideWhenUsed/>
    <w:qFormat/>
    <w:rsid w:val="00222AED"/>
    <w:pPr>
      <w:numPr>
        <w:ilvl w:val="1"/>
        <w:numId w:val="3"/>
      </w:numPr>
      <w:spacing w:before="210" w:after="75"/>
      <w:jc w:val="left"/>
      <w:outlineLvl w:val="1"/>
    </w:pPr>
    <w:rPr>
      <w:b/>
      <w:color w:val="898D8D" w:themeColor="text2"/>
      <w:sz w:val="24"/>
      <w:szCs w:val="38"/>
    </w:rPr>
  </w:style>
  <w:style w:type="paragraph" w:styleId="Cmsor3">
    <w:name w:val="heading 3"/>
    <w:basedOn w:val="Norml"/>
    <w:next w:val="Norml"/>
    <w:link w:val="Cmsor3Char"/>
    <w:unhideWhenUsed/>
    <w:qFormat/>
    <w:rsid w:val="00222AED"/>
    <w:pPr>
      <w:numPr>
        <w:ilvl w:val="2"/>
        <w:numId w:val="3"/>
      </w:numPr>
      <w:spacing w:before="75" w:after="75"/>
      <w:jc w:val="left"/>
      <w:outlineLvl w:val="2"/>
    </w:pPr>
    <w:rPr>
      <w:bCs/>
      <w:color w:val="898D8D" w:themeColor="text2"/>
      <w:szCs w:val="34"/>
    </w:rPr>
  </w:style>
  <w:style w:type="paragraph" w:styleId="Cmsor4">
    <w:name w:val="heading 4"/>
    <w:basedOn w:val="Norml"/>
    <w:next w:val="Norml"/>
    <w:link w:val="Cmsor4Char"/>
    <w:unhideWhenUsed/>
    <w:qFormat/>
    <w:rsid w:val="00222AED"/>
    <w:pPr>
      <w:numPr>
        <w:ilvl w:val="3"/>
        <w:numId w:val="3"/>
      </w:numPr>
      <w:spacing w:before="75" w:after="75"/>
      <w:jc w:val="left"/>
      <w:outlineLvl w:val="3"/>
    </w:pPr>
    <w:rPr>
      <w:iCs/>
      <w:color w:val="898D8D" w:themeColor="text2"/>
      <w:szCs w:val="30"/>
    </w:rPr>
  </w:style>
  <w:style w:type="paragraph" w:styleId="Cmsor5">
    <w:name w:val="heading 5"/>
    <w:basedOn w:val="Norml"/>
    <w:next w:val="Norml"/>
    <w:link w:val="Cmsor5Char"/>
    <w:unhideWhenUsed/>
    <w:qFormat/>
    <w:rsid w:val="00222AED"/>
    <w:pPr>
      <w:numPr>
        <w:ilvl w:val="4"/>
        <w:numId w:val="3"/>
      </w:numPr>
      <w:spacing w:before="75" w:after="75"/>
      <w:jc w:val="left"/>
      <w:outlineLvl w:val="4"/>
    </w:pPr>
    <w:rPr>
      <w:color w:val="898D8D" w:themeColor="text2"/>
      <w:szCs w:val="26"/>
    </w:rPr>
  </w:style>
  <w:style w:type="paragraph" w:styleId="Cmsor6">
    <w:name w:val="heading 6"/>
    <w:basedOn w:val="Norml"/>
    <w:next w:val="Norml"/>
    <w:link w:val="Cmsor6Char"/>
    <w:unhideWhenUsed/>
    <w:qFormat/>
    <w:rsid w:val="00222AED"/>
    <w:pPr>
      <w:numPr>
        <w:ilvl w:val="5"/>
        <w:numId w:val="3"/>
      </w:numPr>
      <w:spacing w:before="75" w:after="75"/>
      <w:jc w:val="left"/>
      <w:outlineLvl w:val="5"/>
    </w:pPr>
    <w:rPr>
      <w:color w:val="898D8D" w:themeColor="text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22AED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22AED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22AED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  <w:rsid w:val="00222AED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  <w:rsid w:val="00222AED"/>
  </w:style>
  <w:style w:type="paragraph" w:styleId="lfej">
    <w:name w:val="header"/>
    <w:basedOn w:val="Norml"/>
    <w:link w:val="lfejChar"/>
    <w:uiPriority w:val="99"/>
    <w:unhideWhenUsed/>
    <w:rsid w:val="00222AED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"/>
    <w:rsid w:val="00297C3C"/>
    <w:pPr>
      <w:autoSpaceDE w:val="0"/>
      <w:spacing w:line="288" w:lineRule="auto"/>
      <w:textAlignment w:val="center"/>
    </w:pPr>
    <w:rPr>
      <w:rFonts w:ascii="Times-Roman" w:eastAsia="Times-Roman" w:hAnsi="Times-Roman"/>
      <w:color w:val="000000"/>
    </w:rPr>
  </w:style>
  <w:style w:type="paragraph" w:customStyle="1" w:styleId="szveg">
    <w:name w:val="szöveg"/>
    <w:basedOn w:val="Norml"/>
    <w:rsid w:val="00297C3C"/>
    <w:pPr>
      <w:autoSpaceDE w:val="0"/>
      <w:spacing w:line="288" w:lineRule="auto"/>
      <w:textAlignment w:val="center"/>
    </w:pPr>
    <w:rPr>
      <w:rFonts w:ascii="AGaramondPro-Regular" w:eastAsia="AGaramondPro-Regular" w:hAnsi="AGaramondPro-Regular" w:cs="AGaramondPro-Regular"/>
      <w:color w:val="000000"/>
      <w:sz w:val="22"/>
    </w:rPr>
  </w:style>
  <w:style w:type="paragraph" w:customStyle="1" w:styleId="fejezetcm">
    <w:name w:val="fejezetcím"/>
    <w:basedOn w:val="szveg"/>
    <w:rsid w:val="00297C3C"/>
    <w:rPr>
      <w:rFonts w:ascii="AGaramondPro-Bold" w:eastAsia="AGaramondPro-Bold" w:hAnsi="AGaramondPro-Bold" w:cs="AGaramondPro-Bold"/>
      <w:b/>
      <w:bCs/>
      <w:caps/>
      <w:color w:val="25408F"/>
      <w:sz w:val="26"/>
      <w:szCs w:val="26"/>
    </w:rPr>
  </w:style>
  <w:style w:type="paragraph" w:customStyle="1" w:styleId="alfejezetcm">
    <w:name w:val="alfejezetcím"/>
    <w:basedOn w:val="szveg"/>
    <w:rsid w:val="00297C3C"/>
    <w:rPr>
      <w:rFonts w:ascii="AGaramondPro-Bold" w:eastAsia="AGaramondPro-Bold" w:hAnsi="AGaramondPro-Bold" w:cs="AGaramondPro-Bold"/>
      <w:b/>
      <w:bCs/>
      <w:color w:val="25408F"/>
      <w:sz w:val="26"/>
      <w:szCs w:val="26"/>
    </w:rPr>
  </w:style>
  <w:style w:type="paragraph" w:styleId="Lbjegyzetszveg">
    <w:name w:val="footnote text"/>
    <w:basedOn w:val="Norml"/>
    <w:link w:val="LbjegyzetszvegChar"/>
    <w:uiPriority w:val="99"/>
    <w:unhideWhenUsed/>
    <w:qFormat/>
    <w:rsid w:val="00222AED"/>
    <w:rPr>
      <w:rFonts w:eastAsiaTheme="minorEastAsia"/>
      <w:color w:val="898D8D" w:themeColor="text2"/>
      <w:sz w:val="16"/>
    </w:rPr>
  </w:style>
  <w:style w:type="character" w:styleId="Lbjegyzet-hivatkozs">
    <w:name w:val="footnote reference"/>
    <w:basedOn w:val="Bekezdsalapbettpusa"/>
    <w:semiHidden/>
    <w:rsid w:val="00297C3C"/>
    <w:rPr>
      <w:vertAlign w:val="superscript"/>
    </w:rPr>
  </w:style>
  <w:style w:type="character" w:styleId="Jegyzethivatkozs">
    <w:name w:val="annotation reference"/>
    <w:basedOn w:val="Bekezdsalapbettpusa"/>
    <w:semiHidden/>
    <w:rsid w:val="00297C3C"/>
    <w:rPr>
      <w:sz w:val="16"/>
      <w:szCs w:val="16"/>
    </w:rPr>
  </w:style>
  <w:style w:type="paragraph" w:styleId="Jegyzetszveg">
    <w:name w:val="annotation text"/>
    <w:basedOn w:val="Norml"/>
    <w:link w:val="JegyzetszvegChar"/>
    <w:rsid w:val="00297C3C"/>
  </w:style>
  <w:style w:type="paragraph" w:styleId="Megjegyzstrgya">
    <w:name w:val="annotation subject"/>
    <w:basedOn w:val="Jegyzetszveg"/>
    <w:next w:val="Jegyzetszveg"/>
    <w:semiHidden/>
    <w:rsid w:val="00297C3C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22AED"/>
    <w:rPr>
      <w:rFonts w:ascii="Tahoma" w:hAnsi="Tahoma" w:cs="Tahoma"/>
      <w:sz w:val="16"/>
      <w:szCs w:val="16"/>
    </w:rPr>
  </w:style>
  <w:style w:type="character" w:customStyle="1" w:styleId="pgxsmallhead1">
    <w:name w:val="pgxsmallhead1"/>
    <w:basedOn w:val="Bekezdsalapbettpusa"/>
    <w:rsid w:val="00297C3C"/>
    <w:rPr>
      <w:rFonts w:ascii="Verdana" w:hAnsi="Verdana" w:cs="Times New Roman" w:hint="default"/>
      <w:b/>
      <w:bCs/>
      <w:color w:val="004490"/>
      <w:sz w:val="20"/>
      <w:szCs w:val="20"/>
      <w:shd w:val="clear" w:color="auto" w:fill="FFFFFF"/>
    </w:rPr>
  </w:style>
  <w:style w:type="table" w:styleId="Rcsostblzat">
    <w:name w:val="Table Grid"/>
    <w:aliases w:val="Szegély nélküli"/>
    <w:basedOn w:val="Normltblzat"/>
    <w:uiPriority w:val="59"/>
    <w:rsid w:val="00222AED"/>
    <w:pPr>
      <w:contextualSpacing/>
    </w:pPr>
    <w:rPr>
      <w:rFonts w:ascii="Calibri" w:eastAsiaTheme="minorHAnsi" w:hAnsi="Calibri" w:cstheme="minorBidi"/>
      <w:lang w:val="hu-HU" w:eastAsia="hu-HU"/>
    </w:rPr>
    <w:tblPr/>
    <w:tcPr>
      <w:vAlign w:val="center"/>
    </w:tcPr>
  </w:style>
  <w:style w:type="paragraph" w:styleId="Dokumentumtrkp">
    <w:name w:val="Document Map"/>
    <w:basedOn w:val="Norml"/>
    <w:semiHidden/>
    <w:rsid w:val="00297C3C"/>
    <w:pPr>
      <w:shd w:val="clear" w:color="auto" w:fill="000080"/>
    </w:pPr>
    <w:rPr>
      <w:rFonts w:ascii="Tahoma" w:hAnsi="Tahoma" w:cs="Tahoma"/>
    </w:rPr>
  </w:style>
  <w:style w:type="character" w:customStyle="1" w:styleId="Cmsor4Char">
    <w:name w:val="Címsor 4 Char"/>
    <w:basedOn w:val="Bekezdsalapbettpusa"/>
    <w:link w:val="Cmsor4"/>
    <w:rsid w:val="00222AED"/>
    <w:rPr>
      <w:rFonts w:ascii="Calibri" w:eastAsiaTheme="minorHAnsi" w:hAnsi="Calibri" w:cstheme="minorBidi"/>
      <w:iCs/>
      <w:color w:val="898D8D" w:themeColor="text2"/>
      <w:szCs w:val="30"/>
      <w:lang w:val="hu-HU" w:eastAsia="hu-HU"/>
    </w:rPr>
  </w:style>
  <w:style w:type="paragraph" w:customStyle="1" w:styleId="a3220nomp7">
    <w:name w:val="a__32__20_nom_p7"/>
    <w:basedOn w:val="Norml"/>
    <w:rsid w:val="00297C3C"/>
    <w:rPr>
      <w:rFonts w:eastAsia="Times New Roman"/>
      <w:b/>
      <w:bCs/>
    </w:rPr>
  </w:style>
  <w:style w:type="paragraph" w:styleId="llb">
    <w:name w:val="footer"/>
    <w:basedOn w:val="Norml"/>
    <w:link w:val="llbChar"/>
    <w:uiPriority w:val="99"/>
    <w:unhideWhenUsed/>
    <w:rsid w:val="00222AE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22AED"/>
    <w:rPr>
      <w:rFonts w:ascii="Calibri" w:eastAsiaTheme="minorHAnsi" w:hAnsi="Calibri" w:cstheme="minorBidi"/>
      <w:lang w:val="hu-HU" w:eastAsia="hu-HU"/>
    </w:rPr>
  </w:style>
  <w:style w:type="character" w:customStyle="1" w:styleId="Cmsor5Char">
    <w:name w:val="Címsor 5 Char"/>
    <w:basedOn w:val="Bekezdsalapbettpusa"/>
    <w:link w:val="Cmsor5"/>
    <w:rsid w:val="00222AED"/>
    <w:rPr>
      <w:rFonts w:ascii="Calibri" w:eastAsiaTheme="minorHAnsi" w:hAnsi="Calibri" w:cstheme="minorBidi"/>
      <w:color w:val="898D8D" w:themeColor="text2"/>
      <w:szCs w:val="26"/>
      <w:lang w:val="hu-HU" w:eastAsia="hu-HU"/>
    </w:rPr>
  </w:style>
  <w:style w:type="character" w:customStyle="1" w:styleId="Cmsor6Char">
    <w:name w:val="Címsor 6 Char"/>
    <w:basedOn w:val="Bekezdsalapbettpusa"/>
    <w:link w:val="Cmsor6"/>
    <w:rsid w:val="00222AED"/>
    <w:rPr>
      <w:rFonts w:ascii="Calibri" w:eastAsiaTheme="minorHAnsi" w:hAnsi="Calibri" w:cstheme="minorBidi"/>
      <w:color w:val="898D8D" w:themeColor="text2"/>
      <w:lang w:val="hu-HU" w:eastAsia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22AED"/>
    <w:rPr>
      <w:rFonts w:ascii="Calibri" w:eastAsiaTheme="majorEastAsia" w:hAnsi="Calibri" w:cstheme="majorBidi"/>
      <w:i/>
      <w:iCs/>
      <w:color w:val="404040" w:themeColor="text1" w:themeTint="BF"/>
      <w:lang w:val="hu-HU"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22AED"/>
    <w:rPr>
      <w:rFonts w:ascii="Calibri" w:eastAsiaTheme="majorEastAsia" w:hAnsi="Calibri" w:cstheme="majorBidi"/>
      <w:color w:val="404040" w:themeColor="text1" w:themeTint="BF"/>
      <w:lang w:val="hu-HU"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22AED"/>
    <w:rPr>
      <w:rFonts w:ascii="Calibri" w:eastAsiaTheme="majorEastAsia" w:hAnsi="Calibri" w:cstheme="majorBidi"/>
      <w:i/>
      <w:iCs/>
      <w:color w:val="404040" w:themeColor="text1" w:themeTint="BF"/>
      <w:lang w:val="hu-HU" w:eastAsia="hu-HU"/>
    </w:rPr>
  </w:style>
  <w:style w:type="table" w:customStyle="1" w:styleId="tblzat-mtrix">
    <w:name w:val="táblázat - mátrix"/>
    <w:basedOn w:val="Normltblzat"/>
    <w:uiPriority w:val="2"/>
    <w:qFormat/>
    <w:rsid w:val="00222AED"/>
    <w:pPr>
      <w:contextualSpacing/>
    </w:pPr>
    <w:rPr>
      <w:rFonts w:asciiTheme="majorHAnsi" w:eastAsia="Calibri" w:hAnsiTheme="majorHAnsi" w:cstheme="minorBidi"/>
      <w:lang w:val="hu-HU" w:eastAsia="hu-HU"/>
    </w:rPr>
    <w:tblPr>
      <w:tblStyleRowBandSize w:val="1"/>
      <w:tblStyleColBandSize w:val="1"/>
      <w:tblBorders>
        <w:top w:val="single" w:sz="2" w:space="0" w:color="202653" w:themeColor="accent5"/>
        <w:left w:val="single" w:sz="2" w:space="0" w:color="202653" w:themeColor="accent5"/>
        <w:bottom w:val="single" w:sz="2" w:space="0" w:color="202653" w:themeColor="accent5"/>
        <w:right w:val="single" w:sz="2" w:space="0" w:color="202653" w:themeColor="accent5"/>
        <w:insideH w:val="single" w:sz="2" w:space="0" w:color="202653" w:themeColor="accent5"/>
        <w:insideV w:val="single" w:sz="2" w:space="0" w:color="202653" w:themeColor="accent5"/>
      </w:tblBorders>
      <w:tblCellMar>
        <w:top w:w="85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pPr>
        <w:jc w:val="left"/>
      </w:pPr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table" w:customStyle="1" w:styleId="tblzat-fejlces">
    <w:name w:val="táblázat - fejléces"/>
    <w:basedOn w:val="Normltblzat"/>
    <w:uiPriority w:val="1"/>
    <w:qFormat/>
    <w:rsid w:val="00222AED"/>
    <w:pPr>
      <w:contextualSpacing/>
    </w:pPr>
    <w:rPr>
      <w:rFonts w:asciiTheme="majorHAnsi" w:eastAsia="Calibri" w:hAnsiTheme="majorHAnsi" w:cstheme="minorBidi"/>
      <w:lang w:val="hu-HU" w:eastAsia="hu-HU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rPr>
        <w:rFonts w:asciiTheme="majorHAnsi" w:hAnsiTheme="majorHAnsi"/>
        <w:sz w:val="20"/>
      </w:rPr>
    </w:tblStylePr>
  </w:style>
  <w:style w:type="paragraph" w:styleId="Listaszerbekezds">
    <w:name w:val="List Paragraph"/>
    <w:basedOn w:val="Norml"/>
    <w:link w:val="ListaszerbekezdsChar"/>
    <w:uiPriority w:val="4"/>
    <w:qFormat/>
    <w:rsid w:val="00222AED"/>
    <w:pPr>
      <w:numPr>
        <w:numId w:val="7"/>
      </w:numPr>
      <w:contextualSpacing/>
    </w:pPr>
  </w:style>
  <w:style w:type="character" w:styleId="Hiperhivatkozs">
    <w:name w:val="Hyperlink"/>
    <w:basedOn w:val="Vgjegyzet-hivatkozs"/>
    <w:uiPriority w:val="99"/>
    <w:rsid w:val="00222AED"/>
    <w:rPr>
      <w:rFonts w:ascii="Calibri" w:hAnsi="Calibri"/>
      <w:color w:val="0000FF"/>
      <w:sz w:val="20"/>
      <w:u w:val="single"/>
      <w:vertAlign w:val="superscript"/>
    </w:rPr>
  </w:style>
  <w:style w:type="table" w:customStyle="1" w:styleId="tblzat-oldallces">
    <w:name w:val="táblázat - oldalléces"/>
    <w:basedOn w:val="Normltblzat"/>
    <w:uiPriority w:val="3"/>
    <w:qFormat/>
    <w:rsid w:val="00222AED"/>
    <w:pPr>
      <w:contextualSpacing/>
    </w:pPr>
    <w:rPr>
      <w:rFonts w:asciiTheme="majorHAnsi" w:eastAsia="Calibri" w:hAnsiTheme="majorHAnsi" w:cstheme="minorBidi"/>
      <w:lang w:val="hu-HU" w:eastAsia="hu-HU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</w:tblStylePr>
    <w:tblStylePr w:type="firstCol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character" w:styleId="Vgjegyzet-hivatkozs">
    <w:name w:val="endnote reference"/>
    <w:basedOn w:val="Bekezdsalapbettpusa"/>
    <w:semiHidden/>
    <w:rsid w:val="00222AED"/>
    <w:rPr>
      <w:vertAlign w:val="superscript"/>
    </w:rPr>
  </w:style>
  <w:style w:type="paragraph" w:customStyle="1" w:styleId="Magyarzszveg">
    <w:name w:val="Magyarázó szöveg"/>
    <w:basedOn w:val="Norml"/>
    <w:next w:val="Norml"/>
    <w:uiPriority w:val="7"/>
    <w:rsid w:val="00222AED"/>
    <w:rPr>
      <w:color w:val="202653" w:themeColor="accent5"/>
      <w:sz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2AED"/>
    <w:rPr>
      <w:rFonts w:ascii="Tahoma" w:eastAsiaTheme="minorHAnsi" w:hAnsi="Tahoma" w:cs="Tahoma"/>
      <w:sz w:val="16"/>
      <w:szCs w:val="16"/>
      <w:lang w:val="hu-HU" w:eastAsia="hu-HU"/>
    </w:rPr>
  </w:style>
  <w:style w:type="character" w:customStyle="1" w:styleId="lfejChar">
    <w:name w:val="Élőfej Char"/>
    <w:basedOn w:val="Bekezdsalapbettpusa"/>
    <w:link w:val="lfej"/>
    <w:uiPriority w:val="99"/>
    <w:rsid w:val="00222AED"/>
    <w:rPr>
      <w:rFonts w:ascii="Calibri" w:eastAsiaTheme="minorHAnsi" w:hAnsi="Calibri" w:cstheme="minorBidi"/>
      <w:lang w:val="hu-HU" w:eastAsia="hu-HU"/>
    </w:rPr>
  </w:style>
  <w:style w:type="paragraph" w:customStyle="1" w:styleId="Szmozs">
    <w:name w:val="Számozás"/>
    <w:basedOn w:val="Norml"/>
    <w:uiPriority w:val="4"/>
    <w:qFormat/>
    <w:rsid w:val="00222AED"/>
    <w:pPr>
      <w:numPr>
        <w:numId w:val="4"/>
      </w:numPr>
      <w:spacing w:before="120"/>
      <w:contextualSpacing/>
    </w:pPr>
  </w:style>
  <w:style w:type="character" w:customStyle="1" w:styleId="Cmsor1Char">
    <w:name w:val="Címsor 1 Char"/>
    <w:basedOn w:val="Bekezdsalapbettpusa"/>
    <w:link w:val="Cmsor1"/>
    <w:rsid w:val="00222AED"/>
    <w:rPr>
      <w:rFonts w:ascii="Calibri" w:eastAsiaTheme="majorEastAsia" w:hAnsi="Calibri" w:cstheme="majorBidi"/>
      <w:b/>
      <w:bCs/>
      <w:caps/>
      <w:color w:val="898D8D" w:themeColor="text2"/>
      <w:sz w:val="24"/>
      <w:szCs w:val="42"/>
      <w:lang w:val="hu-HU" w:eastAsia="hu-HU"/>
    </w:rPr>
  </w:style>
  <w:style w:type="character" w:customStyle="1" w:styleId="Cmsor2Char">
    <w:name w:val="Címsor 2 Char"/>
    <w:basedOn w:val="Bekezdsalapbettpusa"/>
    <w:link w:val="Cmsor2"/>
    <w:rsid w:val="00222AED"/>
    <w:rPr>
      <w:rFonts w:ascii="Calibri" w:eastAsiaTheme="minorHAnsi" w:hAnsi="Calibri" w:cstheme="minorBidi"/>
      <w:b/>
      <w:color w:val="898D8D" w:themeColor="text2"/>
      <w:sz w:val="24"/>
      <w:szCs w:val="38"/>
      <w:lang w:val="hu-HU" w:eastAsia="hu-HU"/>
    </w:rPr>
  </w:style>
  <w:style w:type="character" w:customStyle="1" w:styleId="Cmsor3Char">
    <w:name w:val="Címsor 3 Char"/>
    <w:basedOn w:val="Bekezdsalapbettpusa"/>
    <w:link w:val="Cmsor3"/>
    <w:rsid w:val="00222AED"/>
    <w:rPr>
      <w:rFonts w:ascii="Calibri" w:eastAsiaTheme="minorHAnsi" w:hAnsi="Calibri" w:cstheme="minorBidi"/>
      <w:bCs/>
      <w:color w:val="898D8D" w:themeColor="text2"/>
      <w:szCs w:val="34"/>
      <w:lang w:val="hu-HU" w:eastAsia="hu-HU"/>
    </w:rPr>
  </w:style>
  <w:style w:type="paragraph" w:styleId="Cm">
    <w:name w:val="Title"/>
    <w:basedOn w:val="Norml"/>
    <w:next w:val="Norml"/>
    <w:link w:val="CmChar"/>
    <w:uiPriority w:val="3"/>
    <w:qFormat/>
    <w:rsid w:val="00222AED"/>
    <w:pPr>
      <w:spacing w:after="300"/>
      <w:contextualSpacing/>
    </w:pPr>
    <w:rPr>
      <w:rFonts w:eastAsiaTheme="majorEastAsia" w:cstheme="majorBidi"/>
      <w:caps/>
      <w:color w:val="898D8D" w:themeColor="text2"/>
      <w:spacing w:val="5"/>
      <w:kern w:val="28"/>
      <w:sz w:val="24"/>
      <w:szCs w:val="52"/>
    </w:rPr>
  </w:style>
  <w:style w:type="character" w:customStyle="1" w:styleId="CmChar">
    <w:name w:val="Cím Char"/>
    <w:basedOn w:val="Bekezdsalapbettpusa"/>
    <w:link w:val="Cm"/>
    <w:uiPriority w:val="3"/>
    <w:rsid w:val="00222AED"/>
    <w:rPr>
      <w:rFonts w:ascii="Calibri" w:eastAsiaTheme="majorEastAsia" w:hAnsi="Calibri" w:cstheme="majorBidi"/>
      <w:caps/>
      <w:color w:val="898D8D" w:themeColor="text2"/>
      <w:spacing w:val="5"/>
      <w:kern w:val="28"/>
      <w:sz w:val="24"/>
      <w:szCs w:val="52"/>
      <w:lang w:val="hu-HU" w:eastAsia="hu-HU"/>
    </w:rPr>
  </w:style>
  <w:style w:type="numbering" w:customStyle="1" w:styleId="Style1">
    <w:name w:val="Style1"/>
    <w:uiPriority w:val="99"/>
    <w:rsid w:val="00222AED"/>
    <w:pPr>
      <w:numPr>
        <w:numId w:val="1"/>
      </w:numPr>
    </w:pPr>
  </w:style>
  <w:style w:type="paragraph" w:styleId="TJ7">
    <w:name w:val="toc 7"/>
    <w:basedOn w:val="Norml"/>
    <w:next w:val="Norml"/>
    <w:autoRedefine/>
    <w:uiPriority w:val="99"/>
    <w:semiHidden/>
    <w:rsid w:val="00222AED"/>
    <w:pPr>
      <w:spacing w:after="100"/>
      <w:ind w:left="1200"/>
    </w:pPr>
    <w:rPr>
      <w:color w:val="295A7E" w:themeColor="accent6" w:themeShade="80"/>
    </w:rPr>
  </w:style>
  <w:style w:type="paragraph" w:styleId="TJ8">
    <w:name w:val="toc 8"/>
    <w:basedOn w:val="Norml"/>
    <w:next w:val="Norml"/>
    <w:autoRedefine/>
    <w:uiPriority w:val="99"/>
    <w:semiHidden/>
    <w:rsid w:val="00222AED"/>
    <w:pPr>
      <w:spacing w:after="100"/>
      <w:ind w:left="1400"/>
    </w:pPr>
    <w:rPr>
      <w:color w:val="295A7E" w:themeColor="accent6" w:themeShade="80"/>
    </w:rPr>
  </w:style>
  <w:style w:type="paragraph" w:styleId="TJ9">
    <w:name w:val="toc 9"/>
    <w:basedOn w:val="Norml"/>
    <w:next w:val="Norml"/>
    <w:autoRedefine/>
    <w:uiPriority w:val="99"/>
    <w:semiHidden/>
    <w:rsid w:val="00222AED"/>
    <w:pPr>
      <w:spacing w:after="100"/>
      <w:ind w:left="1600"/>
    </w:pPr>
    <w:rPr>
      <w:color w:val="295A7E" w:themeColor="accent6" w:themeShade="80"/>
    </w:rPr>
  </w:style>
  <w:style w:type="table" w:customStyle="1" w:styleId="Calendar2">
    <w:name w:val="Calendar 2"/>
    <w:basedOn w:val="Normltblzat"/>
    <w:uiPriority w:val="99"/>
    <w:qFormat/>
    <w:rsid w:val="00222AED"/>
    <w:pPr>
      <w:jc w:val="center"/>
    </w:pPr>
    <w:rPr>
      <w:rFonts w:ascii="Calibri" w:eastAsiaTheme="minorEastAsia" w:hAnsi="Calibri" w:cstheme="minorBidi"/>
      <w:szCs w:val="28"/>
      <w:lang w:bidi="en-US"/>
    </w:rPr>
    <w:tblPr>
      <w:tblBorders>
        <w:insideV w:val="single" w:sz="4" w:space="0" w:color="D7A851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7E5C1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LbjegyzetszvegChar">
    <w:name w:val="Lábjegyzetszöveg Char"/>
    <w:basedOn w:val="Bekezdsalapbettpusa"/>
    <w:link w:val="Lbjegyzetszveg"/>
    <w:uiPriority w:val="99"/>
    <w:rsid w:val="00222AED"/>
    <w:rPr>
      <w:rFonts w:ascii="Calibri" w:eastAsiaTheme="minorEastAsia" w:hAnsi="Calibri" w:cstheme="minorBidi"/>
      <w:color w:val="898D8D" w:themeColor="text2"/>
      <w:sz w:val="16"/>
      <w:lang w:val="hu-HU" w:eastAsia="hu-HU"/>
    </w:rPr>
  </w:style>
  <w:style w:type="character" w:styleId="Finomkiemels">
    <w:name w:val="Subtle Emphasis"/>
    <w:basedOn w:val="Bekezdsalapbettpusa"/>
    <w:uiPriority w:val="19"/>
    <w:qFormat/>
    <w:rsid w:val="00222AED"/>
    <w:rPr>
      <w:rFonts w:ascii="Calibri" w:eastAsiaTheme="minorEastAsia" w:hAnsi="Calibri" w:cstheme="minorBidi"/>
      <w:bCs w:val="0"/>
      <w:i/>
      <w:iCs/>
      <w:color w:val="808080" w:themeColor="text1" w:themeTint="7F"/>
      <w:sz w:val="20"/>
      <w:szCs w:val="22"/>
      <w:lang w:val="hu-HU"/>
    </w:rPr>
  </w:style>
  <w:style w:type="table" w:customStyle="1" w:styleId="LightShading-Accent11">
    <w:name w:val="Light Shading - Accent 11"/>
    <w:basedOn w:val="Normltblzat"/>
    <w:uiPriority w:val="60"/>
    <w:rsid w:val="00222AED"/>
    <w:rPr>
      <w:rFonts w:ascii="Calibri" w:eastAsiaTheme="minorEastAsia" w:hAnsi="Calibri" w:cstheme="minorBidi"/>
      <w:color w:val="5E4415" w:themeColor="accent1" w:themeShade="BF"/>
      <w:lang w:val="hu-HU"/>
    </w:rPr>
    <w:tblPr>
      <w:tblStyleRowBandSize w:val="1"/>
      <w:tblStyleColBandSize w:val="1"/>
      <w:tblBorders>
        <w:top w:val="single" w:sz="8" w:space="0" w:color="7E5C1D" w:themeColor="accent1"/>
        <w:bottom w:val="single" w:sz="8" w:space="0" w:color="7E5C1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styleId="Kpalrs">
    <w:name w:val="caption"/>
    <w:basedOn w:val="Norml"/>
    <w:next w:val="Norml"/>
    <w:uiPriority w:val="35"/>
    <w:unhideWhenUsed/>
    <w:qFormat/>
    <w:rsid w:val="00222AED"/>
    <w:pPr>
      <w:spacing w:after="200"/>
      <w:jc w:val="left"/>
    </w:pPr>
    <w:rPr>
      <w:b/>
      <w:bCs/>
      <w:color w:val="808080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222AED"/>
    <w:rPr>
      <w:color w:val="295A7E" w:themeColor="accent6" w:themeShade="8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222AED"/>
    <w:rPr>
      <w:rFonts w:ascii="Calibri" w:eastAsiaTheme="minorHAnsi" w:hAnsi="Calibri" w:cstheme="minorBidi"/>
      <w:color w:val="295A7E" w:themeColor="accent6" w:themeShade="80"/>
      <w:lang w:val="hu-HU" w:eastAsia="hu-HU"/>
    </w:rPr>
  </w:style>
  <w:style w:type="table" w:customStyle="1" w:styleId="Vilgosrnykols1jellszn1">
    <w:name w:val="Világos árnyékolás – 1. jelölőszín1"/>
    <w:basedOn w:val="Normltblzat"/>
    <w:uiPriority w:val="60"/>
    <w:rsid w:val="00222AED"/>
    <w:rPr>
      <w:rFonts w:ascii="Calibri" w:eastAsiaTheme="minorHAnsi" w:hAnsi="Calibri" w:cstheme="minorBidi"/>
      <w:color w:val="5E4415" w:themeColor="accent1" w:themeShade="BF"/>
      <w:lang w:val="hu-HU" w:eastAsia="hu-HU"/>
    </w:rPr>
    <w:tblPr>
      <w:tblStyleRowBandSize w:val="1"/>
      <w:tblStyleColBandSize w:val="1"/>
      <w:tblBorders>
        <w:top w:val="single" w:sz="8" w:space="0" w:color="7E5C1D" w:themeColor="accent1"/>
        <w:bottom w:val="single" w:sz="8" w:space="0" w:color="7E5C1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customStyle="1" w:styleId="Listaszerbekezds2">
    <w:name w:val="Listaszerű bekezdés 2"/>
    <w:basedOn w:val="Listaszerbekezds"/>
    <w:link w:val="Listaszerbekezds2Char"/>
    <w:uiPriority w:val="4"/>
    <w:qFormat/>
    <w:rsid w:val="00222AED"/>
    <w:pPr>
      <w:numPr>
        <w:numId w:val="8"/>
      </w:numPr>
    </w:pPr>
  </w:style>
  <w:style w:type="paragraph" w:customStyle="1" w:styleId="Tblaszvegstlus">
    <w:name w:val="Tábla szöveg stílus"/>
    <w:basedOn w:val="Norml"/>
    <w:link w:val="TblaszvegstlusChar"/>
    <w:uiPriority w:val="8"/>
    <w:qFormat/>
    <w:rsid w:val="00222AED"/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222AED"/>
    <w:rPr>
      <w:rFonts w:ascii="Calibri" w:eastAsiaTheme="minorHAnsi" w:hAnsi="Calibri" w:cstheme="minorBidi"/>
      <w:lang w:val="hu-HU" w:eastAsia="hu-HU"/>
    </w:rPr>
  </w:style>
  <w:style w:type="character" w:customStyle="1" w:styleId="Listaszerbekezds2Char">
    <w:name w:val="Listaszerű bekezdés 2 Char"/>
    <w:basedOn w:val="ListaszerbekezdsChar"/>
    <w:link w:val="Listaszerbekezds2"/>
    <w:uiPriority w:val="4"/>
    <w:rsid w:val="00222AED"/>
    <w:rPr>
      <w:rFonts w:ascii="Calibri" w:eastAsiaTheme="minorHAnsi" w:hAnsi="Calibri" w:cstheme="minorBidi"/>
      <w:lang w:val="hu-HU" w:eastAsia="hu-HU"/>
    </w:rPr>
  </w:style>
  <w:style w:type="character" w:customStyle="1" w:styleId="TblaszvegstlusChar">
    <w:name w:val="Tábla szöveg stílus Char"/>
    <w:basedOn w:val="Bekezdsalapbettpusa"/>
    <w:link w:val="Tblaszvegstlus"/>
    <w:uiPriority w:val="8"/>
    <w:rsid w:val="00222AED"/>
    <w:rPr>
      <w:rFonts w:ascii="Calibri" w:eastAsiaTheme="minorHAnsi" w:hAnsi="Calibri" w:cstheme="minorBidi"/>
      <w:lang w:val="hu-HU" w:eastAsia="hu-HU"/>
    </w:rPr>
  </w:style>
  <w:style w:type="character" w:styleId="Finomhivatkozs">
    <w:name w:val="Subtle Reference"/>
    <w:basedOn w:val="Bekezdsalapbettpusa"/>
    <w:uiPriority w:val="31"/>
    <w:rsid w:val="00222AED"/>
    <w:rPr>
      <w:sz w:val="24"/>
      <w:szCs w:val="24"/>
      <w:u w:val="single"/>
    </w:rPr>
  </w:style>
  <w:style w:type="character" w:styleId="Ershivatkozs">
    <w:name w:val="Intense Reference"/>
    <w:basedOn w:val="Bekezdsalapbettpusa"/>
    <w:uiPriority w:val="32"/>
    <w:rsid w:val="00222AED"/>
    <w:rPr>
      <w:b/>
      <w:sz w:val="24"/>
      <w:u w:val="single"/>
    </w:rPr>
  </w:style>
  <w:style w:type="paragraph" w:customStyle="1" w:styleId="Listaszerbekezds2szint">
    <w:name w:val="Listaszerű bekezdés 2. szint"/>
    <w:basedOn w:val="Listaszerbekezds"/>
    <w:link w:val="Listaszerbekezds2szintChar"/>
    <w:uiPriority w:val="4"/>
    <w:qFormat/>
    <w:rsid w:val="00222AED"/>
    <w:pPr>
      <w:numPr>
        <w:numId w:val="6"/>
      </w:numPr>
    </w:pPr>
  </w:style>
  <w:style w:type="paragraph" w:customStyle="1" w:styleId="Listaszerbekezds3szint">
    <w:name w:val="Listaszerű bekezdés 3. szint"/>
    <w:basedOn w:val="Listaszerbekezds"/>
    <w:link w:val="Listaszerbekezds3szintChar"/>
    <w:uiPriority w:val="4"/>
    <w:qFormat/>
    <w:rsid w:val="00222AED"/>
    <w:pPr>
      <w:numPr>
        <w:ilvl w:val="2"/>
        <w:numId w:val="9"/>
      </w:numPr>
    </w:pPr>
  </w:style>
  <w:style w:type="character" w:customStyle="1" w:styleId="Listaszerbekezds2szintChar">
    <w:name w:val="Listaszerű bekezdés 2. szint Char"/>
    <w:basedOn w:val="ListaszerbekezdsChar"/>
    <w:link w:val="Listaszerbekezds2szint"/>
    <w:uiPriority w:val="4"/>
    <w:rsid w:val="00222AED"/>
    <w:rPr>
      <w:rFonts w:ascii="Calibri" w:eastAsiaTheme="minorHAnsi" w:hAnsi="Calibri" w:cstheme="minorBidi"/>
      <w:lang w:val="hu-HU" w:eastAsia="hu-HU"/>
    </w:rPr>
  </w:style>
  <w:style w:type="character" w:customStyle="1" w:styleId="Listaszerbekezds3szintChar">
    <w:name w:val="Listaszerű bekezdés 3. szint Char"/>
    <w:basedOn w:val="ListaszerbekezdsChar"/>
    <w:link w:val="Listaszerbekezds3szint"/>
    <w:uiPriority w:val="4"/>
    <w:rsid w:val="00222AED"/>
    <w:rPr>
      <w:rFonts w:ascii="Calibri" w:eastAsiaTheme="minorHAnsi" w:hAnsi="Calibri" w:cstheme="minorBidi"/>
      <w:lang w:val="hu-HU" w:eastAsia="hu-HU"/>
    </w:rPr>
  </w:style>
  <w:style w:type="paragraph" w:styleId="Alcm">
    <w:name w:val="Subtitle"/>
    <w:basedOn w:val="Norml"/>
    <w:next w:val="Norml"/>
    <w:link w:val="AlcmChar"/>
    <w:uiPriority w:val="11"/>
    <w:rsid w:val="00222AED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AlcmChar">
    <w:name w:val="Alcím Char"/>
    <w:basedOn w:val="Bekezdsalapbettpusa"/>
    <w:link w:val="Alcm"/>
    <w:uiPriority w:val="11"/>
    <w:rsid w:val="00222AED"/>
    <w:rPr>
      <w:rFonts w:ascii="Calibri" w:eastAsiaTheme="majorEastAsia" w:hAnsi="Calibri" w:cstheme="majorBidi"/>
      <w:lang w:val="hu-HU" w:eastAsia="hu-HU"/>
    </w:rPr>
  </w:style>
  <w:style w:type="paragraph" w:customStyle="1" w:styleId="Listabetvel">
    <w:name w:val="Lista betűvel"/>
    <w:basedOn w:val="Listaszerbekezds"/>
    <w:link w:val="ListabetvelChar"/>
    <w:uiPriority w:val="4"/>
    <w:qFormat/>
    <w:rsid w:val="00222AED"/>
    <w:pPr>
      <w:numPr>
        <w:numId w:val="5"/>
      </w:numPr>
    </w:pPr>
  </w:style>
  <w:style w:type="character" w:customStyle="1" w:styleId="ListabetvelChar">
    <w:name w:val="Lista betűvel Char"/>
    <w:basedOn w:val="ListaszerbekezdsChar"/>
    <w:link w:val="Listabetvel"/>
    <w:uiPriority w:val="4"/>
    <w:rsid w:val="00222AED"/>
    <w:rPr>
      <w:rFonts w:ascii="Calibri" w:eastAsiaTheme="minorHAnsi" w:hAnsi="Calibri" w:cstheme="minorBidi"/>
      <w:lang w:val="hu-HU" w:eastAsia="hu-HU"/>
    </w:rPr>
  </w:style>
  <w:style w:type="paragraph" w:customStyle="1" w:styleId="Erskiemels1">
    <w:name w:val="Erős kiemelés1"/>
    <w:basedOn w:val="Norml"/>
    <w:link w:val="ErskiemelsChar"/>
    <w:uiPriority w:val="5"/>
    <w:qFormat/>
    <w:rsid w:val="00222AED"/>
    <w:rPr>
      <w:b/>
      <w:i/>
    </w:rPr>
  </w:style>
  <w:style w:type="character" w:customStyle="1" w:styleId="ErskiemelsChar">
    <w:name w:val="Erős kiemelés Char"/>
    <w:basedOn w:val="Bekezdsalapbettpusa"/>
    <w:link w:val="Erskiemels1"/>
    <w:uiPriority w:val="5"/>
    <w:rsid w:val="00222AED"/>
    <w:rPr>
      <w:rFonts w:ascii="Calibri" w:eastAsiaTheme="minorHAnsi" w:hAnsi="Calibri" w:cstheme="minorBidi"/>
      <w:b/>
      <w:i/>
      <w:lang w:val="hu-HU" w:eastAsia="hu-HU"/>
    </w:rPr>
  </w:style>
  <w:style w:type="paragraph" w:customStyle="1" w:styleId="Bold">
    <w:name w:val="Bold"/>
    <w:basedOn w:val="Norml"/>
    <w:link w:val="BoldChar"/>
    <w:uiPriority w:val="6"/>
    <w:qFormat/>
    <w:rsid w:val="00222AED"/>
    <w:rPr>
      <w:b/>
    </w:rPr>
  </w:style>
  <w:style w:type="character" w:customStyle="1" w:styleId="BoldChar">
    <w:name w:val="Bold Char"/>
    <w:basedOn w:val="Bekezdsalapbettpusa"/>
    <w:link w:val="Bold"/>
    <w:uiPriority w:val="6"/>
    <w:rsid w:val="00222AED"/>
    <w:rPr>
      <w:rFonts w:ascii="Calibri" w:eastAsiaTheme="minorHAnsi" w:hAnsi="Calibri" w:cstheme="minorBidi"/>
      <w:b/>
      <w:lang w:val="hu-HU"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222AED"/>
    <w:rPr>
      <w:color w:val="7BAFD4" w:themeColor="followedHyperlink"/>
      <w:u w:val="singl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222AED"/>
    <w:pPr>
      <w:numPr>
        <w:numId w:val="0"/>
      </w:numPr>
      <w:spacing w:after="0"/>
      <w:outlineLvl w:val="9"/>
    </w:pPr>
    <w:rPr>
      <w:b w:val="0"/>
      <w:caps w:val="0"/>
      <w:szCs w:val="28"/>
    </w:rPr>
  </w:style>
  <w:style w:type="paragraph" w:styleId="TJ2">
    <w:name w:val="toc 2"/>
    <w:basedOn w:val="Norml"/>
    <w:next w:val="Norml"/>
    <w:autoRedefine/>
    <w:uiPriority w:val="39"/>
    <w:unhideWhenUsed/>
    <w:qFormat/>
    <w:rsid w:val="00222AED"/>
    <w:pPr>
      <w:spacing w:after="100"/>
      <w:ind w:left="220"/>
      <w:jc w:val="left"/>
    </w:pPr>
    <w:rPr>
      <w:rFonts w:eastAsiaTheme="minorEastAsia"/>
    </w:rPr>
  </w:style>
  <w:style w:type="paragraph" w:styleId="TJ1">
    <w:name w:val="toc 1"/>
    <w:basedOn w:val="Norml"/>
    <w:next w:val="Norml"/>
    <w:autoRedefine/>
    <w:uiPriority w:val="39"/>
    <w:unhideWhenUsed/>
    <w:qFormat/>
    <w:rsid w:val="00222AED"/>
    <w:pPr>
      <w:spacing w:after="100"/>
      <w:jc w:val="left"/>
    </w:pPr>
    <w:rPr>
      <w:rFonts w:eastAsiaTheme="minorEastAsia"/>
    </w:rPr>
  </w:style>
  <w:style w:type="paragraph" w:styleId="TJ3">
    <w:name w:val="toc 3"/>
    <w:basedOn w:val="Norml"/>
    <w:next w:val="Norml"/>
    <w:uiPriority w:val="39"/>
    <w:unhideWhenUsed/>
    <w:qFormat/>
    <w:rsid w:val="00222AED"/>
    <w:pPr>
      <w:spacing w:after="100"/>
      <w:ind w:left="400"/>
    </w:pPr>
  </w:style>
  <w:style w:type="paragraph" w:customStyle="1" w:styleId="StyleTOC2Left015">
    <w:name w:val="Style TOC 2 + Left:  0.15&quot;"/>
    <w:basedOn w:val="TJ2"/>
    <w:rsid w:val="00222AED"/>
    <w:pPr>
      <w:ind w:left="216"/>
    </w:pPr>
    <w:rPr>
      <w:rFonts w:eastAsia="Times New Roman" w:cs="Times New Roman"/>
    </w:rPr>
  </w:style>
  <w:style w:type="paragraph" w:customStyle="1" w:styleId="StyleTOC3Left031">
    <w:name w:val="Style TOC 3 + Left:  0.31&quot;"/>
    <w:basedOn w:val="TJ3"/>
    <w:rsid w:val="00222AED"/>
    <w:pPr>
      <w:ind w:left="446"/>
    </w:pPr>
    <w:rPr>
      <w:rFonts w:eastAsia="Times New Roman" w:cs="Times New Roman"/>
    </w:rPr>
  </w:style>
  <w:style w:type="numbering" w:customStyle="1" w:styleId="Hierarchikuslista">
    <w:name w:val="Hierarchikus lista"/>
    <w:uiPriority w:val="99"/>
    <w:rsid w:val="00222AED"/>
    <w:pPr>
      <w:numPr>
        <w:numId w:val="2"/>
      </w:numPr>
    </w:pPr>
  </w:style>
  <w:style w:type="paragraph" w:customStyle="1" w:styleId="HierarchikusLista0">
    <w:name w:val="Hierarchikus Lista"/>
    <w:basedOn w:val="Listaszerbekezds"/>
    <w:link w:val="HierarchikusListaChar"/>
    <w:qFormat/>
    <w:rsid w:val="00222AED"/>
    <w:pPr>
      <w:numPr>
        <w:numId w:val="0"/>
      </w:numPr>
    </w:pPr>
  </w:style>
  <w:style w:type="character" w:customStyle="1" w:styleId="HierarchikusListaChar">
    <w:name w:val="Hierarchikus Lista Char"/>
    <w:basedOn w:val="ListaszerbekezdsChar"/>
    <w:link w:val="HierarchikusLista0"/>
    <w:rsid w:val="00222AED"/>
    <w:rPr>
      <w:rFonts w:ascii="Calibri" w:eastAsiaTheme="minorHAnsi" w:hAnsi="Calibri" w:cstheme="minorBidi"/>
      <w:lang w:val="hu-HU" w:eastAsia="hu-HU"/>
    </w:rPr>
  </w:style>
  <w:style w:type="character" w:styleId="Kiemels2">
    <w:name w:val="Strong"/>
    <w:basedOn w:val="Bekezdsalapbettpusa"/>
    <w:uiPriority w:val="22"/>
    <w:rsid w:val="00222AED"/>
    <w:rPr>
      <w:b/>
      <w:bCs/>
    </w:rPr>
  </w:style>
  <w:style w:type="character" w:styleId="Kiemels">
    <w:name w:val="Emphasis"/>
    <w:basedOn w:val="Bekezdsalapbettpusa"/>
    <w:uiPriority w:val="6"/>
    <w:qFormat/>
    <w:rsid w:val="00222AED"/>
    <w:rPr>
      <w:i/>
      <w:iCs/>
    </w:rPr>
  </w:style>
  <w:style w:type="paragraph" w:styleId="Nincstrkz">
    <w:name w:val="No Spacing"/>
    <w:basedOn w:val="Norml"/>
    <w:uiPriority w:val="1"/>
    <w:rsid w:val="00222AED"/>
    <w:rPr>
      <w:szCs w:val="32"/>
    </w:rPr>
  </w:style>
  <w:style w:type="paragraph" w:styleId="Idzet">
    <w:name w:val="Quote"/>
    <w:basedOn w:val="Norml"/>
    <w:next w:val="Norml"/>
    <w:link w:val="IdzetChar"/>
    <w:uiPriority w:val="29"/>
    <w:rsid w:val="00222AED"/>
    <w:rPr>
      <w:i/>
    </w:rPr>
  </w:style>
  <w:style w:type="character" w:customStyle="1" w:styleId="IdzetChar">
    <w:name w:val="Idézet Char"/>
    <w:basedOn w:val="Bekezdsalapbettpusa"/>
    <w:link w:val="Idzet"/>
    <w:uiPriority w:val="29"/>
    <w:rsid w:val="00222AED"/>
    <w:rPr>
      <w:rFonts w:ascii="Calibri" w:eastAsiaTheme="minorHAnsi" w:hAnsi="Calibri" w:cstheme="minorBidi"/>
      <w:i/>
      <w:lang w:val="hu-HU" w:eastAsia="hu-HU"/>
    </w:rPr>
  </w:style>
  <w:style w:type="paragraph" w:styleId="Kiemeltidzet">
    <w:name w:val="Intense Quote"/>
    <w:basedOn w:val="Norml"/>
    <w:next w:val="Norml"/>
    <w:link w:val="KiemeltidzetChar"/>
    <w:uiPriority w:val="30"/>
    <w:rsid w:val="00222AED"/>
    <w:pPr>
      <w:ind w:left="720" w:right="720"/>
    </w:pPr>
    <w:rPr>
      <w:b/>
      <w:i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22AED"/>
    <w:rPr>
      <w:rFonts w:ascii="Calibri" w:eastAsiaTheme="minorHAnsi" w:hAnsi="Calibri" w:cstheme="minorBidi"/>
      <w:b/>
      <w:i/>
      <w:lang w:val="hu-HU" w:eastAsia="hu-HU"/>
    </w:rPr>
  </w:style>
  <w:style w:type="character" w:styleId="Erskiemels">
    <w:name w:val="Intense Emphasis"/>
    <w:basedOn w:val="Bekezdsalapbettpusa"/>
    <w:uiPriority w:val="21"/>
    <w:rsid w:val="00222AED"/>
    <w:rPr>
      <w:b/>
      <w:i/>
      <w:sz w:val="24"/>
      <w:szCs w:val="24"/>
      <w:u w:val="single"/>
    </w:rPr>
  </w:style>
  <w:style w:type="character" w:styleId="Knyvcme">
    <w:name w:val="Book Title"/>
    <w:basedOn w:val="Bekezdsalapbettpusa"/>
    <w:uiPriority w:val="33"/>
    <w:rsid w:val="00222AED"/>
    <w:rPr>
      <w:rFonts w:ascii="Calibri" w:eastAsiaTheme="majorEastAsia" w:hAnsi="Calibri"/>
      <w:b/>
      <w:i/>
      <w:sz w:val="24"/>
      <w:szCs w:val="24"/>
    </w:rPr>
  </w:style>
  <w:style w:type="paragraph" w:customStyle="1" w:styleId="Szvegdobozstlus">
    <w:name w:val="Szövegdoboz stílus"/>
    <w:basedOn w:val="HierarchikusLista0"/>
    <w:qFormat/>
    <w:rsid w:val="00222AED"/>
    <w:rPr>
      <w:b/>
      <w:i/>
      <w:color w:val="009EE0"/>
    </w:rPr>
  </w:style>
  <w:style w:type="table" w:customStyle="1" w:styleId="Rcsos">
    <w:name w:val="Rácsos"/>
    <w:basedOn w:val="Normltblzat"/>
    <w:uiPriority w:val="99"/>
    <w:rsid w:val="00222AED"/>
    <w:rPr>
      <w:rFonts w:asciiTheme="majorHAnsi" w:eastAsiaTheme="minorHAnsi" w:hAnsiTheme="majorHAnsi" w:cstheme="minorBidi"/>
      <w:color w:val="202653" w:themeColor="accent5"/>
      <w:lang w:val="hu-HU" w:eastAsia="hu-HU"/>
    </w:rPr>
    <w:tblPr>
      <w:tblStyleRowBandSize w:val="1"/>
      <w:tblStyleColBandSize w:val="1"/>
      <w:tblBorders>
        <w:top w:val="single" w:sz="4" w:space="0" w:color="202653" w:themeColor="accent5"/>
        <w:left w:val="single" w:sz="4" w:space="0" w:color="202653" w:themeColor="accent5"/>
        <w:bottom w:val="single" w:sz="48" w:space="0" w:color="202653" w:themeColor="accent5"/>
        <w:right w:val="single" w:sz="4" w:space="0" w:color="202653" w:themeColor="accent5"/>
        <w:insideV w:val="single" w:sz="4" w:space="0" w:color="202653" w:themeColor="accent5"/>
      </w:tblBorders>
    </w:tblPr>
    <w:tcPr>
      <w:shd w:val="clear" w:color="auto" w:fill="auto"/>
      <w:tcMar>
        <w:top w:w="170" w:type="dxa"/>
      </w:tcMar>
      <w:vAlign w:val="center"/>
    </w:tcPr>
    <w:tblStylePr w:type="firstRow">
      <w:rPr>
        <w:rFonts w:asciiTheme="majorHAnsi" w:hAnsiTheme="majorHAnsi"/>
        <w:b w:val="0"/>
        <w:i w:val="0"/>
        <w:color w:val="202653" w:themeColor="accent5"/>
        <w:sz w:val="36"/>
      </w:rPr>
      <w:tblPr/>
      <w:tcPr>
        <w:tcBorders>
          <w:top w:val="single" w:sz="8" w:space="0" w:color="202653" w:themeColor="accent5"/>
          <w:left w:val="single" w:sz="8" w:space="0" w:color="202653" w:themeColor="accent5"/>
          <w:bottom w:val="single" w:sz="24" w:space="0" w:color="202653" w:themeColor="accent5"/>
          <w:right w:val="single" w:sz="8" w:space="0" w:color="202653" w:themeColor="accent5"/>
          <w:insideH w:val="nil"/>
          <w:insideV w:val="nil"/>
          <w:tl2br w:val="nil"/>
          <w:tr2bl w:val="nil"/>
        </w:tcBorders>
        <w:shd w:val="clear" w:color="auto" w:fill="AC9F70" w:themeFill="background2"/>
      </w:tcPr>
    </w:tblStylePr>
    <w:tblStylePr w:type="band2Horz">
      <w:tblPr/>
      <w:tcPr>
        <w:shd w:val="clear" w:color="auto" w:fill="CDC5A9" w:themeFill="background2" w:themeFillTint="99"/>
      </w:tcPr>
    </w:tblStylePr>
  </w:style>
  <w:style w:type="paragraph" w:customStyle="1" w:styleId="Default">
    <w:name w:val="Default"/>
    <w:rsid w:val="001E31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hu-HU"/>
    </w:rPr>
  </w:style>
  <w:style w:type="paragraph" w:customStyle="1" w:styleId="Alaprtelmezett">
    <w:name w:val="Alapértelmezett"/>
    <w:rsid w:val="000720A3"/>
    <w:pPr>
      <w:widowControl w:val="0"/>
      <w:tabs>
        <w:tab w:val="left" w:pos="709"/>
      </w:tabs>
      <w:suppressAutoHyphens/>
      <w:spacing w:after="160" w:line="259" w:lineRule="auto"/>
    </w:pPr>
    <w:rPr>
      <w:rFonts w:eastAsia="SimSun" w:cs="Mangal"/>
      <w:sz w:val="24"/>
      <w:szCs w:val="24"/>
      <w:lang w:val="hu-HU" w:eastAsia="zh-CN" w:bidi="hi-IN"/>
    </w:rPr>
  </w:style>
  <w:style w:type="paragraph" w:styleId="Szvegtrzs">
    <w:name w:val="Body Text"/>
    <w:basedOn w:val="Alaprtelmezett"/>
    <w:link w:val="SzvegtrzsChar"/>
    <w:rsid w:val="000720A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0720A3"/>
    <w:rPr>
      <w:rFonts w:eastAsia="SimSun" w:cs="Mangal"/>
      <w:sz w:val="24"/>
      <w:szCs w:val="24"/>
      <w:lang w:val="hu-HU" w:eastAsia="zh-CN" w:bidi="hi-IN"/>
    </w:rPr>
  </w:style>
  <w:style w:type="character" w:customStyle="1" w:styleId="JegyzetszvegChar">
    <w:name w:val="Jegyzetszöveg Char"/>
    <w:basedOn w:val="Bekezdsalapbettpusa"/>
    <w:link w:val="Jegyzetszveg"/>
    <w:rsid w:val="00346EBC"/>
    <w:rPr>
      <w:rFonts w:ascii="Calibri" w:eastAsiaTheme="minorHAnsi" w:hAnsi="Calibri" w:cstheme="minorBidi"/>
      <w:lang w:val="hu-HU" w:eastAsia="hu-HU"/>
    </w:rPr>
  </w:style>
  <w:style w:type="paragraph" w:customStyle="1" w:styleId="ENBoxtitle">
    <w:name w:val="EN_Box_title"/>
    <w:basedOn w:val="Norml"/>
    <w:next w:val="Norml"/>
    <w:uiPriority w:val="1"/>
    <w:qFormat/>
    <w:rsid w:val="00222AED"/>
    <w:pPr>
      <w:keepNext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8CDCFF"/>
      <w:spacing w:after="40"/>
    </w:pPr>
    <w:rPr>
      <w:b/>
      <w:bCs/>
      <w:szCs w:val="18"/>
    </w:rPr>
  </w:style>
  <w:style w:type="paragraph" w:customStyle="1" w:styleId="ENCaption1Col">
    <w:name w:val="EN_Caption_1Col"/>
    <w:basedOn w:val="Norml"/>
    <w:next w:val="Norml"/>
    <w:uiPriority w:val="1"/>
    <w:qFormat/>
    <w:rsid w:val="00222AED"/>
    <w:pPr>
      <w:keepNext/>
      <w:spacing w:after="40"/>
      <w:jc w:val="center"/>
    </w:pPr>
    <w:rPr>
      <w:b/>
      <w:bCs/>
      <w:color w:val="808080"/>
      <w:szCs w:val="18"/>
    </w:rPr>
  </w:style>
  <w:style w:type="paragraph" w:customStyle="1" w:styleId="ENCaption2Col">
    <w:name w:val="EN_Caption_2Col"/>
    <w:basedOn w:val="Norml"/>
    <w:next w:val="Norml"/>
    <w:uiPriority w:val="1"/>
    <w:qFormat/>
    <w:rsid w:val="00222AED"/>
    <w:pPr>
      <w:keepNext/>
      <w:spacing w:after="40"/>
      <w:jc w:val="left"/>
    </w:pPr>
    <w:rPr>
      <w:b/>
      <w:bCs/>
      <w:color w:val="808080"/>
      <w:szCs w:val="18"/>
    </w:rPr>
  </w:style>
  <w:style w:type="paragraph" w:customStyle="1" w:styleId="ENCaptionBox">
    <w:name w:val="EN_Caption_Box"/>
    <w:basedOn w:val="Norml"/>
    <w:next w:val="Norml"/>
    <w:uiPriority w:val="1"/>
    <w:qFormat/>
    <w:rsid w:val="00222AED"/>
    <w:pPr>
      <w:keepNext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  <w:spacing w:after="40"/>
      <w:jc w:val="center"/>
    </w:pPr>
    <w:rPr>
      <w:b/>
      <w:bCs/>
      <w:color w:val="808080"/>
      <w:szCs w:val="18"/>
    </w:rPr>
  </w:style>
  <w:style w:type="paragraph" w:customStyle="1" w:styleId="ENChapterTitle">
    <w:name w:val="EN_Chapter_Title"/>
    <w:basedOn w:val="Norml"/>
    <w:next w:val="Norml"/>
    <w:uiPriority w:val="1"/>
    <w:rsid w:val="00222AED"/>
    <w:pPr>
      <w:keepNext/>
      <w:pageBreakBefore/>
      <w:numPr>
        <w:numId w:val="1"/>
      </w:numPr>
      <w:spacing w:before="480" w:after="210"/>
      <w:ind w:left="227" w:hanging="227"/>
      <w:jc w:val="left"/>
      <w:outlineLvl w:val="0"/>
    </w:pPr>
    <w:rPr>
      <w:rFonts w:eastAsiaTheme="majorEastAsia" w:cstheme="majorBidi"/>
      <w:bCs/>
      <w:color w:val="0C2148"/>
      <w:sz w:val="52"/>
      <w:szCs w:val="42"/>
    </w:rPr>
  </w:style>
  <w:style w:type="paragraph" w:customStyle="1" w:styleId="ENChapterWithoutNumbering">
    <w:name w:val="EN_Chapter_Without_Numbering"/>
    <w:basedOn w:val="Norml"/>
    <w:next w:val="Norml"/>
    <w:uiPriority w:val="1"/>
    <w:qFormat/>
    <w:rsid w:val="00222AED"/>
    <w:pPr>
      <w:keepNext/>
      <w:pageBreakBefore/>
      <w:spacing w:before="480" w:after="210"/>
      <w:ind w:left="227" w:hanging="227"/>
    </w:pPr>
    <w:rPr>
      <w:caps/>
      <w:color w:val="898D8D" w:themeColor="text2"/>
    </w:rPr>
  </w:style>
  <w:style w:type="paragraph" w:customStyle="1" w:styleId="ENFootnote">
    <w:name w:val="EN_Footnote"/>
    <w:basedOn w:val="Norml"/>
    <w:uiPriority w:val="1"/>
    <w:qFormat/>
    <w:rsid w:val="00222AED"/>
    <w:rPr>
      <w:rFonts w:eastAsiaTheme="minorEastAsia"/>
      <w:color w:val="808080"/>
      <w:sz w:val="18"/>
    </w:rPr>
  </w:style>
  <w:style w:type="paragraph" w:customStyle="1" w:styleId="ENNormal">
    <w:name w:val="EN_Normal"/>
    <w:basedOn w:val="Norml"/>
    <w:uiPriority w:val="1"/>
    <w:qFormat/>
    <w:rsid w:val="00222AED"/>
  </w:style>
  <w:style w:type="paragraph" w:customStyle="1" w:styleId="ENNormalBox">
    <w:name w:val="EN_Normal_Box"/>
    <w:basedOn w:val="Norml"/>
    <w:uiPriority w:val="1"/>
    <w:qFormat/>
    <w:rsid w:val="00222AED"/>
    <w:pPr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</w:pPr>
  </w:style>
  <w:style w:type="paragraph" w:customStyle="1" w:styleId="ENNote1Col">
    <w:name w:val="EN_Note_1Col"/>
    <w:basedOn w:val="Norml"/>
    <w:next w:val="ENNormal"/>
    <w:uiPriority w:val="1"/>
    <w:qFormat/>
    <w:rsid w:val="00222AED"/>
    <w:pPr>
      <w:keepLines/>
      <w:jc w:val="center"/>
    </w:pPr>
    <w:rPr>
      <w:color w:val="808080"/>
      <w:sz w:val="18"/>
    </w:rPr>
  </w:style>
  <w:style w:type="paragraph" w:customStyle="1" w:styleId="ENNote2Col">
    <w:name w:val="EN_Note_2Col"/>
    <w:basedOn w:val="Norml"/>
    <w:next w:val="ENNormal"/>
    <w:uiPriority w:val="1"/>
    <w:qFormat/>
    <w:rsid w:val="00222AED"/>
    <w:pPr>
      <w:keepLines/>
    </w:pPr>
    <w:rPr>
      <w:color w:val="808080"/>
      <w:sz w:val="18"/>
    </w:rPr>
  </w:style>
  <w:style w:type="paragraph" w:customStyle="1" w:styleId="ENNoteBox">
    <w:name w:val="EN_Note_Box"/>
    <w:basedOn w:val="Norml"/>
    <w:next w:val="ENNormalBox"/>
    <w:uiPriority w:val="1"/>
    <w:qFormat/>
    <w:rsid w:val="00222AED"/>
    <w:pPr>
      <w:keepLines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  <w:jc w:val="center"/>
    </w:pPr>
    <w:rPr>
      <w:color w:val="808080"/>
      <w:sz w:val="18"/>
    </w:rPr>
  </w:style>
  <w:style w:type="paragraph" w:customStyle="1" w:styleId="ENSectionTitle">
    <w:name w:val="EN_Section_Title"/>
    <w:basedOn w:val="Norml"/>
    <w:next w:val="ENNormal"/>
    <w:uiPriority w:val="1"/>
    <w:rsid w:val="00222AED"/>
    <w:pPr>
      <w:keepNext/>
      <w:numPr>
        <w:ilvl w:val="1"/>
        <w:numId w:val="1"/>
      </w:numPr>
      <w:spacing w:before="210" w:after="75"/>
      <w:jc w:val="left"/>
      <w:outlineLvl w:val="1"/>
    </w:pPr>
    <w:rPr>
      <w:b/>
      <w:color w:val="898D8D" w:themeColor="text2"/>
      <w:szCs w:val="38"/>
    </w:rPr>
  </w:style>
  <w:style w:type="paragraph" w:customStyle="1" w:styleId="ENSubsectionTitle">
    <w:name w:val="EN_Subsection_Title"/>
    <w:basedOn w:val="Norml"/>
    <w:next w:val="ENNormal"/>
    <w:uiPriority w:val="1"/>
    <w:rsid w:val="00222AED"/>
    <w:pPr>
      <w:keepNext/>
      <w:numPr>
        <w:ilvl w:val="2"/>
        <w:numId w:val="1"/>
      </w:numPr>
      <w:spacing w:before="75" w:after="75"/>
      <w:ind w:left="595" w:hanging="595"/>
      <w:jc w:val="left"/>
      <w:outlineLvl w:val="2"/>
    </w:pPr>
    <w:rPr>
      <w:bCs/>
      <w:color w:val="898D8D" w:themeColor="text2"/>
      <w:szCs w:val="34"/>
    </w:rPr>
  </w:style>
  <w:style w:type="paragraph" w:customStyle="1" w:styleId="HUBoxTitle">
    <w:name w:val="HU_Box_Title"/>
    <w:basedOn w:val="Kpalrs"/>
    <w:next w:val="Norml"/>
    <w:uiPriority w:val="1"/>
    <w:qFormat/>
    <w:rsid w:val="00222AED"/>
    <w:pPr>
      <w:keepNext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8CDCFF"/>
      <w:spacing w:after="40"/>
      <w:jc w:val="both"/>
    </w:pPr>
    <w:rPr>
      <w:color w:val="auto"/>
      <w:sz w:val="20"/>
    </w:rPr>
  </w:style>
  <w:style w:type="paragraph" w:customStyle="1" w:styleId="HUCaption1Col">
    <w:name w:val="HU_Caption_1Col"/>
    <w:basedOn w:val="Kpalrs"/>
    <w:next w:val="Norml"/>
    <w:uiPriority w:val="1"/>
    <w:qFormat/>
    <w:rsid w:val="00222AED"/>
    <w:pPr>
      <w:keepNext/>
      <w:spacing w:after="40"/>
      <w:jc w:val="center"/>
    </w:pPr>
    <w:rPr>
      <w:sz w:val="20"/>
    </w:rPr>
  </w:style>
  <w:style w:type="paragraph" w:customStyle="1" w:styleId="HUCaption2Col">
    <w:name w:val="HU_Caption_2Col"/>
    <w:basedOn w:val="Kpalrs"/>
    <w:next w:val="Norml"/>
    <w:uiPriority w:val="1"/>
    <w:qFormat/>
    <w:rsid w:val="00222AED"/>
    <w:pPr>
      <w:keepNext/>
      <w:spacing w:after="40"/>
    </w:pPr>
    <w:rPr>
      <w:sz w:val="20"/>
    </w:rPr>
  </w:style>
  <w:style w:type="paragraph" w:customStyle="1" w:styleId="HUCaptionBox">
    <w:name w:val="HU_Caption_Box"/>
    <w:basedOn w:val="Kpalrs"/>
    <w:next w:val="Norml"/>
    <w:uiPriority w:val="1"/>
    <w:qFormat/>
    <w:rsid w:val="00222AED"/>
    <w:pPr>
      <w:keepNext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  <w:spacing w:after="40"/>
      <w:jc w:val="center"/>
    </w:pPr>
    <w:rPr>
      <w:sz w:val="20"/>
    </w:rPr>
  </w:style>
  <w:style w:type="paragraph" w:customStyle="1" w:styleId="HUChapterTitle">
    <w:name w:val="HU_Chapter_Title"/>
    <w:basedOn w:val="Cmsor1"/>
    <w:next w:val="Norml"/>
    <w:link w:val="HUChapterTitleChar"/>
    <w:autoRedefine/>
    <w:uiPriority w:val="1"/>
    <w:rsid w:val="00222AED"/>
    <w:pPr>
      <w:keepLines w:val="0"/>
      <w:pageBreakBefore/>
      <w:ind w:left="227" w:hanging="227"/>
    </w:pPr>
    <w:rPr>
      <w:color w:val="0C2148"/>
    </w:rPr>
  </w:style>
  <w:style w:type="character" w:customStyle="1" w:styleId="HUChapterTitleChar">
    <w:name w:val="HU_Chapter_Title Char"/>
    <w:basedOn w:val="Cmsor1Char"/>
    <w:link w:val="HUChapterTitle"/>
    <w:uiPriority w:val="1"/>
    <w:rsid w:val="00222AED"/>
    <w:rPr>
      <w:rFonts w:ascii="Calibri" w:eastAsiaTheme="majorEastAsia" w:hAnsi="Calibri" w:cstheme="majorBidi"/>
      <w:b/>
      <w:bCs/>
      <w:caps/>
      <w:color w:val="0C2148"/>
      <w:sz w:val="24"/>
      <w:szCs w:val="42"/>
      <w:lang w:val="hu-HU" w:eastAsia="hu-HU"/>
    </w:rPr>
  </w:style>
  <w:style w:type="paragraph" w:customStyle="1" w:styleId="HUChapterWithoutNumbering">
    <w:name w:val="HU_Chapter_Without_Numbering"/>
    <w:basedOn w:val="Norml"/>
    <w:next w:val="Norml"/>
    <w:link w:val="HUChapterWithoutNumberingChar"/>
    <w:uiPriority w:val="1"/>
    <w:qFormat/>
    <w:rsid w:val="00222AED"/>
    <w:pPr>
      <w:keepNext/>
      <w:pageBreakBefore/>
      <w:spacing w:before="480" w:after="210"/>
      <w:ind w:left="227" w:hanging="227"/>
    </w:pPr>
    <w:rPr>
      <w:caps/>
      <w:color w:val="898D8D" w:themeColor="text2"/>
    </w:rPr>
  </w:style>
  <w:style w:type="character" w:customStyle="1" w:styleId="HUChapterWithoutNumberingChar">
    <w:name w:val="HU_Chapter_Without_Numbering Char"/>
    <w:basedOn w:val="Bekezdsalapbettpusa"/>
    <w:link w:val="HUChapterWithoutNumbering"/>
    <w:uiPriority w:val="1"/>
    <w:rsid w:val="00222AED"/>
    <w:rPr>
      <w:rFonts w:ascii="Calibri" w:eastAsiaTheme="minorHAnsi" w:hAnsi="Calibri" w:cstheme="minorBidi"/>
      <w:caps/>
      <w:color w:val="898D8D" w:themeColor="text2"/>
      <w:lang w:val="hu-HU" w:eastAsia="hu-HU"/>
    </w:rPr>
  </w:style>
  <w:style w:type="paragraph" w:customStyle="1" w:styleId="HUFootnote">
    <w:name w:val="HU_Footnote"/>
    <w:basedOn w:val="Lbjegyzetszveg"/>
    <w:uiPriority w:val="1"/>
    <w:qFormat/>
    <w:rsid w:val="00222AED"/>
    <w:rPr>
      <w:color w:val="808080"/>
      <w:sz w:val="18"/>
    </w:rPr>
  </w:style>
  <w:style w:type="paragraph" w:customStyle="1" w:styleId="HUNormalBox">
    <w:name w:val="HU_Normal_Box"/>
    <w:basedOn w:val="Norml"/>
    <w:uiPriority w:val="1"/>
    <w:qFormat/>
    <w:rsid w:val="00222AED"/>
    <w:pPr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</w:pPr>
  </w:style>
  <w:style w:type="paragraph" w:customStyle="1" w:styleId="HUNote1Col">
    <w:name w:val="HU_Note_1Col"/>
    <w:basedOn w:val="Norml"/>
    <w:next w:val="Norml"/>
    <w:uiPriority w:val="1"/>
    <w:qFormat/>
    <w:rsid w:val="00222AED"/>
    <w:pPr>
      <w:keepLines/>
      <w:jc w:val="center"/>
    </w:pPr>
    <w:rPr>
      <w:color w:val="808080"/>
      <w:sz w:val="18"/>
    </w:rPr>
  </w:style>
  <w:style w:type="paragraph" w:customStyle="1" w:styleId="HUNote2Col">
    <w:name w:val="HU_Note_2Col"/>
    <w:basedOn w:val="Norml"/>
    <w:next w:val="Norml"/>
    <w:uiPriority w:val="1"/>
    <w:qFormat/>
    <w:rsid w:val="00222AED"/>
    <w:pPr>
      <w:keepLines/>
    </w:pPr>
    <w:rPr>
      <w:color w:val="808080"/>
      <w:sz w:val="18"/>
    </w:rPr>
  </w:style>
  <w:style w:type="paragraph" w:customStyle="1" w:styleId="HUNoteBox">
    <w:name w:val="HU_Note_Box"/>
    <w:basedOn w:val="Norml"/>
    <w:next w:val="HUNormalBox"/>
    <w:link w:val="HUNoteBoxChar"/>
    <w:uiPriority w:val="1"/>
    <w:qFormat/>
    <w:rsid w:val="00222AED"/>
    <w:pPr>
      <w:keepLines/>
      <w:pBdr>
        <w:top w:val="single" w:sz="4" w:space="1" w:color="898D8D" w:themeColor="text2"/>
        <w:left w:val="single" w:sz="4" w:space="4" w:color="898D8D" w:themeColor="text2"/>
        <w:bottom w:val="single" w:sz="4" w:space="1" w:color="898D8D" w:themeColor="text2"/>
        <w:right w:val="single" w:sz="4" w:space="4" w:color="898D8D" w:themeColor="text2"/>
      </w:pBdr>
      <w:shd w:val="clear" w:color="auto" w:fill="C6EEFF"/>
      <w:jc w:val="center"/>
    </w:pPr>
    <w:rPr>
      <w:color w:val="808080"/>
      <w:sz w:val="18"/>
    </w:rPr>
  </w:style>
  <w:style w:type="character" w:customStyle="1" w:styleId="HUNoteBoxChar">
    <w:name w:val="HU_Note_Box Char"/>
    <w:basedOn w:val="Bekezdsalapbettpusa"/>
    <w:link w:val="HUNoteBox"/>
    <w:uiPriority w:val="1"/>
    <w:rsid w:val="00222AED"/>
    <w:rPr>
      <w:rFonts w:ascii="Calibri" w:eastAsiaTheme="minorHAnsi" w:hAnsi="Calibri" w:cstheme="minorBidi"/>
      <w:color w:val="808080"/>
      <w:sz w:val="18"/>
      <w:shd w:val="clear" w:color="auto" w:fill="C6EEFF"/>
      <w:lang w:val="hu-HU" w:eastAsia="hu-HU"/>
    </w:rPr>
  </w:style>
  <w:style w:type="paragraph" w:customStyle="1" w:styleId="HUSectionTitle">
    <w:name w:val="HU_Section_Title"/>
    <w:basedOn w:val="Cmsor2"/>
    <w:next w:val="Norml"/>
    <w:link w:val="HUSectionTitleChar"/>
    <w:uiPriority w:val="1"/>
    <w:rsid w:val="00222AED"/>
    <w:pPr>
      <w:keepNext/>
    </w:pPr>
  </w:style>
  <w:style w:type="character" w:customStyle="1" w:styleId="HUSectionTitleChar">
    <w:name w:val="HU_Section_Title Char"/>
    <w:basedOn w:val="Cmsor2Char"/>
    <w:link w:val="HUSectionTitle"/>
    <w:uiPriority w:val="1"/>
    <w:rsid w:val="00222AED"/>
    <w:rPr>
      <w:rFonts w:ascii="Calibri" w:eastAsiaTheme="minorHAnsi" w:hAnsi="Calibri" w:cstheme="minorBidi"/>
      <w:b/>
      <w:color w:val="898D8D" w:themeColor="text2"/>
      <w:sz w:val="24"/>
      <w:szCs w:val="38"/>
      <w:lang w:val="hu-HU" w:eastAsia="hu-HU"/>
    </w:rPr>
  </w:style>
  <w:style w:type="paragraph" w:customStyle="1" w:styleId="HUSubsectionTitle">
    <w:name w:val="HU_Subsection_Title"/>
    <w:basedOn w:val="Cmsor3"/>
    <w:next w:val="Norml"/>
    <w:link w:val="HUSubsectionTitleChar"/>
    <w:uiPriority w:val="1"/>
    <w:rsid w:val="00222AED"/>
    <w:pPr>
      <w:keepNext/>
      <w:ind w:left="595" w:hanging="595"/>
    </w:pPr>
  </w:style>
  <w:style w:type="character" w:customStyle="1" w:styleId="HUSubsectionTitleChar">
    <w:name w:val="HU_Subsection_Title Char"/>
    <w:basedOn w:val="Cmsor3Char"/>
    <w:link w:val="HUSubsectionTitle"/>
    <w:uiPriority w:val="1"/>
    <w:rsid w:val="00222AED"/>
    <w:rPr>
      <w:rFonts w:ascii="Calibri" w:eastAsiaTheme="minorHAnsi" w:hAnsi="Calibri" w:cstheme="minorBidi"/>
      <w:bCs/>
      <w:color w:val="898D8D" w:themeColor="text2"/>
      <w:szCs w:val="34"/>
      <w:lang w:val="hu-HU" w:eastAsia="hu-HU"/>
    </w:rPr>
  </w:style>
  <w:style w:type="paragraph" w:customStyle="1" w:styleId="Heading1Kiadvny">
    <w:name w:val="Heading 1 Kiadvány"/>
    <w:basedOn w:val="Cmsor1"/>
    <w:qFormat/>
    <w:rsid w:val="00222AED"/>
    <w:rPr>
      <w:b w:val="0"/>
      <w:caps w:val="0"/>
      <w:sz w:val="52"/>
    </w:rPr>
  </w:style>
  <w:style w:type="character" w:styleId="Feloldatlanmegemlts">
    <w:name w:val="Unresolved Mention"/>
    <w:basedOn w:val="Bekezdsalapbettpusa"/>
    <w:uiPriority w:val="99"/>
    <w:semiHidden/>
    <w:unhideWhenUsed/>
    <w:rsid w:val="00BD6F22"/>
    <w:rPr>
      <w:color w:val="605E5C"/>
      <w:shd w:val="clear" w:color="auto" w:fill="E1DFDD"/>
    </w:rPr>
  </w:style>
  <w:style w:type="table" w:styleId="Tblzatrcsosvilgos">
    <w:name w:val="Grid Table Light"/>
    <w:basedOn w:val="Normltblzat"/>
    <w:uiPriority w:val="40"/>
    <w:rsid w:val="00F43E4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Vltozat">
    <w:name w:val="Revision"/>
    <w:hidden/>
    <w:uiPriority w:val="99"/>
    <w:semiHidden/>
    <w:rsid w:val="00344E4C"/>
    <w:rPr>
      <w:rFonts w:ascii="Calibri" w:eastAsiaTheme="minorHAnsi" w:hAnsi="Calibri" w:cstheme="minorBidi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7470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042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2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5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1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53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6041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4084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99503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600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4504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6006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8974">
          <w:marLeft w:val="3075"/>
          <w:marRight w:val="30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540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4753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6081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2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5929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37652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1609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041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61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5" w:color="EDEBEE"/>
                        <w:left w:val="single" w:sz="12" w:space="6" w:color="EDEBEE"/>
                        <w:bottom w:val="single" w:sz="12" w:space="3" w:color="EDEBEE"/>
                        <w:right w:val="single" w:sz="12" w:space="6" w:color="EDEBEE"/>
                      </w:divBdr>
                    </w:div>
                  </w:divsChild>
                </w:div>
              </w:divsChild>
            </w:div>
          </w:divsChild>
        </w:div>
      </w:divsChild>
    </w:div>
    <w:div w:id="54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322">
          <w:marLeft w:val="2203"/>
          <w:marRight w:val="1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2314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06665">
          <w:marLeft w:val="2203"/>
          <w:marRight w:val="2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37196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0120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3919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4332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812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9096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2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8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8675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6890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33331">
              <w:marLeft w:val="102"/>
              <w:marRight w:val="102"/>
              <w:marTop w:val="0"/>
              <w:marBottom w:val="1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1811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5976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30438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7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3447">
          <w:marLeft w:val="2203"/>
          <w:marRight w:val="1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70630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0847">
              <w:marLeft w:val="92"/>
              <w:marRight w:val="92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9731">
                  <w:marLeft w:val="230"/>
                  <w:marRight w:val="2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450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127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2245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8068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845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3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42420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510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044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2380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8890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2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0793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2036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5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3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6147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2216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695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9919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6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6130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7293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95132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44806">
          <w:marLeft w:val="0"/>
          <w:marRight w:val="0"/>
          <w:marTop w:val="182"/>
          <w:marBottom w:val="182"/>
          <w:divBdr>
            <w:top w:val="single" w:sz="4" w:space="1" w:color="CCCCCC"/>
            <w:left w:val="none" w:sz="0" w:space="0" w:color="auto"/>
            <w:bottom w:val="single" w:sz="4" w:space="1" w:color="CCCCCC"/>
            <w:right w:val="none" w:sz="0" w:space="0" w:color="auto"/>
          </w:divBdr>
        </w:div>
      </w:divsChild>
    </w:div>
    <w:div w:id="143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7628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7714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43472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841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0922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2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61108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8889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0900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14839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7824">
                      <w:marLeft w:val="0"/>
                      <w:marRight w:val="0"/>
                      <w:marTop w:val="0"/>
                      <w:marBottom w:val="20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8" w:color="C5C5C7"/>
                            <w:bottom w:val="single" w:sz="4" w:space="3" w:color="C5C5C7"/>
                            <w:right w:val="single" w:sz="4" w:space="8" w:color="C5C5C7"/>
                          </w:divBdr>
                          <w:divsChild>
                            <w:div w:id="80396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8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2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3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2908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7588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17921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9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0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05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9178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35770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0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7333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388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2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1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4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6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69945">
          <w:marLeft w:val="2203"/>
          <w:marRight w:val="2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7004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2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9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6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312">
          <w:marLeft w:val="2203"/>
          <w:marRight w:val="1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3046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4860">
              <w:marLeft w:val="81"/>
              <w:marRight w:val="81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4546">
                  <w:marLeft w:val="203"/>
                  <w:marRight w:val="2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7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3604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69165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3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9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9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1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1610">
          <w:marLeft w:val="0"/>
          <w:marRight w:val="0"/>
          <w:marTop w:val="0"/>
          <w:marBottom w:val="0"/>
          <w:divBdr>
            <w:top w:val="single" w:sz="4" w:space="0" w:color="072C6F"/>
            <w:left w:val="single" w:sz="4" w:space="0" w:color="072C6F"/>
            <w:bottom w:val="single" w:sz="4" w:space="6" w:color="072C6F"/>
            <w:right w:val="single" w:sz="4" w:space="0" w:color="072C6F"/>
          </w:divBdr>
          <w:divsChild>
            <w:div w:id="1594242994">
              <w:marLeft w:val="0"/>
              <w:marRight w:val="0"/>
              <w:marTop w:val="319"/>
              <w:marBottom w:val="3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8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18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51068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9951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8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5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1656">
          <w:marLeft w:val="2481"/>
          <w:marRight w:val="24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7983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3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1795">
          <w:marLeft w:val="0"/>
          <w:marRight w:val="0"/>
          <w:marTop w:val="0"/>
          <w:marBottom w:val="0"/>
          <w:divBdr>
            <w:top w:val="single" w:sz="18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7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4004">
          <w:marLeft w:val="0"/>
          <w:marRight w:val="0"/>
          <w:marTop w:val="0"/>
          <w:marBottom w:val="0"/>
          <w:divBdr>
            <w:top w:val="single" w:sz="18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528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3547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1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0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9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7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5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6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5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6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2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401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1849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1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5784">
          <w:marLeft w:val="0"/>
          <w:marRight w:val="0"/>
          <w:marTop w:val="0"/>
          <w:marBottom w:val="0"/>
          <w:divBdr>
            <w:top w:val="single" w:sz="18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2523">
              <w:marLeft w:val="92"/>
              <w:marRight w:val="92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21580">
                  <w:marLeft w:val="230"/>
                  <w:marRight w:val="2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1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8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56679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9379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8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4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4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8515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61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80340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5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4502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5857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8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8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7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18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4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0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2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7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1807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48511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9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270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6370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1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9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1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3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03399"/>
                <w:bottom w:val="none" w:sz="0" w:space="0" w:color="auto"/>
                <w:right w:val="single" w:sz="8" w:space="0" w:color="003399"/>
              </w:divBdr>
              <w:divsChild>
                <w:div w:id="1781024209">
                  <w:marLeft w:val="0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55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72178">
                              <w:marLeft w:val="24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13084">
                                  <w:marLeft w:val="0"/>
                                  <w:marRight w:val="0"/>
                                  <w:marTop w:val="0"/>
                                  <w:marBottom w:val="2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24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663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6" w:color="CCE2ED"/>
                                            <w:left w:val="single" w:sz="4" w:space="3" w:color="CCE2ED"/>
                                            <w:bottom w:val="single" w:sz="4" w:space="3" w:color="CCE2ED"/>
                                            <w:right w:val="single" w:sz="4" w:space="3" w:color="CCE2E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40206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591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6759">
          <w:marLeft w:val="2481"/>
          <w:marRight w:val="1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2413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1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5017">
          <w:marLeft w:val="3209"/>
          <w:marRight w:val="320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994">
              <w:marLeft w:val="-16"/>
              <w:marRight w:val="-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09024">
                  <w:marLeft w:val="0"/>
                  <w:marRight w:val="0"/>
                  <w:marTop w:val="0"/>
                  <w:marBottom w:val="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7206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48041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7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0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4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2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9186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8252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8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73827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924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363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3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2940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736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7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5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0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2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734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38712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48707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3347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0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3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2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9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50101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473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0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9293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242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3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7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3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1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2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1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0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0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2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1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8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0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4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4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4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0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3883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78669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8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5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8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5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1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9344">
          <w:marLeft w:val="0"/>
          <w:marRight w:val="0"/>
          <w:marTop w:val="0"/>
          <w:marBottom w:val="0"/>
          <w:divBdr>
            <w:top w:val="single" w:sz="18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4282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727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2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6422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8085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9978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8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1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4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439">
              <w:marLeft w:val="102"/>
              <w:marRight w:val="102"/>
              <w:marTop w:val="0"/>
              <w:marBottom w:val="1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4289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7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8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913">
          <w:marLeft w:val="0"/>
          <w:marRight w:val="0"/>
          <w:marTop w:val="0"/>
          <w:marBottom w:val="0"/>
          <w:divBdr>
            <w:top w:val="single" w:sz="18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3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2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7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02792">
              <w:marLeft w:val="1825"/>
              <w:marRight w:val="1521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6232">
                      <w:marLeft w:val="0"/>
                      <w:marRight w:val="0"/>
                      <w:marTop w:val="0"/>
                      <w:marBottom w:val="1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94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5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1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19433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1789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3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1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5049">
          <w:marLeft w:val="0"/>
          <w:marRight w:val="0"/>
          <w:marTop w:val="0"/>
          <w:marBottom w:val="0"/>
          <w:divBdr>
            <w:top w:val="single" w:sz="18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78993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56738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6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6405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229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399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6" w:color="EDEBEE"/>
                        <w:left w:val="single" w:sz="12" w:space="7" w:color="EDEBEE"/>
                        <w:bottom w:val="single" w:sz="12" w:space="3" w:color="EDEBEE"/>
                        <w:right w:val="single" w:sz="12" w:space="7" w:color="EDEBEE"/>
                      </w:divBdr>
                    </w:div>
                  </w:divsChild>
                </w:div>
              </w:divsChild>
            </w:div>
          </w:divsChild>
        </w:div>
      </w:divsChild>
    </w:div>
    <w:div w:id="527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78938">
          <w:marLeft w:val="2481"/>
          <w:marRight w:val="1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7868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6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896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5891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9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0821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47545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99021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0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8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7402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59389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0564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5487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1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0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4366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8829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5094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7113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0232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3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5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1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8078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0908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3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9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0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2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0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0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49536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8682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0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7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8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2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9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8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3483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3819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4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910">
          <w:marLeft w:val="2203"/>
          <w:marRight w:val="2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4194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3109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0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5006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588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6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3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8571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5391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7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7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226">
          <w:marLeft w:val="2481"/>
          <w:marRight w:val="1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8310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0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3889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00554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9172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2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2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5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1888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787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30730">
          <w:marLeft w:val="0"/>
          <w:marRight w:val="0"/>
          <w:marTop w:val="149"/>
          <w:marBottom w:val="149"/>
          <w:divBdr>
            <w:top w:val="single" w:sz="4" w:space="1" w:color="CCCCCC"/>
            <w:left w:val="none" w:sz="0" w:space="0" w:color="auto"/>
            <w:bottom w:val="single" w:sz="4" w:space="1" w:color="CCCCCC"/>
            <w:right w:val="none" w:sz="0" w:space="0" w:color="auto"/>
          </w:divBdr>
        </w:div>
      </w:divsChild>
    </w:div>
    <w:div w:id="6692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0705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117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884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5" w:color="EDEBEE"/>
                        <w:left w:val="single" w:sz="12" w:space="6" w:color="EDEBEE"/>
                        <w:bottom w:val="single" w:sz="12" w:space="3" w:color="EDEBEE"/>
                        <w:right w:val="single" w:sz="12" w:space="6" w:color="EDEBEE"/>
                      </w:divBdr>
                    </w:div>
                  </w:divsChild>
                </w:div>
              </w:divsChild>
            </w:div>
          </w:divsChild>
        </w:div>
      </w:divsChild>
    </w:div>
    <w:div w:id="673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8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6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381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9440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28059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70007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0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50118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3080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1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1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6199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6190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4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668">
      <w:bodyDiv w:val="1"/>
      <w:marLeft w:val="0"/>
      <w:marRight w:val="0"/>
      <w:marTop w:val="0"/>
      <w:marBottom w:val="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1299">
              <w:marLeft w:val="0"/>
              <w:marRight w:val="33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3592">
                  <w:marLeft w:val="0"/>
                  <w:marRight w:val="0"/>
                  <w:marTop w:val="0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62491">
                          <w:marLeft w:val="81"/>
                          <w:marRight w:val="0"/>
                          <w:marTop w:val="0"/>
                          <w:marBottom w:val="0"/>
                          <w:divBdr>
                            <w:top w:val="single" w:sz="36" w:space="0" w:color="FFFFFF"/>
                            <w:left w:val="single" w:sz="36" w:space="0" w:color="FFFFFF"/>
                            <w:bottom w:val="single" w:sz="36" w:space="0" w:color="FFFFFF"/>
                            <w:right w:val="single" w:sz="36" w:space="0" w:color="FFFFFF"/>
                          </w:divBdr>
                          <w:divsChild>
                            <w:div w:id="21747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1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4018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4559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5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5863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2544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1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3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7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50829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11269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2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2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2462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4100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3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1754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07998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4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2424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76472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8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36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2940">
          <w:marLeft w:val="3075"/>
          <w:marRight w:val="30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711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450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0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1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0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8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7496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3853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1350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1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5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6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525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1077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2476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3776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5744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9329">
          <w:marLeft w:val="2481"/>
          <w:marRight w:val="24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12947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3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4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1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315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60354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6880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8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9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56965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1312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0964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241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6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8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8456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9336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41048">
          <w:marLeft w:val="2203"/>
          <w:marRight w:val="2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1227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8448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532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8264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542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8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8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6209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749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4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9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9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10110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6323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4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99578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39156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4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5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881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7972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3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0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73104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48819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01707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5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9421">
          <w:marLeft w:val="2203"/>
          <w:marRight w:val="2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1704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4657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6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374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4190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3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9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6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6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4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9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763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3067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7747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0994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9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9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2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9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3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9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4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5095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0595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7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0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4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6831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8425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9658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1609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2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7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1852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0777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6550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5674">
          <w:marLeft w:val="2420"/>
          <w:marRight w:val="2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4045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681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6" w:color="EDEBEE"/>
                        <w:left w:val="single" w:sz="12" w:space="7" w:color="EDEBEE"/>
                        <w:bottom w:val="single" w:sz="12" w:space="3" w:color="EDEBEE"/>
                        <w:right w:val="single" w:sz="12" w:space="7" w:color="EDEBEE"/>
                      </w:divBdr>
                    </w:div>
                  </w:divsChild>
                </w:div>
              </w:divsChild>
            </w:div>
          </w:divsChild>
        </w:div>
      </w:divsChild>
    </w:div>
    <w:div w:id="8686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4741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506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16638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6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7618">
          <w:marLeft w:val="2481"/>
          <w:marRight w:val="1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30278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7398">
              <w:marLeft w:val="1825"/>
              <w:marRight w:val="1521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060">
                      <w:marLeft w:val="0"/>
                      <w:marRight w:val="0"/>
                      <w:marTop w:val="0"/>
                      <w:marBottom w:val="1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021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64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381">
          <w:marLeft w:val="2203"/>
          <w:marRight w:val="2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6455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8198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6554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3799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4544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5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2288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704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3043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923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2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60817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622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3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8239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804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3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6743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30818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30830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866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2571">
              <w:marLeft w:val="2254"/>
              <w:marRight w:val="1878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8838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7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6187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7016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5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21788">
          <w:marLeft w:val="0"/>
          <w:marRight w:val="0"/>
          <w:marTop w:val="0"/>
          <w:marBottom w:val="0"/>
          <w:divBdr>
            <w:top w:val="single" w:sz="18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1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1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3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4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2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0204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15950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6271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8405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88723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014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8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5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9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5452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60436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63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9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8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8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3818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0925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4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1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4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72323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2638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3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06399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596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4693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2167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5535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859">
              <w:marLeft w:val="86"/>
              <w:marRight w:val="86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6164">
                  <w:marLeft w:val="215"/>
                  <w:marRight w:val="2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9192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236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1091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4202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9451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3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52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5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8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6378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0817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1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6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2111">
              <w:marLeft w:val="102"/>
              <w:marRight w:val="102"/>
              <w:marTop w:val="0"/>
              <w:marBottom w:val="1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1566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6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2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1552">
          <w:marLeft w:val="2050"/>
          <w:marRight w:val="2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84585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01946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3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7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0620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4039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19785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1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3465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5428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7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48596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1685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0259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5729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4477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793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6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6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2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15309">
          <w:marLeft w:val="0"/>
          <w:marRight w:val="0"/>
          <w:marTop w:val="0"/>
          <w:marBottom w:val="0"/>
          <w:divBdr>
            <w:top w:val="single" w:sz="18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053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4856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145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6" w:color="EDEBEE"/>
                        <w:left w:val="single" w:sz="12" w:space="7" w:color="EDEBEE"/>
                        <w:bottom w:val="single" w:sz="12" w:space="3" w:color="EDEBEE"/>
                        <w:right w:val="single" w:sz="12" w:space="7" w:color="EDEBEE"/>
                      </w:divBdr>
                    </w:div>
                  </w:divsChild>
                </w:div>
              </w:divsChild>
            </w:div>
          </w:divsChild>
        </w:div>
      </w:divsChild>
    </w:div>
    <w:div w:id="1063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1037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866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9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6373">
              <w:marLeft w:val="2254"/>
              <w:marRight w:val="1878"/>
              <w:marTop w:val="5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3613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1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9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6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2344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0972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5673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2449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103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6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0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209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4593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469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8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4884">
          <w:marLeft w:val="0"/>
          <w:marRight w:val="0"/>
          <w:marTop w:val="0"/>
          <w:marBottom w:val="0"/>
          <w:divBdr>
            <w:top w:val="single" w:sz="18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7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9968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823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1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2288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561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5269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11927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9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2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1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4757">
              <w:marLeft w:val="102"/>
              <w:marRight w:val="102"/>
              <w:marTop w:val="0"/>
              <w:marBottom w:val="1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3951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6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8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2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6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594">
          <w:marLeft w:val="2567"/>
          <w:marRight w:val="13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3812">
              <w:marLeft w:val="-13"/>
              <w:marRight w:val="-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8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2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5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30503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48608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5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3432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943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0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8039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2062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7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0938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578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7454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0631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1765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4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74628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56248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5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5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2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8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5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1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4762">
          <w:marLeft w:val="2236"/>
          <w:marRight w:val="22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9869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2019">
          <w:marLeft w:val="2236"/>
          <w:marRight w:val="1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9936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2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1640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969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8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5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8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5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1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6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5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8764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25200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8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0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4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0659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8425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0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3013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916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1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5589">
          <w:marLeft w:val="0"/>
          <w:marRight w:val="0"/>
          <w:marTop w:val="152"/>
          <w:marBottom w:val="152"/>
          <w:divBdr>
            <w:top w:val="single" w:sz="4" w:space="1" w:color="CCCCCC"/>
            <w:left w:val="none" w:sz="0" w:space="0" w:color="auto"/>
            <w:bottom w:val="single" w:sz="4" w:space="1" w:color="CCCCCC"/>
            <w:right w:val="none" w:sz="0" w:space="0" w:color="auto"/>
          </w:divBdr>
        </w:div>
      </w:divsChild>
    </w:div>
    <w:div w:id="12189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316">
              <w:marLeft w:val="1934"/>
              <w:marRight w:val="1612"/>
              <w:marTop w:val="4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7500">
                  <w:marLeft w:val="0"/>
                  <w:marRight w:val="0"/>
                  <w:marTop w:val="0"/>
                  <w:marBottom w:val="1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3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1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5949">
          <w:marLeft w:val="2203"/>
          <w:marRight w:val="2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0679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58937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1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5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0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3360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76936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6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3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25213">
          <w:marLeft w:val="0"/>
          <w:marRight w:val="0"/>
          <w:marTop w:val="225"/>
          <w:marBottom w:val="225"/>
          <w:divBdr>
            <w:top w:val="single" w:sz="6" w:space="1" w:color="CCCCCC"/>
            <w:left w:val="none" w:sz="0" w:space="0" w:color="auto"/>
            <w:bottom w:val="single" w:sz="6" w:space="1" w:color="CCCCCC"/>
            <w:right w:val="none" w:sz="0" w:space="0" w:color="auto"/>
          </w:divBdr>
        </w:div>
      </w:divsChild>
    </w:div>
    <w:div w:id="1252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0403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7010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5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7307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72284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8335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1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3084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48931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1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9955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5724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34826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3447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74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0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8684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510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5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9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9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7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1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9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7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16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5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850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28306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2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8821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9039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8374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5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8486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684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2885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9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22422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4020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5584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6342">
          <w:marLeft w:val="2203"/>
          <w:marRight w:val="1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6956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9916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74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0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3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2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44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9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8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6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4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802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7025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7412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8747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0591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86658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0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5782">
          <w:marLeft w:val="2481"/>
          <w:marRight w:val="1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4926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6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8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41665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10318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1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3262">
              <w:marLeft w:val="102"/>
              <w:marRight w:val="102"/>
              <w:marTop w:val="0"/>
              <w:marBottom w:val="1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0466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2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2600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50538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939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1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4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0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4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4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6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1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2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2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8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01218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8768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0851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9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7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2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0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4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2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3051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2525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78453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1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9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7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4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4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6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5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5366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59081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5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0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60761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021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23925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0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6619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78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8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2878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5205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6401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5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2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1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0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6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2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4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1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9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42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340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99359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1350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508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83354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1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9757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6894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9560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60655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6189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70421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0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8733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73904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9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8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6924">
          <w:marLeft w:val="2203"/>
          <w:marRight w:val="2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3060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2830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1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1296">
          <w:marLeft w:val="2481"/>
          <w:marRight w:val="1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45699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1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1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3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6420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3498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81622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7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5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30952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377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6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6036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630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4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7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3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7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1681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8766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1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8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1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3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2387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6827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2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5166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9470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6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3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5990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982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0630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428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49240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7587">
          <w:marLeft w:val="2481"/>
          <w:marRight w:val="1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9963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6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7414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4559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4064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3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5102">
              <w:marLeft w:val="1934"/>
              <w:marRight w:val="1612"/>
              <w:marTop w:val="4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3011">
                  <w:marLeft w:val="0"/>
                  <w:marRight w:val="0"/>
                  <w:marTop w:val="0"/>
                  <w:marBottom w:val="1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3261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1053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7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0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2185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249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0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9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7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251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855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7342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615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619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01742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02375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7106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1544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9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5640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3067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1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682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772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7246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8294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4756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990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1380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0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7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4148">
          <w:marLeft w:val="0"/>
          <w:marRight w:val="0"/>
          <w:marTop w:val="149"/>
          <w:marBottom w:val="149"/>
          <w:divBdr>
            <w:top w:val="single" w:sz="4" w:space="1" w:color="CCCCCC"/>
            <w:left w:val="none" w:sz="0" w:space="0" w:color="auto"/>
            <w:bottom w:val="single" w:sz="4" w:space="1" w:color="CCCCCC"/>
            <w:right w:val="none" w:sz="0" w:space="0" w:color="auto"/>
          </w:divBdr>
        </w:div>
      </w:divsChild>
    </w:div>
    <w:div w:id="1561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1409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66350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9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9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8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3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74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59098">
          <w:marLeft w:val="0"/>
          <w:marRight w:val="0"/>
          <w:marTop w:val="0"/>
          <w:marBottom w:val="0"/>
          <w:divBdr>
            <w:top w:val="single" w:sz="4" w:space="0" w:color="072C6F"/>
            <w:left w:val="single" w:sz="4" w:space="0" w:color="072C6F"/>
            <w:bottom w:val="single" w:sz="4" w:space="5" w:color="072C6F"/>
            <w:right w:val="single" w:sz="4" w:space="0" w:color="072C6F"/>
          </w:divBdr>
          <w:divsChild>
            <w:div w:id="1878275181">
              <w:marLeft w:val="0"/>
              <w:marRight w:val="0"/>
              <w:marTop w:val="203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7776">
                  <w:marLeft w:val="2069"/>
                  <w:marRight w:val="1521"/>
                  <w:marTop w:val="0"/>
                  <w:marBottom w:val="0"/>
                  <w:divBdr>
                    <w:top w:val="single" w:sz="4" w:space="0" w:color="C8E4F1"/>
                    <w:left w:val="single" w:sz="4" w:space="0" w:color="C8E4F1"/>
                    <w:bottom w:val="single" w:sz="4" w:space="0" w:color="C8E4F1"/>
                    <w:right w:val="single" w:sz="4" w:space="0" w:color="C8E4F1"/>
                  </w:divBdr>
                  <w:divsChild>
                    <w:div w:id="1604340502">
                      <w:marLeft w:val="101"/>
                      <w:marRight w:val="10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30944">
                          <w:marLeft w:val="101"/>
                          <w:marRight w:val="0"/>
                          <w:marTop w:val="1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5255">
          <w:marLeft w:val="2203"/>
          <w:marRight w:val="1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3210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765181">
      <w:bodyDiv w:val="1"/>
      <w:marLeft w:val="0"/>
      <w:marRight w:val="0"/>
      <w:marTop w:val="0"/>
      <w:marBottom w:val="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2829">
              <w:marLeft w:val="0"/>
              <w:marRight w:val="33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0524">
                  <w:marLeft w:val="0"/>
                  <w:marRight w:val="0"/>
                  <w:marTop w:val="0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2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1420">
                          <w:marLeft w:val="81"/>
                          <w:marRight w:val="0"/>
                          <w:marTop w:val="0"/>
                          <w:marBottom w:val="0"/>
                          <w:divBdr>
                            <w:top w:val="single" w:sz="36" w:space="0" w:color="FFFFFF"/>
                            <w:left w:val="single" w:sz="36" w:space="0" w:color="FFFFFF"/>
                            <w:bottom w:val="single" w:sz="36" w:space="0" w:color="FFFFFF"/>
                            <w:right w:val="single" w:sz="36" w:space="0" w:color="FFFFFF"/>
                          </w:divBdr>
                          <w:divsChild>
                            <w:div w:id="15093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1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3106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6050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3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7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4460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4598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5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1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4280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8905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7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8057">
          <w:marLeft w:val="2481"/>
          <w:marRight w:val="1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776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3460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3187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9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4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19078">
          <w:marLeft w:val="2567"/>
          <w:marRight w:val="13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9365">
              <w:marLeft w:val="-13"/>
              <w:marRight w:val="-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9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8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6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86294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3009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63634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62429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7622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67024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37341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29856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7092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2895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86516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073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42080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1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73212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0862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7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43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6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3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3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0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9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4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1494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0406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9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415">
              <w:marLeft w:val="102"/>
              <w:marRight w:val="102"/>
              <w:marTop w:val="0"/>
              <w:marBottom w:val="1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8308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6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1611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764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5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6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4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1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9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9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1454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9824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9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2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9660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29692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1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9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4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6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1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8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2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0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4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5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03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0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3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5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2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9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5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3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0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75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3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6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4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10606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3775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7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6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0743">
          <w:marLeft w:val="0"/>
          <w:marRight w:val="0"/>
          <w:marTop w:val="0"/>
          <w:marBottom w:val="0"/>
          <w:divBdr>
            <w:top w:val="single" w:sz="4" w:space="0" w:color="072C6F"/>
            <w:left w:val="single" w:sz="4" w:space="0" w:color="072C6F"/>
            <w:bottom w:val="single" w:sz="4" w:space="6" w:color="072C6F"/>
            <w:right w:val="single" w:sz="4" w:space="0" w:color="072C6F"/>
          </w:divBdr>
          <w:divsChild>
            <w:div w:id="1457482415">
              <w:marLeft w:val="0"/>
              <w:marRight w:val="0"/>
              <w:marTop w:val="319"/>
              <w:marBottom w:val="3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7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6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3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7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4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5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5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7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5106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7703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8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8903">
          <w:marLeft w:val="2203"/>
          <w:marRight w:val="2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8240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0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5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6451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0778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8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1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5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4403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042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6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2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807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4290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8688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8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9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92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774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35563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6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00978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9182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0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6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6033">
              <w:marLeft w:val="102"/>
              <w:marRight w:val="102"/>
              <w:marTop w:val="0"/>
              <w:marBottom w:val="1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0464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0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3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8272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9495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7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0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3153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7629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1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7390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59890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6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8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2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6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8800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8550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7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2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7246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77896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9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32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6791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112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9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4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6810">
              <w:marLeft w:val="102"/>
              <w:marRight w:val="102"/>
              <w:marTop w:val="0"/>
              <w:marBottom w:val="1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24667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2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3329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83067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7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3693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4098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7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5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2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00594">
              <w:marLeft w:val="1934"/>
              <w:marRight w:val="1612"/>
              <w:marTop w:val="4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31709">
                  <w:marLeft w:val="0"/>
                  <w:marRight w:val="0"/>
                  <w:marTop w:val="0"/>
                  <w:marBottom w:val="1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4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5530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76935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6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9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4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3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0227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277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10368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2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89073">
          <w:marLeft w:val="2481"/>
          <w:marRight w:val="1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1717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3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2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0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1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3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9036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2484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0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2745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4864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2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2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66404">
              <w:marLeft w:val="1825"/>
              <w:marRight w:val="1521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71593">
                      <w:marLeft w:val="0"/>
                      <w:marRight w:val="0"/>
                      <w:marTop w:val="0"/>
                      <w:marBottom w:val="1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24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5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01510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1209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7557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352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342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5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6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9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7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3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8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9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6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5488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3276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9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4574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0564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4380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56429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1887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15808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9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75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9180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7573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4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5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7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7859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68000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3299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59399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70213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6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1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7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5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8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4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4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9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5351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5990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6403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1037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3021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67731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7787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7601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7928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8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8755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41797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6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88847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6919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7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7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2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1332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8113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1585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5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4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395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4025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3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7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0151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5136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8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7835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8993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5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1884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5639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4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2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6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9138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1236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5376">
                  <w:marLeft w:val="0"/>
                  <w:marRight w:val="0"/>
                  <w:marTop w:val="0"/>
                  <w:marBottom w:val="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7911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8389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1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3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5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0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5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6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2786">
              <w:marLeft w:val="1825"/>
              <w:marRight w:val="1521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4955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0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3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9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1173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02711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3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9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8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5531">
              <w:marLeft w:val="2294"/>
              <w:marRight w:val="1912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9026">
                  <w:marLeft w:val="0"/>
                  <w:marRight w:val="0"/>
                  <w:marTop w:val="0"/>
                  <w:marBottom w:val="1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7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9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3055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870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6029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1035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69476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7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3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6937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8852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44977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8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1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5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5242">
              <w:marLeft w:val="1825"/>
              <w:marRight w:val="1521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7361">
                      <w:marLeft w:val="0"/>
                      <w:marRight w:val="0"/>
                      <w:marTop w:val="0"/>
                      <w:marBottom w:val="1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1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9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9107">
          <w:marLeft w:val="2079"/>
          <w:marRight w:val="20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432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6430">
          <w:marLeft w:val="2236"/>
          <w:marRight w:val="1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0084">
              <w:marLeft w:val="-11"/>
              <w:marRight w:val="-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1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3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6469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0046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8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6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0180">
              <w:marLeft w:val="2074"/>
              <w:marRight w:val="1728"/>
              <w:marTop w:val="4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82180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3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2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9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7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4982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3721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2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3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7149">
          <w:marLeft w:val="2362"/>
          <w:marRight w:val="2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8026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0332">
                  <w:marLeft w:val="0"/>
                  <w:marRight w:val="0"/>
                  <w:marTop w:val="0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0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24827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895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3303">
          <w:marLeft w:val="2079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495">
              <w:marLeft w:val="-10"/>
              <w:marRight w:val="-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0173">
          <w:marLeft w:val="2362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4075">
              <w:marLeft w:val="-12"/>
              <w:marRight w:val="-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2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mla.europa.eu/policy/public-consultations/consultation-draft-rts-group-wide-minimum-requirements-and-additional-measures-subsidiaries-and_en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www.mnb.hu/felugyelet/felugyeleti-keretrendszer/felugyeleti-hirek/hirek-ujdonsagok/amla-roadshow-hungary-az-uj-unios-hatosag-elnoki-latogatasa-az-mnb-be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mla.europa.eu/webinar-materials-now-available-identifying-obliged-entities-eligible-direct-supervision_en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amla.europa.eu/policy/public-consultations/consultation-draft-rts-customer-due-diligence_en" TargetMode="External"/><Relationship Id="rId17" Type="http://schemas.openxmlformats.org/officeDocument/2006/relationships/hyperlink" Target="https://www.amla.europa.eu/policy/public-consultations/consultation-draft-guidelines-business-wide-risk-assessment_en" TargetMode="External"/><Relationship Id="rId25" Type="http://schemas.openxmlformats.org/officeDocument/2006/relationships/image" Target="media/image3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amla.europa.eu/press-release-amla-introduces-common-eu-approach-enforcing-anti-money-laundering-rules_en" TargetMode="External"/><Relationship Id="rId20" Type="http://schemas.openxmlformats.org/officeDocument/2006/relationships/hyperlink" Target="https://www.amla.europa.eu/amla-advances-preparations-2027-selection-exercise_en" TargetMode="External"/><Relationship Id="rId29" Type="http://schemas.openxmlformats.org/officeDocument/2006/relationships/hyperlink" Target="https://www.mnb.hu/felugyelet/szabalyozas/penzmosas-ellen/penzmosas-es-terrorizmusfinanszirozas-elleni-hatosa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mla.europa.eu/document/download/566682ce-89fa-4299-9ea5-2b646cb39223_en?filename=Draft%20RTS%20CDD%20track%20changes%20from%20EBA%20draft.pdf" TargetMode="External"/><Relationship Id="rId24" Type="http://schemas.openxmlformats.org/officeDocument/2006/relationships/hyperlink" Target="https://www.amla.europa.eu/first-amla-conference-recap-key-moments-and-insights_en" TargetMode="External"/><Relationship Id="rId32" Type="http://schemas.openxmlformats.org/officeDocument/2006/relationships/hyperlink" Target="https://eur-lex.europa.eu/legal-content/HU/TXT/?uri=CELEX%3A32024L1640&amp;qid=1718786772248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mla.europa.eu/press-release-amla-finalises-standards-supervisory-cooperation-direct-supervision_en" TargetMode="External"/><Relationship Id="rId23" Type="http://schemas.openxmlformats.org/officeDocument/2006/relationships/hyperlink" Target="https://www.amla.europa.eu/advisory-note-money-laundering-risks-micar-transitional-period-ends_en" TargetMode="External"/><Relationship Id="rId28" Type="http://schemas.openxmlformats.org/officeDocument/2006/relationships/hyperlink" Target="https://www.mnb.hu/felugyelet/felugyeleti-hirek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amla.europa.eu/document/download/66e02b3c-7a33-46dc-9fa2-98e51963be45_en?filename=AMLA%20Public%20Hearing%20-%20Draft%20RTS%20under%20Article%2019%289%29%20AMLR.pdf" TargetMode="External"/><Relationship Id="rId19" Type="http://schemas.openxmlformats.org/officeDocument/2006/relationships/hyperlink" Target="https://www.amla.europa.eu/press-release-amla-and-edpb-develop-joint-guidelines-partnerships-information-sharing_en" TargetMode="External"/><Relationship Id="rId31" Type="http://schemas.openxmlformats.org/officeDocument/2006/relationships/hyperlink" Target="https://eur-lex.europa.eu/legal-content/HU/TXT/?uri=CELEX%3A32024R1624&amp;qid=17187866190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la.europa.eu/policy/public-consultations/consultation-draft-rts-criteria-identifying-business-relationships-occasional-and-linked_en" TargetMode="External"/><Relationship Id="rId14" Type="http://schemas.openxmlformats.org/officeDocument/2006/relationships/hyperlink" Target="https://www.amla.europa.eu/amla-holds-public-hearing-consult-draft-rts-home-host-supervisory-cooperation_en" TargetMode="External"/><Relationship Id="rId22" Type="http://schemas.openxmlformats.org/officeDocument/2006/relationships/hyperlink" Target="https://www.amla.europa.eu/news-media/news-articles/frequently-asked-questions-reporting-package-identifying-provisionally-eligible-entities_en" TargetMode="External"/><Relationship Id="rId27" Type="http://schemas.openxmlformats.org/officeDocument/2006/relationships/hyperlink" Target="https://www.amla.europa.eu/document/download/631d6de9-5155-4e32-a791-4b8b65d1f70f_en?filename=AMLA%20Roadshow%20Report.pdf" TargetMode="External"/><Relationship Id="rId30" Type="http://schemas.openxmlformats.org/officeDocument/2006/relationships/hyperlink" Target="https://eur-lex.europa.eu/legal-content/HU/TXT/?qid=1718786410441&amp;uri=CELEX%3A32024R1620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NB_Theme">
  <a:themeElements>
    <a:clrScheme name="MNB_Theme_2">
      <a:dk1>
        <a:sysClr val="windowText" lastClr="000000"/>
      </a:dk1>
      <a:lt1>
        <a:sysClr val="window" lastClr="FFFFFF"/>
      </a:lt1>
      <a:dk2>
        <a:srgbClr val="898D8D"/>
      </a:dk2>
      <a:lt2>
        <a:srgbClr val="AC9F70"/>
      </a:lt2>
      <a:accent1>
        <a:srgbClr val="7E5C1D"/>
      </a:accent1>
      <a:accent2>
        <a:srgbClr val="E57200"/>
      </a:accent2>
      <a:accent3>
        <a:srgbClr val="CE0F69"/>
      </a:accent3>
      <a:accent4>
        <a:srgbClr val="8C4799"/>
      </a:accent4>
      <a:accent5>
        <a:srgbClr val="202653"/>
      </a:accent5>
      <a:accent6>
        <a:srgbClr val="7BAFD4"/>
      </a:accent6>
      <a:hlink>
        <a:srgbClr val="202653"/>
      </a:hlink>
      <a:folHlink>
        <a:srgbClr val="7BAFD4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3B481-557F-45AD-A3C7-4F40D22B7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4598</Words>
  <Characters>39535</Characters>
  <Application>Microsoft Office Word</Application>
  <DocSecurity>0</DocSecurity>
  <Lines>329</Lines>
  <Paragraphs>88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Nemzetközi tájékoztató</vt:lpstr>
      <vt:lpstr>Nemzetközi tájékoztató</vt:lpstr>
    </vt:vector>
  </TitlesOfParts>
  <Company>Magyar Nemzeti Bank</Company>
  <LinksUpToDate>false</LinksUpToDate>
  <CharactersWithSpaces>44045</CharactersWithSpaces>
  <SharedDoc>false</SharedDoc>
  <HLinks>
    <vt:vector size="354" baseType="variant">
      <vt:variant>
        <vt:i4>6881395</vt:i4>
      </vt:variant>
      <vt:variant>
        <vt:i4>168</vt:i4>
      </vt:variant>
      <vt:variant>
        <vt:i4>0</vt:i4>
      </vt:variant>
      <vt:variant>
        <vt:i4>5</vt:i4>
      </vt:variant>
      <vt:variant>
        <vt:lpwstr>http://www.ecb.int/events/calendar/statscal/html/index.en.html</vt:lpwstr>
      </vt:variant>
      <vt:variant>
        <vt:lpwstr/>
      </vt:variant>
      <vt:variant>
        <vt:i4>1966086</vt:i4>
      </vt:variant>
      <vt:variant>
        <vt:i4>165</vt:i4>
      </vt:variant>
      <vt:variant>
        <vt:i4>0</vt:i4>
      </vt:variant>
      <vt:variant>
        <vt:i4>5</vt:i4>
      </vt:variant>
      <vt:variant>
        <vt:lpwstr>http://www.bis.org/statistics/relcal.htm</vt:lpwstr>
      </vt:variant>
      <vt:variant>
        <vt:lpwstr/>
      </vt:variant>
      <vt:variant>
        <vt:i4>852065</vt:i4>
      </vt:variant>
      <vt:variant>
        <vt:i4>162</vt:i4>
      </vt:variant>
      <vt:variant>
        <vt:i4>0</vt:i4>
      </vt:variant>
      <vt:variant>
        <vt:i4>5</vt:i4>
      </vt:variant>
      <vt:variant>
        <vt:lpwstr>http://intranet/c4/c15/nemzetk%C3%B6zi statisztik%C3%A1k/default.aspx</vt:lpwstr>
      </vt:variant>
      <vt:variant>
        <vt:lpwstr/>
      </vt:variant>
      <vt:variant>
        <vt:i4>5636136</vt:i4>
      </vt:variant>
      <vt:variant>
        <vt:i4>159</vt:i4>
      </vt:variant>
      <vt:variant>
        <vt:i4>0</vt:i4>
      </vt:variant>
      <vt:variant>
        <vt:i4>5</vt:i4>
      </vt:variant>
      <vt:variant>
        <vt:lpwstr>http://intranet/C15/NKF rendszeres t%C3%A1j%C3%A9koztat%C3%B3k/2010/EU-EKB/EKTB/EKTB t%C3%A1j%C3%A9koztat%C3%B3_2010. augusztus 31.doc</vt:lpwstr>
      </vt:variant>
      <vt:variant>
        <vt:lpwstr/>
      </vt:variant>
      <vt:variant>
        <vt:i4>917539</vt:i4>
      </vt:variant>
      <vt:variant>
        <vt:i4>156</vt:i4>
      </vt:variant>
      <vt:variant>
        <vt:i4>0</vt:i4>
      </vt:variant>
      <vt:variant>
        <vt:i4>5</vt:i4>
      </vt:variant>
      <vt:variant>
        <vt:lpwstr>http://intranet/C15/NKF rendszeres t%C3%A1j%C3%A9koztat%C3%B3k/2010/EU-EKB/EKTB/EKTB t%C3%A1j%C3%A9koztat%C3%B3_2010. szeptember 9.doc</vt:lpwstr>
      </vt:variant>
      <vt:variant>
        <vt:lpwstr/>
      </vt:variant>
      <vt:variant>
        <vt:i4>7077988</vt:i4>
      </vt:variant>
      <vt:variant>
        <vt:i4>153</vt:i4>
      </vt:variant>
      <vt:variant>
        <vt:i4>0</vt:i4>
      </vt:variant>
      <vt:variant>
        <vt:i4>5</vt:i4>
      </vt:variant>
      <vt:variant>
        <vt:lpwstr>http://www.bis.org/statistics/extderiv.htm</vt:lpwstr>
      </vt:variant>
      <vt:variant>
        <vt:lpwstr/>
      </vt:variant>
      <vt:variant>
        <vt:i4>7340137</vt:i4>
      </vt:variant>
      <vt:variant>
        <vt:i4>150</vt:i4>
      </vt:variant>
      <vt:variant>
        <vt:i4>0</vt:i4>
      </vt:variant>
      <vt:variant>
        <vt:i4>5</vt:i4>
      </vt:variant>
      <vt:variant>
        <vt:lpwstr>http://www.bis.org/statistics/secstats.htm</vt:lpwstr>
      </vt:variant>
      <vt:variant>
        <vt:lpwstr/>
      </vt:variant>
      <vt:variant>
        <vt:i4>7340150</vt:i4>
      </vt:variant>
      <vt:variant>
        <vt:i4>147</vt:i4>
      </vt:variant>
      <vt:variant>
        <vt:i4>0</vt:i4>
      </vt:variant>
      <vt:variant>
        <vt:i4>5</vt:i4>
      </vt:variant>
      <vt:variant>
        <vt:lpwstr>http://www.bis.org/statistics/provdata.htm</vt:lpwstr>
      </vt:variant>
      <vt:variant>
        <vt:lpwstr/>
      </vt:variant>
      <vt:variant>
        <vt:i4>5963833</vt:i4>
      </vt:variant>
      <vt:variant>
        <vt:i4>144</vt:i4>
      </vt:variant>
      <vt:variant>
        <vt:i4>0</vt:i4>
      </vt:variant>
      <vt:variant>
        <vt:i4>5</vt:i4>
      </vt:variant>
      <vt:variant>
        <vt:lpwstr>http://www.bis.org/publ/quarterly.htm</vt:lpwstr>
      </vt:variant>
      <vt:variant>
        <vt:lpwstr/>
      </vt:variant>
      <vt:variant>
        <vt:i4>2162763</vt:i4>
      </vt:variant>
      <vt:variant>
        <vt:i4>141</vt:i4>
      </vt:variant>
      <vt:variant>
        <vt:i4>0</vt:i4>
      </vt:variant>
      <vt:variant>
        <vt:i4>5</vt:i4>
      </vt:variant>
      <vt:variant>
        <vt:lpwstr>http://www.bis.org/statistics/bankstats.htm</vt:lpwstr>
      </vt:variant>
      <vt:variant>
        <vt:lpwstr/>
      </vt:variant>
      <vt:variant>
        <vt:i4>8192112</vt:i4>
      </vt:variant>
      <vt:variant>
        <vt:i4>138</vt:i4>
      </vt:variant>
      <vt:variant>
        <vt:i4>0</vt:i4>
      </vt:variant>
      <vt:variant>
        <vt:i4>5</vt:i4>
      </vt:variant>
      <vt:variant>
        <vt:lpwstr>http://www.bis.org/statistics/consstatsweb.htm</vt:lpwstr>
      </vt:variant>
      <vt:variant>
        <vt:lpwstr/>
      </vt:variant>
      <vt:variant>
        <vt:i4>7340150</vt:i4>
      </vt:variant>
      <vt:variant>
        <vt:i4>135</vt:i4>
      </vt:variant>
      <vt:variant>
        <vt:i4>0</vt:i4>
      </vt:variant>
      <vt:variant>
        <vt:i4>5</vt:i4>
      </vt:variant>
      <vt:variant>
        <vt:lpwstr>http://www.bis.org/statistics/provdata.htm</vt:lpwstr>
      </vt:variant>
      <vt:variant>
        <vt:lpwstr/>
      </vt:variant>
      <vt:variant>
        <vt:i4>5963833</vt:i4>
      </vt:variant>
      <vt:variant>
        <vt:i4>132</vt:i4>
      </vt:variant>
      <vt:variant>
        <vt:i4>0</vt:i4>
      </vt:variant>
      <vt:variant>
        <vt:i4>5</vt:i4>
      </vt:variant>
      <vt:variant>
        <vt:lpwstr>http://www.bis.org/publ/quarterly.htm</vt:lpwstr>
      </vt:variant>
      <vt:variant>
        <vt:lpwstr/>
      </vt:variant>
      <vt:variant>
        <vt:i4>3604554</vt:i4>
      </vt:variant>
      <vt:variant>
        <vt:i4>129</vt:i4>
      </vt:variant>
      <vt:variant>
        <vt:i4>0</vt:i4>
      </vt:variant>
      <vt:variant>
        <vt:i4>5</vt:i4>
      </vt:variant>
      <vt:variant>
        <vt:lpwstr>http://www.bis.org/statistics/consstats.htm</vt:lpwstr>
      </vt:variant>
      <vt:variant>
        <vt:lpwstr/>
      </vt:variant>
      <vt:variant>
        <vt:i4>2621457</vt:i4>
      </vt:variant>
      <vt:variant>
        <vt:i4>126</vt:i4>
      </vt:variant>
      <vt:variant>
        <vt:i4>0</vt:i4>
      </vt:variant>
      <vt:variant>
        <vt:i4>5</vt:i4>
      </vt:variant>
      <vt:variant>
        <vt:lpwstr>http://www.imf.org/external/pubs/ft/wp/2010/wp10203.pdf</vt:lpwstr>
      </vt:variant>
      <vt:variant>
        <vt:lpwstr/>
      </vt:variant>
      <vt:variant>
        <vt:i4>5570656</vt:i4>
      </vt:variant>
      <vt:variant>
        <vt:i4>123</vt:i4>
      </vt:variant>
      <vt:variant>
        <vt:i4>0</vt:i4>
      </vt:variant>
      <vt:variant>
        <vt:i4>5</vt:i4>
      </vt:variant>
      <vt:variant>
        <vt:lpwstr>http://europa.eu/rapid/pressReleasesAction.do?reference=STAT/10/126&amp;format=HTML&amp;aged=0&amp;language=EN&amp;guiLanguage=en</vt:lpwstr>
      </vt:variant>
      <vt:variant>
        <vt:lpwstr/>
      </vt:variant>
      <vt:variant>
        <vt:i4>5570657</vt:i4>
      </vt:variant>
      <vt:variant>
        <vt:i4>120</vt:i4>
      </vt:variant>
      <vt:variant>
        <vt:i4>0</vt:i4>
      </vt:variant>
      <vt:variant>
        <vt:i4>5</vt:i4>
      </vt:variant>
      <vt:variant>
        <vt:lpwstr>http://europa.eu/rapid/pressReleasesAction.do?reference=STAT/10/127&amp;format=HTML&amp;aged=0&amp;language=EN&amp;guiLanguage=en</vt:lpwstr>
      </vt:variant>
      <vt:variant>
        <vt:lpwstr/>
      </vt:variant>
      <vt:variant>
        <vt:i4>5570670</vt:i4>
      </vt:variant>
      <vt:variant>
        <vt:i4>117</vt:i4>
      </vt:variant>
      <vt:variant>
        <vt:i4>0</vt:i4>
      </vt:variant>
      <vt:variant>
        <vt:i4>5</vt:i4>
      </vt:variant>
      <vt:variant>
        <vt:lpwstr>http://europa.eu/rapid/pressReleasesAction.do?reference=STAT/10/128&amp;format=HTML&amp;aged=0&amp;language=EN&amp;guiLanguage=en</vt:lpwstr>
      </vt:variant>
      <vt:variant>
        <vt:lpwstr/>
      </vt:variant>
      <vt:variant>
        <vt:i4>3932170</vt:i4>
      </vt:variant>
      <vt:variant>
        <vt:i4>114</vt:i4>
      </vt:variant>
      <vt:variant>
        <vt:i4>0</vt:i4>
      </vt:variant>
      <vt:variant>
        <vt:i4>5</vt:i4>
      </vt:variant>
      <vt:variant>
        <vt:lpwstr>http://www.ecb.int/press/pr/date/2010/html/pr100907.en.html</vt:lpwstr>
      </vt:variant>
      <vt:variant>
        <vt:lpwstr/>
      </vt:variant>
      <vt:variant>
        <vt:i4>3473481</vt:i4>
      </vt:variant>
      <vt:variant>
        <vt:i4>111</vt:i4>
      </vt:variant>
      <vt:variant>
        <vt:i4>0</vt:i4>
      </vt:variant>
      <vt:variant>
        <vt:i4>5</vt:i4>
      </vt:variant>
      <vt:variant>
        <vt:lpwstr>http://www.oecd.org/document/38/0,3343,en_2649_201185_45697574_1_1_1_1,00.html</vt:lpwstr>
      </vt:variant>
      <vt:variant>
        <vt:lpwstr/>
      </vt:variant>
      <vt:variant>
        <vt:i4>2621456</vt:i4>
      </vt:variant>
      <vt:variant>
        <vt:i4>108</vt:i4>
      </vt:variant>
      <vt:variant>
        <vt:i4>0</vt:i4>
      </vt:variant>
      <vt:variant>
        <vt:i4>5</vt:i4>
      </vt:variant>
      <vt:variant>
        <vt:lpwstr>http://www.imf.org/external/pubs/ft/wp/2010/wp10202.pdf</vt:lpwstr>
      </vt:variant>
      <vt:variant>
        <vt:lpwstr/>
      </vt:variant>
      <vt:variant>
        <vt:i4>2621463</vt:i4>
      </vt:variant>
      <vt:variant>
        <vt:i4>105</vt:i4>
      </vt:variant>
      <vt:variant>
        <vt:i4>0</vt:i4>
      </vt:variant>
      <vt:variant>
        <vt:i4>5</vt:i4>
      </vt:variant>
      <vt:variant>
        <vt:lpwstr>http://www.imf.org/external/pubs/ft/wp/2010/wp10205.pdf</vt:lpwstr>
      </vt:variant>
      <vt:variant>
        <vt:lpwstr/>
      </vt:variant>
      <vt:variant>
        <vt:i4>4325386</vt:i4>
      </vt:variant>
      <vt:variant>
        <vt:i4>102</vt:i4>
      </vt:variant>
      <vt:variant>
        <vt:i4>0</vt:i4>
      </vt:variant>
      <vt:variant>
        <vt:i4>5</vt:i4>
      </vt:variant>
      <vt:variant>
        <vt:lpwstr>http://www.imf.org/external/pubs/ft/scr/2010/cr10276.pdf</vt:lpwstr>
      </vt:variant>
      <vt:variant>
        <vt:lpwstr/>
      </vt:variant>
      <vt:variant>
        <vt:i4>393220</vt:i4>
      </vt:variant>
      <vt:variant>
        <vt:i4>99</vt:i4>
      </vt:variant>
      <vt:variant>
        <vt:i4>0</vt:i4>
      </vt:variant>
      <vt:variant>
        <vt:i4>5</vt:i4>
      </vt:variant>
      <vt:variant>
        <vt:lpwstr>http://www.ecb.int/pub/pdf/other/ecbstaffprojections201009en.pdf</vt:lpwstr>
      </vt:variant>
      <vt:variant>
        <vt:lpwstr/>
      </vt:variant>
      <vt:variant>
        <vt:i4>2162737</vt:i4>
      </vt:variant>
      <vt:variant>
        <vt:i4>96</vt:i4>
      </vt:variant>
      <vt:variant>
        <vt:i4>0</vt:i4>
      </vt:variant>
      <vt:variant>
        <vt:i4>5</vt:i4>
      </vt:variant>
      <vt:variant>
        <vt:lpwstr>http://www.consilium.europa.eu//uedocs/cms_data/docs/pressdata/en/ecofin/116295.pdf</vt:lpwstr>
      </vt:variant>
      <vt:variant>
        <vt:lpwstr/>
      </vt:variant>
      <vt:variant>
        <vt:i4>1114208</vt:i4>
      </vt:variant>
      <vt:variant>
        <vt:i4>93</vt:i4>
      </vt:variant>
      <vt:variant>
        <vt:i4>0</vt:i4>
      </vt:variant>
      <vt:variant>
        <vt:i4>5</vt:i4>
      </vt:variant>
      <vt:variant>
        <vt:lpwstr>http://www.ecb.int/press/pressconf/2010/html/is100902.en.html</vt:lpwstr>
      </vt:variant>
      <vt:variant>
        <vt:lpwstr/>
      </vt:variant>
      <vt:variant>
        <vt:i4>7864400</vt:i4>
      </vt:variant>
      <vt:variant>
        <vt:i4>90</vt:i4>
      </vt:variant>
      <vt:variant>
        <vt:i4>0</vt:i4>
      </vt:variant>
      <vt:variant>
        <vt:i4>5</vt:i4>
      </vt:variant>
      <vt:variant>
        <vt:lpwstr>http://www.ecb.int/press/key/date/2010/html/sp100903_1.en.html</vt:lpwstr>
      </vt:variant>
      <vt:variant>
        <vt:lpwstr/>
      </vt:variant>
      <vt:variant>
        <vt:i4>5046287</vt:i4>
      </vt:variant>
      <vt:variant>
        <vt:i4>87</vt:i4>
      </vt:variant>
      <vt:variant>
        <vt:i4>0</vt:i4>
      </vt:variant>
      <vt:variant>
        <vt:i4>5</vt:i4>
      </vt:variant>
      <vt:variant>
        <vt:lpwstr>http://www.ecb.int/press/key/date/2010/html/sp100907.en.html</vt:lpwstr>
      </vt:variant>
      <vt:variant>
        <vt:lpwstr/>
      </vt:variant>
      <vt:variant>
        <vt:i4>3932171</vt:i4>
      </vt:variant>
      <vt:variant>
        <vt:i4>84</vt:i4>
      </vt:variant>
      <vt:variant>
        <vt:i4>0</vt:i4>
      </vt:variant>
      <vt:variant>
        <vt:i4>5</vt:i4>
      </vt:variant>
      <vt:variant>
        <vt:lpwstr>http://www.ecb.int/press/pr/date/2010/html/pr100906.en.html</vt:lpwstr>
      </vt:variant>
      <vt:variant>
        <vt:lpwstr/>
      </vt:variant>
      <vt:variant>
        <vt:i4>7340137</vt:i4>
      </vt:variant>
      <vt:variant>
        <vt:i4>81</vt:i4>
      </vt:variant>
      <vt:variant>
        <vt:i4>0</vt:i4>
      </vt:variant>
      <vt:variant>
        <vt:i4>5</vt:i4>
      </vt:variant>
      <vt:variant>
        <vt:lpwstr>http://www.ecb.int/pub/pdf/other/paymentsystem200909en.pdf</vt:lpwstr>
      </vt:variant>
      <vt:variant>
        <vt:lpwstr/>
      </vt:variant>
      <vt:variant>
        <vt:i4>3932165</vt:i4>
      </vt:variant>
      <vt:variant>
        <vt:i4>78</vt:i4>
      </vt:variant>
      <vt:variant>
        <vt:i4>0</vt:i4>
      </vt:variant>
      <vt:variant>
        <vt:i4>5</vt:i4>
      </vt:variant>
      <vt:variant>
        <vt:lpwstr>http://www.ecb.int/press/pr/date/2010/html/pr100908.en.html</vt:lpwstr>
      </vt:variant>
      <vt:variant>
        <vt:lpwstr/>
      </vt:variant>
      <vt:variant>
        <vt:i4>4522049</vt:i4>
      </vt:variant>
      <vt:variant>
        <vt:i4>75</vt:i4>
      </vt:variant>
      <vt:variant>
        <vt:i4>0</vt:i4>
      </vt:variant>
      <vt:variant>
        <vt:i4>5</vt:i4>
      </vt:variant>
      <vt:variant>
        <vt:lpwstr>http://www.ecb.int/pub/pdf/other/eurosystemassessmentreportimplementationbusinesscontinuityoversightexpectationssien.pdf</vt:lpwstr>
      </vt:variant>
      <vt:variant>
        <vt:lpwstr/>
      </vt:variant>
      <vt:variant>
        <vt:i4>2162712</vt:i4>
      </vt:variant>
      <vt:variant>
        <vt:i4>72</vt:i4>
      </vt:variant>
      <vt:variant>
        <vt:i4>0</vt:i4>
      </vt:variant>
      <vt:variant>
        <vt:i4>5</vt:i4>
      </vt:variant>
      <vt:variant>
        <vt:lpwstr>http://www.imf.org/external/pubs/ft/wp/2010/wp10199.pdf</vt:lpwstr>
      </vt:variant>
      <vt:variant>
        <vt:lpwstr/>
      </vt:variant>
      <vt:variant>
        <vt:i4>3473409</vt:i4>
      </vt:variant>
      <vt:variant>
        <vt:i4>69</vt:i4>
      </vt:variant>
      <vt:variant>
        <vt:i4>0</vt:i4>
      </vt:variant>
      <vt:variant>
        <vt:i4>5</vt:i4>
      </vt:variant>
      <vt:variant>
        <vt:lpwstr>http://www.imf.org/external/np/tr/2010/tr090110.htm</vt:lpwstr>
      </vt:variant>
      <vt:variant>
        <vt:lpwstr/>
      </vt:variant>
      <vt:variant>
        <vt:i4>7012408</vt:i4>
      </vt:variant>
      <vt:variant>
        <vt:i4>66</vt:i4>
      </vt:variant>
      <vt:variant>
        <vt:i4>0</vt:i4>
      </vt:variant>
      <vt:variant>
        <vt:i4>5</vt:i4>
      </vt:variant>
      <vt:variant>
        <vt:lpwstr>http://www.bis.org/publ/bppdf/bispap53.htm</vt:lpwstr>
      </vt:variant>
      <vt:variant>
        <vt:lpwstr/>
      </vt:variant>
      <vt:variant>
        <vt:i4>2949246</vt:i4>
      </vt:variant>
      <vt:variant>
        <vt:i4>63</vt:i4>
      </vt:variant>
      <vt:variant>
        <vt:i4>0</vt:i4>
      </vt:variant>
      <vt:variant>
        <vt:i4>5</vt:i4>
      </vt:variant>
      <vt:variant>
        <vt:lpwstr>http://www.bis.org/publ/qtrpdf/r_qt1009e.pdf?noframes=1</vt:lpwstr>
      </vt:variant>
      <vt:variant>
        <vt:lpwstr/>
      </vt:variant>
      <vt:variant>
        <vt:i4>3014782</vt:i4>
      </vt:variant>
      <vt:variant>
        <vt:i4>60</vt:i4>
      </vt:variant>
      <vt:variant>
        <vt:i4>0</vt:i4>
      </vt:variant>
      <vt:variant>
        <vt:i4>5</vt:i4>
      </vt:variant>
      <vt:variant>
        <vt:lpwstr>http://www.bis.org/publ/qtrpdf/r_qt1009f.pdf?noframes=1</vt:lpwstr>
      </vt:variant>
      <vt:variant>
        <vt:lpwstr/>
      </vt:variant>
      <vt:variant>
        <vt:i4>3080318</vt:i4>
      </vt:variant>
      <vt:variant>
        <vt:i4>57</vt:i4>
      </vt:variant>
      <vt:variant>
        <vt:i4>0</vt:i4>
      </vt:variant>
      <vt:variant>
        <vt:i4>5</vt:i4>
      </vt:variant>
      <vt:variant>
        <vt:lpwstr>http://www.bis.org/publ/qtrpdf/r_qt1009g.pdf?noframes=1</vt:lpwstr>
      </vt:variant>
      <vt:variant>
        <vt:lpwstr/>
      </vt:variant>
      <vt:variant>
        <vt:i4>2097278</vt:i4>
      </vt:variant>
      <vt:variant>
        <vt:i4>54</vt:i4>
      </vt:variant>
      <vt:variant>
        <vt:i4>0</vt:i4>
      </vt:variant>
      <vt:variant>
        <vt:i4>5</vt:i4>
      </vt:variant>
      <vt:variant>
        <vt:lpwstr>http://www.bis.org/publ/qtrpdf/r_qt1009h.pdf?noframes=1</vt:lpwstr>
      </vt:variant>
      <vt:variant>
        <vt:lpwstr/>
      </vt:variant>
      <vt:variant>
        <vt:i4>1179747</vt:i4>
      </vt:variant>
      <vt:variant>
        <vt:i4>51</vt:i4>
      </vt:variant>
      <vt:variant>
        <vt:i4>0</vt:i4>
      </vt:variant>
      <vt:variant>
        <vt:i4>5</vt:i4>
      </vt:variant>
      <vt:variant>
        <vt:lpwstr>http://www.bis.org/publ/qtrpdf/r_qt1009x.htm</vt:lpwstr>
      </vt:variant>
      <vt:variant>
        <vt:lpwstr/>
      </vt:variant>
      <vt:variant>
        <vt:i4>1769587</vt:i4>
      </vt:variant>
      <vt:variant>
        <vt:i4>48</vt:i4>
      </vt:variant>
      <vt:variant>
        <vt:i4>0</vt:i4>
      </vt:variant>
      <vt:variant>
        <vt:i4>5</vt:i4>
      </vt:variant>
      <vt:variant>
        <vt:lpwstr>http://www.bis.org/publ/qtrpdf/r_qt1009b.pdf</vt:lpwstr>
      </vt:variant>
      <vt:variant>
        <vt:lpwstr/>
      </vt:variant>
      <vt:variant>
        <vt:i4>1900643</vt:i4>
      </vt:variant>
      <vt:variant>
        <vt:i4>45</vt:i4>
      </vt:variant>
      <vt:variant>
        <vt:i4>0</vt:i4>
      </vt:variant>
      <vt:variant>
        <vt:i4>5</vt:i4>
      </vt:variant>
      <vt:variant>
        <vt:lpwstr>http://www.bis.org/publ/qtrpdf/r_qt1009w.htm</vt:lpwstr>
      </vt:variant>
      <vt:variant>
        <vt:lpwstr/>
      </vt:variant>
      <vt:variant>
        <vt:i4>1572979</vt:i4>
      </vt:variant>
      <vt:variant>
        <vt:i4>42</vt:i4>
      </vt:variant>
      <vt:variant>
        <vt:i4>0</vt:i4>
      </vt:variant>
      <vt:variant>
        <vt:i4>5</vt:i4>
      </vt:variant>
      <vt:variant>
        <vt:lpwstr>http://www.bis.org/publ/qtrpdf/r_qt1009a.pdf</vt:lpwstr>
      </vt:variant>
      <vt:variant>
        <vt:lpwstr/>
      </vt:variant>
      <vt:variant>
        <vt:i4>2621459</vt:i4>
      </vt:variant>
      <vt:variant>
        <vt:i4>39</vt:i4>
      </vt:variant>
      <vt:variant>
        <vt:i4>0</vt:i4>
      </vt:variant>
      <vt:variant>
        <vt:i4>5</vt:i4>
      </vt:variant>
      <vt:variant>
        <vt:lpwstr>http://www.imf.org/external/pubs/ft/wp/2010/wp10201.pdf</vt:lpwstr>
      </vt:variant>
      <vt:variant>
        <vt:lpwstr/>
      </vt:variant>
      <vt:variant>
        <vt:i4>2621460</vt:i4>
      </vt:variant>
      <vt:variant>
        <vt:i4>36</vt:i4>
      </vt:variant>
      <vt:variant>
        <vt:i4>0</vt:i4>
      </vt:variant>
      <vt:variant>
        <vt:i4>5</vt:i4>
      </vt:variant>
      <vt:variant>
        <vt:lpwstr>http://www.imf.org/external/pubs/ft/wp/2010/wp10206.pdf</vt:lpwstr>
      </vt:variant>
      <vt:variant>
        <vt:lpwstr/>
      </vt:variant>
      <vt:variant>
        <vt:i4>4653126</vt:i4>
      </vt:variant>
      <vt:variant>
        <vt:i4>33</vt:i4>
      </vt:variant>
      <vt:variant>
        <vt:i4>0</vt:i4>
      </vt:variant>
      <vt:variant>
        <vt:i4>5</vt:i4>
      </vt:variant>
      <vt:variant>
        <vt:lpwstr>http://europa.eu/rapid/pressReleasesAction.do?reference=IP/10/1092&amp;format=HTML&amp;aged=0&amp;language=EN&amp;guiLanguage=en</vt:lpwstr>
      </vt:variant>
      <vt:variant>
        <vt:lpwstr/>
      </vt:variant>
      <vt:variant>
        <vt:i4>5505139</vt:i4>
      </vt:variant>
      <vt:variant>
        <vt:i4>30</vt:i4>
      </vt:variant>
      <vt:variant>
        <vt:i4>0</vt:i4>
      </vt:variant>
      <vt:variant>
        <vt:i4>5</vt:i4>
      </vt:variant>
      <vt:variant>
        <vt:lpwstr>http://europa.eu/rapid/pressReleasesAction.do?reference=MEMO/10/395&amp;format=HTML&amp;aged=0&amp;language=EN&amp;guiLanguage=en</vt:lpwstr>
      </vt:variant>
      <vt:variant>
        <vt:lpwstr/>
      </vt:variant>
      <vt:variant>
        <vt:i4>6488126</vt:i4>
      </vt:variant>
      <vt:variant>
        <vt:i4>27</vt:i4>
      </vt:variant>
      <vt:variant>
        <vt:i4>0</vt:i4>
      </vt:variant>
      <vt:variant>
        <vt:i4>5</vt:i4>
      </vt:variant>
      <vt:variant>
        <vt:lpwstr>http://www.ecb.int/press/pr/date/2010/html/pr100902_1.en.html</vt:lpwstr>
      </vt:variant>
      <vt:variant>
        <vt:lpwstr/>
      </vt:variant>
      <vt:variant>
        <vt:i4>4063283</vt:i4>
      </vt:variant>
      <vt:variant>
        <vt:i4>24</vt:i4>
      </vt:variant>
      <vt:variant>
        <vt:i4>0</vt:i4>
      </vt:variant>
      <vt:variant>
        <vt:i4>5</vt:i4>
      </vt:variant>
      <vt:variant>
        <vt:lpwstr>http://www.bis.org/review/r100903e.pdf</vt:lpwstr>
      </vt:variant>
      <vt:variant>
        <vt:lpwstr/>
      </vt:variant>
      <vt:variant>
        <vt:i4>3997747</vt:i4>
      </vt:variant>
      <vt:variant>
        <vt:i4>21</vt:i4>
      </vt:variant>
      <vt:variant>
        <vt:i4>0</vt:i4>
      </vt:variant>
      <vt:variant>
        <vt:i4>5</vt:i4>
      </vt:variant>
      <vt:variant>
        <vt:lpwstr>http://www.bis.org/review/r100903f.pdf</vt:lpwstr>
      </vt:variant>
      <vt:variant>
        <vt:lpwstr/>
      </vt:variant>
      <vt:variant>
        <vt:i4>4128824</vt:i4>
      </vt:variant>
      <vt:variant>
        <vt:i4>18</vt:i4>
      </vt:variant>
      <vt:variant>
        <vt:i4>0</vt:i4>
      </vt:variant>
      <vt:variant>
        <vt:i4>5</vt:i4>
      </vt:variant>
      <vt:variant>
        <vt:lpwstr>http://www.bis.org/review/r100908d.pdf</vt:lpwstr>
      </vt:variant>
      <vt:variant>
        <vt:lpwstr/>
      </vt:variant>
      <vt:variant>
        <vt:i4>3801139</vt:i4>
      </vt:variant>
      <vt:variant>
        <vt:i4>15</vt:i4>
      </vt:variant>
      <vt:variant>
        <vt:i4>0</vt:i4>
      </vt:variant>
      <vt:variant>
        <vt:i4>5</vt:i4>
      </vt:variant>
      <vt:variant>
        <vt:lpwstr>http://www.bis.org/review/r100903a.pdf</vt:lpwstr>
      </vt:variant>
      <vt:variant>
        <vt:lpwstr/>
      </vt:variant>
      <vt:variant>
        <vt:i4>5308492</vt:i4>
      </vt:variant>
      <vt:variant>
        <vt:i4>12</vt:i4>
      </vt:variant>
      <vt:variant>
        <vt:i4>0</vt:i4>
      </vt:variant>
      <vt:variant>
        <vt:i4>5</vt:i4>
      </vt:variant>
      <vt:variant>
        <vt:lpwstr>http://www.bis.org/speeches/sp100903.pdf</vt:lpwstr>
      </vt:variant>
      <vt:variant>
        <vt:lpwstr/>
      </vt:variant>
      <vt:variant>
        <vt:i4>2621458</vt:i4>
      </vt:variant>
      <vt:variant>
        <vt:i4>9</vt:i4>
      </vt:variant>
      <vt:variant>
        <vt:i4>0</vt:i4>
      </vt:variant>
      <vt:variant>
        <vt:i4>5</vt:i4>
      </vt:variant>
      <vt:variant>
        <vt:lpwstr>http://www.imf.org/external/pubs/ft/wp/2010/wp10200.pdf</vt:lpwstr>
      </vt:variant>
      <vt:variant>
        <vt:lpwstr/>
      </vt:variant>
      <vt:variant>
        <vt:i4>4063288</vt:i4>
      </vt:variant>
      <vt:variant>
        <vt:i4>6</vt:i4>
      </vt:variant>
      <vt:variant>
        <vt:i4>0</vt:i4>
      </vt:variant>
      <vt:variant>
        <vt:i4>5</vt:i4>
      </vt:variant>
      <vt:variant>
        <vt:lpwstr>http://www.bis.org/review/r100908e.pdf</vt:lpwstr>
      </vt:variant>
      <vt:variant>
        <vt:lpwstr/>
      </vt:variant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http://www.bis.org/review/r100908b.pdf</vt:lpwstr>
      </vt:variant>
      <vt:variant>
        <vt:lpwstr/>
      </vt:variant>
      <vt:variant>
        <vt:i4>4784143</vt:i4>
      </vt:variant>
      <vt:variant>
        <vt:i4>0</vt:i4>
      </vt:variant>
      <vt:variant>
        <vt:i4>0</vt:i4>
      </vt:variant>
      <vt:variant>
        <vt:i4>5</vt:i4>
      </vt:variant>
      <vt:variant>
        <vt:lpwstr>http://www.ecb.int/press/key/date/2010/html/sp100903.en.html</vt:lpwstr>
      </vt:variant>
      <vt:variant>
        <vt:lpwstr/>
      </vt:variant>
      <vt:variant>
        <vt:i4>983090</vt:i4>
      </vt:variant>
      <vt:variant>
        <vt:i4>33107</vt:i4>
      </vt:variant>
      <vt:variant>
        <vt:i4>1025</vt:i4>
      </vt:variant>
      <vt:variant>
        <vt:i4>1</vt:i4>
      </vt:variant>
      <vt:variant>
        <vt:lpwstr>li_press</vt:lpwstr>
      </vt:variant>
      <vt:variant>
        <vt:lpwstr/>
      </vt:variant>
      <vt:variant>
        <vt:i4>3407921</vt:i4>
      </vt:variant>
      <vt:variant>
        <vt:i4>-1</vt:i4>
      </vt:variant>
      <vt:variant>
        <vt:i4>1028</vt:i4>
      </vt:variant>
      <vt:variant>
        <vt:i4>1</vt:i4>
      </vt:variant>
      <vt:variant>
        <vt:lpwstr>online-kiadvany-borito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Nemzetközi tájékoztató</dc:title>
  <dc:creator>Fülöp Szilvia Dr.</dc:creator>
  <cp:lastModifiedBy>SZB</cp:lastModifiedBy>
  <cp:revision>6</cp:revision>
  <cp:lastPrinted>2016-04-05T13:40:00Z</cp:lastPrinted>
  <dcterms:created xsi:type="dcterms:W3CDTF">2026-07-27T14:43:00Z</dcterms:created>
  <dcterms:modified xsi:type="dcterms:W3CDTF">2026-07-27T14:44:00Z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>NKI</vt:lpwstr>
  </property>
  <property fmtid="{D5CDD505-2E9C-101B-9397-08002B2CF9AE}" pid="4" name="Status">
    <vt:lpwstr/>
  </property>
</Properties>
</file>