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33EC" w14:textId="77777777" w:rsidR="002972D3" w:rsidRPr="00FC0538" w:rsidRDefault="002972D3" w:rsidP="002972D3">
      <w:pPr>
        <w:widowControl w:val="0"/>
        <w:spacing w:before="11" w:after="0" w:line="220" w:lineRule="exact"/>
        <w:rPr>
          <w:rFonts w:eastAsia="Calibri" w:cs="Times New Roman"/>
        </w:rPr>
      </w:pPr>
    </w:p>
    <w:p w14:paraId="7519D0A1" w14:textId="77777777" w:rsidR="002972D3" w:rsidRPr="00FC0538" w:rsidRDefault="002972D3" w:rsidP="0067719B">
      <w:pPr>
        <w:widowControl w:val="0"/>
        <w:spacing w:before="19" w:after="0" w:line="240" w:lineRule="auto"/>
        <w:ind w:left="216" w:right="-20"/>
        <w:rPr>
          <w:rFonts w:eastAsia="Calibri" w:cs="Calibri"/>
        </w:rPr>
      </w:pPr>
      <w:r>
        <w:rPr>
          <w:rFonts w:eastAsia="Calibri" w:cs="Calibri"/>
          <w:b/>
          <w:bCs/>
          <w:lang w:val="en-GB"/>
        </w:rPr>
        <w:t>Annex 1</w:t>
      </w:r>
    </w:p>
    <w:p w14:paraId="7A659FE7" w14:textId="77777777" w:rsidR="002972D3" w:rsidRPr="00FC0538" w:rsidRDefault="002972D3" w:rsidP="002972D3">
      <w:pPr>
        <w:widowControl w:val="0"/>
        <w:spacing w:before="3" w:after="0" w:line="240" w:lineRule="exact"/>
        <w:rPr>
          <w:rFonts w:eastAsia="Calibri" w:cs="Times New Roman"/>
          <w:sz w:val="24"/>
          <w:szCs w:val="24"/>
        </w:rPr>
      </w:pPr>
    </w:p>
    <w:tbl>
      <w:tblPr>
        <w:tblW w:w="9254" w:type="dxa"/>
        <w:tblInd w:w="97" w:type="dxa"/>
        <w:tblLayout w:type="fixed"/>
        <w:tblCellMar>
          <w:left w:w="0" w:type="dxa"/>
          <w:right w:w="0" w:type="dxa"/>
        </w:tblCellMar>
        <w:tblLook w:val="01E0" w:firstRow="1" w:lastRow="1" w:firstColumn="1" w:lastColumn="1" w:noHBand="0" w:noVBand="0"/>
      </w:tblPr>
      <w:tblGrid>
        <w:gridCol w:w="9254"/>
      </w:tblGrid>
      <w:tr w:rsidR="002972D3" w:rsidRPr="0010391B" w14:paraId="259A1367" w14:textId="77777777" w:rsidTr="001D7E42">
        <w:trPr>
          <w:trHeight w:val="20"/>
        </w:trPr>
        <w:tc>
          <w:tcPr>
            <w:tcW w:w="9254" w:type="dxa"/>
            <w:tcBorders>
              <w:top w:val="single" w:sz="4" w:space="0" w:color="000000"/>
              <w:left w:val="single" w:sz="4" w:space="0" w:color="000000"/>
              <w:bottom w:val="single" w:sz="4" w:space="0" w:color="000000"/>
              <w:right w:val="single" w:sz="4" w:space="0" w:color="000000"/>
            </w:tcBorders>
            <w:shd w:val="clear" w:color="auto" w:fill="B8CCE3"/>
          </w:tcPr>
          <w:p w14:paraId="27B46505" w14:textId="77777777" w:rsidR="002972D3" w:rsidRPr="00FC0538" w:rsidRDefault="002972D3" w:rsidP="002972D3">
            <w:pPr>
              <w:widowControl w:val="0"/>
              <w:spacing w:before="7" w:after="0" w:line="190" w:lineRule="exact"/>
              <w:rPr>
                <w:rFonts w:eastAsia="Calibri" w:cs="Times New Roman"/>
                <w:sz w:val="19"/>
                <w:szCs w:val="19"/>
              </w:rPr>
            </w:pPr>
          </w:p>
          <w:p w14:paraId="4E942D48" w14:textId="169A9BB6" w:rsidR="002972D3" w:rsidRPr="00FC0538" w:rsidRDefault="002972D3" w:rsidP="002972D3">
            <w:pPr>
              <w:widowControl w:val="0"/>
              <w:spacing w:after="0" w:line="240" w:lineRule="auto"/>
              <w:ind w:left="2402" w:right="-20"/>
              <w:rPr>
                <w:rFonts w:eastAsia="Calibri" w:cs="Calibri"/>
              </w:rPr>
            </w:pPr>
            <w:r>
              <w:rPr>
                <w:rFonts w:eastAsia="Calibri" w:cs="Calibri"/>
                <w:b/>
                <w:bCs/>
                <w:lang w:val="en-GB"/>
              </w:rPr>
              <w:t>General goods law in the area of money and capital markets</w:t>
            </w:r>
          </w:p>
        </w:tc>
      </w:tr>
    </w:tbl>
    <w:p w14:paraId="1ED8E469" w14:textId="77777777" w:rsidR="007529CF" w:rsidRPr="007529CF" w:rsidRDefault="007529CF" w:rsidP="001D7E42">
      <w:pPr>
        <w:spacing w:after="0"/>
        <w:rPr>
          <w:sz w:val="4"/>
          <w:szCs w:val="4"/>
        </w:rPr>
      </w:pPr>
    </w:p>
    <w:tbl>
      <w:tblPr>
        <w:tblW w:w="9418" w:type="dxa"/>
        <w:tblInd w:w="97" w:type="dxa"/>
        <w:tblLayout w:type="fixed"/>
        <w:tblCellMar>
          <w:left w:w="0" w:type="dxa"/>
          <w:right w:w="0" w:type="dxa"/>
        </w:tblCellMar>
        <w:tblLook w:val="01E0" w:firstRow="1" w:lastRow="1" w:firstColumn="1" w:lastColumn="1" w:noHBand="0" w:noVBand="0"/>
      </w:tblPr>
      <w:tblGrid>
        <w:gridCol w:w="3442"/>
        <w:gridCol w:w="23"/>
        <w:gridCol w:w="4513"/>
        <w:gridCol w:w="1276"/>
        <w:gridCol w:w="36"/>
        <w:gridCol w:w="128"/>
      </w:tblGrid>
      <w:tr w:rsidR="002972D3" w:rsidRPr="0010391B" w14:paraId="34251135" w14:textId="77777777" w:rsidTr="001D7E42">
        <w:trPr>
          <w:gridAfter w:val="2"/>
          <w:wAfter w:w="164" w:type="dxa"/>
          <w:trHeight w:val="20"/>
          <w:tblHeader/>
        </w:trPr>
        <w:tc>
          <w:tcPr>
            <w:tcW w:w="9254" w:type="dxa"/>
            <w:gridSpan w:val="4"/>
            <w:tcBorders>
              <w:top w:val="single" w:sz="4" w:space="0" w:color="000000"/>
              <w:left w:val="single" w:sz="4" w:space="0" w:color="000000"/>
              <w:bottom w:val="single" w:sz="4" w:space="0" w:color="000000"/>
              <w:right w:val="single" w:sz="4" w:space="0" w:color="000000"/>
            </w:tcBorders>
            <w:shd w:val="clear" w:color="auto" w:fill="B6DDE8"/>
          </w:tcPr>
          <w:p w14:paraId="22E70DA4" w14:textId="4DDE648B" w:rsidR="002972D3" w:rsidRPr="00FC0538" w:rsidRDefault="001D7E42" w:rsidP="002972D3">
            <w:pPr>
              <w:widowControl w:val="0"/>
              <w:spacing w:before="3" w:after="0" w:line="180" w:lineRule="exact"/>
              <w:rPr>
                <w:rFonts w:eastAsia="Calibri" w:cs="Times New Roman"/>
                <w:sz w:val="18"/>
                <w:szCs w:val="18"/>
              </w:rPr>
            </w:pPr>
            <w:r>
              <w:rPr>
                <w:sz w:val="2"/>
                <w:szCs w:val="2"/>
                <w:lang w:val="en-GB"/>
              </w:rPr>
              <w:br w:type="page"/>
            </w:r>
          </w:p>
          <w:p w14:paraId="15032166" w14:textId="090A09DD" w:rsidR="002972D3" w:rsidRPr="00FC0538" w:rsidRDefault="002972D3" w:rsidP="001D7E42">
            <w:pPr>
              <w:widowControl w:val="0"/>
              <w:spacing w:after="0" w:line="240" w:lineRule="auto"/>
              <w:jc w:val="center"/>
              <w:rPr>
                <w:rFonts w:eastAsia="Calibri" w:cs="Calibri"/>
              </w:rPr>
            </w:pPr>
            <w:r>
              <w:rPr>
                <w:rFonts w:eastAsia="Calibri" w:cs="Calibri"/>
                <w:b/>
                <w:bCs/>
                <w:lang w:val="en-GB"/>
              </w:rPr>
              <w:t>Acts</w:t>
            </w:r>
          </w:p>
        </w:tc>
      </w:tr>
      <w:tr w:rsidR="002972D3" w:rsidRPr="0010391B" w14:paraId="3F73177C"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0D11FF37" w14:textId="77777777" w:rsidR="002972D3" w:rsidRPr="00FC0538" w:rsidRDefault="002972D3" w:rsidP="002972D3">
            <w:pPr>
              <w:widowControl w:val="0"/>
              <w:spacing w:before="3" w:after="0" w:line="240" w:lineRule="exact"/>
              <w:rPr>
                <w:rFonts w:eastAsia="Calibri" w:cs="Times New Roman"/>
                <w:sz w:val="24"/>
                <w:szCs w:val="24"/>
              </w:rPr>
            </w:pPr>
          </w:p>
          <w:p w14:paraId="0678961C" w14:textId="77777777" w:rsidR="002972D3" w:rsidRPr="00FC0538" w:rsidRDefault="002972D3" w:rsidP="002972D3">
            <w:pPr>
              <w:widowControl w:val="0"/>
              <w:spacing w:after="0" w:line="240" w:lineRule="auto"/>
              <w:ind w:left="103" w:right="583"/>
              <w:rPr>
                <w:rFonts w:eastAsia="Calibri" w:cs="Calibri"/>
              </w:rPr>
            </w:pPr>
            <w:r>
              <w:rPr>
                <w:rFonts w:eastAsia="Calibri" w:cs="Calibri"/>
                <w:lang w:val="en-GB"/>
              </w:rPr>
              <w:t>Act CCXXXVII of 2013 on Credit Institutions and Financial Enterprises</w:t>
            </w:r>
          </w:p>
        </w:tc>
        <w:tc>
          <w:tcPr>
            <w:tcW w:w="4536" w:type="dxa"/>
            <w:gridSpan w:val="2"/>
            <w:tcBorders>
              <w:top w:val="single" w:sz="4" w:space="0" w:color="000000"/>
              <w:left w:val="single" w:sz="4" w:space="0" w:color="000000"/>
              <w:bottom w:val="single" w:sz="4" w:space="0" w:color="000000"/>
              <w:right w:val="single" w:sz="4" w:space="0" w:color="000000"/>
            </w:tcBorders>
          </w:tcPr>
          <w:p w14:paraId="5B235B54" w14:textId="77777777" w:rsidR="002972D3" w:rsidRPr="00FC0538" w:rsidRDefault="002972D3" w:rsidP="002972D3">
            <w:pPr>
              <w:widowControl w:val="0"/>
              <w:spacing w:before="1" w:after="0" w:line="120" w:lineRule="exact"/>
              <w:rPr>
                <w:rFonts w:eastAsia="Calibri" w:cs="Times New Roman"/>
                <w:sz w:val="12"/>
                <w:szCs w:val="12"/>
              </w:rPr>
            </w:pPr>
          </w:p>
          <w:p w14:paraId="76739754" w14:textId="43064E97" w:rsidR="002972D3" w:rsidRPr="00FC0538" w:rsidRDefault="00BF0D2E" w:rsidP="002972D3">
            <w:pPr>
              <w:widowControl w:val="0"/>
              <w:spacing w:after="0" w:line="240" w:lineRule="auto"/>
              <w:ind w:left="105" w:right="-20"/>
              <w:rPr>
                <w:rFonts w:eastAsia="Calibri" w:cs="Calibri"/>
              </w:rPr>
            </w:pPr>
            <w:r>
              <w:rPr>
                <w:rFonts w:eastAsia="Calibri" w:cs="Calibri"/>
                <w:lang w:val="en-GB"/>
              </w:rPr>
              <w:t>Scope of the Act</w:t>
            </w:r>
          </w:p>
        </w:tc>
        <w:tc>
          <w:tcPr>
            <w:tcW w:w="1276" w:type="dxa"/>
            <w:tcBorders>
              <w:top w:val="single" w:sz="4" w:space="0" w:color="000000"/>
              <w:left w:val="single" w:sz="4" w:space="0" w:color="000000"/>
              <w:bottom w:val="single" w:sz="4" w:space="0" w:color="000000"/>
              <w:right w:val="single" w:sz="4" w:space="0" w:color="000000"/>
            </w:tcBorders>
          </w:tcPr>
          <w:p w14:paraId="4B816E59" w14:textId="77777777" w:rsidR="002972D3" w:rsidRPr="00FC0538" w:rsidRDefault="002972D3" w:rsidP="002972D3">
            <w:pPr>
              <w:widowControl w:val="0"/>
              <w:spacing w:after="0" w:line="240" w:lineRule="auto"/>
              <w:ind w:left="102" w:right="-20"/>
              <w:rPr>
                <w:rFonts w:eastAsia="Calibri" w:cs="Calibri"/>
              </w:rPr>
            </w:pPr>
            <w:r>
              <w:rPr>
                <w:rFonts w:eastAsia="Calibri" w:cs="Calibri"/>
                <w:lang w:val="en-GB"/>
              </w:rPr>
              <w:t>Sections 1–2</w:t>
            </w:r>
          </w:p>
        </w:tc>
      </w:tr>
      <w:tr w:rsidR="002972D3" w:rsidRPr="0010391B" w14:paraId="5A9B6213" w14:textId="77777777" w:rsidTr="00B02B13">
        <w:trPr>
          <w:gridAfter w:val="2"/>
          <w:wAfter w:w="164" w:type="dxa"/>
          <w:trHeight w:val="20"/>
        </w:trPr>
        <w:tc>
          <w:tcPr>
            <w:tcW w:w="3442" w:type="dxa"/>
            <w:vMerge/>
            <w:tcBorders>
              <w:left w:val="single" w:sz="4" w:space="0" w:color="000000"/>
              <w:right w:val="single" w:sz="4" w:space="0" w:color="000000"/>
            </w:tcBorders>
          </w:tcPr>
          <w:p w14:paraId="3D58D10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356EEDB"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Financial services and financial auxiliary services</w:t>
            </w:r>
          </w:p>
          <w:p w14:paraId="0915F2B9" w14:textId="77777777" w:rsidR="002972D3" w:rsidRPr="00A247CB" w:rsidRDefault="002972D3" w:rsidP="002972D3">
            <w:pPr>
              <w:widowControl w:val="0"/>
              <w:spacing w:after="0" w:line="240" w:lineRule="auto"/>
              <w:ind w:left="105" w:right="-20"/>
              <w:rPr>
                <w:rFonts w:eastAsia="Calibri" w:cs="Calibri"/>
              </w:rPr>
            </w:pPr>
          </w:p>
        </w:tc>
        <w:tc>
          <w:tcPr>
            <w:tcW w:w="1276" w:type="dxa"/>
            <w:tcBorders>
              <w:top w:val="single" w:sz="4" w:space="0" w:color="000000"/>
              <w:left w:val="single" w:sz="4" w:space="0" w:color="000000"/>
              <w:bottom w:val="single" w:sz="4" w:space="0" w:color="000000"/>
              <w:right w:val="single" w:sz="4" w:space="0" w:color="000000"/>
            </w:tcBorders>
          </w:tcPr>
          <w:p w14:paraId="2A0D484C"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3–5</w:t>
            </w:r>
          </w:p>
        </w:tc>
      </w:tr>
      <w:tr w:rsidR="002972D3" w:rsidRPr="0010391B" w14:paraId="4AE991D4" w14:textId="77777777" w:rsidTr="00B02B13">
        <w:trPr>
          <w:gridAfter w:val="2"/>
          <w:wAfter w:w="164" w:type="dxa"/>
          <w:trHeight w:val="20"/>
        </w:trPr>
        <w:tc>
          <w:tcPr>
            <w:tcW w:w="3442" w:type="dxa"/>
            <w:vMerge/>
            <w:tcBorders>
              <w:left w:val="single" w:sz="4" w:space="0" w:color="000000"/>
              <w:right w:val="single" w:sz="4" w:space="0" w:color="000000"/>
            </w:tcBorders>
          </w:tcPr>
          <w:p w14:paraId="160E644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1297E16" w14:textId="77777777" w:rsidR="002972D3" w:rsidRPr="00A247CB" w:rsidRDefault="002972D3" w:rsidP="002972D3">
            <w:pPr>
              <w:widowControl w:val="0"/>
              <w:spacing w:before="1" w:after="0" w:line="120" w:lineRule="exact"/>
              <w:rPr>
                <w:rFonts w:eastAsia="Calibri" w:cs="Times New Roman"/>
                <w:sz w:val="12"/>
                <w:szCs w:val="12"/>
              </w:rPr>
            </w:pPr>
          </w:p>
          <w:p w14:paraId="6FD6F5B8"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Financial institution</w:t>
            </w:r>
          </w:p>
        </w:tc>
        <w:tc>
          <w:tcPr>
            <w:tcW w:w="1276" w:type="dxa"/>
            <w:tcBorders>
              <w:top w:val="single" w:sz="4" w:space="0" w:color="000000"/>
              <w:left w:val="single" w:sz="4" w:space="0" w:color="000000"/>
              <w:bottom w:val="single" w:sz="4" w:space="0" w:color="000000"/>
              <w:right w:val="single" w:sz="4" w:space="0" w:color="000000"/>
            </w:tcBorders>
          </w:tcPr>
          <w:p w14:paraId="249D8AFB"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7</w:t>
            </w:r>
          </w:p>
        </w:tc>
      </w:tr>
      <w:tr w:rsidR="002972D3" w:rsidRPr="0010391B" w14:paraId="7D0DC30A" w14:textId="77777777" w:rsidTr="00B02B13">
        <w:trPr>
          <w:gridAfter w:val="2"/>
          <w:wAfter w:w="164" w:type="dxa"/>
          <w:trHeight w:val="20"/>
        </w:trPr>
        <w:tc>
          <w:tcPr>
            <w:tcW w:w="3442" w:type="dxa"/>
            <w:vMerge/>
            <w:tcBorders>
              <w:left w:val="single" w:sz="4" w:space="0" w:color="000000"/>
              <w:right w:val="single" w:sz="4" w:space="0" w:color="000000"/>
            </w:tcBorders>
          </w:tcPr>
          <w:p w14:paraId="7D8C5943"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C496B16" w14:textId="77777777" w:rsidR="002972D3" w:rsidRPr="00A247CB" w:rsidRDefault="002972D3" w:rsidP="002972D3">
            <w:pPr>
              <w:widowControl w:val="0"/>
              <w:spacing w:before="51" w:after="0" w:line="240" w:lineRule="auto"/>
              <w:ind w:left="105" w:right="-20"/>
              <w:rPr>
                <w:rFonts w:eastAsia="Calibri" w:cs="Calibri"/>
              </w:rPr>
            </w:pPr>
            <w:r>
              <w:rPr>
                <w:rFonts w:eastAsia="Calibri" w:cs="Calibri"/>
                <w:lang w:val="en-GB"/>
              </w:rPr>
              <w:t>Credit institutions and the legal form of credit institutions</w:t>
            </w:r>
          </w:p>
        </w:tc>
        <w:tc>
          <w:tcPr>
            <w:tcW w:w="1276" w:type="dxa"/>
            <w:tcBorders>
              <w:top w:val="single" w:sz="4" w:space="0" w:color="000000"/>
              <w:left w:val="single" w:sz="4" w:space="0" w:color="000000"/>
              <w:bottom w:val="single" w:sz="4" w:space="0" w:color="000000"/>
              <w:right w:val="single" w:sz="4" w:space="0" w:color="000000"/>
            </w:tcBorders>
          </w:tcPr>
          <w:p w14:paraId="779DD553"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8</w:t>
            </w:r>
          </w:p>
        </w:tc>
      </w:tr>
      <w:tr w:rsidR="002972D3" w:rsidRPr="0010391B" w14:paraId="2EC5BF24" w14:textId="77777777" w:rsidTr="00B02B13">
        <w:trPr>
          <w:gridAfter w:val="2"/>
          <w:wAfter w:w="164" w:type="dxa"/>
          <w:trHeight w:val="20"/>
        </w:trPr>
        <w:tc>
          <w:tcPr>
            <w:tcW w:w="3442" w:type="dxa"/>
            <w:vMerge/>
            <w:tcBorders>
              <w:left w:val="single" w:sz="4" w:space="0" w:color="000000"/>
              <w:right w:val="single" w:sz="4" w:space="0" w:color="000000"/>
            </w:tcBorders>
          </w:tcPr>
          <w:p w14:paraId="14005A6F"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C9A1B47" w14:textId="77777777" w:rsidR="002972D3" w:rsidRPr="00A247CB" w:rsidRDefault="002972D3" w:rsidP="002972D3">
            <w:pPr>
              <w:widowControl w:val="0"/>
              <w:spacing w:before="1" w:after="0" w:line="120" w:lineRule="exact"/>
              <w:rPr>
                <w:rFonts w:eastAsia="Calibri" w:cs="Times New Roman"/>
                <w:sz w:val="12"/>
                <w:szCs w:val="12"/>
              </w:rPr>
            </w:pPr>
          </w:p>
          <w:p w14:paraId="6F157384"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Financial enterprises</w:t>
            </w:r>
          </w:p>
        </w:tc>
        <w:tc>
          <w:tcPr>
            <w:tcW w:w="1276" w:type="dxa"/>
            <w:tcBorders>
              <w:top w:val="single" w:sz="4" w:space="0" w:color="000000"/>
              <w:left w:val="single" w:sz="4" w:space="0" w:color="000000"/>
              <w:bottom w:val="single" w:sz="4" w:space="0" w:color="000000"/>
              <w:right w:val="single" w:sz="4" w:space="0" w:color="000000"/>
            </w:tcBorders>
          </w:tcPr>
          <w:p w14:paraId="24FD918E" w14:textId="77777777" w:rsidR="002972D3" w:rsidRPr="00A247CB" w:rsidRDefault="002972D3" w:rsidP="002972D3">
            <w:pPr>
              <w:widowControl w:val="0"/>
              <w:spacing w:after="0" w:line="243" w:lineRule="exact"/>
              <w:ind w:left="102" w:right="-20"/>
              <w:rPr>
                <w:rFonts w:eastAsia="Calibri" w:cs="Calibri"/>
              </w:rPr>
            </w:pPr>
            <w:r>
              <w:rPr>
                <w:rFonts w:eastAsia="Calibri" w:cs="Calibri"/>
                <w:lang w:val="en-GB"/>
              </w:rPr>
              <w:t>Section 9</w:t>
            </w:r>
          </w:p>
        </w:tc>
      </w:tr>
      <w:tr w:rsidR="002972D3" w:rsidRPr="0010391B" w14:paraId="59D6F148" w14:textId="77777777" w:rsidTr="00B02B13">
        <w:trPr>
          <w:gridAfter w:val="2"/>
          <w:wAfter w:w="164" w:type="dxa"/>
          <w:trHeight w:val="20"/>
        </w:trPr>
        <w:tc>
          <w:tcPr>
            <w:tcW w:w="3442" w:type="dxa"/>
            <w:vMerge/>
            <w:tcBorders>
              <w:left w:val="single" w:sz="4" w:space="0" w:color="000000"/>
              <w:right w:val="single" w:sz="4" w:space="0" w:color="000000"/>
            </w:tcBorders>
          </w:tcPr>
          <w:p w14:paraId="734297A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CC0B7C2" w14:textId="77777777" w:rsidR="002972D3" w:rsidRPr="00A247CB" w:rsidRDefault="002972D3" w:rsidP="002972D3">
            <w:pPr>
              <w:widowControl w:val="0"/>
              <w:spacing w:before="48" w:after="0" w:line="240" w:lineRule="auto"/>
              <w:ind w:left="105" w:right="-20"/>
              <w:rPr>
                <w:rFonts w:eastAsia="Calibri" w:cs="Calibri"/>
              </w:rPr>
            </w:pPr>
            <w:r>
              <w:rPr>
                <w:rFonts w:eastAsia="Calibri" w:cs="Calibri"/>
                <w:lang w:val="en-GB"/>
              </w:rPr>
              <w:t>Intermediary</w:t>
            </w:r>
          </w:p>
        </w:tc>
        <w:tc>
          <w:tcPr>
            <w:tcW w:w="1276" w:type="dxa"/>
            <w:tcBorders>
              <w:top w:val="single" w:sz="4" w:space="0" w:color="000000"/>
              <w:left w:val="single" w:sz="4" w:space="0" w:color="000000"/>
              <w:bottom w:val="single" w:sz="4" w:space="0" w:color="000000"/>
              <w:right w:val="single" w:sz="4" w:space="0" w:color="000000"/>
            </w:tcBorders>
          </w:tcPr>
          <w:p w14:paraId="68568270"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10</w:t>
            </w:r>
          </w:p>
        </w:tc>
      </w:tr>
      <w:tr w:rsidR="002972D3" w:rsidRPr="0010391B" w14:paraId="13E1B334" w14:textId="77777777" w:rsidTr="00B02B13">
        <w:trPr>
          <w:gridAfter w:val="2"/>
          <w:wAfter w:w="164" w:type="dxa"/>
          <w:trHeight w:val="20"/>
        </w:trPr>
        <w:tc>
          <w:tcPr>
            <w:tcW w:w="3442" w:type="dxa"/>
            <w:vMerge/>
            <w:tcBorders>
              <w:left w:val="single" w:sz="4" w:space="0" w:color="000000"/>
              <w:right w:val="single" w:sz="4" w:space="0" w:color="000000"/>
            </w:tcBorders>
          </w:tcPr>
          <w:p w14:paraId="25F334E5"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E40F195" w14:textId="77777777" w:rsidR="002972D3" w:rsidRPr="00A247CB" w:rsidRDefault="002972D3" w:rsidP="002972D3">
            <w:pPr>
              <w:widowControl w:val="0"/>
              <w:spacing w:before="87" w:after="0" w:line="240" w:lineRule="auto"/>
              <w:ind w:left="105" w:right="-20"/>
              <w:rPr>
                <w:rFonts w:eastAsia="Calibri" w:cs="Calibri"/>
              </w:rPr>
            </w:pPr>
            <w:r>
              <w:rPr>
                <w:rFonts w:eastAsia="Calibri" w:cs="Calibri"/>
                <w:lang w:val="en-GB"/>
              </w:rPr>
              <w:t>Independent intermediary</w:t>
            </w:r>
          </w:p>
        </w:tc>
        <w:tc>
          <w:tcPr>
            <w:tcW w:w="1276" w:type="dxa"/>
            <w:tcBorders>
              <w:top w:val="single" w:sz="4" w:space="0" w:color="000000"/>
              <w:left w:val="single" w:sz="4" w:space="0" w:color="000000"/>
              <w:bottom w:val="single" w:sz="4" w:space="0" w:color="000000"/>
              <w:right w:val="single" w:sz="4" w:space="0" w:color="000000"/>
            </w:tcBorders>
          </w:tcPr>
          <w:p w14:paraId="1C80CA68" w14:textId="55FD78E0"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69</w:t>
            </w:r>
          </w:p>
        </w:tc>
      </w:tr>
      <w:tr w:rsidR="002972D3" w:rsidRPr="0010391B" w14:paraId="1F51DAB2" w14:textId="77777777" w:rsidTr="00B02B13">
        <w:trPr>
          <w:gridAfter w:val="2"/>
          <w:wAfter w:w="164" w:type="dxa"/>
          <w:trHeight w:val="20"/>
        </w:trPr>
        <w:tc>
          <w:tcPr>
            <w:tcW w:w="3442" w:type="dxa"/>
            <w:vMerge/>
            <w:tcBorders>
              <w:left w:val="single" w:sz="4" w:space="0" w:color="000000"/>
              <w:right w:val="single" w:sz="4" w:space="0" w:color="000000"/>
            </w:tcBorders>
          </w:tcPr>
          <w:p w14:paraId="54A486F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6D9961B" w14:textId="77777777" w:rsidR="002972D3" w:rsidRPr="00A247CB" w:rsidRDefault="002972D3" w:rsidP="002972D3">
            <w:pPr>
              <w:widowControl w:val="0"/>
              <w:spacing w:before="84" w:after="0" w:line="240" w:lineRule="auto"/>
              <w:ind w:left="105" w:right="-20"/>
              <w:rPr>
                <w:rFonts w:eastAsia="Calibri" w:cs="Calibri"/>
              </w:rPr>
            </w:pPr>
            <w:r>
              <w:rPr>
                <w:rFonts w:eastAsia="Calibri" w:cs="Calibri"/>
                <w:lang w:val="en-GB"/>
              </w:rPr>
              <w:t>Tied intermediary</w:t>
            </w:r>
          </w:p>
        </w:tc>
        <w:tc>
          <w:tcPr>
            <w:tcW w:w="1276" w:type="dxa"/>
            <w:tcBorders>
              <w:top w:val="single" w:sz="4" w:space="0" w:color="000000"/>
              <w:left w:val="single" w:sz="4" w:space="0" w:color="000000"/>
              <w:bottom w:val="single" w:sz="4" w:space="0" w:color="000000"/>
              <w:right w:val="single" w:sz="4" w:space="0" w:color="000000"/>
            </w:tcBorders>
          </w:tcPr>
          <w:p w14:paraId="24605962" w14:textId="05EB016D"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72–72/A</w:t>
            </w:r>
          </w:p>
        </w:tc>
      </w:tr>
      <w:tr w:rsidR="002972D3" w:rsidRPr="0010391B" w14:paraId="75E04FA6" w14:textId="77777777" w:rsidTr="00B02B13">
        <w:trPr>
          <w:gridAfter w:val="2"/>
          <w:wAfter w:w="164" w:type="dxa"/>
          <w:trHeight w:val="20"/>
        </w:trPr>
        <w:tc>
          <w:tcPr>
            <w:tcW w:w="3442" w:type="dxa"/>
            <w:vMerge/>
            <w:tcBorders>
              <w:left w:val="single" w:sz="4" w:space="0" w:color="000000"/>
              <w:right w:val="single" w:sz="4" w:space="0" w:color="000000"/>
            </w:tcBorders>
          </w:tcPr>
          <w:p w14:paraId="223FAD3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FE3F20F" w14:textId="77777777" w:rsidR="002972D3" w:rsidRPr="00A247CB" w:rsidRDefault="002972D3" w:rsidP="002972D3">
            <w:pPr>
              <w:widowControl w:val="0"/>
              <w:spacing w:before="87" w:after="0" w:line="240" w:lineRule="auto"/>
              <w:ind w:left="105" w:right="-20"/>
              <w:rPr>
                <w:rFonts w:eastAsia="Calibri" w:cs="Calibri"/>
              </w:rPr>
            </w:pPr>
            <w:r>
              <w:rPr>
                <w:rFonts w:eastAsia="Calibri" w:cs="Calibri"/>
                <w:lang w:val="en-GB"/>
              </w:rPr>
              <w:t>Professional requirements relating to tied intermediaries and independent intermediaries</w:t>
            </w:r>
          </w:p>
        </w:tc>
        <w:tc>
          <w:tcPr>
            <w:tcW w:w="1276" w:type="dxa"/>
            <w:tcBorders>
              <w:top w:val="single" w:sz="4" w:space="0" w:color="000000"/>
              <w:left w:val="single" w:sz="4" w:space="0" w:color="000000"/>
              <w:bottom w:val="single" w:sz="4" w:space="0" w:color="000000"/>
              <w:right w:val="single" w:sz="4" w:space="0" w:color="000000"/>
            </w:tcBorders>
          </w:tcPr>
          <w:p w14:paraId="66CA31AB"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73–74</w:t>
            </w:r>
          </w:p>
        </w:tc>
      </w:tr>
      <w:tr w:rsidR="002972D3" w:rsidRPr="0010391B" w14:paraId="6029A21E" w14:textId="77777777" w:rsidTr="00B02B13">
        <w:trPr>
          <w:gridAfter w:val="2"/>
          <w:wAfter w:w="164" w:type="dxa"/>
          <w:trHeight w:val="20"/>
        </w:trPr>
        <w:tc>
          <w:tcPr>
            <w:tcW w:w="3442" w:type="dxa"/>
            <w:vMerge/>
            <w:tcBorders>
              <w:left w:val="single" w:sz="4" w:space="0" w:color="000000"/>
              <w:right w:val="single" w:sz="4" w:space="0" w:color="000000"/>
            </w:tcBorders>
          </w:tcPr>
          <w:p w14:paraId="395C8E0A"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EC1DD7E" w14:textId="77777777" w:rsidR="002972D3" w:rsidRPr="00A247CB" w:rsidRDefault="002972D3" w:rsidP="002972D3">
            <w:pPr>
              <w:widowControl w:val="0"/>
              <w:spacing w:before="84" w:after="0" w:line="240" w:lineRule="auto"/>
              <w:ind w:left="105" w:right="-20"/>
              <w:rPr>
                <w:rFonts w:eastAsia="Calibri" w:cs="Calibri"/>
              </w:rPr>
            </w:pPr>
            <w:r>
              <w:rPr>
                <w:rFonts w:eastAsia="Calibri" w:cs="Calibri"/>
                <w:lang w:val="en-GB"/>
              </w:rPr>
              <w:t>Bank secret</w:t>
            </w:r>
          </w:p>
        </w:tc>
        <w:tc>
          <w:tcPr>
            <w:tcW w:w="1276" w:type="dxa"/>
            <w:tcBorders>
              <w:top w:val="single" w:sz="4" w:space="0" w:color="000000"/>
              <w:left w:val="single" w:sz="4" w:space="0" w:color="000000"/>
              <w:bottom w:val="single" w:sz="4" w:space="0" w:color="000000"/>
              <w:right w:val="single" w:sz="4" w:space="0" w:color="000000"/>
            </w:tcBorders>
          </w:tcPr>
          <w:p w14:paraId="5E5AE5AA" w14:textId="29D0A5F4"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160–164/B</w:t>
            </w:r>
          </w:p>
        </w:tc>
      </w:tr>
      <w:tr w:rsidR="002972D3" w:rsidRPr="0010391B" w14:paraId="478D0BC9" w14:textId="77777777" w:rsidTr="00B02B13">
        <w:trPr>
          <w:gridAfter w:val="2"/>
          <w:wAfter w:w="164" w:type="dxa"/>
          <w:trHeight w:val="20"/>
        </w:trPr>
        <w:tc>
          <w:tcPr>
            <w:tcW w:w="3442" w:type="dxa"/>
            <w:vMerge/>
            <w:tcBorders>
              <w:left w:val="single" w:sz="4" w:space="0" w:color="000000"/>
              <w:right w:val="single" w:sz="4" w:space="0" w:color="000000"/>
            </w:tcBorders>
          </w:tcPr>
          <w:p w14:paraId="383D404D"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0D896ED" w14:textId="77777777" w:rsidR="002972D3" w:rsidRPr="00A247CB" w:rsidRDefault="002972D3" w:rsidP="002972D3">
            <w:pPr>
              <w:widowControl w:val="0"/>
              <w:spacing w:before="1" w:after="0" w:line="120" w:lineRule="exact"/>
              <w:rPr>
                <w:rFonts w:eastAsia="Calibri" w:cs="Times New Roman"/>
                <w:sz w:val="12"/>
                <w:szCs w:val="12"/>
              </w:rPr>
            </w:pPr>
          </w:p>
          <w:p w14:paraId="3022CA7B"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Common provisions relating to business and bank secrets</w:t>
            </w:r>
          </w:p>
        </w:tc>
        <w:tc>
          <w:tcPr>
            <w:tcW w:w="1276" w:type="dxa"/>
            <w:tcBorders>
              <w:top w:val="single" w:sz="4" w:space="0" w:color="000000"/>
              <w:left w:val="single" w:sz="4" w:space="0" w:color="000000"/>
              <w:bottom w:val="single" w:sz="4" w:space="0" w:color="000000"/>
              <w:right w:val="single" w:sz="4" w:space="0" w:color="000000"/>
            </w:tcBorders>
          </w:tcPr>
          <w:p w14:paraId="41BE95FE" w14:textId="3113AEE4" w:rsidR="002972D3" w:rsidRPr="00A247CB" w:rsidRDefault="002972D3" w:rsidP="002972D3">
            <w:pPr>
              <w:widowControl w:val="0"/>
              <w:spacing w:after="0" w:line="242" w:lineRule="exact"/>
              <w:ind w:left="148" w:right="-20"/>
              <w:rPr>
                <w:rFonts w:eastAsia="Calibri" w:cs="Calibri"/>
              </w:rPr>
            </w:pPr>
            <w:r>
              <w:rPr>
                <w:rFonts w:eastAsia="Calibri" w:cs="Calibri"/>
                <w:lang w:val="en-GB"/>
              </w:rPr>
              <w:t>Sections 165–166/B</w:t>
            </w:r>
          </w:p>
        </w:tc>
      </w:tr>
      <w:tr w:rsidR="002972D3" w:rsidRPr="0010391B" w14:paraId="2566E503" w14:textId="77777777" w:rsidTr="00B02B13">
        <w:trPr>
          <w:gridAfter w:val="2"/>
          <w:wAfter w:w="164" w:type="dxa"/>
          <w:trHeight w:val="20"/>
        </w:trPr>
        <w:tc>
          <w:tcPr>
            <w:tcW w:w="3442" w:type="dxa"/>
            <w:vMerge/>
            <w:tcBorders>
              <w:left w:val="single" w:sz="4" w:space="0" w:color="000000"/>
              <w:right w:val="single" w:sz="4" w:space="0" w:color="000000"/>
            </w:tcBorders>
          </w:tcPr>
          <w:p w14:paraId="090A080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0E368A8"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Common rules for the application of sanctions and</w:t>
            </w:r>
          </w:p>
          <w:p w14:paraId="0F32ECFF"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exceptional measures</w:t>
            </w:r>
          </w:p>
        </w:tc>
        <w:tc>
          <w:tcPr>
            <w:tcW w:w="1276" w:type="dxa"/>
            <w:tcBorders>
              <w:top w:val="single" w:sz="4" w:space="0" w:color="000000"/>
              <w:left w:val="single" w:sz="4" w:space="0" w:color="000000"/>
              <w:bottom w:val="single" w:sz="4" w:space="0" w:color="000000"/>
              <w:right w:val="single" w:sz="4" w:space="0" w:color="000000"/>
            </w:tcBorders>
          </w:tcPr>
          <w:p w14:paraId="2FBA9EB2"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183–184</w:t>
            </w:r>
          </w:p>
        </w:tc>
      </w:tr>
      <w:tr w:rsidR="00984BDB" w:rsidRPr="0010391B" w14:paraId="1BCDCC37" w14:textId="77777777" w:rsidTr="00B02B13">
        <w:trPr>
          <w:gridAfter w:val="2"/>
          <w:wAfter w:w="164" w:type="dxa"/>
          <w:trHeight w:val="20"/>
        </w:trPr>
        <w:tc>
          <w:tcPr>
            <w:tcW w:w="3442" w:type="dxa"/>
            <w:vMerge/>
            <w:tcBorders>
              <w:left w:val="single" w:sz="4" w:space="0" w:color="000000"/>
              <w:right w:val="single" w:sz="4" w:space="0" w:color="000000"/>
            </w:tcBorders>
          </w:tcPr>
          <w:p w14:paraId="0EC57B4D" w14:textId="77777777" w:rsidR="00984BDB" w:rsidRPr="00A247CB" w:rsidRDefault="00984BDB"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917E9AD" w14:textId="73D21412" w:rsidR="00984BDB" w:rsidRPr="00A247CB" w:rsidRDefault="00984BDB" w:rsidP="002972D3">
            <w:pPr>
              <w:widowControl w:val="0"/>
              <w:spacing w:after="0" w:line="242" w:lineRule="exact"/>
              <w:ind w:left="105" w:right="-20"/>
              <w:rPr>
                <w:rFonts w:eastAsia="Calibri" w:cs="Calibri"/>
                <w:position w:val="1"/>
              </w:rPr>
            </w:pPr>
            <w:r>
              <w:rPr>
                <w:rFonts w:eastAsia="Calibri" w:cs="Calibri"/>
                <w:lang w:val="en-GB"/>
              </w:rPr>
              <w:t>Supervision of branch offices and cross-border services</w:t>
            </w:r>
          </w:p>
        </w:tc>
        <w:tc>
          <w:tcPr>
            <w:tcW w:w="1276" w:type="dxa"/>
            <w:tcBorders>
              <w:top w:val="single" w:sz="4" w:space="0" w:color="000000"/>
              <w:left w:val="single" w:sz="4" w:space="0" w:color="000000"/>
              <w:bottom w:val="single" w:sz="4" w:space="0" w:color="000000"/>
              <w:right w:val="single" w:sz="4" w:space="0" w:color="000000"/>
            </w:tcBorders>
          </w:tcPr>
          <w:p w14:paraId="356C6E3C" w14:textId="4ACBF43D" w:rsidR="00984BDB" w:rsidRPr="00A247CB" w:rsidRDefault="00984BDB" w:rsidP="002972D3">
            <w:pPr>
              <w:widowControl w:val="0"/>
              <w:spacing w:after="0" w:line="242" w:lineRule="exact"/>
              <w:ind w:left="102" w:right="-20"/>
              <w:rPr>
                <w:rFonts w:eastAsia="Calibri" w:cs="Calibri"/>
                <w:position w:val="1"/>
              </w:rPr>
            </w:pPr>
            <w:r>
              <w:rPr>
                <w:rFonts w:eastAsia="Calibri" w:cs="Calibri"/>
                <w:lang w:val="en-GB"/>
              </w:rPr>
              <w:t>Sections 199–199/A</w:t>
            </w:r>
          </w:p>
        </w:tc>
      </w:tr>
      <w:tr w:rsidR="002972D3" w:rsidRPr="0010391B" w14:paraId="645209FC" w14:textId="77777777" w:rsidTr="00B02B13">
        <w:trPr>
          <w:gridAfter w:val="2"/>
          <w:wAfter w:w="164" w:type="dxa"/>
          <w:trHeight w:val="20"/>
        </w:trPr>
        <w:tc>
          <w:tcPr>
            <w:tcW w:w="3442" w:type="dxa"/>
            <w:vMerge/>
            <w:tcBorders>
              <w:left w:val="single" w:sz="4" w:space="0" w:color="000000"/>
              <w:right w:val="single" w:sz="4" w:space="0" w:color="000000"/>
            </w:tcBorders>
          </w:tcPr>
          <w:p w14:paraId="776C6F77"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5FD1E18" w14:textId="77777777" w:rsidR="002972D3" w:rsidRPr="00A247CB" w:rsidRDefault="002972D3" w:rsidP="002972D3">
            <w:pPr>
              <w:widowControl w:val="0"/>
              <w:spacing w:before="43" w:after="0" w:line="240" w:lineRule="auto"/>
              <w:ind w:left="105" w:right="-20"/>
              <w:rPr>
                <w:rFonts w:eastAsia="Calibri" w:cs="Calibri"/>
              </w:rPr>
            </w:pPr>
            <w:r>
              <w:rPr>
                <w:rFonts w:eastAsia="Calibri" w:cs="Calibri"/>
                <w:lang w:val="en-GB"/>
              </w:rPr>
              <w:t>Compensation paid by the National Deposit Insurance Fund (NDIF)</w:t>
            </w:r>
          </w:p>
        </w:tc>
        <w:tc>
          <w:tcPr>
            <w:tcW w:w="1276" w:type="dxa"/>
            <w:tcBorders>
              <w:top w:val="single" w:sz="4" w:space="0" w:color="000000"/>
              <w:left w:val="single" w:sz="4" w:space="0" w:color="000000"/>
              <w:bottom w:val="single" w:sz="4" w:space="0" w:color="000000"/>
              <w:right w:val="single" w:sz="4" w:space="0" w:color="000000"/>
            </w:tcBorders>
          </w:tcPr>
          <w:p w14:paraId="2A784DEB"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214–216</w:t>
            </w:r>
          </w:p>
        </w:tc>
      </w:tr>
      <w:tr w:rsidR="002972D3" w:rsidRPr="0010391B" w14:paraId="4A504847" w14:textId="77777777" w:rsidTr="00B02B13">
        <w:trPr>
          <w:gridAfter w:val="2"/>
          <w:wAfter w:w="164" w:type="dxa"/>
          <w:trHeight w:val="20"/>
        </w:trPr>
        <w:tc>
          <w:tcPr>
            <w:tcW w:w="3442" w:type="dxa"/>
            <w:vMerge/>
            <w:tcBorders>
              <w:left w:val="single" w:sz="4" w:space="0" w:color="000000"/>
              <w:right w:val="single" w:sz="4" w:space="0" w:color="000000"/>
            </w:tcBorders>
          </w:tcPr>
          <w:p w14:paraId="3A55EBAD"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D3F319B"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Specials provision relating to commercial</w:t>
            </w:r>
          </w:p>
          <w:p w14:paraId="4C5EAE0C"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communication</w:t>
            </w:r>
          </w:p>
        </w:tc>
        <w:tc>
          <w:tcPr>
            <w:tcW w:w="1276" w:type="dxa"/>
            <w:tcBorders>
              <w:top w:val="single" w:sz="4" w:space="0" w:color="000000"/>
              <w:left w:val="single" w:sz="4" w:space="0" w:color="000000"/>
              <w:bottom w:val="single" w:sz="4" w:space="0" w:color="000000"/>
              <w:right w:val="single" w:sz="4" w:space="0" w:color="000000"/>
            </w:tcBorders>
          </w:tcPr>
          <w:p w14:paraId="6747D8AD" w14:textId="58B983EA" w:rsidR="002972D3" w:rsidRPr="00A247CB" w:rsidRDefault="002972D3" w:rsidP="002972D3">
            <w:pPr>
              <w:widowControl w:val="0"/>
              <w:spacing w:after="0" w:line="242" w:lineRule="exact"/>
              <w:ind w:left="102" w:right="-20"/>
              <w:rPr>
                <w:rFonts w:eastAsia="Calibri" w:cs="Calibri"/>
              </w:rPr>
            </w:pPr>
            <w:r>
              <w:rPr>
                <w:rFonts w:eastAsia="Calibri" w:cs="Calibri"/>
                <w:lang w:val="en-GB"/>
              </w:rPr>
              <w:t>268–270/A</w:t>
            </w:r>
          </w:p>
        </w:tc>
      </w:tr>
      <w:tr w:rsidR="002972D3" w:rsidRPr="0010391B" w14:paraId="1670B1F8" w14:textId="77777777" w:rsidTr="00B02B13">
        <w:trPr>
          <w:gridAfter w:val="2"/>
          <w:wAfter w:w="164" w:type="dxa"/>
          <w:trHeight w:val="20"/>
        </w:trPr>
        <w:tc>
          <w:tcPr>
            <w:tcW w:w="3442" w:type="dxa"/>
            <w:vMerge/>
            <w:tcBorders>
              <w:left w:val="single" w:sz="4" w:space="0" w:color="000000"/>
              <w:right w:val="single" w:sz="4" w:space="0" w:color="000000"/>
            </w:tcBorders>
          </w:tcPr>
          <w:p w14:paraId="04F1A70F"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5A2A711" w14:textId="77777777" w:rsidR="002972D3" w:rsidRPr="00A247CB" w:rsidRDefault="002972D3" w:rsidP="002972D3">
            <w:pPr>
              <w:widowControl w:val="0"/>
              <w:spacing w:before="1" w:after="0" w:line="120" w:lineRule="exact"/>
              <w:rPr>
                <w:rFonts w:eastAsia="Calibri" w:cs="Times New Roman"/>
                <w:sz w:val="12"/>
                <w:szCs w:val="12"/>
              </w:rPr>
            </w:pPr>
          </w:p>
          <w:p w14:paraId="0BF00EFF"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Provision of information to customers</w:t>
            </w:r>
          </w:p>
        </w:tc>
        <w:tc>
          <w:tcPr>
            <w:tcW w:w="1276" w:type="dxa"/>
            <w:tcBorders>
              <w:top w:val="single" w:sz="4" w:space="0" w:color="000000"/>
              <w:left w:val="single" w:sz="4" w:space="0" w:color="000000"/>
              <w:bottom w:val="single" w:sz="4" w:space="0" w:color="000000"/>
              <w:right w:val="single" w:sz="4" w:space="0" w:color="000000"/>
            </w:tcBorders>
          </w:tcPr>
          <w:p w14:paraId="137BFB9F"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271</w:t>
            </w:r>
          </w:p>
        </w:tc>
      </w:tr>
      <w:tr w:rsidR="002972D3" w:rsidRPr="0010391B" w14:paraId="6FFBAD77" w14:textId="77777777" w:rsidTr="00B02B13">
        <w:trPr>
          <w:gridAfter w:val="2"/>
          <w:wAfter w:w="164" w:type="dxa"/>
          <w:trHeight w:val="20"/>
        </w:trPr>
        <w:tc>
          <w:tcPr>
            <w:tcW w:w="3442" w:type="dxa"/>
            <w:vMerge/>
            <w:tcBorders>
              <w:left w:val="single" w:sz="4" w:space="0" w:color="000000"/>
              <w:right w:val="single" w:sz="4" w:space="0" w:color="000000"/>
            </w:tcBorders>
          </w:tcPr>
          <w:p w14:paraId="7C683B33"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5B41800" w14:textId="77777777" w:rsidR="002972D3" w:rsidRPr="00A247CB" w:rsidRDefault="002972D3" w:rsidP="002972D3">
            <w:pPr>
              <w:widowControl w:val="0"/>
              <w:spacing w:before="77" w:after="0" w:line="240" w:lineRule="auto"/>
              <w:ind w:left="105" w:right="-20"/>
              <w:rPr>
                <w:rFonts w:eastAsia="Calibri" w:cs="Calibri"/>
              </w:rPr>
            </w:pPr>
            <w:r>
              <w:rPr>
                <w:rFonts w:eastAsia="Calibri" w:cs="Calibri"/>
                <w:lang w:val="en-GB"/>
              </w:rPr>
              <w:t>Provision of information to deposit holders</w:t>
            </w:r>
          </w:p>
        </w:tc>
        <w:tc>
          <w:tcPr>
            <w:tcW w:w="1276" w:type="dxa"/>
            <w:tcBorders>
              <w:top w:val="single" w:sz="4" w:space="0" w:color="000000"/>
              <w:left w:val="single" w:sz="4" w:space="0" w:color="000000"/>
              <w:bottom w:val="single" w:sz="4" w:space="0" w:color="000000"/>
              <w:right w:val="single" w:sz="4" w:space="0" w:color="000000"/>
            </w:tcBorders>
          </w:tcPr>
          <w:p w14:paraId="2909973C"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272–274</w:t>
            </w:r>
          </w:p>
        </w:tc>
      </w:tr>
      <w:tr w:rsidR="002972D3" w:rsidRPr="0010391B" w14:paraId="647D1833" w14:textId="77777777" w:rsidTr="00B02B13">
        <w:trPr>
          <w:gridAfter w:val="2"/>
          <w:wAfter w:w="164" w:type="dxa"/>
          <w:trHeight w:val="20"/>
        </w:trPr>
        <w:tc>
          <w:tcPr>
            <w:tcW w:w="3442" w:type="dxa"/>
            <w:vMerge/>
            <w:tcBorders>
              <w:left w:val="single" w:sz="4" w:space="0" w:color="000000"/>
              <w:right w:val="single" w:sz="4" w:space="0" w:color="000000"/>
            </w:tcBorders>
          </w:tcPr>
          <w:p w14:paraId="253A91D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2F89B79" w14:textId="77777777" w:rsidR="002972D3" w:rsidRPr="00A247CB" w:rsidRDefault="002972D3" w:rsidP="002972D3">
            <w:pPr>
              <w:widowControl w:val="0"/>
              <w:spacing w:before="15" w:after="0" w:line="240" w:lineRule="auto"/>
              <w:ind w:left="105" w:right="-20"/>
              <w:rPr>
                <w:rFonts w:eastAsia="Calibri" w:cs="Calibri"/>
              </w:rPr>
            </w:pPr>
            <w:r>
              <w:rPr>
                <w:rFonts w:eastAsia="Calibri" w:cs="Calibri"/>
                <w:lang w:val="en-GB"/>
              </w:rPr>
              <w:t>Periodic information</w:t>
            </w:r>
          </w:p>
        </w:tc>
        <w:tc>
          <w:tcPr>
            <w:tcW w:w="1276" w:type="dxa"/>
            <w:tcBorders>
              <w:top w:val="single" w:sz="4" w:space="0" w:color="000000"/>
              <w:left w:val="single" w:sz="4" w:space="0" w:color="000000"/>
              <w:bottom w:val="single" w:sz="4" w:space="0" w:color="000000"/>
              <w:right w:val="single" w:sz="4" w:space="0" w:color="000000"/>
            </w:tcBorders>
          </w:tcPr>
          <w:p w14:paraId="267152AA"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 275</w:t>
            </w:r>
          </w:p>
        </w:tc>
      </w:tr>
      <w:tr w:rsidR="002972D3" w:rsidRPr="0010391B" w14:paraId="7BC57509" w14:textId="77777777" w:rsidTr="00B02B13">
        <w:trPr>
          <w:gridAfter w:val="2"/>
          <w:wAfter w:w="164" w:type="dxa"/>
          <w:trHeight w:val="20"/>
        </w:trPr>
        <w:tc>
          <w:tcPr>
            <w:tcW w:w="3442" w:type="dxa"/>
            <w:vMerge/>
            <w:tcBorders>
              <w:left w:val="single" w:sz="4" w:space="0" w:color="000000"/>
              <w:right w:val="single" w:sz="4" w:space="0" w:color="000000"/>
            </w:tcBorders>
          </w:tcPr>
          <w:p w14:paraId="2E16519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943F6E0" w14:textId="77777777" w:rsidR="002972D3" w:rsidRPr="00A247CB" w:rsidRDefault="002972D3" w:rsidP="002972D3">
            <w:pPr>
              <w:widowControl w:val="0"/>
              <w:spacing w:before="15" w:after="0" w:line="240" w:lineRule="auto"/>
              <w:ind w:left="105" w:right="-20"/>
              <w:rPr>
                <w:rFonts w:eastAsia="Calibri" w:cs="Calibri"/>
              </w:rPr>
            </w:pPr>
            <w:r>
              <w:rPr>
                <w:rFonts w:eastAsia="Calibri" w:cs="Calibri"/>
                <w:lang w:val="en-GB"/>
              </w:rPr>
              <w:t>Business regulations</w:t>
            </w:r>
          </w:p>
        </w:tc>
        <w:tc>
          <w:tcPr>
            <w:tcW w:w="1276" w:type="dxa"/>
            <w:tcBorders>
              <w:top w:val="single" w:sz="4" w:space="0" w:color="000000"/>
              <w:left w:val="single" w:sz="4" w:space="0" w:color="000000"/>
              <w:bottom w:val="single" w:sz="4" w:space="0" w:color="000000"/>
              <w:right w:val="single" w:sz="4" w:space="0" w:color="000000"/>
            </w:tcBorders>
          </w:tcPr>
          <w:p w14:paraId="2F62C8FE"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276–278</w:t>
            </w:r>
          </w:p>
        </w:tc>
      </w:tr>
      <w:tr w:rsidR="002972D3" w:rsidRPr="0010391B" w14:paraId="0550ABFD" w14:textId="77777777" w:rsidTr="00B02B13">
        <w:trPr>
          <w:gridAfter w:val="2"/>
          <w:wAfter w:w="164" w:type="dxa"/>
          <w:trHeight w:val="20"/>
        </w:trPr>
        <w:tc>
          <w:tcPr>
            <w:tcW w:w="3442" w:type="dxa"/>
            <w:vMerge/>
            <w:tcBorders>
              <w:left w:val="single" w:sz="4" w:space="0" w:color="000000"/>
              <w:right w:val="single" w:sz="4" w:space="0" w:color="000000"/>
            </w:tcBorders>
          </w:tcPr>
          <w:p w14:paraId="6127E662"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2BE3137" w14:textId="77777777" w:rsidR="002972D3" w:rsidRPr="00A247CB" w:rsidRDefault="002972D3" w:rsidP="002972D3">
            <w:pPr>
              <w:widowControl w:val="0"/>
              <w:spacing w:before="77" w:after="0" w:line="240" w:lineRule="auto"/>
              <w:ind w:left="105" w:right="-20"/>
              <w:rPr>
                <w:rFonts w:eastAsia="Calibri" w:cs="Calibri"/>
              </w:rPr>
            </w:pPr>
            <w:r>
              <w:rPr>
                <w:rFonts w:eastAsia="Calibri" w:cs="Calibri"/>
                <w:lang w:val="en-GB"/>
              </w:rPr>
              <w:t>Special provisions relating to certain contracts</w:t>
            </w:r>
          </w:p>
        </w:tc>
        <w:tc>
          <w:tcPr>
            <w:tcW w:w="1276" w:type="dxa"/>
            <w:tcBorders>
              <w:top w:val="single" w:sz="4" w:space="0" w:color="000000"/>
              <w:left w:val="single" w:sz="4" w:space="0" w:color="000000"/>
              <w:bottom w:val="single" w:sz="4" w:space="0" w:color="000000"/>
              <w:right w:val="single" w:sz="4" w:space="0" w:color="000000"/>
            </w:tcBorders>
          </w:tcPr>
          <w:p w14:paraId="6572EF3C" w14:textId="6401DEB4"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279–282/BC</w:t>
            </w:r>
          </w:p>
        </w:tc>
      </w:tr>
      <w:tr w:rsidR="007337A6" w:rsidRPr="0010391B" w14:paraId="3AED12CF" w14:textId="77777777" w:rsidTr="00B02B13">
        <w:trPr>
          <w:gridAfter w:val="2"/>
          <w:wAfter w:w="164" w:type="dxa"/>
          <w:trHeight w:val="20"/>
        </w:trPr>
        <w:tc>
          <w:tcPr>
            <w:tcW w:w="3442" w:type="dxa"/>
            <w:vMerge/>
            <w:tcBorders>
              <w:left w:val="single" w:sz="4" w:space="0" w:color="000000"/>
              <w:right w:val="single" w:sz="4" w:space="0" w:color="000000"/>
            </w:tcBorders>
          </w:tcPr>
          <w:p w14:paraId="189B1DDB" w14:textId="77777777" w:rsidR="007337A6" w:rsidRPr="00A247CB" w:rsidRDefault="007337A6"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1D51FF2" w14:textId="478E70B1" w:rsidR="007337A6" w:rsidRPr="00A247CB" w:rsidRDefault="007337A6" w:rsidP="002972D3">
            <w:pPr>
              <w:widowControl w:val="0"/>
              <w:spacing w:before="1" w:after="0" w:line="239" w:lineRule="auto"/>
              <w:ind w:left="105" w:right="488"/>
              <w:rPr>
                <w:rFonts w:eastAsia="Calibri" w:cs="Calibri"/>
                <w:spacing w:val="1"/>
              </w:rPr>
            </w:pPr>
            <w:r>
              <w:rPr>
                <w:rFonts w:eastAsia="Calibri" w:cs="Calibri"/>
                <w:lang w:val="en-GB"/>
              </w:rPr>
              <w:t>Fostering access to financial services based on the principal of equal opportunity</w:t>
            </w:r>
          </w:p>
        </w:tc>
        <w:tc>
          <w:tcPr>
            <w:tcW w:w="1276" w:type="dxa"/>
            <w:tcBorders>
              <w:top w:val="single" w:sz="4" w:space="0" w:color="000000"/>
              <w:left w:val="single" w:sz="4" w:space="0" w:color="000000"/>
              <w:bottom w:val="single" w:sz="4" w:space="0" w:color="000000"/>
              <w:right w:val="single" w:sz="4" w:space="0" w:color="000000"/>
            </w:tcBorders>
          </w:tcPr>
          <w:p w14:paraId="38374209" w14:textId="1C269CA3" w:rsidR="007337A6" w:rsidRPr="00A247CB" w:rsidRDefault="007337A6" w:rsidP="002972D3">
            <w:pPr>
              <w:widowControl w:val="0"/>
              <w:spacing w:after="0" w:line="240" w:lineRule="auto"/>
              <w:ind w:left="102" w:right="-20"/>
              <w:rPr>
                <w:rFonts w:eastAsia="Calibri" w:cs="Calibri"/>
              </w:rPr>
            </w:pPr>
            <w:r>
              <w:rPr>
                <w:rFonts w:eastAsia="Calibri" w:cs="Calibri"/>
                <w:lang w:val="en-GB"/>
              </w:rPr>
              <w:t>Section 283</w:t>
            </w:r>
          </w:p>
        </w:tc>
      </w:tr>
      <w:tr w:rsidR="007337A6" w:rsidRPr="0010391B" w14:paraId="7FD26CB1" w14:textId="77777777" w:rsidTr="00B02B13">
        <w:trPr>
          <w:gridAfter w:val="2"/>
          <w:wAfter w:w="164" w:type="dxa"/>
          <w:trHeight w:val="20"/>
        </w:trPr>
        <w:tc>
          <w:tcPr>
            <w:tcW w:w="3442" w:type="dxa"/>
            <w:vMerge/>
            <w:tcBorders>
              <w:left w:val="single" w:sz="4" w:space="0" w:color="000000"/>
              <w:right w:val="single" w:sz="4" w:space="0" w:color="000000"/>
            </w:tcBorders>
          </w:tcPr>
          <w:p w14:paraId="64151C0A" w14:textId="77777777" w:rsidR="007337A6" w:rsidRPr="00A247CB" w:rsidRDefault="007337A6"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8E18BC5" w14:textId="518BDBAB" w:rsidR="007337A6" w:rsidRPr="00A247CB" w:rsidRDefault="007337A6" w:rsidP="002972D3">
            <w:pPr>
              <w:widowControl w:val="0"/>
              <w:spacing w:before="1" w:after="0" w:line="239" w:lineRule="auto"/>
              <w:ind w:left="105" w:right="488"/>
              <w:rPr>
                <w:rFonts w:eastAsia="Calibri" w:cs="Calibri"/>
                <w:spacing w:val="1"/>
              </w:rPr>
            </w:pPr>
            <w:r>
              <w:rPr>
                <w:rFonts w:eastAsia="Calibri" w:cs="Calibri"/>
                <w:lang w:val="en-GB"/>
              </w:rPr>
              <w:t>Issuance and redemption of electronic money</w:t>
            </w:r>
          </w:p>
        </w:tc>
        <w:tc>
          <w:tcPr>
            <w:tcW w:w="1276" w:type="dxa"/>
            <w:tcBorders>
              <w:top w:val="single" w:sz="4" w:space="0" w:color="000000"/>
              <w:left w:val="single" w:sz="4" w:space="0" w:color="000000"/>
              <w:bottom w:val="single" w:sz="4" w:space="0" w:color="000000"/>
              <w:right w:val="single" w:sz="4" w:space="0" w:color="000000"/>
            </w:tcBorders>
          </w:tcPr>
          <w:p w14:paraId="1FBBB9C5" w14:textId="2BB9FF03" w:rsidR="007337A6" w:rsidRPr="00A247CB" w:rsidRDefault="007337A6" w:rsidP="002972D3">
            <w:pPr>
              <w:widowControl w:val="0"/>
              <w:spacing w:after="0" w:line="240" w:lineRule="auto"/>
              <w:ind w:left="102" w:right="-20"/>
              <w:rPr>
                <w:rFonts w:eastAsia="Calibri" w:cs="Calibri"/>
              </w:rPr>
            </w:pPr>
            <w:r>
              <w:rPr>
                <w:rFonts w:eastAsia="Calibri" w:cs="Calibri"/>
                <w:lang w:val="en-GB"/>
              </w:rPr>
              <w:t>Section 285</w:t>
            </w:r>
          </w:p>
        </w:tc>
      </w:tr>
      <w:tr w:rsidR="002972D3" w:rsidRPr="0010391B" w14:paraId="51066E6B" w14:textId="77777777" w:rsidTr="00B02B13">
        <w:trPr>
          <w:gridAfter w:val="2"/>
          <w:wAfter w:w="164" w:type="dxa"/>
          <w:trHeight w:val="20"/>
        </w:trPr>
        <w:tc>
          <w:tcPr>
            <w:tcW w:w="3442" w:type="dxa"/>
            <w:vMerge/>
            <w:tcBorders>
              <w:left w:val="single" w:sz="4" w:space="0" w:color="000000"/>
              <w:right w:val="single" w:sz="4" w:space="0" w:color="000000"/>
            </w:tcBorders>
          </w:tcPr>
          <w:p w14:paraId="02E2BE9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FB54FE3" w14:textId="77777777" w:rsidR="002972D3" w:rsidRPr="00A247CB" w:rsidRDefault="002972D3" w:rsidP="002972D3">
            <w:pPr>
              <w:widowControl w:val="0"/>
              <w:spacing w:before="1" w:after="0" w:line="239" w:lineRule="auto"/>
              <w:ind w:left="105" w:right="488"/>
              <w:rPr>
                <w:rFonts w:eastAsia="Calibri" w:cs="Calibri"/>
              </w:rPr>
            </w:pPr>
            <w:r>
              <w:rPr>
                <w:rFonts w:eastAsia="Calibri" w:cs="Calibri"/>
                <w:lang w:val="en-GB"/>
              </w:rPr>
              <w:t>Procedure upon breaching the provisions applicable to commercial practices vis-a-vis consumers</w:t>
            </w:r>
          </w:p>
        </w:tc>
        <w:tc>
          <w:tcPr>
            <w:tcW w:w="1276" w:type="dxa"/>
            <w:tcBorders>
              <w:top w:val="single" w:sz="4" w:space="0" w:color="000000"/>
              <w:left w:val="single" w:sz="4" w:space="0" w:color="000000"/>
              <w:bottom w:val="single" w:sz="4" w:space="0" w:color="000000"/>
              <w:right w:val="single" w:sz="4" w:space="0" w:color="000000"/>
            </w:tcBorders>
          </w:tcPr>
          <w:p w14:paraId="79C68C6F"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 287</w:t>
            </w:r>
          </w:p>
        </w:tc>
      </w:tr>
      <w:tr w:rsidR="002972D3" w:rsidRPr="0010391B" w14:paraId="0EDACB53"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7EC6CE8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BEDA161" w14:textId="77777777" w:rsidR="002972D3" w:rsidRPr="00A247CB" w:rsidRDefault="002972D3" w:rsidP="002972D3">
            <w:pPr>
              <w:widowControl w:val="0"/>
              <w:spacing w:before="75" w:after="0" w:line="240" w:lineRule="auto"/>
              <w:ind w:left="105" w:right="-20"/>
              <w:rPr>
                <w:rFonts w:eastAsia="Calibri" w:cs="Calibri"/>
              </w:rPr>
            </w:pPr>
            <w:r>
              <w:rPr>
                <w:rFonts w:eastAsia="Calibri" w:cs="Calibri"/>
                <w:lang w:val="en-GB"/>
              </w:rPr>
              <w:t>Complaint management</w:t>
            </w:r>
          </w:p>
        </w:tc>
        <w:tc>
          <w:tcPr>
            <w:tcW w:w="1276" w:type="dxa"/>
            <w:tcBorders>
              <w:top w:val="single" w:sz="4" w:space="0" w:color="000000"/>
              <w:left w:val="single" w:sz="4" w:space="0" w:color="000000"/>
              <w:bottom w:val="single" w:sz="4" w:space="0" w:color="000000"/>
              <w:right w:val="single" w:sz="4" w:space="0" w:color="000000"/>
            </w:tcBorders>
          </w:tcPr>
          <w:p w14:paraId="5654D0CA"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288</w:t>
            </w:r>
          </w:p>
        </w:tc>
      </w:tr>
      <w:tr w:rsidR="002972D3" w:rsidRPr="0010391B" w14:paraId="4E98C69B"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7AB6DEE1" w14:textId="77777777" w:rsidR="002972D3" w:rsidRPr="0010391B" w:rsidRDefault="002972D3" w:rsidP="002972D3">
            <w:pPr>
              <w:widowControl w:val="0"/>
              <w:spacing w:after="0" w:line="242" w:lineRule="exact"/>
              <w:ind w:left="103" w:right="-20"/>
              <w:rPr>
                <w:rFonts w:eastAsia="Calibri" w:cs="Calibri"/>
              </w:rPr>
            </w:pPr>
            <w:r>
              <w:rPr>
                <w:rFonts w:eastAsia="Calibri" w:cs="Calibri"/>
                <w:lang w:val="en-GB"/>
              </w:rPr>
              <w:t>Act CXIII of 1996 on Building Societies</w:t>
            </w:r>
          </w:p>
        </w:tc>
        <w:tc>
          <w:tcPr>
            <w:tcW w:w="4536" w:type="dxa"/>
            <w:gridSpan w:val="2"/>
            <w:tcBorders>
              <w:top w:val="single" w:sz="4" w:space="0" w:color="000000"/>
              <w:left w:val="single" w:sz="4" w:space="0" w:color="000000"/>
              <w:bottom w:val="single" w:sz="4" w:space="0" w:color="000000"/>
              <w:right w:val="single" w:sz="4" w:space="0" w:color="000000"/>
            </w:tcBorders>
          </w:tcPr>
          <w:p w14:paraId="549152A0" w14:textId="77777777" w:rsidR="002972D3" w:rsidRPr="0010391B" w:rsidRDefault="002972D3" w:rsidP="002972D3">
            <w:pPr>
              <w:widowControl w:val="0"/>
              <w:spacing w:after="0" w:line="242" w:lineRule="exact"/>
              <w:ind w:left="105" w:right="-20"/>
              <w:rPr>
                <w:rFonts w:eastAsia="Calibri" w:cs="Calibri"/>
              </w:rPr>
            </w:pPr>
            <w:r>
              <w:rPr>
                <w:rFonts w:eastAsia="Calibri" w:cs="Calibri"/>
                <w:lang w:val="en-GB"/>
              </w:rPr>
              <w:t>Home savings contract</w:t>
            </w:r>
          </w:p>
        </w:tc>
        <w:tc>
          <w:tcPr>
            <w:tcW w:w="1276" w:type="dxa"/>
            <w:tcBorders>
              <w:top w:val="single" w:sz="4" w:space="0" w:color="000000"/>
              <w:left w:val="single" w:sz="4" w:space="0" w:color="000000"/>
              <w:bottom w:val="single" w:sz="4" w:space="0" w:color="000000"/>
              <w:right w:val="single" w:sz="4" w:space="0" w:color="000000"/>
            </w:tcBorders>
          </w:tcPr>
          <w:p w14:paraId="661BABC0" w14:textId="77777777" w:rsidR="002972D3" w:rsidRPr="0010391B" w:rsidRDefault="002972D3" w:rsidP="002972D3">
            <w:pPr>
              <w:widowControl w:val="0"/>
              <w:spacing w:after="0" w:line="242" w:lineRule="exact"/>
              <w:ind w:left="102" w:right="-20"/>
              <w:rPr>
                <w:rFonts w:eastAsia="Calibri" w:cs="Calibri"/>
              </w:rPr>
            </w:pPr>
            <w:r>
              <w:rPr>
                <w:rFonts w:eastAsia="Calibri" w:cs="Calibri"/>
                <w:lang w:val="en-GB"/>
              </w:rPr>
              <w:t>Sections 6–9</w:t>
            </w:r>
          </w:p>
        </w:tc>
      </w:tr>
      <w:tr w:rsidR="002972D3" w:rsidRPr="0010391B" w14:paraId="4B50AD75" w14:textId="77777777" w:rsidTr="00B02B13">
        <w:trPr>
          <w:gridAfter w:val="2"/>
          <w:wAfter w:w="164" w:type="dxa"/>
          <w:trHeight w:val="20"/>
        </w:trPr>
        <w:tc>
          <w:tcPr>
            <w:tcW w:w="3442" w:type="dxa"/>
            <w:vMerge/>
            <w:tcBorders>
              <w:left w:val="single" w:sz="4" w:space="0" w:color="000000"/>
              <w:right w:val="single" w:sz="4" w:space="0" w:color="000000"/>
            </w:tcBorders>
          </w:tcPr>
          <w:p w14:paraId="56080AB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D8EEEBD"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Rules pertaining to the granting of housing loans and bridging loans</w:t>
            </w:r>
          </w:p>
        </w:tc>
        <w:tc>
          <w:tcPr>
            <w:tcW w:w="1276" w:type="dxa"/>
            <w:tcBorders>
              <w:top w:val="single" w:sz="4" w:space="0" w:color="000000"/>
              <w:left w:val="single" w:sz="4" w:space="0" w:color="000000"/>
              <w:bottom w:val="single" w:sz="4" w:space="0" w:color="000000"/>
              <w:right w:val="single" w:sz="4" w:space="0" w:color="000000"/>
            </w:tcBorders>
          </w:tcPr>
          <w:p w14:paraId="3F69723F"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10-11</w:t>
            </w:r>
          </w:p>
        </w:tc>
      </w:tr>
      <w:tr w:rsidR="002972D3" w:rsidRPr="0010391B" w14:paraId="773D15C1" w14:textId="77777777" w:rsidTr="00B02B13">
        <w:trPr>
          <w:gridAfter w:val="2"/>
          <w:wAfter w:w="164" w:type="dxa"/>
          <w:trHeight w:val="20"/>
        </w:trPr>
        <w:tc>
          <w:tcPr>
            <w:tcW w:w="3442" w:type="dxa"/>
            <w:vMerge/>
            <w:tcBorders>
              <w:left w:val="single" w:sz="4" w:space="0" w:color="000000"/>
              <w:right w:val="single" w:sz="4" w:space="0" w:color="000000"/>
            </w:tcBorders>
          </w:tcPr>
          <w:p w14:paraId="711B41C9"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DB7A585"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Standard terms and conditions</w:t>
            </w:r>
          </w:p>
        </w:tc>
        <w:tc>
          <w:tcPr>
            <w:tcW w:w="1276" w:type="dxa"/>
            <w:tcBorders>
              <w:top w:val="single" w:sz="4" w:space="0" w:color="000000"/>
              <w:left w:val="single" w:sz="4" w:space="0" w:color="000000"/>
              <w:bottom w:val="single" w:sz="4" w:space="0" w:color="000000"/>
              <w:right w:val="single" w:sz="4" w:space="0" w:color="000000"/>
            </w:tcBorders>
          </w:tcPr>
          <w:p w14:paraId="4955AF90" w14:textId="6A318859"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18</w:t>
            </w:r>
          </w:p>
        </w:tc>
      </w:tr>
      <w:tr w:rsidR="002972D3" w:rsidRPr="0010391B" w14:paraId="720994C5"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7D78834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350FF81" w14:textId="77777777" w:rsidR="002972D3" w:rsidRPr="00A247CB" w:rsidRDefault="002972D3" w:rsidP="002972D3">
            <w:pPr>
              <w:widowControl w:val="0"/>
              <w:spacing w:after="0" w:line="242" w:lineRule="exact"/>
              <w:ind w:left="150" w:right="-20"/>
              <w:rPr>
                <w:rFonts w:eastAsia="Calibri" w:cs="Calibri"/>
              </w:rPr>
            </w:pPr>
            <w:r>
              <w:rPr>
                <w:rFonts w:eastAsia="Calibri" w:cs="Calibri"/>
                <w:lang w:val="en-GB"/>
              </w:rPr>
              <w:t>State subsidy for home savings</w:t>
            </w:r>
          </w:p>
        </w:tc>
        <w:tc>
          <w:tcPr>
            <w:tcW w:w="1276" w:type="dxa"/>
            <w:tcBorders>
              <w:top w:val="single" w:sz="4" w:space="0" w:color="000000"/>
              <w:left w:val="single" w:sz="4" w:space="0" w:color="000000"/>
              <w:bottom w:val="single" w:sz="4" w:space="0" w:color="000000"/>
              <w:right w:val="single" w:sz="4" w:space="0" w:color="000000"/>
            </w:tcBorders>
          </w:tcPr>
          <w:p w14:paraId="2566C112" w14:textId="60DD32BE"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21–24/A</w:t>
            </w:r>
          </w:p>
        </w:tc>
      </w:tr>
      <w:tr w:rsidR="00FC0538" w:rsidRPr="0010391B" w14:paraId="617F8D2D"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2B906A3D" w14:textId="77777777" w:rsidR="00FC0538" w:rsidRPr="0010391B" w:rsidRDefault="00FC0538" w:rsidP="002972D3">
            <w:pPr>
              <w:widowControl w:val="0"/>
              <w:spacing w:after="0" w:line="242" w:lineRule="exact"/>
              <w:ind w:left="103" w:right="-20"/>
              <w:rPr>
                <w:rFonts w:eastAsia="Calibri" w:cs="Calibri"/>
              </w:rPr>
            </w:pPr>
            <w:r>
              <w:rPr>
                <w:rFonts w:eastAsia="Calibri" w:cs="Calibri"/>
                <w:lang w:val="en-GB"/>
              </w:rPr>
              <w:lastRenderedPageBreak/>
              <w:t>Act CVIII of 2001 on certain issues of</w:t>
            </w:r>
          </w:p>
          <w:p w14:paraId="749D4379" w14:textId="5E4882D8" w:rsidR="00FC0538" w:rsidRPr="0010391B" w:rsidRDefault="00FC0538" w:rsidP="002972D3">
            <w:pPr>
              <w:widowControl w:val="0"/>
              <w:spacing w:after="0" w:line="239" w:lineRule="auto"/>
              <w:ind w:left="103" w:right="52"/>
              <w:rPr>
                <w:rFonts w:eastAsia="Calibri" w:cs="Calibri"/>
              </w:rPr>
            </w:pPr>
            <w:r>
              <w:rPr>
                <w:rFonts w:eastAsia="Calibri" w:cs="Calibri"/>
                <w:lang w:val="en-GB"/>
              </w:rPr>
              <w:t>electronic commerce services and information society services</w:t>
            </w:r>
          </w:p>
        </w:tc>
        <w:tc>
          <w:tcPr>
            <w:tcW w:w="4536" w:type="dxa"/>
            <w:gridSpan w:val="2"/>
            <w:tcBorders>
              <w:top w:val="single" w:sz="4" w:space="0" w:color="000000"/>
              <w:left w:val="single" w:sz="4" w:space="0" w:color="000000"/>
              <w:bottom w:val="single" w:sz="4" w:space="0" w:color="000000"/>
              <w:right w:val="single" w:sz="4" w:space="0" w:color="000000"/>
            </w:tcBorders>
          </w:tcPr>
          <w:p w14:paraId="5032672D" w14:textId="77777777" w:rsidR="00FC0538" w:rsidRPr="0010391B" w:rsidRDefault="00FC0538" w:rsidP="002972D3">
            <w:pPr>
              <w:widowControl w:val="0"/>
              <w:spacing w:after="0" w:line="242" w:lineRule="exact"/>
              <w:ind w:left="105" w:right="-20"/>
              <w:rPr>
                <w:rFonts w:eastAsia="Calibri" w:cs="Calibri"/>
              </w:rPr>
            </w:pPr>
            <w:r>
              <w:rPr>
                <w:rFonts w:eastAsia="Calibri" w:cs="Calibri"/>
                <w:lang w:val="en-GB"/>
              </w:rPr>
              <w:t>Scope of the Act</w:t>
            </w:r>
          </w:p>
        </w:tc>
        <w:tc>
          <w:tcPr>
            <w:tcW w:w="1276" w:type="dxa"/>
            <w:tcBorders>
              <w:top w:val="single" w:sz="4" w:space="0" w:color="000000"/>
              <w:left w:val="single" w:sz="4" w:space="0" w:color="000000"/>
              <w:bottom w:val="single" w:sz="4" w:space="0" w:color="000000"/>
              <w:right w:val="single" w:sz="4" w:space="0" w:color="000000"/>
            </w:tcBorders>
          </w:tcPr>
          <w:p w14:paraId="38AD0AAE" w14:textId="77777777" w:rsidR="00FC0538" w:rsidRPr="0010391B" w:rsidRDefault="00FC0538" w:rsidP="002972D3">
            <w:pPr>
              <w:widowControl w:val="0"/>
              <w:spacing w:after="0" w:line="242" w:lineRule="exact"/>
              <w:ind w:left="148" w:right="-20"/>
              <w:rPr>
                <w:rFonts w:eastAsia="Calibri" w:cs="Calibri"/>
              </w:rPr>
            </w:pPr>
            <w:r>
              <w:rPr>
                <w:rFonts w:eastAsia="Calibri" w:cs="Calibri"/>
                <w:lang w:val="en-GB"/>
              </w:rPr>
              <w:t>Section 1</w:t>
            </w:r>
          </w:p>
        </w:tc>
      </w:tr>
      <w:tr w:rsidR="00FC0538" w:rsidRPr="0010391B" w14:paraId="7E3CCCA6" w14:textId="77777777" w:rsidTr="00B02B13">
        <w:trPr>
          <w:gridAfter w:val="2"/>
          <w:wAfter w:w="164" w:type="dxa"/>
          <w:trHeight w:val="20"/>
        </w:trPr>
        <w:tc>
          <w:tcPr>
            <w:tcW w:w="3442" w:type="dxa"/>
            <w:vMerge/>
            <w:tcBorders>
              <w:left w:val="single" w:sz="4" w:space="0" w:color="000000"/>
              <w:right w:val="single" w:sz="4" w:space="0" w:color="000000"/>
            </w:tcBorders>
          </w:tcPr>
          <w:p w14:paraId="16B059CA" w14:textId="6B22A7E8" w:rsidR="00FC0538" w:rsidRPr="0010391B" w:rsidRDefault="00FC0538" w:rsidP="002972D3">
            <w:pPr>
              <w:widowControl w:val="0"/>
              <w:spacing w:after="0" w:line="239" w:lineRule="auto"/>
              <w:ind w:left="103" w:right="52"/>
              <w:rPr>
                <w:rFonts w:eastAsia="Calibri" w:cs="Calibri"/>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6714B17" w14:textId="77777777" w:rsidR="00FC0538" w:rsidRPr="0010391B" w:rsidRDefault="00FC0538" w:rsidP="002972D3">
            <w:pPr>
              <w:widowControl w:val="0"/>
              <w:tabs>
                <w:tab w:val="left" w:pos="680"/>
                <w:tab w:val="left" w:pos="2020"/>
                <w:tab w:val="left" w:pos="3640"/>
              </w:tabs>
              <w:spacing w:before="2" w:after="0" w:line="238" w:lineRule="auto"/>
              <w:ind w:left="105" w:right="49"/>
              <w:rPr>
                <w:rFonts w:eastAsia="Calibri" w:cs="Calibri"/>
              </w:rPr>
            </w:pPr>
            <w:r>
              <w:rPr>
                <w:rFonts w:eastAsia="Calibri" w:cs="Calibri"/>
                <w:lang w:val="en-GB"/>
              </w:rPr>
              <w:t>Data reporting related information society services</w:t>
            </w:r>
          </w:p>
        </w:tc>
        <w:tc>
          <w:tcPr>
            <w:tcW w:w="1276" w:type="dxa"/>
            <w:tcBorders>
              <w:top w:val="single" w:sz="4" w:space="0" w:color="000000"/>
              <w:left w:val="single" w:sz="4" w:space="0" w:color="000000"/>
              <w:bottom w:val="single" w:sz="4" w:space="0" w:color="000000"/>
              <w:right w:val="single" w:sz="4" w:space="0" w:color="000000"/>
            </w:tcBorders>
          </w:tcPr>
          <w:p w14:paraId="435A6761" w14:textId="36C99627" w:rsidR="00FC0538" w:rsidRPr="0010391B" w:rsidRDefault="00984BDB" w:rsidP="002972D3">
            <w:pPr>
              <w:widowControl w:val="0"/>
              <w:spacing w:after="0" w:line="240" w:lineRule="auto"/>
              <w:ind w:left="102" w:right="-20"/>
              <w:rPr>
                <w:rFonts w:eastAsia="Calibri" w:cs="Calibri"/>
              </w:rPr>
            </w:pPr>
            <w:r>
              <w:rPr>
                <w:rFonts w:eastAsia="Calibri" w:cs="Calibri"/>
                <w:lang w:val="en-GB"/>
              </w:rPr>
              <w:t>Sections 3/B–4</w:t>
            </w:r>
          </w:p>
        </w:tc>
      </w:tr>
      <w:tr w:rsidR="00FC0538" w:rsidRPr="0010391B" w14:paraId="43BBE6C7" w14:textId="77777777" w:rsidTr="00B02B13">
        <w:trPr>
          <w:gridAfter w:val="2"/>
          <w:wAfter w:w="164" w:type="dxa"/>
          <w:trHeight w:val="20"/>
        </w:trPr>
        <w:tc>
          <w:tcPr>
            <w:tcW w:w="3442" w:type="dxa"/>
            <w:vMerge/>
            <w:tcBorders>
              <w:left w:val="single" w:sz="4" w:space="0" w:color="000000"/>
              <w:right w:val="single" w:sz="4" w:space="0" w:color="000000"/>
            </w:tcBorders>
          </w:tcPr>
          <w:p w14:paraId="7D840964" w14:textId="77777777" w:rsidR="00FC0538" w:rsidRPr="00A247CB" w:rsidRDefault="00FC0538"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D6942BB" w14:textId="77777777" w:rsidR="00FC0538" w:rsidRPr="00A247CB" w:rsidRDefault="00FC0538" w:rsidP="002972D3">
            <w:pPr>
              <w:widowControl w:val="0"/>
              <w:tabs>
                <w:tab w:val="left" w:pos="500"/>
                <w:tab w:val="left" w:pos="1720"/>
                <w:tab w:val="left" w:pos="2300"/>
                <w:tab w:val="left" w:pos="3140"/>
              </w:tabs>
              <w:spacing w:before="2" w:after="0" w:line="238" w:lineRule="auto"/>
              <w:ind w:left="105" w:right="52"/>
              <w:rPr>
                <w:rFonts w:eastAsia="Calibri" w:cs="Calibri"/>
              </w:rPr>
            </w:pPr>
            <w:r>
              <w:rPr>
                <w:rFonts w:eastAsia="Calibri" w:cs="Calibri"/>
                <w:lang w:val="en-GB"/>
              </w:rPr>
              <w:t>Rules pertaining to the conclusion of contracts electronically</w:t>
            </w:r>
          </w:p>
        </w:tc>
        <w:tc>
          <w:tcPr>
            <w:tcW w:w="1276" w:type="dxa"/>
            <w:tcBorders>
              <w:top w:val="single" w:sz="4" w:space="0" w:color="000000"/>
              <w:left w:val="single" w:sz="4" w:space="0" w:color="000000"/>
              <w:bottom w:val="single" w:sz="4" w:space="0" w:color="000000"/>
              <w:right w:val="single" w:sz="4" w:space="0" w:color="000000"/>
            </w:tcBorders>
          </w:tcPr>
          <w:p w14:paraId="5A31CE15" w14:textId="77777777" w:rsidR="00FC0538" w:rsidRPr="00A247CB" w:rsidRDefault="00FC0538" w:rsidP="002972D3">
            <w:pPr>
              <w:widowControl w:val="0"/>
              <w:spacing w:after="0" w:line="240" w:lineRule="auto"/>
              <w:ind w:left="102" w:right="-20"/>
              <w:rPr>
                <w:rFonts w:eastAsia="Calibri" w:cs="Calibri"/>
              </w:rPr>
            </w:pPr>
            <w:r>
              <w:rPr>
                <w:rFonts w:eastAsia="Calibri" w:cs="Calibri"/>
                <w:lang w:val="en-GB"/>
              </w:rPr>
              <w:t>Sections 5–6</w:t>
            </w:r>
          </w:p>
        </w:tc>
      </w:tr>
      <w:tr w:rsidR="00FC0538" w:rsidRPr="0010391B" w14:paraId="25B333E8" w14:textId="77777777" w:rsidTr="00B02B13">
        <w:trPr>
          <w:gridAfter w:val="2"/>
          <w:wAfter w:w="164" w:type="dxa"/>
          <w:trHeight w:val="20"/>
        </w:trPr>
        <w:tc>
          <w:tcPr>
            <w:tcW w:w="3442" w:type="dxa"/>
            <w:vMerge/>
            <w:tcBorders>
              <w:left w:val="single" w:sz="4" w:space="0" w:color="000000"/>
              <w:right w:val="single" w:sz="4" w:space="0" w:color="000000"/>
            </w:tcBorders>
          </w:tcPr>
          <w:p w14:paraId="1A913065" w14:textId="77777777" w:rsidR="00FC0538" w:rsidRPr="00A247CB" w:rsidRDefault="00FC0538"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EFA4CD6" w14:textId="77777777" w:rsidR="00FC0538" w:rsidRPr="00A247CB" w:rsidRDefault="00FC0538" w:rsidP="002972D3">
            <w:pPr>
              <w:widowControl w:val="0"/>
              <w:spacing w:after="0" w:line="242" w:lineRule="exact"/>
              <w:ind w:left="105" w:right="-20"/>
              <w:rPr>
                <w:rFonts w:eastAsia="Calibri" w:cs="Calibri"/>
              </w:rPr>
            </w:pPr>
            <w:r>
              <w:rPr>
                <w:rFonts w:eastAsia="Calibri" w:cs="Calibri"/>
                <w:lang w:val="en-GB"/>
              </w:rPr>
              <w:t>Responsibility of the service provider and the intermediary provider</w:t>
            </w:r>
          </w:p>
        </w:tc>
        <w:tc>
          <w:tcPr>
            <w:tcW w:w="1276" w:type="dxa"/>
            <w:tcBorders>
              <w:top w:val="single" w:sz="4" w:space="0" w:color="000000"/>
              <w:left w:val="single" w:sz="4" w:space="0" w:color="000000"/>
              <w:bottom w:val="single" w:sz="4" w:space="0" w:color="000000"/>
              <w:right w:val="single" w:sz="4" w:space="0" w:color="000000"/>
            </w:tcBorders>
          </w:tcPr>
          <w:p w14:paraId="736285C8" w14:textId="77777777" w:rsidR="00FC0538" w:rsidRPr="00A247CB" w:rsidRDefault="00FC0538" w:rsidP="002972D3">
            <w:pPr>
              <w:widowControl w:val="0"/>
              <w:spacing w:after="0" w:line="242" w:lineRule="exact"/>
              <w:ind w:left="102" w:right="-20"/>
              <w:rPr>
                <w:rFonts w:eastAsia="Calibri" w:cs="Calibri"/>
              </w:rPr>
            </w:pPr>
            <w:r>
              <w:rPr>
                <w:rFonts w:eastAsia="Calibri" w:cs="Calibri"/>
                <w:lang w:val="en-GB"/>
              </w:rPr>
              <w:t>Sections 7–12</w:t>
            </w:r>
          </w:p>
        </w:tc>
      </w:tr>
      <w:tr w:rsidR="00FC0538" w:rsidRPr="0010391B" w14:paraId="446D40AC" w14:textId="77777777" w:rsidTr="00B02B13">
        <w:trPr>
          <w:gridAfter w:val="2"/>
          <w:wAfter w:w="164" w:type="dxa"/>
          <w:trHeight w:val="20"/>
        </w:trPr>
        <w:tc>
          <w:tcPr>
            <w:tcW w:w="3442" w:type="dxa"/>
            <w:vMerge/>
            <w:tcBorders>
              <w:left w:val="single" w:sz="4" w:space="0" w:color="000000"/>
              <w:right w:val="single" w:sz="4" w:space="0" w:color="000000"/>
            </w:tcBorders>
          </w:tcPr>
          <w:p w14:paraId="66DB14A2" w14:textId="77777777" w:rsidR="00FC0538" w:rsidRPr="00A247CB" w:rsidRDefault="00FC0538"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DB38462" w14:textId="77777777" w:rsidR="00FC0538" w:rsidRPr="00A247CB" w:rsidRDefault="00FC0538" w:rsidP="002972D3">
            <w:pPr>
              <w:widowControl w:val="0"/>
              <w:spacing w:after="0" w:line="242" w:lineRule="exact"/>
              <w:ind w:left="105" w:right="-20"/>
              <w:rPr>
                <w:rFonts w:eastAsia="Calibri" w:cs="Calibri"/>
              </w:rPr>
            </w:pPr>
            <w:r>
              <w:rPr>
                <w:rFonts w:eastAsia="Calibri" w:cs="Calibri"/>
                <w:lang w:val="en-GB"/>
              </w:rPr>
              <w:t>Data protection</w:t>
            </w:r>
          </w:p>
        </w:tc>
        <w:tc>
          <w:tcPr>
            <w:tcW w:w="1276" w:type="dxa"/>
            <w:tcBorders>
              <w:top w:val="single" w:sz="4" w:space="0" w:color="000000"/>
              <w:left w:val="single" w:sz="4" w:space="0" w:color="000000"/>
              <w:bottom w:val="single" w:sz="4" w:space="0" w:color="000000"/>
              <w:right w:val="single" w:sz="4" w:space="0" w:color="000000"/>
            </w:tcBorders>
          </w:tcPr>
          <w:p w14:paraId="6AEA9544" w14:textId="53DA61A5" w:rsidR="00FC0538" w:rsidRPr="00A247CB" w:rsidRDefault="00FC0538" w:rsidP="002972D3">
            <w:pPr>
              <w:widowControl w:val="0"/>
              <w:spacing w:after="0" w:line="242" w:lineRule="exact"/>
              <w:ind w:left="102" w:right="-20"/>
              <w:rPr>
                <w:rFonts w:eastAsia="Calibri" w:cs="Calibri"/>
              </w:rPr>
            </w:pPr>
            <w:r>
              <w:rPr>
                <w:rFonts w:eastAsia="Calibri" w:cs="Calibri"/>
                <w:lang w:val="en-GB"/>
              </w:rPr>
              <w:t>Sections 13/A–13/B</w:t>
            </w:r>
          </w:p>
        </w:tc>
      </w:tr>
      <w:tr w:rsidR="00FC0538" w:rsidRPr="0010391B" w14:paraId="7953566F" w14:textId="77777777" w:rsidTr="00B02B13">
        <w:trPr>
          <w:gridAfter w:val="2"/>
          <w:wAfter w:w="164" w:type="dxa"/>
          <w:trHeight w:val="20"/>
        </w:trPr>
        <w:tc>
          <w:tcPr>
            <w:tcW w:w="3442" w:type="dxa"/>
            <w:vMerge/>
            <w:tcBorders>
              <w:left w:val="single" w:sz="4" w:space="0" w:color="000000"/>
              <w:right w:val="single" w:sz="4" w:space="0" w:color="000000"/>
            </w:tcBorders>
          </w:tcPr>
          <w:p w14:paraId="2E56E0C6" w14:textId="77777777" w:rsidR="00FC0538" w:rsidRPr="00A247CB" w:rsidRDefault="00FC0538"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5F9E10C" w14:textId="77777777" w:rsidR="00FC0538" w:rsidRPr="00A247CB" w:rsidRDefault="00FC0538" w:rsidP="002972D3">
            <w:pPr>
              <w:widowControl w:val="0"/>
              <w:tabs>
                <w:tab w:val="left" w:pos="520"/>
                <w:tab w:val="left" w:pos="1760"/>
                <w:tab w:val="left" w:pos="2820"/>
                <w:tab w:val="left" w:pos="3900"/>
              </w:tabs>
              <w:spacing w:after="0" w:line="242" w:lineRule="exact"/>
              <w:ind w:left="105" w:right="-20"/>
              <w:rPr>
                <w:rFonts w:eastAsia="Calibri" w:cs="Calibri"/>
              </w:rPr>
            </w:pPr>
            <w:r>
              <w:rPr>
                <w:rFonts w:eastAsia="Calibri" w:cs="Calibri"/>
                <w:lang w:val="en-GB"/>
              </w:rPr>
              <w:t>Special rules applicable to electronic advertising</w:t>
            </w:r>
          </w:p>
        </w:tc>
        <w:tc>
          <w:tcPr>
            <w:tcW w:w="1276" w:type="dxa"/>
            <w:tcBorders>
              <w:top w:val="single" w:sz="4" w:space="0" w:color="000000"/>
              <w:left w:val="single" w:sz="4" w:space="0" w:color="000000"/>
              <w:bottom w:val="single" w:sz="4" w:space="0" w:color="000000"/>
              <w:right w:val="single" w:sz="4" w:space="0" w:color="000000"/>
            </w:tcBorders>
          </w:tcPr>
          <w:p w14:paraId="6E3B7062" w14:textId="77777777" w:rsidR="00FC0538" w:rsidRPr="00A247CB" w:rsidRDefault="00FC0538" w:rsidP="002972D3">
            <w:pPr>
              <w:widowControl w:val="0"/>
              <w:spacing w:after="0" w:line="242" w:lineRule="exact"/>
              <w:ind w:left="102" w:right="-20"/>
              <w:rPr>
                <w:rFonts w:eastAsia="Calibri" w:cs="Calibri"/>
              </w:rPr>
            </w:pPr>
            <w:r>
              <w:rPr>
                <w:rFonts w:eastAsia="Calibri" w:cs="Calibri"/>
                <w:lang w:val="en-GB"/>
              </w:rPr>
              <w:t>Sections 14–14/C</w:t>
            </w:r>
          </w:p>
        </w:tc>
      </w:tr>
      <w:tr w:rsidR="00FC0538" w:rsidRPr="0010391B" w14:paraId="2207490D" w14:textId="77777777" w:rsidTr="00B02B13">
        <w:trPr>
          <w:gridAfter w:val="2"/>
          <w:wAfter w:w="164" w:type="dxa"/>
          <w:trHeight w:val="20"/>
        </w:trPr>
        <w:tc>
          <w:tcPr>
            <w:tcW w:w="3442" w:type="dxa"/>
            <w:vMerge/>
            <w:tcBorders>
              <w:left w:val="single" w:sz="4" w:space="0" w:color="000000"/>
              <w:right w:val="single" w:sz="4" w:space="0" w:color="000000"/>
            </w:tcBorders>
          </w:tcPr>
          <w:p w14:paraId="0D27E3D4" w14:textId="77777777" w:rsidR="00FC0538" w:rsidRPr="00A247CB" w:rsidRDefault="00FC0538"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E5BE719" w14:textId="77777777" w:rsidR="00FC0538" w:rsidRPr="00A247CB" w:rsidRDefault="00FC0538" w:rsidP="002972D3">
            <w:pPr>
              <w:widowControl w:val="0"/>
              <w:spacing w:before="1" w:after="0" w:line="239" w:lineRule="auto"/>
              <w:ind w:left="105" w:right="51"/>
              <w:rPr>
                <w:rFonts w:eastAsia="Calibri" w:cs="Calibri"/>
              </w:rPr>
            </w:pPr>
            <w:r>
              <w:rPr>
                <w:rFonts w:eastAsia="Calibri" w:cs="Calibri"/>
                <w:lang w:val="en-GB"/>
              </w:rPr>
              <w:t>Special consumer protection rules applicable to information society services</w:t>
            </w:r>
          </w:p>
        </w:tc>
        <w:tc>
          <w:tcPr>
            <w:tcW w:w="1276" w:type="dxa"/>
            <w:tcBorders>
              <w:top w:val="single" w:sz="4" w:space="0" w:color="000000"/>
              <w:left w:val="single" w:sz="4" w:space="0" w:color="000000"/>
              <w:bottom w:val="single" w:sz="4" w:space="0" w:color="000000"/>
              <w:right w:val="single" w:sz="4" w:space="0" w:color="000000"/>
            </w:tcBorders>
          </w:tcPr>
          <w:p w14:paraId="36BD94EE" w14:textId="77777777" w:rsidR="00FC0538" w:rsidRPr="00A247CB" w:rsidRDefault="00FC0538" w:rsidP="002972D3">
            <w:pPr>
              <w:widowControl w:val="0"/>
              <w:spacing w:after="0" w:line="240" w:lineRule="auto"/>
              <w:ind w:left="102" w:right="-20"/>
              <w:rPr>
                <w:rFonts w:eastAsia="Calibri" w:cs="Calibri"/>
              </w:rPr>
            </w:pPr>
            <w:r>
              <w:rPr>
                <w:rFonts w:eastAsia="Calibri" w:cs="Calibri"/>
                <w:lang w:val="en-GB"/>
              </w:rPr>
              <w:t>Section 15</w:t>
            </w:r>
          </w:p>
        </w:tc>
      </w:tr>
      <w:tr w:rsidR="00FC0538" w:rsidRPr="0010391B" w14:paraId="00C5BA41"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0C8A425B" w14:textId="77777777" w:rsidR="00FC0538" w:rsidRPr="00A247CB" w:rsidRDefault="00FC0538"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F204D3D" w14:textId="77777777" w:rsidR="00FC0538" w:rsidRPr="00A247CB" w:rsidRDefault="00FC0538" w:rsidP="002972D3">
            <w:pPr>
              <w:widowControl w:val="0"/>
              <w:spacing w:after="0" w:line="242" w:lineRule="exact"/>
              <w:ind w:left="105" w:right="-20"/>
              <w:rPr>
                <w:rFonts w:eastAsia="Calibri" w:cs="Calibri"/>
              </w:rPr>
            </w:pPr>
            <w:r>
              <w:rPr>
                <w:rFonts w:eastAsia="Calibri" w:cs="Calibri"/>
                <w:lang w:val="en-GB"/>
              </w:rPr>
              <w:t>Codes of Conduct</w:t>
            </w:r>
          </w:p>
        </w:tc>
        <w:tc>
          <w:tcPr>
            <w:tcW w:w="1276" w:type="dxa"/>
            <w:tcBorders>
              <w:top w:val="single" w:sz="4" w:space="0" w:color="000000"/>
              <w:left w:val="single" w:sz="4" w:space="0" w:color="000000"/>
              <w:bottom w:val="single" w:sz="4" w:space="0" w:color="000000"/>
              <w:right w:val="single" w:sz="4" w:space="0" w:color="000000"/>
            </w:tcBorders>
          </w:tcPr>
          <w:p w14:paraId="053FEF23" w14:textId="77777777" w:rsidR="00FC0538" w:rsidRPr="00A247CB" w:rsidRDefault="00FC0538" w:rsidP="002972D3">
            <w:pPr>
              <w:widowControl w:val="0"/>
              <w:spacing w:after="0" w:line="242" w:lineRule="exact"/>
              <w:ind w:left="102" w:right="-20"/>
              <w:rPr>
                <w:rFonts w:eastAsia="Calibri" w:cs="Calibri"/>
              </w:rPr>
            </w:pPr>
            <w:r>
              <w:rPr>
                <w:rFonts w:eastAsia="Calibri" w:cs="Calibri"/>
                <w:lang w:val="en-GB"/>
              </w:rPr>
              <w:t>Section 15/A</w:t>
            </w:r>
          </w:p>
        </w:tc>
      </w:tr>
      <w:tr w:rsidR="002972D3" w:rsidRPr="0010391B" w14:paraId="64BDFB0A"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3C870D5B" w14:textId="77777777" w:rsidR="002972D3" w:rsidRPr="0010391B" w:rsidRDefault="002972D3" w:rsidP="002972D3">
            <w:pPr>
              <w:widowControl w:val="0"/>
              <w:spacing w:after="0" w:line="242" w:lineRule="exact"/>
              <w:ind w:left="103" w:right="-20"/>
              <w:rPr>
                <w:rFonts w:eastAsia="Calibri" w:cs="Calibri"/>
              </w:rPr>
            </w:pPr>
            <w:r>
              <w:rPr>
                <w:rFonts w:eastAsia="Calibri" w:cs="Calibri"/>
                <w:lang w:val="en-GB"/>
              </w:rPr>
              <w:t>Act XX of 2001 on the Capital Markets</w:t>
            </w:r>
          </w:p>
        </w:tc>
        <w:tc>
          <w:tcPr>
            <w:tcW w:w="4536" w:type="dxa"/>
            <w:gridSpan w:val="2"/>
            <w:tcBorders>
              <w:top w:val="single" w:sz="4" w:space="0" w:color="000000"/>
              <w:left w:val="single" w:sz="4" w:space="0" w:color="000000"/>
              <w:bottom w:val="single" w:sz="4" w:space="0" w:color="000000"/>
              <w:right w:val="single" w:sz="4" w:space="0" w:color="000000"/>
            </w:tcBorders>
          </w:tcPr>
          <w:p w14:paraId="24182950" w14:textId="77777777" w:rsidR="002972D3" w:rsidRPr="0010391B" w:rsidRDefault="002972D3" w:rsidP="002972D3">
            <w:pPr>
              <w:widowControl w:val="0"/>
              <w:spacing w:after="0" w:line="242" w:lineRule="exact"/>
              <w:ind w:left="105" w:right="-20"/>
              <w:rPr>
                <w:rFonts w:eastAsia="Calibri" w:cs="Calibri"/>
              </w:rPr>
            </w:pPr>
            <w:r>
              <w:rPr>
                <w:rFonts w:eastAsia="Calibri" w:cs="Calibri"/>
                <w:lang w:val="en-GB"/>
              </w:rPr>
              <w:t>Scope of the Act</w:t>
            </w:r>
          </w:p>
        </w:tc>
        <w:tc>
          <w:tcPr>
            <w:tcW w:w="1276" w:type="dxa"/>
            <w:tcBorders>
              <w:top w:val="single" w:sz="4" w:space="0" w:color="000000"/>
              <w:left w:val="single" w:sz="4" w:space="0" w:color="000000"/>
              <w:bottom w:val="single" w:sz="4" w:space="0" w:color="000000"/>
              <w:right w:val="single" w:sz="4" w:space="0" w:color="000000"/>
            </w:tcBorders>
          </w:tcPr>
          <w:p w14:paraId="4DF5AB6B" w14:textId="77777777" w:rsidR="002972D3" w:rsidRPr="0010391B" w:rsidRDefault="002972D3" w:rsidP="002972D3">
            <w:pPr>
              <w:widowControl w:val="0"/>
              <w:spacing w:after="0" w:line="242" w:lineRule="exact"/>
              <w:ind w:left="148" w:right="-20"/>
              <w:rPr>
                <w:rFonts w:eastAsia="Calibri" w:cs="Calibri"/>
              </w:rPr>
            </w:pPr>
            <w:r>
              <w:rPr>
                <w:rFonts w:eastAsia="Calibri" w:cs="Calibri"/>
                <w:lang w:val="en-GB"/>
              </w:rPr>
              <w:t>Sections 1–3</w:t>
            </w:r>
          </w:p>
        </w:tc>
      </w:tr>
      <w:tr w:rsidR="002972D3" w:rsidRPr="0010391B" w14:paraId="44F583E1" w14:textId="77777777" w:rsidTr="00B02B13">
        <w:trPr>
          <w:gridAfter w:val="2"/>
          <w:wAfter w:w="164" w:type="dxa"/>
          <w:trHeight w:val="20"/>
        </w:trPr>
        <w:tc>
          <w:tcPr>
            <w:tcW w:w="3442" w:type="dxa"/>
            <w:vMerge/>
            <w:tcBorders>
              <w:left w:val="single" w:sz="4" w:space="0" w:color="000000"/>
              <w:right w:val="single" w:sz="4" w:space="0" w:color="000000"/>
            </w:tcBorders>
          </w:tcPr>
          <w:p w14:paraId="5EABEFD2"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51C4547" w14:textId="71C48D81" w:rsidR="002972D3" w:rsidRPr="00A247CB" w:rsidRDefault="00345178" w:rsidP="002972D3">
            <w:pPr>
              <w:widowControl w:val="0"/>
              <w:tabs>
                <w:tab w:val="left" w:pos="1320"/>
                <w:tab w:val="left" w:pos="2500"/>
                <w:tab w:val="left" w:pos="3260"/>
              </w:tabs>
              <w:spacing w:after="0" w:line="242" w:lineRule="exact"/>
              <w:ind w:left="105" w:right="-20"/>
              <w:rPr>
                <w:rFonts w:eastAsia="Calibri" w:cs="Calibri"/>
              </w:rPr>
            </w:pPr>
            <w:r>
              <w:rPr>
                <w:rFonts w:eastAsia="Calibri" w:cs="Calibri"/>
                <w:lang w:val="en-GB"/>
              </w:rPr>
              <w:t>Disclosure obligation related to securities admitted to trading on a regulated market – Regular disclosure / extraordinary disclosure</w:t>
            </w:r>
          </w:p>
        </w:tc>
        <w:tc>
          <w:tcPr>
            <w:tcW w:w="1276" w:type="dxa"/>
            <w:tcBorders>
              <w:top w:val="single" w:sz="4" w:space="0" w:color="000000"/>
              <w:left w:val="single" w:sz="4" w:space="0" w:color="000000"/>
              <w:bottom w:val="single" w:sz="4" w:space="0" w:color="000000"/>
              <w:right w:val="single" w:sz="4" w:space="0" w:color="000000"/>
            </w:tcBorders>
          </w:tcPr>
          <w:p w14:paraId="289A5D2E"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54–55</w:t>
            </w:r>
          </w:p>
        </w:tc>
      </w:tr>
      <w:tr w:rsidR="002972D3" w:rsidRPr="0010391B" w14:paraId="61A87ABB" w14:textId="77777777" w:rsidTr="00B02B13">
        <w:trPr>
          <w:gridAfter w:val="2"/>
          <w:wAfter w:w="164" w:type="dxa"/>
          <w:trHeight w:val="20"/>
        </w:trPr>
        <w:tc>
          <w:tcPr>
            <w:tcW w:w="3442" w:type="dxa"/>
            <w:vMerge/>
            <w:tcBorders>
              <w:left w:val="single" w:sz="4" w:space="0" w:color="000000"/>
              <w:right w:val="single" w:sz="4" w:space="0" w:color="000000"/>
            </w:tcBorders>
          </w:tcPr>
          <w:p w14:paraId="19D1243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767CEF1"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Common rules of regular and extraordinary disclosures</w:t>
            </w:r>
          </w:p>
        </w:tc>
        <w:tc>
          <w:tcPr>
            <w:tcW w:w="1276" w:type="dxa"/>
            <w:tcBorders>
              <w:top w:val="single" w:sz="4" w:space="0" w:color="000000"/>
              <w:left w:val="single" w:sz="4" w:space="0" w:color="000000"/>
              <w:bottom w:val="single" w:sz="4" w:space="0" w:color="000000"/>
              <w:right w:val="single" w:sz="4" w:space="0" w:color="000000"/>
            </w:tcBorders>
          </w:tcPr>
          <w:p w14:paraId="347AAF6B"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56–58</w:t>
            </w:r>
          </w:p>
        </w:tc>
      </w:tr>
      <w:tr w:rsidR="002972D3" w:rsidRPr="0010391B" w14:paraId="00110003" w14:textId="77777777" w:rsidTr="00B02B13">
        <w:trPr>
          <w:gridAfter w:val="2"/>
          <w:wAfter w:w="164" w:type="dxa"/>
          <w:trHeight w:val="20"/>
        </w:trPr>
        <w:tc>
          <w:tcPr>
            <w:tcW w:w="3442" w:type="dxa"/>
            <w:vMerge/>
            <w:tcBorders>
              <w:left w:val="single" w:sz="4" w:space="0" w:color="000000"/>
              <w:right w:val="single" w:sz="4" w:space="0" w:color="000000"/>
            </w:tcBorders>
          </w:tcPr>
          <w:p w14:paraId="1779302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F380D7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Termination of the disclosure obligation</w:t>
            </w:r>
          </w:p>
        </w:tc>
        <w:tc>
          <w:tcPr>
            <w:tcW w:w="1276" w:type="dxa"/>
            <w:tcBorders>
              <w:top w:val="single" w:sz="4" w:space="0" w:color="000000"/>
              <w:left w:val="single" w:sz="4" w:space="0" w:color="000000"/>
              <w:bottom w:val="single" w:sz="4" w:space="0" w:color="000000"/>
              <w:right w:val="single" w:sz="4" w:space="0" w:color="000000"/>
            </w:tcBorders>
          </w:tcPr>
          <w:p w14:paraId="4468B5BD"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59–60</w:t>
            </w:r>
          </w:p>
        </w:tc>
      </w:tr>
      <w:tr w:rsidR="002972D3" w:rsidRPr="0010391B" w14:paraId="54EFA8E0" w14:textId="77777777" w:rsidTr="00B02B13">
        <w:trPr>
          <w:gridAfter w:val="2"/>
          <w:wAfter w:w="164" w:type="dxa"/>
          <w:trHeight w:val="20"/>
        </w:trPr>
        <w:tc>
          <w:tcPr>
            <w:tcW w:w="3442" w:type="dxa"/>
            <w:vMerge/>
            <w:tcBorders>
              <w:left w:val="single" w:sz="4" w:space="0" w:color="000000"/>
              <w:right w:val="single" w:sz="4" w:space="0" w:color="000000"/>
            </w:tcBorders>
          </w:tcPr>
          <w:p w14:paraId="273A193B"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AE6B15E"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Securities account</w:t>
            </w:r>
          </w:p>
        </w:tc>
        <w:tc>
          <w:tcPr>
            <w:tcW w:w="1276" w:type="dxa"/>
            <w:tcBorders>
              <w:top w:val="single" w:sz="4" w:space="0" w:color="000000"/>
              <w:left w:val="single" w:sz="4" w:space="0" w:color="000000"/>
              <w:bottom w:val="single" w:sz="4" w:space="0" w:color="000000"/>
              <w:right w:val="single" w:sz="4" w:space="0" w:color="000000"/>
            </w:tcBorders>
          </w:tcPr>
          <w:p w14:paraId="7F2F4ED1" w14:textId="13F1ADA5"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140-143</w:t>
            </w:r>
          </w:p>
        </w:tc>
      </w:tr>
      <w:tr w:rsidR="002972D3" w:rsidRPr="0010391B" w14:paraId="56D69288" w14:textId="77777777" w:rsidTr="00B02B13">
        <w:trPr>
          <w:gridAfter w:val="2"/>
          <w:wAfter w:w="164" w:type="dxa"/>
          <w:trHeight w:val="20"/>
        </w:trPr>
        <w:tc>
          <w:tcPr>
            <w:tcW w:w="3442" w:type="dxa"/>
            <w:vMerge/>
            <w:tcBorders>
              <w:left w:val="single" w:sz="4" w:space="0" w:color="000000"/>
              <w:right w:val="single" w:sz="4" w:space="0" w:color="000000"/>
            </w:tcBorders>
          </w:tcPr>
          <w:p w14:paraId="092E8A72"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981EE8F"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Investor Protection Fund</w:t>
            </w:r>
          </w:p>
        </w:tc>
        <w:tc>
          <w:tcPr>
            <w:tcW w:w="1276" w:type="dxa"/>
            <w:tcBorders>
              <w:top w:val="single" w:sz="4" w:space="0" w:color="000000"/>
              <w:left w:val="single" w:sz="4" w:space="0" w:color="000000"/>
              <w:bottom w:val="single" w:sz="4" w:space="0" w:color="000000"/>
              <w:right w:val="single" w:sz="4" w:space="0" w:color="000000"/>
            </w:tcBorders>
          </w:tcPr>
          <w:p w14:paraId="68A9D829"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216–219</w:t>
            </w:r>
          </w:p>
        </w:tc>
      </w:tr>
      <w:tr w:rsidR="002972D3" w:rsidRPr="0010391B" w14:paraId="3FC90BB2" w14:textId="77777777" w:rsidTr="00B02B13">
        <w:trPr>
          <w:gridAfter w:val="2"/>
          <w:wAfter w:w="164" w:type="dxa"/>
          <w:trHeight w:val="20"/>
        </w:trPr>
        <w:tc>
          <w:tcPr>
            <w:tcW w:w="3442" w:type="dxa"/>
            <w:vMerge/>
            <w:tcBorders>
              <w:left w:val="single" w:sz="4" w:space="0" w:color="000000"/>
              <w:right w:val="single" w:sz="4" w:space="0" w:color="000000"/>
            </w:tcBorders>
          </w:tcPr>
          <w:p w14:paraId="00C04BFE"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C3007EB" w14:textId="77777777" w:rsidR="002972D3" w:rsidRPr="00A247CB" w:rsidRDefault="002972D3" w:rsidP="002972D3">
            <w:pPr>
              <w:widowControl w:val="0"/>
              <w:spacing w:after="0" w:line="239" w:lineRule="auto"/>
              <w:ind w:left="105" w:right="49"/>
              <w:rPr>
                <w:rFonts w:eastAsia="Calibri" w:cs="Calibri"/>
              </w:rPr>
            </w:pPr>
            <w:r>
              <w:rPr>
                <w:rFonts w:eastAsia="Calibri" w:cs="Calibri"/>
                <w:lang w:val="en-GB"/>
              </w:rPr>
              <w:t>Any organisation that is engaged in activities governed by this Act must include its license number and an indication of its exchange membership in all business correspondence, documents, advertisements and commercial messages published in a written form (printed or electronic format).</w:t>
            </w:r>
          </w:p>
        </w:tc>
        <w:tc>
          <w:tcPr>
            <w:tcW w:w="1276" w:type="dxa"/>
            <w:tcBorders>
              <w:top w:val="single" w:sz="4" w:space="0" w:color="000000"/>
              <w:left w:val="single" w:sz="4" w:space="0" w:color="000000"/>
              <w:bottom w:val="single" w:sz="4" w:space="0" w:color="000000"/>
              <w:right w:val="single" w:sz="4" w:space="0" w:color="000000"/>
            </w:tcBorders>
          </w:tcPr>
          <w:p w14:paraId="09ACA881"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 364</w:t>
            </w:r>
          </w:p>
        </w:tc>
      </w:tr>
      <w:tr w:rsidR="002972D3" w:rsidRPr="0010391B" w14:paraId="3BDDC559"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1ED2734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A9DF6F7"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Confidentiality - Business secret / Securities secret</w:t>
            </w:r>
          </w:p>
        </w:tc>
        <w:tc>
          <w:tcPr>
            <w:tcW w:w="1276" w:type="dxa"/>
            <w:tcBorders>
              <w:top w:val="single" w:sz="4" w:space="0" w:color="000000"/>
              <w:left w:val="single" w:sz="4" w:space="0" w:color="000000"/>
              <w:bottom w:val="single" w:sz="4" w:space="0" w:color="000000"/>
              <w:right w:val="single" w:sz="4" w:space="0" w:color="000000"/>
            </w:tcBorders>
          </w:tcPr>
          <w:p w14:paraId="691818BA" w14:textId="77777777" w:rsidR="002972D3" w:rsidRPr="00A247CB" w:rsidRDefault="002972D3" w:rsidP="002972D3">
            <w:pPr>
              <w:widowControl w:val="0"/>
              <w:spacing w:after="0" w:line="243" w:lineRule="exact"/>
              <w:ind w:left="102" w:right="-20"/>
              <w:rPr>
                <w:rFonts w:eastAsia="Calibri" w:cs="Calibri"/>
              </w:rPr>
            </w:pPr>
            <w:r>
              <w:rPr>
                <w:rFonts w:eastAsia="Calibri" w:cs="Calibri"/>
                <w:lang w:val="en-GB"/>
              </w:rPr>
              <w:t>Sections 368–369,</w:t>
            </w:r>
          </w:p>
          <w:p w14:paraId="5C797DD9" w14:textId="3CCF206F"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371-374/A</w:t>
            </w:r>
          </w:p>
        </w:tc>
      </w:tr>
      <w:tr w:rsidR="004C5942" w:rsidRPr="0010391B" w14:paraId="240C0234" w14:textId="77777777" w:rsidTr="00B02B13">
        <w:trPr>
          <w:gridAfter w:val="2"/>
          <w:wAfter w:w="164" w:type="dxa"/>
          <w:trHeight w:val="20"/>
        </w:trPr>
        <w:tc>
          <w:tcPr>
            <w:tcW w:w="3442" w:type="dxa"/>
            <w:vMerge w:val="restart"/>
            <w:tcBorders>
              <w:left w:val="single" w:sz="4" w:space="0" w:color="000000"/>
              <w:right w:val="single" w:sz="4" w:space="0" w:color="000000"/>
            </w:tcBorders>
          </w:tcPr>
          <w:p w14:paraId="5984AE5C" w14:textId="617DB243" w:rsidR="004C5942" w:rsidRPr="006E601B" w:rsidRDefault="004C5942" w:rsidP="004C5942">
            <w:pPr>
              <w:widowControl w:val="0"/>
              <w:spacing w:after="200"/>
              <w:rPr>
                <w:rFonts w:eastAsia="Calibri" w:cs="Times New Roman"/>
              </w:rPr>
            </w:pPr>
            <w:r>
              <w:rPr>
                <w:rFonts w:eastAsia="Calibri" w:cs="Times New Roman"/>
                <w:lang w:val="en-GB"/>
              </w:rPr>
              <w:t>Act XXIII of 2003 on Settlement finality in payment and securities settlement systems;</w:t>
            </w:r>
          </w:p>
        </w:tc>
        <w:tc>
          <w:tcPr>
            <w:tcW w:w="4536" w:type="dxa"/>
            <w:gridSpan w:val="2"/>
            <w:tcBorders>
              <w:top w:val="single" w:sz="4" w:space="0" w:color="000000"/>
              <w:left w:val="single" w:sz="4" w:space="0" w:color="000000"/>
              <w:bottom w:val="single" w:sz="4" w:space="0" w:color="000000"/>
              <w:right w:val="single" w:sz="4" w:space="0" w:color="000000"/>
            </w:tcBorders>
          </w:tcPr>
          <w:p w14:paraId="5221DB82" w14:textId="1D3F9B31"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Agreement between the participants in the system</w:t>
            </w:r>
          </w:p>
        </w:tc>
        <w:tc>
          <w:tcPr>
            <w:tcW w:w="1276" w:type="dxa"/>
            <w:tcBorders>
              <w:top w:val="single" w:sz="4" w:space="0" w:color="000000"/>
              <w:left w:val="single" w:sz="4" w:space="0" w:color="000000"/>
              <w:right w:val="single" w:sz="4" w:space="0" w:color="000000"/>
            </w:tcBorders>
          </w:tcPr>
          <w:p w14:paraId="77EEED21" w14:textId="1EF3C8D9" w:rsidR="004C5942" w:rsidRPr="00A247CB" w:rsidRDefault="004C5942" w:rsidP="002972D3">
            <w:pPr>
              <w:widowControl w:val="0"/>
              <w:spacing w:after="0" w:line="243" w:lineRule="exact"/>
              <w:ind w:left="102" w:right="-20"/>
              <w:rPr>
                <w:rFonts w:eastAsia="Calibri" w:cs="Calibri"/>
                <w:position w:val="1"/>
              </w:rPr>
            </w:pPr>
            <w:r>
              <w:rPr>
                <w:rFonts w:eastAsia="Calibri" w:cs="Calibri"/>
                <w:lang w:val="en-GB"/>
              </w:rPr>
              <w:t>Section 3</w:t>
            </w:r>
          </w:p>
        </w:tc>
      </w:tr>
      <w:tr w:rsidR="004C5942" w:rsidRPr="0010391B" w14:paraId="764A4EBE" w14:textId="77777777" w:rsidTr="00B02B13">
        <w:trPr>
          <w:gridAfter w:val="2"/>
          <w:wAfter w:w="164" w:type="dxa"/>
          <w:trHeight w:val="20"/>
        </w:trPr>
        <w:tc>
          <w:tcPr>
            <w:tcW w:w="3442" w:type="dxa"/>
            <w:vMerge/>
            <w:tcBorders>
              <w:left w:val="single" w:sz="4" w:space="0" w:color="000000"/>
              <w:right w:val="single" w:sz="4" w:space="0" w:color="000000"/>
            </w:tcBorders>
          </w:tcPr>
          <w:p w14:paraId="0DF6FAA5" w14:textId="77777777" w:rsidR="004C5942" w:rsidRPr="006E601B" w:rsidRDefault="004C5942" w:rsidP="004C5942">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6FA3E24" w14:textId="47317F68"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Legal effect of settlement netting and transfer orders</w:t>
            </w:r>
          </w:p>
        </w:tc>
        <w:tc>
          <w:tcPr>
            <w:tcW w:w="1276" w:type="dxa"/>
            <w:tcBorders>
              <w:left w:val="single" w:sz="4" w:space="0" w:color="000000"/>
              <w:right w:val="single" w:sz="4" w:space="0" w:color="000000"/>
            </w:tcBorders>
          </w:tcPr>
          <w:p w14:paraId="592EDFBE" w14:textId="238AD2CD" w:rsidR="004C5942" w:rsidRDefault="004C5942" w:rsidP="002972D3">
            <w:pPr>
              <w:widowControl w:val="0"/>
              <w:spacing w:after="0" w:line="243" w:lineRule="exact"/>
              <w:ind w:left="102" w:right="-20"/>
              <w:rPr>
                <w:rFonts w:eastAsia="Calibri" w:cs="Calibri"/>
                <w:position w:val="1"/>
              </w:rPr>
            </w:pPr>
            <w:r>
              <w:rPr>
                <w:rFonts w:eastAsia="Calibri" w:cs="Calibri"/>
                <w:lang w:val="en-GB"/>
              </w:rPr>
              <w:t>Section 4</w:t>
            </w:r>
          </w:p>
        </w:tc>
      </w:tr>
      <w:tr w:rsidR="004C5942" w:rsidRPr="0010391B" w14:paraId="7646D0F5" w14:textId="77777777" w:rsidTr="00B02B13">
        <w:trPr>
          <w:gridAfter w:val="2"/>
          <w:wAfter w:w="164" w:type="dxa"/>
          <w:trHeight w:val="20"/>
        </w:trPr>
        <w:tc>
          <w:tcPr>
            <w:tcW w:w="3442" w:type="dxa"/>
            <w:vMerge/>
            <w:tcBorders>
              <w:left w:val="single" w:sz="4" w:space="0" w:color="000000"/>
              <w:right w:val="single" w:sz="4" w:space="0" w:color="000000"/>
            </w:tcBorders>
          </w:tcPr>
          <w:p w14:paraId="1BBBBD3F" w14:textId="77777777" w:rsidR="004C5942" w:rsidRPr="006E601B" w:rsidRDefault="004C5942" w:rsidP="004C5942">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C57D4DC" w14:textId="70E5565B"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Insolvency proceedings</w:t>
            </w:r>
          </w:p>
        </w:tc>
        <w:tc>
          <w:tcPr>
            <w:tcW w:w="1276" w:type="dxa"/>
            <w:tcBorders>
              <w:left w:val="single" w:sz="4" w:space="0" w:color="000000"/>
              <w:right w:val="single" w:sz="4" w:space="0" w:color="000000"/>
            </w:tcBorders>
          </w:tcPr>
          <w:p w14:paraId="208DAD87" w14:textId="4E81BF98" w:rsidR="004C5942" w:rsidRDefault="004C5942" w:rsidP="002972D3">
            <w:pPr>
              <w:widowControl w:val="0"/>
              <w:spacing w:after="0" w:line="243" w:lineRule="exact"/>
              <w:ind w:left="102" w:right="-20"/>
              <w:rPr>
                <w:rFonts w:eastAsia="Calibri" w:cs="Calibri"/>
                <w:position w:val="1"/>
              </w:rPr>
            </w:pPr>
            <w:r>
              <w:rPr>
                <w:rFonts w:eastAsia="Calibri" w:cs="Calibri"/>
                <w:lang w:val="en-GB"/>
              </w:rPr>
              <w:t>Sections 5–7</w:t>
            </w:r>
          </w:p>
        </w:tc>
      </w:tr>
      <w:tr w:rsidR="004C5942" w:rsidRPr="0010391B" w14:paraId="18ADB5C7" w14:textId="77777777" w:rsidTr="00B02B13">
        <w:trPr>
          <w:gridAfter w:val="2"/>
          <w:wAfter w:w="164" w:type="dxa"/>
          <w:trHeight w:val="20"/>
        </w:trPr>
        <w:tc>
          <w:tcPr>
            <w:tcW w:w="3442" w:type="dxa"/>
            <w:vMerge/>
            <w:tcBorders>
              <w:left w:val="single" w:sz="4" w:space="0" w:color="000000"/>
              <w:right w:val="single" w:sz="4" w:space="0" w:color="000000"/>
            </w:tcBorders>
          </w:tcPr>
          <w:p w14:paraId="15CB3AB2" w14:textId="77777777" w:rsidR="004C5942" w:rsidRPr="006E601B" w:rsidRDefault="004C5942" w:rsidP="004C5942">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0978386" w14:textId="75B7E1F1"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Immunity of the collateral in insolvency proceedings</w:t>
            </w:r>
          </w:p>
        </w:tc>
        <w:tc>
          <w:tcPr>
            <w:tcW w:w="1276" w:type="dxa"/>
            <w:tcBorders>
              <w:left w:val="single" w:sz="4" w:space="0" w:color="000000"/>
              <w:right w:val="single" w:sz="4" w:space="0" w:color="000000"/>
            </w:tcBorders>
          </w:tcPr>
          <w:p w14:paraId="3F9D82BF" w14:textId="732C03AC" w:rsidR="004C5942" w:rsidRDefault="004C5942" w:rsidP="002972D3">
            <w:pPr>
              <w:widowControl w:val="0"/>
              <w:spacing w:after="0" w:line="243" w:lineRule="exact"/>
              <w:ind w:left="102" w:right="-20"/>
              <w:rPr>
                <w:rFonts w:eastAsia="Calibri" w:cs="Calibri"/>
                <w:position w:val="1"/>
              </w:rPr>
            </w:pPr>
            <w:r>
              <w:rPr>
                <w:rFonts w:eastAsia="Calibri" w:cs="Calibri"/>
                <w:lang w:val="en-GB"/>
              </w:rPr>
              <w:t>Section 8</w:t>
            </w:r>
          </w:p>
        </w:tc>
      </w:tr>
      <w:tr w:rsidR="004C5942" w:rsidRPr="0010391B" w14:paraId="63B9D3BC" w14:textId="77777777" w:rsidTr="00B02B13">
        <w:trPr>
          <w:gridAfter w:val="2"/>
          <w:wAfter w:w="164" w:type="dxa"/>
          <w:trHeight w:val="20"/>
        </w:trPr>
        <w:tc>
          <w:tcPr>
            <w:tcW w:w="3442" w:type="dxa"/>
            <w:vMerge/>
            <w:tcBorders>
              <w:left w:val="single" w:sz="4" w:space="0" w:color="000000"/>
              <w:right w:val="single" w:sz="4" w:space="0" w:color="000000"/>
            </w:tcBorders>
          </w:tcPr>
          <w:p w14:paraId="638AC731" w14:textId="77777777" w:rsidR="004C5942" w:rsidRPr="006E601B" w:rsidRDefault="004C5942" w:rsidP="004C5942">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E0880AF" w14:textId="448577E6"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Designation of the system and the system operator, and registration of the designated systems and system operators</w:t>
            </w:r>
          </w:p>
        </w:tc>
        <w:tc>
          <w:tcPr>
            <w:tcW w:w="1276" w:type="dxa"/>
            <w:tcBorders>
              <w:left w:val="single" w:sz="4" w:space="0" w:color="000000"/>
              <w:right w:val="single" w:sz="4" w:space="0" w:color="000000"/>
            </w:tcBorders>
          </w:tcPr>
          <w:p w14:paraId="073DAA45" w14:textId="0CF7ED85" w:rsidR="004C5942" w:rsidRDefault="004C5942" w:rsidP="002972D3">
            <w:pPr>
              <w:widowControl w:val="0"/>
              <w:spacing w:after="0" w:line="243" w:lineRule="exact"/>
              <w:ind w:left="102" w:right="-20"/>
              <w:rPr>
                <w:rFonts w:eastAsia="Calibri" w:cs="Calibri"/>
                <w:position w:val="1"/>
              </w:rPr>
            </w:pPr>
            <w:r>
              <w:rPr>
                <w:rFonts w:eastAsia="Calibri" w:cs="Calibri"/>
                <w:lang w:val="en-GB"/>
              </w:rPr>
              <w:t>Section 9</w:t>
            </w:r>
          </w:p>
        </w:tc>
      </w:tr>
      <w:tr w:rsidR="004C5942" w:rsidRPr="0010391B" w14:paraId="7EDC91BE" w14:textId="77777777" w:rsidTr="00B02B13">
        <w:trPr>
          <w:gridAfter w:val="2"/>
          <w:wAfter w:w="164" w:type="dxa"/>
          <w:trHeight w:val="20"/>
        </w:trPr>
        <w:tc>
          <w:tcPr>
            <w:tcW w:w="3442" w:type="dxa"/>
            <w:vMerge/>
            <w:tcBorders>
              <w:left w:val="single" w:sz="4" w:space="0" w:color="000000"/>
              <w:right w:val="single" w:sz="4" w:space="0" w:color="000000"/>
            </w:tcBorders>
          </w:tcPr>
          <w:p w14:paraId="5B234558" w14:textId="77777777" w:rsidR="004C5942" w:rsidRPr="006E601B" w:rsidRDefault="004C5942" w:rsidP="004C5942">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32827B1" w14:textId="1A6EBD12"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Conditions for the designation of the system and the system operator and proceedings of the designating authority</w:t>
            </w:r>
          </w:p>
        </w:tc>
        <w:tc>
          <w:tcPr>
            <w:tcW w:w="1276" w:type="dxa"/>
            <w:tcBorders>
              <w:left w:val="single" w:sz="4" w:space="0" w:color="000000"/>
              <w:right w:val="single" w:sz="4" w:space="0" w:color="000000"/>
            </w:tcBorders>
          </w:tcPr>
          <w:p w14:paraId="6687B2A0" w14:textId="61A74BC0" w:rsidR="004C5942" w:rsidRDefault="004C5942" w:rsidP="002972D3">
            <w:pPr>
              <w:widowControl w:val="0"/>
              <w:spacing w:after="0" w:line="243" w:lineRule="exact"/>
              <w:ind w:left="102" w:right="-20"/>
              <w:rPr>
                <w:rFonts w:eastAsia="Calibri" w:cs="Calibri"/>
                <w:position w:val="1"/>
              </w:rPr>
            </w:pPr>
            <w:r>
              <w:rPr>
                <w:rFonts w:eastAsia="Calibri" w:cs="Calibri"/>
                <w:lang w:val="en-GB"/>
              </w:rPr>
              <w:t>Sections 10-11</w:t>
            </w:r>
          </w:p>
        </w:tc>
      </w:tr>
      <w:tr w:rsidR="004C5942" w:rsidRPr="0010391B" w14:paraId="7DD3536A"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6ED01C42" w14:textId="77777777" w:rsidR="004C5942" w:rsidRPr="006E601B" w:rsidRDefault="004C5942" w:rsidP="004C5942">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0D90218" w14:textId="01D8762A" w:rsidR="004C5942" w:rsidRPr="00A247CB" w:rsidRDefault="004C5942" w:rsidP="002972D3">
            <w:pPr>
              <w:widowControl w:val="0"/>
              <w:spacing w:after="0" w:line="243" w:lineRule="exact"/>
              <w:ind w:left="105" w:right="-20"/>
              <w:rPr>
                <w:rFonts w:eastAsia="Calibri" w:cs="Calibri"/>
                <w:spacing w:val="-1"/>
                <w:position w:val="1"/>
              </w:rPr>
            </w:pPr>
            <w:r>
              <w:rPr>
                <w:rFonts w:eastAsia="Calibri" w:cs="Calibri"/>
                <w:lang w:val="en-GB"/>
              </w:rPr>
              <w:t>Data reporting obligation of participants established in Hungary in systems operating based on the laws of another Member State of the European</w:t>
            </w:r>
          </w:p>
        </w:tc>
        <w:tc>
          <w:tcPr>
            <w:tcW w:w="1276" w:type="dxa"/>
            <w:tcBorders>
              <w:left w:val="single" w:sz="4" w:space="0" w:color="000000"/>
              <w:bottom w:val="single" w:sz="4" w:space="0" w:color="000000"/>
              <w:right w:val="single" w:sz="4" w:space="0" w:color="000000"/>
            </w:tcBorders>
          </w:tcPr>
          <w:p w14:paraId="60321EC5" w14:textId="4C660D0A" w:rsidR="004C5942" w:rsidRDefault="004C5942" w:rsidP="002972D3">
            <w:pPr>
              <w:widowControl w:val="0"/>
              <w:spacing w:after="0" w:line="243" w:lineRule="exact"/>
              <w:ind w:left="102" w:right="-20"/>
              <w:rPr>
                <w:rFonts w:eastAsia="Calibri" w:cs="Calibri"/>
                <w:position w:val="1"/>
              </w:rPr>
            </w:pPr>
            <w:r>
              <w:rPr>
                <w:rFonts w:eastAsia="Calibri" w:cs="Calibri"/>
                <w:lang w:val="en-GB"/>
              </w:rPr>
              <w:t>Sections 12–13</w:t>
            </w:r>
          </w:p>
        </w:tc>
      </w:tr>
      <w:tr w:rsidR="002972D3" w:rsidRPr="0010391B" w14:paraId="59C071AE"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45E8C72A" w14:textId="77777777" w:rsidR="002972D3" w:rsidRPr="0010391B" w:rsidRDefault="002972D3" w:rsidP="002972D3">
            <w:pPr>
              <w:widowControl w:val="0"/>
              <w:spacing w:after="0" w:line="242" w:lineRule="exact"/>
              <w:ind w:left="103" w:right="-20"/>
              <w:rPr>
                <w:rFonts w:eastAsia="Calibri" w:cs="Calibri"/>
              </w:rPr>
            </w:pPr>
            <w:r>
              <w:rPr>
                <w:rFonts w:eastAsia="Calibri" w:cs="Calibri"/>
                <w:lang w:val="en-GB"/>
              </w:rPr>
              <w:t>Act XXV of 2005 on Distance Marketing of Financial Sector Contracts</w:t>
            </w:r>
          </w:p>
        </w:tc>
        <w:tc>
          <w:tcPr>
            <w:tcW w:w="4536" w:type="dxa"/>
            <w:gridSpan w:val="2"/>
            <w:tcBorders>
              <w:top w:val="single" w:sz="4" w:space="0" w:color="000000"/>
              <w:left w:val="single" w:sz="4" w:space="0" w:color="000000"/>
              <w:bottom w:val="single" w:sz="4" w:space="0" w:color="000000"/>
              <w:right w:val="single" w:sz="4" w:space="0" w:color="000000"/>
            </w:tcBorders>
          </w:tcPr>
          <w:p w14:paraId="0E2D7C50" w14:textId="77777777" w:rsidR="002972D3" w:rsidRPr="0010391B" w:rsidRDefault="002972D3" w:rsidP="002972D3">
            <w:pPr>
              <w:widowControl w:val="0"/>
              <w:spacing w:after="0" w:line="242" w:lineRule="exact"/>
              <w:ind w:left="105" w:right="-20"/>
              <w:rPr>
                <w:rFonts w:eastAsia="Calibri" w:cs="Calibri"/>
              </w:rPr>
            </w:pPr>
            <w:r>
              <w:rPr>
                <w:rFonts w:eastAsia="Calibri" w:cs="Calibri"/>
                <w:lang w:val="en-GB"/>
              </w:rPr>
              <w:t>Scope of the Act</w:t>
            </w:r>
          </w:p>
        </w:tc>
        <w:tc>
          <w:tcPr>
            <w:tcW w:w="1276" w:type="dxa"/>
            <w:tcBorders>
              <w:top w:val="single" w:sz="4" w:space="0" w:color="000000"/>
              <w:left w:val="single" w:sz="4" w:space="0" w:color="000000"/>
              <w:bottom w:val="single" w:sz="4" w:space="0" w:color="000000"/>
              <w:right w:val="single" w:sz="4" w:space="0" w:color="000000"/>
            </w:tcBorders>
          </w:tcPr>
          <w:p w14:paraId="0206CBAE" w14:textId="77777777" w:rsidR="002972D3" w:rsidRPr="0010391B" w:rsidRDefault="002972D3" w:rsidP="002972D3">
            <w:pPr>
              <w:widowControl w:val="0"/>
              <w:spacing w:after="0" w:line="242" w:lineRule="exact"/>
              <w:ind w:left="102" w:right="-20"/>
              <w:rPr>
                <w:rFonts w:eastAsia="Calibri" w:cs="Calibri"/>
              </w:rPr>
            </w:pPr>
            <w:r>
              <w:rPr>
                <w:rFonts w:eastAsia="Calibri" w:cs="Calibri"/>
                <w:lang w:val="en-GB"/>
              </w:rPr>
              <w:t>Section 1</w:t>
            </w:r>
          </w:p>
        </w:tc>
      </w:tr>
      <w:tr w:rsidR="002972D3" w:rsidRPr="0010391B" w14:paraId="3EFBA04C" w14:textId="77777777" w:rsidTr="00B02B13">
        <w:trPr>
          <w:gridAfter w:val="2"/>
          <w:wAfter w:w="164" w:type="dxa"/>
          <w:trHeight w:val="20"/>
        </w:trPr>
        <w:tc>
          <w:tcPr>
            <w:tcW w:w="3442" w:type="dxa"/>
            <w:vMerge/>
            <w:tcBorders>
              <w:left w:val="single" w:sz="4" w:space="0" w:color="000000"/>
              <w:right w:val="single" w:sz="4" w:space="0" w:color="000000"/>
            </w:tcBorders>
          </w:tcPr>
          <w:p w14:paraId="46D6052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B901A4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Provision of information to consumers</w:t>
            </w:r>
          </w:p>
        </w:tc>
        <w:tc>
          <w:tcPr>
            <w:tcW w:w="1276" w:type="dxa"/>
            <w:tcBorders>
              <w:top w:val="single" w:sz="4" w:space="0" w:color="000000"/>
              <w:left w:val="single" w:sz="4" w:space="0" w:color="000000"/>
              <w:bottom w:val="single" w:sz="4" w:space="0" w:color="000000"/>
              <w:right w:val="single" w:sz="4" w:space="0" w:color="000000"/>
            </w:tcBorders>
          </w:tcPr>
          <w:p w14:paraId="024C2A33"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3–5</w:t>
            </w:r>
          </w:p>
        </w:tc>
      </w:tr>
      <w:tr w:rsidR="002972D3" w:rsidRPr="0010391B" w14:paraId="0A8B17F2"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56415F2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4ED0A7B"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Right of withdrawal and right of cancellation</w:t>
            </w:r>
          </w:p>
        </w:tc>
        <w:tc>
          <w:tcPr>
            <w:tcW w:w="1276" w:type="dxa"/>
            <w:tcBorders>
              <w:top w:val="single" w:sz="4" w:space="0" w:color="000000"/>
              <w:left w:val="single" w:sz="4" w:space="0" w:color="000000"/>
              <w:bottom w:val="single" w:sz="4" w:space="0" w:color="000000"/>
              <w:right w:val="single" w:sz="4" w:space="0" w:color="000000"/>
            </w:tcBorders>
          </w:tcPr>
          <w:p w14:paraId="34B7CEF3"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6–8/A</w:t>
            </w:r>
          </w:p>
        </w:tc>
      </w:tr>
      <w:tr w:rsidR="007D24AB" w:rsidRPr="0010391B" w14:paraId="15EE4D7E"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15226653" w14:textId="77777777" w:rsidR="007D24AB" w:rsidRPr="0010391B" w:rsidRDefault="007D24AB" w:rsidP="002972D3">
            <w:pPr>
              <w:widowControl w:val="0"/>
              <w:spacing w:after="0" w:line="242" w:lineRule="exact"/>
              <w:ind w:left="103" w:right="-20"/>
              <w:rPr>
                <w:rFonts w:eastAsia="Calibri" w:cs="Calibri"/>
              </w:rPr>
            </w:pPr>
            <w:r>
              <w:rPr>
                <w:rFonts w:eastAsia="Calibri" w:cs="Calibri"/>
                <w:lang w:val="en-GB"/>
              </w:rPr>
              <w:t xml:space="preserve">Act XLVII of 2008 on the Prohibition of Unfair Business-to-Consumer </w:t>
            </w:r>
            <w:r>
              <w:rPr>
                <w:rFonts w:eastAsia="Calibri" w:cs="Calibri"/>
                <w:lang w:val="en-GB"/>
              </w:rPr>
              <w:lastRenderedPageBreak/>
              <w:t>Commercial Practices</w:t>
            </w:r>
          </w:p>
        </w:tc>
        <w:tc>
          <w:tcPr>
            <w:tcW w:w="4536" w:type="dxa"/>
            <w:gridSpan w:val="2"/>
            <w:tcBorders>
              <w:top w:val="single" w:sz="4" w:space="0" w:color="000000"/>
              <w:left w:val="single" w:sz="4" w:space="0" w:color="000000"/>
              <w:bottom w:val="single" w:sz="4" w:space="0" w:color="000000"/>
              <w:right w:val="single" w:sz="4" w:space="0" w:color="000000"/>
            </w:tcBorders>
          </w:tcPr>
          <w:p w14:paraId="63BC3599" w14:textId="77777777" w:rsidR="007D24AB" w:rsidRPr="0010391B" w:rsidRDefault="007D24AB" w:rsidP="002972D3">
            <w:pPr>
              <w:widowControl w:val="0"/>
              <w:spacing w:after="0" w:line="242" w:lineRule="exact"/>
              <w:ind w:left="105" w:right="-20"/>
              <w:rPr>
                <w:rFonts w:eastAsia="Calibri" w:cs="Calibri"/>
              </w:rPr>
            </w:pPr>
            <w:r>
              <w:rPr>
                <w:rFonts w:eastAsia="Calibri" w:cs="Calibri"/>
                <w:lang w:val="en-GB"/>
              </w:rPr>
              <w:lastRenderedPageBreak/>
              <w:t>General provisions</w:t>
            </w:r>
          </w:p>
        </w:tc>
        <w:tc>
          <w:tcPr>
            <w:tcW w:w="1276" w:type="dxa"/>
            <w:tcBorders>
              <w:top w:val="single" w:sz="4" w:space="0" w:color="000000"/>
              <w:left w:val="single" w:sz="4" w:space="0" w:color="000000"/>
              <w:bottom w:val="single" w:sz="4" w:space="0" w:color="000000"/>
              <w:right w:val="single" w:sz="4" w:space="0" w:color="000000"/>
            </w:tcBorders>
          </w:tcPr>
          <w:p w14:paraId="4661184E" w14:textId="77777777" w:rsidR="007D24AB" w:rsidRPr="0010391B" w:rsidRDefault="007D24AB" w:rsidP="002972D3">
            <w:pPr>
              <w:widowControl w:val="0"/>
              <w:spacing w:after="0" w:line="242" w:lineRule="exact"/>
              <w:ind w:left="102" w:right="-20"/>
              <w:rPr>
                <w:rFonts w:eastAsia="Calibri" w:cs="Calibri"/>
              </w:rPr>
            </w:pPr>
            <w:r>
              <w:rPr>
                <w:rFonts w:eastAsia="Calibri" w:cs="Calibri"/>
                <w:lang w:val="en-GB"/>
              </w:rPr>
              <w:t>Sections 1–2</w:t>
            </w:r>
          </w:p>
        </w:tc>
      </w:tr>
      <w:tr w:rsidR="007D24AB" w:rsidRPr="0010391B" w14:paraId="61777927" w14:textId="77777777" w:rsidTr="00B02B13">
        <w:trPr>
          <w:gridAfter w:val="2"/>
          <w:wAfter w:w="164" w:type="dxa"/>
          <w:trHeight w:val="20"/>
        </w:trPr>
        <w:tc>
          <w:tcPr>
            <w:tcW w:w="3442" w:type="dxa"/>
            <w:vMerge/>
            <w:tcBorders>
              <w:left w:val="single" w:sz="4" w:space="0" w:color="000000"/>
              <w:right w:val="single" w:sz="4" w:space="0" w:color="000000"/>
            </w:tcBorders>
          </w:tcPr>
          <w:p w14:paraId="721F967D" w14:textId="77777777" w:rsidR="007D24AB" w:rsidRPr="00A247CB" w:rsidRDefault="007D24AB"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0DD30B2" w14:textId="77777777" w:rsidR="007D24AB" w:rsidRPr="00A247CB" w:rsidRDefault="007D24AB" w:rsidP="002972D3">
            <w:pPr>
              <w:widowControl w:val="0"/>
              <w:spacing w:after="0" w:line="242" w:lineRule="exact"/>
              <w:ind w:left="105" w:right="-20"/>
              <w:rPr>
                <w:rFonts w:eastAsia="Calibri" w:cs="Calibri"/>
              </w:rPr>
            </w:pPr>
            <w:r>
              <w:rPr>
                <w:rFonts w:eastAsia="Calibri" w:cs="Calibri"/>
                <w:lang w:val="en-GB"/>
              </w:rPr>
              <w:t>Ban on unfair commercial practices</w:t>
            </w:r>
          </w:p>
        </w:tc>
        <w:tc>
          <w:tcPr>
            <w:tcW w:w="1276" w:type="dxa"/>
            <w:tcBorders>
              <w:top w:val="single" w:sz="4" w:space="0" w:color="000000"/>
              <w:left w:val="single" w:sz="4" w:space="0" w:color="000000"/>
              <w:bottom w:val="single" w:sz="4" w:space="0" w:color="000000"/>
              <w:right w:val="single" w:sz="4" w:space="0" w:color="000000"/>
            </w:tcBorders>
          </w:tcPr>
          <w:p w14:paraId="00A1FD1A" w14:textId="77777777" w:rsidR="007D24AB" w:rsidRPr="00A247CB" w:rsidRDefault="007D24AB" w:rsidP="002972D3">
            <w:pPr>
              <w:widowControl w:val="0"/>
              <w:spacing w:after="0" w:line="242" w:lineRule="exact"/>
              <w:ind w:left="102" w:right="-20"/>
              <w:rPr>
                <w:rFonts w:eastAsia="Calibri" w:cs="Calibri"/>
              </w:rPr>
            </w:pPr>
            <w:r>
              <w:rPr>
                <w:rFonts w:eastAsia="Calibri" w:cs="Calibri"/>
                <w:lang w:val="en-GB"/>
              </w:rPr>
              <w:t>Sections 3–8</w:t>
            </w:r>
          </w:p>
        </w:tc>
      </w:tr>
      <w:tr w:rsidR="007D24AB" w:rsidRPr="0010391B" w14:paraId="7C3E2F77" w14:textId="77777777" w:rsidTr="00B02B13">
        <w:trPr>
          <w:gridAfter w:val="2"/>
          <w:wAfter w:w="164" w:type="dxa"/>
          <w:trHeight w:val="20"/>
        </w:trPr>
        <w:tc>
          <w:tcPr>
            <w:tcW w:w="3442" w:type="dxa"/>
            <w:vMerge/>
            <w:tcBorders>
              <w:left w:val="single" w:sz="4" w:space="0" w:color="000000"/>
              <w:right w:val="single" w:sz="4" w:space="0" w:color="000000"/>
            </w:tcBorders>
          </w:tcPr>
          <w:p w14:paraId="3F6FBB8A" w14:textId="77777777" w:rsidR="007D24AB" w:rsidRPr="00A247CB" w:rsidRDefault="007D24AB"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C7A716D" w14:textId="77777777" w:rsidR="007D24AB" w:rsidRPr="00A247CB" w:rsidRDefault="007D24AB" w:rsidP="002972D3">
            <w:pPr>
              <w:widowControl w:val="0"/>
              <w:spacing w:before="2" w:after="0" w:line="238" w:lineRule="auto"/>
              <w:ind w:left="105" w:right="50"/>
              <w:rPr>
                <w:rFonts w:eastAsia="Calibri" w:cs="Calibri"/>
              </w:rPr>
            </w:pPr>
            <w:r>
              <w:rPr>
                <w:rFonts w:eastAsia="Calibri" w:cs="Calibri"/>
                <w:lang w:val="en-GB"/>
              </w:rPr>
              <w:t>Liability for any violation of the prohibition of unfair commercial practices</w:t>
            </w:r>
          </w:p>
        </w:tc>
        <w:tc>
          <w:tcPr>
            <w:tcW w:w="1276" w:type="dxa"/>
            <w:tcBorders>
              <w:top w:val="single" w:sz="4" w:space="0" w:color="000000"/>
              <w:left w:val="single" w:sz="4" w:space="0" w:color="000000"/>
              <w:bottom w:val="single" w:sz="4" w:space="0" w:color="000000"/>
              <w:right w:val="single" w:sz="4" w:space="0" w:color="000000"/>
            </w:tcBorders>
          </w:tcPr>
          <w:p w14:paraId="405E49B3" w14:textId="77777777" w:rsidR="007D24AB" w:rsidRPr="00A247CB" w:rsidRDefault="007D24AB" w:rsidP="002972D3">
            <w:pPr>
              <w:widowControl w:val="0"/>
              <w:spacing w:after="0" w:line="240" w:lineRule="auto"/>
              <w:ind w:left="102" w:right="-20"/>
              <w:rPr>
                <w:rFonts w:eastAsia="Calibri" w:cs="Calibri"/>
              </w:rPr>
            </w:pPr>
            <w:r>
              <w:rPr>
                <w:rFonts w:eastAsia="Calibri" w:cs="Calibri"/>
                <w:lang w:val="en-GB"/>
              </w:rPr>
              <w:t>Section 9</w:t>
            </w:r>
          </w:p>
        </w:tc>
      </w:tr>
      <w:tr w:rsidR="007D24AB" w:rsidRPr="0010391B" w14:paraId="13869B64"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2C9938FD" w14:textId="77777777" w:rsidR="007D24AB" w:rsidRPr="00A247CB" w:rsidRDefault="007D24AB"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D2BFA56" w14:textId="503B3103" w:rsidR="007D24AB" w:rsidRPr="00A247CB" w:rsidRDefault="007D24AB" w:rsidP="002972D3">
            <w:pPr>
              <w:widowControl w:val="0"/>
              <w:spacing w:before="2" w:after="0" w:line="238" w:lineRule="auto"/>
              <w:ind w:left="105" w:right="50"/>
              <w:rPr>
                <w:rFonts w:eastAsia="Calibri" w:cs="Calibri"/>
              </w:rPr>
            </w:pPr>
            <w:r>
              <w:rPr>
                <w:rFonts w:eastAsia="Calibri" w:cs="Calibri"/>
                <w:lang w:val="en-GB"/>
              </w:rPr>
              <w:t>Acting authorities</w:t>
            </w:r>
          </w:p>
        </w:tc>
        <w:tc>
          <w:tcPr>
            <w:tcW w:w="1276" w:type="dxa"/>
            <w:tcBorders>
              <w:top w:val="single" w:sz="4" w:space="0" w:color="000000"/>
              <w:left w:val="single" w:sz="4" w:space="0" w:color="000000"/>
              <w:bottom w:val="single" w:sz="4" w:space="0" w:color="000000"/>
              <w:right w:val="single" w:sz="4" w:space="0" w:color="000000"/>
            </w:tcBorders>
          </w:tcPr>
          <w:p w14:paraId="6B2F6019" w14:textId="13FE61C9" w:rsidR="007D24AB" w:rsidRPr="00A247CB" w:rsidRDefault="007D24AB" w:rsidP="002972D3">
            <w:pPr>
              <w:widowControl w:val="0"/>
              <w:spacing w:after="0" w:line="240" w:lineRule="auto"/>
              <w:ind w:left="102" w:right="-20"/>
              <w:rPr>
                <w:rFonts w:eastAsia="Calibri" w:cs="Calibri"/>
              </w:rPr>
            </w:pPr>
            <w:r>
              <w:rPr>
                <w:rFonts w:eastAsia="Calibri" w:cs="Calibri"/>
                <w:lang w:val="en-GB"/>
              </w:rPr>
              <w:t>Sections 10–12</w:t>
            </w:r>
          </w:p>
        </w:tc>
      </w:tr>
      <w:tr w:rsidR="005F558A" w:rsidRPr="0010391B" w14:paraId="18601EC9"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78AFE775" w14:textId="77777777" w:rsidR="005F558A" w:rsidRPr="0010391B" w:rsidRDefault="005F558A" w:rsidP="002972D3">
            <w:pPr>
              <w:widowControl w:val="0"/>
              <w:spacing w:before="1" w:after="0" w:line="239" w:lineRule="auto"/>
              <w:ind w:left="103" w:right="110"/>
              <w:rPr>
                <w:rFonts w:eastAsia="Calibri" w:cs="Calibri"/>
              </w:rPr>
            </w:pPr>
            <w:r>
              <w:rPr>
                <w:rFonts w:eastAsia="Calibri" w:cs="Calibri"/>
                <w:lang w:val="en-GB"/>
              </w:rPr>
              <w:t>Act CXXXVIII of 2007 on Investment Firms and Commodity Dealers, and on the Regulations Governing their Activities.</w:t>
            </w:r>
          </w:p>
        </w:tc>
        <w:tc>
          <w:tcPr>
            <w:tcW w:w="4536" w:type="dxa"/>
            <w:gridSpan w:val="2"/>
            <w:tcBorders>
              <w:top w:val="single" w:sz="4" w:space="0" w:color="000000"/>
              <w:left w:val="single" w:sz="4" w:space="0" w:color="000000"/>
              <w:bottom w:val="single" w:sz="4" w:space="0" w:color="000000"/>
              <w:right w:val="single" w:sz="4" w:space="0" w:color="000000"/>
            </w:tcBorders>
          </w:tcPr>
          <w:p w14:paraId="0F4F5DD5" w14:textId="77777777" w:rsidR="005F558A" w:rsidRPr="0010391B" w:rsidRDefault="005F558A" w:rsidP="002972D3">
            <w:pPr>
              <w:widowControl w:val="0"/>
              <w:spacing w:after="0" w:line="240" w:lineRule="auto"/>
              <w:ind w:left="105" w:right="-20"/>
              <w:rPr>
                <w:rFonts w:eastAsia="Calibri" w:cs="Calibri"/>
              </w:rPr>
            </w:pPr>
            <w:r>
              <w:rPr>
                <w:rFonts w:eastAsia="Calibri" w:cs="Calibri"/>
                <w:lang w:val="en-GB"/>
              </w:rPr>
              <w:t>Scope of the Act</w:t>
            </w:r>
          </w:p>
        </w:tc>
        <w:tc>
          <w:tcPr>
            <w:tcW w:w="1276" w:type="dxa"/>
            <w:tcBorders>
              <w:top w:val="single" w:sz="4" w:space="0" w:color="000000"/>
              <w:left w:val="single" w:sz="4" w:space="0" w:color="000000"/>
              <w:bottom w:val="single" w:sz="4" w:space="0" w:color="000000"/>
              <w:right w:val="single" w:sz="4" w:space="0" w:color="000000"/>
            </w:tcBorders>
          </w:tcPr>
          <w:p w14:paraId="72CF5E43" w14:textId="77777777" w:rsidR="005F558A" w:rsidRPr="0010391B" w:rsidRDefault="005F558A" w:rsidP="002972D3">
            <w:pPr>
              <w:widowControl w:val="0"/>
              <w:spacing w:after="0" w:line="240" w:lineRule="auto"/>
              <w:ind w:left="102" w:right="-20"/>
              <w:rPr>
                <w:rFonts w:eastAsia="Calibri" w:cs="Calibri"/>
              </w:rPr>
            </w:pPr>
            <w:r>
              <w:rPr>
                <w:rFonts w:eastAsia="Calibri" w:cs="Calibri"/>
                <w:lang w:val="en-GB"/>
              </w:rPr>
              <w:t>Sections 1–3</w:t>
            </w:r>
          </w:p>
        </w:tc>
      </w:tr>
      <w:tr w:rsidR="005F558A" w:rsidRPr="0010391B" w14:paraId="7CF51B21" w14:textId="77777777" w:rsidTr="00B02B13">
        <w:trPr>
          <w:gridAfter w:val="2"/>
          <w:wAfter w:w="164" w:type="dxa"/>
          <w:trHeight w:val="20"/>
        </w:trPr>
        <w:tc>
          <w:tcPr>
            <w:tcW w:w="3442" w:type="dxa"/>
            <w:vMerge/>
            <w:tcBorders>
              <w:left w:val="single" w:sz="4" w:space="0" w:color="000000"/>
              <w:right w:val="single" w:sz="4" w:space="0" w:color="000000"/>
            </w:tcBorders>
          </w:tcPr>
          <w:p w14:paraId="3A89D4F8"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4BC00AA" w14:textId="77777777" w:rsidR="005F558A" w:rsidRPr="00A247CB" w:rsidRDefault="005F558A" w:rsidP="002972D3">
            <w:pPr>
              <w:widowControl w:val="0"/>
              <w:spacing w:after="0" w:line="240" w:lineRule="auto"/>
              <w:ind w:left="105" w:right="-20"/>
              <w:rPr>
                <w:rFonts w:eastAsia="Calibri" w:cs="Calibri"/>
              </w:rPr>
            </w:pPr>
            <w:r>
              <w:rPr>
                <w:rFonts w:eastAsia="Calibri" w:cs="Calibri"/>
                <w:lang w:val="en-GB"/>
              </w:rPr>
              <w:t>Rules pertaining to the provision of information to customers</w:t>
            </w:r>
          </w:p>
        </w:tc>
        <w:tc>
          <w:tcPr>
            <w:tcW w:w="1276" w:type="dxa"/>
            <w:tcBorders>
              <w:top w:val="single" w:sz="4" w:space="0" w:color="000000"/>
              <w:left w:val="single" w:sz="4" w:space="0" w:color="000000"/>
              <w:bottom w:val="single" w:sz="4" w:space="0" w:color="000000"/>
              <w:right w:val="single" w:sz="4" w:space="0" w:color="000000"/>
            </w:tcBorders>
          </w:tcPr>
          <w:p w14:paraId="4B725A0A" w14:textId="77777777" w:rsidR="005F558A" w:rsidRPr="00A247CB" w:rsidRDefault="005F558A" w:rsidP="002972D3">
            <w:pPr>
              <w:widowControl w:val="0"/>
              <w:spacing w:after="0" w:line="240" w:lineRule="auto"/>
              <w:ind w:left="102" w:right="-20"/>
              <w:rPr>
                <w:rFonts w:eastAsia="Calibri" w:cs="Calibri"/>
              </w:rPr>
            </w:pPr>
            <w:r>
              <w:rPr>
                <w:rFonts w:eastAsia="Calibri" w:cs="Calibri"/>
                <w:lang w:val="en-GB"/>
              </w:rPr>
              <w:t>Sections 40–42</w:t>
            </w:r>
          </w:p>
        </w:tc>
      </w:tr>
      <w:tr w:rsidR="005F558A" w:rsidRPr="0010391B" w14:paraId="1736997F" w14:textId="77777777" w:rsidTr="00B02B13">
        <w:trPr>
          <w:gridAfter w:val="2"/>
          <w:wAfter w:w="164" w:type="dxa"/>
          <w:trHeight w:val="20"/>
        </w:trPr>
        <w:tc>
          <w:tcPr>
            <w:tcW w:w="3442" w:type="dxa"/>
            <w:vMerge/>
            <w:tcBorders>
              <w:left w:val="single" w:sz="4" w:space="0" w:color="000000"/>
              <w:right w:val="single" w:sz="4" w:space="0" w:color="000000"/>
            </w:tcBorders>
          </w:tcPr>
          <w:p w14:paraId="621EB799"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F76571A" w14:textId="77777777" w:rsidR="005F558A" w:rsidRPr="00A247CB" w:rsidRDefault="005F558A" w:rsidP="002972D3">
            <w:pPr>
              <w:widowControl w:val="0"/>
              <w:spacing w:after="0" w:line="242" w:lineRule="exact"/>
              <w:ind w:left="105" w:right="-20"/>
              <w:rPr>
                <w:rFonts w:eastAsia="Calibri" w:cs="Calibri"/>
              </w:rPr>
            </w:pPr>
            <w:r>
              <w:rPr>
                <w:rFonts w:eastAsia="Calibri" w:cs="Calibri"/>
                <w:lang w:val="en-GB"/>
              </w:rPr>
              <w:t>Rules of contract conclusion – Obligation to provide prior information</w:t>
            </w:r>
          </w:p>
        </w:tc>
        <w:tc>
          <w:tcPr>
            <w:tcW w:w="1276" w:type="dxa"/>
            <w:tcBorders>
              <w:top w:val="single" w:sz="4" w:space="0" w:color="000000"/>
              <w:left w:val="single" w:sz="4" w:space="0" w:color="000000"/>
              <w:bottom w:val="single" w:sz="4" w:space="0" w:color="000000"/>
              <w:right w:val="single" w:sz="4" w:space="0" w:color="000000"/>
            </w:tcBorders>
          </w:tcPr>
          <w:p w14:paraId="09F85737" w14:textId="77777777"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 43</w:t>
            </w:r>
          </w:p>
        </w:tc>
      </w:tr>
      <w:tr w:rsidR="005F558A" w:rsidRPr="0010391B" w14:paraId="48D26F6C" w14:textId="77777777" w:rsidTr="00B02B13">
        <w:trPr>
          <w:gridAfter w:val="2"/>
          <w:wAfter w:w="164" w:type="dxa"/>
          <w:trHeight w:val="20"/>
        </w:trPr>
        <w:tc>
          <w:tcPr>
            <w:tcW w:w="3442" w:type="dxa"/>
            <w:vMerge/>
            <w:tcBorders>
              <w:left w:val="single" w:sz="4" w:space="0" w:color="000000"/>
              <w:right w:val="single" w:sz="4" w:space="0" w:color="000000"/>
            </w:tcBorders>
          </w:tcPr>
          <w:p w14:paraId="24AB5FAD"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D822EB6" w14:textId="77777777" w:rsidR="005F558A" w:rsidRPr="00A247CB" w:rsidRDefault="005F558A" w:rsidP="002972D3">
            <w:pPr>
              <w:widowControl w:val="0"/>
              <w:spacing w:after="0" w:line="242" w:lineRule="exact"/>
              <w:ind w:left="105" w:right="-20"/>
              <w:rPr>
                <w:rFonts w:eastAsia="Calibri" w:cs="Calibri"/>
              </w:rPr>
            </w:pPr>
            <w:r>
              <w:rPr>
                <w:rFonts w:eastAsia="Calibri" w:cs="Calibri"/>
                <w:lang w:val="en-GB"/>
              </w:rPr>
              <w:t>Rules of contract conclusion – Obligation to obtain prior information</w:t>
            </w:r>
          </w:p>
        </w:tc>
        <w:tc>
          <w:tcPr>
            <w:tcW w:w="1276" w:type="dxa"/>
            <w:tcBorders>
              <w:top w:val="single" w:sz="4" w:space="0" w:color="000000"/>
              <w:left w:val="single" w:sz="4" w:space="0" w:color="000000"/>
              <w:bottom w:val="single" w:sz="4" w:space="0" w:color="000000"/>
              <w:right w:val="single" w:sz="4" w:space="0" w:color="000000"/>
            </w:tcBorders>
          </w:tcPr>
          <w:p w14:paraId="6646E52A" w14:textId="77777777" w:rsidR="005F558A" w:rsidRPr="00A247CB" w:rsidRDefault="005F558A" w:rsidP="002972D3">
            <w:pPr>
              <w:widowControl w:val="0"/>
              <w:spacing w:after="0" w:line="242" w:lineRule="exact"/>
              <w:ind w:left="148" w:right="-20"/>
              <w:rPr>
                <w:rFonts w:eastAsia="Calibri" w:cs="Calibri"/>
              </w:rPr>
            </w:pPr>
            <w:r>
              <w:rPr>
                <w:rFonts w:eastAsia="Calibri" w:cs="Calibri"/>
                <w:lang w:val="en-GB"/>
              </w:rPr>
              <w:t>Sections 44–46</w:t>
            </w:r>
          </w:p>
        </w:tc>
      </w:tr>
      <w:tr w:rsidR="005F558A" w:rsidRPr="0010391B" w14:paraId="1CAD02D5" w14:textId="77777777" w:rsidTr="00B02B13">
        <w:trPr>
          <w:gridAfter w:val="2"/>
          <w:wAfter w:w="164" w:type="dxa"/>
          <w:trHeight w:val="20"/>
        </w:trPr>
        <w:tc>
          <w:tcPr>
            <w:tcW w:w="3442" w:type="dxa"/>
            <w:vMerge/>
            <w:tcBorders>
              <w:left w:val="single" w:sz="4" w:space="0" w:color="000000"/>
              <w:right w:val="single" w:sz="4" w:space="0" w:color="000000"/>
            </w:tcBorders>
          </w:tcPr>
          <w:p w14:paraId="4C09630B"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F296A8D" w14:textId="77777777" w:rsidR="005F558A" w:rsidRPr="00A247CB" w:rsidRDefault="005F558A" w:rsidP="002972D3">
            <w:pPr>
              <w:widowControl w:val="0"/>
              <w:spacing w:after="0" w:line="240" w:lineRule="auto"/>
              <w:ind w:left="105" w:right="-20"/>
              <w:rPr>
                <w:rFonts w:eastAsia="Calibri" w:cs="Calibri"/>
              </w:rPr>
            </w:pPr>
            <w:r>
              <w:rPr>
                <w:rFonts w:eastAsia="Calibri" w:cs="Calibri"/>
                <w:lang w:val="en-GB"/>
              </w:rPr>
              <w:t>Customer rating</w:t>
            </w:r>
          </w:p>
        </w:tc>
        <w:tc>
          <w:tcPr>
            <w:tcW w:w="1276" w:type="dxa"/>
            <w:tcBorders>
              <w:top w:val="single" w:sz="4" w:space="0" w:color="000000"/>
              <w:left w:val="single" w:sz="4" w:space="0" w:color="000000"/>
              <w:bottom w:val="single" w:sz="4" w:space="0" w:color="000000"/>
              <w:right w:val="single" w:sz="4" w:space="0" w:color="000000"/>
            </w:tcBorders>
          </w:tcPr>
          <w:p w14:paraId="12E956A0" w14:textId="77777777" w:rsidR="005F558A" w:rsidRPr="00A247CB" w:rsidRDefault="005F558A" w:rsidP="002972D3">
            <w:pPr>
              <w:widowControl w:val="0"/>
              <w:spacing w:after="0" w:line="240" w:lineRule="auto"/>
              <w:ind w:left="102" w:right="-20"/>
              <w:rPr>
                <w:rFonts w:eastAsia="Calibri" w:cs="Calibri"/>
              </w:rPr>
            </w:pPr>
            <w:r>
              <w:rPr>
                <w:rFonts w:eastAsia="Calibri" w:cs="Calibri"/>
                <w:lang w:val="en-GB"/>
              </w:rPr>
              <w:t>Sections 47–51</w:t>
            </w:r>
          </w:p>
        </w:tc>
      </w:tr>
      <w:tr w:rsidR="005F558A" w:rsidRPr="0010391B" w14:paraId="4EF82F92" w14:textId="77777777" w:rsidTr="00B02B13">
        <w:trPr>
          <w:gridAfter w:val="2"/>
          <w:wAfter w:w="164" w:type="dxa"/>
          <w:trHeight w:val="20"/>
        </w:trPr>
        <w:tc>
          <w:tcPr>
            <w:tcW w:w="3442" w:type="dxa"/>
            <w:vMerge/>
            <w:tcBorders>
              <w:left w:val="single" w:sz="4" w:space="0" w:color="000000"/>
              <w:right w:val="single" w:sz="4" w:space="0" w:color="000000"/>
            </w:tcBorders>
          </w:tcPr>
          <w:p w14:paraId="34525C87"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6B474E4" w14:textId="77777777" w:rsidR="005F558A" w:rsidRPr="00A247CB" w:rsidRDefault="005F558A" w:rsidP="002972D3">
            <w:pPr>
              <w:widowControl w:val="0"/>
              <w:tabs>
                <w:tab w:val="left" w:pos="440"/>
                <w:tab w:val="left" w:pos="1640"/>
                <w:tab w:val="left" w:pos="2720"/>
                <w:tab w:val="left" w:pos="3480"/>
                <w:tab w:val="left" w:pos="3880"/>
              </w:tabs>
              <w:spacing w:after="0" w:line="242" w:lineRule="exact"/>
              <w:ind w:left="105" w:right="-20"/>
              <w:rPr>
                <w:rFonts w:eastAsia="Calibri" w:cs="Calibri"/>
              </w:rPr>
            </w:pPr>
            <w:r>
              <w:rPr>
                <w:rFonts w:eastAsia="Calibri" w:cs="Calibri"/>
                <w:lang w:val="en-GB"/>
              </w:rPr>
              <w:t>Requirements pertaining to the form and content of contract</w:t>
            </w:r>
          </w:p>
          <w:p w14:paraId="63F54477" w14:textId="77777777" w:rsidR="005F558A" w:rsidRPr="00A247CB" w:rsidRDefault="005F558A" w:rsidP="002972D3">
            <w:pPr>
              <w:widowControl w:val="0"/>
              <w:spacing w:after="200"/>
              <w:rPr>
                <w:rFonts w:eastAsia="Calibri" w:cs="Calibri"/>
              </w:rPr>
            </w:pPr>
          </w:p>
        </w:tc>
        <w:tc>
          <w:tcPr>
            <w:tcW w:w="1276" w:type="dxa"/>
            <w:tcBorders>
              <w:top w:val="single" w:sz="4" w:space="0" w:color="000000"/>
              <w:left w:val="single" w:sz="4" w:space="0" w:color="000000"/>
              <w:bottom w:val="single" w:sz="4" w:space="0" w:color="000000"/>
              <w:right w:val="single" w:sz="4" w:space="0" w:color="000000"/>
            </w:tcBorders>
          </w:tcPr>
          <w:p w14:paraId="535069D0" w14:textId="3BE223D7"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 52</w:t>
            </w:r>
          </w:p>
        </w:tc>
      </w:tr>
      <w:tr w:rsidR="005F558A" w:rsidRPr="0010391B" w14:paraId="4DAA6ED3" w14:textId="77777777" w:rsidTr="00B02B13">
        <w:trPr>
          <w:gridAfter w:val="2"/>
          <w:wAfter w:w="164" w:type="dxa"/>
          <w:trHeight w:val="20"/>
        </w:trPr>
        <w:tc>
          <w:tcPr>
            <w:tcW w:w="3442" w:type="dxa"/>
            <w:vMerge/>
            <w:tcBorders>
              <w:left w:val="single" w:sz="4" w:space="0" w:color="000000"/>
              <w:right w:val="single" w:sz="4" w:space="0" w:color="000000"/>
            </w:tcBorders>
          </w:tcPr>
          <w:p w14:paraId="34D3C2DA"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AE6F0B9" w14:textId="77777777" w:rsidR="005F558A" w:rsidRPr="00A247CB" w:rsidRDefault="005F558A" w:rsidP="002972D3">
            <w:pPr>
              <w:widowControl w:val="0"/>
              <w:spacing w:after="0" w:line="243" w:lineRule="exact"/>
              <w:ind w:left="105" w:right="-20"/>
              <w:rPr>
                <w:rFonts w:eastAsia="Calibri" w:cs="Calibri"/>
              </w:rPr>
            </w:pPr>
            <w:r>
              <w:rPr>
                <w:rFonts w:eastAsia="Calibri" w:cs="Calibri"/>
                <w:lang w:val="en-GB"/>
              </w:rPr>
              <w:t>Managing customers’ financial instruments and monetary assets</w:t>
            </w:r>
          </w:p>
        </w:tc>
        <w:tc>
          <w:tcPr>
            <w:tcW w:w="1276" w:type="dxa"/>
            <w:tcBorders>
              <w:top w:val="single" w:sz="4" w:space="0" w:color="000000"/>
              <w:left w:val="single" w:sz="4" w:space="0" w:color="000000"/>
              <w:bottom w:val="single" w:sz="4" w:space="0" w:color="000000"/>
              <w:right w:val="single" w:sz="4" w:space="0" w:color="000000"/>
            </w:tcBorders>
          </w:tcPr>
          <w:p w14:paraId="48ADC6A4" w14:textId="77777777" w:rsidR="005F558A" w:rsidRPr="00A247CB" w:rsidRDefault="005F558A" w:rsidP="002972D3">
            <w:pPr>
              <w:widowControl w:val="0"/>
              <w:spacing w:after="0" w:line="243" w:lineRule="exact"/>
              <w:ind w:left="102" w:right="-20"/>
              <w:rPr>
                <w:rFonts w:eastAsia="Calibri" w:cs="Calibri"/>
              </w:rPr>
            </w:pPr>
            <w:r>
              <w:rPr>
                <w:rFonts w:eastAsia="Calibri" w:cs="Calibri"/>
                <w:lang w:val="en-GB"/>
              </w:rPr>
              <w:t>Sections 57–60</w:t>
            </w:r>
          </w:p>
        </w:tc>
      </w:tr>
      <w:tr w:rsidR="005F558A" w:rsidRPr="0010391B" w14:paraId="72CAE2B2" w14:textId="77777777" w:rsidTr="00B02B13">
        <w:trPr>
          <w:gridAfter w:val="2"/>
          <w:wAfter w:w="164" w:type="dxa"/>
          <w:trHeight w:val="20"/>
        </w:trPr>
        <w:tc>
          <w:tcPr>
            <w:tcW w:w="3442" w:type="dxa"/>
            <w:vMerge/>
            <w:tcBorders>
              <w:left w:val="single" w:sz="4" w:space="0" w:color="000000"/>
              <w:right w:val="single" w:sz="4" w:space="0" w:color="000000"/>
            </w:tcBorders>
          </w:tcPr>
          <w:p w14:paraId="1E6A680D"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3267491" w14:textId="77777777" w:rsidR="005F558A" w:rsidRPr="00A247CB" w:rsidRDefault="005F558A" w:rsidP="002972D3">
            <w:pPr>
              <w:widowControl w:val="0"/>
              <w:spacing w:after="0" w:line="240" w:lineRule="auto"/>
              <w:ind w:left="105" w:right="-20"/>
              <w:rPr>
                <w:rFonts w:eastAsia="Calibri" w:cs="Calibri"/>
              </w:rPr>
            </w:pPr>
            <w:r>
              <w:rPr>
                <w:rFonts w:eastAsia="Calibri" w:cs="Calibri"/>
                <w:lang w:val="en-GB"/>
              </w:rPr>
              <w:t>Best (for the customer)a execution of orders</w:t>
            </w:r>
          </w:p>
        </w:tc>
        <w:tc>
          <w:tcPr>
            <w:tcW w:w="1276" w:type="dxa"/>
            <w:tcBorders>
              <w:top w:val="single" w:sz="4" w:space="0" w:color="000000"/>
              <w:left w:val="single" w:sz="4" w:space="0" w:color="000000"/>
              <w:bottom w:val="single" w:sz="4" w:space="0" w:color="000000"/>
              <w:right w:val="single" w:sz="4" w:space="0" w:color="000000"/>
            </w:tcBorders>
          </w:tcPr>
          <w:p w14:paraId="2552C135" w14:textId="66495FD2" w:rsidR="005F558A" w:rsidRPr="00A247CB" w:rsidRDefault="005F558A" w:rsidP="002972D3">
            <w:pPr>
              <w:widowControl w:val="0"/>
              <w:spacing w:after="0" w:line="240" w:lineRule="auto"/>
              <w:ind w:left="102" w:right="-20"/>
              <w:rPr>
                <w:rFonts w:eastAsia="Calibri" w:cs="Calibri"/>
              </w:rPr>
            </w:pPr>
            <w:r>
              <w:rPr>
                <w:rFonts w:eastAsia="Calibri" w:cs="Calibri"/>
                <w:lang w:val="en-GB"/>
              </w:rPr>
              <w:t>Sections 62–63</w:t>
            </w:r>
          </w:p>
        </w:tc>
      </w:tr>
      <w:tr w:rsidR="005F558A" w:rsidRPr="0010391B" w14:paraId="49B09360" w14:textId="77777777" w:rsidTr="00B02B13">
        <w:trPr>
          <w:gridAfter w:val="2"/>
          <w:wAfter w:w="164" w:type="dxa"/>
          <w:trHeight w:val="20"/>
        </w:trPr>
        <w:tc>
          <w:tcPr>
            <w:tcW w:w="3442" w:type="dxa"/>
            <w:vMerge/>
            <w:tcBorders>
              <w:left w:val="single" w:sz="4" w:space="0" w:color="000000"/>
              <w:right w:val="single" w:sz="4" w:space="0" w:color="000000"/>
            </w:tcBorders>
          </w:tcPr>
          <w:p w14:paraId="6C67BBB3"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298B7BD" w14:textId="77777777" w:rsidR="005F558A" w:rsidRPr="00A247CB" w:rsidRDefault="005F558A" w:rsidP="002972D3">
            <w:pPr>
              <w:widowControl w:val="0"/>
              <w:spacing w:after="0" w:line="242" w:lineRule="exact"/>
              <w:ind w:left="105" w:right="-20"/>
              <w:rPr>
                <w:rFonts w:eastAsia="Calibri" w:cs="Calibri"/>
              </w:rPr>
            </w:pPr>
            <w:r>
              <w:rPr>
                <w:rFonts w:eastAsia="Calibri" w:cs="Calibri"/>
                <w:lang w:val="en-GB"/>
              </w:rPr>
              <w:t>Provision of information after order executions</w:t>
            </w:r>
          </w:p>
        </w:tc>
        <w:tc>
          <w:tcPr>
            <w:tcW w:w="1276" w:type="dxa"/>
            <w:tcBorders>
              <w:top w:val="single" w:sz="4" w:space="0" w:color="000000"/>
              <w:left w:val="single" w:sz="4" w:space="0" w:color="000000"/>
              <w:bottom w:val="single" w:sz="4" w:space="0" w:color="000000"/>
              <w:right w:val="single" w:sz="4" w:space="0" w:color="000000"/>
            </w:tcBorders>
          </w:tcPr>
          <w:p w14:paraId="17CDB54A" w14:textId="6E7CF1F6"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Sections 67–69/A</w:t>
            </w:r>
          </w:p>
        </w:tc>
      </w:tr>
      <w:tr w:rsidR="005F558A" w:rsidRPr="0010391B" w14:paraId="50421D4A" w14:textId="77777777" w:rsidTr="00B02B13">
        <w:trPr>
          <w:gridAfter w:val="2"/>
          <w:wAfter w:w="164" w:type="dxa"/>
          <w:trHeight w:val="20"/>
        </w:trPr>
        <w:tc>
          <w:tcPr>
            <w:tcW w:w="3442" w:type="dxa"/>
            <w:vMerge/>
            <w:tcBorders>
              <w:left w:val="single" w:sz="4" w:space="0" w:color="000000"/>
              <w:right w:val="single" w:sz="4" w:space="0" w:color="000000"/>
            </w:tcBorders>
          </w:tcPr>
          <w:p w14:paraId="1612AC42"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5672668" w14:textId="4924CAFE" w:rsidR="005F558A" w:rsidRPr="00A247CB" w:rsidRDefault="005F558A" w:rsidP="002972D3">
            <w:pPr>
              <w:widowControl w:val="0"/>
              <w:tabs>
                <w:tab w:val="left" w:pos="600"/>
                <w:tab w:val="left" w:pos="1760"/>
                <w:tab w:val="left" w:pos="3020"/>
                <w:tab w:val="left" w:pos="4060"/>
                <w:tab w:val="left" w:pos="4420"/>
              </w:tabs>
              <w:spacing w:after="0" w:line="242" w:lineRule="exact"/>
              <w:ind w:left="105" w:right="-20"/>
              <w:rPr>
                <w:rFonts w:eastAsia="Calibri" w:cs="Calibri"/>
              </w:rPr>
            </w:pPr>
            <w:r>
              <w:rPr>
                <w:rFonts w:eastAsia="Calibri" w:cs="Calibri"/>
                <w:lang w:val="en-GB"/>
              </w:rPr>
              <w:t>Rules of commodity exchange services</w:t>
            </w:r>
            <w:r>
              <w:rPr>
                <w:rFonts w:eastAsia="Calibri" w:cs="Calibri"/>
                <w:lang w:val="en-GB"/>
              </w:rPr>
              <w:tab/>
              <w:t>– Obligation to provide information prior to concluding the contract</w:t>
            </w:r>
          </w:p>
        </w:tc>
        <w:tc>
          <w:tcPr>
            <w:tcW w:w="1276" w:type="dxa"/>
            <w:tcBorders>
              <w:top w:val="single" w:sz="4" w:space="0" w:color="000000"/>
              <w:left w:val="single" w:sz="4" w:space="0" w:color="000000"/>
              <w:bottom w:val="single" w:sz="4" w:space="0" w:color="000000"/>
              <w:right w:val="single" w:sz="4" w:space="0" w:color="000000"/>
            </w:tcBorders>
          </w:tcPr>
          <w:p w14:paraId="41395A18" w14:textId="77777777"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Sections 82–83</w:t>
            </w:r>
          </w:p>
        </w:tc>
      </w:tr>
      <w:tr w:rsidR="005F558A" w:rsidRPr="0010391B" w14:paraId="017815BB" w14:textId="77777777" w:rsidTr="00B02B13">
        <w:trPr>
          <w:gridAfter w:val="2"/>
          <w:wAfter w:w="164" w:type="dxa"/>
          <w:trHeight w:val="20"/>
        </w:trPr>
        <w:tc>
          <w:tcPr>
            <w:tcW w:w="3442" w:type="dxa"/>
            <w:vMerge/>
            <w:tcBorders>
              <w:left w:val="single" w:sz="4" w:space="0" w:color="000000"/>
              <w:right w:val="single" w:sz="4" w:space="0" w:color="000000"/>
            </w:tcBorders>
          </w:tcPr>
          <w:p w14:paraId="136A802B"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7C3B4C1" w14:textId="77777777" w:rsidR="005F558A" w:rsidRPr="00A247CB" w:rsidRDefault="005F558A" w:rsidP="002972D3">
            <w:pPr>
              <w:widowControl w:val="0"/>
              <w:tabs>
                <w:tab w:val="left" w:pos="600"/>
                <w:tab w:val="left" w:pos="1760"/>
                <w:tab w:val="left" w:pos="3020"/>
                <w:tab w:val="left" w:pos="4060"/>
                <w:tab w:val="left" w:pos="4420"/>
              </w:tabs>
              <w:spacing w:after="0" w:line="242" w:lineRule="exact"/>
              <w:ind w:left="105" w:right="-20"/>
              <w:rPr>
                <w:rFonts w:eastAsia="Calibri" w:cs="Calibri"/>
              </w:rPr>
            </w:pPr>
            <w:r>
              <w:rPr>
                <w:rFonts w:eastAsia="Calibri" w:cs="Calibri"/>
                <w:lang w:val="en-GB"/>
              </w:rPr>
              <w:t>Rules of commodity exchange services</w:t>
            </w:r>
            <w:r>
              <w:rPr>
                <w:rFonts w:eastAsia="Calibri" w:cs="Calibri"/>
                <w:lang w:val="en-GB"/>
              </w:rPr>
              <w:tab/>
              <w:t>– Obligation to obtain information prior to concluding the contract</w:t>
            </w:r>
          </w:p>
        </w:tc>
        <w:tc>
          <w:tcPr>
            <w:tcW w:w="1276" w:type="dxa"/>
            <w:tcBorders>
              <w:top w:val="single" w:sz="4" w:space="0" w:color="000000"/>
              <w:left w:val="single" w:sz="4" w:space="0" w:color="000000"/>
              <w:bottom w:val="single" w:sz="4" w:space="0" w:color="000000"/>
              <w:right w:val="single" w:sz="4" w:space="0" w:color="000000"/>
            </w:tcBorders>
          </w:tcPr>
          <w:p w14:paraId="29FA46BA" w14:textId="77777777"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 84</w:t>
            </w:r>
          </w:p>
        </w:tc>
      </w:tr>
      <w:tr w:rsidR="005F558A" w:rsidRPr="0010391B" w14:paraId="0A5EBB5F" w14:textId="77777777" w:rsidTr="00B02B13">
        <w:trPr>
          <w:gridAfter w:val="2"/>
          <w:wAfter w:w="164" w:type="dxa"/>
          <w:trHeight w:val="20"/>
        </w:trPr>
        <w:tc>
          <w:tcPr>
            <w:tcW w:w="3442" w:type="dxa"/>
            <w:vMerge/>
            <w:tcBorders>
              <w:left w:val="single" w:sz="4" w:space="0" w:color="000000"/>
              <w:right w:val="single" w:sz="4" w:space="0" w:color="000000"/>
            </w:tcBorders>
          </w:tcPr>
          <w:p w14:paraId="76E65756"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DB1651E" w14:textId="77777777" w:rsidR="005F558A" w:rsidRPr="00A247CB" w:rsidRDefault="005F558A" w:rsidP="002972D3">
            <w:pPr>
              <w:widowControl w:val="0"/>
              <w:spacing w:after="0" w:line="242" w:lineRule="exact"/>
              <w:ind w:left="105" w:right="-20"/>
              <w:rPr>
                <w:rFonts w:eastAsia="Calibri" w:cs="Calibri"/>
              </w:rPr>
            </w:pPr>
            <w:r>
              <w:rPr>
                <w:rFonts w:eastAsia="Calibri" w:cs="Calibri"/>
                <w:lang w:val="en-GB"/>
              </w:rPr>
              <w:t>Denial of contract conclusion</w:t>
            </w:r>
          </w:p>
        </w:tc>
        <w:tc>
          <w:tcPr>
            <w:tcW w:w="1276" w:type="dxa"/>
            <w:tcBorders>
              <w:top w:val="single" w:sz="4" w:space="0" w:color="000000"/>
              <w:left w:val="single" w:sz="4" w:space="0" w:color="000000"/>
              <w:bottom w:val="single" w:sz="4" w:space="0" w:color="000000"/>
              <w:right w:val="single" w:sz="4" w:space="0" w:color="000000"/>
            </w:tcBorders>
          </w:tcPr>
          <w:p w14:paraId="1981246A" w14:textId="77777777" w:rsidR="005F558A" w:rsidRPr="00A247CB" w:rsidRDefault="005F558A" w:rsidP="002972D3">
            <w:pPr>
              <w:widowControl w:val="0"/>
              <w:spacing w:after="0" w:line="242" w:lineRule="exact"/>
              <w:ind w:left="148" w:right="-20"/>
              <w:rPr>
                <w:rFonts w:eastAsia="Calibri" w:cs="Calibri"/>
              </w:rPr>
            </w:pPr>
            <w:r>
              <w:rPr>
                <w:rFonts w:eastAsia="Calibri" w:cs="Calibri"/>
                <w:lang w:val="en-GB"/>
              </w:rPr>
              <w:t>Section 85</w:t>
            </w:r>
          </w:p>
        </w:tc>
      </w:tr>
      <w:tr w:rsidR="005F558A" w:rsidRPr="0010391B" w14:paraId="0D4786EA" w14:textId="77777777" w:rsidTr="00B02B13">
        <w:trPr>
          <w:gridAfter w:val="2"/>
          <w:wAfter w:w="164" w:type="dxa"/>
          <w:trHeight w:val="20"/>
        </w:trPr>
        <w:tc>
          <w:tcPr>
            <w:tcW w:w="3442" w:type="dxa"/>
            <w:vMerge/>
            <w:tcBorders>
              <w:left w:val="single" w:sz="4" w:space="0" w:color="000000"/>
              <w:right w:val="single" w:sz="4" w:space="0" w:color="000000"/>
            </w:tcBorders>
          </w:tcPr>
          <w:p w14:paraId="6F46DC36"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C7B065F" w14:textId="77777777" w:rsidR="005F558A" w:rsidRPr="00A247CB" w:rsidRDefault="005F558A" w:rsidP="002972D3">
            <w:pPr>
              <w:widowControl w:val="0"/>
              <w:spacing w:after="0" w:line="242" w:lineRule="exact"/>
              <w:ind w:left="105" w:right="-20"/>
              <w:rPr>
                <w:rFonts w:eastAsia="Calibri" w:cs="Calibri"/>
              </w:rPr>
            </w:pPr>
            <w:r>
              <w:rPr>
                <w:rFonts w:eastAsia="Calibri" w:cs="Calibri"/>
                <w:lang w:val="en-GB"/>
              </w:rPr>
              <w:t>Rules of commodity exchange services – Obligation to provide information after order execution</w:t>
            </w:r>
          </w:p>
        </w:tc>
        <w:tc>
          <w:tcPr>
            <w:tcW w:w="1276" w:type="dxa"/>
            <w:tcBorders>
              <w:top w:val="single" w:sz="4" w:space="0" w:color="000000"/>
              <w:left w:val="single" w:sz="4" w:space="0" w:color="000000"/>
              <w:bottom w:val="single" w:sz="4" w:space="0" w:color="000000"/>
              <w:right w:val="single" w:sz="4" w:space="0" w:color="000000"/>
            </w:tcBorders>
          </w:tcPr>
          <w:p w14:paraId="66B01CA3" w14:textId="77777777"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Sections 90–91</w:t>
            </w:r>
          </w:p>
        </w:tc>
      </w:tr>
      <w:tr w:rsidR="005F558A" w:rsidRPr="0010391B" w14:paraId="4C32CFE9" w14:textId="77777777" w:rsidTr="00B02B13">
        <w:trPr>
          <w:gridAfter w:val="2"/>
          <w:wAfter w:w="164" w:type="dxa"/>
          <w:trHeight w:val="20"/>
        </w:trPr>
        <w:tc>
          <w:tcPr>
            <w:tcW w:w="3442" w:type="dxa"/>
            <w:vMerge/>
            <w:tcBorders>
              <w:left w:val="single" w:sz="4" w:space="0" w:color="000000"/>
              <w:right w:val="single" w:sz="4" w:space="0" w:color="000000"/>
            </w:tcBorders>
          </w:tcPr>
          <w:p w14:paraId="0C0F6F7D"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734D5E4" w14:textId="77777777" w:rsidR="005F558A" w:rsidRPr="00A247CB" w:rsidRDefault="005F558A" w:rsidP="002972D3">
            <w:pPr>
              <w:widowControl w:val="0"/>
              <w:tabs>
                <w:tab w:val="left" w:pos="420"/>
                <w:tab w:val="left" w:pos="1560"/>
                <w:tab w:val="left" w:pos="1960"/>
                <w:tab w:val="left" w:pos="2260"/>
                <w:tab w:val="left" w:pos="3220"/>
              </w:tabs>
              <w:spacing w:after="0" w:line="242" w:lineRule="exact"/>
              <w:ind w:left="105" w:right="-20"/>
              <w:rPr>
                <w:rFonts w:eastAsia="Calibri" w:cs="Calibri"/>
              </w:rPr>
            </w:pPr>
            <w:r>
              <w:rPr>
                <w:rFonts w:eastAsia="Calibri" w:cs="Calibri"/>
                <w:lang w:val="en-GB"/>
              </w:rPr>
              <w:t>Rules related to intermediaries and to the use of intermediaries</w:t>
            </w:r>
          </w:p>
        </w:tc>
        <w:tc>
          <w:tcPr>
            <w:tcW w:w="1276" w:type="dxa"/>
            <w:tcBorders>
              <w:top w:val="single" w:sz="4" w:space="0" w:color="000000"/>
              <w:left w:val="single" w:sz="4" w:space="0" w:color="000000"/>
              <w:bottom w:val="single" w:sz="4" w:space="0" w:color="000000"/>
              <w:right w:val="single" w:sz="4" w:space="0" w:color="000000"/>
            </w:tcBorders>
          </w:tcPr>
          <w:p w14:paraId="50FE709B" w14:textId="1C757D0F"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Sections 111–116/A</w:t>
            </w:r>
          </w:p>
        </w:tc>
      </w:tr>
      <w:tr w:rsidR="005F558A" w:rsidRPr="0010391B" w14:paraId="7B15D0A6" w14:textId="77777777" w:rsidTr="00B02B13">
        <w:trPr>
          <w:gridAfter w:val="2"/>
          <w:wAfter w:w="164" w:type="dxa"/>
          <w:trHeight w:val="20"/>
        </w:trPr>
        <w:tc>
          <w:tcPr>
            <w:tcW w:w="3442" w:type="dxa"/>
            <w:vMerge/>
            <w:tcBorders>
              <w:left w:val="single" w:sz="4" w:space="0" w:color="000000"/>
              <w:right w:val="single" w:sz="4" w:space="0" w:color="000000"/>
            </w:tcBorders>
          </w:tcPr>
          <w:p w14:paraId="545F032C"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C098D8B" w14:textId="77777777" w:rsidR="005F558A" w:rsidRPr="00A247CB" w:rsidRDefault="005F558A" w:rsidP="002972D3">
            <w:pPr>
              <w:widowControl w:val="0"/>
              <w:spacing w:after="0" w:line="242" w:lineRule="exact"/>
              <w:ind w:left="105" w:right="-20"/>
              <w:rPr>
                <w:rFonts w:eastAsia="Calibri" w:cs="Calibri"/>
              </w:rPr>
            </w:pPr>
            <w:r>
              <w:rPr>
                <w:rFonts w:eastAsia="Calibri" w:cs="Calibri"/>
                <w:lang w:val="en-GB"/>
              </w:rPr>
              <w:t>Confidentiality</w:t>
            </w:r>
          </w:p>
        </w:tc>
        <w:tc>
          <w:tcPr>
            <w:tcW w:w="1276" w:type="dxa"/>
            <w:tcBorders>
              <w:top w:val="single" w:sz="4" w:space="0" w:color="000000"/>
              <w:left w:val="single" w:sz="4" w:space="0" w:color="000000"/>
              <w:bottom w:val="single" w:sz="4" w:space="0" w:color="000000"/>
              <w:right w:val="single" w:sz="4" w:space="0" w:color="000000"/>
            </w:tcBorders>
          </w:tcPr>
          <w:p w14:paraId="7587F02C" w14:textId="16D9184E" w:rsidR="005F558A" w:rsidRPr="00A247CB" w:rsidRDefault="005F558A" w:rsidP="002972D3">
            <w:pPr>
              <w:widowControl w:val="0"/>
              <w:spacing w:after="0" w:line="242" w:lineRule="exact"/>
              <w:ind w:left="102" w:right="-20"/>
              <w:rPr>
                <w:rFonts w:eastAsia="Calibri" w:cs="Calibri"/>
              </w:rPr>
            </w:pPr>
            <w:r>
              <w:rPr>
                <w:rFonts w:eastAsia="Calibri" w:cs="Calibri"/>
                <w:lang w:val="en-GB"/>
              </w:rPr>
              <w:t>Sections 117–120/A</w:t>
            </w:r>
          </w:p>
        </w:tc>
      </w:tr>
      <w:tr w:rsidR="005F558A" w:rsidRPr="0010391B" w14:paraId="59ED8879" w14:textId="77777777" w:rsidTr="00B02B13">
        <w:trPr>
          <w:gridAfter w:val="2"/>
          <w:wAfter w:w="164" w:type="dxa"/>
          <w:trHeight w:val="20"/>
        </w:trPr>
        <w:tc>
          <w:tcPr>
            <w:tcW w:w="3442" w:type="dxa"/>
            <w:vMerge/>
            <w:tcBorders>
              <w:left w:val="single" w:sz="4" w:space="0" w:color="000000"/>
              <w:right w:val="single" w:sz="4" w:space="0" w:color="000000"/>
            </w:tcBorders>
          </w:tcPr>
          <w:p w14:paraId="0EF27C80"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79EE849" w14:textId="77777777" w:rsidR="005F558A" w:rsidRPr="00A247CB" w:rsidRDefault="005F558A" w:rsidP="002972D3">
            <w:pPr>
              <w:widowControl w:val="0"/>
              <w:spacing w:after="0" w:line="240" w:lineRule="auto"/>
              <w:ind w:left="105" w:right="-20"/>
              <w:rPr>
                <w:rFonts w:eastAsia="Calibri" w:cs="Calibri"/>
              </w:rPr>
            </w:pPr>
            <w:r>
              <w:rPr>
                <w:rFonts w:eastAsia="Calibri" w:cs="Calibri"/>
                <w:lang w:val="en-GB"/>
              </w:rPr>
              <w:t>Complaint management</w:t>
            </w:r>
          </w:p>
        </w:tc>
        <w:tc>
          <w:tcPr>
            <w:tcW w:w="1276" w:type="dxa"/>
            <w:tcBorders>
              <w:top w:val="single" w:sz="4" w:space="0" w:color="000000"/>
              <w:left w:val="single" w:sz="4" w:space="0" w:color="000000"/>
              <w:bottom w:val="single" w:sz="4" w:space="0" w:color="000000"/>
              <w:right w:val="single" w:sz="4" w:space="0" w:color="000000"/>
            </w:tcBorders>
          </w:tcPr>
          <w:p w14:paraId="7641EB51" w14:textId="77777777" w:rsidR="005F558A" w:rsidRPr="00A247CB" w:rsidRDefault="005F558A" w:rsidP="002972D3">
            <w:pPr>
              <w:widowControl w:val="0"/>
              <w:spacing w:after="0" w:line="240" w:lineRule="auto"/>
              <w:ind w:left="102" w:right="-20"/>
              <w:rPr>
                <w:rFonts w:eastAsia="Calibri" w:cs="Calibri"/>
              </w:rPr>
            </w:pPr>
            <w:r>
              <w:rPr>
                <w:rFonts w:eastAsia="Calibri" w:cs="Calibri"/>
                <w:lang w:val="en-GB"/>
              </w:rPr>
              <w:t>Section 121</w:t>
            </w:r>
          </w:p>
        </w:tc>
      </w:tr>
      <w:tr w:rsidR="005F558A" w:rsidRPr="0010391B" w14:paraId="5FB8AA32" w14:textId="77777777" w:rsidTr="00B02B13">
        <w:trPr>
          <w:gridAfter w:val="2"/>
          <w:wAfter w:w="164" w:type="dxa"/>
          <w:trHeight w:val="20"/>
        </w:trPr>
        <w:tc>
          <w:tcPr>
            <w:tcW w:w="3442" w:type="dxa"/>
            <w:vMerge/>
            <w:tcBorders>
              <w:left w:val="single" w:sz="4" w:space="0" w:color="000000"/>
              <w:right w:val="single" w:sz="4" w:space="0" w:color="000000"/>
            </w:tcBorders>
          </w:tcPr>
          <w:p w14:paraId="08996227"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F571D9F" w14:textId="77777777" w:rsidR="005F558A" w:rsidRPr="00A247CB" w:rsidRDefault="005F558A" w:rsidP="002972D3">
            <w:pPr>
              <w:widowControl w:val="0"/>
              <w:spacing w:after="0" w:line="240" w:lineRule="auto"/>
              <w:ind w:left="105" w:right="-20"/>
              <w:rPr>
                <w:rFonts w:eastAsia="Calibri" w:cs="Calibri"/>
              </w:rPr>
            </w:pPr>
            <w:r>
              <w:rPr>
                <w:rFonts w:eastAsia="Calibri" w:cs="Calibri"/>
                <w:lang w:val="en-GB"/>
              </w:rPr>
              <w:t>Portfolio transfer</w:t>
            </w:r>
          </w:p>
        </w:tc>
        <w:tc>
          <w:tcPr>
            <w:tcW w:w="1276" w:type="dxa"/>
            <w:tcBorders>
              <w:top w:val="single" w:sz="4" w:space="0" w:color="000000"/>
              <w:left w:val="single" w:sz="4" w:space="0" w:color="000000"/>
              <w:bottom w:val="single" w:sz="4" w:space="0" w:color="000000"/>
              <w:right w:val="single" w:sz="4" w:space="0" w:color="000000"/>
            </w:tcBorders>
          </w:tcPr>
          <w:p w14:paraId="4C186A73" w14:textId="77777777" w:rsidR="005F558A" w:rsidRPr="00A247CB" w:rsidRDefault="005F558A" w:rsidP="002972D3">
            <w:pPr>
              <w:widowControl w:val="0"/>
              <w:spacing w:after="0" w:line="240" w:lineRule="auto"/>
              <w:ind w:left="102" w:right="-20"/>
              <w:rPr>
                <w:rFonts w:eastAsia="Calibri" w:cs="Calibri"/>
              </w:rPr>
            </w:pPr>
            <w:r>
              <w:rPr>
                <w:rFonts w:eastAsia="Calibri" w:cs="Calibri"/>
                <w:lang w:val="en-GB"/>
              </w:rPr>
              <w:t>Sections 140–141</w:t>
            </w:r>
          </w:p>
        </w:tc>
      </w:tr>
      <w:tr w:rsidR="005F558A" w:rsidRPr="0010391B" w14:paraId="09994C34"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4A6639FF" w14:textId="77777777" w:rsidR="005F558A" w:rsidRPr="00A247CB" w:rsidRDefault="005F558A"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ECBD2D0" w14:textId="77777777" w:rsidR="005F558A" w:rsidRPr="00A247CB" w:rsidRDefault="005F558A" w:rsidP="002972D3">
            <w:pPr>
              <w:widowControl w:val="0"/>
              <w:spacing w:after="0" w:line="242" w:lineRule="exact"/>
              <w:ind w:left="105" w:right="59"/>
              <w:rPr>
                <w:rFonts w:eastAsia="Calibri" w:cs="Calibri"/>
              </w:rPr>
            </w:pPr>
            <w:r>
              <w:rPr>
                <w:rFonts w:eastAsia="Calibri" w:cs="Calibri"/>
                <w:lang w:val="en-GB"/>
              </w:rPr>
              <w:t>Rules and principles pertaining to the calculation and presentation of the performance and yield realised on the portfolio managed by the portfolio management organisation</w:t>
            </w:r>
          </w:p>
        </w:tc>
        <w:tc>
          <w:tcPr>
            <w:tcW w:w="1276" w:type="dxa"/>
            <w:tcBorders>
              <w:top w:val="single" w:sz="4" w:space="0" w:color="000000"/>
              <w:left w:val="single" w:sz="4" w:space="0" w:color="000000"/>
              <w:bottom w:val="single" w:sz="4" w:space="0" w:color="000000"/>
              <w:right w:val="single" w:sz="4" w:space="0" w:color="000000"/>
            </w:tcBorders>
          </w:tcPr>
          <w:p w14:paraId="7C6353F8" w14:textId="77777777" w:rsidR="005F558A" w:rsidRPr="00A247CB" w:rsidRDefault="005F558A" w:rsidP="002972D3">
            <w:pPr>
              <w:widowControl w:val="0"/>
              <w:spacing w:after="0" w:line="242" w:lineRule="exact"/>
              <w:ind w:left="102" w:right="-20"/>
              <w:rPr>
                <w:rFonts w:eastAsia="Calibri" w:cs="Calibri"/>
              </w:rPr>
            </w:pPr>
            <w:r>
              <w:rPr>
                <w:rFonts w:eastAsia="Calibri" w:cs="Calibri"/>
                <w:lang w:val="en-GB"/>
              </w:rPr>
              <w:t>Annex 3</w:t>
            </w:r>
          </w:p>
        </w:tc>
      </w:tr>
      <w:tr w:rsidR="002972D3" w:rsidRPr="0010391B" w14:paraId="56485CDB"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590D2B26" w14:textId="77777777" w:rsidR="002972D3" w:rsidRPr="002077BA" w:rsidRDefault="002972D3" w:rsidP="002972D3">
            <w:pPr>
              <w:widowControl w:val="0"/>
              <w:spacing w:after="0" w:line="240" w:lineRule="auto"/>
              <w:ind w:left="103" w:right="588"/>
              <w:rPr>
                <w:rFonts w:eastAsia="Calibri" w:cs="Calibri"/>
              </w:rPr>
            </w:pPr>
            <w:bookmarkStart w:id="0" w:name="_Hlk3795852"/>
            <w:r>
              <w:rPr>
                <w:rFonts w:eastAsia="Calibri" w:cs="Calibri"/>
                <w:lang w:val="en-GB"/>
              </w:rPr>
              <w:t>Act XLVIII of 2008 on the Basic Requirements and Certain Restrictions of Commercial Advertising Activities</w:t>
            </w:r>
          </w:p>
        </w:tc>
        <w:tc>
          <w:tcPr>
            <w:tcW w:w="4536" w:type="dxa"/>
            <w:gridSpan w:val="2"/>
            <w:tcBorders>
              <w:top w:val="single" w:sz="4" w:space="0" w:color="000000"/>
              <w:left w:val="single" w:sz="4" w:space="0" w:color="000000"/>
              <w:bottom w:val="single" w:sz="4" w:space="0" w:color="000000"/>
              <w:right w:val="single" w:sz="4" w:space="0" w:color="000000"/>
            </w:tcBorders>
          </w:tcPr>
          <w:p w14:paraId="693D3CD9" w14:textId="77777777" w:rsidR="002972D3" w:rsidRPr="002077BA" w:rsidRDefault="002972D3" w:rsidP="002972D3">
            <w:pPr>
              <w:widowControl w:val="0"/>
              <w:spacing w:after="0" w:line="240" w:lineRule="auto"/>
              <w:ind w:left="105" w:right="-20"/>
              <w:rPr>
                <w:rFonts w:eastAsia="Calibri" w:cs="Calibri"/>
              </w:rPr>
            </w:pPr>
            <w:r>
              <w:rPr>
                <w:rFonts w:eastAsia="Calibri" w:cs="Calibri"/>
                <w:lang w:val="en-GB"/>
              </w:rPr>
              <w:t>General provisions</w:t>
            </w:r>
          </w:p>
        </w:tc>
        <w:tc>
          <w:tcPr>
            <w:tcW w:w="1276" w:type="dxa"/>
            <w:tcBorders>
              <w:top w:val="single" w:sz="4" w:space="0" w:color="000000"/>
              <w:left w:val="single" w:sz="4" w:space="0" w:color="000000"/>
              <w:bottom w:val="single" w:sz="4" w:space="0" w:color="000000"/>
              <w:right w:val="single" w:sz="4" w:space="0" w:color="000000"/>
            </w:tcBorders>
          </w:tcPr>
          <w:p w14:paraId="6D544E2F" w14:textId="3C5B1006" w:rsidR="002972D3" w:rsidRPr="002077BA" w:rsidRDefault="002972D3" w:rsidP="002972D3">
            <w:pPr>
              <w:widowControl w:val="0"/>
              <w:spacing w:after="0" w:line="240" w:lineRule="auto"/>
              <w:ind w:left="102" w:right="-20"/>
              <w:rPr>
                <w:rFonts w:eastAsia="Calibri" w:cs="Calibri"/>
              </w:rPr>
            </w:pPr>
            <w:r>
              <w:rPr>
                <w:rFonts w:eastAsia="Calibri" w:cs="Calibri"/>
                <w:lang w:val="en-GB"/>
              </w:rPr>
              <w:t>Sections 1–6</w:t>
            </w:r>
          </w:p>
        </w:tc>
      </w:tr>
      <w:tr w:rsidR="002972D3" w:rsidRPr="0010391B" w14:paraId="1DDDA7E5" w14:textId="77777777" w:rsidTr="00B02B13">
        <w:trPr>
          <w:gridAfter w:val="2"/>
          <w:wAfter w:w="164" w:type="dxa"/>
          <w:trHeight w:val="20"/>
        </w:trPr>
        <w:tc>
          <w:tcPr>
            <w:tcW w:w="3442" w:type="dxa"/>
            <w:vMerge/>
            <w:tcBorders>
              <w:left w:val="single" w:sz="4" w:space="0" w:color="000000"/>
              <w:right w:val="single" w:sz="4" w:space="0" w:color="000000"/>
            </w:tcBorders>
          </w:tcPr>
          <w:p w14:paraId="311F1A19"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138F11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General prohibitions and limitations on advertising</w:t>
            </w:r>
          </w:p>
        </w:tc>
        <w:tc>
          <w:tcPr>
            <w:tcW w:w="1276" w:type="dxa"/>
            <w:tcBorders>
              <w:top w:val="single" w:sz="4" w:space="0" w:color="000000"/>
              <w:left w:val="single" w:sz="4" w:space="0" w:color="000000"/>
              <w:bottom w:val="single" w:sz="4" w:space="0" w:color="000000"/>
              <w:right w:val="single" w:sz="4" w:space="0" w:color="000000"/>
            </w:tcBorders>
          </w:tcPr>
          <w:p w14:paraId="50851E06" w14:textId="6E922C2F"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7–12, Section 21</w:t>
            </w:r>
          </w:p>
        </w:tc>
      </w:tr>
      <w:tr w:rsidR="002972D3" w:rsidRPr="0010391B" w14:paraId="10E9E402" w14:textId="77777777" w:rsidTr="00B02B13">
        <w:trPr>
          <w:gridAfter w:val="2"/>
          <w:wAfter w:w="164" w:type="dxa"/>
          <w:trHeight w:val="20"/>
        </w:trPr>
        <w:tc>
          <w:tcPr>
            <w:tcW w:w="3442" w:type="dxa"/>
            <w:vMerge/>
            <w:tcBorders>
              <w:left w:val="single" w:sz="4" w:space="0" w:color="000000"/>
              <w:right w:val="single" w:sz="4" w:space="0" w:color="000000"/>
            </w:tcBorders>
          </w:tcPr>
          <w:p w14:paraId="5B7EBC4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808EF11"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Liability rules</w:t>
            </w:r>
          </w:p>
        </w:tc>
        <w:tc>
          <w:tcPr>
            <w:tcW w:w="1276" w:type="dxa"/>
            <w:tcBorders>
              <w:top w:val="single" w:sz="4" w:space="0" w:color="000000"/>
              <w:left w:val="single" w:sz="4" w:space="0" w:color="000000"/>
              <w:bottom w:val="single" w:sz="4" w:space="0" w:color="000000"/>
              <w:right w:val="single" w:sz="4" w:space="0" w:color="000000"/>
            </w:tcBorders>
          </w:tcPr>
          <w:p w14:paraId="79C836C4" w14:textId="77777777" w:rsidR="002972D3" w:rsidRPr="00A247CB" w:rsidRDefault="002972D3" w:rsidP="002972D3">
            <w:pPr>
              <w:widowControl w:val="0"/>
              <w:spacing w:after="0" w:line="243" w:lineRule="exact"/>
              <w:ind w:left="148" w:right="-20"/>
              <w:rPr>
                <w:rFonts w:eastAsia="Calibri" w:cs="Calibri"/>
              </w:rPr>
            </w:pPr>
            <w:r>
              <w:rPr>
                <w:rFonts w:eastAsia="Calibri" w:cs="Calibri"/>
                <w:lang w:val="en-GB"/>
              </w:rPr>
              <w:t>Section 23</w:t>
            </w:r>
          </w:p>
        </w:tc>
      </w:tr>
      <w:tr w:rsidR="002972D3" w:rsidRPr="0010391B" w14:paraId="6E599654"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77DCDC4B"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EFC1298"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Procedure upon breaching the provisions of the Act</w:t>
            </w:r>
          </w:p>
        </w:tc>
        <w:tc>
          <w:tcPr>
            <w:tcW w:w="1276" w:type="dxa"/>
            <w:tcBorders>
              <w:top w:val="single" w:sz="4" w:space="0" w:color="000000"/>
              <w:left w:val="single" w:sz="4" w:space="0" w:color="000000"/>
              <w:bottom w:val="single" w:sz="4" w:space="0" w:color="000000"/>
              <w:right w:val="single" w:sz="4" w:space="0" w:color="000000"/>
            </w:tcBorders>
          </w:tcPr>
          <w:p w14:paraId="57623A0B" w14:textId="78B5F4FE"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24–26/A</w:t>
            </w:r>
          </w:p>
        </w:tc>
      </w:tr>
      <w:tr w:rsidR="002972D3" w:rsidRPr="0010391B" w14:paraId="6123A646"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7DE908A7" w14:textId="77777777" w:rsidR="002972D3" w:rsidRPr="002077BA" w:rsidRDefault="002972D3" w:rsidP="002972D3">
            <w:pPr>
              <w:widowControl w:val="0"/>
              <w:spacing w:after="0" w:line="242" w:lineRule="exact"/>
              <w:ind w:left="103" w:right="-20"/>
              <w:rPr>
                <w:rFonts w:eastAsia="Calibri" w:cs="Calibri"/>
              </w:rPr>
            </w:pPr>
            <w:r>
              <w:rPr>
                <w:rFonts w:eastAsia="Calibri" w:cs="Calibri"/>
                <w:lang w:val="en-GB"/>
              </w:rPr>
              <w:t>Act IV of 2009 on the Government surety provided for housing loans</w:t>
            </w:r>
          </w:p>
        </w:tc>
        <w:tc>
          <w:tcPr>
            <w:tcW w:w="4536" w:type="dxa"/>
            <w:gridSpan w:val="2"/>
            <w:tcBorders>
              <w:top w:val="single" w:sz="4" w:space="0" w:color="000000"/>
              <w:left w:val="single" w:sz="4" w:space="0" w:color="000000"/>
              <w:bottom w:val="single" w:sz="4" w:space="0" w:color="000000"/>
              <w:right w:val="single" w:sz="4" w:space="0" w:color="000000"/>
            </w:tcBorders>
          </w:tcPr>
          <w:p w14:paraId="6FFDDD7C" w14:textId="77777777" w:rsidR="002972D3" w:rsidRPr="002077BA" w:rsidRDefault="002972D3" w:rsidP="002972D3">
            <w:pPr>
              <w:widowControl w:val="0"/>
              <w:spacing w:after="0" w:line="242" w:lineRule="exact"/>
              <w:ind w:left="105" w:right="-20"/>
              <w:rPr>
                <w:rFonts w:eastAsia="Calibri" w:cs="Calibri"/>
              </w:rPr>
            </w:pPr>
            <w:r>
              <w:rPr>
                <w:rFonts w:eastAsia="Calibri" w:cs="Calibri"/>
                <w:lang w:val="en-GB"/>
              </w:rPr>
              <w:t>Surety liability of the government</w:t>
            </w:r>
          </w:p>
        </w:tc>
        <w:tc>
          <w:tcPr>
            <w:tcW w:w="1276" w:type="dxa"/>
            <w:tcBorders>
              <w:top w:val="single" w:sz="4" w:space="0" w:color="000000"/>
              <w:left w:val="single" w:sz="4" w:space="0" w:color="000000"/>
              <w:bottom w:val="single" w:sz="4" w:space="0" w:color="000000"/>
              <w:right w:val="single" w:sz="4" w:space="0" w:color="000000"/>
            </w:tcBorders>
          </w:tcPr>
          <w:p w14:paraId="7926D0C2" w14:textId="313C5B67" w:rsidR="002972D3" w:rsidRPr="002077BA" w:rsidRDefault="002972D3" w:rsidP="002972D3">
            <w:pPr>
              <w:widowControl w:val="0"/>
              <w:spacing w:after="0" w:line="242" w:lineRule="exact"/>
              <w:ind w:left="102" w:right="-20"/>
              <w:rPr>
                <w:rFonts w:eastAsia="Calibri" w:cs="Calibri"/>
              </w:rPr>
            </w:pPr>
            <w:r>
              <w:rPr>
                <w:rFonts w:eastAsia="Calibri" w:cs="Calibri"/>
                <w:lang w:val="en-GB"/>
              </w:rPr>
              <w:t>Section 2 (1)-(2)</w:t>
            </w:r>
          </w:p>
        </w:tc>
      </w:tr>
      <w:tr w:rsidR="002972D3" w:rsidRPr="0010391B" w14:paraId="50E2BAF8" w14:textId="77777777" w:rsidTr="00B02B13">
        <w:trPr>
          <w:gridAfter w:val="2"/>
          <w:wAfter w:w="164" w:type="dxa"/>
          <w:trHeight w:val="20"/>
        </w:trPr>
        <w:tc>
          <w:tcPr>
            <w:tcW w:w="3442" w:type="dxa"/>
            <w:vMerge/>
            <w:tcBorders>
              <w:left w:val="single" w:sz="4" w:space="0" w:color="000000"/>
              <w:right w:val="single" w:sz="4" w:space="0" w:color="000000"/>
            </w:tcBorders>
          </w:tcPr>
          <w:p w14:paraId="2FAEB8C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CF2781D" w14:textId="4E5E92B7" w:rsidR="002972D3" w:rsidRPr="00A247CB" w:rsidRDefault="002972D3" w:rsidP="002972D3">
            <w:pPr>
              <w:widowControl w:val="0"/>
              <w:tabs>
                <w:tab w:val="left" w:pos="1360"/>
                <w:tab w:val="left" w:pos="2240"/>
                <w:tab w:val="left" w:pos="3040"/>
              </w:tabs>
              <w:spacing w:after="0" w:line="242" w:lineRule="exact"/>
              <w:ind w:left="105" w:right="-20"/>
              <w:rPr>
                <w:rFonts w:eastAsia="Calibri" w:cs="Calibri"/>
              </w:rPr>
            </w:pPr>
            <w:r>
              <w:rPr>
                <w:rFonts w:eastAsia="Calibri" w:cs="Calibri"/>
                <w:lang w:val="en-GB"/>
              </w:rPr>
              <w:t>Limitation of the natural persons’ payment obligation</w:t>
            </w:r>
          </w:p>
          <w:p w14:paraId="5CF6CC9F" w14:textId="77777777" w:rsidR="002972D3" w:rsidRPr="00A247CB" w:rsidRDefault="002972D3" w:rsidP="002972D3">
            <w:pPr>
              <w:widowControl w:val="0"/>
              <w:spacing w:after="0" w:line="242" w:lineRule="exact"/>
              <w:ind w:left="105" w:right="-20"/>
              <w:rPr>
                <w:rFonts w:eastAsia="Calibri" w:cs="Calibri"/>
              </w:rPr>
            </w:pPr>
          </w:p>
        </w:tc>
        <w:tc>
          <w:tcPr>
            <w:tcW w:w="1276" w:type="dxa"/>
            <w:tcBorders>
              <w:top w:val="single" w:sz="4" w:space="0" w:color="000000"/>
              <w:left w:val="single" w:sz="4" w:space="0" w:color="000000"/>
              <w:bottom w:val="single" w:sz="4" w:space="0" w:color="000000"/>
              <w:right w:val="single" w:sz="4" w:space="0" w:color="000000"/>
            </w:tcBorders>
          </w:tcPr>
          <w:p w14:paraId="0314D2AC" w14:textId="07E65024" w:rsidR="002972D3" w:rsidRPr="00A247CB" w:rsidRDefault="002972D3" w:rsidP="002972D3">
            <w:pPr>
              <w:widowControl w:val="0"/>
              <w:spacing w:after="0" w:line="242" w:lineRule="exact"/>
              <w:ind w:left="148" w:right="-20"/>
              <w:rPr>
                <w:rFonts w:eastAsia="Calibri" w:cs="Calibri"/>
              </w:rPr>
            </w:pPr>
            <w:r>
              <w:rPr>
                <w:rFonts w:eastAsia="Calibri" w:cs="Calibri"/>
                <w:lang w:val="en-GB"/>
              </w:rPr>
              <w:t>Section 2(3)</w:t>
            </w:r>
          </w:p>
        </w:tc>
      </w:tr>
      <w:tr w:rsidR="002972D3" w:rsidRPr="0010391B" w14:paraId="131A4CB1"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252B959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4157B26"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Compliance conditions</w:t>
            </w:r>
          </w:p>
        </w:tc>
        <w:tc>
          <w:tcPr>
            <w:tcW w:w="1276" w:type="dxa"/>
            <w:tcBorders>
              <w:top w:val="single" w:sz="4" w:space="0" w:color="000000"/>
              <w:left w:val="single" w:sz="4" w:space="0" w:color="000000"/>
              <w:bottom w:val="single" w:sz="4" w:space="0" w:color="000000"/>
              <w:right w:val="single" w:sz="4" w:space="0" w:color="000000"/>
            </w:tcBorders>
          </w:tcPr>
          <w:p w14:paraId="17221F5F" w14:textId="3521CAA1"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 Section 3/AB</w:t>
            </w:r>
          </w:p>
        </w:tc>
      </w:tr>
      <w:tr w:rsidR="002972D3" w:rsidRPr="0010391B" w14:paraId="30089A4A" w14:textId="77777777" w:rsidTr="00B02B13">
        <w:trPr>
          <w:gridAfter w:val="2"/>
          <w:wAfter w:w="164" w:type="dxa"/>
          <w:trHeight w:val="20"/>
        </w:trPr>
        <w:tc>
          <w:tcPr>
            <w:tcW w:w="3442" w:type="dxa"/>
            <w:vMerge w:val="restart"/>
            <w:tcBorders>
              <w:top w:val="single" w:sz="4" w:space="0" w:color="000000"/>
              <w:left w:val="single" w:sz="4" w:space="0" w:color="000000"/>
              <w:right w:val="single" w:sz="4" w:space="0" w:color="000000"/>
            </w:tcBorders>
          </w:tcPr>
          <w:p w14:paraId="72FCD938" w14:textId="77777777" w:rsidR="002972D3" w:rsidRPr="0010391B" w:rsidRDefault="002972D3" w:rsidP="002972D3">
            <w:pPr>
              <w:widowControl w:val="0"/>
              <w:spacing w:after="0" w:line="242" w:lineRule="exact"/>
              <w:ind w:left="103" w:right="-20"/>
              <w:rPr>
                <w:rFonts w:eastAsia="Calibri" w:cs="Calibri"/>
              </w:rPr>
            </w:pPr>
            <w:r>
              <w:rPr>
                <w:rFonts w:eastAsia="Calibri" w:cs="Calibri"/>
                <w:lang w:val="en-GB"/>
              </w:rPr>
              <w:t xml:space="preserve">Act LXXXV of 2009 on the Pursuit of the </w:t>
            </w:r>
            <w:r>
              <w:rPr>
                <w:rFonts w:eastAsia="Calibri" w:cs="Calibri"/>
                <w:lang w:val="en-GB"/>
              </w:rPr>
              <w:lastRenderedPageBreak/>
              <w:t>Business of Payment Services</w:t>
            </w:r>
          </w:p>
        </w:tc>
        <w:tc>
          <w:tcPr>
            <w:tcW w:w="4536" w:type="dxa"/>
            <w:gridSpan w:val="2"/>
            <w:tcBorders>
              <w:top w:val="single" w:sz="4" w:space="0" w:color="000000"/>
              <w:left w:val="single" w:sz="4" w:space="0" w:color="000000"/>
              <w:bottom w:val="single" w:sz="4" w:space="0" w:color="000000"/>
              <w:right w:val="single" w:sz="4" w:space="0" w:color="000000"/>
            </w:tcBorders>
          </w:tcPr>
          <w:p w14:paraId="69263F03" w14:textId="77777777" w:rsidR="002972D3" w:rsidRPr="0010391B" w:rsidRDefault="002972D3" w:rsidP="002972D3">
            <w:pPr>
              <w:widowControl w:val="0"/>
              <w:spacing w:after="0" w:line="242" w:lineRule="exact"/>
              <w:ind w:left="105" w:right="-20"/>
              <w:rPr>
                <w:rFonts w:eastAsia="Calibri" w:cs="Calibri"/>
              </w:rPr>
            </w:pPr>
            <w:r>
              <w:rPr>
                <w:rFonts w:eastAsia="Calibri" w:cs="Calibri"/>
                <w:lang w:val="en-GB"/>
              </w:rPr>
              <w:lastRenderedPageBreak/>
              <w:t xml:space="preserve">Common rules applicable to the provision of </w:t>
            </w:r>
            <w:r>
              <w:rPr>
                <w:rFonts w:eastAsia="Calibri" w:cs="Calibri"/>
                <w:lang w:val="en-GB"/>
              </w:rPr>
              <w:lastRenderedPageBreak/>
              <w:t>information to customers,</w:t>
            </w:r>
          </w:p>
          <w:p w14:paraId="7B4C5816" w14:textId="77777777" w:rsidR="002972D3" w:rsidRPr="0010391B" w:rsidRDefault="002972D3" w:rsidP="002972D3">
            <w:pPr>
              <w:widowControl w:val="0"/>
              <w:spacing w:after="0" w:line="240" w:lineRule="auto"/>
              <w:ind w:left="105" w:right="-20"/>
              <w:rPr>
                <w:rFonts w:eastAsia="Calibri" w:cs="Calibri"/>
              </w:rPr>
            </w:pPr>
            <w:r>
              <w:rPr>
                <w:rFonts w:eastAsia="Calibri" w:cs="Calibri"/>
                <w:lang w:val="en-GB"/>
              </w:rPr>
              <w:t>contract conclusion and contract amendment</w:t>
            </w:r>
          </w:p>
        </w:tc>
        <w:tc>
          <w:tcPr>
            <w:tcW w:w="1276" w:type="dxa"/>
            <w:tcBorders>
              <w:top w:val="single" w:sz="4" w:space="0" w:color="000000"/>
              <w:left w:val="single" w:sz="4" w:space="0" w:color="000000"/>
              <w:bottom w:val="single" w:sz="4" w:space="0" w:color="000000"/>
              <w:right w:val="single" w:sz="4" w:space="0" w:color="000000"/>
            </w:tcBorders>
          </w:tcPr>
          <w:p w14:paraId="3ADC49D1" w14:textId="73304849" w:rsidR="002972D3" w:rsidRPr="0010391B" w:rsidRDefault="002972D3" w:rsidP="002972D3">
            <w:pPr>
              <w:widowControl w:val="0"/>
              <w:spacing w:after="0" w:line="242" w:lineRule="exact"/>
              <w:ind w:left="102" w:right="-20"/>
              <w:rPr>
                <w:rFonts w:eastAsia="Calibri" w:cs="Calibri"/>
              </w:rPr>
            </w:pPr>
            <w:r>
              <w:rPr>
                <w:rFonts w:eastAsia="Calibri" w:cs="Calibri"/>
                <w:lang w:val="en-GB"/>
              </w:rPr>
              <w:lastRenderedPageBreak/>
              <w:t>Sections 3–</w:t>
            </w:r>
            <w:r>
              <w:rPr>
                <w:rFonts w:eastAsia="Calibri" w:cs="Calibri"/>
                <w:lang w:val="en-GB"/>
              </w:rPr>
              <w:lastRenderedPageBreak/>
              <w:t>7/A</w:t>
            </w:r>
          </w:p>
        </w:tc>
      </w:tr>
      <w:tr w:rsidR="002972D3" w:rsidRPr="0010391B" w14:paraId="6C8F1803" w14:textId="77777777" w:rsidTr="00B02B13">
        <w:trPr>
          <w:gridAfter w:val="2"/>
          <w:wAfter w:w="164" w:type="dxa"/>
          <w:trHeight w:val="20"/>
        </w:trPr>
        <w:tc>
          <w:tcPr>
            <w:tcW w:w="3442" w:type="dxa"/>
            <w:vMerge/>
            <w:tcBorders>
              <w:left w:val="single" w:sz="4" w:space="0" w:color="000000"/>
              <w:right w:val="single" w:sz="4" w:space="0" w:color="000000"/>
            </w:tcBorders>
          </w:tcPr>
          <w:p w14:paraId="5513C7A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2DFF390" w14:textId="7941467E" w:rsidR="002972D3" w:rsidRPr="00A247CB" w:rsidRDefault="00273481" w:rsidP="002972D3">
            <w:pPr>
              <w:widowControl w:val="0"/>
              <w:spacing w:after="0" w:line="240" w:lineRule="auto"/>
              <w:ind w:left="105" w:right="-20"/>
              <w:rPr>
                <w:rFonts w:eastAsia="Calibri" w:cs="Calibri"/>
              </w:rPr>
            </w:pPr>
            <w:r>
              <w:rPr>
                <w:rFonts w:eastAsia="Calibri" w:cs="Calibri"/>
                <w:lang w:val="en-GB"/>
              </w:rPr>
              <w:t>Provision of information prior to concluding the framework contract</w:t>
            </w:r>
          </w:p>
        </w:tc>
        <w:tc>
          <w:tcPr>
            <w:tcW w:w="1276" w:type="dxa"/>
            <w:tcBorders>
              <w:top w:val="single" w:sz="4" w:space="0" w:color="000000"/>
              <w:left w:val="single" w:sz="4" w:space="0" w:color="000000"/>
              <w:bottom w:val="single" w:sz="4" w:space="0" w:color="000000"/>
              <w:right w:val="single" w:sz="4" w:space="0" w:color="000000"/>
            </w:tcBorders>
          </w:tcPr>
          <w:p w14:paraId="148FD29A"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8–12/A</w:t>
            </w:r>
          </w:p>
        </w:tc>
      </w:tr>
      <w:tr w:rsidR="002972D3" w:rsidRPr="0010391B" w14:paraId="787AD81F" w14:textId="77777777" w:rsidTr="00B02B13">
        <w:trPr>
          <w:gridAfter w:val="2"/>
          <w:wAfter w:w="164" w:type="dxa"/>
          <w:trHeight w:val="20"/>
        </w:trPr>
        <w:tc>
          <w:tcPr>
            <w:tcW w:w="3442" w:type="dxa"/>
            <w:vMerge/>
            <w:tcBorders>
              <w:left w:val="single" w:sz="4" w:space="0" w:color="000000"/>
              <w:right w:val="single" w:sz="4" w:space="0" w:color="000000"/>
            </w:tcBorders>
          </w:tcPr>
          <w:p w14:paraId="4899228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5CE5D33" w14:textId="3C42DECA" w:rsidR="002972D3" w:rsidRPr="00A247CB" w:rsidRDefault="00FF6929" w:rsidP="002972D3">
            <w:pPr>
              <w:widowControl w:val="0"/>
              <w:spacing w:after="0" w:line="242" w:lineRule="exact"/>
              <w:ind w:left="105" w:right="-20"/>
              <w:rPr>
                <w:rFonts w:eastAsia="Calibri" w:cs="Calibri"/>
              </w:rPr>
            </w:pPr>
            <w:r>
              <w:rPr>
                <w:rFonts w:eastAsia="Calibri" w:cs="Calibri"/>
                <w:lang w:val="en-GB"/>
              </w:rPr>
              <w:t>Requirements pertaining to the form and content of framework contracts</w:t>
            </w:r>
          </w:p>
        </w:tc>
        <w:tc>
          <w:tcPr>
            <w:tcW w:w="1276" w:type="dxa"/>
            <w:tcBorders>
              <w:top w:val="single" w:sz="4" w:space="0" w:color="000000"/>
              <w:left w:val="single" w:sz="4" w:space="0" w:color="000000"/>
              <w:bottom w:val="single" w:sz="4" w:space="0" w:color="000000"/>
              <w:right w:val="single" w:sz="4" w:space="0" w:color="000000"/>
            </w:tcBorders>
          </w:tcPr>
          <w:p w14:paraId="48DA444B"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13–14/A</w:t>
            </w:r>
          </w:p>
        </w:tc>
      </w:tr>
      <w:tr w:rsidR="002972D3" w:rsidRPr="0010391B" w14:paraId="635C5803" w14:textId="77777777" w:rsidTr="00B02B13">
        <w:trPr>
          <w:gridAfter w:val="2"/>
          <w:wAfter w:w="164" w:type="dxa"/>
          <w:trHeight w:val="20"/>
        </w:trPr>
        <w:tc>
          <w:tcPr>
            <w:tcW w:w="3442" w:type="dxa"/>
            <w:vMerge/>
            <w:tcBorders>
              <w:left w:val="single" w:sz="4" w:space="0" w:color="000000"/>
              <w:right w:val="single" w:sz="4" w:space="0" w:color="000000"/>
            </w:tcBorders>
          </w:tcPr>
          <w:p w14:paraId="1BC2062A"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D73381F" w14:textId="6C69B08A" w:rsidR="002972D3" w:rsidRPr="00A247CB" w:rsidRDefault="00FF6929" w:rsidP="002972D3">
            <w:pPr>
              <w:widowControl w:val="0"/>
              <w:spacing w:after="0" w:line="242" w:lineRule="exact"/>
              <w:ind w:left="105" w:right="-20"/>
              <w:rPr>
                <w:rFonts w:eastAsia="Calibri" w:cs="Calibri"/>
              </w:rPr>
            </w:pPr>
            <w:r>
              <w:rPr>
                <w:rFonts w:eastAsia="Calibri" w:cs="Calibri"/>
                <w:lang w:val="en-GB"/>
              </w:rPr>
              <w:t>Amendment and termination of a framework contract</w:t>
            </w:r>
          </w:p>
        </w:tc>
        <w:tc>
          <w:tcPr>
            <w:tcW w:w="1276" w:type="dxa"/>
            <w:tcBorders>
              <w:top w:val="single" w:sz="4" w:space="0" w:color="000000"/>
              <w:left w:val="single" w:sz="4" w:space="0" w:color="000000"/>
              <w:bottom w:val="single" w:sz="4" w:space="0" w:color="000000"/>
              <w:right w:val="single" w:sz="4" w:space="0" w:color="000000"/>
            </w:tcBorders>
          </w:tcPr>
          <w:p w14:paraId="483CE650"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15–17</w:t>
            </w:r>
          </w:p>
        </w:tc>
      </w:tr>
      <w:tr w:rsidR="002972D3" w:rsidRPr="0010391B" w14:paraId="2FAAECD2" w14:textId="77777777" w:rsidTr="00B02B13">
        <w:trPr>
          <w:gridAfter w:val="2"/>
          <w:wAfter w:w="164" w:type="dxa"/>
          <w:trHeight w:val="20"/>
        </w:trPr>
        <w:tc>
          <w:tcPr>
            <w:tcW w:w="3442" w:type="dxa"/>
            <w:vMerge/>
            <w:tcBorders>
              <w:left w:val="single" w:sz="4" w:space="0" w:color="000000"/>
              <w:right w:val="single" w:sz="4" w:space="0" w:color="000000"/>
            </w:tcBorders>
          </w:tcPr>
          <w:p w14:paraId="68A959D5"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3E82C0D"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Opening of payment account, disposal above the payment account</w:t>
            </w:r>
          </w:p>
        </w:tc>
        <w:tc>
          <w:tcPr>
            <w:tcW w:w="1276" w:type="dxa"/>
            <w:tcBorders>
              <w:top w:val="single" w:sz="4" w:space="0" w:color="000000"/>
              <w:left w:val="single" w:sz="4" w:space="0" w:color="000000"/>
              <w:bottom w:val="single" w:sz="4" w:space="0" w:color="000000"/>
              <w:right w:val="single" w:sz="4" w:space="0" w:color="000000"/>
            </w:tcBorders>
          </w:tcPr>
          <w:p w14:paraId="3CEEC93D" w14:textId="7FF65E8D"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18–21/A</w:t>
            </w:r>
          </w:p>
        </w:tc>
      </w:tr>
      <w:tr w:rsidR="002972D3" w:rsidRPr="0010391B" w14:paraId="0F2DBC7A" w14:textId="77777777" w:rsidTr="00B02B13">
        <w:trPr>
          <w:gridAfter w:val="2"/>
          <w:wAfter w:w="164" w:type="dxa"/>
          <w:trHeight w:val="20"/>
        </w:trPr>
        <w:tc>
          <w:tcPr>
            <w:tcW w:w="3442" w:type="dxa"/>
            <w:vMerge/>
            <w:tcBorders>
              <w:left w:val="single" w:sz="4" w:space="0" w:color="000000"/>
              <w:right w:val="single" w:sz="4" w:space="0" w:color="000000"/>
            </w:tcBorders>
          </w:tcPr>
          <w:p w14:paraId="4B4C0EF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FE6783D"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Provision of prior information</w:t>
            </w:r>
          </w:p>
        </w:tc>
        <w:tc>
          <w:tcPr>
            <w:tcW w:w="1276" w:type="dxa"/>
            <w:tcBorders>
              <w:top w:val="single" w:sz="4" w:space="0" w:color="000000"/>
              <w:left w:val="single" w:sz="4" w:space="0" w:color="000000"/>
              <w:bottom w:val="single" w:sz="4" w:space="0" w:color="000000"/>
              <w:right w:val="single" w:sz="4" w:space="0" w:color="000000"/>
            </w:tcBorders>
          </w:tcPr>
          <w:p w14:paraId="079F8E96" w14:textId="35FEA13F"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22</w:t>
            </w:r>
            <w:r w:rsidR="00264DA0">
              <w:rPr>
                <w:rFonts w:eastAsia="Calibri" w:cs="Calibri"/>
                <w:lang w:val="en-GB"/>
              </w:rPr>
              <w:t>,</w:t>
            </w:r>
            <w:r>
              <w:rPr>
                <w:rFonts w:eastAsia="Calibri" w:cs="Calibri"/>
                <w:lang w:val="en-GB"/>
              </w:rPr>
              <w:t xml:space="preserve"> </w:t>
            </w:r>
            <w:r w:rsidR="00264DA0">
              <w:rPr>
                <w:rFonts w:eastAsia="Calibri" w:cs="Calibri"/>
                <w:lang w:val="en-GB"/>
              </w:rPr>
              <w:t xml:space="preserve">Sections </w:t>
            </w:r>
            <w:r>
              <w:rPr>
                <w:rFonts w:eastAsia="Calibri" w:cs="Calibri"/>
                <w:lang w:val="en-GB"/>
              </w:rPr>
              <w:t>29–31/B</w:t>
            </w:r>
          </w:p>
        </w:tc>
      </w:tr>
      <w:tr w:rsidR="002972D3" w:rsidRPr="0010391B" w14:paraId="69425EF4" w14:textId="77777777" w:rsidTr="00B02B13">
        <w:trPr>
          <w:gridAfter w:val="2"/>
          <w:wAfter w:w="164" w:type="dxa"/>
          <w:trHeight w:val="20"/>
        </w:trPr>
        <w:tc>
          <w:tcPr>
            <w:tcW w:w="3442" w:type="dxa"/>
            <w:vMerge/>
            <w:tcBorders>
              <w:left w:val="single" w:sz="4" w:space="0" w:color="000000"/>
              <w:right w:val="single" w:sz="4" w:space="0" w:color="000000"/>
            </w:tcBorders>
          </w:tcPr>
          <w:p w14:paraId="68A45FB2"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4F82588"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Provision of subsequent information</w:t>
            </w:r>
          </w:p>
        </w:tc>
        <w:tc>
          <w:tcPr>
            <w:tcW w:w="1276" w:type="dxa"/>
            <w:tcBorders>
              <w:top w:val="single" w:sz="4" w:space="0" w:color="000000"/>
              <w:left w:val="single" w:sz="4" w:space="0" w:color="000000"/>
              <w:bottom w:val="single" w:sz="4" w:space="0" w:color="000000"/>
              <w:right w:val="single" w:sz="4" w:space="0" w:color="000000"/>
            </w:tcBorders>
          </w:tcPr>
          <w:p w14:paraId="3EC47B2B" w14:textId="047CB05A" w:rsidR="002972D3" w:rsidRPr="009C168E" w:rsidRDefault="002972D3" w:rsidP="002972D3">
            <w:pPr>
              <w:widowControl w:val="0"/>
              <w:spacing w:after="0" w:line="242" w:lineRule="exact"/>
              <w:ind w:left="102" w:right="-20"/>
              <w:rPr>
                <w:rFonts w:eastAsia="Calibri" w:cs="Calibri"/>
              </w:rPr>
            </w:pPr>
            <w:r>
              <w:rPr>
                <w:rFonts w:eastAsia="Calibri" w:cs="Calibri"/>
                <w:lang w:val="en-GB"/>
              </w:rPr>
              <w:t>Sections 23–55, Section 32</w:t>
            </w:r>
          </w:p>
          <w:p w14:paraId="12B5F345" w14:textId="77777777" w:rsidR="002972D3" w:rsidRPr="009C168E" w:rsidRDefault="002972D3" w:rsidP="002972D3">
            <w:pPr>
              <w:widowControl w:val="0"/>
              <w:spacing w:after="0" w:line="242" w:lineRule="exact"/>
              <w:ind w:left="102" w:right="-20"/>
              <w:rPr>
                <w:rFonts w:eastAsia="Calibri" w:cs="Calibri"/>
              </w:rPr>
            </w:pPr>
            <w:r>
              <w:rPr>
                <w:rFonts w:eastAsia="Calibri" w:cs="Calibri"/>
                <w:lang w:val="en-GB"/>
              </w:rPr>
              <w:t xml:space="preserve"> </w:t>
            </w:r>
          </w:p>
        </w:tc>
      </w:tr>
      <w:tr w:rsidR="002972D3" w:rsidRPr="0010391B" w14:paraId="5F9E653A" w14:textId="77777777" w:rsidTr="00B02B13">
        <w:trPr>
          <w:gridAfter w:val="2"/>
          <w:wAfter w:w="164" w:type="dxa"/>
          <w:trHeight w:val="20"/>
        </w:trPr>
        <w:tc>
          <w:tcPr>
            <w:tcW w:w="3442" w:type="dxa"/>
            <w:vMerge/>
            <w:tcBorders>
              <w:left w:val="single" w:sz="4" w:space="0" w:color="000000"/>
              <w:bottom w:val="single" w:sz="4" w:space="0" w:color="000000"/>
              <w:right w:val="single" w:sz="4" w:space="0" w:color="000000"/>
            </w:tcBorders>
          </w:tcPr>
          <w:p w14:paraId="32419C05"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A0B3C71"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Providing information to the beneficiary</w:t>
            </w:r>
          </w:p>
        </w:tc>
        <w:tc>
          <w:tcPr>
            <w:tcW w:w="1276" w:type="dxa"/>
            <w:tcBorders>
              <w:top w:val="single" w:sz="4" w:space="0" w:color="000000"/>
              <w:left w:val="single" w:sz="4" w:space="0" w:color="000000"/>
              <w:bottom w:val="single" w:sz="4" w:space="0" w:color="000000"/>
              <w:right w:val="single" w:sz="4" w:space="0" w:color="000000"/>
            </w:tcBorders>
          </w:tcPr>
          <w:p w14:paraId="3C1A7F9C" w14:textId="241A124A" w:rsidR="002972D3" w:rsidRPr="009C168E" w:rsidRDefault="002972D3" w:rsidP="002972D3">
            <w:pPr>
              <w:widowControl w:val="0"/>
              <w:spacing w:after="0" w:line="240" w:lineRule="auto"/>
              <w:ind w:left="102" w:right="-20"/>
              <w:rPr>
                <w:rFonts w:eastAsia="Calibri" w:cs="Calibri"/>
              </w:rPr>
            </w:pPr>
            <w:r>
              <w:rPr>
                <w:rFonts w:eastAsia="Calibri" w:cs="Calibri"/>
                <w:lang w:val="en-GB"/>
              </w:rPr>
              <w:t>Sections 26–27 and 33</w:t>
            </w:r>
          </w:p>
        </w:tc>
      </w:tr>
      <w:bookmarkEnd w:id="0"/>
      <w:tr w:rsidR="002972D3" w:rsidRPr="0010391B" w14:paraId="2B04BF76" w14:textId="77777777" w:rsidTr="00B02B13">
        <w:trPr>
          <w:trHeight w:val="20"/>
        </w:trPr>
        <w:tc>
          <w:tcPr>
            <w:tcW w:w="3442" w:type="dxa"/>
            <w:vMerge w:val="restart"/>
            <w:tcBorders>
              <w:top w:val="single" w:sz="4" w:space="0" w:color="auto"/>
              <w:left w:val="single" w:sz="4" w:space="0" w:color="000000"/>
              <w:right w:val="single" w:sz="4" w:space="0" w:color="000000"/>
            </w:tcBorders>
          </w:tcPr>
          <w:p w14:paraId="5D24AD03"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auto"/>
              <w:left w:val="single" w:sz="4" w:space="0" w:color="000000"/>
              <w:bottom w:val="single" w:sz="4" w:space="0" w:color="000000"/>
              <w:right w:val="single" w:sz="4" w:space="0" w:color="000000"/>
            </w:tcBorders>
          </w:tcPr>
          <w:p w14:paraId="630E3164"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Common rules pertaining to the execution of payment services</w:t>
            </w:r>
          </w:p>
        </w:tc>
        <w:tc>
          <w:tcPr>
            <w:tcW w:w="1440" w:type="dxa"/>
            <w:gridSpan w:val="3"/>
            <w:tcBorders>
              <w:top w:val="single" w:sz="4" w:space="0" w:color="auto"/>
              <w:left w:val="single" w:sz="4" w:space="0" w:color="000000"/>
              <w:bottom w:val="single" w:sz="4" w:space="0" w:color="000000"/>
              <w:right w:val="single" w:sz="4" w:space="0" w:color="000000"/>
            </w:tcBorders>
          </w:tcPr>
          <w:p w14:paraId="68985403" w14:textId="78A17937" w:rsidR="002972D3" w:rsidRPr="00A247CB" w:rsidRDefault="002972D3" w:rsidP="0048116C">
            <w:pPr>
              <w:widowControl w:val="0"/>
              <w:tabs>
                <w:tab w:val="left" w:pos="580"/>
                <w:tab w:val="left" w:pos="900"/>
              </w:tabs>
              <w:spacing w:after="0" w:line="243" w:lineRule="exact"/>
              <w:ind w:left="102" w:right="-20"/>
              <w:rPr>
                <w:rFonts w:eastAsia="Calibri" w:cs="Calibri"/>
              </w:rPr>
            </w:pPr>
            <w:r>
              <w:rPr>
                <w:rFonts w:eastAsia="Calibri" w:cs="Calibri"/>
                <w:lang w:val="en-GB"/>
              </w:rPr>
              <w:t>Sections 34–36/E</w:t>
            </w:r>
          </w:p>
          <w:p w14:paraId="36DBD846" w14:textId="6633E500" w:rsidR="002972D3" w:rsidRPr="00A247CB" w:rsidRDefault="002972D3" w:rsidP="002972D3">
            <w:pPr>
              <w:widowControl w:val="0"/>
              <w:spacing w:after="0" w:line="240" w:lineRule="auto"/>
              <w:ind w:left="102" w:right="-20"/>
              <w:rPr>
                <w:rFonts w:eastAsia="Calibri" w:cs="Calibri"/>
              </w:rPr>
            </w:pPr>
          </w:p>
        </w:tc>
      </w:tr>
      <w:tr w:rsidR="002972D3" w:rsidRPr="0010391B" w14:paraId="3B3A85EA" w14:textId="77777777" w:rsidTr="00B02B13">
        <w:trPr>
          <w:trHeight w:val="20"/>
        </w:trPr>
        <w:tc>
          <w:tcPr>
            <w:tcW w:w="3442" w:type="dxa"/>
            <w:vMerge/>
            <w:tcBorders>
              <w:left w:val="single" w:sz="4" w:space="0" w:color="000000"/>
              <w:right w:val="single" w:sz="4" w:space="0" w:color="000000"/>
            </w:tcBorders>
          </w:tcPr>
          <w:p w14:paraId="7031D70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312F41F"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Approval of payment transactions</w:t>
            </w:r>
          </w:p>
        </w:tc>
        <w:tc>
          <w:tcPr>
            <w:tcW w:w="1440" w:type="dxa"/>
            <w:gridSpan w:val="3"/>
            <w:tcBorders>
              <w:top w:val="single" w:sz="4" w:space="0" w:color="000000"/>
              <w:left w:val="single" w:sz="4" w:space="0" w:color="000000"/>
              <w:bottom w:val="single" w:sz="4" w:space="0" w:color="000000"/>
              <w:right w:val="single" w:sz="4" w:space="0" w:color="000000"/>
            </w:tcBorders>
          </w:tcPr>
          <w:p w14:paraId="492C1550" w14:textId="038A025B"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37–41</w:t>
            </w:r>
          </w:p>
        </w:tc>
      </w:tr>
      <w:tr w:rsidR="002972D3" w:rsidRPr="0010391B" w14:paraId="712B754A" w14:textId="77777777" w:rsidTr="00B02B13">
        <w:trPr>
          <w:trHeight w:val="20"/>
        </w:trPr>
        <w:tc>
          <w:tcPr>
            <w:tcW w:w="3442" w:type="dxa"/>
            <w:vMerge/>
            <w:tcBorders>
              <w:left w:val="single" w:sz="4" w:space="0" w:color="000000"/>
              <w:right w:val="single" w:sz="4" w:space="0" w:color="000000"/>
            </w:tcBorders>
          </w:tcPr>
          <w:p w14:paraId="4F303268"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70A95CD"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Correction of payment transactions, liability and loss bearing rules</w:t>
            </w:r>
          </w:p>
        </w:tc>
        <w:tc>
          <w:tcPr>
            <w:tcW w:w="1440" w:type="dxa"/>
            <w:gridSpan w:val="3"/>
            <w:tcBorders>
              <w:top w:val="single" w:sz="4" w:space="0" w:color="000000"/>
              <w:left w:val="single" w:sz="4" w:space="0" w:color="000000"/>
              <w:bottom w:val="single" w:sz="4" w:space="0" w:color="000000"/>
              <w:right w:val="single" w:sz="4" w:space="0" w:color="000000"/>
            </w:tcBorders>
          </w:tcPr>
          <w:p w14:paraId="3C21A108" w14:textId="77777777" w:rsidR="002972D3" w:rsidRPr="00A247CB" w:rsidRDefault="002972D3" w:rsidP="002972D3">
            <w:pPr>
              <w:widowControl w:val="0"/>
              <w:spacing w:after="0" w:line="242" w:lineRule="exact"/>
              <w:ind w:left="148" w:right="-20"/>
              <w:rPr>
                <w:rFonts w:eastAsia="Calibri" w:cs="Calibri"/>
              </w:rPr>
            </w:pPr>
            <w:r>
              <w:rPr>
                <w:rFonts w:eastAsia="Calibri" w:cs="Calibri"/>
                <w:lang w:val="en-GB"/>
              </w:rPr>
              <w:t>Sections 42–55</w:t>
            </w:r>
          </w:p>
        </w:tc>
      </w:tr>
      <w:tr w:rsidR="002972D3" w:rsidRPr="0010391B" w14:paraId="656C5AC9" w14:textId="77777777" w:rsidTr="00B02B13">
        <w:trPr>
          <w:trHeight w:val="20"/>
        </w:trPr>
        <w:tc>
          <w:tcPr>
            <w:tcW w:w="3442" w:type="dxa"/>
            <w:vMerge/>
            <w:tcBorders>
              <w:left w:val="single" w:sz="4" w:space="0" w:color="000000"/>
              <w:right w:val="single" w:sz="4" w:space="0" w:color="000000"/>
            </w:tcBorders>
          </w:tcPr>
          <w:p w14:paraId="2B3F795E"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D1FCAC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Supervision of branch offices and cross-border services</w:t>
            </w:r>
          </w:p>
        </w:tc>
        <w:tc>
          <w:tcPr>
            <w:tcW w:w="1440" w:type="dxa"/>
            <w:gridSpan w:val="3"/>
            <w:tcBorders>
              <w:top w:val="single" w:sz="4" w:space="0" w:color="000000"/>
              <w:left w:val="single" w:sz="4" w:space="0" w:color="000000"/>
              <w:bottom w:val="single" w:sz="4" w:space="0" w:color="000000"/>
              <w:right w:val="single" w:sz="4" w:space="0" w:color="000000"/>
            </w:tcBorders>
          </w:tcPr>
          <w:p w14:paraId="07B27CDA" w14:textId="6E7F171D"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56–57</w:t>
            </w:r>
          </w:p>
        </w:tc>
      </w:tr>
      <w:tr w:rsidR="002972D3" w:rsidRPr="0010391B" w14:paraId="5B103EE4" w14:textId="77777777" w:rsidTr="00B02B13">
        <w:trPr>
          <w:trHeight w:val="20"/>
        </w:trPr>
        <w:tc>
          <w:tcPr>
            <w:tcW w:w="3442" w:type="dxa"/>
            <w:tcBorders>
              <w:left w:val="single" w:sz="4" w:space="0" w:color="000000"/>
              <w:right w:val="single" w:sz="4" w:space="0" w:color="000000"/>
            </w:tcBorders>
          </w:tcPr>
          <w:p w14:paraId="08E3B59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2B9991A"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Payment secret</w:t>
            </w:r>
          </w:p>
        </w:tc>
        <w:tc>
          <w:tcPr>
            <w:tcW w:w="1440" w:type="dxa"/>
            <w:gridSpan w:val="3"/>
            <w:tcBorders>
              <w:top w:val="single" w:sz="4" w:space="0" w:color="000000"/>
              <w:left w:val="single" w:sz="4" w:space="0" w:color="000000"/>
              <w:bottom w:val="single" w:sz="4" w:space="0" w:color="000000"/>
              <w:right w:val="single" w:sz="4" w:space="0" w:color="000000"/>
            </w:tcBorders>
          </w:tcPr>
          <w:p w14:paraId="453345F9"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 59</w:t>
            </w:r>
          </w:p>
        </w:tc>
      </w:tr>
      <w:tr w:rsidR="002972D3" w:rsidRPr="0010391B" w14:paraId="6E18AD74" w14:textId="77777777" w:rsidTr="00B02B13">
        <w:trPr>
          <w:trHeight w:val="20"/>
        </w:trPr>
        <w:tc>
          <w:tcPr>
            <w:tcW w:w="3442" w:type="dxa"/>
            <w:tcBorders>
              <w:left w:val="single" w:sz="4" w:space="0" w:color="000000"/>
              <w:bottom w:val="single" w:sz="4" w:space="0" w:color="000000"/>
              <w:right w:val="single" w:sz="4" w:space="0" w:color="000000"/>
            </w:tcBorders>
          </w:tcPr>
          <w:p w14:paraId="19499E1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842124C"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Customer protection and legal remedy</w:t>
            </w:r>
          </w:p>
        </w:tc>
        <w:tc>
          <w:tcPr>
            <w:tcW w:w="1440" w:type="dxa"/>
            <w:gridSpan w:val="3"/>
            <w:tcBorders>
              <w:top w:val="single" w:sz="4" w:space="0" w:color="000000"/>
              <w:left w:val="single" w:sz="4" w:space="0" w:color="000000"/>
              <w:bottom w:val="single" w:sz="4" w:space="0" w:color="000000"/>
              <w:right w:val="single" w:sz="4" w:space="0" w:color="000000"/>
            </w:tcBorders>
          </w:tcPr>
          <w:p w14:paraId="59C4CDD1"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62/J</w:t>
            </w:r>
          </w:p>
        </w:tc>
      </w:tr>
      <w:tr w:rsidR="002972D3" w:rsidRPr="0010391B" w14:paraId="24AC194D" w14:textId="77777777" w:rsidTr="00B02B13">
        <w:trPr>
          <w:trHeight w:val="20"/>
        </w:trPr>
        <w:tc>
          <w:tcPr>
            <w:tcW w:w="3442" w:type="dxa"/>
            <w:vMerge w:val="restart"/>
            <w:tcBorders>
              <w:top w:val="single" w:sz="4" w:space="0" w:color="000000"/>
              <w:left w:val="single" w:sz="4" w:space="0" w:color="000000"/>
              <w:right w:val="single" w:sz="4" w:space="0" w:color="000000"/>
            </w:tcBorders>
          </w:tcPr>
          <w:p w14:paraId="43C335E0" w14:textId="77777777" w:rsidR="002972D3" w:rsidRPr="00A247CB" w:rsidRDefault="002972D3" w:rsidP="002972D3">
            <w:pPr>
              <w:widowControl w:val="0"/>
              <w:spacing w:after="0" w:line="242" w:lineRule="exact"/>
              <w:ind w:left="103" w:right="-20"/>
              <w:rPr>
                <w:rFonts w:eastAsia="Calibri" w:cs="Calibri"/>
              </w:rPr>
            </w:pPr>
            <w:r>
              <w:rPr>
                <w:rFonts w:eastAsia="Calibri" w:cs="Calibri"/>
                <w:lang w:val="en-GB"/>
              </w:rPr>
              <w:t>Act CLXII of 2009 on Consumer Credits</w:t>
            </w:r>
          </w:p>
        </w:tc>
        <w:tc>
          <w:tcPr>
            <w:tcW w:w="4536" w:type="dxa"/>
            <w:gridSpan w:val="2"/>
            <w:tcBorders>
              <w:top w:val="single" w:sz="4" w:space="0" w:color="000000"/>
              <w:left w:val="single" w:sz="4" w:space="0" w:color="000000"/>
              <w:bottom w:val="single" w:sz="4" w:space="0" w:color="000000"/>
              <w:right w:val="single" w:sz="4" w:space="0" w:color="000000"/>
            </w:tcBorders>
          </w:tcPr>
          <w:p w14:paraId="32F69A3B"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Scope of the Act</w:t>
            </w:r>
          </w:p>
        </w:tc>
        <w:tc>
          <w:tcPr>
            <w:tcW w:w="1440" w:type="dxa"/>
            <w:gridSpan w:val="3"/>
            <w:tcBorders>
              <w:top w:val="single" w:sz="4" w:space="0" w:color="000000"/>
              <w:left w:val="single" w:sz="4" w:space="0" w:color="000000"/>
              <w:bottom w:val="single" w:sz="4" w:space="0" w:color="000000"/>
              <w:right w:val="single" w:sz="4" w:space="0" w:color="000000"/>
            </w:tcBorders>
          </w:tcPr>
          <w:p w14:paraId="3987AAB1"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1–2</w:t>
            </w:r>
          </w:p>
        </w:tc>
      </w:tr>
      <w:tr w:rsidR="002972D3" w:rsidRPr="0010391B" w14:paraId="7AF8446A" w14:textId="77777777" w:rsidTr="00B02B13">
        <w:trPr>
          <w:trHeight w:val="20"/>
        </w:trPr>
        <w:tc>
          <w:tcPr>
            <w:tcW w:w="3442" w:type="dxa"/>
            <w:vMerge/>
            <w:tcBorders>
              <w:left w:val="single" w:sz="4" w:space="0" w:color="000000"/>
              <w:right w:val="single" w:sz="4" w:space="0" w:color="000000"/>
            </w:tcBorders>
          </w:tcPr>
          <w:p w14:paraId="79536002"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E97200B"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Commercial communication related to the loan</w:t>
            </w:r>
          </w:p>
        </w:tc>
        <w:tc>
          <w:tcPr>
            <w:tcW w:w="1440" w:type="dxa"/>
            <w:gridSpan w:val="3"/>
            <w:tcBorders>
              <w:top w:val="single" w:sz="4" w:space="0" w:color="000000"/>
              <w:left w:val="single" w:sz="4" w:space="0" w:color="000000"/>
              <w:bottom w:val="single" w:sz="4" w:space="0" w:color="000000"/>
              <w:right w:val="single" w:sz="4" w:space="0" w:color="000000"/>
            </w:tcBorders>
          </w:tcPr>
          <w:p w14:paraId="56B50E73" w14:textId="7344E5B0"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4</w:t>
            </w:r>
          </w:p>
        </w:tc>
      </w:tr>
      <w:tr w:rsidR="002972D3" w:rsidRPr="0010391B" w14:paraId="71795DB7" w14:textId="77777777" w:rsidTr="00B02B13">
        <w:trPr>
          <w:trHeight w:val="20"/>
        </w:trPr>
        <w:tc>
          <w:tcPr>
            <w:tcW w:w="3442" w:type="dxa"/>
            <w:vMerge/>
            <w:tcBorders>
              <w:left w:val="single" w:sz="4" w:space="0" w:color="000000"/>
              <w:right w:val="single" w:sz="4" w:space="0" w:color="000000"/>
            </w:tcBorders>
          </w:tcPr>
          <w:p w14:paraId="2165934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0CF5BD0"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Provision of prior information before concluding the loan contract</w:t>
            </w:r>
          </w:p>
        </w:tc>
        <w:tc>
          <w:tcPr>
            <w:tcW w:w="1440" w:type="dxa"/>
            <w:gridSpan w:val="3"/>
            <w:tcBorders>
              <w:top w:val="single" w:sz="4" w:space="0" w:color="000000"/>
              <w:left w:val="single" w:sz="4" w:space="0" w:color="000000"/>
              <w:bottom w:val="single" w:sz="4" w:space="0" w:color="000000"/>
              <w:right w:val="single" w:sz="4" w:space="0" w:color="000000"/>
            </w:tcBorders>
          </w:tcPr>
          <w:p w14:paraId="3E0218AC"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5–13</w:t>
            </w:r>
          </w:p>
        </w:tc>
      </w:tr>
      <w:tr w:rsidR="002972D3" w:rsidRPr="0010391B" w14:paraId="4C9835CF" w14:textId="77777777" w:rsidTr="00B02B13">
        <w:trPr>
          <w:trHeight w:val="20"/>
        </w:trPr>
        <w:tc>
          <w:tcPr>
            <w:tcW w:w="3442" w:type="dxa"/>
            <w:vMerge/>
            <w:tcBorders>
              <w:left w:val="single" w:sz="4" w:space="0" w:color="000000"/>
              <w:right w:val="single" w:sz="4" w:space="0" w:color="000000"/>
            </w:tcBorders>
          </w:tcPr>
          <w:p w14:paraId="580D3083"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D0AF553" w14:textId="77777777" w:rsidR="002972D3" w:rsidRPr="00A247CB" w:rsidRDefault="002972D3" w:rsidP="002972D3">
            <w:pPr>
              <w:widowControl w:val="0"/>
              <w:spacing w:before="1" w:after="0" w:line="240" w:lineRule="auto"/>
              <w:ind w:left="105" w:right="-20"/>
              <w:rPr>
                <w:rFonts w:eastAsia="Calibri" w:cs="Calibri"/>
              </w:rPr>
            </w:pPr>
            <w:r>
              <w:rPr>
                <w:rFonts w:eastAsia="Calibri" w:cs="Calibri"/>
                <w:lang w:val="en-GB"/>
              </w:rPr>
              <w:t>Assessment of creditworthiness</w:t>
            </w:r>
          </w:p>
        </w:tc>
        <w:tc>
          <w:tcPr>
            <w:tcW w:w="1440" w:type="dxa"/>
            <w:gridSpan w:val="3"/>
            <w:tcBorders>
              <w:top w:val="single" w:sz="4" w:space="0" w:color="000000"/>
              <w:left w:val="single" w:sz="4" w:space="0" w:color="000000"/>
              <w:bottom w:val="single" w:sz="4" w:space="0" w:color="000000"/>
              <w:right w:val="single" w:sz="4" w:space="0" w:color="000000"/>
            </w:tcBorders>
          </w:tcPr>
          <w:p w14:paraId="78721B8F" w14:textId="6C0EEFC9" w:rsidR="002972D3" w:rsidRPr="00A247CB" w:rsidRDefault="002972D3" w:rsidP="002972D3">
            <w:pPr>
              <w:widowControl w:val="0"/>
              <w:spacing w:before="1" w:after="0" w:line="240" w:lineRule="auto"/>
              <w:ind w:left="102" w:right="-20"/>
              <w:rPr>
                <w:rFonts w:eastAsia="Calibri" w:cs="Calibri"/>
              </w:rPr>
            </w:pPr>
            <w:r>
              <w:rPr>
                <w:rFonts w:eastAsia="Calibri" w:cs="Calibri"/>
                <w:lang w:val="en-GB"/>
              </w:rPr>
              <w:t>Section 14</w:t>
            </w:r>
          </w:p>
        </w:tc>
      </w:tr>
      <w:tr w:rsidR="00680E67" w:rsidRPr="0010391B" w14:paraId="224F17F7" w14:textId="77777777" w:rsidTr="00B02B13">
        <w:trPr>
          <w:trHeight w:val="20"/>
        </w:trPr>
        <w:tc>
          <w:tcPr>
            <w:tcW w:w="3442" w:type="dxa"/>
            <w:vMerge/>
            <w:tcBorders>
              <w:left w:val="single" w:sz="4" w:space="0" w:color="000000"/>
              <w:right w:val="single" w:sz="4" w:space="0" w:color="000000"/>
            </w:tcBorders>
          </w:tcPr>
          <w:p w14:paraId="10AEFC17" w14:textId="77777777" w:rsidR="00680E67" w:rsidRPr="00A247CB" w:rsidRDefault="00680E67"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409BE45" w14:textId="57C65FE1" w:rsidR="00680E67" w:rsidRPr="00A247CB" w:rsidRDefault="00680E67" w:rsidP="002972D3">
            <w:pPr>
              <w:widowControl w:val="0"/>
              <w:spacing w:before="1" w:after="0" w:line="240" w:lineRule="auto"/>
              <w:ind w:left="105" w:right="-20"/>
              <w:rPr>
                <w:rFonts w:eastAsia="Calibri" w:cs="Calibri"/>
              </w:rPr>
            </w:pPr>
            <w:r>
              <w:rPr>
                <w:rFonts w:eastAsia="Calibri" w:cs="Calibri"/>
                <w:lang w:val="en-GB"/>
              </w:rPr>
              <w:t>Tying and bundling</w:t>
            </w:r>
          </w:p>
        </w:tc>
        <w:tc>
          <w:tcPr>
            <w:tcW w:w="1440" w:type="dxa"/>
            <w:gridSpan w:val="3"/>
            <w:tcBorders>
              <w:top w:val="single" w:sz="4" w:space="0" w:color="000000"/>
              <w:left w:val="single" w:sz="4" w:space="0" w:color="000000"/>
              <w:bottom w:val="single" w:sz="4" w:space="0" w:color="000000"/>
              <w:right w:val="single" w:sz="4" w:space="0" w:color="000000"/>
            </w:tcBorders>
          </w:tcPr>
          <w:p w14:paraId="24D53496" w14:textId="11D38E64" w:rsidR="00680E67" w:rsidRPr="00A247CB" w:rsidRDefault="00680E67" w:rsidP="002972D3">
            <w:pPr>
              <w:widowControl w:val="0"/>
              <w:spacing w:before="1" w:after="0" w:line="240" w:lineRule="auto"/>
              <w:ind w:left="102" w:right="-20"/>
              <w:rPr>
                <w:rFonts w:eastAsia="Calibri" w:cs="Calibri"/>
              </w:rPr>
            </w:pPr>
            <w:r>
              <w:rPr>
                <w:rFonts w:eastAsia="Calibri" w:cs="Calibri"/>
                <w:lang w:val="en-GB"/>
              </w:rPr>
              <w:t>Section 14/A</w:t>
            </w:r>
          </w:p>
        </w:tc>
      </w:tr>
      <w:tr w:rsidR="00680E67" w:rsidRPr="0010391B" w14:paraId="683FE002" w14:textId="77777777" w:rsidTr="00B02B13">
        <w:trPr>
          <w:trHeight w:val="20"/>
        </w:trPr>
        <w:tc>
          <w:tcPr>
            <w:tcW w:w="3442" w:type="dxa"/>
            <w:vMerge/>
            <w:tcBorders>
              <w:left w:val="single" w:sz="4" w:space="0" w:color="000000"/>
              <w:right w:val="single" w:sz="4" w:space="0" w:color="000000"/>
            </w:tcBorders>
          </w:tcPr>
          <w:p w14:paraId="1A6AF959" w14:textId="77777777" w:rsidR="00680E67" w:rsidRPr="00A247CB" w:rsidRDefault="00680E67"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4EC9D3B" w14:textId="46C5EAC1" w:rsidR="00680E67" w:rsidRPr="00A247CB" w:rsidRDefault="00680E67" w:rsidP="002972D3">
            <w:pPr>
              <w:widowControl w:val="0"/>
              <w:spacing w:before="1" w:after="0" w:line="240" w:lineRule="auto"/>
              <w:ind w:left="105" w:right="-20"/>
              <w:rPr>
                <w:rFonts w:eastAsia="Calibri" w:cs="Calibri"/>
              </w:rPr>
            </w:pPr>
            <w:r>
              <w:rPr>
                <w:rFonts w:eastAsia="Calibri" w:cs="Calibri"/>
                <w:lang w:val="en-GB"/>
              </w:rPr>
              <w:t>Valuation of properties serving as collateral for mortgage loans</w:t>
            </w:r>
          </w:p>
        </w:tc>
        <w:tc>
          <w:tcPr>
            <w:tcW w:w="1440" w:type="dxa"/>
            <w:gridSpan w:val="3"/>
            <w:tcBorders>
              <w:top w:val="single" w:sz="4" w:space="0" w:color="000000"/>
              <w:left w:val="single" w:sz="4" w:space="0" w:color="000000"/>
              <w:bottom w:val="single" w:sz="4" w:space="0" w:color="000000"/>
              <w:right w:val="single" w:sz="4" w:space="0" w:color="000000"/>
            </w:tcBorders>
          </w:tcPr>
          <w:p w14:paraId="5458A85D" w14:textId="0B9E9516" w:rsidR="00680E67" w:rsidRPr="00A247CB" w:rsidRDefault="00680E67" w:rsidP="002972D3">
            <w:pPr>
              <w:widowControl w:val="0"/>
              <w:spacing w:before="1" w:after="0" w:line="240" w:lineRule="auto"/>
              <w:ind w:left="102" w:right="-20"/>
              <w:rPr>
                <w:rFonts w:eastAsia="Calibri" w:cs="Calibri"/>
              </w:rPr>
            </w:pPr>
            <w:r>
              <w:rPr>
                <w:rFonts w:eastAsia="Calibri" w:cs="Calibri"/>
                <w:lang w:val="en-GB"/>
              </w:rPr>
              <w:t>Section 14/B</w:t>
            </w:r>
          </w:p>
        </w:tc>
      </w:tr>
      <w:tr w:rsidR="002972D3" w:rsidRPr="0010391B" w14:paraId="4352CA94" w14:textId="77777777" w:rsidTr="00B02B13">
        <w:trPr>
          <w:trHeight w:val="20"/>
        </w:trPr>
        <w:tc>
          <w:tcPr>
            <w:tcW w:w="3442" w:type="dxa"/>
            <w:vMerge/>
            <w:tcBorders>
              <w:left w:val="single" w:sz="4" w:space="0" w:color="000000"/>
              <w:right w:val="single" w:sz="4" w:space="0" w:color="000000"/>
            </w:tcBorders>
          </w:tcPr>
          <w:p w14:paraId="06551F98"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AA9B216"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Requirements pertaining to the form and content of the loan contract</w:t>
            </w:r>
          </w:p>
        </w:tc>
        <w:tc>
          <w:tcPr>
            <w:tcW w:w="1440" w:type="dxa"/>
            <w:gridSpan w:val="3"/>
            <w:tcBorders>
              <w:top w:val="single" w:sz="4" w:space="0" w:color="000000"/>
              <w:left w:val="single" w:sz="4" w:space="0" w:color="000000"/>
              <w:bottom w:val="single" w:sz="4" w:space="0" w:color="000000"/>
              <w:right w:val="single" w:sz="4" w:space="0" w:color="000000"/>
            </w:tcBorders>
          </w:tcPr>
          <w:p w14:paraId="2B219B62"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15–17</w:t>
            </w:r>
          </w:p>
        </w:tc>
      </w:tr>
      <w:tr w:rsidR="002972D3" w:rsidRPr="0010391B" w14:paraId="0070D6B1" w14:textId="77777777" w:rsidTr="00B02B13">
        <w:trPr>
          <w:trHeight w:val="20"/>
        </w:trPr>
        <w:tc>
          <w:tcPr>
            <w:tcW w:w="3442" w:type="dxa"/>
            <w:vMerge/>
            <w:tcBorders>
              <w:left w:val="single" w:sz="4" w:space="0" w:color="000000"/>
              <w:right w:val="single" w:sz="4" w:space="0" w:color="000000"/>
            </w:tcBorders>
          </w:tcPr>
          <w:p w14:paraId="5A3270A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C1864D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Conditions of the loan contract and changes in the conditions</w:t>
            </w:r>
          </w:p>
        </w:tc>
        <w:tc>
          <w:tcPr>
            <w:tcW w:w="1440" w:type="dxa"/>
            <w:gridSpan w:val="3"/>
            <w:tcBorders>
              <w:top w:val="single" w:sz="4" w:space="0" w:color="000000"/>
              <w:left w:val="single" w:sz="4" w:space="0" w:color="000000"/>
              <w:bottom w:val="single" w:sz="4" w:space="0" w:color="000000"/>
              <w:right w:val="single" w:sz="4" w:space="0" w:color="000000"/>
            </w:tcBorders>
          </w:tcPr>
          <w:p w14:paraId="2EE0C84C" w14:textId="1EB9F9A4"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17/A–17/F</w:t>
            </w:r>
          </w:p>
        </w:tc>
      </w:tr>
      <w:tr w:rsidR="002972D3" w:rsidRPr="0010391B" w14:paraId="00A4390A" w14:textId="77777777" w:rsidTr="00B02B13">
        <w:trPr>
          <w:trHeight w:val="20"/>
        </w:trPr>
        <w:tc>
          <w:tcPr>
            <w:tcW w:w="3442" w:type="dxa"/>
            <w:vMerge/>
            <w:tcBorders>
              <w:left w:val="single" w:sz="4" w:space="0" w:color="000000"/>
              <w:right w:val="single" w:sz="4" w:space="0" w:color="000000"/>
            </w:tcBorders>
          </w:tcPr>
          <w:p w14:paraId="03E8F7EE"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B7C1EB6" w14:textId="77777777" w:rsidR="002972D3" w:rsidRPr="00A247CB" w:rsidRDefault="002972D3" w:rsidP="002972D3">
            <w:pPr>
              <w:widowControl w:val="0"/>
              <w:tabs>
                <w:tab w:val="left" w:pos="460"/>
                <w:tab w:val="left" w:pos="1080"/>
                <w:tab w:val="left" w:pos="2340"/>
                <w:tab w:val="left" w:pos="3700"/>
              </w:tabs>
              <w:spacing w:after="0" w:line="242" w:lineRule="exact"/>
              <w:ind w:left="105" w:right="-20"/>
              <w:rPr>
                <w:rFonts w:eastAsia="Calibri" w:cs="Calibri"/>
              </w:rPr>
            </w:pPr>
            <w:r>
              <w:rPr>
                <w:rFonts w:eastAsia="Calibri" w:cs="Calibri"/>
                <w:lang w:val="en-GB"/>
              </w:rPr>
              <w:t>Obligation to provide information on the amendment of the loan charges</w:t>
            </w:r>
          </w:p>
        </w:tc>
        <w:tc>
          <w:tcPr>
            <w:tcW w:w="1440" w:type="dxa"/>
            <w:gridSpan w:val="3"/>
            <w:tcBorders>
              <w:top w:val="single" w:sz="4" w:space="0" w:color="000000"/>
              <w:left w:val="single" w:sz="4" w:space="0" w:color="000000"/>
              <w:bottom w:val="single" w:sz="4" w:space="0" w:color="000000"/>
              <w:right w:val="single" w:sz="4" w:space="0" w:color="000000"/>
            </w:tcBorders>
          </w:tcPr>
          <w:p w14:paraId="03B2E267"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18</w:t>
            </w:r>
          </w:p>
        </w:tc>
      </w:tr>
      <w:tr w:rsidR="002972D3" w:rsidRPr="0010391B" w14:paraId="6E68114C" w14:textId="77777777" w:rsidTr="00B02B13">
        <w:trPr>
          <w:trHeight w:val="20"/>
        </w:trPr>
        <w:tc>
          <w:tcPr>
            <w:tcW w:w="3442" w:type="dxa"/>
            <w:vMerge/>
            <w:tcBorders>
              <w:left w:val="single" w:sz="4" w:space="0" w:color="000000"/>
              <w:right w:val="single" w:sz="4" w:space="0" w:color="000000"/>
            </w:tcBorders>
          </w:tcPr>
          <w:p w14:paraId="372CE58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06E204E"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Obligation to provide information related to loan connected to payment account</w:t>
            </w:r>
          </w:p>
        </w:tc>
        <w:tc>
          <w:tcPr>
            <w:tcW w:w="1440" w:type="dxa"/>
            <w:gridSpan w:val="3"/>
            <w:tcBorders>
              <w:top w:val="single" w:sz="4" w:space="0" w:color="000000"/>
              <w:left w:val="single" w:sz="4" w:space="0" w:color="000000"/>
              <w:bottom w:val="single" w:sz="4" w:space="0" w:color="000000"/>
              <w:right w:val="single" w:sz="4" w:space="0" w:color="000000"/>
            </w:tcBorders>
          </w:tcPr>
          <w:p w14:paraId="2BDA3D22"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19</w:t>
            </w:r>
          </w:p>
        </w:tc>
      </w:tr>
      <w:tr w:rsidR="002972D3" w:rsidRPr="0010391B" w14:paraId="2E80FFC7" w14:textId="77777777" w:rsidTr="00B02B13">
        <w:trPr>
          <w:trHeight w:val="20"/>
        </w:trPr>
        <w:tc>
          <w:tcPr>
            <w:tcW w:w="3442" w:type="dxa"/>
            <w:vMerge/>
            <w:tcBorders>
              <w:left w:val="single" w:sz="4" w:space="0" w:color="000000"/>
              <w:right w:val="single" w:sz="4" w:space="0" w:color="000000"/>
            </w:tcBorders>
          </w:tcPr>
          <w:p w14:paraId="296C898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3E579EE"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Open-ended loan contract</w:t>
            </w:r>
          </w:p>
        </w:tc>
        <w:tc>
          <w:tcPr>
            <w:tcW w:w="1440" w:type="dxa"/>
            <w:gridSpan w:val="3"/>
            <w:tcBorders>
              <w:top w:val="single" w:sz="4" w:space="0" w:color="000000"/>
              <w:left w:val="single" w:sz="4" w:space="0" w:color="000000"/>
              <w:bottom w:val="single" w:sz="4" w:space="0" w:color="000000"/>
              <w:right w:val="single" w:sz="4" w:space="0" w:color="000000"/>
            </w:tcBorders>
          </w:tcPr>
          <w:p w14:paraId="55837088"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20</w:t>
            </w:r>
          </w:p>
        </w:tc>
      </w:tr>
      <w:tr w:rsidR="002972D3" w:rsidRPr="0010391B" w14:paraId="7DC1393C" w14:textId="77777777" w:rsidTr="00B02B13">
        <w:trPr>
          <w:trHeight w:val="20"/>
        </w:trPr>
        <w:tc>
          <w:tcPr>
            <w:tcW w:w="3442" w:type="dxa"/>
            <w:vMerge/>
            <w:tcBorders>
              <w:left w:val="single" w:sz="4" w:space="0" w:color="000000"/>
              <w:right w:val="single" w:sz="4" w:space="0" w:color="000000"/>
            </w:tcBorders>
          </w:tcPr>
          <w:p w14:paraId="25E13E2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D191A61" w14:textId="77777777" w:rsidR="002972D3" w:rsidRPr="00A247CB" w:rsidRDefault="002972D3" w:rsidP="002972D3">
            <w:pPr>
              <w:widowControl w:val="0"/>
              <w:spacing w:before="2" w:after="0" w:line="238" w:lineRule="auto"/>
              <w:ind w:left="105" w:right="51"/>
              <w:rPr>
                <w:rFonts w:eastAsia="Calibri" w:cs="Calibri"/>
              </w:rPr>
            </w:pPr>
            <w:r>
              <w:rPr>
                <w:rFonts w:eastAsia="Calibri" w:cs="Calibri"/>
                <w:lang w:val="en-GB"/>
              </w:rPr>
              <w:t>Other provisions related to the termination of the loan contract</w:t>
            </w:r>
          </w:p>
        </w:tc>
        <w:tc>
          <w:tcPr>
            <w:tcW w:w="1440" w:type="dxa"/>
            <w:gridSpan w:val="3"/>
            <w:tcBorders>
              <w:top w:val="single" w:sz="4" w:space="0" w:color="000000"/>
              <w:left w:val="single" w:sz="4" w:space="0" w:color="000000"/>
              <w:bottom w:val="single" w:sz="4" w:space="0" w:color="000000"/>
              <w:right w:val="single" w:sz="4" w:space="0" w:color="000000"/>
            </w:tcBorders>
          </w:tcPr>
          <w:p w14:paraId="5715E363" w14:textId="597DE0AA"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20/A–20/C</w:t>
            </w:r>
          </w:p>
        </w:tc>
      </w:tr>
      <w:tr w:rsidR="002972D3" w:rsidRPr="0010391B" w14:paraId="70F3B385" w14:textId="77777777" w:rsidTr="00B02B13">
        <w:trPr>
          <w:trHeight w:val="20"/>
        </w:trPr>
        <w:tc>
          <w:tcPr>
            <w:tcW w:w="3442" w:type="dxa"/>
            <w:vMerge/>
            <w:tcBorders>
              <w:left w:val="single" w:sz="4" w:space="0" w:color="000000"/>
              <w:right w:val="single" w:sz="4" w:space="0" w:color="000000"/>
            </w:tcBorders>
          </w:tcPr>
          <w:p w14:paraId="78BD9EB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D7DDBB9"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Right of withdrawal</w:t>
            </w:r>
          </w:p>
        </w:tc>
        <w:tc>
          <w:tcPr>
            <w:tcW w:w="1440" w:type="dxa"/>
            <w:gridSpan w:val="3"/>
            <w:tcBorders>
              <w:top w:val="single" w:sz="4" w:space="0" w:color="000000"/>
              <w:left w:val="single" w:sz="4" w:space="0" w:color="000000"/>
              <w:bottom w:val="single" w:sz="4" w:space="0" w:color="000000"/>
              <w:right w:val="single" w:sz="4" w:space="0" w:color="000000"/>
            </w:tcBorders>
          </w:tcPr>
          <w:p w14:paraId="0062FF95" w14:textId="4255E166"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21</w:t>
            </w:r>
          </w:p>
        </w:tc>
      </w:tr>
      <w:tr w:rsidR="002972D3" w:rsidRPr="0010391B" w14:paraId="41A0E60D" w14:textId="77777777" w:rsidTr="00B02B13">
        <w:trPr>
          <w:trHeight w:val="20"/>
        </w:trPr>
        <w:tc>
          <w:tcPr>
            <w:tcW w:w="3442" w:type="dxa"/>
            <w:vMerge/>
            <w:tcBorders>
              <w:left w:val="single" w:sz="4" w:space="0" w:color="000000"/>
              <w:right w:val="single" w:sz="4" w:space="0" w:color="000000"/>
            </w:tcBorders>
          </w:tcPr>
          <w:p w14:paraId="503ADE97"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D7A3705"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Provisions related to loans denominated in foreign currency</w:t>
            </w:r>
          </w:p>
        </w:tc>
        <w:tc>
          <w:tcPr>
            <w:tcW w:w="1440" w:type="dxa"/>
            <w:gridSpan w:val="3"/>
            <w:tcBorders>
              <w:top w:val="single" w:sz="4" w:space="0" w:color="000000"/>
              <w:left w:val="single" w:sz="4" w:space="0" w:color="000000"/>
              <w:bottom w:val="single" w:sz="4" w:space="0" w:color="000000"/>
              <w:right w:val="single" w:sz="4" w:space="0" w:color="000000"/>
            </w:tcBorders>
          </w:tcPr>
          <w:p w14:paraId="549DB7CC" w14:textId="65B435A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21/A–21/E</w:t>
            </w:r>
          </w:p>
        </w:tc>
      </w:tr>
      <w:tr w:rsidR="007E4389" w:rsidRPr="0010391B" w14:paraId="2D36963F" w14:textId="77777777" w:rsidTr="00B02B13">
        <w:trPr>
          <w:trHeight w:val="20"/>
        </w:trPr>
        <w:tc>
          <w:tcPr>
            <w:tcW w:w="3442" w:type="dxa"/>
            <w:vMerge/>
            <w:tcBorders>
              <w:left w:val="single" w:sz="4" w:space="0" w:color="000000"/>
              <w:right w:val="single" w:sz="4" w:space="0" w:color="000000"/>
            </w:tcBorders>
          </w:tcPr>
          <w:p w14:paraId="72D09E65" w14:textId="77777777" w:rsidR="007E4389" w:rsidRPr="00A247CB" w:rsidRDefault="007E4389"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85976B0" w14:textId="26E58DD5" w:rsidR="007E4389" w:rsidRPr="00A247CB" w:rsidRDefault="007E4389" w:rsidP="002972D3">
            <w:pPr>
              <w:widowControl w:val="0"/>
              <w:spacing w:after="0" w:line="240" w:lineRule="auto"/>
              <w:ind w:left="105" w:right="-20"/>
              <w:rPr>
                <w:rFonts w:eastAsia="Calibri" w:cs="Calibri"/>
              </w:rPr>
            </w:pPr>
            <w:r>
              <w:rPr>
                <w:rFonts w:eastAsia="Calibri" w:cs="Calibri"/>
                <w:lang w:val="en-GB"/>
              </w:rPr>
              <w:t>Conversion of outstanding foreign currency debt</w:t>
            </w:r>
          </w:p>
        </w:tc>
        <w:tc>
          <w:tcPr>
            <w:tcW w:w="1440" w:type="dxa"/>
            <w:gridSpan w:val="3"/>
            <w:tcBorders>
              <w:top w:val="single" w:sz="4" w:space="0" w:color="000000"/>
              <w:left w:val="single" w:sz="4" w:space="0" w:color="000000"/>
              <w:bottom w:val="single" w:sz="4" w:space="0" w:color="000000"/>
              <w:right w:val="single" w:sz="4" w:space="0" w:color="000000"/>
            </w:tcBorders>
          </w:tcPr>
          <w:p w14:paraId="2B2B0A4B" w14:textId="13C0FBB6" w:rsidR="007E4389" w:rsidRPr="00A247CB" w:rsidRDefault="007E4389" w:rsidP="002972D3">
            <w:pPr>
              <w:widowControl w:val="0"/>
              <w:spacing w:after="0" w:line="240" w:lineRule="auto"/>
              <w:ind w:left="102" w:right="-20"/>
              <w:rPr>
                <w:rFonts w:eastAsia="Calibri" w:cs="Calibri"/>
              </w:rPr>
            </w:pPr>
            <w:r>
              <w:rPr>
                <w:rFonts w:eastAsia="Calibri" w:cs="Calibri"/>
                <w:lang w:val="en-GB"/>
              </w:rPr>
              <w:t>Sections 21/C–21/E</w:t>
            </w:r>
          </w:p>
        </w:tc>
      </w:tr>
      <w:tr w:rsidR="002972D3" w:rsidRPr="0010391B" w14:paraId="41F287A8" w14:textId="77777777" w:rsidTr="00B02B13">
        <w:trPr>
          <w:trHeight w:val="20"/>
        </w:trPr>
        <w:tc>
          <w:tcPr>
            <w:tcW w:w="3442" w:type="dxa"/>
            <w:vMerge/>
            <w:tcBorders>
              <w:left w:val="single" w:sz="4" w:space="0" w:color="000000"/>
              <w:right w:val="single" w:sz="4" w:space="0" w:color="000000"/>
            </w:tcBorders>
          </w:tcPr>
          <w:p w14:paraId="54A64B8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AAB51FB"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Combined loan contract</w:t>
            </w:r>
          </w:p>
        </w:tc>
        <w:tc>
          <w:tcPr>
            <w:tcW w:w="1440" w:type="dxa"/>
            <w:gridSpan w:val="3"/>
            <w:tcBorders>
              <w:top w:val="single" w:sz="4" w:space="0" w:color="000000"/>
              <w:left w:val="single" w:sz="4" w:space="0" w:color="000000"/>
              <w:bottom w:val="single" w:sz="4" w:space="0" w:color="000000"/>
              <w:right w:val="single" w:sz="4" w:space="0" w:color="000000"/>
            </w:tcBorders>
          </w:tcPr>
          <w:p w14:paraId="6974D3E9" w14:textId="1AC0A5E4"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22</w:t>
            </w:r>
          </w:p>
        </w:tc>
      </w:tr>
      <w:tr w:rsidR="002972D3" w:rsidRPr="0010391B" w14:paraId="0A3945AE" w14:textId="77777777" w:rsidTr="00B02B13">
        <w:trPr>
          <w:trHeight w:val="20"/>
        </w:trPr>
        <w:tc>
          <w:tcPr>
            <w:tcW w:w="3442" w:type="dxa"/>
            <w:vMerge/>
            <w:tcBorders>
              <w:left w:val="single" w:sz="4" w:space="0" w:color="000000"/>
              <w:right w:val="single" w:sz="4" w:space="0" w:color="000000"/>
            </w:tcBorders>
          </w:tcPr>
          <w:p w14:paraId="104B1518"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B750420"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Early repayment</w:t>
            </w:r>
          </w:p>
        </w:tc>
        <w:tc>
          <w:tcPr>
            <w:tcW w:w="1440" w:type="dxa"/>
            <w:gridSpan w:val="3"/>
            <w:tcBorders>
              <w:top w:val="single" w:sz="4" w:space="0" w:color="000000"/>
              <w:left w:val="single" w:sz="4" w:space="0" w:color="000000"/>
              <w:bottom w:val="single" w:sz="4" w:space="0" w:color="000000"/>
              <w:right w:val="single" w:sz="4" w:space="0" w:color="000000"/>
            </w:tcBorders>
          </w:tcPr>
          <w:p w14:paraId="432C0143" w14:textId="77777777" w:rsidR="002972D3" w:rsidRPr="00A247CB" w:rsidRDefault="002972D3" w:rsidP="002972D3">
            <w:pPr>
              <w:widowControl w:val="0"/>
              <w:spacing w:after="0" w:line="243" w:lineRule="exact"/>
              <w:ind w:left="102" w:right="-20"/>
              <w:rPr>
                <w:rFonts w:eastAsia="Calibri" w:cs="Calibri"/>
              </w:rPr>
            </w:pPr>
            <w:r>
              <w:rPr>
                <w:rFonts w:eastAsia="Calibri" w:cs="Calibri"/>
                <w:lang w:val="en-GB"/>
              </w:rPr>
              <w:t>Sections 23–25</w:t>
            </w:r>
          </w:p>
        </w:tc>
      </w:tr>
      <w:tr w:rsidR="002972D3" w:rsidRPr="0010391B" w14:paraId="1CBE8166" w14:textId="77777777" w:rsidTr="00B02B13">
        <w:trPr>
          <w:trHeight w:val="20"/>
        </w:trPr>
        <w:tc>
          <w:tcPr>
            <w:tcW w:w="3442" w:type="dxa"/>
            <w:vMerge/>
            <w:tcBorders>
              <w:left w:val="single" w:sz="4" w:space="0" w:color="000000"/>
              <w:right w:val="single" w:sz="4" w:space="0" w:color="000000"/>
            </w:tcBorders>
          </w:tcPr>
          <w:p w14:paraId="5232CB9F"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1BA816F"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Breaching the credit limit</w:t>
            </w:r>
          </w:p>
        </w:tc>
        <w:tc>
          <w:tcPr>
            <w:tcW w:w="1440" w:type="dxa"/>
            <w:gridSpan w:val="3"/>
            <w:tcBorders>
              <w:top w:val="single" w:sz="4" w:space="0" w:color="000000"/>
              <w:left w:val="single" w:sz="4" w:space="0" w:color="000000"/>
              <w:bottom w:val="single" w:sz="4" w:space="0" w:color="000000"/>
              <w:right w:val="single" w:sz="4" w:space="0" w:color="000000"/>
            </w:tcBorders>
          </w:tcPr>
          <w:p w14:paraId="6B043DAA" w14:textId="114E3EEA"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26</w:t>
            </w:r>
          </w:p>
        </w:tc>
      </w:tr>
      <w:tr w:rsidR="002972D3" w:rsidRPr="0010391B" w14:paraId="10539C7A" w14:textId="77777777" w:rsidTr="00B02B13">
        <w:trPr>
          <w:trHeight w:val="20"/>
        </w:trPr>
        <w:tc>
          <w:tcPr>
            <w:tcW w:w="3442" w:type="dxa"/>
            <w:vMerge/>
            <w:tcBorders>
              <w:left w:val="single" w:sz="4" w:space="0" w:color="000000"/>
              <w:right w:val="single" w:sz="4" w:space="0" w:color="000000"/>
            </w:tcBorders>
          </w:tcPr>
          <w:p w14:paraId="5376D9FB"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195474E"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Procedure upon breaching the provisions applicable to consumer credits</w:t>
            </w:r>
          </w:p>
        </w:tc>
        <w:tc>
          <w:tcPr>
            <w:tcW w:w="1440" w:type="dxa"/>
            <w:gridSpan w:val="3"/>
            <w:tcBorders>
              <w:top w:val="single" w:sz="4" w:space="0" w:color="000000"/>
              <w:left w:val="single" w:sz="4" w:space="0" w:color="000000"/>
              <w:bottom w:val="single" w:sz="4" w:space="0" w:color="000000"/>
              <w:right w:val="single" w:sz="4" w:space="0" w:color="000000"/>
            </w:tcBorders>
          </w:tcPr>
          <w:p w14:paraId="26DD3C00" w14:textId="50E4EAF4"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27</w:t>
            </w:r>
          </w:p>
        </w:tc>
      </w:tr>
      <w:tr w:rsidR="002972D3" w:rsidRPr="0010391B" w14:paraId="2E2F0B2D" w14:textId="77777777" w:rsidTr="00B02B13">
        <w:trPr>
          <w:trHeight w:val="20"/>
        </w:trPr>
        <w:tc>
          <w:tcPr>
            <w:tcW w:w="3442" w:type="dxa"/>
            <w:vMerge/>
            <w:tcBorders>
              <w:left w:val="single" w:sz="4" w:space="0" w:color="000000"/>
              <w:bottom w:val="single" w:sz="4" w:space="0" w:color="000000"/>
              <w:right w:val="single" w:sz="4" w:space="0" w:color="000000"/>
            </w:tcBorders>
          </w:tcPr>
          <w:p w14:paraId="72A6AAF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EF8C959"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Miscellaneous provisions</w:t>
            </w:r>
          </w:p>
        </w:tc>
        <w:tc>
          <w:tcPr>
            <w:tcW w:w="1440" w:type="dxa"/>
            <w:gridSpan w:val="3"/>
            <w:tcBorders>
              <w:top w:val="single" w:sz="4" w:space="0" w:color="000000"/>
              <w:left w:val="single" w:sz="4" w:space="0" w:color="000000"/>
              <w:bottom w:val="single" w:sz="4" w:space="0" w:color="000000"/>
              <w:right w:val="single" w:sz="4" w:space="0" w:color="000000"/>
            </w:tcBorders>
          </w:tcPr>
          <w:p w14:paraId="29514775" w14:textId="60EF91E2"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28–29/A</w:t>
            </w:r>
          </w:p>
        </w:tc>
      </w:tr>
      <w:tr w:rsidR="002972D3" w:rsidRPr="0010391B" w14:paraId="18971B48" w14:textId="77777777" w:rsidTr="00B02B13">
        <w:trPr>
          <w:trHeight w:val="20"/>
        </w:trPr>
        <w:tc>
          <w:tcPr>
            <w:tcW w:w="3442" w:type="dxa"/>
            <w:vMerge w:val="restart"/>
            <w:tcBorders>
              <w:top w:val="single" w:sz="4" w:space="0" w:color="000000"/>
              <w:left w:val="single" w:sz="4" w:space="0" w:color="000000"/>
              <w:right w:val="single" w:sz="4" w:space="0" w:color="000000"/>
            </w:tcBorders>
          </w:tcPr>
          <w:p w14:paraId="5DCC959D" w14:textId="77777777" w:rsidR="002972D3" w:rsidRPr="00A247CB" w:rsidRDefault="002972D3" w:rsidP="002972D3">
            <w:pPr>
              <w:widowControl w:val="0"/>
              <w:spacing w:after="0" w:line="242" w:lineRule="exact"/>
              <w:ind w:left="103" w:right="-20"/>
              <w:rPr>
                <w:rFonts w:eastAsia="Calibri" w:cs="Calibri"/>
              </w:rPr>
            </w:pPr>
            <w:r>
              <w:rPr>
                <w:rFonts w:eastAsia="Calibri" w:cs="Calibri"/>
                <w:lang w:val="en-GB"/>
              </w:rPr>
              <w:t>Act CXXXIX of 2013 on Magyar Nemzeti Bank</w:t>
            </w:r>
          </w:p>
        </w:tc>
        <w:tc>
          <w:tcPr>
            <w:tcW w:w="4536" w:type="dxa"/>
            <w:gridSpan w:val="2"/>
            <w:tcBorders>
              <w:top w:val="single" w:sz="4" w:space="0" w:color="000000"/>
              <w:left w:val="single" w:sz="4" w:space="0" w:color="000000"/>
              <w:bottom w:val="single" w:sz="4" w:space="0" w:color="000000"/>
              <w:right w:val="single" w:sz="4" w:space="0" w:color="000000"/>
            </w:tcBorders>
          </w:tcPr>
          <w:p w14:paraId="0C9480D4"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Supervisory duties</w:t>
            </w:r>
          </w:p>
        </w:tc>
        <w:tc>
          <w:tcPr>
            <w:tcW w:w="1440" w:type="dxa"/>
            <w:gridSpan w:val="3"/>
            <w:tcBorders>
              <w:top w:val="single" w:sz="4" w:space="0" w:color="000000"/>
              <w:left w:val="single" w:sz="4" w:space="0" w:color="000000"/>
              <w:bottom w:val="single" w:sz="4" w:space="0" w:color="000000"/>
              <w:right w:val="single" w:sz="4" w:space="0" w:color="000000"/>
            </w:tcBorders>
          </w:tcPr>
          <w:p w14:paraId="381F01DC" w14:textId="4D7B3F7A" w:rsidR="002972D3" w:rsidRPr="00A247CB" w:rsidRDefault="002972D3" w:rsidP="002972D3">
            <w:pPr>
              <w:widowControl w:val="0"/>
              <w:spacing w:after="0" w:line="242" w:lineRule="exact"/>
              <w:ind w:left="102" w:right="-20"/>
              <w:rPr>
                <w:rFonts w:eastAsia="Calibri" w:cs="Calibri"/>
              </w:rPr>
            </w:pPr>
            <w:r>
              <w:rPr>
                <w:rFonts w:eastAsia="Calibri" w:cs="Calibri"/>
                <w:lang w:val="en-GB"/>
              </w:rPr>
              <w:t>Articles 39</w:t>
            </w:r>
            <w:r w:rsidR="00652207">
              <w:rPr>
                <w:rFonts w:eastAsia="Calibri" w:cs="Calibri"/>
                <w:lang w:val="en-GB"/>
              </w:rPr>
              <w:noBreakHyphen/>
            </w:r>
            <w:r>
              <w:rPr>
                <w:rFonts w:eastAsia="Calibri" w:cs="Calibri"/>
                <w:lang w:val="en-GB"/>
              </w:rPr>
              <w:t>44</w:t>
            </w:r>
          </w:p>
        </w:tc>
      </w:tr>
      <w:tr w:rsidR="002972D3" w:rsidRPr="0010391B" w14:paraId="4E1A14E7" w14:textId="77777777" w:rsidTr="00B02B13">
        <w:trPr>
          <w:trHeight w:val="20"/>
        </w:trPr>
        <w:tc>
          <w:tcPr>
            <w:tcW w:w="3442" w:type="dxa"/>
            <w:vMerge/>
            <w:tcBorders>
              <w:left w:val="single" w:sz="4" w:space="0" w:color="000000"/>
              <w:right w:val="single" w:sz="4" w:space="0" w:color="000000"/>
            </w:tcBorders>
          </w:tcPr>
          <w:p w14:paraId="77FE6222"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507AF67" w14:textId="77777777" w:rsidR="002972D3" w:rsidRPr="00A247CB" w:rsidRDefault="002972D3" w:rsidP="002972D3">
            <w:pPr>
              <w:widowControl w:val="0"/>
              <w:spacing w:after="0" w:line="240" w:lineRule="auto"/>
              <w:ind w:left="150" w:right="-20"/>
              <w:rPr>
                <w:rFonts w:eastAsia="Calibri" w:cs="Calibri"/>
              </w:rPr>
            </w:pPr>
            <w:r>
              <w:rPr>
                <w:rFonts w:eastAsia="Calibri" w:cs="Calibri"/>
                <w:lang w:val="en-GB"/>
              </w:rPr>
              <w:t>Consumer protection procedure</w:t>
            </w:r>
          </w:p>
        </w:tc>
        <w:tc>
          <w:tcPr>
            <w:tcW w:w="1440" w:type="dxa"/>
            <w:gridSpan w:val="3"/>
            <w:tcBorders>
              <w:top w:val="single" w:sz="4" w:space="0" w:color="000000"/>
              <w:left w:val="single" w:sz="4" w:space="0" w:color="000000"/>
              <w:bottom w:val="single" w:sz="4" w:space="0" w:color="000000"/>
              <w:right w:val="single" w:sz="4" w:space="0" w:color="000000"/>
            </w:tcBorders>
          </w:tcPr>
          <w:p w14:paraId="42E108C4" w14:textId="0DDA906F" w:rsidR="002972D3" w:rsidRPr="00A247CB" w:rsidRDefault="002972D3" w:rsidP="002972D3">
            <w:pPr>
              <w:widowControl w:val="0"/>
              <w:spacing w:after="0" w:line="240" w:lineRule="auto"/>
              <w:ind w:left="102" w:right="-20"/>
              <w:rPr>
                <w:rFonts w:eastAsia="Calibri" w:cs="Calibri"/>
              </w:rPr>
            </w:pPr>
            <w:r>
              <w:rPr>
                <w:rFonts w:eastAsia="Calibri" w:cs="Calibri"/>
                <w:lang w:val="en-GB"/>
              </w:rPr>
              <w:t>Articles 81–89/A</w:t>
            </w:r>
          </w:p>
        </w:tc>
      </w:tr>
      <w:tr w:rsidR="002972D3" w:rsidRPr="0010391B" w14:paraId="640C6BE6" w14:textId="77777777" w:rsidTr="00B02B13">
        <w:trPr>
          <w:trHeight w:val="20"/>
        </w:trPr>
        <w:tc>
          <w:tcPr>
            <w:tcW w:w="3442" w:type="dxa"/>
            <w:vMerge/>
            <w:tcBorders>
              <w:left w:val="single" w:sz="4" w:space="0" w:color="000000"/>
              <w:bottom w:val="single" w:sz="4" w:space="0" w:color="000000"/>
              <w:right w:val="single" w:sz="4" w:space="0" w:color="000000"/>
            </w:tcBorders>
          </w:tcPr>
          <w:p w14:paraId="59A0C99E"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8639B3A"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The Financial Arbitration Board</w:t>
            </w:r>
          </w:p>
        </w:tc>
        <w:tc>
          <w:tcPr>
            <w:tcW w:w="1440" w:type="dxa"/>
            <w:gridSpan w:val="3"/>
            <w:tcBorders>
              <w:top w:val="single" w:sz="4" w:space="0" w:color="000000"/>
              <w:left w:val="single" w:sz="4" w:space="0" w:color="000000"/>
              <w:bottom w:val="single" w:sz="4" w:space="0" w:color="000000"/>
              <w:right w:val="single" w:sz="4" w:space="0" w:color="000000"/>
            </w:tcBorders>
          </w:tcPr>
          <w:p w14:paraId="7046B7F7" w14:textId="0C3F162C" w:rsidR="002972D3" w:rsidRPr="00A247CB" w:rsidRDefault="002972D3" w:rsidP="002972D3">
            <w:pPr>
              <w:widowControl w:val="0"/>
              <w:spacing w:after="0" w:line="242" w:lineRule="exact"/>
              <w:ind w:left="102" w:right="-20"/>
              <w:rPr>
                <w:rFonts w:eastAsia="Calibri" w:cs="Calibri"/>
              </w:rPr>
            </w:pPr>
            <w:r>
              <w:rPr>
                <w:rFonts w:eastAsia="Calibri" w:cs="Calibri"/>
                <w:lang w:val="en-GB"/>
              </w:rPr>
              <w:t>Articles 96</w:t>
            </w:r>
            <w:r w:rsidR="00652207">
              <w:rPr>
                <w:rFonts w:eastAsia="Calibri" w:cs="Calibri"/>
                <w:lang w:val="en-GB"/>
              </w:rPr>
              <w:noBreakHyphen/>
            </w:r>
            <w:r>
              <w:rPr>
                <w:rFonts w:eastAsia="Calibri" w:cs="Calibri"/>
                <w:lang w:val="en-GB"/>
              </w:rPr>
              <w:t>130/B</w:t>
            </w:r>
          </w:p>
        </w:tc>
      </w:tr>
      <w:tr w:rsidR="002972D3" w:rsidRPr="0010391B" w14:paraId="02B0B94D" w14:textId="77777777" w:rsidTr="00B02B13">
        <w:trPr>
          <w:trHeight w:val="20"/>
        </w:trPr>
        <w:tc>
          <w:tcPr>
            <w:tcW w:w="3442" w:type="dxa"/>
            <w:vMerge w:val="restart"/>
            <w:tcBorders>
              <w:top w:val="single" w:sz="4" w:space="0" w:color="000000"/>
              <w:left w:val="single" w:sz="4" w:space="0" w:color="000000"/>
              <w:right w:val="single" w:sz="4" w:space="0" w:color="000000"/>
            </w:tcBorders>
          </w:tcPr>
          <w:p w14:paraId="4B94496B" w14:textId="77777777" w:rsidR="002972D3" w:rsidRPr="00A247CB" w:rsidRDefault="002972D3" w:rsidP="002972D3">
            <w:pPr>
              <w:widowControl w:val="0"/>
              <w:spacing w:after="0" w:line="242" w:lineRule="exact"/>
              <w:ind w:left="103" w:right="-20"/>
              <w:rPr>
                <w:rFonts w:eastAsia="Calibri" w:cs="Calibri"/>
              </w:rPr>
            </w:pPr>
            <w:r>
              <w:rPr>
                <w:rFonts w:eastAsia="Calibri" w:cs="Calibri"/>
                <w:lang w:val="en-GB"/>
              </w:rPr>
              <w:t>Act LXXV of 2011 on the fixing of exchange rates used for repayments of foreign exchange-denominated mortgage loans and the procedure of forced sales of residential properties</w:t>
            </w:r>
          </w:p>
        </w:tc>
        <w:tc>
          <w:tcPr>
            <w:tcW w:w="4536" w:type="dxa"/>
            <w:gridSpan w:val="2"/>
            <w:tcBorders>
              <w:top w:val="single" w:sz="4" w:space="0" w:color="000000"/>
              <w:left w:val="single" w:sz="4" w:space="0" w:color="000000"/>
              <w:bottom w:val="single" w:sz="4" w:space="0" w:color="000000"/>
              <w:right w:val="single" w:sz="4" w:space="0" w:color="000000"/>
            </w:tcBorders>
          </w:tcPr>
          <w:p w14:paraId="12D1792C"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Government role</w:t>
            </w:r>
          </w:p>
        </w:tc>
        <w:tc>
          <w:tcPr>
            <w:tcW w:w="1440" w:type="dxa"/>
            <w:gridSpan w:val="3"/>
            <w:tcBorders>
              <w:top w:val="single" w:sz="4" w:space="0" w:color="000000"/>
              <w:left w:val="single" w:sz="4" w:space="0" w:color="000000"/>
              <w:bottom w:val="single" w:sz="4" w:space="0" w:color="000000"/>
              <w:right w:val="single" w:sz="4" w:space="0" w:color="000000"/>
            </w:tcBorders>
          </w:tcPr>
          <w:p w14:paraId="092244A9" w14:textId="6925C43E"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2–2/A</w:t>
            </w:r>
          </w:p>
        </w:tc>
      </w:tr>
      <w:tr w:rsidR="002972D3" w:rsidRPr="0010391B" w14:paraId="196D654F" w14:textId="77777777" w:rsidTr="00B02B13">
        <w:trPr>
          <w:trHeight w:val="20"/>
        </w:trPr>
        <w:tc>
          <w:tcPr>
            <w:tcW w:w="3442" w:type="dxa"/>
            <w:vMerge/>
            <w:tcBorders>
              <w:left w:val="single" w:sz="4" w:space="0" w:color="000000"/>
              <w:right w:val="single" w:sz="4" w:space="0" w:color="000000"/>
            </w:tcBorders>
          </w:tcPr>
          <w:p w14:paraId="50C1716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8283944" w14:textId="4013E4F6" w:rsidR="002972D3" w:rsidRPr="00A247CB" w:rsidRDefault="002972D3" w:rsidP="002972D3">
            <w:pPr>
              <w:widowControl w:val="0"/>
              <w:spacing w:after="0" w:line="242" w:lineRule="exact"/>
              <w:ind w:left="105" w:right="-20"/>
              <w:rPr>
                <w:rFonts w:eastAsia="Calibri" w:cs="Calibri"/>
              </w:rPr>
            </w:pPr>
            <w:r>
              <w:rPr>
                <w:rFonts w:eastAsia="Calibri" w:cs="Calibri"/>
                <w:lang w:val="en-GB"/>
              </w:rPr>
              <w:t>Detailed rules of the overflow account loan</w:t>
            </w:r>
          </w:p>
        </w:tc>
        <w:tc>
          <w:tcPr>
            <w:tcW w:w="1440" w:type="dxa"/>
            <w:gridSpan w:val="3"/>
            <w:tcBorders>
              <w:top w:val="single" w:sz="4" w:space="0" w:color="000000"/>
              <w:left w:val="single" w:sz="4" w:space="0" w:color="000000"/>
              <w:bottom w:val="single" w:sz="4" w:space="0" w:color="000000"/>
              <w:right w:val="single" w:sz="4" w:space="0" w:color="000000"/>
            </w:tcBorders>
          </w:tcPr>
          <w:p w14:paraId="2A299CB4"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3–5</w:t>
            </w:r>
          </w:p>
        </w:tc>
      </w:tr>
      <w:tr w:rsidR="002972D3" w:rsidRPr="0010391B" w14:paraId="0866D532" w14:textId="77777777" w:rsidTr="00B02B13">
        <w:trPr>
          <w:trHeight w:val="20"/>
        </w:trPr>
        <w:tc>
          <w:tcPr>
            <w:tcW w:w="3442" w:type="dxa"/>
            <w:vMerge/>
            <w:tcBorders>
              <w:left w:val="single" w:sz="4" w:space="0" w:color="000000"/>
              <w:right w:val="single" w:sz="4" w:space="0" w:color="000000"/>
            </w:tcBorders>
          </w:tcPr>
          <w:p w14:paraId="14D438DB"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C95E308" w14:textId="3370F59F" w:rsidR="002972D3" w:rsidRPr="00A247CB" w:rsidRDefault="002972D3" w:rsidP="002972D3">
            <w:pPr>
              <w:widowControl w:val="0"/>
              <w:spacing w:before="2" w:after="0" w:line="238" w:lineRule="auto"/>
              <w:ind w:left="105" w:right="50"/>
              <w:rPr>
                <w:rFonts w:eastAsia="Calibri" w:cs="Calibri"/>
              </w:rPr>
            </w:pPr>
            <w:r>
              <w:rPr>
                <w:rFonts w:eastAsia="Calibri" w:cs="Calibri"/>
                <w:lang w:val="en-GB"/>
              </w:rPr>
              <w:t>Rules pertaining to the forced sale of residential properties securing the housing loans</w:t>
            </w:r>
          </w:p>
        </w:tc>
        <w:tc>
          <w:tcPr>
            <w:tcW w:w="1440" w:type="dxa"/>
            <w:gridSpan w:val="3"/>
            <w:tcBorders>
              <w:top w:val="single" w:sz="4" w:space="0" w:color="000000"/>
              <w:left w:val="single" w:sz="4" w:space="0" w:color="000000"/>
              <w:bottom w:val="single" w:sz="4" w:space="0" w:color="000000"/>
              <w:right w:val="single" w:sz="4" w:space="0" w:color="000000"/>
            </w:tcBorders>
          </w:tcPr>
          <w:p w14:paraId="0D336999"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6–10</w:t>
            </w:r>
          </w:p>
        </w:tc>
      </w:tr>
      <w:tr w:rsidR="002972D3" w:rsidRPr="0010391B" w14:paraId="4238DA5A" w14:textId="77777777" w:rsidTr="00B02B13">
        <w:trPr>
          <w:trHeight w:val="20"/>
        </w:trPr>
        <w:tc>
          <w:tcPr>
            <w:tcW w:w="3442" w:type="dxa"/>
            <w:vMerge/>
            <w:tcBorders>
              <w:left w:val="single" w:sz="4" w:space="0" w:color="000000"/>
              <w:bottom w:val="single" w:sz="4" w:space="0" w:color="000000"/>
              <w:right w:val="single" w:sz="4" w:space="0" w:color="000000"/>
            </w:tcBorders>
          </w:tcPr>
          <w:p w14:paraId="6C0DA4FF"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27FAF90" w14:textId="77777777" w:rsidR="002972D3" w:rsidRPr="00A247CB" w:rsidRDefault="002972D3" w:rsidP="002972D3">
            <w:pPr>
              <w:widowControl w:val="0"/>
              <w:spacing w:after="0" w:line="243" w:lineRule="exact"/>
              <w:ind w:left="105" w:right="59"/>
              <w:rPr>
                <w:rFonts w:eastAsia="Calibri" w:cs="Calibri"/>
              </w:rPr>
            </w:pPr>
            <w:r>
              <w:rPr>
                <w:rFonts w:eastAsia="Calibri" w:cs="Calibri"/>
                <w:lang w:val="en-GB"/>
              </w:rPr>
              <w:t>Conversion of the payment obligation of foreign currency borrowers in default, outstanding on the basis of their foreign currency loan contract</w:t>
            </w:r>
          </w:p>
        </w:tc>
        <w:tc>
          <w:tcPr>
            <w:tcW w:w="1440" w:type="dxa"/>
            <w:gridSpan w:val="3"/>
            <w:tcBorders>
              <w:top w:val="single" w:sz="4" w:space="0" w:color="000000"/>
              <w:left w:val="single" w:sz="4" w:space="0" w:color="000000"/>
              <w:bottom w:val="single" w:sz="4" w:space="0" w:color="000000"/>
              <w:right w:val="single" w:sz="4" w:space="0" w:color="000000"/>
            </w:tcBorders>
          </w:tcPr>
          <w:p w14:paraId="577F1AED" w14:textId="6B8ACF4B" w:rsidR="002972D3" w:rsidRPr="00A247CB" w:rsidRDefault="002972D3" w:rsidP="002972D3">
            <w:pPr>
              <w:widowControl w:val="0"/>
              <w:spacing w:after="0" w:line="243" w:lineRule="exact"/>
              <w:ind w:left="102" w:right="-20"/>
              <w:rPr>
                <w:rFonts w:eastAsia="Calibri" w:cs="Calibri"/>
              </w:rPr>
            </w:pPr>
            <w:r>
              <w:rPr>
                <w:rFonts w:eastAsia="Calibri" w:cs="Calibri"/>
                <w:lang w:val="en-GB"/>
              </w:rPr>
              <w:t>Section 10/A</w:t>
            </w:r>
          </w:p>
        </w:tc>
      </w:tr>
      <w:tr w:rsidR="002972D3" w:rsidRPr="0010391B" w14:paraId="1BB49201" w14:textId="77777777" w:rsidTr="00B02B13">
        <w:trPr>
          <w:trHeight w:val="20"/>
        </w:trPr>
        <w:tc>
          <w:tcPr>
            <w:tcW w:w="3442" w:type="dxa"/>
            <w:vMerge w:val="restart"/>
            <w:tcBorders>
              <w:top w:val="single" w:sz="4" w:space="0" w:color="000000"/>
              <w:left w:val="single" w:sz="4" w:space="0" w:color="000000"/>
              <w:right w:val="single" w:sz="4" w:space="0" w:color="000000"/>
            </w:tcBorders>
          </w:tcPr>
          <w:p w14:paraId="1A1D89E3" w14:textId="77777777" w:rsidR="002972D3" w:rsidRPr="00A247CB" w:rsidRDefault="002972D3" w:rsidP="002972D3">
            <w:pPr>
              <w:widowControl w:val="0"/>
              <w:spacing w:after="0" w:line="242" w:lineRule="exact"/>
              <w:ind w:left="103" w:right="-20"/>
              <w:rPr>
                <w:rFonts w:eastAsia="Calibri" w:cs="Calibri"/>
              </w:rPr>
            </w:pPr>
            <w:r>
              <w:rPr>
                <w:rFonts w:eastAsia="Calibri" w:cs="Calibri"/>
                <w:lang w:val="en-GB"/>
              </w:rPr>
              <w:t>Act CXXII of 2011 on the Central Credit Information System</w:t>
            </w:r>
          </w:p>
        </w:tc>
        <w:tc>
          <w:tcPr>
            <w:tcW w:w="4536" w:type="dxa"/>
            <w:gridSpan w:val="2"/>
            <w:tcBorders>
              <w:top w:val="single" w:sz="4" w:space="0" w:color="000000"/>
              <w:left w:val="single" w:sz="4" w:space="0" w:color="000000"/>
              <w:bottom w:val="single" w:sz="4" w:space="0" w:color="000000"/>
              <w:right w:val="single" w:sz="4" w:space="0" w:color="000000"/>
            </w:tcBorders>
          </w:tcPr>
          <w:p w14:paraId="7A3F7F1C"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General provisions</w:t>
            </w:r>
          </w:p>
        </w:tc>
        <w:tc>
          <w:tcPr>
            <w:tcW w:w="1440" w:type="dxa"/>
            <w:gridSpan w:val="3"/>
            <w:tcBorders>
              <w:top w:val="single" w:sz="4" w:space="0" w:color="000000"/>
              <w:left w:val="single" w:sz="4" w:space="0" w:color="000000"/>
              <w:bottom w:val="single" w:sz="4" w:space="0" w:color="000000"/>
              <w:right w:val="single" w:sz="4" w:space="0" w:color="000000"/>
            </w:tcBorders>
          </w:tcPr>
          <w:p w14:paraId="70FC5778" w14:textId="68E67B6D"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1–2</w:t>
            </w:r>
          </w:p>
        </w:tc>
      </w:tr>
      <w:tr w:rsidR="002972D3" w:rsidRPr="0010391B" w14:paraId="220BB793" w14:textId="77777777" w:rsidTr="00B02B13">
        <w:trPr>
          <w:trHeight w:val="20"/>
        </w:trPr>
        <w:tc>
          <w:tcPr>
            <w:tcW w:w="3442" w:type="dxa"/>
            <w:vMerge/>
            <w:tcBorders>
              <w:left w:val="single" w:sz="4" w:space="0" w:color="000000"/>
              <w:right w:val="single" w:sz="4" w:space="0" w:color="000000"/>
            </w:tcBorders>
          </w:tcPr>
          <w:p w14:paraId="7951EA2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68FF5EA"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General rules pertaining to the transfer of data to and the management of data in CCIS</w:t>
            </w:r>
          </w:p>
        </w:tc>
        <w:tc>
          <w:tcPr>
            <w:tcW w:w="1440" w:type="dxa"/>
            <w:gridSpan w:val="3"/>
            <w:tcBorders>
              <w:top w:val="single" w:sz="4" w:space="0" w:color="000000"/>
              <w:left w:val="single" w:sz="4" w:space="0" w:color="000000"/>
              <w:bottom w:val="single" w:sz="4" w:space="0" w:color="000000"/>
              <w:right w:val="single" w:sz="4" w:space="0" w:color="000000"/>
            </w:tcBorders>
          </w:tcPr>
          <w:p w14:paraId="6BD9EAA5" w14:textId="419803B8"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5–8</w:t>
            </w:r>
          </w:p>
        </w:tc>
      </w:tr>
      <w:tr w:rsidR="002972D3" w:rsidRPr="0010391B" w14:paraId="26011ACE" w14:textId="77777777" w:rsidTr="00B02B13">
        <w:trPr>
          <w:trHeight w:val="20"/>
        </w:trPr>
        <w:tc>
          <w:tcPr>
            <w:tcW w:w="3442" w:type="dxa"/>
            <w:vMerge/>
            <w:tcBorders>
              <w:left w:val="single" w:sz="4" w:space="0" w:color="000000"/>
              <w:bottom w:val="single" w:sz="4" w:space="0" w:color="000000"/>
              <w:right w:val="single" w:sz="4" w:space="0" w:color="000000"/>
            </w:tcBorders>
          </w:tcPr>
          <w:p w14:paraId="368E5127"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CCC1B57" w14:textId="77777777" w:rsidR="002972D3" w:rsidRPr="00A247CB" w:rsidRDefault="002972D3" w:rsidP="002972D3">
            <w:pPr>
              <w:widowControl w:val="0"/>
              <w:tabs>
                <w:tab w:val="left" w:pos="440"/>
                <w:tab w:val="left" w:pos="1660"/>
                <w:tab w:val="left" w:pos="2900"/>
                <w:tab w:val="left" w:pos="3980"/>
              </w:tabs>
              <w:spacing w:after="0" w:line="242" w:lineRule="exact"/>
              <w:ind w:left="105" w:right="-20"/>
              <w:rPr>
                <w:rFonts w:eastAsia="Calibri" w:cs="Calibri"/>
              </w:rPr>
            </w:pPr>
            <w:r>
              <w:rPr>
                <w:rFonts w:eastAsia="Calibri" w:cs="Calibri"/>
                <w:lang w:val="en-GB"/>
              </w:rPr>
              <w:t>Special rules of managing the data of natural persons</w:t>
            </w:r>
          </w:p>
        </w:tc>
        <w:tc>
          <w:tcPr>
            <w:tcW w:w="1440" w:type="dxa"/>
            <w:gridSpan w:val="3"/>
            <w:tcBorders>
              <w:top w:val="single" w:sz="4" w:space="0" w:color="000000"/>
              <w:left w:val="single" w:sz="4" w:space="0" w:color="000000"/>
              <w:bottom w:val="single" w:sz="4" w:space="0" w:color="000000"/>
              <w:right w:val="single" w:sz="4" w:space="0" w:color="000000"/>
            </w:tcBorders>
          </w:tcPr>
          <w:p w14:paraId="0D4187BD" w14:textId="71E5271E"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9–13/A</w:t>
            </w:r>
          </w:p>
        </w:tc>
      </w:tr>
      <w:tr w:rsidR="002972D3" w:rsidRPr="0010391B" w14:paraId="7EC4627A" w14:textId="77777777" w:rsidTr="00B02B13">
        <w:trPr>
          <w:gridAfter w:val="1"/>
          <w:wAfter w:w="128" w:type="dxa"/>
          <w:trHeight w:val="20"/>
        </w:trPr>
        <w:tc>
          <w:tcPr>
            <w:tcW w:w="3442" w:type="dxa"/>
            <w:vMerge w:val="restart"/>
            <w:tcBorders>
              <w:top w:val="single" w:sz="4" w:space="0" w:color="000000"/>
              <w:left w:val="single" w:sz="4" w:space="0" w:color="000000"/>
              <w:right w:val="single" w:sz="4" w:space="0" w:color="000000"/>
            </w:tcBorders>
          </w:tcPr>
          <w:p w14:paraId="56E3537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A04E7F2" w14:textId="77777777" w:rsidR="002972D3" w:rsidRPr="00A247CB" w:rsidRDefault="002972D3" w:rsidP="002972D3">
            <w:pPr>
              <w:widowControl w:val="0"/>
              <w:spacing w:after="0" w:line="240" w:lineRule="auto"/>
              <w:ind w:left="105" w:right="-20"/>
              <w:rPr>
                <w:rFonts w:eastAsia="Calibri" w:cs="Calibri"/>
              </w:rPr>
            </w:pPr>
          </w:p>
        </w:tc>
        <w:tc>
          <w:tcPr>
            <w:tcW w:w="1312" w:type="dxa"/>
            <w:gridSpan w:val="2"/>
            <w:tcBorders>
              <w:top w:val="single" w:sz="4" w:space="0" w:color="000000"/>
              <w:left w:val="single" w:sz="4" w:space="0" w:color="000000"/>
              <w:bottom w:val="single" w:sz="4" w:space="0" w:color="000000"/>
              <w:right w:val="single" w:sz="4" w:space="0" w:color="000000"/>
            </w:tcBorders>
          </w:tcPr>
          <w:p w14:paraId="59431D35" w14:textId="77777777" w:rsidR="002972D3" w:rsidRPr="00A247CB" w:rsidRDefault="002972D3" w:rsidP="002972D3">
            <w:pPr>
              <w:widowControl w:val="0"/>
              <w:spacing w:after="200"/>
              <w:rPr>
                <w:rFonts w:eastAsia="Calibri" w:cs="Times New Roman"/>
              </w:rPr>
            </w:pPr>
          </w:p>
        </w:tc>
      </w:tr>
      <w:tr w:rsidR="002972D3" w:rsidRPr="0010391B" w14:paraId="40A0F8EC" w14:textId="77777777" w:rsidTr="00B02B13">
        <w:trPr>
          <w:gridAfter w:val="1"/>
          <w:wAfter w:w="128" w:type="dxa"/>
          <w:trHeight w:val="20"/>
        </w:trPr>
        <w:tc>
          <w:tcPr>
            <w:tcW w:w="3442" w:type="dxa"/>
            <w:vMerge/>
            <w:tcBorders>
              <w:left w:val="single" w:sz="4" w:space="0" w:color="000000"/>
              <w:right w:val="single" w:sz="4" w:space="0" w:color="000000"/>
            </w:tcBorders>
          </w:tcPr>
          <w:p w14:paraId="4F02D58F"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AC7B6E0"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Customer protection and legal remedy</w:t>
            </w:r>
          </w:p>
        </w:tc>
        <w:tc>
          <w:tcPr>
            <w:tcW w:w="1312" w:type="dxa"/>
            <w:gridSpan w:val="2"/>
            <w:tcBorders>
              <w:top w:val="single" w:sz="4" w:space="0" w:color="000000"/>
              <w:left w:val="single" w:sz="4" w:space="0" w:color="000000"/>
              <w:bottom w:val="single" w:sz="4" w:space="0" w:color="000000"/>
              <w:right w:val="single" w:sz="4" w:space="0" w:color="000000"/>
            </w:tcBorders>
          </w:tcPr>
          <w:p w14:paraId="1ABF86BE" w14:textId="77777777" w:rsidR="002972D3" w:rsidRPr="00A247CB" w:rsidRDefault="002972D3" w:rsidP="002972D3">
            <w:pPr>
              <w:widowControl w:val="0"/>
              <w:spacing w:after="0" w:line="243" w:lineRule="exact"/>
              <w:ind w:left="102" w:right="-20"/>
              <w:rPr>
                <w:rFonts w:eastAsia="Calibri" w:cs="Calibri"/>
              </w:rPr>
            </w:pPr>
            <w:r>
              <w:rPr>
                <w:rFonts w:eastAsia="Calibri" w:cs="Calibri"/>
                <w:lang w:val="en-GB"/>
              </w:rPr>
              <w:t>Sections 15–20</w:t>
            </w:r>
          </w:p>
        </w:tc>
      </w:tr>
      <w:tr w:rsidR="002972D3" w:rsidRPr="0010391B" w14:paraId="2EA8A0E2" w14:textId="77777777" w:rsidTr="00B02B13">
        <w:trPr>
          <w:gridAfter w:val="1"/>
          <w:wAfter w:w="128" w:type="dxa"/>
          <w:trHeight w:val="20"/>
        </w:trPr>
        <w:tc>
          <w:tcPr>
            <w:tcW w:w="3442" w:type="dxa"/>
            <w:vMerge/>
            <w:tcBorders>
              <w:left w:val="single" w:sz="4" w:space="0" w:color="000000"/>
              <w:bottom w:val="single" w:sz="4" w:space="0" w:color="000000"/>
              <w:right w:val="single" w:sz="4" w:space="0" w:color="000000"/>
            </w:tcBorders>
          </w:tcPr>
          <w:p w14:paraId="7A7A3DAA"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E9C8AFC" w14:textId="6F258D74" w:rsidR="002972D3" w:rsidRPr="00A247CB" w:rsidRDefault="002972D3" w:rsidP="002972D3">
            <w:pPr>
              <w:widowControl w:val="0"/>
              <w:tabs>
                <w:tab w:val="left" w:pos="480"/>
                <w:tab w:val="left" w:pos="1480"/>
                <w:tab w:val="left" w:pos="3080"/>
                <w:tab w:val="left" w:pos="4360"/>
              </w:tabs>
              <w:spacing w:after="0" w:line="242" w:lineRule="exact"/>
              <w:ind w:left="105" w:right="-20"/>
              <w:rPr>
                <w:rFonts w:eastAsia="Calibri" w:cs="Calibri"/>
              </w:rPr>
            </w:pPr>
            <w:r>
              <w:rPr>
                <w:rFonts w:eastAsia="Calibri" w:cs="Calibri"/>
                <w:lang w:val="en-GB"/>
              </w:rPr>
              <w:t>Data that may be recorded in the central credit information system on customers</w:t>
            </w:r>
          </w:p>
        </w:tc>
        <w:tc>
          <w:tcPr>
            <w:tcW w:w="1312" w:type="dxa"/>
            <w:gridSpan w:val="2"/>
            <w:tcBorders>
              <w:top w:val="single" w:sz="4" w:space="0" w:color="000000"/>
              <w:left w:val="single" w:sz="4" w:space="0" w:color="000000"/>
              <w:bottom w:val="single" w:sz="4" w:space="0" w:color="000000"/>
              <w:right w:val="single" w:sz="4" w:space="0" w:color="000000"/>
            </w:tcBorders>
          </w:tcPr>
          <w:p w14:paraId="168CB280" w14:textId="48597AEF" w:rsidR="002972D3" w:rsidRPr="00A247CB" w:rsidRDefault="002972D3" w:rsidP="002972D3">
            <w:pPr>
              <w:widowControl w:val="0"/>
              <w:spacing w:after="0" w:line="242" w:lineRule="exact"/>
              <w:ind w:left="102" w:right="-20"/>
              <w:rPr>
                <w:rFonts w:eastAsia="Calibri" w:cs="Calibri"/>
              </w:rPr>
            </w:pPr>
            <w:r>
              <w:rPr>
                <w:rFonts w:eastAsia="Calibri" w:cs="Calibri"/>
                <w:lang w:val="en-GB"/>
              </w:rPr>
              <w:t>Annex</w:t>
            </w:r>
          </w:p>
        </w:tc>
      </w:tr>
      <w:tr w:rsidR="002972D3" w:rsidRPr="0010391B" w14:paraId="576C819A" w14:textId="77777777" w:rsidTr="00B02B13">
        <w:trPr>
          <w:gridAfter w:val="1"/>
          <w:wAfter w:w="128" w:type="dxa"/>
          <w:trHeight w:val="20"/>
        </w:trPr>
        <w:tc>
          <w:tcPr>
            <w:tcW w:w="3442" w:type="dxa"/>
            <w:vMerge w:val="restart"/>
            <w:tcBorders>
              <w:top w:val="single" w:sz="4" w:space="0" w:color="000000"/>
              <w:left w:val="single" w:sz="4" w:space="0" w:color="000000"/>
              <w:right w:val="single" w:sz="4" w:space="0" w:color="000000"/>
            </w:tcBorders>
          </w:tcPr>
          <w:p w14:paraId="6CDF35F8" w14:textId="77777777" w:rsidR="002972D3" w:rsidRPr="00A247CB" w:rsidRDefault="002972D3" w:rsidP="002972D3">
            <w:pPr>
              <w:widowControl w:val="0"/>
              <w:spacing w:after="0" w:line="243" w:lineRule="exact"/>
              <w:ind w:left="103" w:right="-20"/>
              <w:rPr>
                <w:rFonts w:eastAsia="Calibri" w:cs="Calibri"/>
              </w:rPr>
            </w:pPr>
            <w:r>
              <w:rPr>
                <w:rFonts w:eastAsia="Calibri" w:cs="Calibri"/>
                <w:lang w:val="en-GB"/>
              </w:rPr>
              <w:t>Act CXVI of 2012 on the financial transaction levy</w:t>
            </w:r>
          </w:p>
        </w:tc>
        <w:tc>
          <w:tcPr>
            <w:tcW w:w="4536" w:type="dxa"/>
            <w:gridSpan w:val="2"/>
            <w:tcBorders>
              <w:top w:val="single" w:sz="4" w:space="0" w:color="000000"/>
              <w:left w:val="single" w:sz="4" w:space="0" w:color="000000"/>
              <w:bottom w:val="single" w:sz="4" w:space="0" w:color="000000"/>
              <w:right w:val="single" w:sz="4" w:space="0" w:color="000000"/>
            </w:tcBorders>
          </w:tcPr>
          <w:p w14:paraId="4A2669CC"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Scope of the Act</w:t>
            </w:r>
          </w:p>
        </w:tc>
        <w:tc>
          <w:tcPr>
            <w:tcW w:w="1312" w:type="dxa"/>
            <w:gridSpan w:val="2"/>
            <w:tcBorders>
              <w:top w:val="single" w:sz="4" w:space="0" w:color="000000"/>
              <w:left w:val="single" w:sz="4" w:space="0" w:color="000000"/>
              <w:bottom w:val="single" w:sz="4" w:space="0" w:color="000000"/>
              <w:right w:val="single" w:sz="4" w:space="0" w:color="000000"/>
            </w:tcBorders>
          </w:tcPr>
          <w:p w14:paraId="3EB596F1" w14:textId="77777777" w:rsidR="002972D3" w:rsidRPr="00A247CB" w:rsidRDefault="002972D3" w:rsidP="002972D3">
            <w:pPr>
              <w:widowControl w:val="0"/>
              <w:spacing w:after="0" w:line="243" w:lineRule="exact"/>
              <w:ind w:left="102" w:right="-20"/>
              <w:rPr>
                <w:rFonts w:eastAsia="Calibri" w:cs="Calibri"/>
              </w:rPr>
            </w:pPr>
            <w:r>
              <w:rPr>
                <w:rFonts w:eastAsia="Calibri" w:cs="Calibri"/>
                <w:lang w:val="en-GB"/>
              </w:rPr>
              <w:t>Section 1</w:t>
            </w:r>
          </w:p>
        </w:tc>
      </w:tr>
      <w:tr w:rsidR="002972D3" w:rsidRPr="0010391B" w14:paraId="1A04827D" w14:textId="77777777" w:rsidTr="00B02B13">
        <w:trPr>
          <w:gridAfter w:val="1"/>
          <w:wAfter w:w="128" w:type="dxa"/>
          <w:trHeight w:val="20"/>
        </w:trPr>
        <w:tc>
          <w:tcPr>
            <w:tcW w:w="3442" w:type="dxa"/>
            <w:vMerge/>
            <w:tcBorders>
              <w:left w:val="single" w:sz="4" w:space="0" w:color="000000"/>
              <w:right w:val="single" w:sz="4" w:space="0" w:color="000000"/>
            </w:tcBorders>
          </w:tcPr>
          <w:p w14:paraId="78B4D9EB"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D18F891"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Subject of the financial transaction levy</w:t>
            </w:r>
          </w:p>
        </w:tc>
        <w:tc>
          <w:tcPr>
            <w:tcW w:w="1312" w:type="dxa"/>
            <w:gridSpan w:val="2"/>
            <w:tcBorders>
              <w:top w:val="single" w:sz="4" w:space="0" w:color="000000"/>
              <w:left w:val="single" w:sz="4" w:space="0" w:color="000000"/>
              <w:bottom w:val="single" w:sz="4" w:space="0" w:color="000000"/>
              <w:right w:val="single" w:sz="4" w:space="0" w:color="000000"/>
            </w:tcBorders>
          </w:tcPr>
          <w:p w14:paraId="5204B79A"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3</w:t>
            </w:r>
          </w:p>
        </w:tc>
      </w:tr>
      <w:tr w:rsidR="002972D3" w:rsidRPr="0010391B" w14:paraId="5B37495C" w14:textId="77777777" w:rsidTr="00B02B13">
        <w:trPr>
          <w:gridAfter w:val="1"/>
          <w:wAfter w:w="128" w:type="dxa"/>
          <w:trHeight w:val="20"/>
        </w:trPr>
        <w:tc>
          <w:tcPr>
            <w:tcW w:w="3442" w:type="dxa"/>
            <w:vMerge/>
            <w:tcBorders>
              <w:left w:val="single" w:sz="4" w:space="0" w:color="000000"/>
              <w:right w:val="single" w:sz="4" w:space="0" w:color="000000"/>
            </w:tcBorders>
          </w:tcPr>
          <w:p w14:paraId="3A0EAC55"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FF61830"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Origination of the obligation to pay financial transaction levy</w:t>
            </w:r>
          </w:p>
        </w:tc>
        <w:tc>
          <w:tcPr>
            <w:tcW w:w="1312" w:type="dxa"/>
            <w:gridSpan w:val="2"/>
            <w:tcBorders>
              <w:top w:val="single" w:sz="4" w:space="0" w:color="000000"/>
              <w:left w:val="single" w:sz="4" w:space="0" w:color="000000"/>
              <w:bottom w:val="single" w:sz="4" w:space="0" w:color="000000"/>
              <w:right w:val="single" w:sz="4" w:space="0" w:color="000000"/>
            </w:tcBorders>
          </w:tcPr>
          <w:p w14:paraId="7F0AC512"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4</w:t>
            </w:r>
          </w:p>
        </w:tc>
      </w:tr>
      <w:tr w:rsidR="002972D3" w:rsidRPr="0010391B" w14:paraId="4E2D5068" w14:textId="77777777" w:rsidTr="00B02B13">
        <w:trPr>
          <w:gridAfter w:val="1"/>
          <w:wAfter w:w="128" w:type="dxa"/>
          <w:trHeight w:val="20"/>
        </w:trPr>
        <w:tc>
          <w:tcPr>
            <w:tcW w:w="3442" w:type="dxa"/>
            <w:vMerge/>
            <w:tcBorders>
              <w:left w:val="single" w:sz="4" w:space="0" w:color="000000"/>
              <w:right w:val="single" w:sz="4" w:space="0" w:color="000000"/>
            </w:tcBorders>
          </w:tcPr>
          <w:p w14:paraId="73063825"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0A4C898"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Entities obliged to pay financial transaction levy</w:t>
            </w:r>
          </w:p>
          <w:p w14:paraId="5CB05173" w14:textId="77777777" w:rsidR="002972D3" w:rsidRPr="00A247CB" w:rsidRDefault="002972D3" w:rsidP="002972D3">
            <w:pPr>
              <w:widowControl w:val="0"/>
              <w:spacing w:after="0" w:line="242" w:lineRule="exact"/>
              <w:ind w:left="105" w:right="-20"/>
              <w:rPr>
                <w:rFonts w:eastAsia="Calibri" w:cs="Calibri"/>
              </w:rPr>
            </w:pPr>
          </w:p>
        </w:tc>
        <w:tc>
          <w:tcPr>
            <w:tcW w:w="1312" w:type="dxa"/>
            <w:gridSpan w:val="2"/>
            <w:tcBorders>
              <w:top w:val="single" w:sz="4" w:space="0" w:color="000000"/>
              <w:left w:val="single" w:sz="4" w:space="0" w:color="000000"/>
              <w:bottom w:val="single" w:sz="4" w:space="0" w:color="000000"/>
              <w:right w:val="single" w:sz="4" w:space="0" w:color="000000"/>
            </w:tcBorders>
          </w:tcPr>
          <w:p w14:paraId="733187A2"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5</w:t>
            </w:r>
          </w:p>
        </w:tc>
      </w:tr>
      <w:tr w:rsidR="002972D3" w:rsidRPr="0010391B" w14:paraId="3991BC37" w14:textId="77777777" w:rsidTr="00B02B13">
        <w:trPr>
          <w:gridAfter w:val="1"/>
          <w:wAfter w:w="128" w:type="dxa"/>
          <w:trHeight w:val="20"/>
        </w:trPr>
        <w:tc>
          <w:tcPr>
            <w:tcW w:w="3442" w:type="dxa"/>
            <w:vMerge/>
            <w:tcBorders>
              <w:left w:val="single" w:sz="4" w:space="0" w:color="000000"/>
              <w:right w:val="single" w:sz="4" w:space="0" w:color="000000"/>
            </w:tcBorders>
          </w:tcPr>
          <w:p w14:paraId="3B7277AE"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31661625"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Base of the financial transaction levy</w:t>
            </w:r>
          </w:p>
        </w:tc>
        <w:tc>
          <w:tcPr>
            <w:tcW w:w="1312" w:type="dxa"/>
            <w:gridSpan w:val="2"/>
            <w:tcBorders>
              <w:top w:val="single" w:sz="4" w:space="0" w:color="000000"/>
              <w:left w:val="single" w:sz="4" w:space="0" w:color="000000"/>
              <w:bottom w:val="single" w:sz="4" w:space="0" w:color="000000"/>
              <w:right w:val="single" w:sz="4" w:space="0" w:color="000000"/>
            </w:tcBorders>
          </w:tcPr>
          <w:p w14:paraId="346C4B4E"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6</w:t>
            </w:r>
          </w:p>
        </w:tc>
      </w:tr>
      <w:tr w:rsidR="002972D3" w:rsidRPr="0010391B" w14:paraId="41B91C9A" w14:textId="77777777" w:rsidTr="00B02B13">
        <w:trPr>
          <w:gridAfter w:val="1"/>
          <w:wAfter w:w="128" w:type="dxa"/>
          <w:trHeight w:val="20"/>
        </w:trPr>
        <w:tc>
          <w:tcPr>
            <w:tcW w:w="3442" w:type="dxa"/>
            <w:vMerge/>
            <w:tcBorders>
              <w:left w:val="single" w:sz="4" w:space="0" w:color="000000"/>
              <w:right w:val="single" w:sz="4" w:space="0" w:color="000000"/>
            </w:tcBorders>
          </w:tcPr>
          <w:p w14:paraId="26EE4B65"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ECF2B20"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Rate of the financial transaction levy</w:t>
            </w:r>
          </w:p>
        </w:tc>
        <w:tc>
          <w:tcPr>
            <w:tcW w:w="1312" w:type="dxa"/>
            <w:gridSpan w:val="2"/>
            <w:tcBorders>
              <w:top w:val="single" w:sz="4" w:space="0" w:color="000000"/>
              <w:left w:val="single" w:sz="4" w:space="0" w:color="000000"/>
              <w:bottom w:val="single" w:sz="4" w:space="0" w:color="000000"/>
              <w:right w:val="single" w:sz="4" w:space="0" w:color="000000"/>
            </w:tcBorders>
          </w:tcPr>
          <w:p w14:paraId="0CB61E67"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 7</w:t>
            </w:r>
          </w:p>
        </w:tc>
      </w:tr>
      <w:tr w:rsidR="002972D3" w:rsidRPr="0010391B" w14:paraId="1155F6C7" w14:textId="77777777" w:rsidTr="00B02B13">
        <w:trPr>
          <w:gridAfter w:val="1"/>
          <w:wAfter w:w="128" w:type="dxa"/>
          <w:trHeight w:val="20"/>
        </w:trPr>
        <w:tc>
          <w:tcPr>
            <w:tcW w:w="3442" w:type="dxa"/>
            <w:vMerge/>
            <w:tcBorders>
              <w:left w:val="single" w:sz="4" w:space="0" w:color="000000"/>
              <w:right w:val="single" w:sz="4" w:space="0" w:color="000000"/>
            </w:tcBorders>
          </w:tcPr>
          <w:p w14:paraId="758B08D9"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71DF62EB"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Assessment of the financial transaction levy</w:t>
            </w:r>
          </w:p>
        </w:tc>
        <w:tc>
          <w:tcPr>
            <w:tcW w:w="1312" w:type="dxa"/>
            <w:gridSpan w:val="2"/>
            <w:tcBorders>
              <w:top w:val="single" w:sz="4" w:space="0" w:color="000000"/>
              <w:left w:val="single" w:sz="4" w:space="0" w:color="000000"/>
              <w:bottom w:val="single" w:sz="4" w:space="0" w:color="000000"/>
              <w:right w:val="single" w:sz="4" w:space="0" w:color="000000"/>
            </w:tcBorders>
          </w:tcPr>
          <w:p w14:paraId="21E2B567"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8</w:t>
            </w:r>
          </w:p>
        </w:tc>
      </w:tr>
      <w:tr w:rsidR="002972D3" w:rsidRPr="0010391B" w14:paraId="439880A4" w14:textId="77777777" w:rsidTr="00B02B13">
        <w:trPr>
          <w:gridAfter w:val="1"/>
          <w:wAfter w:w="128" w:type="dxa"/>
          <w:trHeight w:val="20"/>
        </w:trPr>
        <w:tc>
          <w:tcPr>
            <w:tcW w:w="3442" w:type="dxa"/>
            <w:vMerge/>
            <w:tcBorders>
              <w:left w:val="single" w:sz="4" w:space="0" w:color="000000"/>
              <w:bottom w:val="single" w:sz="4" w:space="0" w:color="000000"/>
              <w:right w:val="single" w:sz="4" w:space="0" w:color="000000"/>
            </w:tcBorders>
          </w:tcPr>
          <w:p w14:paraId="29E8F946"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9AFC91F"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Procedural provisions</w:t>
            </w:r>
          </w:p>
        </w:tc>
        <w:tc>
          <w:tcPr>
            <w:tcW w:w="1312" w:type="dxa"/>
            <w:gridSpan w:val="2"/>
            <w:tcBorders>
              <w:top w:val="single" w:sz="4" w:space="0" w:color="000000"/>
              <w:left w:val="single" w:sz="4" w:space="0" w:color="000000"/>
              <w:bottom w:val="single" w:sz="4" w:space="0" w:color="000000"/>
              <w:right w:val="single" w:sz="4" w:space="0" w:color="000000"/>
            </w:tcBorders>
          </w:tcPr>
          <w:p w14:paraId="17C38A2C"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9</w:t>
            </w:r>
          </w:p>
        </w:tc>
      </w:tr>
      <w:tr w:rsidR="00E938D2" w:rsidRPr="0010391B" w14:paraId="088E9C6A" w14:textId="77777777" w:rsidTr="00B02B13">
        <w:trPr>
          <w:gridAfter w:val="1"/>
          <w:wAfter w:w="128" w:type="dxa"/>
          <w:trHeight w:val="20"/>
        </w:trPr>
        <w:tc>
          <w:tcPr>
            <w:tcW w:w="3442" w:type="dxa"/>
            <w:vMerge w:val="restart"/>
            <w:tcBorders>
              <w:top w:val="single" w:sz="4" w:space="0" w:color="000000"/>
              <w:left w:val="single" w:sz="4" w:space="0" w:color="000000"/>
              <w:right w:val="single" w:sz="4" w:space="0" w:color="000000"/>
            </w:tcBorders>
          </w:tcPr>
          <w:p w14:paraId="61279226" w14:textId="18D1F5A7" w:rsidR="00E938D2" w:rsidRPr="00A247CB" w:rsidRDefault="00E938D2" w:rsidP="00A247CB">
            <w:pPr>
              <w:widowControl w:val="0"/>
              <w:spacing w:after="0" w:line="243" w:lineRule="exact"/>
              <w:ind w:left="103" w:right="-20"/>
              <w:rPr>
                <w:rFonts w:eastAsia="Calibri" w:cs="Calibri"/>
                <w:position w:val="1"/>
              </w:rPr>
            </w:pPr>
            <w:r>
              <w:rPr>
                <w:rFonts w:eastAsia="Calibri" w:cs="Calibri"/>
                <w:lang w:val="en-GB"/>
              </w:rPr>
              <w:t>Act CCXXXV of 2013 on certain payment service providers.</w:t>
            </w:r>
          </w:p>
        </w:tc>
        <w:tc>
          <w:tcPr>
            <w:tcW w:w="4536" w:type="dxa"/>
            <w:gridSpan w:val="2"/>
            <w:tcBorders>
              <w:top w:val="single" w:sz="4" w:space="0" w:color="000000"/>
              <w:left w:val="single" w:sz="4" w:space="0" w:color="000000"/>
              <w:bottom w:val="single" w:sz="4" w:space="0" w:color="000000"/>
              <w:right w:val="single" w:sz="4" w:space="0" w:color="000000"/>
            </w:tcBorders>
          </w:tcPr>
          <w:p w14:paraId="461E99C4" w14:textId="308E4CB5" w:rsidR="00E938D2" w:rsidRPr="00A247CB" w:rsidRDefault="00E938D2" w:rsidP="002972D3">
            <w:pPr>
              <w:widowControl w:val="0"/>
              <w:spacing w:after="0" w:line="242" w:lineRule="exact"/>
              <w:ind w:left="105" w:right="-20"/>
              <w:rPr>
                <w:rFonts w:eastAsia="Calibri" w:cs="Calibri"/>
                <w:position w:val="1"/>
              </w:rPr>
            </w:pPr>
            <w:r>
              <w:rPr>
                <w:rFonts w:eastAsia="Calibri" w:cs="Calibri"/>
                <w:lang w:val="en-GB"/>
              </w:rPr>
              <w:t>Payment institution, electronic money issuer institution and voucher issuer</w:t>
            </w:r>
          </w:p>
        </w:tc>
        <w:tc>
          <w:tcPr>
            <w:tcW w:w="1312" w:type="dxa"/>
            <w:gridSpan w:val="2"/>
            <w:tcBorders>
              <w:top w:val="single" w:sz="4" w:space="0" w:color="000000"/>
              <w:left w:val="single" w:sz="4" w:space="0" w:color="000000"/>
              <w:bottom w:val="single" w:sz="4" w:space="0" w:color="000000"/>
              <w:right w:val="single" w:sz="4" w:space="0" w:color="000000"/>
            </w:tcBorders>
          </w:tcPr>
          <w:p w14:paraId="1EFDC581" w14:textId="55274BC7" w:rsidR="00E938D2" w:rsidRPr="00A247CB" w:rsidRDefault="00E938D2" w:rsidP="002972D3">
            <w:pPr>
              <w:widowControl w:val="0"/>
              <w:spacing w:after="0" w:line="242" w:lineRule="exact"/>
              <w:ind w:left="102" w:right="-20"/>
              <w:rPr>
                <w:rFonts w:eastAsia="Calibri" w:cs="Calibri"/>
                <w:position w:val="1"/>
              </w:rPr>
            </w:pPr>
            <w:r>
              <w:rPr>
                <w:rFonts w:eastAsia="Calibri" w:cs="Calibri"/>
                <w:lang w:val="en-GB"/>
              </w:rPr>
              <w:t xml:space="preserve">Sections 4-11 </w:t>
            </w:r>
          </w:p>
        </w:tc>
      </w:tr>
      <w:tr w:rsidR="00DF0F93" w:rsidRPr="0010391B" w14:paraId="1609F9FB" w14:textId="77777777" w:rsidTr="00B02B13">
        <w:trPr>
          <w:gridAfter w:val="1"/>
          <w:wAfter w:w="128" w:type="dxa"/>
          <w:trHeight w:val="20"/>
        </w:trPr>
        <w:tc>
          <w:tcPr>
            <w:tcW w:w="3442" w:type="dxa"/>
            <w:vMerge/>
            <w:tcBorders>
              <w:top w:val="single" w:sz="4" w:space="0" w:color="000000"/>
              <w:left w:val="single" w:sz="4" w:space="0" w:color="000000"/>
              <w:right w:val="single" w:sz="4" w:space="0" w:color="000000"/>
            </w:tcBorders>
          </w:tcPr>
          <w:p w14:paraId="5BDDC4A2" w14:textId="77777777" w:rsidR="00DF0F93" w:rsidRDefault="00DF0F93" w:rsidP="00A247CB">
            <w:pPr>
              <w:widowControl w:val="0"/>
              <w:spacing w:after="0" w:line="243" w:lineRule="exact"/>
              <w:ind w:left="103" w:right="-20"/>
              <w:rPr>
                <w:rFonts w:eastAsia="Calibri" w:cs="Calibri"/>
                <w:position w:val="1"/>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5CD5EE1" w14:textId="6D9BB446" w:rsidR="00DF0F93" w:rsidRDefault="00DF0F93" w:rsidP="002972D3">
            <w:pPr>
              <w:widowControl w:val="0"/>
              <w:spacing w:after="0" w:line="242" w:lineRule="exact"/>
              <w:ind w:left="105" w:right="-20"/>
              <w:rPr>
                <w:rFonts w:eastAsia="Calibri" w:cs="Calibri"/>
                <w:position w:val="1"/>
              </w:rPr>
            </w:pPr>
            <w:r>
              <w:rPr>
                <w:rFonts w:eastAsia="Calibri" w:cs="Calibri"/>
                <w:lang w:val="en-GB"/>
              </w:rPr>
              <w:t>Confidentiality rules</w:t>
            </w:r>
          </w:p>
        </w:tc>
        <w:tc>
          <w:tcPr>
            <w:tcW w:w="1312" w:type="dxa"/>
            <w:gridSpan w:val="2"/>
            <w:tcBorders>
              <w:top w:val="single" w:sz="4" w:space="0" w:color="000000"/>
              <w:left w:val="single" w:sz="4" w:space="0" w:color="000000"/>
              <w:bottom w:val="single" w:sz="4" w:space="0" w:color="000000"/>
              <w:right w:val="single" w:sz="4" w:space="0" w:color="000000"/>
            </w:tcBorders>
          </w:tcPr>
          <w:p w14:paraId="12BDCA63" w14:textId="21E60DF1" w:rsidR="00DF0F93" w:rsidRDefault="00DF0F93" w:rsidP="002972D3">
            <w:pPr>
              <w:widowControl w:val="0"/>
              <w:spacing w:after="0" w:line="242" w:lineRule="exact"/>
              <w:ind w:left="102" w:right="-20"/>
              <w:rPr>
                <w:rFonts w:eastAsia="Calibri" w:cs="Calibri"/>
                <w:position w:val="1"/>
              </w:rPr>
            </w:pPr>
            <w:r>
              <w:rPr>
                <w:rFonts w:eastAsia="Calibri" w:cs="Calibri"/>
                <w:lang w:val="en-GB"/>
              </w:rPr>
              <w:t>Sections 58–64/A</w:t>
            </w:r>
          </w:p>
        </w:tc>
      </w:tr>
      <w:tr w:rsidR="009D74D9" w:rsidRPr="0010391B" w14:paraId="59A201E2" w14:textId="77777777" w:rsidTr="00B02B13">
        <w:trPr>
          <w:gridAfter w:val="1"/>
          <w:wAfter w:w="128" w:type="dxa"/>
          <w:trHeight w:val="20"/>
        </w:trPr>
        <w:tc>
          <w:tcPr>
            <w:tcW w:w="3442" w:type="dxa"/>
            <w:vMerge/>
            <w:tcBorders>
              <w:top w:val="single" w:sz="4" w:space="0" w:color="000000"/>
              <w:left w:val="single" w:sz="4" w:space="0" w:color="000000"/>
              <w:right w:val="single" w:sz="4" w:space="0" w:color="000000"/>
            </w:tcBorders>
          </w:tcPr>
          <w:p w14:paraId="4F04BD19" w14:textId="77777777" w:rsidR="009D74D9" w:rsidRDefault="009D74D9" w:rsidP="00A247CB">
            <w:pPr>
              <w:widowControl w:val="0"/>
              <w:spacing w:after="0" w:line="243" w:lineRule="exact"/>
              <w:ind w:left="103" w:right="-20"/>
              <w:rPr>
                <w:rFonts w:eastAsia="Calibri" w:cs="Calibri"/>
                <w:position w:val="1"/>
              </w:rPr>
            </w:pPr>
          </w:p>
        </w:tc>
        <w:tc>
          <w:tcPr>
            <w:tcW w:w="4536" w:type="dxa"/>
            <w:gridSpan w:val="2"/>
            <w:tcBorders>
              <w:top w:val="single" w:sz="4" w:space="0" w:color="000000"/>
              <w:left w:val="single" w:sz="4" w:space="0" w:color="000000"/>
              <w:bottom w:val="single" w:sz="4" w:space="0" w:color="000000"/>
              <w:right w:val="single" w:sz="4" w:space="0" w:color="000000"/>
            </w:tcBorders>
          </w:tcPr>
          <w:p w14:paraId="03D73A95" w14:textId="60A1BE1B" w:rsidR="009D74D9" w:rsidRDefault="009D74D9" w:rsidP="002972D3">
            <w:pPr>
              <w:widowControl w:val="0"/>
              <w:spacing w:after="0" w:line="242" w:lineRule="exact"/>
              <w:ind w:left="105" w:right="-20"/>
              <w:rPr>
                <w:rFonts w:eastAsia="Calibri" w:cs="Calibri"/>
                <w:position w:val="1"/>
              </w:rPr>
            </w:pPr>
            <w:r>
              <w:rPr>
                <w:rFonts w:eastAsia="Calibri" w:cs="Calibri"/>
                <w:lang w:val="en-GB"/>
              </w:rPr>
              <w:t>Protection of customers</w:t>
            </w:r>
          </w:p>
        </w:tc>
        <w:tc>
          <w:tcPr>
            <w:tcW w:w="1312" w:type="dxa"/>
            <w:gridSpan w:val="2"/>
            <w:tcBorders>
              <w:top w:val="single" w:sz="4" w:space="0" w:color="000000"/>
              <w:left w:val="single" w:sz="4" w:space="0" w:color="000000"/>
              <w:bottom w:val="single" w:sz="4" w:space="0" w:color="000000"/>
              <w:right w:val="single" w:sz="4" w:space="0" w:color="000000"/>
            </w:tcBorders>
          </w:tcPr>
          <w:p w14:paraId="72EF1914" w14:textId="67D2EF98" w:rsidR="009D74D9" w:rsidRDefault="009D74D9" w:rsidP="002972D3">
            <w:pPr>
              <w:widowControl w:val="0"/>
              <w:spacing w:after="0" w:line="242" w:lineRule="exact"/>
              <w:ind w:left="102" w:right="-20"/>
              <w:rPr>
                <w:rFonts w:eastAsia="Calibri" w:cs="Calibri"/>
                <w:position w:val="1"/>
              </w:rPr>
            </w:pPr>
            <w:r>
              <w:rPr>
                <w:rFonts w:eastAsia="Calibri" w:cs="Calibri"/>
                <w:lang w:val="en-GB"/>
              </w:rPr>
              <w:t>Sections 65–70/A</w:t>
            </w:r>
          </w:p>
        </w:tc>
      </w:tr>
      <w:tr w:rsidR="00E938D2" w:rsidRPr="0010391B" w14:paraId="743EFA41" w14:textId="77777777" w:rsidTr="00B02B13">
        <w:trPr>
          <w:gridAfter w:val="1"/>
          <w:wAfter w:w="128" w:type="dxa"/>
          <w:trHeight w:val="20"/>
        </w:trPr>
        <w:tc>
          <w:tcPr>
            <w:tcW w:w="3442" w:type="dxa"/>
            <w:vMerge/>
            <w:tcBorders>
              <w:left w:val="single" w:sz="4" w:space="0" w:color="000000"/>
              <w:right w:val="single" w:sz="4" w:space="0" w:color="000000"/>
            </w:tcBorders>
          </w:tcPr>
          <w:p w14:paraId="40327CE7" w14:textId="77777777" w:rsidR="00E938D2" w:rsidRDefault="00E938D2" w:rsidP="00A247CB">
            <w:pPr>
              <w:widowControl w:val="0"/>
              <w:spacing w:after="0" w:line="243" w:lineRule="exact"/>
              <w:ind w:left="103" w:right="-20"/>
              <w:rPr>
                <w:rFonts w:eastAsia="Calibri" w:cs="Calibri"/>
                <w:position w:val="1"/>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BEE87E0" w14:textId="46C76D67" w:rsidR="00E938D2" w:rsidRPr="00E938D2" w:rsidRDefault="00E938D2" w:rsidP="002972D3">
            <w:pPr>
              <w:widowControl w:val="0"/>
              <w:spacing w:after="0" w:line="242" w:lineRule="exact"/>
              <w:ind w:left="105" w:right="-20"/>
              <w:rPr>
                <w:rFonts w:eastAsia="Calibri" w:cs="Calibri"/>
                <w:position w:val="1"/>
              </w:rPr>
            </w:pPr>
            <w:r>
              <w:rPr>
                <w:rFonts w:eastAsia="Calibri" w:cs="Calibri"/>
                <w:lang w:val="en-GB"/>
              </w:rPr>
              <w:t>Oversight of payment institutions, electronic money issuer institutions and voucher issuers</w:t>
            </w:r>
          </w:p>
        </w:tc>
        <w:tc>
          <w:tcPr>
            <w:tcW w:w="1312" w:type="dxa"/>
            <w:gridSpan w:val="2"/>
            <w:tcBorders>
              <w:top w:val="single" w:sz="4" w:space="0" w:color="000000"/>
              <w:left w:val="single" w:sz="4" w:space="0" w:color="000000"/>
              <w:bottom w:val="single" w:sz="4" w:space="0" w:color="000000"/>
              <w:right w:val="single" w:sz="4" w:space="0" w:color="000000"/>
            </w:tcBorders>
          </w:tcPr>
          <w:p w14:paraId="38DF9409" w14:textId="71B56F2F" w:rsidR="00E938D2" w:rsidRDefault="00E938D2" w:rsidP="002972D3">
            <w:pPr>
              <w:widowControl w:val="0"/>
              <w:spacing w:after="0" w:line="242" w:lineRule="exact"/>
              <w:ind w:left="102" w:right="-20"/>
              <w:rPr>
                <w:rFonts w:eastAsia="Calibri" w:cs="Calibri"/>
                <w:position w:val="1"/>
              </w:rPr>
            </w:pPr>
            <w:r>
              <w:rPr>
                <w:rFonts w:eastAsia="Calibri" w:cs="Calibri"/>
                <w:lang w:val="en-GB"/>
              </w:rPr>
              <w:t>Sections 71, 80/A, 80/B</w:t>
            </w:r>
          </w:p>
        </w:tc>
      </w:tr>
      <w:tr w:rsidR="002972D3" w:rsidRPr="0010391B" w14:paraId="3E67847F" w14:textId="77777777" w:rsidTr="00B02B13">
        <w:trPr>
          <w:gridAfter w:val="1"/>
          <w:wAfter w:w="128" w:type="dxa"/>
          <w:trHeight w:val="20"/>
        </w:trPr>
        <w:tc>
          <w:tcPr>
            <w:tcW w:w="3442" w:type="dxa"/>
            <w:vMerge w:val="restart"/>
            <w:tcBorders>
              <w:top w:val="single" w:sz="4" w:space="0" w:color="000000"/>
              <w:left w:val="single" w:sz="4" w:space="0" w:color="000000"/>
              <w:right w:val="single" w:sz="4" w:space="0" w:color="000000"/>
            </w:tcBorders>
          </w:tcPr>
          <w:p w14:paraId="4C8BF86E" w14:textId="77777777" w:rsidR="002972D3" w:rsidRPr="00A247CB" w:rsidRDefault="002972D3" w:rsidP="002972D3">
            <w:pPr>
              <w:widowControl w:val="0"/>
              <w:spacing w:after="0" w:line="242" w:lineRule="exact"/>
              <w:ind w:left="103" w:right="-20"/>
              <w:rPr>
                <w:rFonts w:eastAsia="Calibri" w:cs="Calibri"/>
              </w:rPr>
            </w:pPr>
            <w:r>
              <w:rPr>
                <w:rFonts w:eastAsia="Calibri" w:cs="Calibri"/>
                <w:lang w:val="en-GB"/>
              </w:rPr>
              <w:t>Act XVI of 2014 on Collective Investment Forms and their Managers, and on the Amendment of Financial Laws</w:t>
            </w:r>
          </w:p>
        </w:tc>
        <w:tc>
          <w:tcPr>
            <w:tcW w:w="4536" w:type="dxa"/>
            <w:gridSpan w:val="2"/>
            <w:tcBorders>
              <w:top w:val="single" w:sz="4" w:space="0" w:color="000000"/>
              <w:left w:val="single" w:sz="4" w:space="0" w:color="000000"/>
              <w:bottom w:val="single" w:sz="4" w:space="0" w:color="000000"/>
              <w:right w:val="single" w:sz="4" w:space="0" w:color="000000"/>
            </w:tcBorders>
          </w:tcPr>
          <w:p w14:paraId="30C68089"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Scope of the Act</w:t>
            </w:r>
          </w:p>
        </w:tc>
        <w:tc>
          <w:tcPr>
            <w:tcW w:w="1312" w:type="dxa"/>
            <w:gridSpan w:val="2"/>
            <w:tcBorders>
              <w:top w:val="single" w:sz="4" w:space="0" w:color="000000"/>
              <w:left w:val="single" w:sz="4" w:space="0" w:color="000000"/>
              <w:bottom w:val="single" w:sz="4" w:space="0" w:color="000000"/>
              <w:right w:val="single" w:sz="4" w:space="0" w:color="000000"/>
            </w:tcBorders>
          </w:tcPr>
          <w:p w14:paraId="4A3DC2D0" w14:textId="693F5078"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1–2</w:t>
            </w:r>
          </w:p>
        </w:tc>
      </w:tr>
      <w:tr w:rsidR="002972D3" w:rsidRPr="0010391B" w14:paraId="422EF7E1" w14:textId="77777777" w:rsidTr="00B02B13">
        <w:trPr>
          <w:gridAfter w:val="1"/>
          <w:wAfter w:w="128" w:type="dxa"/>
          <w:trHeight w:val="20"/>
        </w:trPr>
        <w:tc>
          <w:tcPr>
            <w:tcW w:w="3442" w:type="dxa"/>
            <w:vMerge/>
            <w:tcBorders>
              <w:left w:val="single" w:sz="4" w:space="0" w:color="000000"/>
              <w:right w:val="single" w:sz="4" w:space="0" w:color="000000"/>
            </w:tcBorders>
          </w:tcPr>
          <w:p w14:paraId="2452DB4C"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9B3C050" w14:textId="77777777" w:rsidR="002972D3" w:rsidRPr="00A247CB" w:rsidRDefault="002972D3" w:rsidP="002972D3">
            <w:pPr>
              <w:widowControl w:val="0"/>
              <w:spacing w:before="1" w:after="0" w:line="240" w:lineRule="auto"/>
              <w:ind w:left="105" w:right="-20"/>
              <w:rPr>
                <w:rFonts w:eastAsia="Calibri" w:cs="Calibri"/>
              </w:rPr>
            </w:pPr>
            <w:r>
              <w:rPr>
                <w:rFonts w:eastAsia="Calibri" w:cs="Calibri"/>
                <w:lang w:val="en-GB"/>
              </w:rPr>
              <w:t>Mutual fund share series</w:t>
            </w:r>
          </w:p>
        </w:tc>
        <w:tc>
          <w:tcPr>
            <w:tcW w:w="1312" w:type="dxa"/>
            <w:gridSpan w:val="2"/>
            <w:tcBorders>
              <w:top w:val="single" w:sz="4" w:space="0" w:color="000000"/>
              <w:left w:val="single" w:sz="4" w:space="0" w:color="000000"/>
              <w:bottom w:val="single" w:sz="4" w:space="0" w:color="000000"/>
              <w:right w:val="single" w:sz="4" w:space="0" w:color="000000"/>
            </w:tcBorders>
          </w:tcPr>
          <w:p w14:paraId="1FE57E67" w14:textId="6D19FCEE" w:rsidR="002972D3" w:rsidRPr="00A247CB" w:rsidRDefault="002972D3" w:rsidP="002972D3">
            <w:pPr>
              <w:widowControl w:val="0"/>
              <w:spacing w:before="1" w:after="0" w:line="240" w:lineRule="auto"/>
              <w:ind w:left="102" w:right="-20"/>
              <w:rPr>
                <w:rFonts w:eastAsia="Calibri" w:cs="Calibri"/>
              </w:rPr>
            </w:pPr>
            <w:r>
              <w:rPr>
                <w:rFonts w:eastAsia="Calibri" w:cs="Calibri"/>
                <w:lang w:val="en-GB"/>
              </w:rPr>
              <w:t xml:space="preserve">Section 71 </w:t>
            </w:r>
          </w:p>
        </w:tc>
      </w:tr>
      <w:tr w:rsidR="002972D3" w:rsidRPr="0010391B" w14:paraId="3D1CD674" w14:textId="77777777" w:rsidTr="00B02B13">
        <w:trPr>
          <w:gridAfter w:val="1"/>
          <w:wAfter w:w="128" w:type="dxa"/>
          <w:trHeight w:val="20"/>
        </w:trPr>
        <w:tc>
          <w:tcPr>
            <w:tcW w:w="3442" w:type="dxa"/>
            <w:vMerge/>
            <w:tcBorders>
              <w:left w:val="single" w:sz="4" w:space="0" w:color="000000"/>
              <w:right w:val="single" w:sz="4" w:space="0" w:color="000000"/>
            </w:tcBorders>
          </w:tcPr>
          <w:p w14:paraId="1EE8510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17833CE"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Management regulation</w:t>
            </w:r>
          </w:p>
        </w:tc>
        <w:tc>
          <w:tcPr>
            <w:tcW w:w="1312" w:type="dxa"/>
            <w:gridSpan w:val="2"/>
            <w:tcBorders>
              <w:top w:val="single" w:sz="4" w:space="0" w:color="000000"/>
              <w:left w:val="single" w:sz="4" w:space="0" w:color="000000"/>
              <w:bottom w:val="single" w:sz="4" w:space="0" w:color="000000"/>
              <w:right w:val="single" w:sz="4" w:space="0" w:color="000000"/>
            </w:tcBorders>
          </w:tcPr>
          <w:p w14:paraId="0B6858A1"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72–73</w:t>
            </w:r>
          </w:p>
        </w:tc>
      </w:tr>
      <w:tr w:rsidR="002972D3" w:rsidRPr="0010391B" w14:paraId="5D3CFC02" w14:textId="77777777" w:rsidTr="00B02B13">
        <w:trPr>
          <w:gridAfter w:val="1"/>
          <w:wAfter w:w="128" w:type="dxa"/>
          <w:trHeight w:val="20"/>
        </w:trPr>
        <w:tc>
          <w:tcPr>
            <w:tcW w:w="3442" w:type="dxa"/>
            <w:vMerge/>
            <w:tcBorders>
              <w:left w:val="single" w:sz="4" w:space="0" w:color="000000"/>
              <w:right w:val="single" w:sz="4" w:space="0" w:color="000000"/>
            </w:tcBorders>
          </w:tcPr>
          <w:p w14:paraId="165C024D"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2D0F580"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Rules applicable to the merger of UCITS</w:t>
            </w:r>
          </w:p>
        </w:tc>
        <w:tc>
          <w:tcPr>
            <w:tcW w:w="1312" w:type="dxa"/>
            <w:gridSpan w:val="2"/>
            <w:tcBorders>
              <w:top w:val="single" w:sz="4" w:space="0" w:color="000000"/>
              <w:left w:val="single" w:sz="4" w:space="0" w:color="000000"/>
              <w:bottom w:val="single" w:sz="4" w:space="0" w:color="000000"/>
              <w:right w:val="single" w:sz="4" w:space="0" w:color="000000"/>
            </w:tcBorders>
          </w:tcPr>
          <w:p w14:paraId="05670BD1" w14:textId="3DE15F4B" w:rsidR="002972D3" w:rsidRPr="00A247CB" w:rsidRDefault="009751F0" w:rsidP="002972D3">
            <w:pPr>
              <w:widowControl w:val="0"/>
              <w:spacing w:after="0" w:line="242" w:lineRule="exact"/>
              <w:ind w:left="102" w:right="-20"/>
              <w:rPr>
                <w:rFonts w:eastAsia="Calibri" w:cs="Calibri"/>
              </w:rPr>
            </w:pPr>
            <w:r>
              <w:rPr>
                <w:rFonts w:eastAsia="Calibri" w:cs="Calibri"/>
                <w:lang w:val="en-GB"/>
              </w:rPr>
              <w:t>Sections 84–99</w:t>
            </w:r>
          </w:p>
        </w:tc>
      </w:tr>
      <w:tr w:rsidR="002972D3" w:rsidRPr="0010391B" w14:paraId="765966D6" w14:textId="77777777" w:rsidTr="00B02B13">
        <w:trPr>
          <w:gridAfter w:val="1"/>
          <w:wAfter w:w="128" w:type="dxa"/>
          <w:trHeight w:val="20"/>
        </w:trPr>
        <w:tc>
          <w:tcPr>
            <w:tcW w:w="3442" w:type="dxa"/>
            <w:vMerge/>
            <w:tcBorders>
              <w:left w:val="single" w:sz="4" w:space="0" w:color="000000"/>
              <w:right w:val="single" w:sz="4" w:space="0" w:color="000000"/>
            </w:tcBorders>
          </w:tcPr>
          <w:p w14:paraId="079CC39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407B8FE" w14:textId="5539C0E4" w:rsidR="002972D3" w:rsidRPr="00A247CB" w:rsidRDefault="002972D3" w:rsidP="002972D3">
            <w:pPr>
              <w:widowControl w:val="0"/>
              <w:tabs>
                <w:tab w:val="left" w:pos="420"/>
                <w:tab w:val="left" w:pos="1560"/>
                <w:tab w:val="left" w:pos="2300"/>
                <w:tab w:val="left" w:pos="3460"/>
                <w:tab w:val="left" w:pos="4360"/>
              </w:tabs>
              <w:spacing w:after="0" w:line="242" w:lineRule="exact"/>
              <w:ind w:left="105" w:right="-20"/>
              <w:rPr>
                <w:rFonts w:eastAsia="Calibri" w:cs="Calibri"/>
              </w:rPr>
            </w:pPr>
            <w:r>
              <w:rPr>
                <w:rFonts w:eastAsia="Calibri" w:cs="Calibri"/>
                <w:lang w:val="en-GB"/>
              </w:rPr>
              <w:t>Marketing and continuous distribution of mutual</w:t>
            </w:r>
          </w:p>
          <w:p w14:paraId="5750B2E7"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fund shares</w:t>
            </w:r>
          </w:p>
        </w:tc>
        <w:tc>
          <w:tcPr>
            <w:tcW w:w="1312" w:type="dxa"/>
            <w:gridSpan w:val="2"/>
            <w:tcBorders>
              <w:top w:val="single" w:sz="4" w:space="0" w:color="000000"/>
              <w:left w:val="single" w:sz="4" w:space="0" w:color="000000"/>
              <w:bottom w:val="single" w:sz="4" w:space="0" w:color="000000"/>
              <w:right w:val="single" w:sz="4" w:space="0" w:color="000000"/>
            </w:tcBorders>
          </w:tcPr>
          <w:p w14:paraId="4DEC1E76"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103–111</w:t>
            </w:r>
          </w:p>
        </w:tc>
      </w:tr>
      <w:tr w:rsidR="002972D3" w:rsidRPr="0010391B" w14:paraId="1A50979E" w14:textId="77777777" w:rsidTr="00B02B13">
        <w:trPr>
          <w:gridAfter w:val="1"/>
          <w:wAfter w:w="128" w:type="dxa"/>
          <w:trHeight w:val="20"/>
        </w:trPr>
        <w:tc>
          <w:tcPr>
            <w:tcW w:w="3442" w:type="dxa"/>
            <w:vMerge/>
            <w:tcBorders>
              <w:left w:val="single" w:sz="4" w:space="0" w:color="000000"/>
              <w:right w:val="single" w:sz="4" w:space="0" w:color="000000"/>
            </w:tcBorders>
          </w:tcPr>
          <w:p w14:paraId="5ECB1501"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FF1AB8B" w14:textId="77777777" w:rsidR="002972D3" w:rsidRPr="00A247CB" w:rsidRDefault="002972D3" w:rsidP="002972D3">
            <w:pPr>
              <w:widowControl w:val="0"/>
              <w:spacing w:after="0" w:line="242" w:lineRule="exact"/>
              <w:ind w:left="150" w:right="-20"/>
              <w:rPr>
                <w:rFonts w:eastAsia="Calibri" w:cs="Calibri"/>
              </w:rPr>
            </w:pPr>
            <w:r>
              <w:rPr>
                <w:rFonts w:eastAsia="Calibri" w:cs="Calibri"/>
                <w:lang w:val="en-GB"/>
              </w:rPr>
              <w:t>General rules pertaining to the discontinuance and suspension of the continuous distribution of mutual fund shares</w:t>
            </w:r>
          </w:p>
        </w:tc>
        <w:tc>
          <w:tcPr>
            <w:tcW w:w="1312" w:type="dxa"/>
            <w:gridSpan w:val="2"/>
            <w:tcBorders>
              <w:top w:val="single" w:sz="4" w:space="0" w:color="000000"/>
              <w:left w:val="single" w:sz="4" w:space="0" w:color="000000"/>
              <w:bottom w:val="single" w:sz="4" w:space="0" w:color="000000"/>
              <w:right w:val="single" w:sz="4" w:space="0" w:color="000000"/>
            </w:tcBorders>
          </w:tcPr>
          <w:p w14:paraId="654EC7B7" w14:textId="1FE096A6"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113-116</w:t>
            </w:r>
          </w:p>
        </w:tc>
      </w:tr>
      <w:tr w:rsidR="002972D3" w:rsidRPr="0010391B" w14:paraId="36999BA4" w14:textId="77777777" w:rsidTr="00B02B13">
        <w:trPr>
          <w:gridAfter w:val="1"/>
          <w:wAfter w:w="128" w:type="dxa"/>
          <w:trHeight w:val="20"/>
        </w:trPr>
        <w:tc>
          <w:tcPr>
            <w:tcW w:w="3442" w:type="dxa"/>
            <w:vMerge/>
            <w:tcBorders>
              <w:left w:val="single" w:sz="4" w:space="0" w:color="000000"/>
              <w:right w:val="single" w:sz="4" w:space="0" w:color="000000"/>
            </w:tcBorders>
          </w:tcPr>
          <w:p w14:paraId="20D53D9A"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FA8EF1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Domestic distribution of the collective investment securities of UCITS licensed in other EEA member state</w:t>
            </w:r>
          </w:p>
        </w:tc>
        <w:tc>
          <w:tcPr>
            <w:tcW w:w="1312" w:type="dxa"/>
            <w:gridSpan w:val="2"/>
            <w:tcBorders>
              <w:top w:val="single" w:sz="4" w:space="0" w:color="000000"/>
              <w:left w:val="single" w:sz="4" w:space="0" w:color="000000"/>
              <w:bottom w:val="single" w:sz="4" w:space="0" w:color="000000"/>
              <w:right w:val="single" w:sz="4" w:space="0" w:color="000000"/>
            </w:tcBorders>
          </w:tcPr>
          <w:p w14:paraId="7EE8733B"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119</w:t>
            </w:r>
          </w:p>
        </w:tc>
      </w:tr>
      <w:tr w:rsidR="002972D3" w:rsidRPr="0010391B" w14:paraId="6A9D104A" w14:textId="77777777" w:rsidTr="00B02B13">
        <w:trPr>
          <w:gridAfter w:val="1"/>
          <w:wAfter w:w="128" w:type="dxa"/>
          <w:trHeight w:val="20"/>
        </w:trPr>
        <w:tc>
          <w:tcPr>
            <w:tcW w:w="3442" w:type="dxa"/>
            <w:vMerge/>
            <w:tcBorders>
              <w:left w:val="single" w:sz="4" w:space="0" w:color="000000"/>
              <w:right w:val="single" w:sz="4" w:space="0" w:color="000000"/>
            </w:tcBorders>
          </w:tcPr>
          <w:p w14:paraId="3DF4AA23"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E2FC619" w14:textId="77777777" w:rsidR="002972D3" w:rsidRPr="00A247CB" w:rsidRDefault="002972D3" w:rsidP="002972D3">
            <w:pPr>
              <w:widowControl w:val="0"/>
              <w:spacing w:after="0" w:line="242" w:lineRule="exact"/>
              <w:ind w:left="150" w:right="-20"/>
              <w:rPr>
                <w:rFonts w:eastAsia="Calibri" w:cs="Calibri"/>
              </w:rPr>
            </w:pPr>
            <w:r>
              <w:rPr>
                <w:rFonts w:eastAsia="Calibri" w:cs="Calibri"/>
                <w:lang w:val="en-GB"/>
              </w:rPr>
              <w:t>The prospectus</w:t>
            </w:r>
          </w:p>
        </w:tc>
        <w:tc>
          <w:tcPr>
            <w:tcW w:w="1312" w:type="dxa"/>
            <w:gridSpan w:val="2"/>
            <w:tcBorders>
              <w:top w:val="single" w:sz="4" w:space="0" w:color="000000"/>
              <w:left w:val="single" w:sz="4" w:space="0" w:color="000000"/>
              <w:bottom w:val="single" w:sz="4" w:space="0" w:color="000000"/>
              <w:right w:val="single" w:sz="4" w:space="0" w:color="000000"/>
            </w:tcBorders>
          </w:tcPr>
          <w:p w14:paraId="39CF8E90" w14:textId="77777777" w:rsidR="002972D3" w:rsidRPr="00A247CB" w:rsidRDefault="002972D3" w:rsidP="002972D3">
            <w:pPr>
              <w:widowControl w:val="0"/>
              <w:spacing w:after="0" w:line="242" w:lineRule="exact"/>
              <w:ind w:left="148" w:right="-20"/>
              <w:rPr>
                <w:rFonts w:eastAsia="Calibri" w:cs="Calibri"/>
              </w:rPr>
            </w:pPr>
            <w:r>
              <w:rPr>
                <w:rFonts w:eastAsia="Calibri" w:cs="Calibri"/>
                <w:lang w:val="en-GB"/>
              </w:rPr>
              <w:t>Section 129</w:t>
            </w:r>
          </w:p>
        </w:tc>
      </w:tr>
      <w:tr w:rsidR="002972D3" w:rsidRPr="0010391B" w14:paraId="4958AD51" w14:textId="77777777" w:rsidTr="00B02B13">
        <w:trPr>
          <w:gridAfter w:val="1"/>
          <w:wAfter w:w="128" w:type="dxa"/>
          <w:trHeight w:val="20"/>
        </w:trPr>
        <w:tc>
          <w:tcPr>
            <w:tcW w:w="3442" w:type="dxa"/>
            <w:vMerge/>
            <w:tcBorders>
              <w:left w:val="single" w:sz="4" w:space="0" w:color="000000"/>
              <w:right w:val="single" w:sz="4" w:space="0" w:color="000000"/>
            </w:tcBorders>
          </w:tcPr>
          <w:p w14:paraId="2686C8E4"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BD59CC9"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Key investor information</w:t>
            </w:r>
          </w:p>
        </w:tc>
        <w:tc>
          <w:tcPr>
            <w:tcW w:w="1312" w:type="dxa"/>
            <w:gridSpan w:val="2"/>
            <w:tcBorders>
              <w:top w:val="single" w:sz="4" w:space="0" w:color="000000"/>
              <w:left w:val="single" w:sz="4" w:space="0" w:color="000000"/>
              <w:bottom w:val="single" w:sz="4" w:space="0" w:color="000000"/>
              <w:right w:val="single" w:sz="4" w:space="0" w:color="000000"/>
            </w:tcBorders>
          </w:tcPr>
          <w:p w14:paraId="6CEC8935"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130</w:t>
            </w:r>
          </w:p>
        </w:tc>
      </w:tr>
      <w:tr w:rsidR="002972D3" w:rsidRPr="0010391B" w14:paraId="0EF00468" w14:textId="77777777" w:rsidTr="00B02B13">
        <w:trPr>
          <w:gridAfter w:val="1"/>
          <w:wAfter w:w="128" w:type="dxa"/>
          <w:trHeight w:val="20"/>
        </w:trPr>
        <w:tc>
          <w:tcPr>
            <w:tcW w:w="3442" w:type="dxa"/>
            <w:vMerge/>
            <w:tcBorders>
              <w:left w:val="single" w:sz="4" w:space="0" w:color="000000"/>
              <w:right w:val="single" w:sz="4" w:space="0" w:color="000000"/>
            </w:tcBorders>
          </w:tcPr>
          <w:p w14:paraId="69FDC807"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7EF98F2" w14:textId="77777777" w:rsidR="002972D3" w:rsidRPr="00A247CB" w:rsidRDefault="002972D3" w:rsidP="002972D3">
            <w:pPr>
              <w:widowControl w:val="0"/>
              <w:spacing w:before="2" w:after="0" w:line="238" w:lineRule="auto"/>
              <w:ind w:left="105" w:right="53"/>
              <w:rPr>
                <w:rFonts w:eastAsia="Calibri" w:cs="Calibri"/>
              </w:rPr>
            </w:pPr>
            <w:r>
              <w:rPr>
                <w:rFonts w:eastAsia="Calibri" w:cs="Calibri"/>
                <w:lang w:val="en-GB"/>
              </w:rPr>
              <w:t>Regular disclosure and reporting obligations of public investments funds</w:t>
            </w:r>
          </w:p>
        </w:tc>
        <w:tc>
          <w:tcPr>
            <w:tcW w:w="1312" w:type="dxa"/>
            <w:gridSpan w:val="2"/>
            <w:tcBorders>
              <w:top w:val="single" w:sz="4" w:space="0" w:color="000000"/>
              <w:left w:val="single" w:sz="4" w:space="0" w:color="000000"/>
              <w:bottom w:val="single" w:sz="4" w:space="0" w:color="000000"/>
              <w:right w:val="single" w:sz="4" w:space="0" w:color="000000"/>
            </w:tcBorders>
          </w:tcPr>
          <w:p w14:paraId="4DCB650A" w14:textId="77777777" w:rsidR="002972D3" w:rsidRPr="00A247CB" w:rsidRDefault="002972D3" w:rsidP="002972D3">
            <w:pPr>
              <w:widowControl w:val="0"/>
              <w:spacing w:after="0" w:line="240" w:lineRule="auto"/>
              <w:ind w:left="148" w:right="-20"/>
              <w:rPr>
                <w:rFonts w:eastAsia="Calibri" w:cs="Calibri"/>
              </w:rPr>
            </w:pPr>
            <w:r>
              <w:rPr>
                <w:rFonts w:eastAsia="Calibri" w:cs="Calibri"/>
                <w:lang w:val="en-GB"/>
              </w:rPr>
              <w:t>Sections 131–135</w:t>
            </w:r>
          </w:p>
        </w:tc>
      </w:tr>
      <w:tr w:rsidR="002972D3" w:rsidRPr="0010391B" w14:paraId="313F6598" w14:textId="77777777" w:rsidTr="00B02B13">
        <w:trPr>
          <w:gridAfter w:val="1"/>
          <w:wAfter w:w="128" w:type="dxa"/>
          <w:trHeight w:val="20"/>
        </w:trPr>
        <w:tc>
          <w:tcPr>
            <w:tcW w:w="3442" w:type="dxa"/>
            <w:vMerge/>
            <w:tcBorders>
              <w:left w:val="single" w:sz="4" w:space="0" w:color="000000"/>
              <w:right w:val="single" w:sz="4" w:space="0" w:color="000000"/>
            </w:tcBorders>
          </w:tcPr>
          <w:p w14:paraId="28E5C01B"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10799BD"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Other rules pertaining to the disclosure of other information related to public investment funds</w:t>
            </w:r>
          </w:p>
        </w:tc>
        <w:tc>
          <w:tcPr>
            <w:tcW w:w="1312" w:type="dxa"/>
            <w:gridSpan w:val="2"/>
            <w:tcBorders>
              <w:top w:val="single" w:sz="4" w:space="0" w:color="000000"/>
              <w:left w:val="single" w:sz="4" w:space="0" w:color="000000"/>
              <w:bottom w:val="single" w:sz="4" w:space="0" w:color="000000"/>
              <w:right w:val="single" w:sz="4" w:space="0" w:color="000000"/>
            </w:tcBorders>
          </w:tcPr>
          <w:p w14:paraId="6BA19789" w14:textId="0FDF3C64"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136</w:t>
            </w:r>
          </w:p>
        </w:tc>
      </w:tr>
      <w:tr w:rsidR="002972D3" w:rsidRPr="0010391B" w14:paraId="733445FC" w14:textId="77777777" w:rsidTr="00B02B13">
        <w:trPr>
          <w:gridAfter w:val="1"/>
          <w:wAfter w:w="128" w:type="dxa"/>
          <w:trHeight w:val="20"/>
        </w:trPr>
        <w:tc>
          <w:tcPr>
            <w:tcW w:w="3442" w:type="dxa"/>
            <w:vMerge/>
            <w:tcBorders>
              <w:left w:val="single" w:sz="4" w:space="0" w:color="000000"/>
              <w:bottom w:val="single" w:sz="4" w:space="0" w:color="000000"/>
              <w:right w:val="single" w:sz="4" w:space="0" w:color="000000"/>
            </w:tcBorders>
          </w:tcPr>
          <w:p w14:paraId="682957C0"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1518514C" w14:textId="77777777" w:rsidR="002972D3" w:rsidRPr="00A247CB" w:rsidRDefault="002972D3" w:rsidP="002972D3">
            <w:pPr>
              <w:widowControl w:val="0"/>
              <w:spacing w:after="0" w:line="242" w:lineRule="exact"/>
              <w:ind w:left="150" w:right="-20"/>
              <w:rPr>
                <w:rFonts w:eastAsia="Calibri" w:cs="Calibri"/>
              </w:rPr>
            </w:pPr>
            <w:r>
              <w:rPr>
                <w:rFonts w:eastAsia="Calibri" w:cs="Calibri"/>
                <w:lang w:val="en-GB"/>
              </w:rPr>
              <w:t>Extraordinary disclosure obligation of public</w:t>
            </w:r>
          </w:p>
          <w:p w14:paraId="60F37D57"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investment funds</w:t>
            </w:r>
          </w:p>
        </w:tc>
        <w:tc>
          <w:tcPr>
            <w:tcW w:w="1312" w:type="dxa"/>
            <w:gridSpan w:val="2"/>
            <w:tcBorders>
              <w:top w:val="single" w:sz="4" w:space="0" w:color="000000"/>
              <w:left w:val="single" w:sz="4" w:space="0" w:color="000000"/>
              <w:bottom w:val="single" w:sz="4" w:space="0" w:color="000000"/>
              <w:right w:val="single" w:sz="4" w:space="0" w:color="000000"/>
            </w:tcBorders>
          </w:tcPr>
          <w:p w14:paraId="781C5D4D"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139</w:t>
            </w:r>
          </w:p>
        </w:tc>
      </w:tr>
      <w:tr w:rsidR="002972D3" w:rsidRPr="0010391B" w14:paraId="32A7B6BB" w14:textId="77777777" w:rsidTr="00B02B13">
        <w:trPr>
          <w:gridAfter w:val="2"/>
          <w:wAfter w:w="164" w:type="dxa"/>
          <w:trHeight w:val="20"/>
        </w:trPr>
        <w:tc>
          <w:tcPr>
            <w:tcW w:w="3442" w:type="dxa"/>
            <w:tcBorders>
              <w:top w:val="single" w:sz="4" w:space="0" w:color="000000"/>
              <w:left w:val="single" w:sz="4" w:space="0" w:color="000000"/>
              <w:bottom w:val="single" w:sz="4" w:space="0" w:color="000000"/>
              <w:right w:val="single" w:sz="4" w:space="0" w:color="000000"/>
            </w:tcBorders>
          </w:tcPr>
          <w:p w14:paraId="4B17298E" w14:textId="77777777" w:rsidR="002972D3" w:rsidRPr="00A247CB" w:rsidRDefault="002972D3" w:rsidP="002972D3">
            <w:pPr>
              <w:widowControl w:val="0"/>
              <w:spacing w:after="200"/>
              <w:rPr>
                <w:rFonts w:eastAsia="Calibri" w:cs="Times New Roman"/>
              </w:rPr>
            </w:pPr>
          </w:p>
        </w:tc>
        <w:tc>
          <w:tcPr>
            <w:tcW w:w="4536" w:type="dxa"/>
            <w:gridSpan w:val="2"/>
            <w:tcBorders>
              <w:top w:val="single" w:sz="4" w:space="0" w:color="000000"/>
              <w:left w:val="single" w:sz="4" w:space="0" w:color="000000"/>
              <w:bottom w:val="single" w:sz="4" w:space="0" w:color="000000"/>
              <w:right w:val="single" w:sz="4" w:space="0" w:color="000000"/>
            </w:tcBorders>
          </w:tcPr>
          <w:p w14:paraId="52A1FA96" w14:textId="77777777" w:rsidR="002972D3" w:rsidRPr="00A247CB" w:rsidRDefault="002972D3" w:rsidP="002972D3">
            <w:pPr>
              <w:widowControl w:val="0"/>
              <w:spacing w:after="0" w:line="240" w:lineRule="auto"/>
              <w:ind w:left="150" w:right="-20"/>
              <w:rPr>
                <w:rFonts w:eastAsia="Calibri" w:cs="Calibri"/>
              </w:rPr>
            </w:pPr>
            <w:r>
              <w:rPr>
                <w:rFonts w:eastAsia="Calibri" w:cs="Calibri"/>
                <w:lang w:val="en-GB"/>
              </w:rPr>
              <w:t>Method of complying with the disclosure obligation</w:t>
            </w:r>
          </w:p>
        </w:tc>
        <w:tc>
          <w:tcPr>
            <w:tcW w:w="1276" w:type="dxa"/>
            <w:tcBorders>
              <w:top w:val="single" w:sz="4" w:space="0" w:color="000000"/>
              <w:left w:val="single" w:sz="4" w:space="0" w:color="000000"/>
              <w:bottom w:val="single" w:sz="4" w:space="0" w:color="000000"/>
              <w:right w:val="single" w:sz="4" w:space="0" w:color="000000"/>
            </w:tcBorders>
          </w:tcPr>
          <w:p w14:paraId="2B1729B4"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 141</w:t>
            </w:r>
          </w:p>
        </w:tc>
      </w:tr>
      <w:tr w:rsidR="002972D3" w:rsidRPr="0010391B" w14:paraId="5059FA0B" w14:textId="77777777" w:rsidTr="00B02B13">
        <w:trPr>
          <w:gridAfter w:val="2"/>
          <w:wAfter w:w="164" w:type="dxa"/>
          <w:trHeight w:val="20"/>
        </w:trPr>
        <w:tc>
          <w:tcPr>
            <w:tcW w:w="3442" w:type="dxa"/>
            <w:tcBorders>
              <w:top w:val="single" w:sz="4" w:space="0" w:color="000000"/>
              <w:left w:val="single" w:sz="4" w:space="0" w:color="000000"/>
              <w:bottom w:val="single" w:sz="4" w:space="0" w:color="000000"/>
              <w:right w:val="single" w:sz="4" w:space="0" w:color="000000"/>
            </w:tcBorders>
          </w:tcPr>
          <w:p w14:paraId="3BA2CFF8" w14:textId="10453C6C" w:rsidR="002972D3" w:rsidRPr="00A247CB" w:rsidRDefault="00ED0DA6" w:rsidP="002972D3">
            <w:pPr>
              <w:widowControl w:val="0"/>
              <w:spacing w:after="0" w:line="242" w:lineRule="exact"/>
              <w:ind w:left="103" w:right="-20"/>
              <w:rPr>
                <w:rFonts w:eastAsia="Calibri" w:cs="Calibri"/>
              </w:rPr>
            </w:pPr>
            <w:r>
              <w:rPr>
                <w:rFonts w:eastAsia="Calibri" w:cs="Calibri"/>
                <w:lang w:val="en-GB"/>
              </w:rPr>
              <w:t>Act XXX of 1997 on Mortgage Loan Companies and Mortgage Bonds</w:t>
            </w:r>
          </w:p>
        </w:tc>
        <w:tc>
          <w:tcPr>
            <w:tcW w:w="4536" w:type="dxa"/>
            <w:gridSpan w:val="2"/>
            <w:tcBorders>
              <w:top w:val="single" w:sz="4" w:space="0" w:color="000000"/>
              <w:left w:val="single" w:sz="4" w:space="0" w:color="000000"/>
              <w:bottom w:val="single" w:sz="4" w:space="0" w:color="000000"/>
              <w:right w:val="single" w:sz="4" w:space="0" w:color="000000"/>
            </w:tcBorders>
          </w:tcPr>
          <w:p w14:paraId="70111DE7"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Obligation to provide information</w:t>
            </w:r>
          </w:p>
        </w:tc>
        <w:tc>
          <w:tcPr>
            <w:tcW w:w="1276" w:type="dxa"/>
            <w:tcBorders>
              <w:top w:val="single" w:sz="4" w:space="0" w:color="000000"/>
              <w:left w:val="single" w:sz="4" w:space="0" w:color="000000"/>
              <w:bottom w:val="single" w:sz="4" w:space="0" w:color="000000"/>
              <w:right w:val="single" w:sz="4" w:space="0" w:color="000000"/>
            </w:tcBorders>
          </w:tcPr>
          <w:p w14:paraId="5BB52BB1"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18–19</w:t>
            </w:r>
          </w:p>
        </w:tc>
      </w:tr>
      <w:tr w:rsidR="00DF2C5F" w14:paraId="77929ACF" w14:textId="77777777" w:rsidTr="00B0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2"/>
          <w:wAfter w:w="164" w:type="dxa"/>
          <w:trHeight w:val="20"/>
        </w:trPr>
        <w:tc>
          <w:tcPr>
            <w:tcW w:w="3465" w:type="dxa"/>
            <w:gridSpan w:val="2"/>
            <w:vMerge w:val="restart"/>
            <w:tcBorders>
              <w:top w:val="single" w:sz="4" w:space="0" w:color="auto"/>
              <w:left w:val="single" w:sz="4" w:space="0" w:color="auto"/>
              <w:right w:val="single" w:sz="4" w:space="0" w:color="auto"/>
            </w:tcBorders>
            <w:hideMark/>
          </w:tcPr>
          <w:p w14:paraId="394FDAE6" w14:textId="4B2BB96D" w:rsidR="00DF2C5F" w:rsidRDefault="00ED0DA6">
            <w:pPr>
              <w:widowControl w:val="0"/>
              <w:spacing w:after="0"/>
              <w:rPr>
                <w:rFonts w:eastAsia="Calibri" w:cs="Times New Roman"/>
              </w:rPr>
            </w:pPr>
            <w:r>
              <w:rPr>
                <w:rFonts w:eastAsia="Calibri" w:cs="Times New Roman"/>
                <w:lang w:val="en-GB"/>
              </w:rPr>
              <w:t>Act LIII of 2017 on the Prevention and Combating of Money Laundering and Terrorist Financing</w:t>
            </w:r>
          </w:p>
        </w:tc>
        <w:tc>
          <w:tcPr>
            <w:tcW w:w="4513" w:type="dxa"/>
            <w:tcBorders>
              <w:top w:val="single" w:sz="4" w:space="0" w:color="auto"/>
              <w:left w:val="single" w:sz="4" w:space="0" w:color="auto"/>
              <w:bottom w:val="single" w:sz="4" w:space="0" w:color="auto"/>
              <w:right w:val="single" w:sz="4" w:space="0" w:color="auto"/>
            </w:tcBorders>
            <w:hideMark/>
          </w:tcPr>
          <w:p w14:paraId="478D7D79" w14:textId="77777777" w:rsidR="00DF2C5F" w:rsidRDefault="00DF2C5F">
            <w:pPr>
              <w:widowControl w:val="0"/>
              <w:spacing w:after="0"/>
              <w:rPr>
                <w:rFonts w:eastAsia="Calibri" w:cs="Times New Roman"/>
              </w:rPr>
            </w:pPr>
            <w:r>
              <w:rPr>
                <w:rFonts w:eastAsia="Calibri" w:cs="Times New Roman"/>
                <w:lang w:val="en-GB"/>
              </w:rPr>
              <w:t>Scope of the Act</w:t>
            </w:r>
          </w:p>
        </w:tc>
        <w:tc>
          <w:tcPr>
            <w:tcW w:w="1276" w:type="dxa"/>
            <w:tcBorders>
              <w:top w:val="single" w:sz="4" w:space="0" w:color="auto"/>
              <w:left w:val="single" w:sz="4" w:space="0" w:color="auto"/>
              <w:bottom w:val="single" w:sz="4" w:space="0" w:color="auto"/>
              <w:right w:val="single" w:sz="4" w:space="0" w:color="auto"/>
            </w:tcBorders>
            <w:hideMark/>
          </w:tcPr>
          <w:p w14:paraId="1A137595" w14:textId="77777777" w:rsidR="00DF2C5F" w:rsidRDefault="00DF2C5F">
            <w:pPr>
              <w:widowControl w:val="0"/>
              <w:spacing w:after="0"/>
              <w:rPr>
                <w:rFonts w:eastAsia="Calibri" w:cs="Times New Roman"/>
              </w:rPr>
            </w:pPr>
            <w:r>
              <w:rPr>
                <w:rFonts w:eastAsia="Calibri" w:cs="Times New Roman"/>
                <w:lang w:val="en-GB"/>
              </w:rPr>
              <w:t xml:space="preserve">Section 1 </w:t>
            </w:r>
          </w:p>
        </w:tc>
      </w:tr>
      <w:tr w:rsidR="00DF2C5F" w14:paraId="55BF0ACC" w14:textId="77777777" w:rsidTr="00B0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2"/>
          <w:wAfter w:w="164" w:type="dxa"/>
          <w:trHeight w:val="20"/>
        </w:trPr>
        <w:tc>
          <w:tcPr>
            <w:tcW w:w="3465" w:type="dxa"/>
            <w:gridSpan w:val="2"/>
            <w:vMerge/>
            <w:tcBorders>
              <w:left w:val="single" w:sz="4" w:space="0" w:color="auto"/>
              <w:right w:val="single" w:sz="4" w:space="0" w:color="auto"/>
            </w:tcBorders>
            <w:vAlign w:val="center"/>
            <w:hideMark/>
          </w:tcPr>
          <w:p w14:paraId="4E49F48E" w14:textId="77777777" w:rsidR="00DF2C5F" w:rsidRDefault="00DF2C5F">
            <w:pPr>
              <w:spacing w:after="0" w:line="240" w:lineRule="auto"/>
              <w:rPr>
                <w:rFonts w:eastAsia="Calibri" w:cs="Times New Roman"/>
              </w:rPr>
            </w:pPr>
          </w:p>
        </w:tc>
        <w:tc>
          <w:tcPr>
            <w:tcW w:w="4513" w:type="dxa"/>
            <w:tcBorders>
              <w:top w:val="single" w:sz="4" w:space="0" w:color="auto"/>
              <w:left w:val="single" w:sz="4" w:space="0" w:color="auto"/>
              <w:bottom w:val="single" w:sz="4" w:space="0" w:color="auto"/>
              <w:right w:val="single" w:sz="4" w:space="0" w:color="auto"/>
            </w:tcBorders>
            <w:hideMark/>
          </w:tcPr>
          <w:p w14:paraId="0637C115" w14:textId="27F6E377" w:rsidR="00DF2C5F" w:rsidRDefault="00DF2C5F">
            <w:pPr>
              <w:widowControl w:val="0"/>
              <w:spacing w:after="0"/>
              <w:rPr>
                <w:rFonts w:eastAsia="Calibri" w:cs="Times New Roman"/>
              </w:rPr>
            </w:pPr>
            <w:r>
              <w:rPr>
                <w:rFonts w:eastAsia="Calibri" w:cs="Times New Roman"/>
                <w:lang w:val="en-GB"/>
              </w:rPr>
              <w:t>CCP</w:t>
            </w:r>
          </w:p>
        </w:tc>
        <w:tc>
          <w:tcPr>
            <w:tcW w:w="1276" w:type="dxa"/>
            <w:tcBorders>
              <w:top w:val="single" w:sz="4" w:space="0" w:color="auto"/>
              <w:left w:val="single" w:sz="4" w:space="0" w:color="auto"/>
              <w:right w:val="single" w:sz="4" w:space="0" w:color="auto"/>
            </w:tcBorders>
            <w:hideMark/>
          </w:tcPr>
          <w:p w14:paraId="23F6FFC6" w14:textId="33D92EA5" w:rsidR="00DF2C5F" w:rsidRDefault="00DF2C5F">
            <w:pPr>
              <w:widowControl w:val="0"/>
              <w:spacing w:after="0"/>
              <w:rPr>
                <w:rFonts w:eastAsia="Calibri" w:cs="Times New Roman"/>
              </w:rPr>
            </w:pPr>
            <w:r>
              <w:rPr>
                <w:rFonts w:eastAsia="Calibri" w:cs="Times New Roman"/>
                <w:lang w:val="en-GB"/>
              </w:rPr>
              <w:t>Section 61</w:t>
            </w:r>
          </w:p>
        </w:tc>
      </w:tr>
      <w:tr w:rsidR="00DF2C5F" w14:paraId="69FE0E7C" w14:textId="77777777" w:rsidTr="00B0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2"/>
          <w:wAfter w:w="164" w:type="dxa"/>
          <w:trHeight w:val="20"/>
        </w:trPr>
        <w:tc>
          <w:tcPr>
            <w:tcW w:w="3465" w:type="dxa"/>
            <w:gridSpan w:val="2"/>
            <w:vMerge/>
            <w:tcBorders>
              <w:left w:val="single" w:sz="4" w:space="0" w:color="auto"/>
              <w:right w:val="single" w:sz="4" w:space="0" w:color="auto"/>
            </w:tcBorders>
            <w:vAlign w:val="center"/>
          </w:tcPr>
          <w:p w14:paraId="61B7940F" w14:textId="77777777" w:rsidR="00DF2C5F" w:rsidRDefault="00DF2C5F">
            <w:pPr>
              <w:spacing w:after="0" w:line="240" w:lineRule="auto"/>
              <w:rPr>
                <w:rFonts w:eastAsia="Calibri" w:cs="Times New Roman"/>
              </w:rPr>
            </w:pPr>
          </w:p>
        </w:tc>
        <w:tc>
          <w:tcPr>
            <w:tcW w:w="4513" w:type="dxa"/>
            <w:tcBorders>
              <w:top w:val="single" w:sz="4" w:space="0" w:color="auto"/>
              <w:left w:val="single" w:sz="4" w:space="0" w:color="auto"/>
              <w:bottom w:val="single" w:sz="4" w:space="0" w:color="auto"/>
              <w:right w:val="single" w:sz="4" w:space="0" w:color="auto"/>
            </w:tcBorders>
          </w:tcPr>
          <w:p w14:paraId="5AB7F2DE" w14:textId="458119A2" w:rsidR="00DF2C5F" w:rsidRPr="00DF2C5F" w:rsidRDefault="00DF2C5F" w:rsidP="00DF2C5F">
            <w:pPr>
              <w:widowControl w:val="0"/>
              <w:spacing w:after="0"/>
              <w:rPr>
                <w:rFonts w:eastAsia="Calibri" w:cs="Times New Roman"/>
              </w:rPr>
            </w:pPr>
            <w:r>
              <w:rPr>
                <w:rFonts w:eastAsia="Calibri" w:cs="Times New Roman"/>
                <w:lang w:val="en-GB"/>
              </w:rPr>
              <w:t>Internal regulations</w:t>
            </w:r>
          </w:p>
        </w:tc>
        <w:tc>
          <w:tcPr>
            <w:tcW w:w="1276" w:type="dxa"/>
            <w:tcBorders>
              <w:left w:val="single" w:sz="4" w:space="0" w:color="auto"/>
              <w:right w:val="single" w:sz="4" w:space="0" w:color="auto"/>
            </w:tcBorders>
          </w:tcPr>
          <w:p w14:paraId="5DED0C4F" w14:textId="6002CB0C" w:rsidR="00DF2C5F" w:rsidRPr="00DF2C5F" w:rsidRDefault="00DF2C5F" w:rsidP="00DF2C5F">
            <w:pPr>
              <w:widowControl w:val="0"/>
              <w:spacing w:after="0"/>
              <w:rPr>
                <w:rFonts w:eastAsia="Calibri" w:cs="Times New Roman"/>
              </w:rPr>
            </w:pPr>
            <w:r>
              <w:rPr>
                <w:rFonts w:eastAsia="Calibri" w:cs="Times New Roman"/>
                <w:lang w:val="en-GB"/>
              </w:rPr>
              <w:t>Section 65</w:t>
            </w:r>
          </w:p>
        </w:tc>
      </w:tr>
      <w:tr w:rsidR="00CB3842" w14:paraId="1ACB9381" w14:textId="77777777" w:rsidTr="00B0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2"/>
          <w:wAfter w:w="164" w:type="dxa"/>
          <w:trHeight w:val="20"/>
        </w:trPr>
        <w:tc>
          <w:tcPr>
            <w:tcW w:w="3465" w:type="dxa"/>
            <w:gridSpan w:val="2"/>
            <w:tcBorders>
              <w:left w:val="single" w:sz="4" w:space="0" w:color="auto"/>
              <w:right w:val="single" w:sz="4" w:space="0" w:color="auto"/>
            </w:tcBorders>
            <w:vAlign w:val="center"/>
          </w:tcPr>
          <w:p w14:paraId="3CDCA11F" w14:textId="30B46CAE" w:rsidR="00CB3842" w:rsidRDefault="00CB3842" w:rsidP="0048116C">
            <w:pPr>
              <w:widowControl w:val="0"/>
              <w:spacing w:after="0"/>
              <w:rPr>
                <w:rFonts w:eastAsia="Calibri" w:cs="Times New Roman"/>
              </w:rPr>
            </w:pPr>
            <w:r>
              <w:rPr>
                <w:rFonts w:eastAsia="Calibri" w:cs="Times New Roman"/>
                <w:lang w:val="en-GB"/>
              </w:rPr>
              <w:t>Act LII of 2017 on the Implementation of Financial and Proprietary Restrictive Measures ordered by the European Union and the UN Security Council</w:t>
            </w:r>
          </w:p>
        </w:tc>
        <w:tc>
          <w:tcPr>
            <w:tcW w:w="4513" w:type="dxa"/>
            <w:tcBorders>
              <w:top w:val="single" w:sz="4" w:space="0" w:color="auto"/>
              <w:left w:val="single" w:sz="4" w:space="0" w:color="auto"/>
              <w:bottom w:val="single" w:sz="4" w:space="0" w:color="auto"/>
              <w:right w:val="single" w:sz="4" w:space="0" w:color="auto"/>
            </w:tcBorders>
          </w:tcPr>
          <w:p w14:paraId="771DFECC" w14:textId="0B8BADA9" w:rsidR="00CB3842" w:rsidRDefault="00CB3842" w:rsidP="00CB3842">
            <w:pPr>
              <w:widowControl w:val="0"/>
              <w:spacing w:after="0"/>
              <w:rPr>
                <w:rFonts w:eastAsia="Calibri" w:cs="Times New Roman"/>
              </w:rPr>
            </w:pPr>
            <w:r>
              <w:rPr>
                <w:rFonts w:eastAsia="Calibri" w:cs="Times New Roman"/>
                <w:lang w:val="en-GB"/>
              </w:rPr>
              <w:t>Scope of the Act</w:t>
            </w:r>
          </w:p>
        </w:tc>
        <w:tc>
          <w:tcPr>
            <w:tcW w:w="1276" w:type="dxa"/>
            <w:tcBorders>
              <w:left w:val="single" w:sz="4" w:space="0" w:color="auto"/>
              <w:right w:val="single" w:sz="4" w:space="0" w:color="auto"/>
            </w:tcBorders>
          </w:tcPr>
          <w:p w14:paraId="54C4BE76" w14:textId="03D4E3AB" w:rsidR="00CB3842" w:rsidRDefault="00CB3842" w:rsidP="00CB3842">
            <w:pPr>
              <w:widowControl w:val="0"/>
              <w:spacing w:after="0"/>
              <w:rPr>
                <w:rFonts w:eastAsia="Calibri" w:cs="Times New Roman"/>
              </w:rPr>
            </w:pPr>
            <w:r>
              <w:rPr>
                <w:rFonts w:eastAsia="Calibri" w:cs="Times New Roman"/>
                <w:lang w:val="en-GB"/>
              </w:rPr>
              <w:t>Section 1</w:t>
            </w:r>
          </w:p>
        </w:tc>
      </w:tr>
      <w:tr w:rsidR="00CB3842" w14:paraId="7917F854" w14:textId="77777777" w:rsidTr="00B0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2"/>
          <w:wAfter w:w="164" w:type="dxa"/>
          <w:trHeight w:val="20"/>
        </w:trPr>
        <w:tc>
          <w:tcPr>
            <w:tcW w:w="3465" w:type="dxa"/>
            <w:gridSpan w:val="2"/>
            <w:tcBorders>
              <w:left w:val="single" w:sz="4" w:space="0" w:color="auto"/>
              <w:bottom w:val="single" w:sz="4" w:space="0" w:color="auto"/>
              <w:right w:val="single" w:sz="4" w:space="0" w:color="auto"/>
            </w:tcBorders>
            <w:vAlign w:val="center"/>
          </w:tcPr>
          <w:p w14:paraId="38447B15" w14:textId="77777777" w:rsidR="00CB3842" w:rsidRDefault="00CB3842" w:rsidP="00CB3842">
            <w:pPr>
              <w:spacing w:after="0" w:line="240" w:lineRule="auto"/>
              <w:rPr>
                <w:rFonts w:eastAsia="Calibri" w:cs="Times New Roman"/>
              </w:rPr>
            </w:pPr>
          </w:p>
        </w:tc>
        <w:tc>
          <w:tcPr>
            <w:tcW w:w="4513" w:type="dxa"/>
            <w:tcBorders>
              <w:top w:val="single" w:sz="4" w:space="0" w:color="auto"/>
              <w:left w:val="single" w:sz="4" w:space="0" w:color="auto"/>
              <w:bottom w:val="single" w:sz="4" w:space="0" w:color="auto"/>
              <w:right w:val="single" w:sz="4" w:space="0" w:color="auto"/>
            </w:tcBorders>
          </w:tcPr>
          <w:p w14:paraId="3632B896" w14:textId="2A4C662D" w:rsidR="00CB3842" w:rsidRDefault="00CB3842" w:rsidP="00CB3842">
            <w:pPr>
              <w:widowControl w:val="0"/>
              <w:spacing w:after="0"/>
              <w:rPr>
                <w:rFonts w:eastAsia="Calibri" w:cs="Times New Roman"/>
              </w:rPr>
            </w:pPr>
            <w:r>
              <w:rPr>
                <w:rFonts w:eastAsia="Calibri" w:cs="Times New Roman"/>
                <w:lang w:val="en-GB"/>
              </w:rPr>
              <w:t>Internal regulations</w:t>
            </w:r>
          </w:p>
        </w:tc>
        <w:tc>
          <w:tcPr>
            <w:tcW w:w="1276" w:type="dxa"/>
            <w:tcBorders>
              <w:left w:val="single" w:sz="4" w:space="0" w:color="auto"/>
              <w:bottom w:val="single" w:sz="4" w:space="0" w:color="auto"/>
              <w:right w:val="single" w:sz="4" w:space="0" w:color="auto"/>
            </w:tcBorders>
          </w:tcPr>
          <w:p w14:paraId="52E011CE" w14:textId="02464C20" w:rsidR="00CB3842" w:rsidRDefault="00CB3842" w:rsidP="00CB3842">
            <w:pPr>
              <w:widowControl w:val="0"/>
              <w:spacing w:after="0"/>
              <w:rPr>
                <w:rFonts w:eastAsia="Calibri" w:cs="Times New Roman"/>
              </w:rPr>
            </w:pPr>
            <w:r>
              <w:rPr>
                <w:rFonts w:eastAsia="Calibri" w:cs="Times New Roman"/>
                <w:lang w:val="en-GB"/>
              </w:rPr>
              <w:t xml:space="preserve">Section 3 </w:t>
            </w:r>
          </w:p>
        </w:tc>
      </w:tr>
    </w:tbl>
    <w:p w14:paraId="26DA628C" w14:textId="77777777" w:rsidR="002972D3" w:rsidRPr="00A247CB" w:rsidRDefault="002972D3" w:rsidP="002972D3">
      <w:pPr>
        <w:widowControl w:val="0"/>
        <w:spacing w:after="0"/>
        <w:rPr>
          <w:rFonts w:eastAsia="Calibri" w:cs="Times New Roman"/>
        </w:rPr>
        <w:sectPr w:rsidR="002972D3" w:rsidRPr="00A247CB">
          <w:headerReference w:type="even" r:id="rId11"/>
          <w:headerReference w:type="default" r:id="rId12"/>
          <w:footerReference w:type="even" r:id="rId13"/>
          <w:footerReference w:type="default" r:id="rId14"/>
          <w:headerReference w:type="first" r:id="rId15"/>
          <w:footerReference w:type="first" r:id="rId16"/>
          <w:pgSz w:w="11920" w:h="16840"/>
          <w:pgMar w:top="1300" w:right="1200" w:bottom="980" w:left="1200" w:header="0" w:footer="784" w:gutter="0"/>
          <w:cols w:space="708"/>
        </w:sectPr>
      </w:pPr>
    </w:p>
    <w:p w14:paraId="23035394" w14:textId="77777777" w:rsidR="002972D3" w:rsidRPr="00A247CB" w:rsidRDefault="002972D3" w:rsidP="002972D3">
      <w:pPr>
        <w:widowControl w:val="0"/>
        <w:spacing w:before="7" w:after="0" w:line="90" w:lineRule="exact"/>
        <w:rPr>
          <w:rFonts w:eastAsia="Calibri" w:cs="Times New Roman"/>
          <w:sz w:val="9"/>
          <w:szCs w:val="9"/>
        </w:rPr>
      </w:pPr>
    </w:p>
    <w:tbl>
      <w:tblPr>
        <w:tblW w:w="9396" w:type="dxa"/>
        <w:tblInd w:w="97" w:type="dxa"/>
        <w:tblLayout w:type="fixed"/>
        <w:tblCellMar>
          <w:left w:w="0" w:type="dxa"/>
          <w:right w:w="0" w:type="dxa"/>
        </w:tblCellMar>
        <w:tblLook w:val="01E0" w:firstRow="1" w:lastRow="1" w:firstColumn="1" w:lastColumn="1" w:noHBand="0" w:noVBand="0"/>
      </w:tblPr>
      <w:tblGrid>
        <w:gridCol w:w="3546"/>
        <w:gridCol w:w="4432"/>
        <w:gridCol w:w="18"/>
        <w:gridCol w:w="1400"/>
      </w:tblGrid>
      <w:tr w:rsidR="002972D3" w:rsidRPr="0010391B" w14:paraId="033BE200" w14:textId="77777777" w:rsidTr="00B65579">
        <w:trPr>
          <w:trHeight w:val="20"/>
          <w:tblHeader/>
        </w:trPr>
        <w:tc>
          <w:tcPr>
            <w:tcW w:w="9396" w:type="dxa"/>
            <w:gridSpan w:val="4"/>
            <w:tcBorders>
              <w:top w:val="single" w:sz="4" w:space="0" w:color="000000"/>
              <w:left w:val="single" w:sz="4" w:space="0" w:color="000000"/>
              <w:bottom w:val="single" w:sz="4" w:space="0" w:color="000000"/>
              <w:right w:val="single" w:sz="4" w:space="0" w:color="000000"/>
            </w:tcBorders>
            <w:shd w:val="clear" w:color="auto" w:fill="B6DDE8"/>
          </w:tcPr>
          <w:p w14:paraId="51AA0984" w14:textId="77777777" w:rsidR="002972D3" w:rsidRPr="00A247CB" w:rsidRDefault="002972D3" w:rsidP="002972D3">
            <w:pPr>
              <w:widowControl w:val="0"/>
              <w:spacing w:before="33" w:after="0" w:line="240" w:lineRule="auto"/>
              <w:ind w:left="4131" w:right="4113"/>
              <w:jc w:val="center"/>
              <w:rPr>
                <w:rFonts w:eastAsia="Calibri" w:cs="Calibri"/>
                <w:b/>
              </w:rPr>
            </w:pPr>
            <w:r>
              <w:rPr>
                <w:rFonts w:eastAsia="Calibri" w:cs="Calibri"/>
                <w:b/>
                <w:bCs/>
                <w:lang w:val="en-GB"/>
              </w:rPr>
              <w:t>Decrees</w:t>
            </w:r>
          </w:p>
        </w:tc>
      </w:tr>
      <w:tr w:rsidR="002972D3" w:rsidRPr="0010391B" w14:paraId="0034081D"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2B59D3B2" w14:textId="77777777" w:rsidR="002972D3" w:rsidRPr="00A247CB" w:rsidRDefault="002972D3" w:rsidP="004A6FFD">
            <w:pPr>
              <w:widowControl w:val="0"/>
              <w:spacing w:after="0" w:line="243" w:lineRule="exact"/>
              <w:ind w:left="103" w:right="-20"/>
              <w:rPr>
                <w:rFonts w:eastAsia="Calibri" w:cs="Calibri"/>
              </w:rPr>
            </w:pPr>
            <w:r>
              <w:rPr>
                <w:rFonts w:eastAsia="Calibri" w:cs="Calibri"/>
                <w:lang w:val="en-GB"/>
              </w:rPr>
              <w:t>Government Decree No 22/2008 (II. 7.) on the mandatory content elements of the Business Regulation of enterprises providing investment services, auxiliary investment services and commodity exchange services</w:t>
            </w:r>
          </w:p>
        </w:tc>
        <w:tc>
          <w:tcPr>
            <w:tcW w:w="4450" w:type="dxa"/>
            <w:gridSpan w:val="2"/>
            <w:tcBorders>
              <w:top w:val="single" w:sz="4" w:space="0" w:color="000000"/>
              <w:left w:val="single" w:sz="4" w:space="0" w:color="000000"/>
              <w:bottom w:val="single" w:sz="4" w:space="0" w:color="000000"/>
              <w:right w:val="single" w:sz="4" w:space="0" w:color="000000"/>
            </w:tcBorders>
          </w:tcPr>
          <w:p w14:paraId="301B2843" w14:textId="77777777" w:rsidR="002972D3" w:rsidRPr="00A247CB" w:rsidRDefault="002972D3" w:rsidP="002972D3">
            <w:pPr>
              <w:widowControl w:val="0"/>
              <w:spacing w:after="0" w:line="243" w:lineRule="exact"/>
              <w:ind w:left="105" w:right="-20"/>
              <w:rPr>
                <w:rFonts w:eastAsia="Calibri" w:cs="Calibri"/>
              </w:rPr>
            </w:pPr>
            <w:r>
              <w:rPr>
                <w:rFonts w:eastAsia="Calibri" w:cs="Calibri"/>
                <w:lang w:val="en-GB"/>
              </w:rPr>
              <w:t>Mandatory content elements of the Business Regulations</w:t>
            </w:r>
          </w:p>
        </w:tc>
        <w:tc>
          <w:tcPr>
            <w:tcW w:w="1400" w:type="dxa"/>
            <w:tcBorders>
              <w:top w:val="single" w:sz="4" w:space="0" w:color="000000"/>
              <w:left w:val="single" w:sz="4" w:space="0" w:color="000000"/>
              <w:bottom w:val="single" w:sz="4" w:space="0" w:color="000000"/>
              <w:right w:val="single" w:sz="4" w:space="0" w:color="000000"/>
            </w:tcBorders>
          </w:tcPr>
          <w:p w14:paraId="1CE45F98" w14:textId="77777777" w:rsidR="002972D3" w:rsidRPr="00A247CB" w:rsidRDefault="002972D3" w:rsidP="002972D3">
            <w:pPr>
              <w:widowControl w:val="0"/>
              <w:spacing w:after="0" w:line="243" w:lineRule="exact"/>
              <w:ind w:left="148" w:right="-20"/>
              <w:rPr>
                <w:rFonts w:eastAsia="Calibri" w:cs="Calibri"/>
              </w:rPr>
            </w:pPr>
            <w:r>
              <w:rPr>
                <w:rFonts w:eastAsia="Calibri" w:cs="Calibri"/>
                <w:lang w:val="en-GB"/>
              </w:rPr>
              <w:t>Sections 1–6</w:t>
            </w:r>
          </w:p>
        </w:tc>
      </w:tr>
      <w:tr w:rsidR="002972D3" w:rsidRPr="0010391B" w14:paraId="1095E27C"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6727F55C"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361/2009 (XII. 30) on the Conditions of prudential lending to households and on the assessment of creditworthiness</w:t>
            </w:r>
          </w:p>
        </w:tc>
        <w:tc>
          <w:tcPr>
            <w:tcW w:w="4450" w:type="dxa"/>
            <w:gridSpan w:val="2"/>
            <w:tcBorders>
              <w:top w:val="single" w:sz="4" w:space="0" w:color="000000"/>
              <w:left w:val="single" w:sz="4" w:space="0" w:color="000000"/>
              <w:bottom w:val="single" w:sz="4" w:space="0" w:color="000000"/>
              <w:right w:val="single" w:sz="4" w:space="0" w:color="000000"/>
            </w:tcBorders>
          </w:tcPr>
          <w:p w14:paraId="02FCA670" w14:textId="77777777" w:rsidR="002972D3" w:rsidRPr="00A247CB" w:rsidRDefault="002972D3" w:rsidP="002972D3">
            <w:pPr>
              <w:widowControl w:val="0"/>
              <w:tabs>
                <w:tab w:val="left" w:pos="540"/>
                <w:tab w:val="left" w:pos="1880"/>
                <w:tab w:val="left" w:pos="2940"/>
                <w:tab w:val="left" w:pos="3980"/>
              </w:tabs>
              <w:spacing w:after="0" w:line="242" w:lineRule="exact"/>
              <w:ind w:left="105" w:right="-20"/>
              <w:rPr>
                <w:rFonts w:eastAsia="Calibri" w:cs="Calibri"/>
              </w:rPr>
            </w:pPr>
            <w:r>
              <w:rPr>
                <w:rFonts w:eastAsia="Calibri" w:cs="Calibri"/>
                <w:lang w:val="en-GB"/>
              </w:rPr>
              <w:t>General requirements pertaining to prudential lending to households</w:t>
            </w:r>
          </w:p>
        </w:tc>
        <w:tc>
          <w:tcPr>
            <w:tcW w:w="1400" w:type="dxa"/>
            <w:tcBorders>
              <w:top w:val="single" w:sz="4" w:space="0" w:color="000000"/>
              <w:left w:val="single" w:sz="4" w:space="0" w:color="000000"/>
              <w:bottom w:val="single" w:sz="4" w:space="0" w:color="000000"/>
              <w:right w:val="single" w:sz="4" w:space="0" w:color="000000"/>
            </w:tcBorders>
          </w:tcPr>
          <w:p w14:paraId="3189DAA6" w14:textId="18EEC936" w:rsidR="002972D3" w:rsidRPr="00A247CB" w:rsidRDefault="002972D3" w:rsidP="002972D3">
            <w:pPr>
              <w:widowControl w:val="0"/>
              <w:spacing w:after="0" w:line="242" w:lineRule="exact"/>
              <w:ind w:left="148" w:right="-20"/>
              <w:rPr>
                <w:rFonts w:eastAsia="Calibri" w:cs="Calibri"/>
              </w:rPr>
            </w:pPr>
            <w:r>
              <w:rPr>
                <w:rFonts w:eastAsia="Calibri" w:cs="Calibri"/>
                <w:lang w:val="en-GB"/>
              </w:rPr>
              <w:t>Sections 3–5</w:t>
            </w:r>
          </w:p>
        </w:tc>
      </w:tr>
      <w:tr w:rsidR="002972D3" w:rsidRPr="0010391B" w14:paraId="2F134E9C" w14:textId="77777777" w:rsidTr="00B65579">
        <w:trPr>
          <w:trHeight w:val="20"/>
        </w:trPr>
        <w:tc>
          <w:tcPr>
            <w:tcW w:w="3546" w:type="dxa"/>
            <w:vMerge/>
            <w:tcBorders>
              <w:left w:val="single" w:sz="4" w:space="0" w:color="000000"/>
              <w:bottom w:val="single" w:sz="4" w:space="0" w:color="000000"/>
              <w:right w:val="single" w:sz="4" w:space="0" w:color="000000"/>
            </w:tcBorders>
          </w:tcPr>
          <w:p w14:paraId="611E60CC"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6574635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Rules pertaining to car purchase financing loans</w:t>
            </w:r>
          </w:p>
          <w:p w14:paraId="3D13529A" w14:textId="77777777" w:rsidR="002972D3" w:rsidRPr="00A247CB" w:rsidRDefault="002972D3" w:rsidP="002972D3">
            <w:pPr>
              <w:widowControl w:val="0"/>
              <w:spacing w:after="0" w:line="240" w:lineRule="auto"/>
              <w:ind w:left="105" w:right="-20"/>
              <w:rPr>
                <w:rFonts w:eastAsia="Calibri" w:cs="Calibri"/>
              </w:rPr>
            </w:pPr>
          </w:p>
        </w:tc>
        <w:tc>
          <w:tcPr>
            <w:tcW w:w="1400" w:type="dxa"/>
            <w:tcBorders>
              <w:top w:val="single" w:sz="4" w:space="0" w:color="000000"/>
              <w:left w:val="single" w:sz="4" w:space="0" w:color="000000"/>
              <w:bottom w:val="single" w:sz="4" w:space="0" w:color="000000"/>
              <w:right w:val="single" w:sz="4" w:space="0" w:color="000000"/>
            </w:tcBorders>
          </w:tcPr>
          <w:p w14:paraId="2954A38E"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7</w:t>
            </w:r>
          </w:p>
        </w:tc>
      </w:tr>
      <w:tr w:rsidR="002972D3" w:rsidRPr="0010391B" w14:paraId="4D91E6BB"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12BB9037"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82/2010 (III. 25.) on calculating and announcing deposit interest rates and securities’ yields</w:t>
            </w:r>
          </w:p>
        </w:tc>
        <w:tc>
          <w:tcPr>
            <w:tcW w:w="4450" w:type="dxa"/>
            <w:gridSpan w:val="2"/>
            <w:tcBorders>
              <w:top w:val="single" w:sz="4" w:space="0" w:color="000000"/>
              <w:left w:val="single" w:sz="4" w:space="0" w:color="000000"/>
              <w:bottom w:val="single" w:sz="4" w:space="0" w:color="000000"/>
              <w:right w:val="single" w:sz="4" w:space="0" w:color="000000"/>
            </w:tcBorders>
          </w:tcPr>
          <w:p w14:paraId="2C6D132B" w14:textId="3E9028A1" w:rsidR="002972D3" w:rsidRPr="00A247CB" w:rsidRDefault="002972D3" w:rsidP="00800D78">
            <w:pPr>
              <w:widowControl w:val="0"/>
              <w:spacing w:after="0" w:line="242" w:lineRule="exact"/>
              <w:ind w:left="105" w:right="-20"/>
              <w:rPr>
                <w:rFonts w:eastAsia="Calibri" w:cs="Calibri"/>
              </w:rPr>
            </w:pPr>
            <w:r>
              <w:rPr>
                <w:rFonts w:eastAsia="Calibri" w:cs="Calibri"/>
                <w:lang w:val="en-GB"/>
              </w:rPr>
              <w:t>Calculation of the Unified Deposit Rate Index; Calculation of the Unified Securities Yield Index</w:t>
            </w:r>
          </w:p>
        </w:tc>
        <w:tc>
          <w:tcPr>
            <w:tcW w:w="1400" w:type="dxa"/>
            <w:tcBorders>
              <w:top w:val="single" w:sz="4" w:space="0" w:color="000000"/>
              <w:left w:val="single" w:sz="4" w:space="0" w:color="000000"/>
              <w:bottom w:val="single" w:sz="4" w:space="0" w:color="000000"/>
              <w:right w:val="single" w:sz="4" w:space="0" w:color="000000"/>
            </w:tcBorders>
          </w:tcPr>
          <w:p w14:paraId="6F852558"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3–5, Section 8</w:t>
            </w:r>
          </w:p>
          <w:p w14:paraId="7A5E7FC0" w14:textId="77777777" w:rsidR="002972D3" w:rsidRDefault="002972D3" w:rsidP="002972D3">
            <w:pPr>
              <w:widowControl w:val="0"/>
              <w:spacing w:after="0" w:line="240" w:lineRule="auto"/>
              <w:ind w:left="102" w:right="-20"/>
              <w:rPr>
                <w:rFonts w:eastAsia="Calibri" w:cs="Calibri"/>
              </w:rPr>
            </w:pPr>
          </w:p>
          <w:p w14:paraId="7DFB9A7D" w14:textId="77777777" w:rsidR="00800D78" w:rsidRPr="00800D78" w:rsidRDefault="00800D78" w:rsidP="00800D78">
            <w:pPr>
              <w:widowControl w:val="0"/>
              <w:spacing w:after="0" w:line="240" w:lineRule="auto"/>
              <w:ind w:left="102" w:right="-20"/>
              <w:rPr>
                <w:rFonts w:eastAsia="Calibri" w:cs="Calibri"/>
              </w:rPr>
            </w:pPr>
            <w:r>
              <w:rPr>
                <w:rFonts w:eastAsia="Calibri" w:cs="Calibri"/>
                <w:lang w:val="en-GB"/>
              </w:rPr>
              <w:t>Annexes 1 to 5</w:t>
            </w:r>
          </w:p>
          <w:p w14:paraId="61F6A12B" w14:textId="3862994F" w:rsidR="00800D78" w:rsidRPr="00A247CB" w:rsidRDefault="00800D78" w:rsidP="00800D78">
            <w:pPr>
              <w:widowControl w:val="0"/>
              <w:spacing w:after="0" w:line="240" w:lineRule="auto"/>
              <w:ind w:left="102" w:right="-20"/>
              <w:rPr>
                <w:rFonts w:eastAsia="Calibri" w:cs="Calibri"/>
              </w:rPr>
            </w:pPr>
          </w:p>
        </w:tc>
      </w:tr>
      <w:tr w:rsidR="002972D3" w:rsidRPr="0010391B" w14:paraId="22653257" w14:textId="77777777" w:rsidTr="00B65579">
        <w:trPr>
          <w:trHeight w:val="20"/>
        </w:trPr>
        <w:tc>
          <w:tcPr>
            <w:tcW w:w="3546" w:type="dxa"/>
            <w:vMerge/>
            <w:tcBorders>
              <w:left w:val="single" w:sz="4" w:space="0" w:color="000000"/>
              <w:bottom w:val="single" w:sz="4" w:space="0" w:color="000000"/>
              <w:right w:val="single" w:sz="4" w:space="0" w:color="000000"/>
            </w:tcBorders>
          </w:tcPr>
          <w:p w14:paraId="714D744A"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43732B5A" w14:textId="77777777" w:rsidR="002972D3" w:rsidRPr="00A247CB" w:rsidRDefault="002972D3" w:rsidP="002972D3">
            <w:pPr>
              <w:widowControl w:val="0"/>
              <w:tabs>
                <w:tab w:val="left" w:pos="420"/>
                <w:tab w:val="left" w:pos="1120"/>
                <w:tab w:val="left" w:pos="2080"/>
                <w:tab w:val="left" w:pos="3280"/>
                <w:tab w:val="left" w:pos="3680"/>
              </w:tabs>
              <w:spacing w:after="0" w:line="242" w:lineRule="exact"/>
              <w:ind w:left="105" w:right="-20"/>
              <w:rPr>
                <w:rFonts w:eastAsia="Calibri" w:cs="Calibri"/>
              </w:rPr>
            </w:pPr>
            <w:r>
              <w:rPr>
                <w:rFonts w:eastAsia="Calibri" w:cs="Calibri"/>
                <w:lang w:val="en-GB"/>
              </w:rPr>
              <w:t>Announcement of deposit rates; Announcement of securities yields</w:t>
            </w:r>
          </w:p>
        </w:tc>
        <w:tc>
          <w:tcPr>
            <w:tcW w:w="1400" w:type="dxa"/>
            <w:tcBorders>
              <w:top w:val="single" w:sz="4" w:space="0" w:color="000000"/>
              <w:left w:val="single" w:sz="4" w:space="0" w:color="000000"/>
              <w:bottom w:val="single" w:sz="4" w:space="0" w:color="000000"/>
              <w:right w:val="single" w:sz="4" w:space="0" w:color="000000"/>
            </w:tcBorders>
          </w:tcPr>
          <w:p w14:paraId="3452E7E6"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6–7, Section 9</w:t>
            </w:r>
          </w:p>
          <w:p w14:paraId="6B9731FA" w14:textId="77777777" w:rsidR="002972D3" w:rsidRPr="00A247CB" w:rsidRDefault="002972D3" w:rsidP="002972D3">
            <w:pPr>
              <w:widowControl w:val="0"/>
              <w:spacing w:after="0" w:line="240" w:lineRule="auto"/>
              <w:ind w:left="102" w:right="-20"/>
              <w:rPr>
                <w:rFonts w:eastAsia="Calibri" w:cs="Calibri"/>
              </w:rPr>
            </w:pPr>
          </w:p>
        </w:tc>
      </w:tr>
      <w:tr w:rsidR="002972D3" w:rsidRPr="0010391B" w14:paraId="6E2506B7"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1F490A73"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163/2011 (VIII. 22.) on the Excessively high monthly instalment related to credit facility contract for overflow account loans</w:t>
            </w:r>
          </w:p>
        </w:tc>
        <w:tc>
          <w:tcPr>
            <w:tcW w:w="4450" w:type="dxa"/>
            <w:gridSpan w:val="2"/>
            <w:tcBorders>
              <w:top w:val="single" w:sz="4" w:space="0" w:color="000000"/>
              <w:left w:val="single" w:sz="4" w:space="0" w:color="000000"/>
              <w:bottom w:val="single" w:sz="4" w:space="0" w:color="000000"/>
              <w:right w:val="single" w:sz="4" w:space="0" w:color="000000"/>
            </w:tcBorders>
          </w:tcPr>
          <w:p w14:paraId="5022A542"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Excessively high monthly instalment</w:t>
            </w:r>
          </w:p>
        </w:tc>
        <w:tc>
          <w:tcPr>
            <w:tcW w:w="1400" w:type="dxa"/>
            <w:tcBorders>
              <w:top w:val="single" w:sz="4" w:space="0" w:color="000000"/>
              <w:left w:val="single" w:sz="4" w:space="0" w:color="000000"/>
              <w:bottom w:val="single" w:sz="4" w:space="0" w:color="000000"/>
              <w:right w:val="single" w:sz="4" w:space="0" w:color="000000"/>
            </w:tcBorders>
          </w:tcPr>
          <w:p w14:paraId="5C2AB9C1"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1–2</w:t>
            </w:r>
          </w:p>
        </w:tc>
      </w:tr>
      <w:tr w:rsidR="002972D3" w:rsidRPr="0010391B" w14:paraId="24E7DABA"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1D7F8003"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341/2011 (XII. 29.) on Home purchase interest subsidy</w:t>
            </w:r>
          </w:p>
        </w:tc>
        <w:tc>
          <w:tcPr>
            <w:tcW w:w="4450" w:type="dxa"/>
            <w:gridSpan w:val="2"/>
            <w:tcBorders>
              <w:top w:val="single" w:sz="4" w:space="0" w:color="000000"/>
              <w:left w:val="single" w:sz="4" w:space="0" w:color="000000"/>
              <w:bottom w:val="single" w:sz="4" w:space="0" w:color="000000"/>
              <w:right w:val="single" w:sz="4" w:space="0" w:color="000000"/>
            </w:tcBorders>
          </w:tcPr>
          <w:p w14:paraId="3F5EAB5D" w14:textId="77777777" w:rsidR="002972D3" w:rsidRPr="00A247CB" w:rsidRDefault="002972D3" w:rsidP="002972D3">
            <w:pPr>
              <w:widowControl w:val="0"/>
              <w:tabs>
                <w:tab w:val="left" w:pos="540"/>
                <w:tab w:val="left" w:pos="2100"/>
                <w:tab w:val="left" w:pos="3660"/>
              </w:tabs>
              <w:spacing w:after="0" w:line="242" w:lineRule="exact"/>
              <w:ind w:left="150" w:right="-20"/>
              <w:rPr>
                <w:rFonts w:eastAsia="Calibri" w:cs="Calibri"/>
              </w:rPr>
            </w:pPr>
            <w:r>
              <w:rPr>
                <w:rFonts w:eastAsia="Calibri" w:cs="Calibri"/>
                <w:lang w:val="en-GB"/>
              </w:rPr>
              <w:t>Conditions of applying for home purchase interest subsidy</w:t>
            </w:r>
          </w:p>
        </w:tc>
        <w:tc>
          <w:tcPr>
            <w:tcW w:w="1400" w:type="dxa"/>
            <w:tcBorders>
              <w:top w:val="single" w:sz="4" w:space="0" w:color="000000"/>
              <w:left w:val="single" w:sz="4" w:space="0" w:color="000000"/>
              <w:bottom w:val="single" w:sz="4" w:space="0" w:color="000000"/>
              <w:right w:val="single" w:sz="4" w:space="0" w:color="000000"/>
            </w:tcBorders>
          </w:tcPr>
          <w:p w14:paraId="2DE0D212"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2–4</w:t>
            </w:r>
          </w:p>
        </w:tc>
      </w:tr>
      <w:tr w:rsidR="002972D3" w:rsidRPr="0010391B" w14:paraId="1DEF062A" w14:textId="77777777" w:rsidTr="00B65579">
        <w:trPr>
          <w:trHeight w:val="20"/>
        </w:trPr>
        <w:tc>
          <w:tcPr>
            <w:tcW w:w="3546" w:type="dxa"/>
            <w:vMerge/>
            <w:tcBorders>
              <w:left w:val="single" w:sz="4" w:space="0" w:color="000000"/>
              <w:right w:val="single" w:sz="4" w:space="0" w:color="000000"/>
            </w:tcBorders>
          </w:tcPr>
          <w:p w14:paraId="6DBED168" w14:textId="77777777" w:rsidR="002972D3" w:rsidRPr="00A247CB" w:rsidRDefault="002972D3" w:rsidP="002972D3">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4C7479B1"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Interest subsidy for the purchase or construction of new housing, and for the purchase, modernisation and expansion of used homes</w:t>
            </w:r>
          </w:p>
        </w:tc>
        <w:tc>
          <w:tcPr>
            <w:tcW w:w="1400" w:type="dxa"/>
            <w:tcBorders>
              <w:top w:val="single" w:sz="4" w:space="0" w:color="000000"/>
              <w:left w:val="single" w:sz="4" w:space="0" w:color="000000"/>
              <w:bottom w:val="single" w:sz="4" w:space="0" w:color="000000"/>
              <w:right w:val="single" w:sz="4" w:space="0" w:color="000000"/>
            </w:tcBorders>
          </w:tcPr>
          <w:p w14:paraId="2B6D5F55"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5–6</w:t>
            </w:r>
          </w:p>
        </w:tc>
      </w:tr>
      <w:tr w:rsidR="002972D3" w:rsidRPr="0010391B" w14:paraId="54E5C29C" w14:textId="77777777" w:rsidTr="00B65579">
        <w:trPr>
          <w:trHeight w:val="20"/>
        </w:trPr>
        <w:tc>
          <w:tcPr>
            <w:tcW w:w="3546" w:type="dxa"/>
            <w:vMerge/>
            <w:tcBorders>
              <w:left w:val="single" w:sz="4" w:space="0" w:color="000000"/>
              <w:right w:val="single" w:sz="4" w:space="0" w:color="000000"/>
            </w:tcBorders>
          </w:tcPr>
          <w:p w14:paraId="75CC3B44" w14:textId="77777777" w:rsidR="002972D3" w:rsidRPr="00A247CB" w:rsidRDefault="002972D3" w:rsidP="002972D3">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582C8A13" w14:textId="2756F4A2" w:rsidR="002972D3" w:rsidRDefault="002972D3" w:rsidP="002972D3">
            <w:pPr>
              <w:widowControl w:val="0"/>
              <w:tabs>
                <w:tab w:val="left" w:pos="1080"/>
                <w:tab w:val="left" w:pos="2440"/>
                <w:tab w:val="left" w:pos="4160"/>
              </w:tabs>
              <w:spacing w:after="0" w:line="242" w:lineRule="exact"/>
              <w:ind w:left="105" w:right="-20"/>
              <w:rPr>
                <w:rFonts w:eastAsia="Calibri" w:cs="Calibri"/>
              </w:rPr>
            </w:pPr>
          </w:p>
          <w:p w14:paraId="370AA0E1" w14:textId="7E44A2B8" w:rsidR="009751F0" w:rsidRPr="00A247CB" w:rsidRDefault="009751F0" w:rsidP="002972D3">
            <w:pPr>
              <w:widowControl w:val="0"/>
              <w:tabs>
                <w:tab w:val="left" w:pos="1080"/>
                <w:tab w:val="left" w:pos="2440"/>
                <w:tab w:val="left" w:pos="4160"/>
              </w:tabs>
              <w:spacing w:after="0" w:line="242" w:lineRule="exact"/>
              <w:ind w:left="105" w:right="-20"/>
              <w:rPr>
                <w:rFonts w:eastAsia="Calibri" w:cs="Calibri"/>
              </w:rPr>
            </w:pPr>
            <w:r>
              <w:rPr>
                <w:rFonts w:eastAsia="Calibri" w:cs="Calibri"/>
                <w:lang w:val="en-GB"/>
              </w:rPr>
              <w:t>Interest subsidy available for the repurchase of the residential property subject to the asset management of the Managing Body under Act CIII of 2018.</w:t>
            </w:r>
          </w:p>
        </w:tc>
        <w:tc>
          <w:tcPr>
            <w:tcW w:w="1400" w:type="dxa"/>
            <w:tcBorders>
              <w:top w:val="single" w:sz="4" w:space="0" w:color="000000"/>
              <w:left w:val="single" w:sz="4" w:space="0" w:color="000000"/>
              <w:bottom w:val="single" w:sz="4" w:space="0" w:color="000000"/>
              <w:right w:val="single" w:sz="4" w:space="0" w:color="000000"/>
            </w:tcBorders>
          </w:tcPr>
          <w:p w14:paraId="2DCAB746"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9/A</w:t>
            </w:r>
          </w:p>
        </w:tc>
      </w:tr>
      <w:tr w:rsidR="002972D3" w:rsidRPr="0010391B" w14:paraId="615EE7E8" w14:textId="77777777" w:rsidTr="00B65579">
        <w:trPr>
          <w:trHeight w:val="20"/>
        </w:trPr>
        <w:tc>
          <w:tcPr>
            <w:tcW w:w="3546" w:type="dxa"/>
            <w:vMerge/>
            <w:tcBorders>
              <w:left w:val="single" w:sz="4" w:space="0" w:color="000000"/>
              <w:bottom w:val="single" w:sz="4" w:space="0" w:color="000000"/>
              <w:right w:val="single" w:sz="4" w:space="0" w:color="000000"/>
            </w:tcBorders>
          </w:tcPr>
          <w:p w14:paraId="0D67ADC5" w14:textId="77777777" w:rsidR="002972D3" w:rsidRPr="00A247CB" w:rsidRDefault="002972D3" w:rsidP="002972D3">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5D8222E6"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Degree of home purchase interest subsidy</w:t>
            </w:r>
          </w:p>
        </w:tc>
        <w:tc>
          <w:tcPr>
            <w:tcW w:w="1400" w:type="dxa"/>
            <w:tcBorders>
              <w:top w:val="single" w:sz="4" w:space="0" w:color="000000"/>
              <w:left w:val="single" w:sz="4" w:space="0" w:color="000000"/>
              <w:bottom w:val="single" w:sz="4" w:space="0" w:color="000000"/>
              <w:right w:val="single" w:sz="4" w:space="0" w:color="000000"/>
            </w:tcBorders>
          </w:tcPr>
          <w:p w14:paraId="6481C491"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10</w:t>
            </w:r>
          </w:p>
        </w:tc>
      </w:tr>
      <w:tr w:rsidR="002972D3" w:rsidRPr="0010391B" w14:paraId="4D239E26"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10F3AB71"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57/2012 (III. 30) on reimbursement in relation to the exchange rate fixing of foreign currency loans and the assistance to public servants</w:t>
            </w:r>
          </w:p>
        </w:tc>
        <w:tc>
          <w:tcPr>
            <w:tcW w:w="4450" w:type="dxa"/>
            <w:gridSpan w:val="2"/>
            <w:tcBorders>
              <w:top w:val="single" w:sz="4" w:space="0" w:color="000000"/>
              <w:left w:val="single" w:sz="4" w:space="0" w:color="000000"/>
              <w:bottom w:val="single" w:sz="4" w:space="0" w:color="000000"/>
              <w:right w:val="single" w:sz="4" w:space="0" w:color="000000"/>
            </w:tcBorders>
          </w:tcPr>
          <w:p w14:paraId="6F04C0B3"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Subsidy types</w:t>
            </w:r>
          </w:p>
        </w:tc>
        <w:tc>
          <w:tcPr>
            <w:tcW w:w="1400" w:type="dxa"/>
            <w:tcBorders>
              <w:top w:val="single" w:sz="4" w:space="0" w:color="000000"/>
              <w:left w:val="single" w:sz="4" w:space="0" w:color="000000"/>
              <w:bottom w:val="single" w:sz="4" w:space="0" w:color="000000"/>
              <w:right w:val="single" w:sz="4" w:space="0" w:color="000000"/>
            </w:tcBorders>
          </w:tcPr>
          <w:p w14:paraId="24618B24"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2</w:t>
            </w:r>
          </w:p>
        </w:tc>
      </w:tr>
      <w:tr w:rsidR="002972D3" w:rsidRPr="0010391B" w14:paraId="3C67341A" w14:textId="77777777" w:rsidTr="00B65579">
        <w:trPr>
          <w:trHeight w:val="20"/>
        </w:trPr>
        <w:tc>
          <w:tcPr>
            <w:tcW w:w="3546" w:type="dxa"/>
            <w:vMerge/>
            <w:tcBorders>
              <w:left w:val="single" w:sz="4" w:space="0" w:color="000000"/>
              <w:right w:val="single" w:sz="4" w:space="0" w:color="000000"/>
            </w:tcBorders>
          </w:tcPr>
          <w:p w14:paraId="6A76E8E0"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6ED0C7BE" w14:textId="77777777" w:rsidR="002972D3" w:rsidRPr="00A247CB" w:rsidRDefault="002972D3" w:rsidP="00D642D2">
            <w:pPr>
              <w:widowControl w:val="0"/>
              <w:spacing w:after="0" w:line="242" w:lineRule="exact"/>
              <w:ind w:left="105" w:right="-20"/>
              <w:rPr>
                <w:rFonts w:eastAsia="Calibri" w:cs="Calibri"/>
              </w:rPr>
            </w:pPr>
            <w:r>
              <w:rPr>
                <w:rFonts w:eastAsia="Calibri" w:cs="Calibri"/>
                <w:lang w:val="en-GB"/>
              </w:rPr>
              <w:t>Rules of interest subsidy</w:t>
            </w:r>
          </w:p>
        </w:tc>
        <w:tc>
          <w:tcPr>
            <w:tcW w:w="1400" w:type="dxa"/>
            <w:tcBorders>
              <w:top w:val="single" w:sz="4" w:space="0" w:color="000000"/>
              <w:left w:val="single" w:sz="4" w:space="0" w:color="000000"/>
              <w:bottom w:val="single" w:sz="4" w:space="0" w:color="000000"/>
              <w:right w:val="single" w:sz="4" w:space="0" w:color="000000"/>
            </w:tcBorders>
          </w:tcPr>
          <w:p w14:paraId="5A8BB337"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4–5</w:t>
            </w:r>
          </w:p>
        </w:tc>
      </w:tr>
      <w:tr w:rsidR="002972D3" w:rsidRPr="0010391B" w14:paraId="3B99E2F0" w14:textId="77777777" w:rsidTr="00B65579">
        <w:trPr>
          <w:trHeight w:val="20"/>
        </w:trPr>
        <w:tc>
          <w:tcPr>
            <w:tcW w:w="3546" w:type="dxa"/>
            <w:vMerge/>
            <w:tcBorders>
              <w:left w:val="single" w:sz="4" w:space="0" w:color="000000"/>
              <w:right w:val="single" w:sz="4" w:space="0" w:color="000000"/>
            </w:tcBorders>
          </w:tcPr>
          <w:p w14:paraId="5E468B3B"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535842B4" w14:textId="77777777" w:rsidR="002972D3" w:rsidRPr="00A247CB" w:rsidRDefault="002972D3" w:rsidP="00D642D2">
            <w:pPr>
              <w:widowControl w:val="0"/>
              <w:spacing w:after="0" w:line="242" w:lineRule="exact"/>
              <w:ind w:left="105" w:right="-20"/>
              <w:rPr>
                <w:rFonts w:eastAsia="Calibri" w:cs="Calibri"/>
              </w:rPr>
            </w:pPr>
            <w:r>
              <w:rPr>
                <w:rFonts w:eastAsia="Calibri" w:cs="Calibri"/>
                <w:lang w:val="en-GB"/>
              </w:rPr>
              <w:t>Degree of interest subsidy</w:t>
            </w:r>
          </w:p>
        </w:tc>
        <w:tc>
          <w:tcPr>
            <w:tcW w:w="1400" w:type="dxa"/>
            <w:tcBorders>
              <w:top w:val="single" w:sz="4" w:space="0" w:color="000000"/>
              <w:left w:val="single" w:sz="4" w:space="0" w:color="000000"/>
              <w:bottom w:val="single" w:sz="4" w:space="0" w:color="000000"/>
              <w:right w:val="single" w:sz="4" w:space="0" w:color="000000"/>
            </w:tcBorders>
          </w:tcPr>
          <w:p w14:paraId="7C03DF49" w14:textId="185DF38D" w:rsidR="002972D3" w:rsidRPr="00A247CB" w:rsidRDefault="002972D3" w:rsidP="002972D3">
            <w:pPr>
              <w:widowControl w:val="0"/>
              <w:spacing w:after="0" w:line="242" w:lineRule="exact"/>
              <w:ind w:left="148" w:right="-20"/>
              <w:rPr>
                <w:rFonts w:eastAsia="Calibri" w:cs="Calibri"/>
              </w:rPr>
            </w:pPr>
            <w:r>
              <w:rPr>
                <w:rFonts w:eastAsia="Calibri" w:cs="Calibri"/>
                <w:lang w:val="en-GB"/>
              </w:rPr>
              <w:t>Section 6</w:t>
            </w:r>
          </w:p>
        </w:tc>
      </w:tr>
      <w:tr w:rsidR="002972D3" w:rsidRPr="0010391B" w14:paraId="1C439549" w14:textId="77777777" w:rsidTr="00B65579">
        <w:trPr>
          <w:trHeight w:val="20"/>
        </w:trPr>
        <w:tc>
          <w:tcPr>
            <w:tcW w:w="3546" w:type="dxa"/>
            <w:vMerge/>
            <w:tcBorders>
              <w:left w:val="single" w:sz="4" w:space="0" w:color="000000"/>
              <w:bottom w:val="single" w:sz="4" w:space="0" w:color="000000"/>
              <w:right w:val="single" w:sz="4" w:space="0" w:color="000000"/>
            </w:tcBorders>
          </w:tcPr>
          <w:p w14:paraId="19A3EEED"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4111B67D" w14:textId="77777777" w:rsidR="002972D3" w:rsidRPr="00A247CB" w:rsidRDefault="002972D3" w:rsidP="00B65579">
            <w:pPr>
              <w:widowControl w:val="0"/>
              <w:spacing w:after="0" w:line="242" w:lineRule="exact"/>
              <w:ind w:left="105" w:right="-20"/>
              <w:rPr>
                <w:rFonts w:eastAsia="Calibri" w:cs="Calibri"/>
              </w:rPr>
            </w:pPr>
            <w:r>
              <w:rPr>
                <w:rFonts w:eastAsia="Calibri" w:cs="Calibri"/>
                <w:lang w:val="en-GB"/>
              </w:rPr>
              <w:t>Responsibility</w:t>
            </w:r>
          </w:p>
        </w:tc>
        <w:tc>
          <w:tcPr>
            <w:tcW w:w="1400" w:type="dxa"/>
            <w:tcBorders>
              <w:top w:val="single" w:sz="4" w:space="0" w:color="000000"/>
              <w:left w:val="single" w:sz="4" w:space="0" w:color="000000"/>
              <w:bottom w:val="single" w:sz="4" w:space="0" w:color="000000"/>
              <w:right w:val="single" w:sz="4" w:space="0" w:color="000000"/>
            </w:tcBorders>
          </w:tcPr>
          <w:p w14:paraId="5F92C2AF"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14</w:t>
            </w:r>
          </w:p>
        </w:tc>
      </w:tr>
      <w:tr w:rsidR="002972D3" w:rsidRPr="0010391B" w14:paraId="5DBD2950"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67C2BF99"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83/2010 (III. 25.) on the Definition, Calculation and Announcement of the Annual Percentage Rate of Charge</w:t>
            </w:r>
          </w:p>
        </w:tc>
        <w:tc>
          <w:tcPr>
            <w:tcW w:w="4450" w:type="dxa"/>
            <w:gridSpan w:val="2"/>
            <w:tcBorders>
              <w:top w:val="single" w:sz="4" w:space="0" w:color="000000"/>
              <w:left w:val="single" w:sz="4" w:space="0" w:color="000000"/>
              <w:bottom w:val="single" w:sz="4" w:space="0" w:color="000000"/>
              <w:right w:val="single" w:sz="4" w:space="0" w:color="000000"/>
            </w:tcBorders>
          </w:tcPr>
          <w:p w14:paraId="353D459F" w14:textId="16A1E65E" w:rsidR="002972D3" w:rsidRPr="00A247CB" w:rsidRDefault="002972D3" w:rsidP="002972D3">
            <w:pPr>
              <w:widowControl w:val="0"/>
              <w:spacing w:after="0" w:line="242" w:lineRule="exact"/>
              <w:ind w:left="105" w:right="-20"/>
              <w:rPr>
                <w:rFonts w:eastAsia="Calibri" w:cs="Calibri"/>
              </w:rPr>
            </w:pPr>
            <w:r>
              <w:rPr>
                <w:rFonts w:eastAsia="Calibri" w:cs="Calibri"/>
                <w:lang w:val="en-GB"/>
              </w:rPr>
              <w:t>Rules pertaining to the definition and calculation of the annual percentage rate of charge</w:t>
            </w:r>
          </w:p>
          <w:p w14:paraId="0AA4B3F7" w14:textId="77777777" w:rsidR="002972D3" w:rsidRPr="00A247CB" w:rsidRDefault="002972D3" w:rsidP="002972D3">
            <w:pPr>
              <w:widowControl w:val="0"/>
              <w:spacing w:after="0" w:line="242" w:lineRule="exact"/>
              <w:ind w:left="105" w:right="-20"/>
              <w:rPr>
                <w:rFonts w:eastAsia="Calibri" w:cs="Calibri"/>
              </w:rPr>
            </w:pPr>
          </w:p>
        </w:tc>
        <w:tc>
          <w:tcPr>
            <w:tcW w:w="1400" w:type="dxa"/>
            <w:tcBorders>
              <w:top w:val="single" w:sz="4" w:space="0" w:color="000000"/>
              <w:left w:val="single" w:sz="4" w:space="0" w:color="000000"/>
              <w:bottom w:val="single" w:sz="4" w:space="0" w:color="000000"/>
              <w:right w:val="single" w:sz="4" w:space="0" w:color="000000"/>
            </w:tcBorders>
          </w:tcPr>
          <w:p w14:paraId="6B98BDFB" w14:textId="1F6DF48E"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3–6/A</w:t>
            </w:r>
          </w:p>
        </w:tc>
      </w:tr>
      <w:tr w:rsidR="002972D3" w:rsidRPr="0010391B" w14:paraId="0C927FA2" w14:textId="77777777" w:rsidTr="00B65579">
        <w:trPr>
          <w:trHeight w:val="20"/>
        </w:trPr>
        <w:tc>
          <w:tcPr>
            <w:tcW w:w="3546" w:type="dxa"/>
            <w:vMerge/>
            <w:tcBorders>
              <w:left w:val="single" w:sz="4" w:space="0" w:color="000000"/>
              <w:right w:val="single" w:sz="4" w:space="0" w:color="000000"/>
            </w:tcBorders>
          </w:tcPr>
          <w:p w14:paraId="3CE6C7E4"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7C8F49E5" w14:textId="77777777" w:rsidR="002972D3" w:rsidRPr="00A247CB" w:rsidRDefault="002972D3" w:rsidP="002972D3">
            <w:pPr>
              <w:widowControl w:val="0"/>
              <w:spacing w:after="0" w:line="240" w:lineRule="auto"/>
              <w:ind w:left="105" w:right="-20"/>
              <w:rPr>
                <w:rFonts w:eastAsia="Calibri" w:cs="Calibri"/>
              </w:rPr>
            </w:pPr>
            <w:r>
              <w:rPr>
                <w:rFonts w:eastAsia="Calibri" w:cs="Calibri"/>
                <w:lang w:val="en-GB"/>
              </w:rPr>
              <w:t>Special rules applicable to mortgage loans</w:t>
            </w:r>
          </w:p>
        </w:tc>
        <w:tc>
          <w:tcPr>
            <w:tcW w:w="1400" w:type="dxa"/>
            <w:tcBorders>
              <w:top w:val="single" w:sz="4" w:space="0" w:color="000000"/>
              <w:left w:val="single" w:sz="4" w:space="0" w:color="000000"/>
              <w:bottom w:val="single" w:sz="4" w:space="0" w:color="000000"/>
              <w:right w:val="single" w:sz="4" w:space="0" w:color="000000"/>
            </w:tcBorders>
          </w:tcPr>
          <w:p w14:paraId="2012CEC1" w14:textId="77777777" w:rsidR="002972D3" w:rsidRPr="00A247CB" w:rsidRDefault="002972D3" w:rsidP="002972D3">
            <w:pPr>
              <w:widowControl w:val="0"/>
              <w:spacing w:after="0" w:line="240" w:lineRule="auto"/>
              <w:ind w:left="102" w:right="-20"/>
              <w:rPr>
                <w:rFonts w:eastAsia="Calibri" w:cs="Calibri"/>
              </w:rPr>
            </w:pPr>
            <w:r>
              <w:rPr>
                <w:rFonts w:eastAsia="Calibri" w:cs="Calibri"/>
                <w:lang w:val="en-GB"/>
              </w:rPr>
              <w:t>Sections 7–8</w:t>
            </w:r>
          </w:p>
        </w:tc>
      </w:tr>
      <w:tr w:rsidR="002972D3" w:rsidRPr="0010391B" w14:paraId="6FC9AB4A" w14:textId="77777777" w:rsidTr="00B65579">
        <w:trPr>
          <w:trHeight w:val="20"/>
        </w:trPr>
        <w:tc>
          <w:tcPr>
            <w:tcW w:w="3546" w:type="dxa"/>
            <w:vMerge/>
            <w:tcBorders>
              <w:left w:val="single" w:sz="4" w:space="0" w:color="000000"/>
              <w:bottom w:val="single" w:sz="4" w:space="0" w:color="000000"/>
              <w:right w:val="single" w:sz="4" w:space="0" w:color="000000"/>
            </w:tcBorders>
          </w:tcPr>
          <w:p w14:paraId="6B372232" w14:textId="77777777" w:rsidR="002972D3" w:rsidRPr="00A247CB" w:rsidRDefault="002972D3" w:rsidP="001D7E42">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3D27C8C8" w14:textId="77777777" w:rsidR="002972D3" w:rsidRPr="00A247CB" w:rsidRDefault="002972D3" w:rsidP="002972D3">
            <w:pPr>
              <w:widowControl w:val="0"/>
              <w:spacing w:after="0" w:line="242" w:lineRule="exact"/>
              <w:ind w:left="105" w:right="-20"/>
              <w:rPr>
                <w:rFonts w:eastAsia="Calibri" w:cs="Calibri"/>
              </w:rPr>
            </w:pPr>
            <w:r>
              <w:rPr>
                <w:rFonts w:eastAsia="Calibri" w:cs="Calibri"/>
                <w:lang w:val="en-GB"/>
              </w:rPr>
              <w:t>Special rules related to commercial communication</w:t>
            </w:r>
          </w:p>
        </w:tc>
        <w:tc>
          <w:tcPr>
            <w:tcW w:w="1400" w:type="dxa"/>
            <w:tcBorders>
              <w:top w:val="single" w:sz="4" w:space="0" w:color="000000"/>
              <w:left w:val="single" w:sz="4" w:space="0" w:color="000000"/>
              <w:bottom w:val="single" w:sz="4" w:space="0" w:color="000000"/>
              <w:right w:val="single" w:sz="4" w:space="0" w:color="000000"/>
            </w:tcBorders>
          </w:tcPr>
          <w:p w14:paraId="3A4E7ACC" w14:textId="77777777"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Sections 9–10</w:t>
            </w:r>
          </w:p>
        </w:tc>
      </w:tr>
      <w:tr w:rsidR="002972D3" w:rsidRPr="0010391B" w14:paraId="0B2A1619"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26BD2527"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274/2018 (XII. 21.) on Certain rules related to the fostering the home purchase of natural persons participating in the National Asset Management Programme</w:t>
            </w:r>
          </w:p>
        </w:tc>
        <w:tc>
          <w:tcPr>
            <w:tcW w:w="4450" w:type="dxa"/>
            <w:gridSpan w:val="2"/>
            <w:tcBorders>
              <w:top w:val="single" w:sz="4" w:space="0" w:color="000000"/>
              <w:left w:val="single" w:sz="4" w:space="0" w:color="000000"/>
              <w:bottom w:val="single" w:sz="4" w:space="0" w:color="000000"/>
              <w:right w:val="single" w:sz="4" w:space="0" w:color="000000"/>
            </w:tcBorders>
          </w:tcPr>
          <w:p w14:paraId="414718F8" w14:textId="5CE32E6B" w:rsidR="002972D3" w:rsidRPr="00A247CB" w:rsidRDefault="002972D3" w:rsidP="002972D3">
            <w:pPr>
              <w:widowControl w:val="0"/>
              <w:spacing w:after="0" w:line="242" w:lineRule="exact"/>
              <w:ind w:left="105" w:right="-20"/>
              <w:rPr>
                <w:rFonts w:eastAsia="Calibri" w:cs="Calibri"/>
              </w:rPr>
            </w:pPr>
            <w:r>
              <w:rPr>
                <w:rFonts w:eastAsia="Calibri" w:cs="Calibri"/>
                <w:lang w:val="en-GB"/>
              </w:rPr>
              <w:t>Mortgage registered in favour of the Hungarian State and restraint on alienation and encumbrance securing it</w:t>
            </w:r>
          </w:p>
        </w:tc>
        <w:tc>
          <w:tcPr>
            <w:tcW w:w="1400" w:type="dxa"/>
            <w:tcBorders>
              <w:top w:val="single" w:sz="4" w:space="0" w:color="000000"/>
              <w:left w:val="single" w:sz="4" w:space="0" w:color="000000"/>
              <w:bottom w:val="single" w:sz="4" w:space="0" w:color="000000"/>
              <w:right w:val="single" w:sz="4" w:space="0" w:color="000000"/>
            </w:tcBorders>
          </w:tcPr>
          <w:p w14:paraId="5F95A6BA" w14:textId="1278A381" w:rsidR="002972D3" w:rsidRPr="00A247CB" w:rsidRDefault="002972D3" w:rsidP="002972D3">
            <w:pPr>
              <w:widowControl w:val="0"/>
              <w:spacing w:after="0" w:line="242" w:lineRule="exact"/>
              <w:ind w:left="102" w:right="-20"/>
              <w:rPr>
                <w:rFonts w:eastAsia="Calibri" w:cs="Calibri"/>
              </w:rPr>
            </w:pPr>
            <w:r>
              <w:rPr>
                <w:rFonts w:eastAsia="Calibri" w:cs="Calibri"/>
                <w:lang w:val="en-GB"/>
              </w:rPr>
              <w:t>Section 5</w:t>
            </w:r>
          </w:p>
        </w:tc>
      </w:tr>
      <w:tr w:rsidR="002972D3" w:rsidRPr="0010391B" w14:paraId="33647EBF" w14:textId="77777777" w:rsidTr="00B65579">
        <w:trPr>
          <w:trHeight w:val="20"/>
        </w:trPr>
        <w:tc>
          <w:tcPr>
            <w:tcW w:w="3546" w:type="dxa"/>
            <w:vMerge/>
            <w:tcBorders>
              <w:left w:val="single" w:sz="4" w:space="0" w:color="000000"/>
              <w:right w:val="single" w:sz="4" w:space="0" w:color="000000"/>
            </w:tcBorders>
          </w:tcPr>
          <w:p w14:paraId="689E7F77" w14:textId="77777777" w:rsidR="002972D3" w:rsidRPr="00A247CB" w:rsidRDefault="002972D3" w:rsidP="002972D3">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238CF5E3" w14:textId="4DAF7C23" w:rsidR="002972D3" w:rsidRPr="00A247CB" w:rsidRDefault="002972D3" w:rsidP="002972D3">
            <w:pPr>
              <w:widowControl w:val="0"/>
              <w:spacing w:after="0" w:line="243" w:lineRule="exact"/>
              <w:ind w:left="105" w:right="-20"/>
              <w:rPr>
                <w:rFonts w:eastAsia="Calibri" w:cs="Calibri"/>
              </w:rPr>
            </w:pPr>
            <w:r>
              <w:rPr>
                <w:rFonts w:eastAsia="Calibri" w:cs="Calibri"/>
                <w:lang w:val="en-GB"/>
              </w:rPr>
              <w:t>Rules of rent payment</w:t>
            </w:r>
          </w:p>
        </w:tc>
        <w:tc>
          <w:tcPr>
            <w:tcW w:w="1400" w:type="dxa"/>
            <w:tcBorders>
              <w:top w:val="single" w:sz="4" w:space="0" w:color="000000"/>
              <w:left w:val="single" w:sz="4" w:space="0" w:color="000000"/>
              <w:bottom w:val="single" w:sz="4" w:space="0" w:color="000000"/>
              <w:right w:val="single" w:sz="4" w:space="0" w:color="000000"/>
            </w:tcBorders>
          </w:tcPr>
          <w:p w14:paraId="71C1D064" w14:textId="3176C942" w:rsidR="002972D3" w:rsidRPr="00A247CB" w:rsidRDefault="002972D3" w:rsidP="002972D3">
            <w:pPr>
              <w:widowControl w:val="0"/>
              <w:spacing w:after="0" w:line="243" w:lineRule="exact"/>
              <w:ind w:left="148" w:right="-20"/>
              <w:rPr>
                <w:rFonts w:eastAsia="Calibri" w:cs="Calibri"/>
              </w:rPr>
            </w:pPr>
            <w:r>
              <w:rPr>
                <w:rFonts w:eastAsia="Calibri" w:cs="Calibri"/>
                <w:lang w:val="en-GB"/>
              </w:rPr>
              <w:t>Section 10</w:t>
            </w:r>
          </w:p>
        </w:tc>
      </w:tr>
      <w:tr w:rsidR="002972D3" w:rsidRPr="0010391B" w14:paraId="5EA74609" w14:textId="77777777" w:rsidTr="00B65579">
        <w:trPr>
          <w:trHeight w:val="20"/>
        </w:trPr>
        <w:tc>
          <w:tcPr>
            <w:tcW w:w="3546" w:type="dxa"/>
            <w:vMerge/>
            <w:tcBorders>
              <w:left w:val="single" w:sz="4" w:space="0" w:color="000000"/>
              <w:bottom w:val="single" w:sz="4" w:space="0" w:color="000000"/>
              <w:right w:val="single" w:sz="4" w:space="0" w:color="000000"/>
            </w:tcBorders>
          </w:tcPr>
          <w:p w14:paraId="315F26F3" w14:textId="77777777" w:rsidR="002972D3" w:rsidRPr="00A247CB" w:rsidRDefault="002972D3" w:rsidP="002972D3">
            <w:pPr>
              <w:widowControl w:val="0"/>
              <w:spacing w:after="200"/>
              <w:rPr>
                <w:rFonts w:eastAsia="Calibri" w:cs="Times New Roman"/>
              </w:rPr>
            </w:pPr>
          </w:p>
        </w:tc>
        <w:tc>
          <w:tcPr>
            <w:tcW w:w="4450" w:type="dxa"/>
            <w:gridSpan w:val="2"/>
            <w:tcBorders>
              <w:top w:val="single" w:sz="4" w:space="0" w:color="000000"/>
              <w:left w:val="single" w:sz="4" w:space="0" w:color="000000"/>
              <w:bottom w:val="single" w:sz="4" w:space="0" w:color="000000"/>
              <w:right w:val="single" w:sz="4" w:space="0" w:color="000000"/>
            </w:tcBorders>
          </w:tcPr>
          <w:p w14:paraId="2A660FA5" w14:textId="64A86207" w:rsidR="002972D3" w:rsidRPr="00A247CB" w:rsidRDefault="002972D3" w:rsidP="002972D3">
            <w:pPr>
              <w:widowControl w:val="0"/>
              <w:spacing w:after="0" w:line="242" w:lineRule="exact"/>
              <w:ind w:left="105" w:right="-20"/>
              <w:rPr>
                <w:rFonts w:eastAsia="Calibri" w:cs="Calibri"/>
              </w:rPr>
            </w:pPr>
          </w:p>
        </w:tc>
        <w:tc>
          <w:tcPr>
            <w:tcW w:w="1400" w:type="dxa"/>
            <w:tcBorders>
              <w:top w:val="single" w:sz="4" w:space="0" w:color="000000"/>
              <w:left w:val="single" w:sz="4" w:space="0" w:color="000000"/>
              <w:bottom w:val="single" w:sz="4" w:space="0" w:color="000000"/>
              <w:right w:val="single" w:sz="4" w:space="0" w:color="000000"/>
            </w:tcBorders>
          </w:tcPr>
          <w:p w14:paraId="2872FED7" w14:textId="2AC5845B" w:rsidR="002972D3" w:rsidRPr="00A247CB" w:rsidRDefault="002972D3" w:rsidP="002972D3">
            <w:pPr>
              <w:widowControl w:val="0"/>
              <w:spacing w:after="0" w:line="242" w:lineRule="exact"/>
              <w:ind w:left="102" w:right="-20"/>
              <w:rPr>
                <w:rFonts w:eastAsia="Calibri" w:cs="Calibri"/>
              </w:rPr>
            </w:pPr>
          </w:p>
        </w:tc>
      </w:tr>
      <w:tr w:rsidR="002972D3" w:rsidRPr="0010391B" w14:paraId="326C6814"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5236AF7E"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Government Decree No 153/2009 (VII. 23.) on the Certain issues necessary for improving the efficiency of consumer protection in the financial sector</w:t>
            </w:r>
          </w:p>
        </w:tc>
        <w:tc>
          <w:tcPr>
            <w:tcW w:w="4450" w:type="dxa"/>
            <w:gridSpan w:val="2"/>
            <w:tcBorders>
              <w:top w:val="single" w:sz="4" w:space="0" w:color="000000"/>
              <w:left w:val="single" w:sz="4" w:space="0" w:color="000000"/>
              <w:bottom w:val="single" w:sz="4" w:space="0" w:color="000000"/>
              <w:right w:val="single" w:sz="4" w:space="0" w:color="000000"/>
            </w:tcBorders>
          </w:tcPr>
          <w:p w14:paraId="16F76804" w14:textId="77777777" w:rsidR="002972D3" w:rsidRPr="00A247CB" w:rsidRDefault="002972D3" w:rsidP="004A6FFD">
            <w:pPr>
              <w:widowControl w:val="0"/>
              <w:spacing w:after="0" w:line="242" w:lineRule="exact"/>
              <w:ind w:left="105" w:right="-20"/>
              <w:rPr>
                <w:rFonts w:eastAsia="Calibri" w:cs="Calibri"/>
              </w:rPr>
            </w:pPr>
            <w:r>
              <w:rPr>
                <w:rFonts w:eastAsia="Calibri" w:cs="Calibri"/>
                <w:lang w:val="en-GB"/>
              </w:rPr>
              <w:t>Contract amendment favourable for the customer</w:t>
            </w:r>
          </w:p>
        </w:tc>
        <w:tc>
          <w:tcPr>
            <w:tcW w:w="1400" w:type="dxa"/>
            <w:tcBorders>
              <w:top w:val="single" w:sz="4" w:space="0" w:color="000000"/>
              <w:left w:val="single" w:sz="4" w:space="0" w:color="000000"/>
              <w:bottom w:val="single" w:sz="4" w:space="0" w:color="000000"/>
              <w:right w:val="single" w:sz="4" w:space="0" w:color="000000"/>
            </w:tcBorders>
          </w:tcPr>
          <w:p w14:paraId="2C5E22DE" w14:textId="46B7CB67" w:rsidR="002972D3" w:rsidRPr="00A247CB" w:rsidRDefault="002972D3" w:rsidP="004A6FFD">
            <w:pPr>
              <w:widowControl w:val="0"/>
              <w:spacing w:after="0" w:line="242" w:lineRule="exact"/>
              <w:ind w:left="102" w:right="-20"/>
              <w:rPr>
                <w:rFonts w:eastAsia="Calibri" w:cs="Calibri"/>
              </w:rPr>
            </w:pPr>
            <w:r>
              <w:rPr>
                <w:rFonts w:eastAsia="Calibri" w:cs="Calibri"/>
                <w:lang w:val="en-GB"/>
              </w:rPr>
              <w:t>Section 3</w:t>
            </w:r>
          </w:p>
        </w:tc>
      </w:tr>
      <w:tr w:rsidR="00B7458B" w:rsidRPr="0010391B" w14:paraId="604BE447"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5EA94012" w14:textId="1EED0C7E" w:rsidR="00B7458B" w:rsidRPr="00A247CB" w:rsidRDefault="00B7458B" w:rsidP="004A6FFD">
            <w:pPr>
              <w:widowControl w:val="0"/>
              <w:spacing w:after="0" w:line="242" w:lineRule="exact"/>
              <w:ind w:left="103" w:right="-20"/>
              <w:rPr>
                <w:rFonts w:eastAsia="Calibri" w:cs="Calibri"/>
                <w:position w:val="1"/>
              </w:rPr>
            </w:pPr>
            <w:r>
              <w:rPr>
                <w:rFonts w:eastAsia="Calibri" w:cs="Calibri"/>
                <w:lang w:val="en-GB"/>
              </w:rPr>
              <w:t>Decree No 16/2017 (VI. 30.) of the Minister for National Economy on the product approval process to be used by the investment firms</w:t>
            </w:r>
          </w:p>
        </w:tc>
        <w:tc>
          <w:tcPr>
            <w:tcW w:w="4450" w:type="dxa"/>
            <w:gridSpan w:val="2"/>
            <w:tcBorders>
              <w:top w:val="single" w:sz="4" w:space="0" w:color="000000"/>
              <w:left w:val="single" w:sz="4" w:space="0" w:color="000000"/>
              <w:bottom w:val="single" w:sz="4" w:space="0" w:color="000000"/>
              <w:right w:val="single" w:sz="4" w:space="0" w:color="000000"/>
            </w:tcBorders>
          </w:tcPr>
          <w:p w14:paraId="1E0BE4E2" w14:textId="77777777" w:rsidR="00B7458B" w:rsidRPr="00A247CB" w:rsidRDefault="00B7458B" w:rsidP="004A6FFD">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49586C9F" w14:textId="72ABE359" w:rsidR="00B7458B" w:rsidRPr="00A247CB" w:rsidRDefault="00B7458B" w:rsidP="004A6FFD">
            <w:pPr>
              <w:widowControl w:val="0"/>
              <w:spacing w:after="0" w:line="242" w:lineRule="exact"/>
              <w:ind w:left="102" w:right="-20"/>
              <w:rPr>
                <w:rFonts w:eastAsia="Calibri" w:cs="Calibri"/>
                <w:position w:val="1"/>
              </w:rPr>
            </w:pPr>
            <w:r>
              <w:rPr>
                <w:rFonts w:eastAsia="Calibri" w:cs="Calibri"/>
                <w:lang w:val="en-GB"/>
              </w:rPr>
              <w:t>Sections 1–8</w:t>
            </w:r>
          </w:p>
        </w:tc>
      </w:tr>
      <w:tr w:rsidR="00B7458B" w:rsidRPr="0010391B" w14:paraId="69136F3B"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3BE2F4E8" w14:textId="70D8FD86" w:rsidR="00B7458B" w:rsidRPr="00A247CB" w:rsidRDefault="00B7458B" w:rsidP="004A6FFD">
            <w:pPr>
              <w:widowControl w:val="0"/>
              <w:spacing w:after="0" w:line="242" w:lineRule="exact"/>
              <w:ind w:left="103" w:right="-20"/>
              <w:rPr>
                <w:rFonts w:eastAsia="Calibri" w:cs="Calibri"/>
                <w:position w:val="1"/>
              </w:rPr>
            </w:pPr>
            <w:r>
              <w:rPr>
                <w:rFonts w:eastAsia="Calibri" w:cs="Calibri"/>
                <w:lang w:val="en-GB"/>
              </w:rPr>
              <w:t xml:space="preserve">Decree No 15/2017 (VI. 30.) of the Minister </w:t>
            </w:r>
            <w:r>
              <w:rPr>
                <w:rFonts w:eastAsia="Calibri" w:cs="Calibri"/>
                <w:lang w:val="en-GB"/>
              </w:rPr>
              <w:lastRenderedPageBreak/>
              <w:t>for National Economy on incentives related to investment services and ancillary services</w:t>
            </w:r>
          </w:p>
        </w:tc>
        <w:tc>
          <w:tcPr>
            <w:tcW w:w="4450" w:type="dxa"/>
            <w:gridSpan w:val="2"/>
            <w:tcBorders>
              <w:top w:val="single" w:sz="4" w:space="0" w:color="000000"/>
              <w:left w:val="single" w:sz="4" w:space="0" w:color="000000"/>
              <w:bottom w:val="single" w:sz="4" w:space="0" w:color="000000"/>
              <w:right w:val="single" w:sz="4" w:space="0" w:color="000000"/>
            </w:tcBorders>
          </w:tcPr>
          <w:p w14:paraId="0CDA2B7F" w14:textId="77777777" w:rsidR="00B7458B" w:rsidRPr="00A247CB" w:rsidRDefault="00B7458B" w:rsidP="004A6FFD">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28C357FE" w14:textId="6198F7D9" w:rsidR="00B7458B" w:rsidRPr="00A247CB" w:rsidRDefault="00B7458B" w:rsidP="004A6FFD">
            <w:pPr>
              <w:widowControl w:val="0"/>
              <w:spacing w:after="0" w:line="242" w:lineRule="exact"/>
              <w:ind w:left="102" w:right="-20"/>
              <w:rPr>
                <w:rFonts w:eastAsia="Calibri" w:cs="Calibri"/>
                <w:position w:val="1"/>
              </w:rPr>
            </w:pPr>
            <w:r>
              <w:rPr>
                <w:rFonts w:eastAsia="Calibri" w:cs="Calibri"/>
                <w:lang w:val="en-GB"/>
              </w:rPr>
              <w:t>Sections 1–5</w:t>
            </w:r>
          </w:p>
        </w:tc>
      </w:tr>
      <w:tr w:rsidR="004D785F" w:rsidRPr="0010391B" w14:paraId="1C43AA94"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422D5670" w14:textId="39ACD2B5" w:rsidR="004D785F" w:rsidRPr="00A247CB" w:rsidRDefault="004D785F" w:rsidP="004A6FFD">
            <w:pPr>
              <w:widowControl w:val="0"/>
              <w:spacing w:after="0" w:line="242" w:lineRule="exact"/>
              <w:ind w:left="103" w:right="-20"/>
              <w:rPr>
                <w:rFonts w:eastAsia="Calibri" w:cs="Calibri"/>
                <w:position w:val="1"/>
              </w:rPr>
            </w:pPr>
            <w:r>
              <w:rPr>
                <w:rFonts w:eastAsia="Calibri" w:cs="Calibri"/>
                <w:lang w:val="en-GB"/>
              </w:rPr>
              <w:t>Government Decree 435/2016 (XII. 16.) on the detailed rules of the complaints management procedure and the complaints management policy of investment businesses, payment institutions, electronic money institutions, issuers of credit tokens, financial institutions and independent financial services intermediaries</w:t>
            </w:r>
          </w:p>
        </w:tc>
        <w:tc>
          <w:tcPr>
            <w:tcW w:w="4450" w:type="dxa"/>
            <w:gridSpan w:val="2"/>
            <w:tcBorders>
              <w:top w:val="single" w:sz="4" w:space="0" w:color="000000"/>
              <w:left w:val="single" w:sz="4" w:space="0" w:color="000000"/>
              <w:bottom w:val="single" w:sz="4" w:space="0" w:color="000000"/>
              <w:right w:val="single" w:sz="4" w:space="0" w:color="000000"/>
            </w:tcBorders>
          </w:tcPr>
          <w:p w14:paraId="6059E6E5" w14:textId="77777777" w:rsidR="004D785F" w:rsidRPr="00A247CB" w:rsidRDefault="004D785F" w:rsidP="004A6FFD">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73FBC1B8" w14:textId="469F9076" w:rsidR="004D785F" w:rsidRPr="00A247CB" w:rsidRDefault="004D785F" w:rsidP="004A6FFD">
            <w:pPr>
              <w:widowControl w:val="0"/>
              <w:spacing w:after="0" w:line="242" w:lineRule="exact"/>
              <w:ind w:left="102" w:right="-20"/>
              <w:rPr>
                <w:rFonts w:eastAsia="Calibri" w:cs="Calibri"/>
                <w:position w:val="1"/>
              </w:rPr>
            </w:pPr>
            <w:r>
              <w:rPr>
                <w:rFonts w:eastAsia="Calibri" w:cs="Calibri"/>
                <w:lang w:val="en-GB"/>
              </w:rPr>
              <w:t xml:space="preserve">Sections 1–3 </w:t>
            </w:r>
          </w:p>
        </w:tc>
      </w:tr>
      <w:tr w:rsidR="00F63798" w:rsidRPr="0010391B" w14:paraId="313D4F83"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167E60D9" w14:textId="16451277" w:rsidR="00F63798" w:rsidRPr="004D785F" w:rsidRDefault="00F63798" w:rsidP="004A6FFD">
            <w:pPr>
              <w:widowControl w:val="0"/>
              <w:spacing w:after="0" w:line="242" w:lineRule="exact"/>
              <w:ind w:left="103" w:right="-20"/>
              <w:rPr>
                <w:rFonts w:eastAsia="Calibri" w:cs="Calibri"/>
                <w:position w:val="1"/>
              </w:rPr>
            </w:pPr>
            <w:r>
              <w:rPr>
                <w:rFonts w:eastAsia="Calibri" w:cs="Calibri"/>
                <w:lang w:val="en-GB"/>
              </w:rPr>
              <w:t xml:space="preserve">Government Decree No 438/2016 (XII. 16.) on the complaints handling procedure and the detailed rules of the complaint handling regulation of the </w:t>
            </w:r>
            <w:proofErr w:type="spellStart"/>
            <w:r>
              <w:rPr>
                <w:rFonts w:eastAsia="Calibri" w:cs="Calibri"/>
                <w:lang w:val="en-GB"/>
              </w:rPr>
              <w:t>UCITS</w:t>
            </w:r>
            <w:proofErr w:type="spellEnd"/>
            <w:r>
              <w:rPr>
                <w:rFonts w:eastAsia="Calibri" w:cs="Calibri"/>
                <w:lang w:val="en-GB"/>
              </w:rPr>
              <w:t xml:space="preserve"> fund management company</w:t>
            </w:r>
          </w:p>
        </w:tc>
        <w:tc>
          <w:tcPr>
            <w:tcW w:w="4450" w:type="dxa"/>
            <w:gridSpan w:val="2"/>
            <w:tcBorders>
              <w:top w:val="single" w:sz="4" w:space="0" w:color="000000"/>
              <w:left w:val="single" w:sz="4" w:space="0" w:color="000000"/>
              <w:bottom w:val="single" w:sz="4" w:space="0" w:color="000000"/>
              <w:right w:val="single" w:sz="4" w:space="0" w:color="000000"/>
            </w:tcBorders>
          </w:tcPr>
          <w:p w14:paraId="095615D7" w14:textId="77777777" w:rsidR="00F63798" w:rsidRPr="00A247CB" w:rsidRDefault="00F63798" w:rsidP="004A6FFD">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469084A4" w14:textId="7C82C855" w:rsidR="00F63798" w:rsidRPr="00F63798" w:rsidRDefault="00F63798" w:rsidP="00F63798">
            <w:pPr>
              <w:pStyle w:val="Listaszerbekezds"/>
              <w:widowControl w:val="0"/>
              <w:numPr>
                <w:ilvl w:val="0"/>
                <w:numId w:val="18"/>
              </w:numPr>
              <w:spacing w:after="0" w:line="242" w:lineRule="exact"/>
              <w:ind w:right="-20"/>
              <w:rPr>
                <w:rFonts w:eastAsia="Calibri" w:cs="Calibri"/>
                <w:position w:val="1"/>
              </w:rPr>
            </w:pPr>
            <w:r>
              <w:rPr>
                <w:rFonts w:eastAsia="Calibri" w:cs="Calibri"/>
                <w:lang w:val="en-GB"/>
              </w:rPr>
              <w:t xml:space="preserve">  </w:t>
            </w:r>
          </w:p>
        </w:tc>
      </w:tr>
      <w:tr w:rsidR="00703843" w:rsidRPr="0010391B" w14:paraId="1B9FE098"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72A463C7" w14:textId="0AF2B895" w:rsidR="00703843" w:rsidRPr="00F63798" w:rsidRDefault="00800D78" w:rsidP="00703843">
            <w:pPr>
              <w:widowControl w:val="0"/>
              <w:spacing w:after="0" w:line="242" w:lineRule="exact"/>
              <w:ind w:left="103" w:right="-20"/>
              <w:rPr>
                <w:rFonts w:eastAsia="Calibri" w:cs="Calibri"/>
                <w:position w:val="1"/>
              </w:rPr>
            </w:pPr>
            <w:r>
              <w:rPr>
                <w:rFonts w:eastAsia="Calibri" w:cs="Calibri"/>
                <w:lang w:val="en-GB"/>
              </w:rPr>
              <w:t>Government Decree No 42/2015 (III. 12.) on protecting the information system of financial institutions, insurance undertakings, reinsurance undertakings, investment firms and commodity dealers</w:t>
            </w:r>
          </w:p>
        </w:tc>
        <w:tc>
          <w:tcPr>
            <w:tcW w:w="4450" w:type="dxa"/>
            <w:gridSpan w:val="2"/>
            <w:tcBorders>
              <w:top w:val="single" w:sz="4" w:space="0" w:color="000000"/>
              <w:left w:val="single" w:sz="4" w:space="0" w:color="000000"/>
              <w:bottom w:val="single" w:sz="4" w:space="0" w:color="000000"/>
              <w:right w:val="single" w:sz="4" w:space="0" w:color="000000"/>
            </w:tcBorders>
          </w:tcPr>
          <w:p w14:paraId="2794B232" w14:textId="77777777" w:rsidR="00703843" w:rsidRPr="00A247CB" w:rsidRDefault="00703843" w:rsidP="004A6FFD">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0E84E708" w14:textId="78D6E4CD" w:rsidR="00703843" w:rsidRDefault="00800D78" w:rsidP="00F63798">
            <w:pPr>
              <w:widowControl w:val="0"/>
              <w:spacing w:after="0" w:line="242" w:lineRule="exact"/>
              <w:ind w:left="102" w:right="-20"/>
              <w:rPr>
                <w:rFonts w:eastAsia="Calibri" w:cs="Calibri"/>
                <w:position w:val="1"/>
              </w:rPr>
            </w:pPr>
            <w:r>
              <w:rPr>
                <w:rFonts w:eastAsia="Calibri" w:cs="Calibri"/>
                <w:lang w:val="en-GB"/>
              </w:rPr>
              <w:t>Sections 1–7</w:t>
            </w:r>
          </w:p>
        </w:tc>
      </w:tr>
      <w:tr w:rsidR="00F63798" w:rsidRPr="0010391B" w14:paraId="564BE7BC"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05394591" w14:textId="199192C5" w:rsidR="00F63798" w:rsidRPr="00F63798" w:rsidRDefault="00F63798" w:rsidP="004A6FFD">
            <w:pPr>
              <w:widowControl w:val="0"/>
              <w:spacing w:after="0" w:line="242" w:lineRule="exact"/>
              <w:ind w:left="103" w:right="-20"/>
              <w:rPr>
                <w:rFonts w:eastAsia="Calibri" w:cs="Calibri"/>
                <w:position w:val="1"/>
              </w:rPr>
            </w:pPr>
            <w:r>
              <w:rPr>
                <w:rFonts w:eastAsia="Calibri" w:cs="Calibri"/>
                <w:lang w:val="en-GB"/>
              </w:rPr>
              <w:t>Government Decree No 78/2014 (III. 14.) on the Investment and borrowing policies of collective investment trusts</w:t>
            </w:r>
          </w:p>
        </w:tc>
        <w:tc>
          <w:tcPr>
            <w:tcW w:w="4450" w:type="dxa"/>
            <w:gridSpan w:val="2"/>
            <w:tcBorders>
              <w:top w:val="single" w:sz="4" w:space="0" w:color="000000"/>
              <w:left w:val="single" w:sz="4" w:space="0" w:color="000000"/>
              <w:bottom w:val="single" w:sz="4" w:space="0" w:color="000000"/>
              <w:right w:val="single" w:sz="4" w:space="0" w:color="000000"/>
            </w:tcBorders>
          </w:tcPr>
          <w:p w14:paraId="012E6D2C" w14:textId="77777777" w:rsidR="00F63798" w:rsidRPr="00A247CB" w:rsidRDefault="00F63798" w:rsidP="004A6FFD">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41184813" w14:textId="77777777" w:rsidR="00F63798" w:rsidRDefault="00F63798" w:rsidP="00F63798">
            <w:pPr>
              <w:widowControl w:val="0"/>
              <w:spacing w:after="0" w:line="242" w:lineRule="exact"/>
              <w:ind w:left="102" w:right="-20"/>
              <w:rPr>
                <w:rFonts w:eastAsia="Calibri" w:cs="Calibri"/>
                <w:position w:val="1"/>
              </w:rPr>
            </w:pPr>
            <w:r>
              <w:rPr>
                <w:rFonts w:eastAsia="Calibri" w:cs="Calibri"/>
                <w:lang w:val="en-GB"/>
              </w:rPr>
              <w:t>Sections 1–50</w:t>
            </w:r>
          </w:p>
          <w:p w14:paraId="6D1EEBE0" w14:textId="2FD180E7" w:rsidR="00F63798" w:rsidRPr="00F63798" w:rsidRDefault="00F63798" w:rsidP="00F63798">
            <w:pPr>
              <w:widowControl w:val="0"/>
              <w:spacing w:after="0" w:line="242" w:lineRule="exact"/>
              <w:ind w:left="102" w:right="-20"/>
              <w:rPr>
                <w:rFonts w:eastAsia="Calibri" w:cs="Calibri"/>
                <w:position w:val="1"/>
              </w:rPr>
            </w:pPr>
            <w:r>
              <w:rPr>
                <w:rFonts w:eastAsia="Calibri" w:cs="Calibri"/>
                <w:lang w:val="en-GB"/>
              </w:rPr>
              <w:t>Annexes 1 to 2</w:t>
            </w:r>
          </w:p>
        </w:tc>
      </w:tr>
      <w:tr w:rsidR="005425C4" w:rsidRPr="0010391B" w14:paraId="2AABBAD8"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4F973726" w14:textId="77777777" w:rsidR="005425C4" w:rsidRPr="005425C4" w:rsidRDefault="005425C4" w:rsidP="005425C4">
            <w:pPr>
              <w:widowControl w:val="0"/>
              <w:spacing w:after="0" w:line="242" w:lineRule="exact"/>
              <w:ind w:right="-20"/>
              <w:rPr>
                <w:rFonts w:eastAsia="Calibri" w:cs="Calibri"/>
                <w:position w:val="1"/>
              </w:rPr>
            </w:pPr>
            <w:r>
              <w:rPr>
                <w:rFonts w:eastAsia="Calibri" w:cs="Calibri"/>
                <w:lang w:val="en-GB"/>
              </w:rPr>
              <w:t>Decree No 24/2008 (VIII.15.)  of the Minister of Finance on the detailed rules of the disclosure obligation in relation to publicly traded securities</w:t>
            </w:r>
          </w:p>
          <w:p w14:paraId="3FB3283C" w14:textId="77777777" w:rsidR="005425C4" w:rsidRPr="004D785F" w:rsidRDefault="005425C4" w:rsidP="005425C4">
            <w:pPr>
              <w:widowControl w:val="0"/>
              <w:spacing w:after="0" w:line="242" w:lineRule="exact"/>
              <w:ind w:right="-20"/>
              <w:rPr>
                <w:rFonts w:eastAsia="Calibri" w:cs="Calibri"/>
                <w:position w:val="1"/>
              </w:rPr>
            </w:pPr>
          </w:p>
        </w:tc>
        <w:tc>
          <w:tcPr>
            <w:tcW w:w="4450" w:type="dxa"/>
            <w:gridSpan w:val="2"/>
            <w:tcBorders>
              <w:top w:val="single" w:sz="4" w:space="0" w:color="000000"/>
              <w:left w:val="single" w:sz="4" w:space="0" w:color="000000"/>
              <w:bottom w:val="single" w:sz="4" w:space="0" w:color="000000"/>
              <w:right w:val="single" w:sz="4" w:space="0" w:color="000000"/>
            </w:tcBorders>
          </w:tcPr>
          <w:p w14:paraId="571B63C2" w14:textId="77777777" w:rsidR="005425C4" w:rsidRPr="00A247CB" w:rsidRDefault="005425C4">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5DFC7FD6" w14:textId="77777777" w:rsidR="005425C4" w:rsidRDefault="00DD5766">
            <w:pPr>
              <w:widowControl w:val="0"/>
              <w:spacing w:after="0" w:line="242" w:lineRule="exact"/>
              <w:ind w:left="102" w:right="-20"/>
              <w:rPr>
                <w:rFonts w:eastAsia="Calibri" w:cs="Calibri"/>
                <w:position w:val="1"/>
              </w:rPr>
            </w:pPr>
            <w:r>
              <w:rPr>
                <w:rFonts w:eastAsia="Calibri" w:cs="Calibri"/>
                <w:lang w:val="en-GB"/>
              </w:rPr>
              <w:t>Sections 1–7;</w:t>
            </w:r>
          </w:p>
          <w:p w14:paraId="50CEDAC6" w14:textId="3DC22463" w:rsidR="00DD5766" w:rsidRDefault="00DD5766">
            <w:pPr>
              <w:widowControl w:val="0"/>
              <w:spacing w:after="0" w:line="242" w:lineRule="exact"/>
              <w:ind w:left="102" w:right="-20"/>
              <w:rPr>
                <w:rFonts w:eastAsia="Calibri" w:cs="Calibri"/>
                <w:position w:val="1"/>
              </w:rPr>
            </w:pPr>
            <w:r>
              <w:rPr>
                <w:rFonts w:eastAsia="Calibri" w:cs="Calibri"/>
                <w:lang w:val="en-GB"/>
              </w:rPr>
              <w:t>Annexes 1 to 2 and 4</w:t>
            </w:r>
          </w:p>
        </w:tc>
      </w:tr>
      <w:tr w:rsidR="00734DE2" w:rsidRPr="0010391B" w14:paraId="0AE72968"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6904A8E3" w14:textId="4C000FC2" w:rsidR="00734DE2" w:rsidRPr="005425C4" w:rsidRDefault="00734DE2" w:rsidP="005425C4">
            <w:pPr>
              <w:widowControl w:val="0"/>
              <w:spacing w:after="0" w:line="242" w:lineRule="exact"/>
              <w:ind w:right="-20"/>
              <w:rPr>
                <w:rFonts w:eastAsia="Calibri" w:cs="Calibri"/>
                <w:position w:val="1"/>
              </w:rPr>
            </w:pPr>
            <w:r>
              <w:rPr>
                <w:rFonts w:eastAsia="Calibri" w:cs="Calibri"/>
                <w:lang w:val="en-GB"/>
              </w:rPr>
              <w:t>Decree No 6/2002 (II. 20.) of the Minister of Finance on the notification obligation of investment service providers, organisations engaged in clearing house operations and the stock exchange.</w:t>
            </w:r>
          </w:p>
        </w:tc>
        <w:tc>
          <w:tcPr>
            <w:tcW w:w="4450" w:type="dxa"/>
            <w:gridSpan w:val="2"/>
            <w:tcBorders>
              <w:top w:val="single" w:sz="4" w:space="0" w:color="000000"/>
              <w:left w:val="single" w:sz="4" w:space="0" w:color="000000"/>
              <w:bottom w:val="single" w:sz="4" w:space="0" w:color="000000"/>
              <w:right w:val="single" w:sz="4" w:space="0" w:color="000000"/>
            </w:tcBorders>
          </w:tcPr>
          <w:p w14:paraId="72CFFA15" w14:textId="77777777" w:rsidR="00734DE2" w:rsidRPr="00A247CB" w:rsidRDefault="00734DE2">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2FB9EDDE" w14:textId="6A9683E1" w:rsidR="00734DE2" w:rsidRDefault="00734DE2">
            <w:pPr>
              <w:widowControl w:val="0"/>
              <w:spacing w:after="0" w:line="242" w:lineRule="exact"/>
              <w:ind w:left="102" w:right="-20"/>
              <w:rPr>
                <w:rFonts w:eastAsia="Calibri" w:cs="Calibri"/>
                <w:position w:val="1"/>
              </w:rPr>
            </w:pPr>
            <w:r>
              <w:rPr>
                <w:rFonts w:eastAsia="Calibri" w:cs="Calibri"/>
                <w:lang w:val="en-GB"/>
              </w:rPr>
              <w:t>Sections 1–4</w:t>
            </w:r>
          </w:p>
        </w:tc>
      </w:tr>
      <w:tr w:rsidR="00E17546" w:rsidRPr="0010391B" w14:paraId="2DB20621"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413B8308" w14:textId="4D2DFD18" w:rsidR="00E17546" w:rsidRPr="005425C4" w:rsidRDefault="00E17546" w:rsidP="005425C4">
            <w:pPr>
              <w:widowControl w:val="0"/>
              <w:spacing w:after="0" w:line="242" w:lineRule="exact"/>
              <w:ind w:right="-20"/>
              <w:rPr>
                <w:rFonts w:eastAsia="Calibri" w:cs="Calibri"/>
                <w:position w:val="1"/>
              </w:rPr>
            </w:pPr>
            <w:r>
              <w:rPr>
                <w:rFonts w:eastAsia="Calibri" w:cs="Calibri"/>
                <w:lang w:val="en-GB"/>
              </w:rPr>
              <w:t xml:space="preserve">Government Decree No 251/2000 (XII. 24.) on the Special features of the annual financial </w:t>
            </w:r>
            <w:proofErr w:type="gramStart"/>
            <w:r>
              <w:rPr>
                <w:rFonts w:eastAsia="Calibri" w:cs="Calibri"/>
                <w:lang w:val="en-GB"/>
              </w:rPr>
              <w:t>statements</w:t>
            </w:r>
            <w:proofErr w:type="gramEnd"/>
            <w:r>
              <w:rPr>
                <w:rFonts w:eastAsia="Calibri" w:cs="Calibri"/>
                <w:lang w:val="en-GB"/>
              </w:rPr>
              <w:t xml:space="preserve"> preparation and bookkeeping obligations of investment firms</w:t>
            </w:r>
          </w:p>
        </w:tc>
        <w:tc>
          <w:tcPr>
            <w:tcW w:w="4450" w:type="dxa"/>
            <w:gridSpan w:val="2"/>
            <w:tcBorders>
              <w:top w:val="single" w:sz="4" w:space="0" w:color="000000"/>
              <w:left w:val="single" w:sz="4" w:space="0" w:color="000000"/>
              <w:bottom w:val="single" w:sz="4" w:space="0" w:color="000000"/>
              <w:right w:val="single" w:sz="4" w:space="0" w:color="000000"/>
            </w:tcBorders>
          </w:tcPr>
          <w:p w14:paraId="231E93CA" w14:textId="77777777" w:rsidR="00E17546" w:rsidRPr="00A247CB" w:rsidRDefault="00E17546">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6718639A" w14:textId="5BF655D1" w:rsidR="00E17546" w:rsidRDefault="00E17546">
            <w:pPr>
              <w:widowControl w:val="0"/>
              <w:spacing w:after="0" w:line="242" w:lineRule="exact"/>
              <w:ind w:left="102" w:right="-20"/>
              <w:rPr>
                <w:rFonts w:eastAsia="Calibri" w:cs="Calibri"/>
                <w:position w:val="1"/>
              </w:rPr>
            </w:pPr>
            <w:r>
              <w:rPr>
                <w:rFonts w:eastAsia="Calibri" w:cs="Calibri"/>
                <w:lang w:val="en-GB"/>
              </w:rPr>
              <w:t>Sections 3–18/B</w:t>
            </w:r>
          </w:p>
        </w:tc>
      </w:tr>
      <w:tr w:rsidR="00E17546" w:rsidRPr="0010391B" w14:paraId="648270C0" w14:textId="77777777" w:rsidTr="00B65579">
        <w:trPr>
          <w:trHeight w:val="20"/>
        </w:trPr>
        <w:tc>
          <w:tcPr>
            <w:tcW w:w="3546" w:type="dxa"/>
            <w:tcBorders>
              <w:top w:val="single" w:sz="4" w:space="0" w:color="000000"/>
              <w:left w:val="single" w:sz="4" w:space="0" w:color="000000"/>
              <w:bottom w:val="single" w:sz="4" w:space="0" w:color="000000"/>
              <w:right w:val="single" w:sz="4" w:space="0" w:color="000000"/>
            </w:tcBorders>
          </w:tcPr>
          <w:p w14:paraId="1D824AF3" w14:textId="320D8B3D" w:rsidR="00E17546" w:rsidRPr="00E17546" w:rsidRDefault="00E17546" w:rsidP="005425C4">
            <w:pPr>
              <w:widowControl w:val="0"/>
              <w:spacing w:after="0" w:line="242" w:lineRule="exact"/>
              <w:ind w:right="-20"/>
              <w:rPr>
                <w:rFonts w:eastAsia="Calibri" w:cs="Calibri"/>
                <w:position w:val="1"/>
              </w:rPr>
            </w:pPr>
            <w:r>
              <w:rPr>
                <w:rFonts w:eastAsia="Calibri" w:cs="Calibri"/>
                <w:lang w:val="en-GB"/>
              </w:rPr>
              <w:t>Government Decree No 284/2001 (XII. 26.) on the Method and security rules of producing and forwarding dematerialised securities, and the rules of opening and keeping securities accounts, central securities account and customer accounts</w:t>
            </w:r>
          </w:p>
        </w:tc>
        <w:tc>
          <w:tcPr>
            <w:tcW w:w="4450" w:type="dxa"/>
            <w:gridSpan w:val="2"/>
            <w:tcBorders>
              <w:top w:val="single" w:sz="4" w:space="0" w:color="000000"/>
              <w:left w:val="single" w:sz="4" w:space="0" w:color="000000"/>
              <w:bottom w:val="single" w:sz="4" w:space="0" w:color="000000"/>
              <w:right w:val="single" w:sz="4" w:space="0" w:color="000000"/>
            </w:tcBorders>
          </w:tcPr>
          <w:p w14:paraId="2A821C4D" w14:textId="77777777" w:rsidR="00E17546" w:rsidRPr="00A247CB" w:rsidRDefault="00E17546">
            <w:pPr>
              <w:widowControl w:val="0"/>
              <w:spacing w:after="0" w:line="242" w:lineRule="exact"/>
              <w:ind w:left="105" w:right="-20"/>
              <w:rPr>
                <w:rFonts w:eastAsia="Calibri" w:cs="Calibri"/>
                <w:position w:val="1"/>
              </w:rPr>
            </w:pPr>
          </w:p>
        </w:tc>
        <w:tc>
          <w:tcPr>
            <w:tcW w:w="1400" w:type="dxa"/>
            <w:tcBorders>
              <w:top w:val="single" w:sz="4" w:space="0" w:color="000000"/>
              <w:left w:val="single" w:sz="4" w:space="0" w:color="000000"/>
              <w:bottom w:val="single" w:sz="4" w:space="0" w:color="000000"/>
              <w:right w:val="single" w:sz="4" w:space="0" w:color="000000"/>
            </w:tcBorders>
          </w:tcPr>
          <w:p w14:paraId="5C848F83" w14:textId="12E4BA7A" w:rsidR="00E17546" w:rsidRDefault="00E17546" w:rsidP="00E17546">
            <w:pPr>
              <w:widowControl w:val="0"/>
              <w:spacing w:after="0" w:line="242" w:lineRule="exact"/>
              <w:ind w:left="102" w:right="-20"/>
              <w:rPr>
                <w:rFonts w:eastAsia="Calibri" w:cs="Calibri"/>
                <w:position w:val="1"/>
              </w:rPr>
            </w:pPr>
            <w:r>
              <w:rPr>
                <w:rFonts w:eastAsia="Calibri" w:cs="Calibri"/>
                <w:lang w:val="en-GB"/>
              </w:rPr>
              <w:t>Sections 1–19</w:t>
            </w:r>
          </w:p>
        </w:tc>
      </w:tr>
      <w:tr w:rsidR="002972D3" w:rsidRPr="0010391B" w14:paraId="27F372ED"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692BA1A2" w14:textId="19021B28" w:rsidR="002972D3" w:rsidRPr="00A247CB" w:rsidRDefault="002972D3" w:rsidP="004A6FFD">
            <w:pPr>
              <w:widowControl w:val="0"/>
              <w:spacing w:after="0" w:line="240" w:lineRule="auto"/>
              <w:ind w:left="103" w:right="238"/>
              <w:rPr>
                <w:rFonts w:eastAsia="Calibri" w:cs="Calibri"/>
              </w:rPr>
            </w:pPr>
            <w:r>
              <w:rPr>
                <w:rFonts w:eastAsia="Calibri" w:cs="Calibri"/>
                <w:lang w:val="en-GB"/>
              </w:rPr>
              <w:t>MNB Decree No 66/2021 (XII. 20.) on the Detailed Rules of the Forms and Methods of Complaint Management Procedures of Financial Organisations</w:t>
            </w:r>
          </w:p>
        </w:tc>
        <w:tc>
          <w:tcPr>
            <w:tcW w:w="4432" w:type="dxa"/>
            <w:tcBorders>
              <w:top w:val="single" w:sz="4" w:space="0" w:color="000000"/>
              <w:left w:val="single" w:sz="4" w:space="0" w:color="000000"/>
              <w:bottom w:val="single" w:sz="4" w:space="0" w:color="000000"/>
              <w:right w:val="single" w:sz="4" w:space="0" w:color="000000"/>
            </w:tcBorders>
          </w:tcPr>
          <w:p w14:paraId="49E4B9F1" w14:textId="3A9C60BC" w:rsidR="002972D3" w:rsidRPr="00A247CB" w:rsidRDefault="001F033D" w:rsidP="00B65579">
            <w:pPr>
              <w:widowControl w:val="0"/>
              <w:spacing w:after="200"/>
              <w:ind w:left="57"/>
              <w:rPr>
                <w:rFonts w:eastAsia="Calibri" w:cs="Times New Roman"/>
              </w:rPr>
            </w:pPr>
            <w:r>
              <w:rPr>
                <w:rFonts w:eastAsia="Calibri" w:cs="Calibri"/>
                <w:lang w:val="en-GB"/>
              </w:rPr>
              <w:t>Method and form of complaint management</w:t>
            </w:r>
          </w:p>
        </w:tc>
        <w:tc>
          <w:tcPr>
            <w:tcW w:w="1418" w:type="dxa"/>
            <w:gridSpan w:val="2"/>
            <w:tcBorders>
              <w:top w:val="single" w:sz="4" w:space="0" w:color="000000"/>
              <w:left w:val="single" w:sz="4" w:space="0" w:color="000000"/>
              <w:bottom w:val="single" w:sz="4" w:space="0" w:color="000000"/>
              <w:right w:val="single" w:sz="4" w:space="0" w:color="000000"/>
            </w:tcBorders>
          </w:tcPr>
          <w:p w14:paraId="66BE2738" w14:textId="5D12C20A" w:rsidR="002972D3" w:rsidRPr="00A247CB" w:rsidRDefault="002972D3" w:rsidP="004A6FFD">
            <w:pPr>
              <w:widowControl w:val="0"/>
              <w:spacing w:after="0" w:line="240" w:lineRule="auto"/>
              <w:ind w:left="102" w:right="-20"/>
              <w:rPr>
                <w:rFonts w:eastAsia="Calibri" w:cs="Calibri"/>
              </w:rPr>
            </w:pPr>
            <w:r>
              <w:rPr>
                <w:rFonts w:eastAsia="Calibri" w:cs="Calibri"/>
                <w:lang w:val="en-GB"/>
              </w:rPr>
              <w:t>Sections 1–8</w:t>
            </w:r>
          </w:p>
        </w:tc>
      </w:tr>
      <w:tr w:rsidR="002972D3" w:rsidRPr="0010391B" w14:paraId="4BD2D35A" w14:textId="77777777" w:rsidTr="00B65579">
        <w:trPr>
          <w:trHeight w:val="20"/>
        </w:trPr>
        <w:tc>
          <w:tcPr>
            <w:tcW w:w="3546" w:type="dxa"/>
            <w:vMerge/>
            <w:tcBorders>
              <w:left w:val="single" w:sz="4" w:space="0" w:color="000000"/>
              <w:bottom w:val="single" w:sz="4" w:space="0" w:color="000000"/>
              <w:right w:val="single" w:sz="4" w:space="0" w:color="000000"/>
            </w:tcBorders>
          </w:tcPr>
          <w:p w14:paraId="418CB0EF"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22596BCE" w14:textId="76735A6B" w:rsidR="001F033D" w:rsidRPr="004A6FFD" w:rsidRDefault="001F033D" w:rsidP="00B65579">
            <w:pPr>
              <w:widowControl w:val="0"/>
              <w:spacing w:after="200"/>
              <w:ind w:left="57"/>
              <w:rPr>
                <w:rFonts w:eastAsia="Calibri" w:cs="Calibri"/>
                <w:position w:val="1"/>
              </w:rPr>
            </w:pPr>
            <w:r>
              <w:rPr>
                <w:rFonts w:eastAsia="Calibri" w:cs="Calibri"/>
                <w:lang w:val="en-GB"/>
              </w:rPr>
              <w:t>Indicating the rules pertaining to the form and method of complaint management in the Complaints handling procedures</w:t>
            </w:r>
          </w:p>
          <w:p w14:paraId="4D6C9B90" w14:textId="5B8994AD" w:rsidR="002972D3" w:rsidRPr="004A6FFD" w:rsidRDefault="002972D3" w:rsidP="00B65579">
            <w:pPr>
              <w:widowControl w:val="0"/>
              <w:spacing w:after="200"/>
              <w:ind w:left="57"/>
              <w:rPr>
                <w:rFonts w:eastAsia="Calibri" w:cs="Calibri"/>
                <w:position w:val="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A98BBE0" w14:textId="77777777" w:rsidR="002972D3" w:rsidRPr="00A247CB" w:rsidRDefault="002972D3" w:rsidP="004A6FFD">
            <w:pPr>
              <w:widowControl w:val="0"/>
              <w:spacing w:after="0" w:line="243" w:lineRule="exact"/>
              <w:ind w:left="102" w:right="-20"/>
              <w:rPr>
                <w:rFonts w:eastAsia="Calibri" w:cs="Calibri"/>
              </w:rPr>
            </w:pPr>
            <w:r>
              <w:rPr>
                <w:rFonts w:eastAsia="Calibri" w:cs="Calibri"/>
                <w:lang w:val="en-GB"/>
              </w:rPr>
              <w:t>Annex 1</w:t>
            </w:r>
          </w:p>
          <w:p w14:paraId="306C750A" w14:textId="77777777" w:rsidR="002972D3" w:rsidRPr="00A247CB" w:rsidRDefault="002972D3" w:rsidP="004A6FFD">
            <w:pPr>
              <w:widowControl w:val="0"/>
              <w:spacing w:after="0" w:line="240" w:lineRule="auto"/>
              <w:ind w:left="102" w:right="-20"/>
              <w:rPr>
                <w:rFonts w:eastAsia="Calibri" w:cs="Calibri"/>
              </w:rPr>
            </w:pPr>
          </w:p>
        </w:tc>
      </w:tr>
      <w:tr w:rsidR="002972D3" w:rsidRPr="0010391B" w14:paraId="1DDBF291"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7AD31F43" w14:textId="1D30D705" w:rsidR="002972D3" w:rsidRPr="00A247CB" w:rsidRDefault="002972D3" w:rsidP="004A6FFD">
            <w:pPr>
              <w:widowControl w:val="0"/>
              <w:spacing w:after="0" w:line="240" w:lineRule="auto"/>
              <w:ind w:left="103" w:right="-20"/>
              <w:rPr>
                <w:rFonts w:eastAsia="Calibri" w:cs="Calibri"/>
              </w:rPr>
            </w:pPr>
            <w:r>
              <w:rPr>
                <w:rFonts w:eastAsia="Calibri" w:cs="Calibri"/>
                <w:lang w:val="en-GB"/>
              </w:rPr>
              <w:lastRenderedPageBreak/>
              <w:t>MNB Decree No 32/2014. (IX. 10.) on the Regulation of the Payment-to-Income Ratio and the Loan-to-Value Ratio</w:t>
            </w:r>
          </w:p>
        </w:tc>
        <w:tc>
          <w:tcPr>
            <w:tcW w:w="4432" w:type="dxa"/>
            <w:tcBorders>
              <w:top w:val="single" w:sz="4" w:space="0" w:color="000000"/>
              <w:left w:val="single" w:sz="4" w:space="0" w:color="000000"/>
              <w:bottom w:val="single" w:sz="4" w:space="0" w:color="000000"/>
              <w:right w:val="single" w:sz="4" w:space="0" w:color="000000"/>
            </w:tcBorders>
          </w:tcPr>
          <w:p w14:paraId="106344DB" w14:textId="77777777" w:rsidR="002972D3" w:rsidRPr="004A6FFD" w:rsidRDefault="002972D3" w:rsidP="00B65579">
            <w:pPr>
              <w:widowControl w:val="0"/>
              <w:spacing w:after="200"/>
              <w:ind w:left="57"/>
              <w:rPr>
                <w:rFonts w:eastAsia="Calibri" w:cs="Calibri"/>
                <w:position w:val="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B552E3F" w14:textId="77777777" w:rsidR="002972D3" w:rsidRPr="00A247CB" w:rsidRDefault="002972D3" w:rsidP="004A6FFD">
            <w:pPr>
              <w:widowControl w:val="0"/>
              <w:spacing w:after="0" w:line="242" w:lineRule="exact"/>
              <w:ind w:left="148" w:right="-20"/>
              <w:rPr>
                <w:rFonts w:eastAsia="Calibri" w:cs="Calibri"/>
              </w:rPr>
            </w:pPr>
            <w:r>
              <w:rPr>
                <w:rFonts w:eastAsia="Calibri" w:cs="Calibri"/>
                <w:lang w:val="en-GB"/>
              </w:rPr>
              <w:t>Sections 1–8</w:t>
            </w:r>
          </w:p>
        </w:tc>
      </w:tr>
      <w:tr w:rsidR="002972D3" w:rsidRPr="0010391B" w14:paraId="5780B3C1" w14:textId="77777777" w:rsidTr="00B65579">
        <w:trPr>
          <w:trHeight w:val="20"/>
        </w:trPr>
        <w:tc>
          <w:tcPr>
            <w:tcW w:w="3546" w:type="dxa"/>
            <w:vMerge/>
            <w:tcBorders>
              <w:left w:val="single" w:sz="4" w:space="0" w:color="000000"/>
              <w:bottom w:val="single" w:sz="4" w:space="0" w:color="000000"/>
              <w:right w:val="single" w:sz="4" w:space="0" w:color="000000"/>
            </w:tcBorders>
          </w:tcPr>
          <w:p w14:paraId="19F569B0"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76E44393" w14:textId="77777777" w:rsidR="002972D3" w:rsidRPr="00A247CB" w:rsidRDefault="002972D3" w:rsidP="00B65579">
            <w:pPr>
              <w:widowControl w:val="0"/>
              <w:spacing w:after="0" w:line="242" w:lineRule="exact"/>
              <w:ind w:left="57" w:right="-20"/>
              <w:rPr>
                <w:rFonts w:eastAsia="Calibri" w:cs="Calibri"/>
              </w:rPr>
            </w:pPr>
            <w:r>
              <w:rPr>
                <w:rFonts w:eastAsia="Calibri" w:cs="Calibri"/>
                <w:lang w:val="en-GB"/>
              </w:rPr>
              <w:t>Calculation method of the payment-to-income ratio (PTI)</w:t>
            </w:r>
          </w:p>
        </w:tc>
        <w:tc>
          <w:tcPr>
            <w:tcW w:w="1418" w:type="dxa"/>
            <w:gridSpan w:val="2"/>
            <w:tcBorders>
              <w:top w:val="single" w:sz="4" w:space="0" w:color="000000"/>
              <w:left w:val="single" w:sz="4" w:space="0" w:color="000000"/>
              <w:bottom w:val="single" w:sz="4" w:space="0" w:color="000000"/>
              <w:right w:val="single" w:sz="4" w:space="0" w:color="000000"/>
            </w:tcBorders>
          </w:tcPr>
          <w:p w14:paraId="2E0158E9" w14:textId="77777777" w:rsidR="002972D3" w:rsidRPr="00A247CB" w:rsidRDefault="002972D3" w:rsidP="001D7E42">
            <w:pPr>
              <w:widowControl w:val="0"/>
              <w:spacing w:after="0" w:line="242" w:lineRule="exact"/>
              <w:ind w:left="102" w:right="-20"/>
              <w:rPr>
                <w:rFonts w:eastAsia="Calibri" w:cs="Calibri"/>
              </w:rPr>
            </w:pPr>
            <w:r>
              <w:rPr>
                <w:rFonts w:eastAsia="Calibri" w:cs="Calibri"/>
                <w:lang w:val="en-GB"/>
              </w:rPr>
              <w:t>Annex 1</w:t>
            </w:r>
          </w:p>
          <w:p w14:paraId="04BCBBE3" w14:textId="77777777" w:rsidR="002972D3" w:rsidRPr="00A247CB" w:rsidRDefault="002972D3" w:rsidP="001D7E42">
            <w:pPr>
              <w:widowControl w:val="0"/>
              <w:spacing w:after="0" w:line="240" w:lineRule="auto"/>
              <w:ind w:left="102" w:right="-20"/>
              <w:rPr>
                <w:rFonts w:eastAsia="Calibri" w:cs="Calibri"/>
              </w:rPr>
            </w:pPr>
          </w:p>
        </w:tc>
      </w:tr>
      <w:tr w:rsidR="0017626E" w:rsidRPr="0010391B" w14:paraId="7DCE4BE4" w14:textId="77777777" w:rsidTr="00B65579">
        <w:trPr>
          <w:trHeight w:val="20"/>
        </w:trPr>
        <w:tc>
          <w:tcPr>
            <w:tcW w:w="3546" w:type="dxa"/>
            <w:tcBorders>
              <w:left w:val="single" w:sz="4" w:space="0" w:color="000000"/>
              <w:bottom w:val="single" w:sz="4" w:space="0" w:color="000000"/>
              <w:right w:val="single" w:sz="4" w:space="0" w:color="000000"/>
            </w:tcBorders>
          </w:tcPr>
          <w:p w14:paraId="2E4584E9" w14:textId="74392708" w:rsidR="0017626E" w:rsidRPr="00A247CB" w:rsidRDefault="0017626E" w:rsidP="001F033D">
            <w:pPr>
              <w:widowControl w:val="0"/>
              <w:spacing w:after="0" w:line="242" w:lineRule="exact"/>
              <w:ind w:left="103" w:right="-20"/>
              <w:rPr>
                <w:rFonts w:eastAsia="Calibri" w:cs="Times New Roman"/>
              </w:rPr>
            </w:pPr>
            <w:r>
              <w:rPr>
                <w:rFonts w:eastAsia="Calibri" w:cs="Calibri"/>
                <w:lang w:val="en-GB"/>
              </w:rPr>
              <w:t>MNB Decree No 36/2015 (IX. 24.) on the methodology of generating the log-in ID and password for securities accounts and client accounts, the related data reporting and mandatory elements of the regulation on data security requirements</w:t>
            </w:r>
          </w:p>
        </w:tc>
        <w:tc>
          <w:tcPr>
            <w:tcW w:w="4432" w:type="dxa"/>
            <w:tcBorders>
              <w:top w:val="single" w:sz="4" w:space="0" w:color="000000"/>
              <w:left w:val="single" w:sz="4" w:space="0" w:color="000000"/>
              <w:bottom w:val="single" w:sz="4" w:space="0" w:color="000000"/>
              <w:right w:val="single" w:sz="4" w:space="0" w:color="000000"/>
            </w:tcBorders>
          </w:tcPr>
          <w:p w14:paraId="3C08A587" w14:textId="696F005A" w:rsidR="0017626E" w:rsidRPr="00A247CB" w:rsidRDefault="006C60E4" w:rsidP="00B65579">
            <w:pPr>
              <w:widowControl w:val="0"/>
              <w:spacing w:after="0" w:line="242" w:lineRule="exact"/>
              <w:ind w:left="57" w:right="-20"/>
              <w:rPr>
                <w:rFonts w:eastAsia="Calibri" w:cs="Calibri"/>
                <w:position w:val="1"/>
              </w:rPr>
            </w:pPr>
            <w:r>
              <w:rPr>
                <w:rFonts w:eastAsia="Calibri" w:cs="Calibri"/>
                <w:lang w:val="en-GB"/>
              </w:rPr>
              <w:t>Generating the log-in ID and password for securities accounts and client accounts, and transferring it to the client</w:t>
            </w:r>
          </w:p>
        </w:tc>
        <w:tc>
          <w:tcPr>
            <w:tcW w:w="1418" w:type="dxa"/>
            <w:gridSpan w:val="2"/>
            <w:tcBorders>
              <w:top w:val="single" w:sz="4" w:space="0" w:color="000000"/>
              <w:left w:val="single" w:sz="4" w:space="0" w:color="000000"/>
              <w:bottom w:val="single" w:sz="4" w:space="0" w:color="000000"/>
              <w:right w:val="single" w:sz="4" w:space="0" w:color="000000"/>
            </w:tcBorders>
          </w:tcPr>
          <w:p w14:paraId="32C2FF70" w14:textId="4F377DB9" w:rsidR="0017626E" w:rsidRPr="00A247CB" w:rsidRDefault="006C60E4" w:rsidP="004A6FFD">
            <w:pPr>
              <w:widowControl w:val="0"/>
              <w:spacing w:after="0" w:line="242" w:lineRule="exact"/>
              <w:ind w:left="102" w:right="-20"/>
              <w:rPr>
                <w:rFonts w:eastAsia="Calibri" w:cs="Calibri"/>
                <w:position w:val="1"/>
              </w:rPr>
            </w:pPr>
            <w:r>
              <w:rPr>
                <w:rFonts w:eastAsia="Calibri" w:cs="Calibri"/>
                <w:lang w:val="en-GB"/>
              </w:rPr>
              <w:t>Sections 1–13</w:t>
            </w:r>
          </w:p>
        </w:tc>
      </w:tr>
      <w:tr w:rsidR="002972D3" w:rsidRPr="0010391B" w14:paraId="29385720" w14:textId="77777777" w:rsidTr="00B65579">
        <w:trPr>
          <w:trHeight w:val="20"/>
        </w:trPr>
        <w:tc>
          <w:tcPr>
            <w:tcW w:w="3546" w:type="dxa"/>
            <w:vMerge w:val="restart"/>
            <w:tcBorders>
              <w:top w:val="single" w:sz="4" w:space="0" w:color="000000"/>
              <w:left w:val="single" w:sz="4" w:space="0" w:color="000000"/>
              <w:right w:val="single" w:sz="4" w:space="0" w:color="000000"/>
            </w:tcBorders>
          </w:tcPr>
          <w:p w14:paraId="368C9B3B" w14:textId="77777777" w:rsidR="002972D3" w:rsidRPr="00A247CB" w:rsidRDefault="002972D3" w:rsidP="004A6FFD">
            <w:pPr>
              <w:widowControl w:val="0"/>
              <w:spacing w:after="0" w:line="242" w:lineRule="exact"/>
              <w:ind w:left="103" w:right="-20"/>
              <w:rPr>
                <w:rFonts w:eastAsia="Calibri" w:cs="Calibri"/>
              </w:rPr>
            </w:pPr>
            <w:r>
              <w:rPr>
                <w:rFonts w:eastAsia="Calibri" w:cs="Calibri"/>
                <w:lang w:val="en-GB"/>
              </w:rPr>
              <w:t>MNB Decree No 35/2017 (XII. 14.) on the Execution of payment transactions</w:t>
            </w:r>
          </w:p>
        </w:tc>
        <w:tc>
          <w:tcPr>
            <w:tcW w:w="4432" w:type="dxa"/>
            <w:tcBorders>
              <w:top w:val="single" w:sz="4" w:space="0" w:color="000000"/>
              <w:left w:val="single" w:sz="4" w:space="0" w:color="000000"/>
              <w:bottom w:val="single" w:sz="4" w:space="0" w:color="000000"/>
              <w:right w:val="single" w:sz="4" w:space="0" w:color="000000"/>
            </w:tcBorders>
          </w:tcPr>
          <w:p w14:paraId="4B2BF050" w14:textId="4260A006" w:rsidR="002972D3" w:rsidRPr="00A247CB" w:rsidRDefault="002972D3" w:rsidP="00B65579">
            <w:pPr>
              <w:widowControl w:val="0"/>
              <w:spacing w:after="0" w:line="242" w:lineRule="exact"/>
              <w:ind w:left="57" w:right="-20"/>
              <w:rPr>
                <w:rFonts w:eastAsia="Calibri" w:cs="Calibri"/>
              </w:rPr>
            </w:pPr>
            <w:r>
              <w:rPr>
                <w:rFonts w:eastAsia="Calibri" w:cs="Calibri"/>
                <w:lang w:val="en-GB"/>
              </w:rPr>
              <w:t>Scope</w:t>
            </w:r>
          </w:p>
        </w:tc>
        <w:tc>
          <w:tcPr>
            <w:tcW w:w="1418" w:type="dxa"/>
            <w:gridSpan w:val="2"/>
            <w:tcBorders>
              <w:top w:val="single" w:sz="4" w:space="0" w:color="000000"/>
              <w:left w:val="single" w:sz="4" w:space="0" w:color="000000"/>
              <w:bottom w:val="single" w:sz="4" w:space="0" w:color="000000"/>
              <w:right w:val="single" w:sz="4" w:space="0" w:color="000000"/>
            </w:tcBorders>
          </w:tcPr>
          <w:p w14:paraId="6FAF0AA5" w14:textId="77777777" w:rsidR="002972D3" w:rsidRPr="00A247CB" w:rsidRDefault="002972D3" w:rsidP="004A6FFD">
            <w:pPr>
              <w:widowControl w:val="0"/>
              <w:spacing w:after="0" w:line="242" w:lineRule="exact"/>
              <w:ind w:left="148" w:right="-20"/>
              <w:rPr>
                <w:rFonts w:eastAsia="Calibri" w:cs="Calibri"/>
              </w:rPr>
            </w:pPr>
            <w:r>
              <w:rPr>
                <w:rFonts w:eastAsia="Calibri" w:cs="Calibri"/>
                <w:lang w:val="en-GB"/>
              </w:rPr>
              <w:t>Section 1</w:t>
            </w:r>
          </w:p>
        </w:tc>
      </w:tr>
      <w:tr w:rsidR="002972D3" w:rsidRPr="0010391B" w14:paraId="4777CE00" w14:textId="77777777" w:rsidTr="00B65579">
        <w:trPr>
          <w:trHeight w:val="20"/>
        </w:trPr>
        <w:tc>
          <w:tcPr>
            <w:tcW w:w="3546" w:type="dxa"/>
            <w:vMerge/>
            <w:tcBorders>
              <w:left w:val="single" w:sz="4" w:space="0" w:color="000000"/>
              <w:right w:val="single" w:sz="4" w:space="0" w:color="000000"/>
            </w:tcBorders>
          </w:tcPr>
          <w:p w14:paraId="717331C6"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6B49803F" w14:textId="0FE7E86A" w:rsidR="002972D3" w:rsidRPr="00A247CB" w:rsidRDefault="006A4648" w:rsidP="00B65579">
            <w:pPr>
              <w:widowControl w:val="0"/>
              <w:spacing w:after="0" w:line="242" w:lineRule="exact"/>
              <w:ind w:left="57" w:right="-20"/>
              <w:rPr>
                <w:rFonts w:eastAsia="Calibri" w:cs="Calibri"/>
              </w:rPr>
            </w:pPr>
            <w:r>
              <w:rPr>
                <w:rFonts w:eastAsia="Calibri" w:cs="Calibri"/>
                <w:lang w:val="en-GB"/>
              </w:rPr>
              <w:t>Bank account number</w:t>
            </w:r>
          </w:p>
        </w:tc>
        <w:tc>
          <w:tcPr>
            <w:tcW w:w="1418" w:type="dxa"/>
            <w:gridSpan w:val="2"/>
            <w:tcBorders>
              <w:top w:val="single" w:sz="4" w:space="0" w:color="000000"/>
              <w:left w:val="single" w:sz="4" w:space="0" w:color="000000"/>
              <w:bottom w:val="single" w:sz="4" w:space="0" w:color="000000"/>
              <w:right w:val="single" w:sz="4" w:space="0" w:color="000000"/>
            </w:tcBorders>
          </w:tcPr>
          <w:p w14:paraId="7DC9F2E2" w14:textId="77777777" w:rsidR="002972D3" w:rsidRPr="00A247CB" w:rsidRDefault="002972D3" w:rsidP="001D7E42">
            <w:pPr>
              <w:widowControl w:val="0"/>
              <w:spacing w:after="0" w:line="242" w:lineRule="exact"/>
              <w:ind w:left="148" w:right="-20"/>
              <w:rPr>
                <w:rFonts w:eastAsia="Calibri" w:cs="Calibri"/>
              </w:rPr>
            </w:pPr>
            <w:r>
              <w:rPr>
                <w:rFonts w:eastAsia="Calibri" w:cs="Calibri"/>
                <w:lang w:val="en-GB"/>
              </w:rPr>
              <w:t>Section 3</w:t>
            </w:r>
          </w:p>
        </w:tc>
      </w:tr>
      <w:tr w:rsidR="002972D3" w:rsidRPr="0010391B" w14:paraId="268278A0" w14:textId="77777777" w:rsidTr="00B65579">
        <w:trPr>
          <w:trHeight w:val="20"/>
        </w:trPr>
        <w:tc>
          <w:tcPr>
            <w:tcW w:w="3546" w:type="dxa"/>
            <w:vMerge/>
            <w:tcBorders>
              <w:left w:val="single" w:sz="4" w:space="0" w:color="000000"/>
              <w:right w:val="single" w:sz="4" w:space="0" w:color="000000"/>
            </w:tcBorders>
          </w:tcPr>
          <w:p w14:paraId="5A26A041"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16DEB7AE" w14:textId="77777777" w:rsidR="002972D3" w:rsidRPr="00A247CB" w:rsidRDefault="002972D3" w:rsidP="00B65579">
            <w:pPr>
              <w:widowControl w:val="0"/>
              <w:spacing w:after="0" w:line="242" w:lineRule="exact"/>
              <w:ind w:left="57" w:right="-20"/>
              <w:rPr>
                <w:rFonts w:eastAsia="Calibri" w:cs="Calibri"/>
              </w:rPr>
            </w:pPr>
            <w:r>
              <w:rPr>
                <w:rFonts w:eastAsia="Calibri" w:cs="Calibri"/>
                <w:lang w:val="en-GB"/>
              </w:rPr>
              <w:t>Routing table</w:t>
            </w:r>
          </w:p>
        </w:tc>
        <w:tc>
          <w:tcPr>
            <w:tcW w:w="1418" w:type="dxa"/>
            <w:gridSpan w:val="2"/>
            <w:tcBorders>
              <w:top w:val="single" w:sz="4" w:space="0" w:color="000000"/>
              <w:left w:val="single" w:sz="4" w:space="0" w:color="000000"/>
              <w:bottom w:val="single" w:sz="4" w:space="0" w:color="000000"/>
              <w:right w:val="single" w:sz="4" w:space="0" w:color="000000"/>
            </w:tcBorders>
          </w:tcPr>
          <w:p w14:paraId="79394E6C" w14:textId="77777777" w:rsidR="002972D3" w:rsidRPr="00A247CB" w:rsidRDefault="002972D3" w:rsidP="001D7E42">
            <w:pPr>
              <w:widowControl w:val="0"/>
              <w:spacing w:after="0" w:line="242" w:lineRule="exact"/>
              <w:ind w:left="148" w:right="-20"/>
              <w:rPr>
                <w:rFonts w:eastAsia="Calibri" w:cs="Calibri"/>
              </w:rPr>
            </w:pPr>
            <w:r>
              <w:rPr>
                <w:rFonts w:eastAsia="Calibri" w:cs="Calibri"/>
                <w:lang w:val="en-GB"/>
              </w:rPr>
              <w:t>Section 5</w:t>
            </w:r>
          </w:p>
        </w:tc>
      </w:tr>
      <w:tr w:rsidR="002972D3" w:rsidRPr="0010391B" w14:paraId="0D2932C8" w14:textId="77777777" w:rsidTr="00B65579">
        <w:trPr>
          <w:trHeight w:val="20"/>
        </w:trPr>
        <w:tc>
          <w:tcPr>
            <w:tcW w:w="3546" w:type="dxa"/>
            <w:vMerge/>
            <w:tcBorders>
              <w:left w:val="single" w:sz="4" w:space="0" w:color="000000"/>
              <w:right w:val="single" w:sz="4" w:space="0" w:color="000000"/>
            </w:tcBorders>
          </w:tcPr>
          <w:p w14:paraId="765A6179"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045A4683" w14:textId="77777777" w:rsidR="002972D3" w:rsidRPr="00A247CB" w:rsidRDefault="002972D3" w:rsidP="00B65579">
            <w:pPr>
              <w:widowControl w:val="0"/>
              <w:spacing w:after="0" w:line="242" w:lineRule="exact"/>
              <w:ind w:left="57" w:right="-20"/>
              <w:rPr>
                <w:rFonts w:eastAsia="Calibri" w:cs="Calibri"/>
              </w:rPr>
            </w:pPr>
            <w:r>
              <w:rPr>
                <w:rFonts w:eastAsia="Calibri" w:cs="Calibri"/>
                <w:lang w:val="en-GB"/>
              </w:rPr>
              <w:t>General rules for the execution of payment transactions</w:t>
            </w:r>
          </w:p>
        </w:tc>
        <w:tc>
          <w:tcPr>
            <w:tcW w:w="1418" w:type="dxa"/>
            <w:gridSpan w:val="2"/>
            <w:tcBorders>
              <w:top w:val="single" w:sz="4" w:space="0" w:color="000000"/>
              <w:left w:val="single" w:sz="4" w:space="0" w:color="000000"/>
              <w:bottom w:val="single" w:sz="4" w:space="0" w:color="000000"/>
              <w:right w:val="single" w:sz="4" w:space="0" w:color="000000"/>
            </w:tcBorders>
          </w:tcPr>
          <w:p w14:paraId="164FC444" w14:textId="77777777" w:rsidR="002972D3" w:rsidRPr="00A247CB" w:rsidRDefault="002972D3" w:rsidP="001D7E42">
            <w:pPr>
              <w:widowControl w:val="0"/>
              <w:spacing w:after="0" w:line="242" w:lineRule="exact"/>
              <w:ind w:left="102" w:right="-20"/>
              <w:rPr>
                <w:rFonts w:eastAsia="Calibri" w:cs="Calibri"/>
              </w:rPr>
            </w:pPr>
            <w:r>
              <w:rPr>
                <w:rFonts w:eastAsia="Calibri" w:cs="Calibri"/>
                <w:lang w:val="en-GB"/>
              </w:rPr>
              <w:t>Sections 6–14</w:t>
            </w:r>
          </w:p>
        </w:tc>
      </w:tr>
      <w:tr w:rsidR="002972D3" w:rsidRPr="0010391B" w14:paraId="056641B7" w14:textId="77777777" w:rsidTr="00B65579">
        <w:trPr>
          <w:trHeight w:val="20"/>
        </w:trPr>
        <w:tc>
          <w:tcPr>
            <w:tcW w:w="3546" w:type="dxa"/>
            <w:vMerge/>
            <w:tcBorders>
              <w:left w:val="single" w:sz="4" w:space="0" w:color="000000"/>
              <w:right w:val="single" w:sz="4" w:space="0" w:color="000000"/>
            </w:tcBorders>
          </w:tcPr>
          <w:p w14:paraId="008DE07A"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5DE9562D" w14:textId="7ED0758D" w:rsidR="002972D3" w:rsidRPr="00A247CB" w:rsidRDefault="006A4648" w:rsidP="00B65579">
            <w:pPr>
              <w:spacing w:after="160" w:line="259" w:lineRule="auto"/>
              <w:ind w:left="57"/>
              <w:jc w:val="left"/>
              <w:rPr>
                <w:rFonts w:eastAsia="Calibri" w:cs="Calibri"/>
              </w:rPr>
            </w:pPr>
            <w:r>
              <w:rPr>
                <w:rFonts w:eastAsia="Calibri" w:cs="Calibri"/>
                <w:lang w:val="en-GB"/>
              </w:rPr>
              <w:t xml:space="preserve"> </w:t>
            </w:r>
            <w:r w:rsidR="008E1350">
              <w:rPr>
                <w:rFonts w:eastAsia="Calibri" w:cs="Calibri"/>
                <w:lang w:val="en-GB"/>
              </w:rPr>
              <w:t>Amounts transferred and made available, deadline for execution and value date</w:t>
            </w:r>
          </w:p>
        </w:tc>
        <w:tc>
          <w:tcPr>
            <w:tcW w:w="1418" w:type="dxa"/>
            <w:gridSpan w:val="2"/>
            <w:tcBorders>
              <w:top w:val="single" w:sz="4" w:space="0" w:color="000000"/>
              <w:left w:val="single" w:sz="4" w:space="0" w:color="000000"/>
              <w:bottom w:val="single" w:sz="4" w:space="0" w:color="000000"/>
              <w:right w:val="single" w:sz="4" w:space="0" w:color="000000"/>
            </w:tcBorders>
          </w:tcPr>
          <w:p w14:paraId="5B9BDC7B" w14:textId="77777777" w:rsidR="002972D3" w:rsidRPr="00A247CB" w:rsidRDefault="002972D3" w:rsidP="001D7E42">
            <w:pPr>
              <w:widowControl w:val="0"/>
              <w:spacing w:after="0" w:line="242" w:lineRule="exact"/>
              <w:ind w:left="102" w:right="-20"/>
              <w:rPr>
                <w:rFonts w:eastAsia="Calibri" w:cs="Calibri"/>
              </w:rPr>
            </w:pPr>
            <w:r>
              <w:rPr>
                <w:rFonts w:eastAsia="Calibri" w:cs="Calibri"/>
                <w:lang w:val="en-GB"/>
              </w:rPr>
              <w:t>Sections 15–26</w:t>
            </w:r>
          </w:p>
        </w:tc>
      </w:tr>
      <w:tr w:rsidR="002972D3" w:rsidRPr="0010391B" w14:paraId="1A3B2B0B" w14:textId="77777777" w:rsidTr="00B65579">
        <w:trPr>
          <w:trHeight w:val="20"/>
        </w:trPr>
        <w:tc>
          <w:tcPr>
            <w:tcW w:w="3546" w:type="dxa"/>
            <w:vMerge/>
            <w:tcBorders>
              <w:left w:val="single" w:sz="4" w:space="0" w:color="000000"/>
              <w:right w:val="single" w:sz="4" w:space="0" w:color="000000"/>
            </w:tcBorders>
          </w:tcPr>
          <w:p w14:paraId="3EF3B397"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263D84D8" w14:textId="77777777" w:rsidR="002972D3" w:rsidRPr="00A247CB" w:rsidRDefault="002972D3" w:rsidP="00B65579">
            <w:pPr>
              <w:widowControl w:val="0"/>
              <w:spacing w:after="0" w:line="242" w:lineRule="exact"/>
              <w:ind w:left="57" w:right="-20"/>
              <w:rPr>
                <w:rFonts w:eastAsia="Calibri" w:cs="Calibri"/>
              </w:rPr>
            </w:pPr>
            <w:r>
              <w:rPr>
                <w:rFonts w:eastAsia="Calibri" w:cs="Calibri"/>
                <w:lang w:val="en-GB"/>
              </w:rPr>
              <w:t>Detailed rules for specific payment methods</w:t>
            </w:r>
          </w:p>
        </w:tc>
        <w:tc>
          <w:tcPr>
            <w:tcW w:w="1418" w:type="dxa"/>
            <w:gridSpan w:val="2"/>
            <w:tcBorders>
              <w:top w:val="single" w:sz="4" w:space="0" w:color="000000"/>
              <w:left w:val="single" w:sz="4" w:space="0" w:color="000000"/>
              <w:bottom w:val="single" w:sz="4" w:space="0" w:color="000000"/>
              <w:right w:val="single" w:sz="4" w:space="0" w:color="000000"/>
            </w:tcBorders>
          </w:tcPr>
          <w:p w14:paraId="211E15E8" w14:textId="1E3A9A69" w:rsidR="002972D3" w:rsidRPr="00A247CB" w:rsidRDefault="002972D3" w:rsidP="001D7E42">
            <w:pPr>
              <w:widowControl w:val="0"/>
              <w:spacing w:after="0" w:line="242" w:lineRule="exact"/>
              <w:ind w:left="102" w:right="-20"/>
              <w:rPr>
                <w:rFonts w:eastAsia="Calibri" w:cs="Calibri"/>
              </w:rPr>
            </w:pPr>
            <w:r>
              <w:rPr>
                <w:rFonts w:eastAsia="Calibri" w:cs="Calibri"/>
                <w:lang w:val="en-GB"/>
              </w:rPr>
              <w:t>Sections 28–53</w:t>
            </w:r>
          </w:p>
        </w:tc>
      </w:tr>
      <w:tr w:rsidR="002972D3" w:rsidRPr="0010391B" w14:paraId="4C19B910" w14:textId="77777777" w:rsidTr="00B65579">
        <w:trPr>
          <w:trHeight w:val="20"/>
        </w:trPr>
        <w:tc>
          <w:tcPr>
            <w:tcW w:w="3546" w:type="dxa"/>
            <w:vMerge/>
            <w:tcBorders>
              <w:left w:val="single" w:sz="4" w:space="0" w:color="000000"/>
              <w:bottom w:val="single" w:sz="4" w:space="0" w:color="000000"/>
              <w:right w:val="single" w:sz="4" w:space="0" w:color="000000"/>
            </w:tcBorders>
          </w:tcPr>
          <w:p w14:paraId="6AEEFC97" w14:textId="77777777" w:rsidR="002972D3" w:rsidRPr="00A247CB" w:rsidRDefault="002972D3" w:rsidP="001D7E42">
            <w:pPr>
              <w:widowControl w:val="0"/>
              <w:spacing w:after="200"/>
              <w:rPr>
                <w:rFonts w:eastAsia="Calibri" w:cs="Times New Roman"/>
              </w:rPr>
            </w:pPr>
          </w:p>
        </w:tc>
        <w:tc>
          <w:tcPr>
            <w:tcW w:w="4432" w:type="dxa"/>
            <w:tcBorders>
              <w:top w:val="single" w:sz="4" w:space="0" w:color="000000"/>
              <w:left w:val="single" w:sz="4" w:space="0" w:color="000000"/>
              <w:bottom w:val="single" w:sz="4" w:space="0" w:color="000000"/>
              <w:right w:val="single" w:sz="4" w:space="0" w:color="000000"/>
            </w:tcBorders>
          </w:tcPr>
          <w:p w14:paraId="6D5D2483" w14:textId="77777777" w:rsidR="002972D3" w:rsidRPr="00A247CB" w:rsidRDefault="002972D3" w:rsidP="00B65579">
            <w:pPr>
              <w:widowControl w:val="0"/>
              <w:spacing w:after="0" w:line="243" w:lineRule="exact"/>
              <w:ind w:left="57" w:right="-20"/>
              <w:rPr>
                <w:rFonts w:eastAsia="Calibri" w:cs="Calibri"/>
              </w:rPr>
            </w:pPr>
            <w:r>
              <w:rPr>
                <w:rFonts w:eastAsia="Calibri" w:cs="Calibri"/>
                <w:lang w:val="en-GB"/>
              </w:rPr>
              <w:t>Provisions for clearing transactions</w:t>
            </w:r>
          </w:p>
        </w:tc>
        <w:tc>
          <w:tcPr>
            <w:tcW w:w="1418" w:type="dxa"/>
            <w:gridSpan w:val="2"/>
            <w:tcBorders>
              <w:top w:val="single" w:sz="4" w:space="0" w:color="000000"/>
              <w:left w:val="single" w:sz="4" w:space="0" w:color="000000"/>
              <w:bottom w:val="single" w:sz="4" w:space="0" w:color="000000"/>
              <w:right w:val="single" w:sz="4" w:space="0" w:color="000000"/>
            </w:tcBorders>
          </w:tcPr>
          <w:p w14:paraId="294EB8F1" w14:textId="48318107" w:rsidR="002972D3" w:rsidRPr="00A247CB" w:rsidRDefault="002972D3" w:rsidP="001D7E42">
            <w:pPr>
              <w:widowControl w:val="0"/>
              <w:spacing w:after="0" w:line="243" w:lineRule="exact"/>
              <w:ind w:left="102" w:right="-20"/>
              <w:rPr>
                <w:rFonts w:eastAsia="Calibri" w:cs="Calibri"/>
              </w:rPr>
            </w:pPr>
            <w:r>
              <w:rPr>
                <w:rFonts w:eastAsia="Calibri" w:cs="Calibri"/>
                <w:lang w:val="en-GB"/>
              </w:rPr>
              <w:t>Sections 54–55/B</w:t>
            </w:r>
          </w:p>
        </w:tc>
      </w:tr>
    </w:tbl>
    <w:p w14:paraId="589B4692" w14:textId="4617788B" w:rsidR="00B944EB" w:rsidRDefault="00B944EB" w:rsidP="001F033D"/>
    <w:p w14:paraId="6D11B358" w14:textId="77777777" w:rsidR="00DB0680" w:rsidRDefault="00DB0680" w:rsidP="001369DC">
      <w:pPr>
        <w:autoSpaceDE w:val="0"/>
        <w:autoSpaceDN w:val="0"/>
        <w:adjustRightInd w:val="0"/>
      </w:pPr>
    </w:p>
    <w:p w14:paraId="2E611137" w14:textId="77777777" w:rsidR="001369DC" w:rsidRPr="0010391B" w:rsidRDefault="001369DC" w:rsidP="002972D3"/>
    <w:sectPr w:rsidR="001369DC" w:rsidRPr="0010391B" w:rsidSect="00CD6E8D">
      <w:headerReference w:type="default" r:id="rId17"/>
      <w:footerReference w:type="default" r:id="rId18"/>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BC00" w14:textId="77777777" w:rsidR="00BD7D11" w:rsidRDefault="00BD7D11">
      <w:r>
        <w:separator/>
      </w:r>
    </w:p>
  </w:endnote>
  <w:endnote w:type="continuationSeparator" w:id="0">
    <w:p w14:paraId="14895F57" w14:textId="77777777" w:rsidR="00BD7D11" w:rsidRDefault="00BD7D11">
      <w:r>
        <w:continuationSeparator/>
      </w:r>
    </w:p>
  </w:endnote>
  <w:endnote w:type="continuationNotice" w:id="1">
    <w:p w14:paraId="341F78A7" w14:textId="77777777" w:rsidR="00BD7D11" w:rsidRDefault="00BD7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DE47" w14:textId="77777777" w:rsidR="00757ACB" w:rsidRDefault="00757AC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9CEA" w14:textId="77777777" w:rsidR="00757ACB" w:rsidRDefault="00757AC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A6BA" w14:textId="77777777" w:rsidR="00757ACB" w:rsidRDefault="00757ACB">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1D45" w14:textId="49426F1B" w:rsidR="007D24AB" w:rsidRPr="00AC6950" w:rsidRDefault="007D24AB"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B445" w14:textId="77777777" w:rsidR="00BD7D11" w:rsidRDefault="00BD7D11">
      <w:r>
        <w:separator/>
      </w:r>
    </w:p>
  </w:footnote>
  <w:footnote w:type="continuationSeparator" w:id="0">
    <w:p w14:paraId="5C7975E3" w14:textId="77777777" w:rsidR="00BD7D11" w:rsidRDefault="00BD7D11">
      <w:r>
        <w:continuationSeparator/>
      </w:r>
    </w:p>
  </w:footnote>
  <w:footnote w:type="continuationNotice" w:id="1">
    <w:p w14:paraId="02EAB857" w14:textId="77777777" w:rsidR="00BD7D11" w:rsidRDefault="00BD7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E0CE" w14:textId="77777777" w:rsidR="00757ACB" w:rsidRDefault="00757AC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6CD1" w14:textId="77777777" w:rsidR="00757ACB" w:rsidRDefault="00757AC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F25" w14:textId="77777777" w:rsidR="00757ACB" w:rsidRDefault="00757ACB">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82FF" w14:textId="77777777" w:rsidR="007D24AB" w:rsidRPr="00AC6950" w:rsidRDefault="007D24AB"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39670C"/>
    <w:multiLevelType w:val="hybridMultilevel"/>
    <w:tmpl w:val="F768F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7D15EB0"/>
    <w:multiLevelType w:val="hybridMultilevel"/>
    <w:tmpl w:val="BFA6DB6A"/>
    <w:lvl w:ilvl="0" w:tplc="A51CD18E">
      <w:start w:val="1"/>
      <w:numFmt w:val="decimal"/>
      <w:lvlText w:val="%1."/>
      <w:lvlJc w:val="left"/>
      <w:pPr>
        <w:ind w:left="462" w:hanging="360"/>
      </w:pPr>
      <w:rPr>
        <w:rFonts w:hint="default"/>
      </w:rPr>
    </w:lvl>
    <w:lvl w:ilvl="1" w:tplc="040E0019" w:tentative="1">
      <w:start w:val="1"/>
      <w:numFmt w:val="lowerLetter"/>
      <w:lvlText w:val="%2."/>
      <w:lvlJc w:val="left"/>
      <w:pPr>
        <w:ind w:left="1182" w:hanging="360"/>
      </w:pPr>
    </w:lvl>
    <w:lvl w:ilvl="2" w:tplc="040E001B" w:tentative="1">
      <w:start w:val="1"/>
      <w:numFmt w:val="lowerRoman"/>
      <w:lvlText w:val="%3."/>
      <w:lvlJc w:val="right"/>
      <w:pPr>
        <w:ind w:left="1902" w:hanging="180"/>
      </w:pPr>
    </w:lvl>
    <w:lvl w:ilvl="3" w:tplc="040E000F" w:tentative="1">
      <w:start w:val="1"/>
      <w:numFmt w:val="decimal"/>
      <w:lvlText w:val="%4."/>
      <w:lvlJc w:val="left"/>
      <w:pPr>
        <w:ind w:left="2622" w:hanging="360"/>
      </w:pPr>
    </w:lvl>
    <w:lvl w:ilvl="4" w:tplc="040E0019" w:tentative="1">
      <w:start w:val="1"/>
      <w:numFmt w:val="lowerLetter"/>
      <w:lvlText w:val="%5."/>
      <w:lvlJc w:val="left"/>
      <w:pPr>
        <w:ind w:left="3342" w:hanging="360"/>
      </w:pPr>
    </w:lvl>
    <w:lvl w:ilvl="5" w:tplc="040E001B" w:tentative="1">
      <w:start w:val="1"/>
      <w:numFmt w:val="lowerRoman"/>
      <w:lvlText w:val="%6."/>
      <w:lvlJc w:val="right"/>
      <w:pPr>
        <w:ind w:left="4062" w:hanging="180"/>
      </w:pPr>
    </w:lvl>
    <w:lvl w:ilvl="6" w:tplc="040E000F" w:tentative="1">
      <w:start w:val="1"/>
      <w:numFmt w:val="decimal"/>
      <w:lvlText w:val="%7."/>
      <w:lvlJc w:val="left"/>
      <w:pPr>
        <w:ind w:left="4782" w:hanging="360"/>
      </w:pPr>
    </w:lvl>
    <w:lvl w:ilvl="7" w:tplc="040E0019" w:tentative="1">
      <w:start w:val="1"/>
      <w:numFmt w:val="lowerLetter"/>
      <w:lvlText w:val="%8."/>
      <w:lvlJc w:val="left"/>
      <w:pPr>
        <w:ind w:left="5502" w:hanging="360"/>
      </w:pPr>
    </w:lvl>
    <w:lvl w:ilvl="8" w:tplc="040E001B" w:tentative="1">
      <w:start w:val="1"/>
      <w:numFmt w:val="lowerRoman"/>
      <w:lvlText w:val="%9."/>
      <w:lvlJc w:val="right"/>
      <w:pPr>
        <w:ind w:left="6222" w:hanging="180"/>
      </w:p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2B328D6"/>
    <w:multiLevelType w:val="hybridMultilevel"/>
    <w:tmpl w:val="21C2949A"/>
    <w:lvl w:ilvl="0" w:tplc="B45E142C">
      <w:start w:val="1"/>
      <w:numFmt w:val="decimal"/>
      <w:lvlText w:val="%1."/>
      <w:lvlJc w:val="left"/>
      <w:pPr>
        <w:ind w:left="462" w:hanging="360"/>
      </w:pPr>
      <w:rPr>
        <w:rFonts w:hint="default"/>
      </w:rPr>
    </w:lvl>
    <w:lvl w:ilvl="1" w:tplc="040E0019" w:tentative="1">
      <w:start w:val="1"/>
      <w:numFmt w:val="lowerLetter"/>
      <w:lvlText w:val="%2."/>
      <w:lvlJc w:val="left"/>
      <w:pPr>
        <w:ind w:left="1182" w:hanging="360"/>
      </w:pPr>
    </w:lvl>
    <w:lvl w:ilvl="2" w:tplc="040E001B" w:tentative="1">
      <w:start w:val="1"/>
      <w:numFmt w:val="lowerRoman"/>
      <w:lvlText w:val="%3."/>
      <w:lvlJc w:val="right"/>
      <w:pPr>
        <w:ind w:left="1902" w:hanging="180"/>
      </w:pPr>
    </w:lvl>
    <w:lvl w:ilvl="3" w:tplc="040E000F" w:tentative="1">
      <w:start w:val="1"/>
      <w:numFmt w:val="decimal"/>
      <w:lvlText w:val="%4."/>
      <w:lvlJc w:val="left"/>
      <w:pPr>
        <w:ind w:left="2622" w:hanging="360"/>
      </w:pPr>
    </w:lvl>
    <w:lvl w:ilvl="4" w:tplc="040E0019" w:tentative="1">
      <w:start w:val="1"/>
      <w:numFmt w:val="lowerLetter"/>
      <w:lvlText w:val="%5."/>
      <w:lvlJc w:val="left"/>
      <w:pPr>
        <w:ind w:left="3342" w:hanging="360"/>
      </w:pPr>
    </w:lvl>
    <w:lvl w:ilvl="5" w:tplc="040E001B" w:tentative="1">
      <w:start w:val="1"/>
      <w:numFmt w:val="lowerRoman"/>
      <w:lvlText w:val="%6."/>
      <w:lvlJc w:val="right"/>
      <w:pPr>
        <w:ind w:left="4062" w:hanging="180"/>
      </w:pPr>
    </w:lvl>
    <w:lvl w:ilvl="6" w:tplc="040E000F" w:tentative="1">
      <w:start w:val="1"/>
      <w:numFmt w:val="decimal"/>
      <w:lvlText w:val="%7."/>
      <w:lvlJc w:val="left"/>
      <w:pPr>
        <w:ind w:left="4782" w:hanging="360"/>
      </w:pPr>
    </w:lvl>
    <w:lvl w:ilvl="7" w:tplc="040E0019" w:tentative="1">
      <w:start w:val="1"/>
      <w:numFmt w:val="lowerLetter"/>
      <w:lvlText w:val="%8."/>
      <w:lvlJc w:val="left"/>
      <w:pPr>
        <w:ind w:left="5502" w:hanging="360"/>
      </w:pPr>
    </w:lvl>
    <w:lvl w:ilvl="8" w:tplc="040E001B" w:tentative="1">
      <w:start w:val="1"/>
      <w:numFmt w:val="lowerRoman"/>
      <w:lvlText w:val="%9."/>
      <w:lvlJc w:val="right"/>
      <w:pPr>
        <w:ind w:left="6222" w:hanging="180"/>
      </w:p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310400292">
    <w:abstractNumId w:val="6"/>
  </w:num>
  <w:num w:numId="2" w16cid:durableId="591428239">
    <w:abstractNumId w:val="3"/>
  </w:num>
  <w:num w:numId="3" w16cid:durableId="2050956326">
    <w:abstractNumId w:val="0"/>
  </w:num>
  <w:num w:numId="4" w16cid:durableId="908418584">
    <w:abstractNumId w:val="1"/>
  </w:num>
  <w:num w:numId="5" w16cid:durableId="295724574">
    <w:abstractNumId w:val="10"/>
  </w:num>
  <w:num w:numId="6" w16cid:durableId="1764566598">
    <w:abstractNumId w:val="5"/>
  </w:num>
  <w:num w:numId="7" w16cid:durableId="1037466165">
    <w:abstractNumId w:val="14"/>
  </w:num>
  <w:num w:numId="8" w16cid:durableId="2022732391">
    <w:abstractNumId w:val="15"/>
  </w:num>
  <w:num w:numId="9" w16cid:durableId="1632007131">
    <w:abstractNumId w:val="7"/>
  </w:num>
  <w:num w:numId="10" w16cid:durableId="1891964146">
    <w:abstractNumId w:val="16"/>
  </w:num>
  <w:num w:numId="11" w16cid:durableId="1411459677">
    <w:abstractNumId w:val="4"/>
  </w:num>
  <w:num w:numId="12" w16cid:durableId="296494327">
    <w:abstractNumId w:val="10"/>
    <w:lvlOverride w:ilvl="0">
      <w:startOverride w:val="1"/>
    </w:lvlOverride>
  </w:num>
  <w:num w:numId="13" w16cid:durableId="1694724756">
    <w:abstractNumId w:val="12"/>
  </w:num>
  <w:num w:numId="14" w16cid:durableId="389236467">
    <w:abstractNumId w:val="8"/>
  </w:num>
  <w:num w:numId="15" w16cid:durableId="129369228">
    <w:abstractNumId w:val="2"/>
  </w:num>
  <w:num w:numId="16" w16cid:durableId="1059670859">
    <w:abstractNumId w:val="9"/>
  </w:num>
  <w:num w:numId="17" w16cid:durableId="1738549489">
    <w:abstractNumId w:val="11"/>
  </w:num>
  <w:num w:numId="18" w16cid:durableId="7969970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D3"/>
    <w:rsid w:val="0000273C"/>
    <w:rsid w:val="0001749F"/>
    <w:rsid w:val="00017B1B"/>
    <w:rsid w:val="00020CD3"/>
    <w:rsid w:val="0002498B"/>
    <w:rsid w:val="000250E6"/>
    <w:rsid w:val="00025D29"/>
    <w:rsid w:val="00027695"/>
    <w:rsid w:val="00027B62"/>
    <w:rsid w:val="00033357"/>
    <w:rsid w:val="00035697"/>
    <w:rsid w:val="00036D65"/>
    <w:rsid w:val="00047D15"/>
    <w:rsid w:val="0005577F"/>
    <w:rsid w:val="00060148"/>
    <w:rsid w:val="00063216"/>
    <w:rsid w:val="0006374F"/>
    <w:rsid w:val="00064546"/>
    <w:rsid w:val="000674BE"/>
    <w:rsid w:val="00067BE2"/>
    <w:rsid w:val="00067C0C"/>
    <w:rsid w:val="00072A1C"/>
    <w:rsid w:val="0008131E"/>
    <w:rsid w:val="00081542"/>
    <w:rsid w:val="00081934"/>
    <w:rsid w:val="000831EC"/>
    <w:rsid w:val="0008416B"/>
    <w:rsid w:val="00087E97"/>
    <w:rsid w:val="000904C4"/>
    <w:rsid w:val="000A3A63"/>
    <w:rsid w:val="000A71F3"/>
    <w:rsid w:val="000B1512"/>
    <w:rsid w:val="000C2918"/>
    <w:rsid w:val="000C3019"/>
    <w:rsid w:val="000C5A04"/>
    <w:rsid w:val="000C701E"/>
    <w:rsid w:val="000C701F"/>
    <w:rsid w:val="000D1C8B"/>
    <w:rsid w:val="000D1E44"/>
    <w:rsid w:val="000D40AE"/>
    <w:rsid w:val="000D4F61"/>
    <w:rsid w:val="000D5F26"/>
    <w:rsid w:val="000D7CC7"/>
    <w:rsid w:val="000E2CBD"/>
    <w:rsid w:val="000E4EE3"/>
    <w:rsid w:val="000F2858"/>
    <w:rsid w:val="000F2AE0"/>
    <w:rsid w:val="000F30B8"/>
    <w:rsid w:val="000F68FE"/>
    <w:rsid w:val="00101654"/>
    <w:rsid w:val="0010391B"/>
    <w:rsid w:val="0010447E"/>
    <w:rsid w:val="0010496C"/>
    <w:rsid w:val="001077E5"/>
    <w:rsid w:val="00110868"/>
    <w:rsid w:val="00113C88"/>
    <w:rsid w:val="001255A4"/>
    <w:rsid w:val="00132260"/>
    <w:rsid w:val="00133A51"/>
    <w:rsid w:val="001356A6"/>
    <w:rsid w:val="001357D0"/>
    <w:rsid w:val="00136260"/>
    <w:rsid w:val="001369DC"/>
    <w:rsid w:val="001421CC"/>
    <w:rsid w:val="00143691"/>
    <w:rsid w:val="00146EA2"/>
    <w:rsid w:val="00150045"/>
    <w:rsid w:val="00152DBF"/>
    <w:rsid w:val="00166F6C"/>
    <w:rsid w:val="0017057A"/>
    <w:rsid w:val="00173835"/>
    <w:rsid w:val="001747F6"/>
    <w:rsid w:val="0017626E"/>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D7E42"/>
    <w:rsid w:val="001E34FF"/>
    <w:rsid w:val="001E4231"/>
    <w:rsid w:val="001E621D"/>
    <w:rsid w:val="001E6BEE"/>
    <w:rsid w:val="001F033D"/>
    <w:rsid w:val="001F0E5D"/>
    <w:rsid w:val="001F1610"/>
    <w:rsid w:val="002012AD"/>
    <w:rsid w:val="00206642"/>
    <w:rsid w:val="002077BA"/>
    <w:rsid w:val="00214230"/>
    <w:rsid w:val="0021484C"/>
    <w:rsid w:val="0022056B"/>
    <w:rsid w:val="0022764E"/>
    <w:rsid w:val="00240C97"/>
    <w:rsid w:val="0024525F"/>
    <w:rsid w:val="002522F1"/>
    <w:rsid w:val="00252EFD"/>
    <w:rsid w:val="002602F5"/>
    <w:rsid w:val="002611AE"/>
    <w:rsid w:val="0026180A"/>
    <w:rsid w:val="00264DA0"/>
    <w:rsid w:val="00270724"/>
    <w:rsid w:val="00271371"/>
    <w:rsid w:val="00273052"/>
    <w:rsid w:val="00273481"/>
    <w:rsid w:val="0027402D"/>
    <w:rsid w:val="002751D4"/>
    <w:rsid w:val="002866DE"/>
    <w:rsid w:val="00287D15"/>
    <w:rsid w:val="00290D47"/>
    <w:rsid w:val="00292177"/>
    <w:rsid w:val="00292867"/>
    <w:rsid w:val="0029429D"/>
    <w:rsid w:val="002972D3"/>
    <w:rsid w:val="002A234E"/>
    <w:rsid w:val="002A3B0E"/>
    <w:rsid w:val="002B3674"/>
    <w:rsid w:val="002B4D45"/>
    <w:rsid w:val="002B6B78"/>
    <w:rsid w:val="002B6D25"/>
    <w:rsid w:val="002B78E0"/>
    <w:rsid w:val="002C02ED"/>
    <w:rsid w:val="002C728F"/>
    <w:rsid w:val="002C7AB8"/>
    <w:rsid w:val="002C7D4D"/>
    <w:rsid w:val="002C7DD0"/>
    <w:rsid w:val="002D5E55"/>
    <w:rsid w:val="002E3762"/>
    <w:rsid w:val="002F34ED"/>
    <w:rsid w:val="002F602F"/>
    <w:rsid w:val="00300EE3"/>
    <w:rsid w:val="00302136"/>
    <w:rsid w:val="00303CD3"/>
    <w:rsid w:val="00313246"/>
    <w:rsid w:val="00313A21"/>
    <w:rsid w:val="003227CE"/>
    <w:rsid w:val="003231ED"/>
    <w:rsid w:val="003247E0"/>
    <w:rsid w:val="00327A74"/>
    <w:rsid w:val="00332056"/>
    <w:rsid w:val="00341278"/>
    <w:rsid w:val="00341BB5"/>
    <w:rsid w:val="00343614"/>
    <w:rsid w:val="00345178"/>
    <w:rsid w:val="0035153B"/>
    <w:rsid w:val="003524A6"/>
    <w:rsid w:val="003548F7"/>
    <w:rsid w:val="003641EB"/>
    <w:rsid w:val="003701D4"/>
    <w:rsid w:val="003704B1"/>
    <w:rsid w:val="003728FE"/>
    <w:rsid w:val="00373BD2"/>
    <w:rsid w:val="0037696F"/>
    <w:rsid w:val="00380643"/>
    <w:rsid w:val="003824BF"/>
    <w:rsid w:val="003827F0"/>
    <w:rsid w:val="00391B59"/>
    <w:rsid w:val="00395B14"/>
    <w:rsid w:val="00395D13"/>
    <w:rsid w:val="00397D6C"/>
    <w:rsid w:val="00397F34"/>
    <w:rsid w:val="003B12B2"/>
    <w:rsid w:val="003B2CC7"/>
    <w:rsid w:val="003B46BE"/>
    <w:rsid w:val="003C5699"/>
    <w:rsid w:val="003D04DD"/>
    <w:rsid w:val="003D52BC"/>
    <w:rsid w:val="003F128A"/>
    <w:rsid w:val="00402C0F"/>
    <w:rsid w:val="004047D9"/>
    <w:rsid w:val="0041484F"/>
    <w:rsid w:val="004224D4"/>
    <w:rsid w:val="00423D50"/>
    <w:rsid w:val="0043276D"/>
    <w:rsid w:val="004330EA"/>
    <w:rsid w:val="00434DC6"/>
    <w:rsid w:val="004413FF"/>
    <w:rsid w:val="00442ABF"/>
    <w:rsid w:val="004451FE"/>
    <w:rsid w:val="00446DE3"/>
    <w:rsid w:val="00453087"/>
    <w:rsid w:val="004553E3"/>
    <w:rsid w:val="00455A38"/>
    <w:rsid w:val="00465939"/>
    <w:rsid w:val="0047029F"/>
    <w:rsid w:val="004729CE"/>
    <w:rsid w:val="004737C9"/>
    <w:rsid w:val="00474131"/>
    <w:rsid w:val="00476FFB"/>
    <w:rsid w:val="004773BD"/>
    <w:rsid w:val="0048116C"/>
    <w:rsid w:val="0048183A"/>
    <w:rsid w:val="00491483"/>
    <w:rsid w:val="004919C2"/>
    <w:rsid w:val="004924CA"/>
    <w:rsid w:val="00494C89"/>
    <w:rsid w:val="004A58E3"/>
    <w:rsid w:val="004A5F09"/>
    <w:rsid w:val="004A6FFD"/>
    <w:rsid w:val="004A7B2C"/>
    <w:rsid w:val="004B1A68"/>
    <w:rsid w:val="004C4DDD"/>
    <w:rsid w:val="004C5942"/>
    <w:rsid w:val="004D270F"/>
    <w:rsid w:val="004D455D"/>
    <w:rsid w:val="004D4FE1"/>
    <w:rsid w:val="004D7635"/>
    <w:rsid w:val="004D785F"/>
    <w:rsid w:val="004E2BA2"/>
    <w:rsid w:val="004F1BAA"/>
    <w:rsid w:val="004F42D5"/>
    <w:rsid w:val="004F72B9"/>
    <w:rsid w:val="0050045B"/>
    <w:rsid w:val="00501172"/>
    <w:rsid w:val="00503A99"/>
    <w:rsid w:val="0050657B"/>
    <w:rsid w:val="00513B1F"/>
    <w:rsid w:val="0051486A"/>
    <w:rsid w:val="005149CD"/>
    <w:rsid w:val="00516455"/>
    <w:rsid w:val="00517847"/>
    <w:rsid w:val="00521140"/>
    <w:rsid w:val="0052546E"/>
    <w:rsid w:val="0052584F"/>
    <w:rsid w:val="005312FD"/>
    <w:rsid w:val="005425C4"/>
    <w:rsid w:val="00544934"/>
    <w:rsid w:val="00546562"/>
    <w:rsid w:val="00557A68"/>
    <w:rsid w:val="00561175"/>
    <w:rsid w:val="005648EE"/>
    <w:rsid w:val="0057068A"/>
    <w:rsid w:val="0057167D"/>
    <w:rsid w:val="00571C3C"/>
    <w:rsid w:val="00571CC4"/>
    <w:rsid w:val="005763C5"/>
    <w:rsid w:val="00580047"/>
    <w:rsid w:val="00581D24"/>
    <w:rsid w:val="0058459E"/>
    <w:rsid w:val="00586D4D"/>
    <w:rsid w:val="005A011E"/>
    <w:rsid w:val="005A3531"/>
    <w:rsid w:val="005A3DDE"/>
    <w:rsid w:val="005A5FC0"/>
    <w:rsid w:val="005A788E"/>
    <w:rsid w:val="005B0A26"/>
    <w:rsid w:val="005B3D73"/>
    <w:rsid w:val="005C3F73"/>
    <w:rsid w:val="005C498A"/>
    <w:rsid w:val="005C5BB7"/>
    <w:rsid w:val="005D1A2C"/>
    <w:rsid w:val="005E1C86"/>
    <w:rsid w:val="005F13FD"/>
    <w:rsid w:val="005F3818"/>
    <w:rsid w:val="005F3E3D"/>
    <w:rsid w:val="005F558A"/>
    <w:rsid w:val="00602F0C"/>
    <w:rsid w:val="00603723"/>
    <w:rsid w:val="00604E57"/>
    <w:rsid w:val="00605D25"/>
    <w:rsid w:val="00610012"/>
    <w:rsid w:val="00610E45"/>
    <w:rsid w:val="00615501"/>
    <w:rsid w:val="00627BFA"/>
    <w:rsid w:val="00642A07"/>
    <w:rsid w:val="00643529"/>
    <w:rsid w:val="00643CB4"/>
    <w:rsid w:val="00644BE4"/>
    <w:rsid w:val="00645909"/>
    <w:rsid w:val="00652207"/>
    <w:rsid w:val="0067570F"/>
    <w:rsid w:val="0067719B"/>
    <w:rsid w:val="00680E67"/>
    <w:rsid w:val="00681108"/>
    <w:rsid w:val="00690C97"/>
    <w:rsid w:val="0069441B"/>
    <w:rsid w:val="006A4648"/>
    <w:rsid w:val="006A54BA"/>
    <w:rsid w:val="006A66EB"/>
    <w:rsid w:val="006B0392"/>
    <w:rsid w:val="006B2726"/>
    <w:rsid w:val="006B4271"/>
    <w:rsid w:val="006C07E8"/>
    <w:rsid w:val="006C2C3D"/>
    <w:rsid w:val="006C4871"/>
    <w:rsid w:val="006C60E4"/>
    <w:rsid w:val="006C700F"/>
    <w:rsid w:val="006D0881"/>
    <w:rsid w:val="006D3867"/>
    <w:rsid w:val="006E45F8"/>
    <w:rsid w:val="006E5F78"/>
    <w:rsid w:val="006E601B"/>
    <w:rsid w:val="006F0376"/>
    <w:rsid w:val="006F39C8"/>
    <w:rsid w:val="006F5D02"/>
    <w:rsid w:val="006F6144"/>
    <w:rsid w:val="00702E90"/>
    <w:rsid w:val="00703424"/>
    <w:rsid w:val="00703843"/>
    <w:rsid w:val="00703E97"/>
    <w:rsid w:val="0070653D"/>
    <w:rsid w:val="00707C38"/>
    <w:rsid w:val="007110F4"/>
    <w:rsid w:val="007236B8"/>
    <w:rsid w:val="0072398E"/>
    <w:rsid w:val="00732D87"/>
    <w:rsid w:val="007337A6"/>
    <w:rsid w:val="00734DE2"/>
    <w:rsid w:val="00735C62"/>
    <w:rsid w:val="00737660"/>
    <w:rsid w:val="007376E0"/>
    <w:rsid w:val="00744A1F"/>
    <w:rsid w:val="00746D82"/>
    <w:rsid w:val="007474DD"/>
    <w:rsid w:val="007529CF"/>
    <w:rsid w:val="00754A11"/>
    <w:rsid w:val="00757ACB"/>
    <w:rsid w:val="00767D3F"/>
    <w:rsid w:val="00774306"/>
    <w:rsid w:val="00782B80"/>
    <w:rsid w:val="00786EF4"/>
    <w:rsid w:val="00791092"/>
    <w:rsid w:val="007913EE"/>
    <w:rsid w:val="00792C7B"/>
    <w:rsid w:val="007A2AEE"/>
    <w:rsid w:val="007A2BE7"/>
    <w:rsid w:val="007A5BB8"/>
    <w:rsid w:val="007B1174"/>
    <w:rsid w:val="007B39B9"/>
    <w:rsid w:val="007B6EA0"/>
    <w:rsid w:val="007B7FC8"/>
    <w:rsid w:val="007D24AB"/>
    <w:rsid w:val="007D67A3"/>
    <w:rsid w:val="007D7E92"/>
    <w:rsid w:val="007E0286"/>
    <w:rsid w:val="007E4389"/>
    <w:rsid w:val="007F197C"/>
    <w:rsid w:val="007F1D57"/>
    <w:rsid w:val="007F7E59"/>
    <w:rsid w:val="00800D78"/>
    <w:rsid w:val="00823B7E"/>
    <w:rsid w:val="0083252A"/>
    <w:rsid w:val="008349B3"/>
    <w:rsid w:val="0083670C"/>
    <w:rsid w:val="008370C0"/>
    <w:rsid w:val="00840065"/>
    <w:rsid w:val="00844283"/>
    <w:rsid w:val="0084582F"/>
    <w:rsid w:val="00847C0A"/>
    <w:rsid w:val="008512C4"/>
    <w:rsid w:val="008528A0"/>
    <w:rsid w:val="00860131"/>
    <w:rsid w:val="0086063E"/>
    <w:rsid w:val="00860860"/>
    <w:rsid w:val="00862CE9"/>
    <w:rsid w:val="00864147"/>
    <w:rsid w:val="00864468"/>
    <w:rsid w:val="00866547"/>
    <w:rsid w:val="00866E71"/>
    <w:rsid w:val="008724EB"/>
    <w:rsid w:val="008935BD"/>
    <w:rsid w:val="008936DF"/>
    <w:rsid w:val="008A1C40"/>
    <w:rsid w:val="008B5130"/>
    <w:rsid w:val="008B61E3"/>
    <w:rsid w:val="008C1439"/>
    <w:rsid w:val="008C474C"/>
    <w:rsid w:val="008C56D8"/>
    <w:rsid w:val="008D6221"/>
    <w:rsid w:val="008E1350"/>
    <w:rsid w:val="008E26F2"/>
    <w:rsid w:val="008E3579"/>
    <w:rsid w:val="008F550C"/>
    <w:rsid w:val="00903AC3"/>
    <w:rsid w:val="00905D95"/>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751F0"/>
    <w:rsid w:val="00984BDB"/>
    <w:rsid w:val="00990B18"/>
    <w:rsid w:val="009A0AF4"/>
    <w:rsid w:val="009A4F0C"/>
    <w:rsid w:val="009B1DBB"/>
    <w:rsid w:val="009B2208"/>
    <w:rsid w:val="009B7CEB"/>
    <w:rsid w:val="009B7F1B"/>
    <w:rsid w:val="009C0046"/>
    <w:rsid w:val="009C09A6"/>
    <w:rsid w:val="009C168E"/>
    <w:rsid w:val="009C4C76"/>
    <w:rsid w:val="009C6632"/>
    <w:rsid w:val="009D0800"/>
    <w:rsid w:val="009D1272"/>
    <w:rsid w:val="009D2629"/>
    <w:rsid w:val="009D3B3D"/>
    <w:rsid w:val="009D4156"/>
    <w:rsid w:val="009D74D9"/>
    <w:rsid w:val="009E3A57"/>
    <w:rsid w:val="009E7AC9"/>
    <w:rsid w:val="009F413A"/>
    <w:rsid w:val="00A00F2A"/>
    <w:rsid w:val="00A03212"/>
    <w:rsid w:val="00A03B16"/>
    <w:rsid w:val="00A16867"/>
    <w:rsid w:val="00A17909"/>
    <w:rsid w:val="00A2173F"/>
    <w:rsid w:val="00A244C7"/>
    <w:rsid w:val="00A247CB"/>
    <w:rsid w:val="00A26654"/>
    <w:rsid w:val="00A26ED3"/>
    <w:rsid w:val="00A3105B"/>
    <w:rsid w:val="00A34F95"/>
    <w:rsid w:val="00A44C60"/>
    <w:rsid w:val="00A5096A"/>
    <w:rsid w:val="00A56BCD"/>
    <w:rsid w:val="00A57D44"/>
    <w:rsid w:val="00A60012"/>
    <w:rsid w:val="00A71F67"/>
    <w:rsid w:val="00A77604"/>
    <w:rsid w:val="00A800A3"/>
    <w:rsid w:val="00A8495F"/>
    <w:rsid w:val="00A917E0"/>
    <w:rsid w:val="00A94C01"/>
    <w:rsid w:val="00AA7D28"/>
    <w:rsid w:val="00AB363E"/>
    <w:rsid w:val="00AB3E83"/>
    <w:rsid w:val="00AB5B26"/>
    <w:rsid w:val="00AB7DBF"/>
    <w:rsid w:val="00AC6950"/>
    <w:rsid w:val="00AE1531"/>
    <w:rsid w:val="00AE3CD1"/>
    <w:rsid w:val="00AE41D5"/>
    <w:rsid w:val="00AE4D73"/>
    <w:rsid w:val="00AF122A"/>
    <w:rsid w:val="00AF1C92"/>
    <w:rsid w:val="00AF7B9B"/>
    <w:rsid w:val="00B02B13"/>
    <w:rsid w:val="00B06F8B"/>
    <w:rsid w:val="00B15880"/>
    <w:rsid w:val="00B1673D"/>
    <w:rsid w:val="00B16D59"/>
    <w:rsid w:val="00B21E02"/>
    <w:rsid w:val="00B2280C"/>
    <w:rsid w:val="00B250ED"/>
    <w:rsid w:val="00B25C26"/>
    <w:rsid w:val="00B261BA"/>
    <w:rsid w:val="00B3064A"/>
    <w:rsid w:val="00B3473A"/>
    <w:rsid w:val="00B36061"/>
    <w:rsid w:val="00B36A9C"/>
    <w:rsid w:val="00B37787"/>
    <w:rsid w:val="00B4230E"/>
    <w:rsid w:val="00B4506F"/>
    <w:rsid w:val="00B45764"/>
    <w:rsid w:val="00B45D0C"/>
    <w:rsid w:val="00B46F92"/>
    <w:rsid w:val="00B4727E"/>
    <w:rsid w:val="00B51E64"/>
    <w:rsid w:val="00B53C3B"/>
    <w:rsid w:val="00B54E70"/>
    <w:rsid w:val="00B55827"/>
    <w:rsid w:val="00B56865"/>
    <w:rsid w:val="00B602C9"/>
    <w:rsid w:val="00B62845"/>
    <w:rsid w:val="00B64835"/>
    <w:rsid w:val="00B65579"/>
    <w:rsid w:val="00B66A7E"/>
    <w:rsid w:val="00B702D5"/>
    <w:rsid w:val="00B723C6"/>
    <w:rsid w:val="00B7458B"/>
    <w:rsid w:val="00B800CB"/>
    <w:rsid w:val="00B8074B"/>
    <w:rsid w:val="00B8101A"/>
    <w:rsid w:val="00B82599"/>
    <w:rsid w:val="00B861AB"/>
    <w:rsid w:val="00B93E68"/>
    <w:rsid w:val="00B944EB"/>
    <w:rsid w:val="00B94AAF"/>
    <w:rsid w:val="00BA2A45"/>
    <w:rsid w:val="00BB047F"/>
    <w:rsid w:val="00BB27C2"/>
    <w:rsid w:val="00BB7D50"/>
    <w:rsid w:val="00BD0575"/>
    <w:rsid w:val="00BD12AC"/>
    <w:rsid w:val="00BD2274"/>
    <w:rsid w:val="00BD29BB"/>
    <w:rsid w:val="00BD5973"/>
    <w:rsid w:val="00BD75B8"/>
    <w:rsid w:val="00BD7D11"/>
    <w:rsid w:val="00BE125E"/>
    <w:rsid w:val="00BE53EB"/>
    <w:rsid w:val="00BE5440"/>
    <w:rsid w:val="00BE5843"/>
    <w:rsid w:val="00BF0359"/>
    <w:rsid w:val="00BF0D2E"/>
    <w:rsid w:val="00BF3AF0"/>
    <w:rsid w:val="00C01E8F"/>
    <w:rsid w:val="00C0501F"/>
    <w:rsid w:val="00C06F2F"/>
    <w:rsid w:val="00C076F5"/>
    <w:rsid w:val="00C07885"/>
    <w:rsid w:val="00C10767"/>
    <w:rsid w:val="00C136F8"/>
    <w:rsid w:val="00C146F6"/>
    <w:rsid w:val="00C1563C"/>
    <w:rsid w:val="00C17469"/>
    <w:rsid w:val="00C20799"/>
    <w:rsid w:val="00C22FB8"/>
    <w:rsid w:val="00C31F64"/>
    <w:rsid w:val="00C43AC5"/>
    <w:rsid w:val="00C522BD"/>
    <w:rsid w:val="00C63F2A"/>
    <w:rsid w:val="00C64F11"/>
    <w:rsid w:val="00C72FB8"/>
    <w:rsid w:val="00C83A7B"/>
    <w:rsid w:val="00C907C0"/>
    <w:rsid w:val="00C93837"/>
    <w:rsid w:val="00CA398B"/>
    <w:rsid w:val="00CA58E6"/>
    <w:rsid w:val="00CA69E4"/>
    <w:rsid w:val="00CB1395"/>
    <w:rsid w:val="00CB3842"/>
    <w:rsid w:val="00CC4CB1"/>
    <w:rsid w:val="00CD36BC"/>
    <w:rsid w:val="00CD6E8D"/>
    <w:rsid w:val="00CD724F"/>
    <w:rsid w:val="00CE188C"/>
    <w:rsid w:val="00CE19B9"/>
    <w:rsid w:val="00CE766A"/>
    <w:rsid w:val="00CF05FE"/>
    <w:rsid w:val="00CF148C"/>
    <w:rsid w:val="00D00D53"/>
    <w:rsid w:val="00D02170"/>
    <w:rsid w:val="00D02CB0"/>
    <w:rsid w:val="00D03058"/>
    <w:rsid w:val="00D0775C"/>
    <w:rsid w:val="00D11D8B"/>
    <w:rsid w:val="00D144FA"/>
    <w:rsid w:val="00D21043"/>
    <w:rsid w:val="00D265EF"/>
    <w:rsid w:val="00D2761D"/>
    <w:rsid w:val="00D463F1"/>
    <w:rsid w:val="00D524BB"/>
    <w:rsid w:val="00D531F1"/>
    <w:rsid w:val="00D561C8"/>
    <w:rsid w:val="00D57CCE"/>
    <w:rsid w:val="00D642D2"/>
    <w:rsid w:val="00D65E8E"/>
    <w:rsid w:val="00D6703D"/>
    <w:rsid w:val="00D717DA"/>
    <w:rsid w:val="00D73BE9"/>
    <w:rsid w:val="00D7659E"/>
    <w:rsid w:val="00D80B25"/>
    <w:rsid w:val="00D815CF"/>
    <w:rsid w:val="00D84BA5"/>
    <w:rsid w:val="00D87824"/>
    <w:rsid w:val="00D946B0"/>
    <w:rsid w:val="00DA2679"/>
    <w:rsid w:val="00DA3039"/>
    <w:rsid w:val="00DA4CC8"/>
    <w:rsid w:val="00DA6B88"/>
    <w:rsid w:val="00DA73B6"/>
    <w:rsid w:val="00DB0680"/>
    <w:rsid w:val="00DB127D"/>
    <w:rsid w:val="00DD5766"/>
    <w:rsid w:val="00DD62AD"/>
    <w:rsid w:val="00DD7153"/>
    <w:rsid w:val="00DF0F93"/>
    <w:rsid w:val="00DF2C5F"/>
    <w:rsid w:val="00DF4F58"/>
    <w:rsid w:val="00E11F2F"/>
    <w:rsid w:val="00E1356B"/>
    <w:rsid w:val="00E13A3A"/>
    <w:rsid w:val="00E14CD2"/>
    <w:rsid w:val="00E174C1"/>
    <w:rsid w:val="00E17546"/>
    <w:rsid w:val="00E22C9D"/>
    <w:rsid w:val="00E301AE"/>
    <w:rsid w:val="00E315BC"/>
    <w:rsid w:val="00E33610"/>
    <w:rsid w:val="00E35139"/>
    <w:rsid w:val="00E44555"/>
    <w:rsid w:val="00E4526A"/>
    <w:rsid w:val="00E50608"/>
    <w:rsid w:val="00E5165B"/>
    <w:rsid w:val="00E52ABA"/>
    <w:rsid w:val="00E5314F"/>
    <w:rsid w:val="00E653E3"/>
    <w:rsid w:val="00E66AEE"/>
    <w:rsid w:val="00E67F9B"/>
    <w:rsid w:val="00E70FF5"/>
    <w:rsid w:val="00E736A7"/>
    <w:rsid w:val="00E77EFD"/>
    <w:rsid w:val="00E84ECC"/>
    <w:rsid w:val="00E87C26"/>
    <w:rsid w:val="00E938D2"/>
    <w:rsid w:val="00E947CA"/>
    <w:rsid w:val="00EA2361"/>
    <w:rsid w:val="00EB11D4"/>
    <w:rsid w:val="00EB2886"/>
    <w:rsid w:val="00EB398E"/>
    <w:rsid w:val="00EC4096"/>
    <w:rsid w:val="00EC429C"/>
    <w:rsid w:val="00EC6A51"/>
    <w:rsid w:val="00ED0199"/>
    <w:rsid w:val="00ED05AC"/>
    <w:rsid w:val="00ED0DA6"/>
    <w:rsid w:val="00ED10E2"/>
    <w:rsid w:val="00EE4050"/>
    <w:rsid w:val="00EE4149"/>
    <w:rsid w:val="00EE62BD"/>
    <w:rsid w:val="00F04867"/>
    <w:rsid w:val="00F04E3E"/>
    <w:rsid w:val="00F10771"/>
    <w:rsid w:val="00F205E5"/>
    <w:rsid w:val="00F512A3"/>
    <w:rsid w:val="00F51AB4"/>
    <w:rsid w:val="00F523A8"/>
    <w:rsid w:val="00F54723"/>
    <w:rsid w:val="00F57359"/>
    <w:rsid w:val="00F57AF5"/>
    <w:rsid w:val="00F602BF"/>
    <w:rsid w:val="00F60A86"/>
    <w:rsid w:val="00F62B87"/>
    <w:rsid w:val="00F63798"/>
    <w:rsid w:val="00F65208"/>
    <w:rsid w:val="00F67BE6"/>
    <w:rsid w:val="00F702E1"/>
    <w:rsid w:val="00F83726"/>
    <w:rsid w:val="00F8481F"/>
    <w:rsid w:val="00F84CC8"/>
    <w:rsid w:val="00F86B33"/>
    <w:rsid w:val="00F91C17"/>
    <w:rsid w:val="00F93C33"/>
    <w:rsid w:val="00F949B1"/>
    <w:rsid w:val="00F958EE"/>
    <w:rsid w:val="00F96EEB"/>
    <w:rsid w:val="00F96F8A"/>
    <w:rsid w:val="00F9761F"/>
    <w:rsid w:val="00FA102C"/>
    <w:rsid w:val="00FB3124"/>
    <w:rsid w:val="00FB32EE"/>
    <w:rsid w:val="00FC0538"/>
    <w:rsid w:val="00FC5616"/>
    <w:rsid w:val="00FD328C"/>
    <w:rsid w:val="00FD7299"/>
    <w:rsid w:val="00FE2062"/>
    <w:rsid w:val="00FE2094"/>
    <w:rsid w:val="00FE764B"/>
    <w:rsid w:val="00FF0A29"/>
    <w:rsid w:val="00FF6549"/>
    <w:rsid w:val="00FF692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C4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5579"/>
    <w:pPr>
      <w:spacing w:after="150" w:line="276" w:lineRule="auto"/>
      <w:jc w:val="both"/>
    </w:pPr>
  </w:style>
  <w:style w:type="paragraph" w:styleId="Cmsor1">
    <w:name w:val="heading 1"/>
    <w:basedOn w:val="Norml"/>
    <w:next w:val="Norml"/>
    <w:link w:val="Cmsor1Char"/>
    <w:qFormat/>
    <w:rsid w:val="00B65579"/>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65579"/>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B65579"/>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B65579"/>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B65579"/>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B65579"/>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B65579"/>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65579"/>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65579"/>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6557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65579"/>
  </w:style>
  <w:style w:type="table" w:customStyle="1" w:styleId="tblzat-mtrix">
    <w:name w:val="táblázat - mátrix"/>
    <w:basedOn w:val="Normltblzat"/>
    <w:uiPriority w:val="2"/>
    <w:qFormat/>
    <w:rsid w:val="00B6557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6557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65579"/>
    <w:pPr>
      <w:numPr>
        <w:numId w:val="12"/>
      </w:numPr>
      <w:contextualSpacing/>
    </w:pPr>
  </w:style>
  <w:style w:type="character" w:styleId="Hiperhivatkozs">
    <w:name w:val="Hyperlink"/>
    <w:basedOn w:val="Vgjegyzet-hivatkozs"/>
    <w:uiPriority w:val="99"/>
    <w:rsid w:val="00B65579"/>
    <w:rPr>
      <w:rFonts w:ascii="Calibri" w:hAnsi="Calibri"/>
      <w:color w:val="0000FF"/>
      <w:sz w:val="20"/>
      <w:u w:val="single"/>
      <w:vertAlign w:val="superscript"/>
    </w:rPr>
  </w:style>
  <w:style w:type="table" w:customStyle="1" w:styleId="tblzat-oldallces">
    <w:name w:val="táblázat - oldalléces"/>
    <w:basedOn w:val="Normltblzat"/>
    <w:uiPriority w:val="3"/>
    <w:qFormat/>
    <w:rsid w:val="00B6557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65579"/>
    <w:rPr>
      <w:vertAlign w:val="superscript"/>
    </w:rPr>
  </w:style>
  <w:style w:type="paragraph" w:styleId="Buborkszveg">
    <w:name w:val="Balloon Text"/>
    <w:basedOn w:val="Norml"/>
    <w:link w:val="BuborkszvegChar"/>
    <w:uiPriority w:val="99"/>
    <w:semiHidden/>
    <w:unhideWhenUsed/>
    <w:rsid w:val="00B65579"/>
    <w:rPr>
      <w:rFonts w:ascii="Tahoma" w:hAnsi="Tahoma" w:cs="Tahoma"/>
      <w:sz w:val="16"/>
      <w:szCs w:val="16"/>
    </w:rPr>
  </w:style>
  <w:style w:type="paragraph" w:customStyle="1" w:styleId="Magyarzszveg">
    <w:name w:val="Magyarázó szöveg"/>
    <w:basedOn w:val="Norml"/>
    <w:next w:val="Norml"/>
    <w:uiPriority w:val="7"/>
    <w:rsid w:val="00B65579"/>
    <w:rPr>
      <w:color w:val="F6A800" w:themeColor="accent5"/>
      <w:sz w:val="18"/>
    </w:rPr>
  </w:style>
  <w:style w:type="character" w:customStyle="1" w:styleId="BuborkszvegChar">
    <w:name w:val="Buborékszöveg Char"/>
    <w:basedOn w:val="Bekezdsalapbettpusa"/>
    <w:link w:val="Buborkszveg"/>
    <w:uiPriority w:val="99"/>
    <w:semiHidden/>
    <w:rsid w:val="00B65579"/>
    <w:rPr>
      <w:rFonts w:ascii="Tahoma" w:hAnsi="Tahoma" w:cs="Tahoma"/>
      <w:sz w:val="16"/>
      <w:szCs w:val="16"/>
    </w:rPr>
  </w:style>
  <w:style w:type="paragraph" w:styleId="lfej">
    <w:name w:val="header"/>
    <w:basedOn w:val="Norml"/>
    <w:link w:val="lfejChar"/>
    <w:uiPriority w:val="99"/>
    <w:unhideWhenUsed/>
    <w:rsid w:val="00B65579"/>
    <w:pPr>
      <w:tabs>
        <w:tab w:val="center" w:pos="4536"/>
        <w:tab w:val="right" w:pos="9072"/>
      </w:tabs>
    </w:pPr>
  </w:style>
  <w:style w:type="character" w:customStyle="1" w:styleId="lfejChar">
    <w:name w:val="Élőfej Char"/>
    <w:basedOn w:val="Bekezdsalapbettpusa"/>
    <w:link w:val="lfej"/>
    <w:uiPriority w:val="99"/>
    <w:rsid w:val="00B65579"/>
  </w:style>
  <w:style w:type="paragraph" w:styleId="llb">
    <w:name w:val="footer"/>
    <w:basedOn w:val="Norml"/>
    <w:link w:val="llbChar"/>
    <w:uiPriority w:val="99"/>
    <w:unhideWhenUsed/>
    <w:rsid w:val="00B65579"/>
    <w:pPr>
      <w:tabs>
        <w:tab w:val="center" w:pos="4536"/>
        <w:tab w:val="right" w:pos="9072"/>
      </w:tabs>
    </w:pPr>
  </w:style>
  <w:style w:type="character" w:customStyle="1" w:styleId="llbChar">
    <w:name w:val="Élőláb Char"/>
    <w:basedOn w:val="Bekezdsalapbettpusa"/>
    <w:link w:val="llb"/>
    <w:uiPriority w:val="99"/>
    <w:rsid w:val="00B65579"/>
  </w:style>
  <w:style w:type="paragraph" w:customStyle="1" w:styleId="Szmozs">
    <w:name w:val="Számozás"/>
    <w:basedOn w:val="Norml"/>
    <w:uiPriority w:val="4"/>
    <w:qFormat/>
    <w:rsid w:val="00B65579"/>
    <w:pPr>
      <w:numPr>
        <w:numId w:val="3"/>
      </w:numPr>
      <w:spacing w:before="120"/>
      <w:contextualSpacing/>
    </w:pPr>
  </w:style>
  <w:style w:type="table" w:styleId="Rcsostblzat">
    <w:name w:val="Table Grid"/>
    <w:aliases w:val="Szegély nélküli"/>
    <w:basedOn w:val="Normltblzat"/>
    <w:uiPriority w:val="59"/>
    <w:rsid w:val="00B65579"/>
    <w:pPr>
      <w:contextualSpacing/>
    </w:pPr>
    <w:tblPr/>
    <w:tcPr>
      <w:vAlign w:val="center"/>
    </w:tcPr>
  </w:style>
  <w:style w:type="character" w:customStyle="1" w:styleId="Cmsor4Char">
    <w:name w:val="Címsor 4 Char"/>
    <w:basedOn w:val="Bekezdsalapbettpusa"/>
    <w:link w:val="Cmsor4"/>
    <w:rsid w:val="00B65579"/>
    <w:rPr>
      <w:iCs/>
      <w:color w:val="0C2148" w:themeColor="text2"/>
      <w:szCs w:val="30"/>
    </w:rPr>
  </w:style>
  <w:style w:type="character" w:customStyle="1" w:styleId="Cmsor5Char">
    <w:name w:val="Címsor 5 Char"/>
    <w:basedOn w:val="Bekezdsalapbettpusa"/>
    <w:link w:val="Cmsor5"/>
    <w:rsid w:val="00B65579"/>
    <w:rPr>
      <w:color w:val="0C2148" w:themeColor="text2"/>
      <w:szCs w:val="26"/>
    </w:rPr>
  </w:style>
  <w:style w:type="character" w:customStyle="1" w:styleId="Cmsor6Char">
    <w:name w:val="Címsor 6 Char"/>
    <w:basedOn w:val="Bekezdsalapbettpusa"/>
    <w:link w:val="Cmsor6"/>
    <w:rsid w:val="00B65579"/>
    <w:rPr>
      <w:color w:val="0C2148" w:themeColor="text2"/>
    </w:rPr>
  </w:style>
  <w:style w:type="character" w:customStyle="1" w:styleId="Cmsor1Char">
    <w:name w:val="Címsor 1 Char"/>
    <w:basedOn w:val="Bekezdsalapbettpusa"/>
    <w:link w:val="Cmsor1"/>
    <w:rsid w:val="00B65579"/>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65579"/>
    <w:rPr>
      <w:b/>
      <w:color w:val="0C2148" w:themeColor="text2"/>
      <w:sz w:val="24"/>
      <w:szCs w:val="38"/>
    </w:rPr>
  </w:style>
  <w:style w:type="character" w:customStyle="1" w:styleId="Cmsor3Char">
    <w:name w:val="Címsor 3 Char"/>
    <w:basedOn w:val="Bekezdsalapbettpusa"/>
    <w:link w:val="Cmsor3"/>
    <w:rsid w:val="00B65579"/>
    <w:rPr>
      <w:bCs/>
      <w:color w:val="0C2148" w:themeColor="text2"/>
      <w:szCs w:val="34"/>
    </w:rPr>
  </w:style>
  <w:style w:type="paragraph" w:styleId="Cm">
    <w:name w:val="Title"/>
    <w:basedOn w:val="Norml"/>
    <w:next w:val="Norml"/>
    <w:link w:val="CmChar"/>
    <w:uiPriority w:val="3"/>
    <w:qFormat/>
    <w:rsid w:val="00B65579"/>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65579"/>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65579"/>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65579"/>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65579"/>
    <w:rPr>
      <w:rFonts w:eastAsiaTheme="majorEastAsia" w:cstheme="majorBidi"/>
      <w:i/>
      <w:iCs/>
      <w:color w:val="404040" w:themeColor="text1" w:themeTint="BF"/>
    </w:rPr>
  </w:style>
  <w:style w:type="numbering" w:customStyle="1" w:styleId="Style1">
    <w:name w:val="Style1"/>
    <w:uiPriority w:val="99"/>
    <w:rsid w:val="00B65579"/>
    <w:pPr>
      <w:numPr>
        <w:numId w:val="1"/>
      </w:numPr>
    </w:pPr>
  </w:style>
  <w:style w:type="paragraph" w:styleId="TJ7">
    <w:name w:val="toc 7"/>
    <w:basedOn w:val="Norml"/>
    <w:next w:val="Norml"/>
    <w:autoRedefine/>
    <w:uiPriority w:val="99"/>
    <w:semiHidden/>
    <w:locked/>
    <w:rsid w:val="00B65579"/>
    <w:pPr>
      <w:spacing w:after="100"/>
      <w:ind w:left="1200"/>
    </w:pPr>
    <w:rPr>
      <w:color w:val="385623" w:themeColor="accent6" w:themeShade="80"/>
    </w:rPr>
  </w:style>
  <w:style w:type="paragraph" w:styleId="TJ8">
    <w:name w:val="toc 8"/>
    <w:basedOn w:val="Norml"/>
    <w:next w:val="Norml"/>
    <w:autoRedefine/>
    <w:uiPriority w:val="99"/>
    <w:semiHidden/>
    <w:locked/>
    <w:rsid w:val="00B65579"/>
    <w:pPr>
      <w:spacing w:after="100"/>
      <w:ind w:left="1400"/>
    </w:pPr>
    <w:rPr>
      <w:color w:val="385623" w:themeColor="accent6" w:themeShade="80"/>
    </w:rPr>
  </w:style>
  <w:style w:type="paragraph" w:styleId="TJ9">
    <w:name w:val="toc 9"/>
    <w:basedOn w:val="Norml"/>
    <w:next w:val="Norml"/>
    <w:autoRedefine/>
    <w:uiPriority w:val="99"/>
    <w:semiHidden/>
    <w:locked/>
    <w:rsid w:val="00B65579"/>
    <w:pPr>
      <w:spacing w:after="100"/>
      <w:ind w:left="1600"/>
    </w:pPr>
    <w:rPr>
      <w:color w:val="385623" w:themeColor="accent6" w:themeShade="80"/>
    </w:rPr>
  </w:style>
  <w:style w:type="table" w:customStyle="1" w:styleId="Calendar2">
    <w:name w:val="Calendar 2"/>
    <w:basedOn w:val="Normltblzat"/>
    <w:uiPriority w:val="99"/>
    <w:qFormat/>
    <w:rsid w:val="00B6557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65579"/>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B65579"/>
    <w:rPr>
      <w:rFonts w:eastAsiaTheme="minorEastAsia"/>
      <w:color w:val="0C2148" w:themeColor="text2"/>
      <w:sz w:val="16"/>
    </w:rPr>
  </w:style>
  <w:style w:type="character" w:styleId="Finomkiemels">
    <w:name w:val="Subtle Emphasis"/>
    <w:basedOn w:val="Bekezdsalapbettpusa"/>
    <w:uiPriority w:val="19"/>
    <w:qFormat/>
    <w:rsid w:val="00B6557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6557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6557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65579"/>
    <w:rPr>
      <w:color w:val="385623" w:themeColor="accent6" w:themeShade="80"/>
    </w:rPr>
  </w:style>
  <w:style w:type="character" w:customStyle="1" w:styleId="VgjegyzetszvegeChar">
    <w:name w:val="Végjegyzet szövege Char"/>
    <w:basedOn w:val="Bekezdsalapbettpusa"/>
    <w:link w:val="Vgjegyzetszvege"/>
    <w:uiPriority w:val="99"/>
    <w:semiHidden/>
    <w:rsid w:val="00B65579"/>
    <w:rPr>
      <w:color w:val="385623" w:themeColor="accent6" w:themeShade="80"/>
    </w:rPr>
  </w:style>
  <w:style w:type="table" w:customStyle="1" w:styleId="Vilgosrnykols1jellszn1">
    <w:name w:val="Világos árnyékolás – 1. jelölőszín1"/>
    <w:basedOn w:val="Normltblzat"/>
    <w:uiPriority w:val="60"/>
    <w:rsid w:val="00B6557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65579"/>
    <w:pPr>
      <w:numPr>
        <w:numId w:val="4"/>
      </w:numPr>
    </w:pPr>
  </w:style>
  <w:style w:type="paragraph" w:customStyle="1" w:styleId="Tblaszvegstlus">
    <w:name w:val="Tábla szöveg stílus"/>
    <w:basedOn w:val="Norml"/>
    <w:link w:val="TblaszvegstlusChar"/>
    <w:uiPriority w:val="8"/>
    <w:qFormat/>
    <w:rsid w:val="00B65579"/>
  </w:style>
  <w:style w:type="character" w:customStyle="1" w:styleId="ListaszerbekezdsChar">
    <w:name w:val="Listaszerű bekezdés Char"/>
    <w:basedOn w:val="Bekezdsalapbettpusa"/>
    <w:link w:val="Listaszerbekezds"/>
    <w:uiPriority w:val="4"/>
    <w:rsid w:val="00B65579"/>
  </w:style>
  <w:style w:type="character" w:customStyle="1" w:styleId="Listaszerbekezds2Char">
    <w:name w:val="Listaszerű bekezdés 2 Char"/>
    <w:basedOn w:val="ListaszerbekezdsChar"/>
    <w:link w:val="Listaszerbekezds2"/>
    <w:uiPriority w:val="4"/>
    <w:rsid w:val="00B65579"/>
  </w:style>
  <w:style w:type="character" w:customStyle="1" w:styleId="TblaszvegstlusChar">
    <w:name w:val="Tábla szöveg stílus Char"/>
    <w:basedOn w:val="Bekezdsalapbettpusa"/>
    <w:link w:val="Tblaszvegstlus"/>
    <w:uiPriority w:val="8"/>
    <w:rsid w:val="00B65579"/>
  </w:style>
  <w:style w:type="character" w:styleId="Finomhivatkozs">
    <w:name w:val="Subtle Reference"/>
    <w:basedOn w:val="Bekezdsalapbettpusa"/>
    <w:uiPriority w:val="31"/>
    <w:rsid w:val="00B65579"/>
    <w:rPr>
      <w:sz w:val="24"/>
      <w:szCs w:val="24"/>
      <w:u w:val="single"/>
    </w:rPr>
  </w:style>
  <w:style w:type="character" w:styleId="Ershivatkozs">
    <w:name w:val="Intense Reference"/>
    <w:basedOn w:val="Bekezdsalapbettpusa"/>
    <w:uiPriority w:val="32"/>
    <w:rsid w:val="00B65579"/>
    <w:rPr>
      <w:b/>
      <w:sz w:val="24"/>
      <w:u w:val="single"/>
    </w:rPr>
  </w:style>
  <w:style w:type="paragraph" w:customStyle="1" w:styleId="Listaszerbekezds2szint">
    <w:name w:val="Listaszerű bekezdés 2. szint"/>
    <w:basedOn w:val="Listaszerbekezds"/>
    <w:link w:val="Listaszerbekezds2szintChar"/>
    <w:uiPriority w:val="4"/>
    <w:qFormat/>
    <w:rsid w:val="00B65579"/>
    <w:pPr>
      <w:numPr>
        <w:numId w:val="7"/>
      </w:numPr>
    </w:pPr>
  </w:style>
  <w:style w:type="paragraph" w:customStyle="1" w:styleId="Listaszerbekezds3szint">
    <w:name w:val="Listaszerű bekezdés 3. szint"/>
    <w:basedOn w:val="Listaszerbekezds"/>
    <w:link w:val="Listaszerbekezds3szintChar"/>
    <w:uiPriority w:val="4"/>
    <w:qFormat/>
    <w:rsid w:val="00B65579"/>
    <w:pPr>
      <w:numPr>
        <w:ilvl w:val="2"/>
        <w:numId w:val="8"/>
      </w:numPr>
    </w:pPr>
  </w:style>
  <w:style w:type="character" w:customStyle="1" w:styleId="Listaszerbekezds2szintChar">
    <w:name w:val="Listaszerű bekezdés 2. szint Char"/>
    <w:basedOn w:val="ListaszerbekezdsChar"/>
    <w:link w:val="Listaszerbekezds2szint"/>
    <w:uiPriority w:val="4"/>
    <w:rsid w:val="00B65579"/>
  </w:style>
  <w:style w:type="character" w:customStyle="1" w:styleId="Listaszerbekezds3szintChar">
    <w:name w:val="Listaszerű bekezdés 3. szint Char"/>
    <w:basedOn w:val="ListaszerbekezdsChar"/>
    <w:link w:val="Listaszerbekezds3szint"/>
    <w:uiPriority w:val="4"/>
    <w:rsid w:val="00B65579"/>
  </w:style>
  <w:style w:type="paragraph" w:styleId="Alcm">
    <w:name w:val="Subtitle"/>
    <w:basedOn w:val="Norml"/>
    <w:next w:val="Norml"/>
    <w:link w:val="AlcmChar"/>
    <w:uiPriority w:val="11"/>
    <w:rsid w:val="00B65579"/>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65579"/>
    <w:rPr>
      <w:rFonts w:eastAsiaTheme="majorEastAsia" w:cstheme="majorBidi"/>
    </w:rPr>
  </w:style>
  <w:style w:type="paragraph" w:customStyle="1" w:styleId="Listabetvel">
    <w:name w:val="Lista betűvel"/>
    <w:basedOn w:val="Listaszerbekezds"/>
    <w:link w:val="ListabetvelChar"/>
    <w:uiPriority w:val="4"/>
    <w:qFormat/>
    <w:rsid w:val="00B65579"/>
    <w:pPr>
      <w:numPr>
        <w:numId w:val="6"/>
      </w:numPr>
    </w:pPr>
  </w:style>
  <w:style w:type="character" w:customStyle="1" w:styleId="ListabetvelChar">
    <w:name w:val="Lista betűvel Char"/>
    <w:basedOn w:val="ListaszerbekezdsChar"/>
    <w:link w:val="Listabetvel"/>
    <w:uiPriority w:val="4"/>
    <w:rsid w:val="00B65579"/>
  </w:style>
  <w:style w:type="paragraph" w:customStyle="1" w:styleId="Erskiemels1">
    <w:name w:val="Erős kiemelés1"/>
    <w:basedOn w:val="Norml"/>
    <w:link w:val="ErskiemelsChar"/>
    <w:uiPriority w:val="5"/>
    <w:qFormat/>
    <w:rsid w:val="00B65579"/>
    <w:rPr>
      <w:b/>
      <w:i/>
    </w:rPr>
  </w:style>
  <w:style w:type="character" w:customStyle="1" w:styleId="ErskiemelsChar">
    <w:name w:val="Erős kiemelés Char"/>
    <w:basedOn w:val="Bekezdsalapbettpusa"/>
    <w:link w:val="Erskiemels1"/>
    <w:uiPriority w:val="5"/>
    <w:rsid w:val="00B65579"/>
    <w:rPr>
      <w:b/>
      <w:i/>
    </w:rPr>
  </w:style>
  <w:style w:type="paragraph" w:customStyle="1" w:styleId="Bold">
    <w:name w:val="Bold"/>
    <w:basedOn w:val="Norml"/>
    <w:link w:val="BoldChar"/>
    <w:uiPriority w:val="6"/>
    <w:qFormat/>
    <w:rsid w:val="00B65579"/>
    <w:rPr>
      <w:b/>
    </w:rPr>
  </w:style>
  <w:style w:type="character" w:customStyle="1" w:styleId="BoldChar">
    <w:name w:val="Bold Char"/>
    <w:basedOn w:val="Bekezdsalapbettpusa"/>
    <w:link w:val="Bold"/>
    <w:uiPriority w:val="6"/>
    <w:rsid w:val="00B65579"/>
    <w:rPr>
      <w:b/>
    </w:rPr>
  </w:style>
  <w:style w:type="character" w:styleId="Mrltotthiperhivatkozs">
    <w:name w:val="FollowedHyperlink"/>
    <w:basedOn w:val="Bekezdsalapbettpusa"/>
    <w:uiPriority w:val="99"/>
    <w:semiHidden/>
    <w:unhideWhenUsed/>
    <w:rsid w:val="00B65579"/>
    <w:rPr>
      <w:color w:val="954F72" w:themeColor="followedHyperlink"/>
      <w:u w:val="single"/>
    </w:rPr>
  </w:style>
  <w:style w:type="paragraph" w:styleId="Tartalomjegyzkcmsora">
    <w:name w:val="TOC Heading"/>
    <w:basedOn w:val="Cmsor1"/>
    <w:next w:val="Norml"/>
    <w:uiPriority w:val="39"/>
    <w:unhideWhenUsed/>
    <w:qFormat/>
    <w:rsid w:val="00B6557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65579"/>
    <w:pPr>
      <w:spacing w:after="100"/>
      <w:ind w:left="220"/>
      <w:jc w:val="left"/>
    </w:pPr>
    <w:rPr>
      <w:rFonts w:eastAsiaTheme="minorEastAsia"/>
    </w:rPr>
  </w:style>
  <w:style w:type="paragraph" w:styleId="TJ1">
    <w:name w:val="toc 1"/>
    <w:basedOn w:val="Norml"/>
    <w:next w:val="Norml"/>
    <w:autoRedefine/>
    <w:uiPriority w:val="39"/>
    <w:unhideWhenUsed/>
    <w:qFormat/>
    <w:locked/>
    <w:rsid w:val="00B65579"/>
    <w:pPr>
      <w:spacing w:after="100"/>
      <w:jc w:val="left"/>
    </w:pPr>
    <w:rPr>
      <w:rFonts w:eastAsiaTheme="minorEastAsia"/>
    </w:rPr>
  </w:style>
  <w:style w:type="paragraph" w:styleId="TJ3">
    <w:name w:val="toc 3"/>
    <w:basedOn w:val="Norml"/>
    <w:next w:val="Norml"/>
    <w:uiPriority w:val="39"/>
    <w:unhideWhenUsed/>
    <w:qFormat/>
    <w:locked/>
    <w:rsid w:val="00B65579"/>
    <w:pPr>
      <w:spacing w:after="100"/>
      <w:ind w:left="400"/>
    </w:pPr>
  </w:style>
  <w:style w:type="paragraph" w:customStyle="1" w:styleId="StyleTOC2Left015">
    <w:name w:val="Style TOC 2 + Left:  0.15&quot;"/>
    <w:basedOn w:val="TJ2"/>
    <w:rsid w:val="00B65579"/>
    <w:pPr>
      <w:ind w:left="216"/>
    </w:pPr>
    <w:rPr>
      <w:rFonts w:eastAsia="Times New Roman" w:cs="Times New Roman"/>
    </w:rPr>
  </w:style>
  <w:style w:type="paragraph" w:customStyle="1" w:styleId="StyleTOC3Left031">
    <w:name w:val="Style TOC 3 + Left:  0.31&quot;"/>
    <w:basedOn w:val="TJ3"/>
    <w:rsid w:val="00B65579"/>
    <w:pPr>
      <w:ind w:left="446"/>
    </w:pPr>
    <w:rPr>
      <w:rFonts w:eastAsia="Times New Roman" w:cs="Times New Roman"/>
    </w:rPr>
  </w:style>
  <w:style w:type="numbering" w:customStyle="1" w:styleId="Hierarchikuslista">
    <w:name w:val="Hierarchikus lista"/>
    <w:uiPriority w:val="99"/>
    <w:rsid w:val="00B65579"/>
    <w:pPr>
      <w:numPr>
        <w:numId w:val="2"/>
      </w:numPr>
    </w:pPr>
  </w:style>
  <w:style w:type="paragraph" w:customStyle="1" w:styleId="HierarchikusLista0">
    <w:name w:val="Hierarchikus Lista"/>
    <w:basedOn w:val="Listaszerbekezds"/>
    <w:link w:val="HierarchikusListaChar"/>
    <w:qFormat/>
    <w:rsid w:val="00B65579"/>
    <w:pPr>
      <w:numPr>
        <w:numId w:val="0"/>
      </w:numPr>
    </w:pPr>
  </w:style>
  <w:style w:type="character" w:customStyle="1" w:styleId="HierarchikusListaChar">
    <w:name w:val="Hierarchikus Lista Char"/>
    <w:basedOn w:val="ListaszerbekezdsChar"/>
    <w:link w:val="HierarchikusLista0"/>
    <w:rsid w:val="00B65579"/>
  </w:style>
  <w:style w:type="character" w:styleId="Kiemels2">
    <w:name w:val="Strong"/>
    <w:basedOn w:val="Bekezdsalapbettpusa"/>
    <w:uiPriority w:val="22"/>
    <w:rsid w:val="00B65579"/>
    <w:rPr>
      <w:b/>
      <w:bCs/>
    </w:rPr>
  </w:style>
  <w:style w:type="character" w:styleId="Kiemels">
    <w:name w:val="Emphasis"/>
    <w:basedOn w:val="Bekezdsalapbettpusa"/>
    <w:uiPriority w:val="6"/>
    <w:qFormat/>
    <w:rsid w:val="00B65579"/>
    <w:rPr>
      <w:i/>
      <w:iCs/>
    </w:rPr>
  </w:style>
  <w:style w:type="paragraph" w:styleId="Nincstrkz">
    <w:name w:val="No Spacing"/>
    <w:basedOn w:val="Norml"/>
    <w:uiPriority w:val="1"/>
    <w:rsid w:val="00B65579"/>
    <w:rPr>
      <w:szCs w:val="32"/>
    </w:rPr>
  </w:style>
  <w:style w:type="paragraph" w:styleId="Idzet">
    <w:name w:val="Quote"/>
    <w:basedOn w:val="Norml"/>
    <w:next w:val="Norml"/>
    <w:link w:val="IdzetChar"/>
    <w:uiPriority w:val="29"/>
    <w:rsid w:val="00B65579"/>
    <w:rPr>
      <w:i/>
    </w:rPr>
  </w:style>
  <w:style w:type="character" w:customStyle="1" w:styleId="IdzetChar">
    <w:name w:val="Idézet Char"/>
    <w:basedOn w:val="Bekezdsalapbettpusa"/>
    <w:link w:val="Idzet"/>
    <w:uiPriority w:val="29"/>
    <w:rsid w:val="00B65579"/>
    <w:rPr>
      <w:i/>
    </w:rPr>
  </w:style>
  <w:style w:type="paragraph" w:styleId="Kiemeltidzet">
    <w:name w:val="Intense Quote"/>
    <w:basedOn w:val="Norml"/>
    <w:next w:val="Norml"/>
    <w:link w:val="KiemeltidzetChar"/>
    <w:uiPriority w:val="30"/>
    <w:rsid w:val="00B65579"/>
    <w:pPr>
      <w:ind w:left="720" w:right="720"/>
    </w:pPr>
    <w:rPr>
      <w:b/>
      <w:i/>
    </w:rPr>
  </w:style>
  <w:style w:type="character" w:customStyle="1" w:styleId="KiemeltidzetChar">
    <w:name w:val="Kiemelt idézet Char"/>
    <w:basedOn w:val="Bekezdsalapbettpusa"/>
    <w:link w:val="Kiemeltidzet"/>
    <w:uiPriority w:val="30"/>
    <w:rsid w:val="00B65579"/>
    <w:rPr>
      <w:b/>
      <w:i/>
    </w:rPr>
  </w:style>
  <w:style w:type="character" w:styleId="Erskiemels">
    <w:name w:val="Intense Emphasis"/>
    <w:basedOn w:val="Bekezdsalapbettpusa"/>
    <w:uiPriority w:val="21"/>
    <w:rsid w:val="00B65579"/>
    <w:rPr>
      <w:b/>
      <w:i/>
      <w:sz w:val="24"/>
      <w:szCs w:val="24"/>
      <w:u w:val="single"/>
    </w:rPr>
  </w:style>
  <w:style w:type="character" w:styleId="Knyvcme">
    <w:name w:val="Book Title"/>
    <w:basedOn w:val="Bekezdsalapbettpusa"/>
    <w:uiPriority w:val="33"/>
    <w:rsid w:val="00B65579"/>
    <w:rPr>
      <w:rFonts w:ascii="Calibri" w:eastAsiaTheme="majorEastAsia" w:hAnsi="Calibri"/>
      <w:b/>
      <w:i/>
      <w:sz w:val="24"/>
      <w:szCs w:val="24"/>
    </w:rPr>
  </w:style>
  <w:style w:type="paragraph" w:customStyle="1" w:styleId="Szvegdobozstlus">
    <w:name w:val="Szövegdoboz stílus"/>
    <w:basedOn w:val="HierarchikusLista0"/>
    <w:qFormat/>
    <w:rsid w:val="00B65579"/>
    <w:rPr>
      <w:b/>
      <w:i/>
      <w:color w:val="009EE0"/>
    </w:rPr>
  </w:style>
  <w:style w:type="table" w:customStyle="1" w:styleId="Rcsos">
    <w:name w:val="Rácsos"/>
    <w:basedOn w:val="Normltblzat"/>
    <w:uiPriority w:val="99"/>
    <w:rsid w:val="00B6557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6557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65579"/>
    <w:pPr>
      <w:keepNext/>
      <w:spacing w:after="40"/>
      <w:jc w:val="center"/>
    </w:pPr>
    <w:rPr>
      <w:b/>
      <w:bCs/>
      <w:color w:val="808080"/>
      <w:szCs w:val="18"/>
    </w:rPr>
  </w:style>
  <w:style w:type="paragraph" w:customStyle="1" w:styleId="ENCaption2Col">
    <w:name w:val="EN_Caption_2Col"/>
    <w:basedOn w:val="Norml"/>
    <w:next w:val="Norml"/>
    <w:uiPriority w:val="1"/>
    <w:qFormat/>
    <w:rsid w:val="00B65579"/>
    <w:pPr>
      <w:keepNext/>
      <w:spacing w:after="40"/>
      <w:jc w:val="left"/>
    </w:pPr>
    <w:rPr>
      <w:b/>
      <w:bCs/>
      <w:color w:val="808080"/>
      <w:szCs w:val="18"/>
    </w:rPr>
  </w:style>
  <w:style w:type="paragraph" w:customStyle="1" w:styleId="ENCaptionBox">
    <w:name w:val="EN_Caption_Box"/>
    <w:basedOn w:val="Norml"/>
    <w:next w:val="Norml"/>
    <w:uiPriority w:val="1"/>
    <w:qFormat/>
    <w:rsid w:val="00B6557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6557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65579"/>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65579"/>
    <w:rPr>
      <w:rFonts w:eastAsiaTheme="minorEastAsia"/>
      <w:color w:val="808080"/>
      <w:sz w:val="18"/>
    </w:rPr>
  </w:style>
  <w:style w:type="paragraph" w:customStyle="1" w:styleId="ENNormal">
    <w:name w:val="EN_Normal"/>
    <w:basedOn w:val="Norml"/>
    <w:uiPriority w:val="1"/>
    <w:qFormat/>
    <w:rsid w:val="00B65579"/>
  </w:style>
  <w:style w:type="paragraph" w:customStyle="1" w:styleId="ENNormalBox">
    <w:name w:val="EN_Normal_Box"/>
    <w:basedOn w:val="Norml"/>
    <w:uiPriority w:val="1"/>
    <w:qFormat/>
    <w:rsid w:val="00B6557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65579"/>
    <w:pPr>
      <w:keepLines/>
      <w:jc w:val="center"/>
    </w:pPr>
    <w:rPr>
      <w:color w:val="808080"/>
      <w:sz w:val="18"/>
    </w:rPr>
  </w:style>
  <w:style w:type="paragraph" w:customStyle="1" w:styleId="ENNote2Col">
    <w:name w:val="EN_Note_2Col"/>
    <w:basedOn w:val="Norml"/>
    <w:next w:val="ENNormal"/>
    <w:uiPriority w:val="1"/>
    <w:qFormat/>
    <w:rsid w:val="00B65579"/>
    <w:pPr>
      <w:keepLines/>
    </w:pPr>
    <w:rPr>
      <w:color w:val="808080"/>
      <w:sz w:val="18"/>
    </w:rPr>
  </w:style>
  <w:style w:type="paragraph" w:customStyle="1" w:styleId="ENNoteBox">
    <w:name w:val="EN_Note_Box"/>
    <w:basedOn w:val="Norml"/>
    <w:next w:val="ENNormalBox"/>
    <w:uiPriority w:val="1"/>
    <w:qFormat/>
    <w:rsid w:val="00B6557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6557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B6557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B6557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65579"/>
    <w:pPr>
      <w:keepNext/>
      <w:spacing w:after="40"/>
      <w:jc w:val="center"/>
    </w:pPr>
    <w:rPr>
      <w:sz w:val="20"/>
    </w:rPr>
  </w:style>
  <w:style w:type="paragraph" w:customStyle="1" w:styleId="HUCaption2Col">
    <w:name w:val="HU_Caption_2Col"/>
    <w:basedOn w:val="Kpalrs"/>
    <w:next w:val="Norml"/>
    <w:uiPriority w:val="1"/>
    <w:qFormat/>
    <w:rsid w:val="00B65579"/>
    <w:pPr>
      <w:keepNext/>
      <w:spacing w:after="40"/>
    </w:pPr>
    <w:rPr>
      <w:sz w:val="20"/>
    </w:rPr>
  </w:style>
  <w:style w:type="paragraph" w:customStyle="1" w:styleId="HUCaptionBox">
    <w:name w:val="HU_Caption_Box"/>
    <w:basedOn w:val="Kpalrs"/>
    <w:next w:val="Norml"/>
    <w:uiPriority w:val="1"/>
    <w:qFormat/>
    <w:rsid w:val="00B6557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65579"/>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65579"/>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6557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65579"/>
    <w:rPr>
      <w:caps/>
      <w:color w:val="0C2148" w:themeColor="text2"/>
    </w:rPr>
  </w:style>
  <w:style w:type="paragraph" w:customStyle="1" w:styleId="HUFootnote">
    <w:name w:val="HU_Footnote"/>
    <w:basedOn w:val="Lbjegyzetszveg"/>
    <w:uiPriority w:val="1"/>
    <w:qFormat/>
    <w:rsid w:val="00B65579"/>
    <w:rPr>
      <w:color w:val="808080"/>
      <w:sz w:val="18"/>
    </w:rPr>
  </w:style>
  <w:style w:type="paragraph" w:customStyle="1" w:styleId="HUNormalBox">
    <w:name w:val="HU_Normal_Box"/>
    <w:basedOn w:val="Norml"/>
    <w:uiPriority w:val="1"/>
    <w:qFormat/>
    <w:rsid w:val="00B6557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65579"/>
    <w:pPr>
      <w:keepLines/>
      <w:jc w:val="center"/>
    </w:pPr>
    <w:rPr>
      <w:color w:val="808080"/>
      <w:sz w:val="18"/>
    </w:rPr>
  </w:style>
  <w:style w:type="paragraph" w:customStyle="1" w:styleId="HUNote2Col">
    <w:name w:val="HU_Note_2Col"/>
    <w:basedOn w:val="Norml"/>
    <w:next w:val="Norml"/>
    <w:uiPriority w:val="1"/>
    <w:qFormat/>
    <w:rsid w:val="00B65579"/>
    <w:pPr>
      <w:keepLines/>
    </w:pPr>
    <w:rPr>
      <w:color w:val="808080"/>
      <w:sz w:val="18"/>
    </w:rPr>
  </w:style>
  <w:style w:type="paragraph" w:customStyle="1" w:styleId="HUNoteBox">
    <w:name w:val="HU_Note_Box"/>
    <w:basedOn w:val="Norml"/>
    <w:next w:val="HUNormalBox"/>
    <w:link w:val="HUNoteBoxChar"/>
    <w:uiPriority w:val="1"/>
    <w:qFormat/>
    <w:rsid w:val="00B6557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65579"/>
    <w:rPr>
      <w:color w:val="808080"/>
      <w:sz w:val="18"/>
      <w:shd w:val="clear" w:color="auto" w:fill="C6EEFF"/>
    </w:rPr>
  </w:style>
  <w:style w:type="paragraph" w:customStyle="1" w:styleId="HUSectionTitle">
    <w:name w:val="HU_Section_Title"/>
    <w:basedOn w:val="Cmsor2"/>
    <w:next w:val="Norml"/>
    <w:link w:val="HUSectionTitleChar"/>
    <w:uiPriority w:val="1"/>
    <w:rsid w:val="00B65579"/>
    <w:pPr>
      <w:keepNext/>
    </w:pPr>
  </w:style>
  <w:style w:type="character" w:customStyle="1" w:styleId="HUSectionTitleChar">
    <w:name w:val="HU_Section_Title Char"/>
    <w:basedOn w:val="Cmsor2Char"/>
    <w:link w:val="HUSectionTitle"/>
    <w:uiPriority w:val="1"/>
    <w:rsid w:val="00B65579"/>
    <w:rPr>
      <w:b/>
      <w:color w:val="0C2148" w:themeColor="text2"/>
      <w:sz w:val="24"/>
      <w:szCs w:val="38"/>
    </w:rPr>
  </w:style>
  <w:style w:type="paragraph" w:customStyle="1" w:styleId="HUSubsectionTitle">
    <w:name w:val="HU_Subsection_Title"/>
    <w:basedOn w:val="Cmsor3"/>
    <w:next w:val="Norml"/>
    <w:link w:val="HUSubsectionTitleChar"/>
    <w:uiPriority w:val="1"/>
    <w:rsid w:val="00B65579"/>
    <w:pPr>
      <w:keepNext/>
      <w:ind w:left="595" w:hanging="595"/>
    </w:pPr>
  </w:style>
  <w:style w:type="character" w:customStyle="1" w:styleId="HUSubsectionTitleChar">
    <w:name w:val="HU_Subsection_Title Char"/>
    <w:basedOn w:val="Cmsor3Char"/>
    <w:link w:val="HUSubsectionTitle"/>
    <w:uiPriority w:val="1"/>
    <w:rsid w:val="00B65579"/>
    <w:rPr>
      <w:bCs/>
      <w:color w:val="0C2148" w:themeColor="text2"/>
      <w:szCs w:val="34"/>
    </w:rPr>
  </w:style>
  <w:style w:type="paragraph" w:customStyle="1" w:styleId="Heading1Kiadvny">
    <w:name w:val="Heading 1 Kiadvány"/>
    <w:basedOn w:val="Cmsor1"/>
    <w:qFormat/>
    <w:rsid w:val="00B65579"/>
    <w:rPr>
      <w:b w:val="0"/>
      <w:caps w:val="0"/>
      <w:sz w:val="52"/>
    </w:rPr>
  </w:style>
  <w:style w:type="numbering" w:customStyle="1" w:styleId="Nemlista1">
    <w:name w:val="Nem lista1"/>
    <w:next w:val="Nemlista"/>
    <w:uiPriority w:val="99"/>
    <w:semiHidden/>
    <w:unhideWhenUsed/>
    <w:rsid w:val="002972D3"/>
  </w:style>
  <w:style w:type="character" w:styleId="Jegyzethivatkozs">
    <w:name w:val="annotation reference"/>
    <w:basedOn w:val="Bekezdsalapbettpusa"/>
    <w:uiPriority w:val="99"/>
    <w:semiHidden/>
    <w:unhideWhenUsed/>
    <w:rsid w:val="002972D3"/>
    <w:rPr>
      <w:sz w:val="16"/>
      <w:szCs w:val="16"/>
    </w:rPr>
  </w:style>
  <w:style w:type="paragraph" w:styleId="Jegyzetszveg">
    <w:name w:val="annotation text"/>
    <w:basedOn w:val="Norml"/>
    <w:link w:val="JegyzetszvegChar"/>
    <w:uiPriority w:val="99"/>
    <w:unhideWhenUsed/>
    <w:rsid w:val="002972D3"/>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2972D3"/>
    <w:rPr>
      <w:lang w:val="en-US" w:eastAsia="en-US"/>
    </w:rPr>
  </w:style>
  <w:style w:type="paragraph" w:styleId="Megjegyzstrgya">
    <w:name w:val="annotation subject"/>
    <w:basedOn w:val="Jegyzetszveg"/>
    <w:next w:val="Jegyzetszveg"/>
    <w:link w:val="MegjegyzstrgyaChar"/>
    <w:uiPriority w:val="99"/>
    <w:semiHidden/>
    <w:unhideWhenUsed/>
    <w:rsid w:val="002972D3"/>
    <w:rPr>
      <w:b/>
      <w:bCs/>
    </w:rPr>
  </w:style>
  <w:style w:type="character" w:customStyle="1" w:styleId="MegjegyzstrgyaChar">
    <w:name w:val="Megjegyzés tárgya Char"/>
    <w:basedOn w:val="JegyzetszvegChar"/>
    <w:link w:val="Megjegyzstrgya"/>
    <w:uiPriority w:val="99"/>
    <w:semiHidden/>
    <w:rsid w:val="002972D3"/>
    <w:rPr>
      <w:b/>
      <w:bCs/>
      <w:lang w:val="en-US" w:eastAsia="en-US"/>
    </w:rPr>
  </w:style>
  <w:style w:type="character" w:styleId="Lbjegyzet-hivatkozs">
    <w:name w:val="footnote reference"/>
    <w:basedOn w:val="Bekezdsalapbettpusa"/>
    <w:uiPriority w:val="99"/>
    <w:semiHidden/>
    <w:unhideWhenUsed/>
    <w:rsid w:val="002972D3"/>
    <w:rPr>
      <w:vertAlign w:val="superscript"/>
    </w:rPr>
  </w:style>
  <w:style w:type="numbering" w:customStyle="1" w:styleId="Style11">
    <w:name w:val="Style11"/>
    <w:uiPriority w:val="99"/>
    <w:rsid w:val="002972D3"/>
    <w:pPr>
      <w:numPr>
        <w:numId w:val="10"/>
      </w:numPr>
    </w:pPr>
  </w:style>
  <w:style w:type="numbering" w:customStyle="1" w:styleId="Hierarchikuslista1">
    <w:name w:val="Hierarchikus lista1"/>
    <w:uiPriority w:val="99"/>
    <w:rsid w:val="002972D3"/>
    <w:pPr>
      <w:numPr>
        <w:numId w:val="11"/>
      </w:numPr>
    </w:pPr>
  </w:style>
  <w:style w:type="paragraph" w:customStyle="1" w:styleId="Erskiemels2">
    <w:name w:val="Erős kiemelés2"/>
    <w:basedOn w:val="Norml"/>
    <w:uiPriority w:val="5"/>
    <w:qFormat/>
    <w:rsid w:val="002077BA"/>
    <w:rPr>
      <w:b/>
      <w:i/>
    </w:rPr>
  </w:style>
  <w:style w:type="paragraph" w:customStyle="1" w:styleId="Erskiemels3">
    <w:name w:val="Erős kiemelés3"/>
    <w:basedOn w:val="Norml"/>
    <w:uiPriority w:val="5"/>
    <w:qFormat/>
    <w:rsid w:val="00397D6C"/>
    <w:rPr>
      <w:b/>
      <w:i/>
    </w:rPr>
  </w:style>
  <w:style w:type="paragraph" w:customStyle="1" w:styleId="Erskiemels4">
    <w:name w:val="Erős kiemelés4"/>
    <w:basedOn w:val="Norml"/>
    <w:uiPriority w:val="5"/>
    <w:qFormat/>
    <w:rsid w:val="00332056"/>
    <w:rPr>
      <w:b/>
      <w:i/>
    </w:rPr>
  </w:style>
  <w:style w:type="paragraph" w:styleId="Vltozat">
    <w:name w:val="Revision"/>
    <w:hidden/>
    <w:uiPriority w:val="99"/>
    <w:semiHidden/>
    <w:rsid w:val="001369DC"/>
  </w:style>
  <w:style w:type="character" w:customStyle="1" w:styleId="cf01">
    <w:name w:val="cf01"/>
    <w:basedOn w:val="Bekezdsalapbettpusa"/>
    <w:rsid w:val="00984B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340500991">
      <w:bodyDiv w:val="1"/>
      <w:marLeft w:val="0"/>
      <w:marRight w:val="0"/>
      <w:marTop w:val="0"/>
      <w:marBottom w:val="0"/>
      <w:divBdr>
        <w:top w:val="none" w:sz="0" w:space="0" w:color="auto"/>
        <w:left w:val="none" w:sz="0" w:space="0" w:color="auto"/>
        <w:bottom w:val="none" w:sz="0" w:space="0" w:color="auto"/>
        <w:right w:val="none" w:sz="0" w:space="0" w:color="auto"/>
      </w:divBdr>
    </w:div>
    <w:div w:id="20398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894A9-324D-4065-BC7E-7EA3760990B0}">
  <ds:schemaRefs>
    <ds:schemaRef ds:uri="http://schemas.microsoft.com/sharepoint/v3/contenttype/forms"/>
  </ds:schemaRefs>
</ds:datastoreItem>
</file>

<file path=customXml/itemProps2.xml><?xml version="1.0" encoding="utf-8"?>
<ds:datastoreItem xmlns:ds="http://schemas.openxmlformats.org/officeDocument/2006/customXml" ds:itemID="{EE90F861-6645-4CB6-99DB-82C105133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6527FE-77DE-48C0-824E-C17548A65DA3}">
  <ds:schemaRefs>
    <ds:schemaRef ds:uri="http://schemas.openxmlformats.org/officeDocument/2006/bibliography"/>
  </ds:schemaRefs>
</ds:datastoreItem>
</file>

<file path=customXml/itemProps4.xml><?xml version="1.0" encoding="utf-8"?>
<ds:datastoreItem xmlns:ds="http://schemas.openxmlformats.org/officeDocument/2006/customXml" ds:itemID="{2B08C476-F8E5-4ACB-AABE-1E9076F5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2698</Words>
  <Characters>15769</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2023-04-20T14:38:00Z</dcterms:created>
  <dcterms:modified xsi:type="dcterms:W3CDTF">2023-06-20T08:33:00Z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2019-06-25T17:14:31.6514625+02:00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2025-12-15T20:26:49Z</vt:filetime>
  </property>
  <property fmtid="{D5CDD505-2E9C-101B-9397-08002B2CF9AE}" pid="12" name="Érvényességet beállító">
    <vt:lpwstr>bodnarm</vt:lpwstr>
  </property>
  <property fmtid="{D5CDD505-2E9C-101B-9397-08002B2CF9AE}" pid="13" name="Érvényességi idő első beállítása">
    <vt:filetime>2020-12-15T20:26:49Z</vt:filetime>
  </property>
  <property fmtid="{D5CDD505-2E9C-101B-9397-08002B2CF9AE}" pid="14" name="ContentTypeId">
    <vt:lpwstr>0x010100F283CA36AE705543AB484A6F8EEB55F3</vt:lpwstr>
  </property>
</Properties>
</file>