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1037" w14:textId="210D4FDC" w:rsidR="00305518" w:rsidRPr="00850850" w:rsidRDefault="00305518" w:rsidP="00850850">
      <w:pPr>
        <w:rPr>
          <w:rFonts w:ascii="Trebuchet MS" w:hAnsi="Trebuchet MS"/>
          <w:b/>
          <w:bCs/>
          <w:color w:val="0C2148" w:themeColor="text2"/>
          <w:sz w:val="48"/>
          <w:szCs w:val="48"/>
        </w:rPr>
      </w:pPr>
      <w:r w:rsidRPr="00850850">
        <w:rPr>
          <w:rFonts w:ascii="Trebuchet MS" w:hAnsi="Trebuchet MS"/>
          <w:b/>
          <w:bCs/>
          <w:color w:val="0C2148" w:themeColor="text2"/>
          <w:sz w:val="48"/>
          <w:szCs w:val="48"/>
        </w:rPr>
        <w:t>Az EBA honlapján elérhető az adatszolgáltatási ITS EBA 3.2 taxonómia verzió</w:t>
      </w:r>
    </w:p>
    <w:p w14:paraId="23435428" w14:textId="180CAD35" w:rsidR="00B944EB" w:rsidRPr="00850850" w:rsidRDefault="00B944EB" w:rsidP="00B944EB">
      <w:pPr>
        <w:rPr>
          <w:rFonts w:ascii="Trebuchet MS" w:hAnsi="Trebuchet MS"/>
          <w:sz w:val="24"/>
          <w:szCs w:val="24"/>
        </w:rPr>
      </w:pPr>
    </w:p>
    <w:p w14:paraId="0C022873" w14:textId="626A394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 xml:space="preserve">Az </w:t>
      </w:r>
      <w:hyperlink r:id="rId8" w:history="1">
        <w:r w:rsidRPr="00F818CD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EBA honlapján</w:t>
        </w:r>
      </w:hyperlink>
      <w:r w:rsidRPr="00850850">
        <w:rPr>
          <w:rFonts w:ascii="Trebuchet MS" w:hAnsi="Trebuchet MS"/>
          <w:sz w:val="24"/>
          <w:szCs w:val="24"/>
        </w:rPr>
        <w:t xml:space="preserve"> elérhető az adatszolgáltatási ITS EBA 3.2 taxonómia verzió, amely tartalmazza a befektetési vállalkozásokra vonatkozóan az új jelentési követelményeket is.</w:t>
      </w:r>
    </w:p>
    <w:p w14:paraId="49D68CD5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Az EBA honlapján elérhető közzététel:</w:t>
      </w:r>
    </w:p>
    <w:p w14:paraId="46E5A50A" w14:textId="299ADD2F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Reporting framework 3.</w:t>
      </w:r>
      <w:r w:rsidR="00152B12">
        <w:rPr>
          <w:rFonts w:ascii="Trebuchet MS" w:hAnsi="Trebuchet MS"/>
          <w:sz w:val="24"/>
          <w:szCs w:val="24"/>
        </w:rPr>
        <w:t>2</w:t>
      </w:r>
    </w:p>
    <w:p w14:paraId="51C34D02" w14:textId="77777777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EBA Filing rules (updated on 26 September 2022)</w:t>
      </w:r>
    </w:p>
    <w:p w14:paraId="4C6E3299" w14:textId="77777777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The EBA published </w:t>
      </w:r>
      <w:hyperlink r:id="rId9" w:tgtFrame="_blank" w:tooltip="https://www.eba.europa.eu/sites/default/documents/files/document_library/risk%20analysis%20and%20data/reporting%20frameworks/reporting%20framework%203.2/1022177/eba%20filing%20rules%20v5.1.pdf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filing rules document </w:t>
        </w:r>
      </w:hyperlink>
      <w:r w:rsidRPr="00850850">
        <w:rPr>
          <w:rFonts w:ascii="Trebuchet MS" w:hAnsi="Trebuchet MS"/>
          <w:sz w:val="24"/>
          <w:szCs w:val="24"/>
        </w:rPr>
        <w:t>(v5.2,) to modify rule 3.6:</w:t>
      </w:r>
    </w:p>
    <w:p w14:paraId="3A97EE80" w14:textId="77777777" w:rsidR="00305518" w:rsidRPr="00850850" w:rsidRDefault="00305518" w:rsidP="00850850">
      <w:pPr>
        <w:numPr>
          <w:ilvl w:val="0"/>
          <w:numId w:val="20"/>
        </w:numPr>
        <w:tabs>
          <w:tab w:val="clear" w:pos="720"/>
          <w:tab w:val="num" w:pos="1429"/>
        </w:tabs>
        <w:ind w:left="142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to redefine the condition to apply the new reporting subject, which is now independent from the application date of the COREP-, AE- and GSII-modules of framework release 3.2</w:t>
      </w:r>
    </w:p>
    <w:p w14:paraId="71A572F2" w14:textId="77777777" w:rsidR="00305518" w:rsidRPr="00850850" w:rsidRDefault="00305518" w:rsidP="00850850">
      <w:pPr>
        <w:numPr>
          <w:ilvl w:val="0"/>
          <w:numId w:val="20"/>
        </w:numPr>
        <w:tabs>
          <w:tab w:val="clear" w:pos="720"/>
          <w:tab w:val="num" w:pos="1429"/>
        </w:tabs>
        <w:ind w:left="142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to explicitly instruct the usage of entity types to indicate aggregate levels in the reporting subject of an aggregate reporting document</w:t>
      </w:r>
    </w:p>
    <w:p w14:paraId="7337B4EF" w14:textId="77777777" w:rsidR="00305518" w:rsidRPr="00850850" w:rsidRDefault="00305518" w:rsidP="00850850">
      <w:pPr>
        <w:numPr>
          <w:ilvl w:val="0"/>
          <w:numId w:val="20"/>
        </w:numPr>
        <w:tabs>
          <w:tab w:val="clear" w:pos="720"/>
          <w:tab w:val="num" w:pos="1429"/>
        </w:tabs>
        <w:ind w:left="142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use the neutral entity schema  “</w:t>
      </w:r>
      <w:hyperlink r:id="rId10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https://eurofiling.info/eu/rs</w:t>
        </w:r>
      </w:hyperlink>
      <w:r w:rsidRPr="00850850">
        <w:rPr>
          <w:rFonts w:ascii="Trebuchet MS" w:hAnsi="Trebuchet MS"/>
          <w:sz w:val="24"/>
          <w:szCs w:val="24"/>
        </w:rPr>
        <w:t>”, replacing </w:t>
      </w:r>
      <w:hyperlink r:id="rId11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https://www.eba.europa.eu/eu/rs</w:t>
        </w:r>
      </w:hyperlink>
    </w:p>
    <w:p w14:paraId="3B251AF4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</w:t>
      </w:r>
    </w:p>
    <w:p w14:paraId="1987CC4C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The change to the filing rule implies the following for the modular release of reporting framework 3.2:</w:t>
      </w:r>
    </w:p>
    <w:p w14:paraId="09B5484B" w14:textId="77777777" w:rsidR="00305518" w:rsidRPr="00850850" w:rsidRDefault="00305518" w:rsidP="00305518">
      <w:pPr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COREP, AE, G-SII:</w:t>
      </w:r>
    </w:p>
    <w:p w14:paraId="0AA32012" w14:textId="77777777" w:rsidR="00305518" w:rsidRPr="00850850" w:rsidRDefault="00305518" w:rsidP="00305518">
      <w:pPr>
        <w:numPr>
          <w:ilvl w:val="1"/>
          <w:numId w:val="21"/>
        </w:num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CON/IND will be removed from the module name (e.g. </w:t>
      </w:r>
      <w:r w:rsidRPr="00850850">
        <w:rPr>
          <w:rFonts w:ascii="Trebuchet MS" w:hAnsi="Trebuchet MS"/>
          <w:i/>
          <w:iCs/>
          <w:sz w:val="24"/>
          <w:szCs w:val="24"/>
        </w:rPr>
        <w:t>AE_CON</w:t>
      </w:r>
      <w:r w:rsidRPr="00850850">
        <w:rPr>
          <w:rFonts w:ascii="Trebuchet MS" w:hAnsi="Trebuchet MS"/>
          <w:sz w:val="24"/>
          <w:szCs w:val="24"/>
        </w:rPr>
        <w:t> and </w:t>
      </w:r>
      <w:r w:rsidRPr="00850850">
        <w:rPr>
          <w:rFonts w:ascii="Trebuchet MS" w:hAnsi="Trebuchet MS"/>
          <w:i/>
          <w:iCs/>
          <w:sz w:val="24"/>
          <w:szCs w:val="24"/>
        </w:rPr>
        <w:t>AE_IND</w:t>
      </w:r>
      <w:r w:rsidRPr="00850850">
        <w:rPr>
          <w:rFonts w:ascii="Trebuchet MS" w:hAnsi="Trebuchet MS"/>
          <w:sz w:val="24"/>
          <w:szCs w:val="24"/>
        </w:rPr>
        <w:t> become </w:t>
      </w:r>
      <w:r w:rsidRPr="00850850">
        <w:rPr>
          <w:rFonts w:ascii="Trebuchet MS" w:hAnsi="Trebuchet MS"/>
          <w:i/>
          <w:iCs/>
          <w:sz w:val="24"/>
          <w:szCs w:val="24"/>
        </w:rPr>
        <w:t>AE</w:t>
      </w:r>
      <w:r w:rsidRPr="00850850">
        <w:rPr>
          <w:rFonts w:ascii="Trebuchet MS" w:hAnsi="Trebuchet MS"/>
          <w:sz w:val="24"/>
          <w:szCs w:val="24"/>
        </w:rPr>
        <w:t>)</w:t>
      </w:r>
    </w:p>
    <w:p w14:paraId="2F11F635" w14:textId="77777777" w:rsidR="00305518" w:rsidRPr="00850850" w:rsidRDefault="00305518" w:rsidP="00305518">
      <w:pPr>
        <w:numPr>
          <w:ilvl w:val="1"/>
          <w:numId w:val="21"/>
        </w:num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The COREP_OF, COREP_ALM, GSII and AE modules will be applied from the reference date June 2023</w:t>
      </w:r>
    </w:p>
    <w:p w14:paraId="5F1F1469" w14:textId="77777777" w:rsidR="00305518" w:rsidRPr="00850850" w:rsidRDefault="00305518" w:rsidP="00305518">
      <w:pPr>
        <w:numPr>
          <w:ilvl w:val="1"/>
          <w:numId w:val="21"/>
        </w:num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The other modules in COREP will be applied from the reference date December 2022</w:t>
      </w:r>
    </w:p>
    <w:p w14:paraId="465EF316" w14:textId="77777777" w:rsidR="00305518" w:rsidRPr="00601391" w:rsidRDefault="00305518" w:rsidP="00305518">
      <w:pPr>
        <w:numPr>
          <w:ilvl w:val="0"/>
          <w:numId w:val="21"/>
        </w:numPr>
        <w:rPr>
          <w:rFonts w:ascii="Trebuchet MS" w:hAnsi="Trebuchet MS"/>
          <w:b/>
          <w:bCs/>
          <w:sz w:val="24"/>
          <w:szCs w:val="24"/>
        </w:rPr>
      </w:pPr>
      <w:r w:rsidRPr="00601391">
        <w:rPr>
          <w:rFonts w:ascii="Trebuchet MS" w:hAnsi="Trebuchet MS"/>
          <w:b/>
          <w:bCs/>
          <w:sz w:val="24"/>
          <w:szCs w:val="24"/>
        </w:rPr>
        <w:t>Investment Firms:</w:t>
      </w:r>
    </w:p>
    <w:p w14:paraId="43A05EE5" w14:textId="77777777" w:rsidR="00305518" w:rsidRPr="00601391" w:rsidRDefault="00305518" w:rsidP="00305518">
      <w:pPr>
        <w:numPr>
          <w:ilvl w:val="1"/>
          <w:numId w:val="21"/>
        </w:numPr>
        <w:rPr>
          <w:rFonts w:ascii="Trebuchet MS" w:hAnsi="Trebuchet MS"/>
          <w:b/>
          <w:bCs/>
          <w:sz w:val="24"/>
          <w:szCs w:val="24"/>
        </w:rPr>
      </w:pPr>
      <w:r w:rsidRPr="00601391">
        <w:rPr>
          <w:rFonts w:ascii="Trebuchet MS" w:hAnsi="Trebuchet MS"/>
          <w:b/>
          <w:bCs/>
          <w:sz w:val="24"/>
          <w:szCs w:val="24"/>
        </w:rPr>
        <w:t>The renamed modules </w:t>
      </w:r>
      <w:r w:rsidRPr="00601391">
        <w:rPr>
          <w:rFonts w:ascii="Trebuchet MS" w:hAnsi="Trebuchet MS"/>
          <w:b/>
          <w:bCs/>
          <w:i/>
          <w:iCs/>
          <w:sz w:val="24"/>
          <w:szCs w:val="24"/>
        </w:rPr>
        <w:t>IF_CLASS2, IF_CLASS3, IF_GROUPTEST</w:t>
      </w:r>
      <w:r w:rsidRPr="00601391">
        <w:rPr>
          <w:rFonts w:ascii="Trebuchet MS" w:hAnsi="Trebuchet MS"/>
          <w:b/>
          <w:bCs/>
          <w:sz w:val="24"/>
          <w:szCs w:val="24"/>
        </w:rPr>
        <w:t>, for the reporting in accordance with the ITS on Investment Firms Reporting, will be used from the reference date June 2023</w:t>
      </w:r>
    </w:p>
    <w:p w14:paraId="7A65511A" w14:textId="77777777" w:rsidR="00305518" w:rsidRPr="00850850" w:rsidRDefault="00305518" w:rsidP="00305518">
      <w:pPr>
        <w:numPr>
          <w:ilvl w:val="1"/>
          <w:numId w:val="21"/>
        </w:num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lastRenderedPageBreak/>
        <w:t>Module </w:t>
      </w:r>
      <w:r w:rsidRPr="00850850">
        <w:rPr>
          <w:rFonts w:ascii="Trebuchet MS" w:hAnsi="Trebuchet MS"/>
          <w:i/>
          <w:iCs/>
          <w:sz w:val="24"/>
          <w:szCs w:val="24"/>
        </w:rPr>
        <w:t>THRESHOLD_MONITORING</w:t>
      </w:r>
      <w:r w:rsidRPr="00850850">
        <w:rPr>
          <w:rFonts w:ascii="Trebuchet MS" w:hAnsi="Trebuchet MS"/>
          <w:sz w:val="24"/>
          <w:szCs w:val="24"/>
        </w:rPr>
        <w:t>, stemming from the RTS, will apply once the RTS on threshold monitoring enter into force</w:t>
      </w:r>
    </w:p>
    <w:p w14:paraId="12778E98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</w:t>
      </w:r>
    </w:p>
    <w:p w14:paraId="0FA62215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A kapcsolódó DPM és a teljes taxonómia elérhetők:</w:t>
      </w:r>
    </w:p>
    <w:p w14:paraId="73763054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The technical documents available for download include the following:</w:t>
      </w:r>
    </w:p>
    <w:p w14:paraId="283BE0AF" w14:textId="77777777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1. Consolidated version of the reporting requirements (Unofficial text and meant purely as a documentation tool – legal acts are published in the Official Journal of the European Union)</w:t>
      </w:r>
    </w:p>
    <w:p w14:paraId="1C275299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a. </w:t>
      </w:r>
      <w:hyperlink r:id="rId12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ITS on supervisory reporting</w:t>
        </w:r>
      </w:hyperlink>
      <w:r w:rsidRPr="00850850">
        <w:rPr>
          <w:rFonts w:ascii="Trebuchet MS" w:hAnsi="Trebuchet MS"/>
          <w:sz w:val="24"/>
          <w:szCs w:val="24"/>
        </w:rPr>
        <w:t> [ZIP, 1481KB]</w:t>
      </w:r>
    </w:p>
    <w:p w14:paraId="2B9873D3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b. </w:t>
      </w:r>
      <w:hyperlink r:id="rId13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Guidelines on funding plans</w:t>
        </w:r>
      </w:hyperlink>
      <w:r w:rsidRPr="00850850">
        <w:rPr>
          <w:rFonts w:ascii="Trebuchet MS" w:hAnsi="Trebuchet MS"/>
          <w:sz w:val="24"/>
          <w:szCs w:val="24"/>
        </w:rPr>
        <w:t> [ZIP, 349KB]</w:t>
      </w:r>
    </w:p>
    <w:p w14:paraId="12A040FE" w14:textId="77777777" w:rsidR="00305518" w:rsidRPr="00850850" w:rsidRDefault="00305518" w:rsidP="0017396B">
      <w:pPr>
        <w:ind w:left="2127"/>
        <w:rPr>
          <w:rFonts w:ascii="Trebuchet MS" w:hAnsi="Trebuchet MS"/>
          <w:sz w:val="24"/>
          <w:szCs w:val="24"/>
        </w:rPr>
      </w:pPr>
      <w:r w:rsidRPr="002629AC">
        <w:rPr>
          <w:rFonts w:ascii="Trebuchet MS" w:hAnsi="Trebuchet MS"/>
          <w:sz w:val="24"/>
          <w:szCs w:val="24"/>
        </w:rPr>
        <w:t>I.</w:t>
      </w:r>
      <w:hyperlink r:id="rId14" w:history="1">
        <w:r w:rsidRPr="002629AC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Reporting templates in other EU languages</w:t>
        </w:r>
      </w:hyperlink>
      <w:r w:rsidRPr="00850850">
        <w:rPr>
          <w:rFonts w:ascii="Trebuchet MS" w:hAnsi="Trebuchet MS"/>
          <w:sz w:val="24"/>
          <w:szCs w:val="24"/>
        </w:rPr>
        <w:t> </w:t>
      </w:r>
    </w:p>
    <w:p w14:paraId="28EA13DC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c. </w:t>
      </w:r>
      <w:hyperlink r:id="rId15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ITS on supervisory benchmarking of internal models</w:t>
        </w:r>
      </w:hyperlink>
      <w:r w:rsidRPr="00850850">
        <w:rPr>
          <w:rFonts w:ascii="Trebuchet MS" w:hAnsi="Trebuchet MS"/>
          <w:sz w:val="24"/>
          <w:szCs w:val="24"/>
        </w:rPr>
        <w:t> [ZIP, 4734KB] </w:t>
      </w:r>
    </w:p>
    <w:p w14:paraId="3708B29E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d. </w:t>
      </w:r>
      <w:hyperlink r:id="rId16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ITS on resolution reporting</w:t>
        </w:r>
      </w:hyperlink>
      <w:r w:rsidRPr="00850850">
        <w:rPr>
          <w:rFonts w:ascii="Trebuchet MS" w:hAnsi="Trebuchet MS"/>
          <w:sz w:val="24"/>
          <w:szCs w:val="24"/>
        </w:rPr>
        <w:t> [ZIP, 257KB]</w:t>
      </w:r>
    </w:p>
    <w:p w14:paraId="63B92D1D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e. </w:t>
      </w:r>
      <w:hyperlink r:id="rId17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ITS on disclosure and reporting on MREL and TLAC</w:t>
        </w:r>
      </w:hyperlink>
      <w:r w:rsidRPr="00850850">
        <w:rPr>
          <w:rFonts w:ascii="Trebuchet MS" w:hAnsi="Trebuchet MS"/>
          <w:sz w:val="24"/>
          <w:szCs w:val="24"/>
        </w:rPr>
        <w:t> [ZIP, 825KB]</w:t>
      </w:r>
    </w:p>
    <w:p w14:paraId="5204A9F2" w14:textId="77777777" w:rsidR="00305518" w:rsidRPr="00850850" w:rsidRDefault="00305518" w:rsidP="0017396B">
      <w:pPr>
        <w:ind w:left="2127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I.</w:t>
      </w:r>
      <w:hyperlink r:id="rId18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Reporting templates in other EU languages</w:t>
        </w:r>
      </w:hyperlink>
      <w:r w:rsidRPr="00850850">
        <w:rPr>
          <w:rFonts w:ascii="Trebuchet MS" w:hAnsi="Trebuchet MS"/>
          <w:sz w:val="24"/>
          <w:szCs w:val="24"/>
        </w:rPr>
        <w:t> [ZIP, 1800KB]</w:t>
      </w:r>
    </w:p>
    <w:p w14:paraId="17F87EC9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f. </w:t>
      </w:r>
      <w:hyperlink r:id="rId19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ITS on specific reporting requirements for market risk</w:t>
        </w:r>
      </w:hyperlink>
      <w:r w:rsidRPr="00850850">
        <w:rPr>
          <w:rFonts w:ascii="Trebuchet MS" w:hAnsi="Trebuchet MS"/>
          <w:sz w:val="24"/>
          <w:szCs w:val="24"/>
        </w:rPr>
        <w:t> [ZIP, 878KB]</w:t>
      </w:r>
    </w:p>
    <w:p w14:paraId="33249EA4" w14:textId="77777777" w:rsidR="00305518" w:rsidRPr="00850850" w:rsidRDefault="00305518" w:rsidP="0017396B">
      <w:pPr>
        <w:ind w:left="2127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I.</w:t>
      </w:r>
      <w:hyperlink r:id="rId20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Reporting templates in other EU languages</w:t>
        </w:r>
      </w:hyperlink>
      <w:r w:rsidRPr="00850850">
        <w:rPr>
          <w:rFonts w:ascii="Trebuchet MS" w:hAnsi="Trebuchet MS"/>
          <w:sz w:val="24"/>
          <w:szCs w:val="24"/>
        </w:rPr>
        <w:t> [ZIP, 20892KB]</w:t>
      </w:r>
    </w:p>
    <w:p w14:paraId="1EE6C735" w14:textId="77777777" w:rsidR="00305518" w:rsidRPr="00601391" w:rsidRDefault="00305518" w:rsidP="00850850">
      <w:pPr>
        <w:ind w:left="1418"/>
        <w:rPr>
          <w:rFonts w:ascii="Trebuchet MS" w:hAnsi="Trebuchet MS"/>
          <w:b/>
          <w:bCs/>
          <w:sz w:val="24"/>
          <w:szCs w:val="24"/>
        </w:rPr>
      </w:pPr>
      <w:r w:rsidRPr="00601391">
        <w:rPr>
          <w:rFonts w:ascii="Trebuchet MS" w:hAnsi="Trebuchet MS"/>
          <w:b/>
          <w:bCs/>
          <w:sz w:val="24"/>
          <w:szCs w:val="24"/>
        </w:rPr>
        <w:t>g. </w:t>
      </w:r>
      <w:hyperlink r:id="rId21" w:history="1">
        <w:r w:rsidRPr="00601391">
          <w:rPr>
            <w:rStyle w:val="Hiperhivatkozs"/>
            <w:rFonts w:ascii="Trebuchet MS" w:hAnsi="Trebuchet MS"/>
            <w:b/>
            <w:bCs/>
            <w:sz w:val="24"/>
            <w:szCs w:val="24"/>
            <w:vertAlign w:val="baseline"/>
          </w:rPr>
          <w:t>ITS on Reporting and disclosures for investment firms</w:t>
        </w:r>
      </w:hyperlink>
      <w:r w:rsidRPr="00601391">
        <w:rPr>
          <w:rFonts w:ascii="Trebuchet MS" w:hAnsi="Trebuchet MS"/>
          <w:b/>
          <w:bCs/>
          <w:sz w:val="24"/>
          <w:szCs w:val="24"/>
        </w:rPr>
        <w:t> [ZIP, 435KB]</w:t>
      </w:r>
    </w:p>
    <w:p w14:paraId="1674F6A0" w14:textId="19997051" w:rsidR="00305518" w:rsidRPr="00601391" w:rsidRDefault="0017396B" w:rsidP="0017396B">
      <w:pPr>
        <w:ind w:left="2127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I</w:t>
      </w:r>
      <w:r w:rsidR="00305518" w:rsidRPr="00601391">
        <w:rPr>
          <w:rFonts w:ascii="Trebuchet MS" w:hAnsi="Trebuchet MS"/>
          <w:b/>
          <w:bCs/>
          <w:sz w:val="24"/>
          <w:szCs w:val="24"/>
        </w:rPr>
        <w:t>. </w:t>
      </w:r>
      <w:hyperlink r:id="rId22" w:history="1">
        <w:r w:rsidR="00305518" w:rsidRPr="00601391">
          <w:rPr>
            <w:rStyle w:val="Hiperhivatkozs"/>
            <w:rFonts w:ascii="Trebuchet MS" w:hAnsi="Trebuchet MS"/>
            <w:b/>
            <w:bCs/>
            <w:sz w:val="24"/>
            <w:szCs w:val="24"/>
            <w:vertAlign w:val="baseline"/>
          </w:rPr>
          <w:t>Reporting templates in other EU languages</w:t>
        </w:r>
      </w:hyperlink>
      <w:r w:rsidR="00305518" w:rsidRPr="00601391">
        <w:rPr>
          <w:rFonts w:ascii="Trebuchet MS" w:hAnsi="Trebuchet MS"/>
          <w:b/>
          <w:bCs/>
          <w:sz w:val="24"/>
          <w:szCs w:val="24"/>
        </w:rPr>
        <w:t> [ZIP, 110 KB]</w:t>
      </w:r>
    </w:p>
    <w:p w14:paraId="20261EB6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h. </w:t>
      </w:r>
      <w:hyperlink r:id="rId23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RTS on threshold monitoring</w:t>
        </w:r>
      </w:hyperlink>
      <w:r w:rsidRPr="00850850">
        <w:rPr>
          <w:rFonts w:ascii="Trebuchet MS" w:hAnsi="Trebuchet MS"/>
          <w:sz w:val="24"/>
          <w:szCs w:val="24"/>
        </w:rPr>
        <w:t> [ZIP, 128KB]</w:t>
      </w:r>
    </w:p>
    <w:p w14:paraId="7174E3A3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</w:t>
      </w:r>
    </w:p>
    <w:p w14:paraId="2C4DD4E9" w14:textId="77777777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2. </w:t>
      </w:r>
      <w:hyperlink r:id="rId24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Validation rules</w:t>
        </w:r>
      </w:hyperlink>
      <w:r w:rsidRPr="00850850">
        <w:rPr>
          <w:rFonts w:ascii="Trebuchet MS" w:hAnsi="Trebuchet MS"/>
          <w:sz w:val="24"/>
          <w:szCs w:val="24"/>
        </w:rPr>
        <w:t>  (Uploaded 12 December 2022) [XLSX, 7916KB]</w:t>
      </w:r>
    </w:p>
    <w:p w14:paraId="40EDA950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</w:t>
      </w:r>
    </w:p>
    <w:p w14:paraId="78854484" w14:textId="77777777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3. DPM v3.2.phase 3 (Uploaded 30 September 2022)</w:t>
      </w:r>
    </w:p>
    <w:p w14:paraId="2BA26FB8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 a. </w:t>
      </w:r>
      <w:hyperlink r:id="rId25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DPM database</w:t>
        </w:r>
      </w:hyperlink>
      <w:r w:rsidRPr="00850850">
        <w:rPr>
          <w:rFonts w:ascii="Trebuchet MS" w:hAnsi="Trebuchet MS"/>
          <w:sz w:val="24"/>
          <w:szCs w:val="24"/>
        </w:rPr>
        <w:t> [ZIP, 91084KB]</w:t>
      </w:r>
    </w:p>
    <w:p w14:paraId="11A4B1C0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 b. </w:t>
      </w:r>
      <w:hyperlink r:id="rId26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DPM dictionary</w:t>
        </w:r>
      </w:hyperlink>
      <w:r w:rsidRPr="00850850">
        <w:rPr>
          <w:rFonts w:ascii="Trebuchet MS" w:hAnsi="Trebuchet MS"/>
          <w:sz w:val="24"/>
          <w:szCs w:val="24"/>
        </w:rPr>
        <w:t> [XLSX, 1232KB]</w:t>
      </w:r>
    </w:p>
    <w:p w14:paraId="7643C64C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 c. </w:t>
      </w:r>
      <w:hyperlink r:id="rId27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DPM table layout and data point categorisation</w:t>
        </w:r>
      </w:hyperlink>
      <w:r w:rsidRPr="00850850">
        <w:rPr>
          <w:rFonts w:ascii="Trebuchet MS" w:hAnsi="Trebuchet MS"/>
          <w:sz w:val="24"/>
          <w:szCs w:val="24"/>
        </w:rPr>
        <w:t> [ZIP, 8027KB]</w:t>
      </w:r>
    </w:p>
    <w:p w14:paraId="211B509D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</w:t>
      </w:r>
    </w:p>
    <w:p w14:paraId="2FF06C61" w14:textId="77777777" w:rsidR="00305518" w:rsidRPr="00850850" w:rsidRDefault="00305518" w:rsidP="00850850">
      <w:pPr>
        <w:ind w:left="709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4. EBA XBRL v3.2.phase 3 (Uploaded 30 September 2022)</w:t>
      </w:r>
    </w:p>
    <w:p w14:paraId="357A9ACF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 a. </w:t>
      </w:r>
      <w:hyperlink r:id="rId28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XBRL taxonomy files and supporting documentation</w:t>
        </w:r>
      </w:hyperlink>
      <w:r w:rsidRPr="00850850">
        <w:rPr>
          <w:rFonts w:ascii="Trebuchet MS" w:hAnsi="Trebuchet MS"/>
          <w:sz w:val="24"/>
          <w:szCs w:val="24"/>
        </w:rPr>
        <w:t> [ZIP, 65295KB]</w:t>
      </w:r>
    </w:p>
    <w:p w14:paraId="3B91BB4F" w14:textId="77777777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 b. </w:t>
      </w:r>
      <w:hyperlink r:id="rId29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Taxonomy packages</w:t>
        </w:r>
      </w:hyperlink>
      <w:r w:rsidRPr="00850850">
        <w:rPr>
          <w:rFonts w:ascii="Trebuchet MS" w:hAnsi="Trebuchet MS"/>
          <w:sz w:val="24"/>
          <w:szCs w:val="24"/>
        </w:rPr>
        <w:t>  [ZIP, 20351KB]</w:t>
      </w:r>
    </w:p>
    <w:p w14:paraId="722145FE" w14:textId="43E8333C" w:rsidR="00305518" w:rsidRPr="00850850" w:rsidRDefault="00305518" w:rsidP="00850850">
      <w:pPr>
        <w:ind w:left="1418"/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lastRenderedPageBreak/>
        <w:t>  c. </w:t>
      </w:r>
      <w:hyperlink r:id="rId30" w:history="1">
        <w:r w:rsidRPr="00850850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Sample files</w:t>
        </w:r>
      </w:hyperlink>
      <w:r w:rsidRPr="00850850">
        <w:rPr>
          <w:rFonts w:ascii="Trebuchet MS" w:hAnsi="Trebuchet MS"/>
          <w:sz w:val="24"/>
          <w:szCs w:val="24"/>
        </w:rPr>
        <w:t xml:space="preserve">  [ZIP, 2033KB] </w:t>
      </w:r>
    </w:p>
    <w:p w14:paraId="48634D1D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 </w:t>
      </w:r>
    </w:p>
    <w:p w14:paraId="24923784" w14:textId="0CF0D6AF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 xml:space="preserve">Budapest, 2023. </w:t>
      </w:r>
      <w:r w:rsidR="00850850">
        <w:rPr>
          <w:rFonts w:ascii="Trebuchet MS" w:hAnsi="Trebuchet MS"/>
          <w:sz w:val="24"/>
          <w:szCs w:val="24"/>
        </w:rPr>
        <w:t>február</w:t>
      </w:r>
      <w:r w:rsidR="00BE574D">
        <w:rPr>
          <w:rFonts w:ascii="Trebuchet MS" w:hAnsi="Trebuchet MS"/>
          <w:sz w:val="24"/>
          <w:szCs w:val="24"/>
        </w:rPr>
        <w:t xml:space="preserve"> 3</w:t>
      </w:r>
    </w:p>
    <w:p w14:paraId="58C34867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Felügyeleti statisztikai főosztály</w:t>
      </w:r>
    </w:p>
    <w:p w14:paraId="195517C3" w14:textId="77777777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Statisztikai igazgatóság</w:t>
      </w:r>
    </w:p>
    <w:p w14:paraId="18687E99" w14:textId="3D163DFE" w:rsidR="00305518" w:rsidRPr="00850850" w:rsidRDefault="00305518" w:rsidP="00305518">
      <w:pPr>
        <w:rPr>
          <w:rFonts w:ascii="Trebuchet MS" w:hAnsi="Trebuchet MS"/>
          <w:sz w:val="24"/>
          <w:szCs w:val="24"/>
        </w:rPr>
      </w:pPr>
      <w:r w:rsidRPr="00850850">
        <w:rPr>
          <w:rFonts w:ascii="Trebuchet MS" w:hAnsi="Trebuchet MS"/>
          <w:sz w:val="24"/>
          <w:szCs w:val="24"/>
        </w:rPr>
        <w:t>MNB</w:t>
      </w:r>
    </w:p>
    <w:p w14:paraId="395D7749" w14:textId="77777777" w:rsidR="00305518" w:rsidRPr="00850850" w:rsidRDefault="00305518" w:rsidP="00B944EB">
      <w:pPr>
        <w:rPr>
          <w:rFonts w:ascii="Trebuchet MS" w:hAnsi="Trebuchet MS"/>
          <w:sz w:val="24"/>
          <w:szCs w:val="24"/>
        </w:rPr>
      </w:pPr>
    </w:p>
    <w:sectPr w:rsidR="00305518" w:rsidRPr="00850850" w:rsidSect="00CD6E8D">
      <w:headerReference w:type="default" r:id="rId31"/>
      <w:footerReference w:type="default" r:id="rId3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8E63" w14:textId="77777777" w:rsidR="00305518" w:rsidRDefault="00305518">
      <w:r>
        <w:separator/>
      </w:r>
    </w:p>
  </w:endnote>
  <w:endnote w:type="continuationSeparator" w:id="0">
    <w:p w14:paraId="511E2F58" w14:textId="77777777" w:rsidR="00305518" w:rsidRDefault="003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E5B9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412B" w14:textId="77777777" w:rsidR="00305518" w:rsidRDefault="00305518">
      <w:r>
        <w:separator/>
      </w:r>
    </w:p>
  </w:footnote>
  <w:footnote w:type="continuationSeparator" w:id="0">
    <w:p w14:paraId="73581026" w14:textId="77777777" w:rsidR="00305518" w:rsidRDefault="003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02ED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DB5"/>
    <w:multiLevelType w:val="multilevel"/>
    <w:tmpl w:val="2AF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56B2"/>
    <w:multiLevelType w:val="multilevel"/>
    <w:tmpl w:val="403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6F082A"/>
    <w:multiLevelType w:val="multilevel"/>
    <w:tmpl w:val="B3A2F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06492">
    <w:abstractNumId w:val="5"/>
  </w:num>
  <w:num w:numId="2" w16cid:durableId="759956237">
    <w:abstractNumId w:val="3"/>
  </w:num>
  <w:num w:numId="3" w16cid:durableId="348794286">
    <w:abstractNumId w:val="6"/>
  </w:num>
  <w:num w:numId="4" w16cid:durableId="395982358">
    <w:abstractNumId w:val="1"/>
  </w:num>
  <w:num w:numId="5" w16cid:durableId="1959290921">
    <w:abstractNumId w:val="2"/>
  </w:num>
  <w:num w:numId="6" w16cid:durableId="1155684559">
    <w:abstractNumId w:val="9"/>
  </w:num>
  <w:num w:numId="7" w16cid:durableId="876547057">
    <w:abstractNumId w:val="4"/>
  </w:num>
  <w:num w:numId="8" w16cid:durableId="2129932838">
    <w:abstractNumId w:val="11"/>
  </w:num>
  <w:num w:numId="9" w16cid:durableId="181479049">
    <w:abstractNumId w:val="9"/>
    <w:lvlOverride w:ilvl="0">
      <w:startOverride w:val="1"/>
    </w:lvlOverride>
  </w:num>
  <w:num w:numId="10" w16cid:durableId="733309260">
    <w:abstractNumId w:val="13"/>
  </w:num>
  <w:num w:numId="11" w16cid:durableId="820848737">
    <w:abstractNumId w:val="10"/>
  </w:num>
  <w:num w:numId="12" w16cid:durableId="1023672396">
    <w:abstractNumId w:val="7"/>
  </w:num>
  <w:num w:numId="13" w16cid:durableId="1940481399">
    <w:abstractNumId w:val="6"/>
  </w:num>
  <w:num w:numId="14" w16cid:durableId="81069453">
    <w:abstractNumId w:val="6"/>
  </w:num>
  <w:num w:numId="15" w16cid:durableId="733167478">
    <w:abstractNumId w:val="6"/>
  </w:num>
  <w:num w:numId="16" w16cid:durableId="24062023">
    <w:abstractNumId w:val="6"/>
  </w:num>
  <w:num w:numId="17" w16cid:durableId="1120493289">
    <w:abstractNumId w:val="6"/>
  </w:num>
  <w:num w:numId="18" w16cid:durableId="174270381">
    <w:abstractNumId w:val="6"/>
  </w:num>
  <w:num w:numId="19" w16cid:durableId="2134981550">
    <w:abstractNumId w:val="12"/>
  </w:num>
  <w:num w:numId="20" w16cid:durableId="129787241">
    <w:abstractNumId w:val="8"/>
  </w:num>
  <w:num w:numId="21" w16cid:durableId="98916509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1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B12"/>
    <w:rsid w:val="00152DBF"/>
    <w:rsid w:val="00166F6C"/>
    <w:rsid w:val="0017396B"/>
    <w:rsid w:val="001747F6"/>
    <w:rsid w:val="0018359E"/>
    <w:rsid w:val="0018619A"/>
    <w:rsid w:val="001870A7"/>
    <w:rsid w:val="00197350"/>
    <w:rsid w:val="001A2BAA"/>
    <w:rsid w:val="001A7D3C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29AC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5518"/>
    <w:rsid w:val="00313246"/>
    <w:rsid w:val="003231ED"/>
    <w:rsid w:val="00327A74"/>
    <w:rsid w:val="0033124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15F5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1391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0850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23B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74D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20E4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C6B40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18CD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2CAE67"/>
  <w15:chartTrackingRefBased/>
  <w15:docId w15:val="{DF55C0F4-E2D6-4676-8318-2F6B9B4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574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BE574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BE574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BE574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BE574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BE574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BE574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574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574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574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BE574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E574D"/>
  </w:style>
  <w:style w:type="table" w:customStyle="1" w:styleId="tblzat-mtrix">
    <w:name w:val="táblázat - mátrix"/>
    <w:basedOn w:val="Normltblzat"/>
    <w:uiPriority w:val="2"/>
    <w:qFormat/>
    <w:rsid w:val="00BE5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E5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E574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E574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E5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BE574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574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E574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574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E5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574D"/>
  </w:style>
  <w:style w:type="paragraph" w:styleId="llb">
    <w:name w:val="footer"/>
    <w:basedOn w:val="Norml"/>
    <w:link w:val="llbChar"/>
    <w:uiPriority w:val="99"/>
    <w:semiHidden/>
    <w:unhideWhenUsed/>
    <w:rsid w:val="00BE5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E574D"/>
  </w:style>
  <w:style w:type="paragraph" w:customStyle="1" w:styleId="Szmozs">
    <w:name w:val="Számozás"/>
    <w:basedOn w:val="Norml"/>
    <w:uiPriority w:val="4"/>
    <w:qFormat/>
    <w:rsid w:val="00BE574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E574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BE574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BE574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BE574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BE574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BE574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BE574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E574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E574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574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574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574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BE574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E574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E574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E574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BE574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E574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E574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BE574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E574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E574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E574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E574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BE574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E574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E574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E574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E574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BE574D"/>
  </w:style>
  <w:style w:type="character" w:styleId="Finomhivatkozs">
    <w:name w:val="Subtle Reference"/>
    <w:basedOn w:val="Bekezdsalapbettpusa"/>
    <w:uiPriority w:val="31"/>
    <w:rsid w:val="00BE574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E574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E574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E574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E574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E574D"/>
  </w:style>
  <w:style w:type="paragraph" w:styleId="Alcm">
    <w:name w:val="Subtitle"/>
    <w:basedOn w:val="Norml"/>
    <w:next w:val="Norml"/>
    <w:link w:val="AlcmChar"/>
    <w:uiPriority w:val="11"/>
    <w:rsid w:val="00BE574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E574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E574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E574D"/>
  </w:style>
  <w:style w:type="paragraph" w:customStyle="1" w:styleId="Erskiemels1">
    <w:name w:val="Erős kiemelés1"/>
    <w:basedOn w:val="Norml"/>
    <w:link w:val="ErskiemelsChar"/>
    <w:uiPriority w:val="5"/>
    <w:qFormat/>
    <w:rsid w:val="00BE574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BE574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BE574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E574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E574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E574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E574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E574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E574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E574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BE574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E574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E574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E574D"/>
  </w:style>
  <w:style w:type="character" w:styleId="Kiemels2">
    <w:name w:val="Strong"/>
    <w:basedOn w:val="Bekezdsalapbettpusa"/>
    <w:uiPriority w:val="22"/>
    <w:rsid w:val="00BE574D"/>
    <w:rPr>
      <w:b/>
      <w:bCs/>
    </w:rPr>
  </w:style>
  <w:style w:type="character" w:styleId="Kiemels">
    <w:name w:val="Emphasis"/>
    <w:basedOn w:val="Bekezdsalapbettpusa"/>
    <w:uiPriority w:val="6"/>
    <w:qFormat/>
    <w:rsid w:val="00BE574D"/>
    <w:rPr>
      <w:i/>
      <w:iCs/>
    </w:rPr>
  </w:style>
  <w:style w:type="paragraph" w:styleId="Nincstrkz">
    <w:name w:val="No Spacing"/>
    <w:basedOn w:val="Norml"/>
    <w:uiPriority w:val="1"/>
    <w:rsid w:val="00BE574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E574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E574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E574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574D"/>
    <w:rPr>
      <w:b/>
      <w:i/>
    </w:rPr>
  </w:style>
  <w:style w:type="character" w:styleId="Erskiemels">
    <w:name w:val="Intense Emphasis"/>
    <w:basedOn w:val="Bekezdsalapbettpusa"/>
    <w:uiPriority w:val="21"/>
    <w:rsid w:val="00BE574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E574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E574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BE574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BE574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BE574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BE574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BE574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BE574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BE574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BE574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BE574D"/>
  </w:style>
  <w:style w:type="paragraph" w:customStyle="1" w:styleId="ENNormalBox">
    <w:name w:val="EN_Normal_Box"/>
    <w:basedOn w:val="Norml"/>
    <w:uiPriority w:val="1"/>
    <w:qFormat/>
    <w:rsid w:val="00BE574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BE574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BE574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BE574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BE574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BE574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BE574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BE574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BE574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BE574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BE574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BE574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BE574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BE574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BE574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BE574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BE574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BE574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BE574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BE574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BE574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BE574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BE574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BE574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BE574D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30551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A7D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A7D3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1A7D3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7D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7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europa.eu/risk-analysis-and-data/reporting-frameworks/reporting-framework-3.2" TargetMode="External"/><Relationship Id="rId13" Type="http://schemas.openxmlformats.org/officeDocument/2006/relationships/hyperlink" Target="https://www.eba.europa.eu/sites/default/documents/files/document_library/Risk%20Analysis%20and%20Data/Reporting%20Frameworks/Reporting%20Framework%202.10/882083/Guidelines%20on%20funding%20plans.zip" TargetMode="External"/><Relationship Id="rId18" Type="http://schemas.openxmlformats.org/officeDocument/2006/relationships/hyperlink" Target="https://www.eba.europa.eu/sites/default/documents/files/document_library/Risk%20Analysis%20and%20Data/Reporting%20Frameworks/Reporting%20framework%203.0/1014875/ITS%20on%20MREL-TLAC%20-%20as%20adopted%20-%20other%20EU%20languages.zip" TargetMode="External"/><Relationship Id="rId26" Type="http://schemas.openxmlformats.org/officeDocument/2006/relationships/hyperlink" Target="https://www.eba.europa.eu/sites/default/documents/files/document_library/Risk%20Analysis%20and%20Data/Reporting%20Frameworks/Reporting%20framework%203.2/Phase%203/1039940/DPM%20Dictionary%203.2.phase3_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ba.europa.eu/sites/default/documents/files/document_library/Risk%20Analysis%20and%20Data/Reporting%20Frameworks/Reporting%20framework%203.1/1001132/Annexes%20-%20ITS%20on%20supervisory%20reporting%20and%20disclosures.zi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ba.europa.eu/sites/default/documents/files/document_library/Risk%20Analysis%20and%20Data/Reporting%20Frameworks/Reporting%20framework%203.2/1027954/ITS%20on%20supervisory%20reporting.zip" TargetMode="External"/><Relationship Id="rId17" Type="http://schemas.openxmlformats.org/officeDocument/2006/relationships/hyperlink" Target="https://www.eba.europa.eu/sites/default/documents/files/document_library/Risk%20Analysis%20and%20Data/Reporting%20Frameworks/Reporting%20framework%203.0/1014876/ITS%20on%20MREL-TLAC%20-%20as%20adopted.zip" TargetMode="External"/><Relationship Id="rId25" Type="http://schemas.openxmlformats.org/officeDocument/2006/relationships/hyperlink" Target="https://www.eba.europa.eu/sites/default/documents/files/document_library/Risk%20Analysis%20and%20Data/Reporting%20Frameworks/Reporting%20framework%203.2/Phase%203/1039939/DPM%20Database%203.2.phase3_.zi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ba.europa.eu/sites/default/documents/files/document_library/Risk%20Analysis%20and%20Data/Reporting%20Frameworks/Reporting%20framework%203.2/1027955/ITS%20on%20resolution%20reporting.zip" TargetMode="External"/><Relationship Id="rId20" Type="http://schemas.openxmlformats.org/officeDocument/2006/relationships/hyperlink" Target="https://www.eba.europa.eu/sites/default/documents/files/document_library/Risk%20Analysis%20and%20Data/Reporting%20Frameworks/Reporting%20framework%203.0/971991/ITSonFRTBreporting_OtherLanguages.zip" TargetMode="External"/><Relationship Id="rId29" Type="http://schemas.openxmlformats.org/officeDocument/2006/relationships/hyperlink" Target="https://www.eba.europa.eu/sites/default/documents/files/document_library/Risk%20Analysis%20and%20Data/Reporting%20Frameworks/Reporting%20framework%203.2/Phase%203/1050698/Taxonomy%20Package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a.europa.eu/eu/rs" TargetMode="External"/><Relationship Id="rId24" Type="http://schemas.openxmlformats.org/officeDocument/2006/relationships/hyperlink" Target="https://www.eba.europa.eu/sites/default/documents/files/document_library/Risk%20Analysis%20and%20Data/Reporting%20Frameworks/Validation%20Rules%20Archive/1045331/EBA%20Validation%20Rules%202022-12-12.xls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ba.europa.eu/sites/default/documents/files/document_library/Risk%20Analysis%20and%20Data/Reporting%20Frameworks/Reporting%20framework%203.2/1034193/ITS%202023%20-%20complete.zip" TargetMode="External"/><Relationship Id="rId23" Type="http://schemas.openxmlformats.org/officeDocument/2006/relationships/hyperlink" Target="https://www.eba.europa.eu/sites/default/documents/files/document_library/Risk%20Analysis%20and%20Data/Reporting%20Frameworks/Reporting%20framework%203.2/1027956/RTS%20on%20threshold%20monitoring.zip" TargetMode="External"/><Relationship Id="rId28" Type="http://schemas.openxmlformats.org/officeDocument/2006/relationships/hyperlink" Target="https://www.eba.europa.eu/sites/default/documents/files/document_library/Risk%20Analysis%20and%20Data/Reporting%20Frameworks/Reporting%20framework%203.2/Phase%203/1039942/Full%20taxonomy%20and%20supporting%20documents.zip" TargetMode="External"/><Relationship Id="rId10" Type="http://schemas.openxmlformats.org/officeDocument/2006/relationships/hyperlink" Target="https://eurofiling.info/eu/rs" TargetMode="External"/><Relationship Id="rId19" Type="http://schemas.openxmlformats.org/officeDocument/2006/relationships/hyperlink" Target="https://www.eba.europa.eu/sites/default/documents/files/document_library/Risk%20Analysis%20and%20Data/Reporting%20Frameworks/Reporting%20framework%203.0/971990/ITSonFRTBreporting_EN.zi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ba.europa.eu/sites/default/documents/files/document_library/Risk%20Analysis%20and%20Data/Reporting%20Frameworks/Reporting%20framework%203.2/1037516/EBA%20Filing%20Rules%20v5.2.pdf" TargetMode="External"/><Relationship Id="rId14" Type="http://schemas.openxmlformats.org/officeDocument/2006/relationships/hyperlink" Target="https://www.eba.europa.eu/regulation-and-policy/supervisory-reporting/updated-guidelines-on-harmonised-definitions-and-templates-for-funding-plans-of-credit-institutions" TargetMode="External"/><Relationship Id="rId22" Type="http://schemas.openxmlformats.org/officeDocument/2006/relationships/hyperlink" Target="https://www.eba.europa.eu/sites/default/documents/files/document_library/Risk%20Analysis%20and%20Data/Reporting%20Frameworks/Reporting%20framework%203.1/1026088/ITS%20on%20IF%20reporting%20-%20all%20languages.zip" TargetMode="External"/><Relationship Id="rId27" Type="http://schemas.openxmlformats.org/officeDocument/2006/relationships/hyperlink" Target="https://www.eba.europa.eu/sites/default/documents/files/document_library/Risk%20Analysis%20and%20Data/Reporting%20Frameworks/Reporting%20framework%203.2/Phase%203/1039941/3.2%20table%20layouts.zip" TargetMode="External"/><Relationship Id="rId30" Type="http://schemas.openxmlformats.org/officeDocument/2006/relationships/hyperlink" Target="https://www.eba.europa.eu/sites/default/documents/files/document_library/Risk%20Analysis%20and%20Data/Reporting%20Frameworks/Reporting%20framework%203.2/Phase%203/1039944/Sample%20instance%20documents.zip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456</Words>
  <Characters>7406</Characters>
  <Application>Microsoft Office Word</Application>
  <DocSecurity>0</DocSecurity>
  <Lines>61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Tamás</dc:creator>
  <cp:keywords/>
  <dc:description/>
  <cp:lastModifiedBy>Vámosi Anikó</cp:lastModifiedBy>
  <cp:revision>11</cp:revision>
  <cp:lastPrinted>1900-12-31T23:00:00Z</cp:lastPrinted>
  <dcterms:created xsi:type="dcterms:W3CDTF">2023-01-19T09:57:00Z</dcterms:created>
  <dcterms:modified xsi:type="dcterms:W3CDTF">2023-02-01T13:59:00Z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2028-01-19T09:57:58Z</vt:filetime>
  </property>
  <property fmtid="{D5CDD505-2E9C-101B-9397-08002B2CF9AE}" pid="3" name="Érvényességet beállító">
    <vt:lpwstr>molnart</vt:lpwstr>
  </property>
  <property fmtid="{D5CDD505-2E9C-101B-9397-08002B2CF9AE}" pid="4" name="Érvényességi idő első beállítása">
    <vt:filetime>2023-01-19T09:57:58Z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vamosia@mnb.hu</vt:lpwstr>
  </property>
  <property fmtid="{D5CDD505-2E9C-101B-9397-08002B2CF9AE}" pid="8" name="MSIP_Label_b0d11092-50c9-4e74-84b5-b1af078dc3d0_SetDate">
    <vt:lpwstr>2023-01-30T16:50:52.1017032Z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40e6fffc-ac79-4c0d-bb01-450a3fce3f11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