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1243C" w14:textId="03F9D30D" w:rsidR="0016513F" w:rsidRPr="004D59B6" w:rsidRDefault="00136D35" w:rsidP="001050FA">
      <w:pPr>
        <w:tabs>
          <w:tab w:val="num" w:pos="720"/>
        </w:tabs>
        <w:ind w:left="720" w:right="-3020" w:hanging="360"/>
        <w:jc w:val="center"/>
        <w:textAlignment w:val="center"/>
        <w:rPr>
          <w:b/>
          <w:bCs/>
          <w:sz w:val="32"/>
          <w:szCs w:val="36"/>
        </w:rPr>
      </w:pPr>
      <w:bookmarkStart w:id="0" w:name="_Hlk145489734"/>
      <w:r>
        <w:rPr>
          <w:b/>
          <w:bCs/>
          <w:sz w:val="32"/>
          <w:szCs w:val="36"/>
        </w:rPr>
        <w:t xml:space="preserve">Az MNB </w:t>
      </w:r>
      <w:proofErr w:type="spellStart"/>
      <w:r>
        <w:rPr>
          <w:b/>
          <w:bCs/>
          <w:sz w:val="32"/>
          <w:szCs w:val="36"/>
        </w:rPr>
        <w:t>elvárásai</w:t>
      </w:r>
      <w:proofErr w:type="spellEnd"/>
      <w:r>
        <w:rPr>
          <w:b/>
          <w:bCs/>
          <w:sz w:val="32"/>
          <w:szCs w:val="36"/>
        </w:rPr>
        <w:t xml:space="preserve"> a</w:t>
      </w:r>
      <w:r>
        <w:rPr>
          <w:b/>
          <w:bCs/>
          <w:sz w:val="32"/>
          <w:szCs w:val="36"/>
          <w:lang w:val="hu-HU"/>
        </w:rPr>
        <w:t xml:space="preserve"> </w:t>
      </w:r>
      <w:r w:rsidR="00D908F1">
        <w:rPr>
          <w:b/>
          <w:bCs/>
          <w:sz w:val="32"/>
          <w:szCs w:val="36"/>
          <w:lang w:val="hu-HU"/>
        </w:rPr>
        <w:t>szanálási</w:t>
      </w:r>
      <w:r>
        <w:rPr>
          <w:b/>
          <w:bCs/>
          <w:sz w:val="32"/>
          <w:szCs w:val="36"/>
          <w:lang w:val="hu-HU"/>
        </w:rPr>
        <w:t xml:space="preserve"> értékelések támogatására vonatkozó </w:t>
      </w:r>
      <w:r w:rsidR="00BB26E1">
        <w:rPr>
          <w:b/>
          <w:bCs/>
          <w:sz w:val="32"/>
          <w:szCs w:val="36"/>
          <w:lang w:val="hu-HU"/>
        </w:rPr>
        <w:t xml:space="preserve">adatszolgáltatási </w:t>
      </w:r>
      <w:r w:rsidR="00093614">
        <w:rPr>
          <w:b/>
          <w:bCs/>
          <w:sz w:val="32"/>
          <w:szCs w:val="36"/>
          <w:lang w:val="hu-HU"/>
        </w:rPr>
        <w:t>képesség</w:t>
      </w:r>
      <w:r>
        <w:rPr>
          <w:b/>
          <w:bCs/>
          <w:sz w:val="32"/>
          <w:szCs w:val="36"/>
          <w:lang w:val="hu-HU"/>
        </w:rPr>
        <w:t>ekkel kapcsolatban</w:t>
      </w:r>
      <w:r w:rsidR="0068781F" w:rsidRPr="00130F84">
        <w:rPr>
          <w:b/>
          <w:bCs/>
          <w:sz w:val="32"/>
          <w:szCs w:val="36"/>
          <w:lang w:val="hu-HU"/>
        </w:rPr>
        <w:t xml:space="preserve"> </w:t>
      </w:r>
      <w:bookmarkEnd w:id="0"/>
    </w:p>
    <w:p w14:paraId="2757E9C4" w14:textId="77777777" w:rsidR="004D59B6" w:rsidRDefault="004D59B6" w:rsidP="0016513F">
      <w:pPr>
        <w:tabs>
          <w:tab w:val="num" w:pos="720"/>
        </w:tabs>
        <w:ind w:left="720" w:right="-3139" w:hanging="360"/>
        <w:jc w:val="center"/>
        <w:textAlignment w:val="center"/>
        <w:rPr>
          <w:b/>
          <w:bCs/>
          <w:color w:val="FF0000"/>
          <w:sz w:val="24"/>
          <w:szCs w:val="28"/>
        </w:rPr>
      </w:pPr>
    </w:p>
    <w:p w14:paraId="72AFC11E" w14:textId="77777777" w:rsidR="001622CC" w:rsidRDefault="001622CC" w:rsidP="00A030EA">
      <w:pPr>
        <w:tabs>
          <w:tab w:val="num" w:pos="720"/>
        </w:tabs>
        <w:ind w:left="720" w:right="-3139" w:hanging="360"/>
        <w:jc w:val="center"/>
        <w:textAlignment w:val="center"/>
        <w:rPr>
          <w:b/>
          <w:bCs/>
          <w:sz w:val="24"/>
          <w:szCs w:val="28"/>
        </w:rPr>
      </w:pPr>
    </w:p>
    <w:p w14:paraId="5B908F96" w14:textId="77777777" w:rsidR="00B94F91" w:rsidRDefault="00B94F91" w:rsidP="00A030EA">
      <w:pPr>
        <w:tabs>
          <w:tab w:val="num" w:pos="720"/>
        </w:tabs>
        <w:ind w:left="720" w:right="-3139" w:hanging="360"/>
        <w:jc w:val="center"/>
        <w:textAlignment w:val="center"/>
        <w:rPr>
          <w:b/>
          <w:bCs/>
          <w:sz w:val="24"/>
          <w:szCs w:val="28"/>
        </w:rPr>
      </w:pPr>
    </w:p>
    <w:p w14:paraId="53E158B7" w14:textId="77777777" w:rsidR="00B94F91" w:rsidRDefault="00B94F91" w:rsidP="00A030EA">
      <w:pPr>
        <w:tabs>
          <w:tab w:val="num" w:pos="720"/>
        </w:tabs>
        <w:ind w:left="720" w:right="-3139" w:hanging="360"/>
        <w:jc w:val="center"/>
        <w:textAlignment w:val="center"/>
        <w:rPr>
          <w:b/>
          <w:bCs/>
          <w:sz w:val="24"/>
          <w:szCs w:val="28"/>
        </w:rPr>
      </w:pPr>
    </w:p>
    <w:p w14:paraId="07153B8D" w14:textId="77777777" w:rsidR="00B94F91" w:rsidRDefault="00B94F91" w:rsidP="00A030EA">
      <w:pPr>
        <w:tabs>
          <w:tab w:val="num" w:pos="720"/>
        </w:tabs>
        <w:ind w:left="720" w:right="-3139" w:hanging="360"/>
        <w:jc w:val="center"/>
        <w:textAlignment w:val="center"/>
        <w:rPr>
          <w:b/>
          <w:bCs/>
          <w:sz w:val="24"/>
          <w:szCs w:val="28"/>
        </w:rPr>
      </w:pPr>
    </w:p>
    <w:p w14:paraId="549A463F" w14:textId="77777777" w:rsidR="00B94F91" w:rsidRDefault="00B94F91" w:rsidP="00A030EA">
      <w:pPr>
        <w:tabs>
          <w:tab w:val="num" w:pos="720"/>
        </w:tabs>
        <w:ind w:left="720" w:right="-3139" w:hanging="360"/>
        <w:jc w:val="center"/>
        <w:textAlignment w:val="center"/>
        <w:rPr>
          <w:b/>
          <w:bCs/>
          <w:sz w:val="24"/>
          <w:szCs w:val="28"/>
        </w:rPr>
      </w:pPr>
    </w:p>
    <w:p w14:paraId="3D85B74D" w14:textId="77777777" w:rsidR="00B94F91" w:rsidRDefault="00B94F91" w:rsidP="00A030EA">
      <w:pPr>
        <w:tabs>
          <w:tab w:val="num" w:pos="720"/>
        </w:tabs>
        <w:ind w:left="720" w:right="-3139" w:hanging="360"/>
        <w:jc w:val="center"/>
        <w:textAlignment w:val="center"/>
        <w:rPr>
          <w:b/>
          <w:bCs/>
          <w:sz w:val="24"/>
          <w:szCs w:val="28"/>
        </w:rPr>
      </w:pPr>
    </w:p>
    <w:p w14:paraId="4DD5EBB3" w14:textId="77777777" w:rsidR="00B94F91" w:rsidRDefault="00B94F91" w:rsidP="00A030EA">
      <w:pPr>
        <w:tabs>
          <w:tab w:val="num" w:pos="720"/>
        </w:tabs>
        <w:ind w:left="720" w:right="-3139" w:hanging="360"/>
        <w:jc w:val="center"/>
        <w:textAlignment w:val="center"/>
        <w:rPr>
          <w:b/>
          <w:bCs/>
          <w:sz w:val="24"/>
          <w:szCs w:val="28"/>
        </w:rPr>
      </w:pPr>
    </w:p>
    <w:p w14:paraId="22C00CFE" w14:textId="77777777" w:rsidR="00B94F91" w:rsidRDefault="00B94F91" w:rsidP="00A030EA">
      <w:pPr>
        <w:tabs>
          <w:tab w:val="num" w:pos="720"/>
        </w:tabs>
        <w:ind w:left="720" w:right="-3139" w:hanging="360"/>
        <w:jc w:val="center"/>
        <w:textAlignment w:val="center"/>
        <w:rPr>
          <w:b/>
          <w:bCs/>
          <w:sz w:val="24"/>
          <w:szCs w:val="28"/>
        </w:rPr>
      </w:pPr>
    </w:p>
    <w:p w14:paraId="3CBF3362" w14:textId="77777777" w:rsidR="00B94F91" w:rsidRDefault="00B94F91" w:rsidP="00A030EA">
      <w:pPr>
        <w:tabs>
          <w:tab w:val="num" w:pos="720"/>
        </w:tabs>
        <w:ind w:left="720" w:right="-3139" w:hanging="360"/>
        <w:jc w:val="center"/>
        <w:textAlignment w:val="center"/>
        <w:rPr>
          <w:b/>
          <w:bCs/>
          <w:sz w:val="24"/>
          <w:szCs w:val="28"/>
        </w:rPr>
      </w:pPr>
    </w:p>
    <w:p w14:paraId="0E22F88B" w14:textId="77777777" w:rsidR="00B94F91" w:rsidRDefault="00B94F91" w:rsidP="00A030EA">
      <w:pPr>
        <w:tabs>
          <w:tab w:val="num" w:pos="720"/>
        </w:tabs>
        <w:ind w:left="720" w:right="-3139" w:hanging="360"/>
        <w:jc w:val="center"/>
        <w:textAlignment w:val="center"/>
        <w:rPr>
          <w:b/>
          <w:bCs/>
          <w:sz w:val="24"/>
          <w:szCs w:val="28"/>
        </w:rPr>
      </w:pPr>
    </w:p>
    <w:p w14:paraId="6EA599FA" w14:textId="77777777" w:rsidR="00B94F91" w:rsidRDefault="00B94F91" w:rsidP="00A030EA">
      <w:pPr>
        <w:tabs>
          <w:tab w:val="num" w:pos="720"/>
        </w:tabs>
        <w:ind w:left="720" w:right="-3139" w:hanging="360"/>
        <w:jc w:val="center"/>
        <w:textAlignment w:val="center"/>
        <w:rPr>
          <w:b/>
          <w:bCs/>
          <w:sz w:val="24"/>
          <w:szCs w:val="28"/>
        </w:rPr>
      </w:pPr>
    </w:p>
    <w:p w14:paraId="6210EF79" w14:textId="77777777" w:rsidR="00B94F91" w:rsidRDefault="00B94F91" w:rsidP="00A030EA">
      <w:pPr>
        <w:tabs>
          <w:tab w:val="num" w:pos="720"/>
        </w:tabs>
        <w:ind w:left="720" w:right="-3139" w:hanging="360"/>
        <w:jc w:val="center"/>
        <w:textAlignment w:val="center"/>
        <w:rPr>
          <w:b/>
          <w:bCs/>
          <w:sz w:val="24"/>
          <w:szCs w:val="28"/>
        </w:rPr>
      </w:pPr>
    </w:p>
    <w:p w14:paraId="3EBFE546" w14:textId="77777777" w:rsidR="00B94F91" w:rsidRDefault="00B94F91" w:rsidP="00A030EA">
      <w:pPr>
        <w:tabs>
          <w:tab w:val="num" w:pos="720"/>
        </w:tabs>
        <w:ind w:left="720" w:right="-3139" w:hanging="360"/>
        <w:jc w:val="center"/>
        <w:textAlignment w:val="center"/>
        <w:rPr>
          <w:b/>
          <w:bCs/>
          <w:sz w:val="24"/>
          <w:szCs w:val="28"/>
        </w:rPr>
      </w:pPr>
    </w:p>
    <w:p w14:paraId="62CB92FB" w14:textId="77777777" w:rsidR="00B94F91" w:rsidRDefault="00B94F91" w:rsidP="00A030EA">
      <w:pPr>
        <w:tabs>
          <w:tab w:val="num" w:pos="720"/>
        </w:tabs>
        <w:ind w:left="720" w:right="-3139" w:hanging="360"/>
        <w:jc w:val="center"/>
        <w:textAlignment w:val="center"/>
        <w:rPr>
          <w:b/>
          <w:bCs/>
          <w:sz w:val="24"/>
          <w:szCs w:val="28"/>
        </w:rPr>
      </w:pPr>
    </w:p>
    <w:p w14:paraId="36D29E3F" w14:textId="77777777" w:rsidR="00B94F91" w:rsidRDefault="00B94F91" w:rsidP="00A030EA">
      <w:pPr>
        <w:tabs>
          <w:tab w:val="num" w:pos="720"/>
        </w:tabs>
        <w:ind w:left="720" w:right="-3139" w:hanging="360"/>
        <w:jc w:val="center"/>
        <w:textAlignment w:val="center"/>
        <w:rPr>
          <w:b/>
          <w:bCs/>
          <w:sz w:val="24"/>
          <w:szCs w:val="28"/>
        </w:rPr>
      </w:pPr>
    </w:p>
    <w:p w14:paraId="490DA26A" w14:textId="77777777" w:rsidR="00B94F91" w:rsidRDefault="00B94F91" w:rsidP="00A030EA">
      <w:pPr>
        <w:tabs>
          <w:tab w:val="num" w:pos="720"/>
        </w:tabs>
        <w:ind w:left="720" w:right="-3139" w:hanging="360"/>
        <w:jc w:val="center"/>
        <w:textAlignment w:val="center"/>
        <w:rPr>
          <w:b/>
          <w:bCs/>
          <w:sz w:val="24"/>
          <w:szCs w:val="28"/>
        </w:rPr>
      </w:pPr>
    </w:p>
    <w:p w14:paraId="2B1C99F2" w14:textId="77777777" w:rsidR="00B94F91" w:rsidRDefault="00B94F91" w:rsidP="00A030EA">
      <w:pPr>
        <w:tabs>
          <w:tab w:val="num" w:pos="720"/>
        </w:tabs>
        <w:ind w:left="720" w:right="-3139" w:hanging="360"/>
        <w:jc w:val="center"/>
        <w:textAlignment w:val="center"/>
        <w:rPr>
          <w:b/>
          <w:bCs/>
          <w:sz w:val="24"/>
          <w:szCs w:val="28"/>
        </w:rPr>
      </w:pPr>
    </w:p>
    <w:p w14:paraId="60E12881" w14:textId="77777777" w:rsidR="00A90650" w:rsidRDefault="00A90650">
      <w:pPr>
        <w:spacing w:after="200" w:line="276" w:lineRule="auto"/>
        <w:rPr>
          <w:b/>
          <w:bCs/>
          <w:sz w:val="24"/>
          <w:szCs w:val="28"/>
        </w:rPr>
      </w:pPr>
      <w:r>
        <w:rPr>
          <w:b/>
          <w:bCs/>
          <w:sz w:val="24"/>
          <w:szCs w:val="28"/>
        </w:rPr>
        <w:br w:type="page"/>
      </w:r>
    </w:p>
    <w:sdt>
      <w:sdtPr>
        <w:rPr>
          <w:rFonts w:asciiTheme="minorHAnsi" w:eastAsiaTheme="minorHAnsi" w:hAnsiTheme="minorHAnsi" w:cstheme="minorBidi"/>
          <w:color w:val="auto"/>
          <w:sz w:val="20"/>
          <w:szCs w:val="22"/>
        </w:rPr>
        <w:id w:val="829571662"/>
        <w:docPartObj>
          <w:docPartGallery w:val="Table of Contents"/>
          <w:docPartUnique/>
        </w:docPartObj>
      </w:sdtPr>
      <w:sdtEndPr>
        <w:rPr>
          <w:b/>
          <w:bCs/>
          <w:noProof/>
          <w:sz w:val="22"/>
        </w:rPr>
      </w:sdtEndPr>
      <w:sdtContent>
        <w:p w14:paraId="38DBBD13" w14:textId="77777777" w:rsidR="00CF45E9" w:rsidRPr="0062269C" w:rsidRDefault="001050FA" w:rsidP="00E85407">
          <w:pPr>
            <w:pStyle w:val="TOCHeading"/>
            <w:spacing w:after="240"/>
            <w:ind w:right="-3139"/>
          </w:pPr>
          <w:r w:rsidRPr="00141583">
            <w:rPr>
              <w:color w:val="002060"/>
              <w:lang w:val="hu-HU"/>
            </w:rPr>
            <w:t>Tartalomjegyzék</w:t>
          </w:r>
          <w:r w:rsidR="00771778" w:rsidRPr="00141583">
            <w:rPr>
              <w:color w:val="002060"/>
            </w:rPr>
            <w:tab/>
          </w:r>
          <w:r w:rsidR="00771778" w:rsidRPr="00141583">
            <w:rPr>
              <w:color w:val="002060"/>
            </w:rPr>
            <w:tab/>
          </w:r>
          <w:r w:rsidR="00771778">
            <w:tab/>
          </w:r>
          <w:r w:rsidR="00771778">
            <w:tab/>
          </w:r>
          <w:r w:rsidR="00771778">
            <w:tab/>
          </w:r>
          <w:r w:rsidR="00771778">
            <w:tab/>
          </w:r>
          <w:r w:rsidR="00771778">
            <w:tab/>
          </w:r>
          <w:r w:rsidR="00771778">
            <w:tab/>
          </w:r>
        </w:p>
        <w:p w14:paraId="1D65B281" w14:textId="0764B91E" w:rsidR="002F72AF" w:rsidRDefault="00EB3509" w:rsidP="002F72AF">
          <w:pPr>
            <w:pStyle w:val="TOC1"/>
            <w:rPr>
              <w:rFonts w:eastAsiaTheme="minorEastAsia"/>
              <w:kern w:val="2"/>
              <w:lang w:val="hu-HU" w:eastAsia="hu-HU"/>
              <w14:ligatures w14:val="standardContextual"/>
            </w:rPr>
          </w:pPr>
          <w:r>
            <w:fldChar w:fldCharType="begin"/>
          </w:r>
          <w:r>
            <w:instrText xml:space="preserve"> TOC \o "1-3" \h \z \u </w:instrText>
          </w:r>
          <w:r>
            <w:fldChar w:fldCharType="separate"/>
          </w:r>
          <w:hyperlink w:anchor="_Toc153188932" w:history="1">
            <w:r w:rsidR="002F72AF" w:rsidRPr="0070739F">
              <w:rPr>
                <w:rStyle w:val="Hyperlink"/>
              </w:rPr>
              <w:t>1.</w:t>
            </w:r>
            <w:r w:rsidR="002F72AF">
              <w:rPr>
                <w:rFonts w:eastAsiaTheme="minorEastAsia"/>
                <w:kern w:val="2"/>
                <w:lang w:val="hu-HU" w:eastAsia="hu-HU"/>
                <w14:ligatures w14:val="standardContextual"/>
              </w:rPr>
              <w:tab/>
            </w:r>
            <w:r w:rsidR="002F72AF" w:rsidRPr="0070739F">
              <w:rPr>
                <w:rStyle w:val="Hyperlink"/>
              </w:rPr>
              <w:t>Bevezetés - az adatszolgáltatási képesség kialakításának célja</w:t>
            </w:r>
            <w:r w:rsidR="002F72AF">
              <w:rPr>
                <w:webHidden/>
              </w:rPr>
              <w:tab/>
            </w:r>
            <w:r w:rsidR="002F72AF">
              <w:rPr>
                <w:webHidden/>
              </w:rPr>
              <w:fldChar w:fldCharType="begin"/>
            </w:r>
            <w:r w:rsidR="002F72AF">
              <w:rPr>
                <w:webHidden/>
              </w:rPr>
              <w:instrText xml:space="preserve"> PAGEREF _Toc153188932 \h </w:instrText>
            </w:r>
            <w:r w:rsidR="002F72AF">
              <w:rPr>
                <w:webHidden/>
              </w:rPr>
            </w:r>
            <w:r w:rsidR="002F72AF">
              <w:rPr>
                <w:webHidden/>
              </w:rPr>
              <w:fldChar w:fldCharType="separate"/>
            </w:r>
            <w:r w:rsidR="00270638">
              <w:rPr>
                <w:webHidden/>
              </w:rPr>
              <w:t>2</w:t>
            </w:r>
            <w:r w:rsidR="002F72AF">
              <w:rPr>
                <w:webHidden/>
              </w:rPr>
              <w:fldChar w:fldCharType="end"/>
            </w:r>
          </w:hyperlink>
        </w:p>
        <w:p w14:paraId="617DB556" w14:textId="2D48B861" w:rsidR="002F72AF" w:rsidRDefault="00334847">
          <w:pPr>
            <w:pStyle w:val="TOC2"/>
            <w:rPr>
              <w:rFonts w:eastAsiaTheme="minorEastAsia"/>
              <w:noProof/>
              <w:kern w:val="2"/>
              <w:lang w:val="hu-HU" w:eastAsia="hu-HU"/>
              <w14:ligatures w14:val="standardContextual"/>
            </w:rPr>
          </w:pPr>
          <w:hyperlink w:anchor="_Toc153188933" w:history="1">
            <w:r w:rsidR="002F72AF" w:rsidRPr="0070739F">
              <w:rPr>
                <w:rStyle w:val="Hyperlink"/>
                <w:noProof/>
              </w:rPr>
              <w:t>1.1.</w:t>
            </w:r>
            <w:r w:rsidR="002F72AF">
              <w:rPr>
                <w:rFonts w:eastAsiaTheme="minorEastAsia"/>
                <w:noProof/>
                <w:kern w:val="2"/>
                <w:lang w:val="hu-HU" w:eastAsia="hu-HU"/>
                <w14:ligatures w14:val="standardContextual"/>
              </w:rPr>
              <w:tab/>
            </w:r>
            <w:r w:rsidR="002F72AF" w:rsidRPr="0070739F">
              <w:rPr>
                <w:rStyle w:val="Hyperlink"/>
                <w:noProof/>
              </w:rPr>
              <w:t>Adatok nyújtására vonatkozóképesség kialakításának  háttere</w:t>
            </w:r>
            <w:r w:rsidR="002F72AF">
              <w:rPr>
                <w:noProof/>
                <w:webHidden/>
              </w:rPr>
              <w:tab/>
            </w:r>
            <w:r w:rsidR="002F72AF">
              <w:rPr>
                <w:noProof/>
                <w:webHidden/>
              </w:rPr>
              <w:fldChar w:fldCharType="begin"/>
            </w:r>
            <w:r w:rsidR="002F72AF">
              <w:rPr>
                <w:noProof/>
                <w:webHidden/>
              </w:rPr>
              <w:instrText xml:space="preserve"> PAGEREF _Toc153188933 \h </w:instrText>
            </w:r>
            <w:r w:rsidR="002F72AF">
              <w:rPr>
                <w:noProof/>
                <w:webHidden/>
              </w:rPr>
            </w:r>
            <w:r w:rsidR="002F72AF">
              <w:rPr>
                <w:noProof/>
                <w:webHidden/>
              </w:rPr>
              <w:fldChar w:fldCharType="separate"/>
            </w:r>
            <w:r w:rsidR="00270638">
              <w:rPr>
                <w:noProof/>
                <w:webHidden/>
              </w:rPr>
              <w:t>2</w:t>
            </w:r>
            <w:r w:rsidR="002F72AF">
              <w:rPr>
                <w:noProof/>
                <w:webHidden/>
              </w:rPr>
              <w:fldChar w:fldCharType="end"/>
            </w:r>
          </w:hyperlink>
        </w:p>
        <w:p w14:paraId="2EA2801B" w14:textId="086C198C" w:rsidR="002F72AF" w:rsidRDefault="00334847">
          <w:pPr>
            <w:pStyle w:val="TOC2"/>
            <w:rPr>
              <w:rFonts w:eastAsiaTheme="minorEastAsia"/>
              <w:noProof/>
              <w:kern w:val="2"/>
              <w:lang w:val="hu-HU" w:eastAsia="hu-HU"/>
              <w14:ligatures w14:val="standardContextual"/>
            </w:rPr>
          </w:pPr>
          <w:hyperlink w:anchor="_Toc153188934" w:history="1">
            <w:r w:rsidR="002F72AF" w:rsidRPr="0070739F">
              <w:rPr>
                <w:rStyle w:val="Hyperlink"/>
                <w:noProof/>
              </w:rPr>
              <w:t>1.2.</w:t>
            </w:r>
            <w:r w:rsidR="002F72AF">
              <w:rPr>
                <w:rFonts w:eastAsiaTheme="minorEastAsia"/>
                <w:noProof/>
                <w:kern w:val="2"/>
                <w:lang w:val="hu-HU" w:eastAsia="hu-HU"/>
                <w14:ligatures w14:val="standardContextual"/>
              </w:rPr>
              <w:tab/>
            </w:r>
            <w:r w:rsidR="002F72AF" w:rsidRPr="0070739F">
              <w:rPr>
                <w:rStyle w:val="Hyperlink"/>
                <w:noProof/>
              </w:rPr>
              <w:t>Az adatok nyújtására irányuló ok képesség kialakításával érintett intézményi kör</w:t>
            </w:r>
            <w:r w:rsidR="002F72AF">
              <w:rPr>
                <w:noProof/>
                <w:webHidden/>
              </w:rPr>
              <w:tab/>
            </w:r>
            <w:r w:rsidR="002F72AF">
              <w:rPr>
                <w:noProof/>
                <w:webHidden/>
              </w:rPr>
              <w:fldChar w:fldCharType="begin"/>
            </w:r>
            <w:r w:rsidR="002F72AF">
              <w:rPr>
                <w:noProof/>
                <w:webHidden/>
              </w:rPr>
              <w:instrText xml:space="preserve"> PAGEREF _Toc153188934 \h </w:instrText>
            </w:r>
            <w:r w:rsidR="002F72AF">
              <w:rPr>
                <w:noProof/>
                <w:webHidden/>
              </w:rPr>
            </w:r>
            <w:r w:rsidR="002F72AF">
              <w:rPr>
                <w:noProof/>
                <w:webHidden/>
              </w:rPr>
              <w:fldChar w:fldCharType="separate"/>
            </w:r>
            <w:r w:rsidR="00270638">
              <w:rPr>
                <w:noProof/>
                <w:webHidden/>
              </w:rPr>
              <w:t>3</w:t>
            </w:r>
            <w:r w:rsidR="002F72AF">
              <w:rPr>
                <w:noProof/>
                <w:webHidden/>
              </w:rPr>
              <w:fldChar w:fldCharType="end"/>
            </w:r>
          </w:hyperlink>
        </w:p>
        <w:p w14:paraId="2B1959D0" w14:textId="09F9FAD9" w:rsidR="002F72AF" w:rsidRDefault="00334847" w:rsidP="002F72AF">
          <w:pPr>
            <w:pStyle w:val="TOC1"/>
            <w:rPr>
              <w:rFonts w:eastAsiaTheme="minorEastAsia"/>
              <w:kern w:val="2"/>
              <w:lang w:val="hu-HU" w:eastAsia="hu-HU"/>
              <w14:ligatures w14:val="standardContextual"/>
            </w:rPr>
          </w:pPr>
          <w:hyperlink w:anchor="_Toc153188935" w:history="1">
            <w:r w:rsidR="002F72AF" w:rsidRPr="0070739F">
              <w:rPr>
                <w:rStyle w:val="Hyperlink"/>
              </w:rPr>
              <w:t>2.</w:t>
            </w:r>
            <w:r w:rsidR="002F72AF">
              <w:rPr>
                <w:rFonts w:eastAsiaTheme="minorEastAsia"/>
                <w:kern w:val="2"/>
                <w:lang w:val="hu-HU" w:eastAsia="hu-HU"/>
                <w14:ligatures w14:val="standardContextual"/>
              </w:rPr>
              <w:tab/>
            </w:r>
            <w:r w:rsidR="002F72AF" w:rsidRPr="0070739F">
              <w:rPr>
                <w:rStyle w:val="Hyperlink"/>
              </w:rPr>
              <w:t>A kapcsolódó jogforrások, szabályozói anyagok összefoglalója</w:t>
            </w:r>
            <w:r w:rsidR="002F72AF">
              <w:rPr>
                <w:webHidden/>
              </w:rPr>
              <w:tab/>
            </w:r>
            <w:r w:rsidR="002F72AF">
              <w:rPr>
                <w:webHidden/>
              </w:rPr>
              <w:fldChar w:fldCharType="begin"/>
            </w:r>
            <w:r w:rsidR="002F72AF">
              <w:rPr>
                <w:webHidden/>
              </w:rPr>
              <w:instrText xml:space="preserve"> PAGEREF _Toc153188935 \h </w:instrText>
            </w:r>
            <w:r w:rsidR="002F72AF">
              <w:rPr>
                <w:webHidden/>
              </w:rPr>
            </w:r>
            <w:r w:rsidR="002F72AF">
              <w:rPr>
                <w:webHidden/>
              </w:rPr>
              <w:fldChar w:fldCharType="separate"/>
            </w:r>
            <w:r w:rsidR="00270638">
              <w:rPr>
                <w:webHidden/>
              </w:rPr>
              <w:t>4</w:t>
            </w:r>
            <w:r w:rsidR="002F72AF">
              <w:rPr>
                <w:webHidden/>
              </w:rPr>
              <w:fldChar w:fldCharType="end"/>
            </w:r>
          </w:hyperlink>
        </w:p>
        <w:p w14:paraId="0697376A" w14:textId="1893970C" w:rsidR="002F72AF" w:rsidRDefault="00334847" w:rsidP="002F72AF">
          <w:pPr>
            <w:pStyle w:val="TOC1"/>
            <w:rPr>
              <w:rFonts w:eastAsiaTheme="minorEastAsia"/>
              <w:kern w:val="2"/>
              <w:lang w:val="hu-HU" w:eastAsia="hu-HU"/>
              <w14:ligatures w14:val="standardContextual"/>
            </w:rPr>
          </w:pPr>
          <w:hyperlink w:anchor="_Toc153188937" w:history="1">
            <w:r w:rsidR="002F72AF" w:rsidRPr="0070739F">
              <w:rPr>
                <w:rStyle w:val="Hyperlink"/>
              </w:rPr>
              <w:t>3.</w:t>
            </w:r>
            <w:r w:rsidR="002F72AF">
              <w:rPr>
                <w:rFonts w:eastAsiaTheme="minorEastAsia"/>
                <w:kern w:val="2"/>
                <w:lang w:val="hu-HU" w:eastAsia="hu-HU"/>
                <w14:ligatures w14:val="standardContextual"/>
              </w:rPr>
              <w:tab/>
            </w:r>
            <w:r w:rsidR="002F72AF" w:rsidRPr="0070739F">
              <w:rPr>
                <w:rStyle w:val="Hyperlink"/>
              </w:rPr>
              <w:t>Adatszolgáltatás elvárt módja és az intézmények rendelkezésére álló idő</w:t>
            </w:r>
            <w:r w:rsidR="002F72AF">
              <w:rPr>
                <w:webHidden/>
              </w:rPr>
              <w:tab/>
            </w:r>
            <w:r w:rsidR="002F72AF">
              <w:rPr>
                <w:webHidden/>
              </w:rPr>
              <w:fldChar w:fldCharType="begin"/>
            </w:r>
            <w:r w:rsidR="002F72AF">
              <w:rPr>
                <w:webHidden/>
              </w:rPr>
              <w:instrText xml:space="preserve"> PAGEREF _Toc153188937 \h </w:instrText>
            </w:r>
            <w:r w:rsidR="002F72AF">
              <w:rPr>
                <w:webHidden/>
              </w:rPr>
            </w:r>
            <w:r w:rsidR="002F72AF">
              <w:rPr>
                <w:webHidden/>
              </w:rPr>
              <w:fldChar w:fldCharType="separate"/>
            </w:r>
            <w:r w:rsidR="00270638">
              <w:rPr>
                <w:webHidden/>
              </w:rPr>
              <w:t>5</w:t>
            </w:r>
            <w:r w:rsidR="002F72AF">
              <w:rPr>
                <w:webHidden/>
              </w:rPr>
              <w:fldChar w:fldCharType="end"/>
            </w:r>
          </w:hyperlink>
        </w:p>
        <w:p w14:paraId="72358F7B" w14:textId="049E7347" w:rsidR="002F72AF" w:rsidRDefault="00334847">
          <w:pPr>
            <w:pStyle w:val="TOC2"/>
            <w:rPr>
              <w:rFonts w:eastAsiaTheme="minorEastAsia"/>
              <w:noProof/>
              <w:kern w:val="2"/>
              <w:lang w:val="hu-HU" w:eastAsia="hu-HU"/>
              <w14:ligatures w14:val="standardContextual"/>
            </w:rPr>
          </w:pPr>
          <w:hyperlink w:anchor="_Toc153188938" w:history="1">
            <w:r w:rsidR="002F72AF" w:rsidRPr="0070739F">
              <w:rPr>
                <w:rStyle w:val="Hyperlink"/>
                <w:noProof/>
              </w:rPr>
              <w:t>3.1.</w:t>
            </w:r>
            <w:r w:rsidR="002F72AF">
              <w:rPr>
                <w:rFonts w:eastAsiaTheme="minorEastAsia"/>
                <w:noProof/>
                <w:kern w:val="2"/>
                <w:lang w:val="hu-HU" w:eastAsia="hu-HU"/>
                <w14:ligatures w14:val="standardContextual"/>
              </w:rPr>
              <w:tab/>
            </w:r>
            <w:r w:rsidR="002F72AF" w:rsidRPr="0070739F">
              <w:rPr>
                <w:rStyle w:val="Hyperlink"/>
                <w:noProof/>
              </w:rPr>
              <w:t>Adatszolgáltatás részei</w:t>
            </w:r>
            <w:r w:rsidR="002F72AF">
              <w:rPr>
                <w:noProof/>
                <w:webHidden/>
              </w:rPr>
              <w:tab/>
            </w:r>
            <w:r w:rsidR="002F72AF">
              <w:rPr>
                <w:noProof/>
                <w:webHidden/>
              </w:rPr>
              <w:fldChar w:fldCharType="begin"/>
            </w:r>
            <w:r w:rsidR="002F72AF">
              <w:rPr>
                <w:noProof/>
                <w:webHidden/>
              </w:rPr>
              <w:instrText xml:space="preserve"> PAGEREF _Toc153188938 \h </w:instrText>
            </w:r>
            <w:r w:rsidR="002F72AF">
              <w:rPr>
                <w:noProof/>
                <w:webHidden/>
              </w:rPr>
            </w:r>
            <w:r w:rsidR="002F72AF">
              <w:rPr>
                <w:noProof/>
                <w:webHidden/>
              </w:rPr>
              <w:fldChar w:fldCharType="separate"/>
            </w:r>
            <w:r w:rsidR="00270638">
              <w:rPr>
                <w:noProof/>
                <w:webHidden/>
              </w:rPr>
              <w:t>5</w:t>
            </w:r>
            <w:r w:rsidR="002F72AF">
              <w:rPr>
                <w:noProof/>
                <w:webHidden/>
              </w:rPr>
              <w:fldChar w:fldCharType="end"/>
            </w:r>
          </w:hyperlink>
        </w:p>
        <w:p w14:paraId="0BCE67CF" w14:textId="4FAEA70D" w:rsidR="002F72AF" w:rsidRDefault="00334847">
          <w:pPr>
            <w:pStyle w:val="TOC2"/>
            <w:rPr>
              <w:rFonts w:eastAsiaTheme="minorEastAsia"/>
              <w:noProof/>
              <w:kern w:val="2"/>
              <w:lang w:val="hu-HU" w:eastAsia="hu-HU"/>
              <w14:ligatures w14:val="standardContextual"/>
            </w:rPr>
          </w:pPr>
          <w:hyperlink w:anchor="_Toc153188939" w:history="1">
            <w:r w:rsidR="002F72AF" w:rsidRPr="0070739F">
              <w:rPr>
                <w:rStyle w:val="Hyperlink"/>
                <w:noProof/>
              </w:rPr>
              <w:t>3.2.</w:t>
            </w:r>
            <w:r w:rsidR="002F72AF">
              <w:rPr>
                <w:rFonts w:eastAsiaTheme="minorEastAsia"/>
                <w:noProof/>
                <w:kern w:val="2"/>
                <w:lang w:val="hu-HU" w:eastAsia="hu-HU"/>
                <w14:ligatures w14:val="standardContextual"/>
              </w:rPr>
              <w:tab/>
            </w:r>
            <w:r w:rsidR="002F72AF" w:rsidRPr="0070739F">
              <w:rPr>
                <w:rStyle w:val="Hyperlink"/>
                <w:noProof/>
              </w:rPr>
              <w:t>Adatszolgáltatás elvárt módja</w:t>
            </w:r>
            <w:r w:rsidR="002F72AF">
              <w:rPr>
                <w:noProof/>
                <w:webHidden/>
              </w:rPr>
              <w:tab/>
            </w:r>
            <w:r w:rsidR="002F72AF">
              <w:rPr>
                <w:noProof/>
                <w:webHidden/>
              </w:rPr>
              <w:fldChar w:fldCharType="begin"/>
            </w:r>
            <w:r w:rsidR="002F72AF">
              <w:rPr>
                <w:noProof/>
                <w:webHidden/>
              </w:rPr>
              <w:instrText xml:space="preserve"> PAGEREF _Toc153188939 \h </w:instrText>
            </w:r>
            <w:r w:rsidR="002F72AF">
              <w:rPr>
                <w:noProof/>
                <w:webHidden/>
              </w:rPr>
            </w:r>
            <w:r w:rsidR="002F72AF">
              <w:rPr>
                <w:noProof/>
                <w:webHidden/>
              </w:rPr>
              <w:fldChar w:fldCharType="separate"/>
            </w:r>
            <w:r w:rsidR="00270638">
              <w:rPr>
                <w:noProof/>
                <w:webHidden/>
              </w:rPr>
              <w:t>6</w:t>
            </w:r>
            <w:r w:rsidR="002F72AF">
              <w:rPr>
                <w:noProof/>
                <w:webHidden/>
              </w:rPr>
              <w:fldChar w:fldCharType="end"/>
            </w:r>
          </w:hyperlink>
        </w:p>
        <w:p w14:paraId="08712913" w14:textId="3D44D4D4" w:rsidR="002F72AF" w:rsidRDefault="00334847">
          <w:pPr>
            <w:pStyle w:val="TOC2"/>
            <w:rPr>
              <w:rFonts w:eastAsiaTheme="minorEastAsia"/>
              <w:noProof/>
              <w:kern w:val="2"/>
              <w:lang w:val="hu-HU" w:eastAsia="hu-HU"/>
              <w14:ligatures w14:val="standardContextual"/>
            </w:rPr>
          </w:pPr>
          <w:hyperlink w:anchor="_Toc153188940" w:history="1">
            <w:r w:rsidR="002F72AF" w:rsidRPr="0070739F">
              <w:rPr>
                <w:rStyle w:val="Hyperlink"/>
                <w:noProof/>
              </w:rPr>
              <w:t>3.3.</w:t>
            </w:r>
            <w:r w:rsidR="002F72AF">
              <w:rPr>
                <w:rFonts w:eastAsiaTheme="minorEastAsia"/>
                <w:noProof/>
                <w:kern w:val="2"/>
                <w:lang w:val="hu-HU" w:eastAsia="hu-HU"/>
                <w14:ligatures w14:val="standardContextual"/>
              </w:rPr>
              <w:tab/>
            </w:r>
            <w:r w:rsidR="002F72AF" w:rsidRPr="0070739F">
              <w:rPr>
                <w:rStyle w:val="Hyperlink"/>
                <w:noProof/>
              </w:rPr>
              <w:t>Az információk rendelkezésre bocsátásának gyakorisága, valamint az adatszolgáltatásra rendelkezésre álló maximális időtartam</w:t>
            </w:r>
            <w:r w:rsidR="002F72AF">
              <w:rPr>
                <w:noProof/>
                <w:webHidden/>
              </w:rPr>
              <w:tab/>
            </w:r>
            <w:r w:rsidR="002F72AF">
              <w:rPr>
                <w:noProof/>
                <w:webHidden/>
              </w:rPr>
              <w:fldChar w:fldCharType="begin"/>
            </w:r>
            <w:r w:rsidR="002F72AF">
              <w:rPr>
                <w:noProof/>
                <w:webHidden/>
              </w:rPr>
              <w:instrText xml:space="preserve"> PAGEREF _Toc153188940 \h </w:instrText>
            </w:r>
            <w:r w:rsidR="002F72AF">
              <w:rPr>
                <w:noProof/>
                <w:webHidden/>
              </w:rPr>
            </w:r>
            <w:r w:rsidR="002F72AF">
              <w:rPr>
                <w:noProof/>
                <w:webHidden/>
              </w:rPr>
              <w:fldChar w:fldCharType="separate"/>
            </w:r>
            <w:r w:rsidR="00270638">
              <w:rPr>
                <w:noProof/>
                <w:webHidden/>
              </w:rPr>
              <w:t>9</w:t>
            </w:r>
            <w:r w:rsidR="002F72AF">
              <w:rPr>
                <w:noProof/>
                <w:webHidden/>
              </w:rPr>
              <w:fldChar w:fldCharType="end"/>
            </w:r>
          </w:hyperlink>
        </w:p>
        <w:p w14:paraId="78416C34" w14:textId="30C48479" w:rsidR="002F72AF" w:rsidRDefault="00334847" w:rsidP="002F72AF">
          <w:pPr>
            <w:pStyle w:val="TOC1"/>
            <w:rPr>
              <w:rFonts w:eastAsiaTheme="minorEastAsia"/>
              <w:kern w:val="2"/>
              <w:lang w:val="hu-HU" w:eastAsia="hu-HU"/>
              <w14:ligatures w14:val="standardContextual"/>
            </w:rPr>
          </w:pPr>
          <w:hyperlink w:anchor="_Toc153188941" w:history="1">
            <w:r w:rsidR="002F72AF" w:rsidRPr="0070739F">
              <w:rPr>
                <w:rStyle w:val="Hyperlink"/>
              </w:rPr>
              <w:t>4.</w:t>
            </w:r>
            <w:r w:rsidR="002F72AF">
              <w:rPr>
                <w:rFonts w:eastAsiaTheme="minorEastAsia"/>
                <w:kern w:val="2"/>
                <w:lang w:val="hu-HU" w:eastAsia="hu-HU"/>
                <w14:ligatures w14:val="standardContextual"/>
              </w:rPr>
              <w:tab/>
            </w:r>
            <w:r w:rsidR="002F72AF" w:rsidRPr="0070739F">
              <w:rPr>
                <w:rStyle w:val="Hyperlink"/>
              </w:rPr>
              <w:t>Általános áttekintés az adatszótár és a „bail-in” analitika struktúrájáról</w:t>
            </w:r>
            <w:r w:rsidR="002F72AF">
              <w:rPr>
                <w:webHidden/>
              </w:rPr>
              <w:tab/>
            </w:r>
            <w:r w:rsidR="002F72AF">
              <w:rPr>
                <w:webHidden/>
              </w:rPr>
              <w:fldChar w:fldCharType="begin"/>
            </w:r>
            <w:r w:rsidR="002F72AF">
              <w:rPr>
                <w:webHidden/>
              </w:rPr>
              <w:instrText xml:space="preserve"> PAGEREF _Toc153188941 \h </w:instrText>
            </w:r>
            <w:r w:rsidR="002F72AF">
              <w:rPr>
                <w:webHidden/>
              </w:rPr>
            </w:r>
            <w:r w:rsidR="002F72AF">
              <w:rPr>
                <w:webHidden/>
              </w:rPr>
              <w:fldChar w:fldCharType="separate"/>
            </w:r>
            <w:r w:rsidR="00270638">
              <w:rPr>
                <w:webHidden/>
              </w:rPr>
              <w:t>10</w:t>
            </w:r>
            <w:r w:rsidR="002F72AF">
              <w:rPr>
                <w:webHidden/>
              </w:rPr>
              <w:fldChar w:fldCharType="end"/>
            </w:r>
          </w:hyperlink>
        </w:p>
        <w:p w14:paraId="00E110D6" w14:textId="6A73F685" w:rsidR="002F72AF" w:rsidRDefault="00334847">
          <w:pPr>
            <w:pStyle w:val="TOC2"/>
            <w:rPr>
              <w:rFonts w:eastAsiaTheme="minorEastAsia"/>
              <w:noProof/>
              <w:kern w:val="2"/>
              <w:lang w:val="hu-HU" w:eastAsia="hu-HU"/>
              <w14:ligatures w14:val="standardContextual"/>
            </w:rPr>
          </w:pPr>
          <w:hyperlink w:anchor="_Toc153188942" w:history="1">
            <w:r w:rsidR="002F72AF" w:rsidRPr="0070739F">
              <w:rPr>
                <w:rStyle w:val="Hyperlink"/>
                <w:noProof/>
              </w:rPr>
              <w:t>4.1.</w:t>
            </w:r>
            <w:r w:rsidR="002F72AF">
              <w:rPr>
                <w:rFonts w:eastAsiaTheme="minorEastAsia"/>
                <w:noProof/>
                <w:kern w:val="2"/>
                <w:lang w:val="hu-HU" w:eastAsia="hu-HU"/>
                <w14:ligatures w14:val="standardContextual"/>
              </w:rPr>
              <w:tab/>
            </w:r>
            <w:r w:rsidR="002F72AF" w:rsidRPr="0070739F">
              <w:rPr>
                <w:rStyle w:val="Hyperlink"/>
                <w:noProof/>
              </w:rPr>
              <w:t>A szanálási értékelésekhez szükséges adatszótárban található adatmezők főbb témák szerint, modulokba kerültek elkülönítésre:</w:t>
            </w:r>
            <w:r w:rsidR="002F72AF">
              <w:rPr>
                <w:noProof/>
                <w:webHidden/>
              </w:rPr>
              <w:tab/>
            </w:r>
            <w:r w:rsidR="002F72AF">
              <w:rPr>
                <w:noProof/>
                <w:webHidden/>
              </w:rPr>
              <w:fldChar w:fldCharType="begin"/>
            </w:r>
            <w:r w:rsidR="002F72AF">
              <w:rPr>
                <w:noProof/>
                <w:webHidden/>
              </w:rPr>
              <w:instrText xml:space="preserve"> PAGEREF _Toc153188942 \h </w:instrText>
            </w:r>
            <w:r w:rsidR="002F72AF">
              <w:rPr>
                <w:noProof/>
                <w:webHidden/>
              </w:rPr>
            </w:r>
            <w:r w:rsidR="002F72AF">
              <w:rPr>
                <w:noProof/>
                <w:webHidden/>
              </w:rPr>
              <w:fldChar w:fldCharType="separate"/>
            </w:r>
            <w:r w:rsidR="00270638">
              <w:rPr>
                <w:noProof/>
                <w:webHidden/>
              </w:rPr>
              <w:t>13</w:t>
            </w:r>
            <w:r w:rsidR="002F72AF">
              <w:rPr>
                <w:noProof/>
                <w:webHidden/>
              </w:rPr>
              <w:fldChar w:fldCharType="end"/>
            </w:r>
          </w:hyperlink>
        </w:p>
        <w:p w14:paraId="554FA4A7" w14:textId="13C7EAFE" w:rsidR="002F72AF" w:rsidRDefault="00334847">
          <w:pPr>
            <w:pStyle w:val="TOC2"/>
            <w:rPr>
              <w:rFonts w:eastAsiaTheme="minorEastAsia"/>
              <w:noProof/>
              <w:kern w:val="2"/>
              <w:lang w:val="hu-HU" w:eastAsia="hu-HU"/>
              <w14:ligatures w14:val="standardContextual"/>
            </w:rPr>
          </w:pPr>
          <w:hyperlink w:anchor="_Toc153188943" w:history="1">
            <w:r w:rsidR="002F72AF" w:rsidRPr="0070739F">
              <w:rPr>
                <w:rStyle w:val="Hyperlink"/>
                <w:noProof/>
              </w:rPr>
              <w:t>4.2.</w:t>
            </w:r>
            <w:r w:rsidR="002F72AF">
              <w:rPr>
                <w:rFonts w:eastAsiaTheme="minorEastAsia"/>
                <w:noProof/>
                <w:kern w:val="2"/>
                <w:lang w:val="hu-HU" w:eastAsia="hu-HU"/>
                <w14:ligatures w14:val="standardContextual"/>
              </w:rPr>
              <w:tab/>
            </w:r>
            <w:r w:rsidR="002F72AF" w:rsidRPr="0070739F">
              <w:rPr>
                <w:rStyle w:val="Hyperlink"/>
                <w:noProof/>
              </w:rPr>
              <w:t>Az egyes adattáblák közötti kapcsolatot egyedi azonosítók biztosítják</w:t>
            </w:r>
            <w:r w:rsidR="002F72AF">
              <w:rPr>
                <w:noProof/>
                <w:webHidden/>
              </w:rPr>
              <w:tab/>
            </w:r>
            <w:r w:rsidR="002F72AF">
              <w:rPr>
                <w:noProof/>
                <w:webHidden/>
              </w:rPr>
              <w:fldChar w:fldCharType="begin"/>
            </w:r>
            <w:r w:rsidR="002F72AF">
              <w:rPr>
                <w:noProof/>
                <w:webHidden/>
              </w:rPr>
              <w:instrText xml:space="preserve"> PAGEREF _Toc153188943 \h </w:instrText>
            </w:r>
            <w:r w:rsidR="002F72AF">
              <w:rPr>
                <w:noProof/>
                <w:webHidden/>
              </w:rPr>
            </w:r>
            <w:r w:rsidR="002F72AF">
              <w:rPr>
                <w:noProof/>
                <w:webHidden/>
              </w:rPr>
              <w:fldChar w:fldCharType="separate"/>
            </w:r>
            <w:r w:rsidR="00270638">
              <w:rPr>
                <w:noProof/>
                <w:webHidden/>
              </w:rPr>
              <w:t>14</w:t>
            </w:r>
            <w:r w:rsidR="002F72AF">
              <w:rPr>
                <w:noProof/>
                <w:webHidden/>
              </w:rPr>
              <w:fldChar w:fldCharType="end"/>
            </w:r>
          </w:hyperlink>
        </w:p>
        <w:p w14:paraId="6B6C7C60" w14:textId="3DE00A6B" w:rsidR="002F72AF" w:rsidRDefault="00334847">
          <w:pPr>
            <w:pStyle w:val="TOC2"/>
            <w:rPr>
              <w:rFonts w:eastAsiaTheme="minorEastAsia"/>
              <w:noProof/>
              <w:kern w:val="2"/>
              <w:lang w:val="hu-HU" w:eastAsia="hu-HU"/>
              <w14:ligatures w14:val="standardContextual"/>
            </w:rPr>
          </w:pPr>
          <w:hyperlink w:anchor="_Toc153188944" w:history="1">
            <w:r w:rsidR="002F72AF" w:rsidRPr="0070739F">
              <w:rPr>
                <w:rStyle w:val="Hyperlink"/>
                <w:noProof/>
              </w:rPr>
              <w:t>4.3.</w:t>
            </w:r>
            <w:r w:rsidR="002F72AF">
              <w:rPr>
                <w:rFonts w:eastAsiaTheme="minorEastAsia"/>
                <w:noProof/>
                <w:kern w:val="2"/>
                <w:lang w:val="hu-HU" w:eastAsia="hu-HU"/>
                <w14:ligatures w14:val="standardContextual"/>
              </w:rPr>
              <w:tab/>
            </w:r>
            <w:r w:rsidR="002F72AF" w:rsidRPr="0070739F">
              <w:rPr>
                <w:rStyle w:val="Hyperlink"/>
                <w:noProof/>
              </w:rPr>
              <w:t>Az adatszótárban megtalálható oszlopok tartalmának magas szintű áttekintése</w:t>
            </w:r>
            <w:r w:rsidR="002F72AF">
              <w:rPr>
                <w:noProof/>
                <w:webHidden/>
              </w:rPr>
              <w:tab/>
            </w:r>
            <w:r w:rsidR="002F72AF">
              <w:rPr>
                <w:noProof/>
                <w:webHidden/>
              </w:rPr>
              <w:fldChar w:fldCharType="begin"/>
            </w:r>
            <w:r w:rsidR="002F72AF">
              <w:rPr>
                <w:noProof/>
                <w:webHidden/>
              </w:rPr>
              <w:instrText xml:space="preserve"> PAGEREF _Toc153188944 \h </w:instrText>
            </w:r>
            <w:r w:rsidR="002F72AF">
              <w:rPr>
                <w:noProof/>
                <w:webHidden/>
              </w:rPr>
            </w:r>
            <w:r w:rsidR="002F72AF">
              <w:rPr>
                <w:noProof/>
                <w:webHidden/>
              </w:rPr>
              <w:fldChar w:fldCharType="separate"/>
            </w:r>
            <w:r w:rsidR="00270638">
              <w:rPr>
                <w:noProof/>
                <w:webHidden/>
              </w:rPr>
              <w:t>15</w:t>
            </w:r>
            <w:r w:rsidR="002F72AF">
              <w:rPr>
                <w:noProof/>
                <w:webHidden/>
              </w:rPr>
              <w:fldChar w:fldCharType="end"/>
            </w:r>
          </w:hyperlink>
        </w:p>
        <w:p w14:paraId="3BEC4EC9" w14:textId="30E38722" w:rsidR="002F72AF" w:rsidRDefault="00334847">
          <w:pPr>
            <w:pStyle w:val="TOC2"/>
            <w:rPr>
              <w:rFonts w:eastAsiaTheme="minorEastAsia"/>
              <w:noProof/>
              <w:kern w:val="2"/>
              <w:lang w:val="hu-HU" w:eastAsia="hu-HU"/>
              <w14:ligatures w14:val="standardContextual"/>
            </w:rPr>
          </w:pPr>
          <w:hyperlink w:anchor="_Toc153188945" w:history="1">
            <w:r w:rsidR="002F72AF" w:rsidRPr="0070739F">
              <w:rPr>
                <w:rStyle w:val="Hyperlink"/>
                <w:noProof/>
              </w:rPr>
              <w:t>4.4.</w:t>
            </w:r>
            <w:r w:rsidR="002F72AF">
              <w:rPr>
                <w:rFonts w:eastAsiaTheme="minorEastAsia"/>
                <w:noProof/>
                <w:kern w:val="2"/>
                <w:lang w:val="hu-HU" w:eastAsia="hu-HU"/>
                <w14:ligatures w14:val="standardContextual"/>
              </w:rPr>
              <w:tab/>
            </w:r>
            <w:r w:rsidR="002F72AF" w:rsidRPr="0070739F">
              <w:rPr>
                <w:rStyle w:val="Hyperlink"/>
                <w:noProof/>
              </w:rPr>
              <w:t>A „bail-in” analitika struktúrájának magas szintű áttekintése</w:t>
            </w:r>
            <w:r w:rsidR="002F72AF">
              <w:rPr>
                <w:noProof/>
                <w:webHidden/>
              </w:rPr>
              <w:tab/>
            </w:r>
            <w:r w:rsidR="002F72AF">
              <w:rPr>
                <w:noProof/>
                <w:webHidden/>
              </w:rPr>
              <w:fldChar w:fldCharType="begin"/>
            </w:r>
            <w:r w:rsidR="002F72AF">
              <w:rPr>
                <w:noProof/>
                <w:webHidden/>
              </w:rPr>
              <w:instrText xml:space="preserve"> PAGEREF _Toc153188945 \h </w:instrText>
            </w:r>
            <w:r w:rsidR="002F72AF">
              <w:rPr>
                <w:noProof/>
                <w:webHidden/>
              </w:rPr>
            </w:r>
            <w:r w:rsidR="002F72AF">
              <w:rPr>
                <w:noProof/>
                <w:webHidden/>
              </w:rPr>
              <w:fldChar w:fldCharType="separate"/>
            </w:r>
            <w:r w:rsidR="00270638">
              <w:rPr>
                <w:noProof/>
                <w:webHidden/>
              </w:rPr>
              <w:t>17</w:t>
            </w:r>
            <w:r w:rsidR="002F72AF">
              <w:rPr>
                <w:noProof/>
                <w:webHidden/>
              </w:rPr>
              <w:fldChar w:fldCharType="end"/>
            </w:r>
          </w:hyperlink>
        </w:p>
        <w:p w14:paraId="73973BAD" w14:textId="31874A75" w:rsidR="002F72AF" w:rsidRDefault="00334847" w:rsidP="002F72AF">
          <w:pPr>
            <w:pStyle w:val="TOC1"/>
            <w:rPr>
              <w:rFonts w:eastAsiaTheme="minorEastAsia"/>
              <w:kern w:val="2"/>
              <w:lang w:val="hu-HU" w:eastAsia="hu-HU"/>
              <w14:ligatures w14:val="standardContextual"/>
            </w:rPr>
          </w:pPr>
          <w:hyperlink w:anchor="_Toc153188946" w:history="1">
            <w:r w:rsidR="002F72AF" w:rsidRPr="0070739F">
              <w:rPr>
                <w:rStyle w:val="Hyperlink"/>
              </w:rPr>
              <w:t>5.</w:t>
            </w:r>
            <w:r w:rsidR="002F72AF">
              <w:rPr>
                <w:rFonts w:eastAsiaTheme="minorEastAsia"/>
                <w:kern w:val="2"/>
                <w:lang w:val="hu-HU" w:eastAsia="hu-HU"/>
                <w14:ligatures w14:val="standardContextual"/>
              </w:rPr>
              <w:tab/>
            </w:r>
            <w:r w:rsidR="002F72AF" w:rsidRPr="0070739F">
              <w:rPr>
                <w:rStyle w:val="Hyperlink"/>
              </w:rPr>
              <w:t>Specifikus magyarázatok</w:t>
            </w:r>
            <w:r w:rsidR="002F72AF">
              <w:rPr>
                <w:webHidden/>
              </w:rPr>
              <w:tab/>
            </w:r>
            <w:r w:rsidR="002F72AF">
              <w:rPr>
                <w:webHidden/>
              </w:rPr>
              <w:fldChar w:fldCharType="begin"/>
            </w:r>
            <w:r w:rsidR="002F72AF">
              <w:rPr>
                <w:webHidden/>
              </w:rPr>
              <w:instrText xml:space="preserve"> PAGEREF _Toc153188946 \h </w:instrText>
            </w:r>
            <w:r w:rsidR="002F72AF">
              <w:rPr>
                <w:webHidden/>
              </w:rPr>
            </w:r>
            <w:r w:rsidR="002F72AF">
              <w:rPr>
                <w:webHidden/>
              </w:rPr>
              <w:fldChar w:fldCharType="separate"/>
            </w:r>
            <w:r w:rsidR="00270638">
              <w:rPr>
                <w:webHidden/>
              </w:rPr>
              <w:t>17</w:t>
            </w:r>
            <w:r w:rsidR="002F72AF">
              <w:rPr>
                <w:webHidden/>
              </w:rPr>
              <w:fldChar w:fldCharType="end"/>
            </w:r>
          </w:hyperlink>
        </w:p>
        <w:p w14:paraId="0BD940B4" w14:textId="6EADE220" w:rsidR="002F72AF" w:rsidRDefault="00334847">
          <w:pPr>
            <w:pStyle w:val="TOC2"/>
            <w:rPr>
              <w:rFonts w:eastAsiaTheme="minorEastAsia"/>
              <w:noProof/>
              <w:kern w:val="2"/>
              <w:lang w:val="hu-HU" w:eastAsia="hu-HU"/>
              <w14:ligatures w14:val="standardContextual"/>
            </w:rPr>
          </w:pPr>
          <w:hyperlink w:anchor="_Toc153188947" w:history="1">
            <w:r w:rsidR="002F72AF" w:rsidRPr="0070739F">
              <w:rPr>
                <w:rStyle w:val="Hyperlink"/>
                <w:noProof/>
              </w:rPr>
              <w:t>5.1.</w:t>
            </w:r>
            <w:r w:rsidR="002F72AF">
              <w:rPr>
                <w:rFonts w:eastAsiaTheme="minorEastAsia"/>
                <w:noProof/>
                <w:kern w:val="2"/>
                <w:lang w:val="hu-HU" w:eastAsia="hu-HU"/>
                <w14:ligatures w14:val="standardContextual"/>
              </w:rPr>
              <w:tab/>
            </w:r>
            <w:r w:rsidR="002F72AF" w:rsidRPr="0070739F">
              <w:rPr>
                <w:rStyle w:val="Hyperlink"/>
                <w:noProof/>
              </w:rPr>
              <w:t>Az adatszótárban használt referenciák, rövidítések</w:t>
            </w:r>
            <w:r w:rsidR="002F72AF">
              <w:rPr>
                <w:noProof/>
                <w:webHidden/>
              </w:rPr>
              <w:tab/>
            </w:r>
            <w:r w:rsidR="002F72AF">
              <w:rPr>
                <w:noProof/>
                <w:webHidden/>
              </w:rPr>
              <w:fldChar w:fldCharType="begin"/>
            </w:r>
            <w:r w:rsidR="002F72AF">
              <w:rPr>
                <w:noProof/>
                <w:webHidden/>
              </w:rPr>
              <w:instrText xml:space="preserve"> PAGEREF _Toc153188947 \h </w:instrText>
            </w:r>
            <w:r w:rsidR="002F72AF">
              <w:rPr>
                <w:noProof/>
                <w:webHidden/>
              </w:rPr>
            </w:r>
            <w:r w:rsidR="002F72AF">
              <w:rPr>
                <w:noProof/>
                <w:webHidden/>
              </w:rPr>
              <w:fldChar w:fldCharType="separate"/>
            </w:r>
            <w:r w:rsidR="00270638">
              <w:rPr>
                <w:noProof/>
                <w:webHidden/>
              </w:rPr>
              <w:t>18</w:t>
            </w:r>
            <w:r w:rsidR="002F72AF">
              <w:rPr>
                <w:noProof/>
                <w:webHidden/>
              </w:rPr>
              <w:fldChar w:fldCharType="end"/>
            </w:r>
          </w:hyperlink>
        </w:p>
        <w:p w14:paraId="2893FFC0" w14:textId="78CF8BA4" w:rsidR="002F72AF" w:rsidRDefault="00334847">
          <w:pPr>
            <w:pStyle w:val="TOC2"/>
            <w:rPr>
              <w:rFonts w:eastAsiaTheme="minorEastAsia"/>
              <w:noProof/>
              <w:kern w:val="2"/>
              <w:lang w:val="hu-HU" w:eastAsia="hu-HU"/>
              <w14:ligatures w14:val="standardContextual"/>
            </w:rPr>
          </w:pPr>
          <w:hyperlink w:anchor="_Toc153188948" w:history="1">
            <w:r w:rsidR="002F72AF" w:rsidRPr="0070739F">
              <w:rPr>
                <w:rStyle w:val="Hyperlink"/>
                <w:noProof/>
              </w:rPr>
              <w:t>5.2.</w:t>
            </w:r>
            <w:r w:rsidR="002F72AF">
              <w:rPr>
                <w:rFonts w:eastAsiaTheme="minorEastAsia"/>
                <w:noProof/>
                <w:kern w:val="2"/>
                <w:lang w:val="hu-HU" w:eastAsia="hu-HU"/>
                <w14:ligatures w14:val="standardContextual"/>
              </w:rPr>
              <w:tab/>
            </w:r>
            <w:r w:rsidR="002F72AF" w:rsidRPr="0070739F">
              <w:rPr>
                <w:rStyle w:val="Hyperlink"/>
                <w:noProof/>
              </w:rPr>
              <w:t>Konvenciók</w:t>
            </w:r>
            <w:r w:rsidR="002F72AF">
              <w:rPr>
                <w:noProof/>
                <w:webHidden/>
              </w:rPr>
              <w:tab/>
            </w:r>
            <w:r w:rsidR="002F72AF">
              <w:rPr>
                <w:noProof/>
                <w:webHidden/>
              </w:rPr>
              <w:fldChar w:fldCharType="begin"/>
            </w:r>
            <w:r w:rsidR="002F72AF">
              <w:rPr>
                <w:noProof/>
                <w:webHidden/>
              </w:rPr>
              <w:instrText xml:space="preserve"> PAGEREF _Toc153188948 \h </w:instrText>
            </w:r>
            <w:r w:rsidR="002F72AF">
              <w:rPr>
                <w:noProof/>
                <w:webHidden/>
              </w:rPr>
            </w:r>
            <w:r w:rsidR="002F72AF">
              <w:rPr>
                <w:noProof/>
                <w:webHidden/>
              </w:rPr>
              <w:fldChar w:fldCharType="separate"/>
            </w:r>
            <w:r w:rsidR="00270638">
              <w:rPr>
                <w:noProof/>
                <w:webHidden/>
              </w:rPr>
              <w:t>21</w:t>
            </w:r>
            <w:r w:rsidR="002F72AF">
              <w:rPr>
                <w:noProof/>
                <w:webHidden/>
              </w:rPr>
              <w:fldChar w:fldCharType="end"/>
            </w:r>
          </w:hyperlink>
        </w:p>
        <w:p w14:paraId="50C731BB" w14:textId="51B85C8C" w:rsidR="002F72AF" w:rsidRDefault="00334847" w:rsidP="002F72AF">
          <w:pPr>
            <w:pStyle w:val="TOC1"/>
            <w:rPr>
              <w:rFonts w:eastAsiaTheme="minorEastAsia"/>
              <w:kern w:val="2"/>
              <w:lang w:val="hu-HU" w:eastAsia="hu-HU"/>
              <w14:ligatures w14:val="standardContextual"/>
            </w:rPr>
          </w:pPr>
          <w:hyperlink w:anchor="_Toc153188949" w:history="1">
            <w:r w:rsidR="002F72AF" w:rsidRPr="0070739F">
              <w:rPr>
                <w:rStyle w:val="Hyperlink"/>
              </w:rPr>
              <w:t>6.</w:t>
            </w:r>
            <w:r w:rsidR="002F72AF">
              <w:rPr>
                <w:rFonts w:eastAsiaTheme="minorEastAsia"/>
                <w:kern w:val="2"/>
                <w:lang w:val="hu-HU" w:eastAsia="hu-HU"/>
                <w14:ligatures w14:val="standardContextual"/>
              </w:rPr>
              <w:tab/>
            </w:r>
            <w:r w:rsidR="002F72AF" w:rsidRPr="0070739F">
              <w:rPr>
                <w:rStyle w:val="Hyperlink"/>
              </w:rPr>
              <w:t>Általános elvek és elvárások a jelentési kötelezettség alá tartozó intézményekkel szemben</w:t>
            </w:r>
            <w:r w:rsidR="002F72AF">
              <w:rPr>
                <w:webHidden/>
              </w:rPr>
              <w:tab/>
            </w:r>
            <w:r w:rsidR="002F72AF">
              <w:rPr>
                <w:webHidden/>
              </w:rPr>
              <w:fldChar w:fldCharType="begin"/>
            </w:r>
            <w:r w:rsidR="002F72AF">
              <w:rPr>
                <w:webHidden/>
              </w:rPr>
              <w:instrText xml:space="preserve"> PAGEREF _Toc153188949 \h </w:instrText>
            </w:r>
            <w:r w:rsidR="002F72AF">
              <w:rPr>
                <w:webHidden/>
              </w:rPr>
            </w:r>
            <w:r w:rsidR="002F72AF">
              <w:rPr>
                <w:webHidden/>
              </w:rPr>
              <w:fldChar w:fldCharType="separate"/>
            </w:r>
            <w:r w:rsidR="00270638">
              <w:rPr>
                <w:webHidden/>
              </w:rPr>
              <w:t>22</w:t>
            </w:r>
            <w:r w:rsidR="002F72AF">
              <w:rPr>
                <w:webHidden/>
              </w:rPr>
              <w:fldChar w:fldCharType="end"/>
            </w:r>
          </w:hyperlink>
        </w:p>
        <w:p w14:paraId="04CBA9A1" w14:textId="67DD6A72" w:rsidR="002F72AF" w:rsidRDefault="00334847">
          <w:pPr>
            <w:pStyle w:val="TOC2"/>
            <w:rPr>
              <w:rFonts w:eastAsiaTheme="minorEastAsia"/>
              <w:noProof/>
              <w:kern w:val="2"/>
              <w:lang w:val="hu-HU" w:eastAsia="hu-HU"/>
              <w14:ligatures w14:val="standardContextual"/>
            </w:rPr>
          </w:pPr>
          <w:hyperlink w:anchor="_Toc153188950" w:history="1">
            <w:r w:rsidR="002F72AF" w:rsidRPr="0070739F">
              <w:rPr>
                <w:rStyle w:val="Hyperlink"/>
                <w:noProof/>
              </w:rPr>
              <w:t>6.1.</w:t>
            </w:r>
            <w:r w:rsidR="002F72AF">
              <w:rPr>
                <w:rFonts w:eastAsiaTheme="minorEastAsia"/>
                <w:noProof/>
                <w:kern w:val="2"/>
                <w:lang w:val="hu-HU" w:eastAsia="hu-HU"/>
                <w14:ligatures w14:val="standardContextual"/>
              </w:rPr>
              <w:tab/>
            </w:r>
            <w:r w:rsidR="002F72AF" w:rsidRPr="0070739F">
              <w:rPr>
                <w:rStyle w:val="Hyperlink"/>
                <w:noProof/>
              </w:rPr>
              <w:t>Vezetői információs rendszerekkel szemben támasztott követelmények</w:t>
            </w:r>
            <w:r w:rsidR="002F72AF">
              <w:rPr>
                <w:noProof/>
                <w:webHidden/>
              </w:rPr>
              <w:tab/>
            </w:r>
            <w:r w:rsidR="002F72AF">
              <w:rPr>
                <w:noProof/>
                <w:webHidden/>
              </w:rPr>
              <w:fldChar w:fldCharType="begin"/>
            </w:r>
            <w:r w:rsidR="002F72AF">
              <w:rPr>
                <w:noProof/>
                <w:webHidden/>
              </w:rPr>
              <w:instrText xml:space="preserve"> PAGEREF _Toc153188950 \h </w:instrText>
            </w:r>
            <w:r w:rsidR="002F72AF">
              <w:rPr>
                <w:noProof/>
                <w:webHidden/>
              </w:rPr>
            </w:r>
            <w:r w:rsidR="002F72AF">
              <w:rPr>
                <w:noProof/>
                <w:webHidden/>
              </w:rPr>
              <w:fldChar w:fldCharType="separate"/>
            </w:r>
            <w:r w:rsidR="00270638">
              <w:rPr>
                <w:noProof/>
                <w:webHidden/>
              </w:rPr>
              <w:t>22</w:t>
            </w:r>
            <w:r w:rsidR="002F72AF">
              <w:rPr>
                <w:noProof/>
                <w:webHidden/>
              </w:rPr>
              <w:fldChar w:fldCharType="end"/>
            </w:r>
          </w:hyperlink>
        </w:p>
        <w:p w14:paraId="14373F09" w14:textId="0195F043" w:rsidR="002F72AF" w:rsidRDefault="00334847">
          <w:pPr>
            <w:pStyle w:val="TOC2"/>
            <w:rPr>
              <w:rFonts w:eastAsiaTheme="minorEastAsia"/>
              <w:noProof/>
              <w:kern w:val="2"/>
              <w:lang w:val="hu-HU" w:eastAsia="hu-HU"/>
              <w14:ligatures w14:val="standardContextual"/>
            </w:rPr>
          </w:pPr>
          <w:hyperlink w:anchor="_Toc153188951" w:history="1">
            <w:r w:rsidR="002F72AF" w:rsidRPr="0070739F">
              <w:rPr>
                <w:rStyle w:val="Hyperlink"/>
                <w:noProof/>
              </w:rPr>
              <w:t>6.2.</w:t>
            </w:r>
            <w:r w:rsidR="002F72AF">
              <w:rPr>
                <w:rFonts w:eastAsiaTheme="minorEastAsia"/>
                <w:noProof/>
                <w:kern w:val="2"/>
                <w:lang w:val="hu-HU" w:eastAsia="hu-HU"/>
                <w14:ligatures w14:val="standardContextual"/>
              </w:rPr>
              <w:tab/>
            </w:r>
            <w:r w:rsidR="002F72AF" w:rsidRPr="0070739F">
              <w:rPr>
                <w:rStyle w:val="Hyperlink"/>
                <w:noProof/>
              </w:rPr>
              <w:t>Elvárások teljesítésének határideje</w:t>
            </w:r>
            <w:r w:rsidR="002F72AF">
              <w:rPr>
                <w:noProof/>
                <w:webHidden/>
              </w:rPr>
              <w:tab/>
            </w:r>
            <w:r w:rsidR="002F72AF">
              <w:rPr>
                <w:noProof/>
                <w:webHidden/>
              </w:rPr>
              <w:fldChar w:fldCharType="begin"/>
            </w:r>
            <w:r w:rsidR="002F72AF">
              <w:rPr>
                <w:noProof/>
                <w:webHidden/>
              </w:rPr>
              <w:instrText xml:space="preserve"> PAGEREF _Toc153188951 \h </w:instrText>
            </w:r>
            <w:r w:rsidR="002F72AF">
              <w:rPr>
                <w:noProof/>
                <w:webHidden/>
              </w:rPr>
            </w:r>
            <w:r w:rsidR="002F72AF">
              <w:rPr>
                <w:noProof/>
                <w:webHidden/>
              </w:rPr>
              <w:fldChar w:fldCharType="separate"/>
            </w:r>
            <w:r w:rsidR="00270638">
              <w:rPr>
                <w:noProof/>
                <w:webHidden/>
              </w:rPr>
              <w:t>24</w:t>
            </w:r>
            <w:r w:rsidR="002F72AF">
              <w:rPr>
                <w:noProof/>
                <w:webHidden/>
              </w:rPr>
              <w:fldChar w:fldCharType="end"/>
            </w:r>
          </w:hyperlink>
        </w:p>
        <w:p w14:paraId="267A02EE" w14:textId="53635CBA" w:rsidR="002F72AF" w:rsidRDefault="00334847">
          <w:pPr>
            <w:pStyle w:val="TOC2"/>
            <w:rPr>
              <w:rFonts w:eastAsiaTheme="minorEastAsia"/>
              <w:noProof/>
              <w:kern w:val="2"/>
              <w:lang w:val="hu-HU" w:eastAsia="hu-HU"/>
              <w14:ligatures w14:val="standardContextual"/>
            </w:rPr>
          </w:pPr>
          <w:hyperlink w:anchor="_Toc153188952" w:history="1">
            <w:r w:rsidR="002F72AF" w:rsidRPr="0070739F">
              <w:rPr>
                <w:rStyle w:val="Hyperlink"/>
                <w:noProof/>
              </w:rPr>
              <w:t>6.3.</w:t>
            </w:r>
            <w:r w:rsidR="002F72AF">
              <w:rPr>
                <w:rFonts w:eastAsiaTheme="minorEastAsia"/>
                <w:noProof/>
                <w:kern w:val="2"/>
                <w:lang w:val="hu-HU" w:eastAsia="hu-HU"/>
                <w14:ligatures w14:val="standardContextual"/>
              </w:rPr>
              <w:tab/>
            </w:r>
            <w:r w:rsidR="002F72AF" w:rsidRPr="0070739F">
              <w:rPr>
                <w:rStyle w:val="Hyperlink"/>
                <w:noProof/>
              </w:rPr>
              <w:t>Elvárások teljesítésének ellenőrzése, meg nem felelés következményei</w:t>
            </w:r>
            <w:r w:rsidR="002F72AF">
              <w:rPr>
                <w:noProof/>
                <w:webHidden/>
              </w:rPr>
              <w:tab/>
            </w:r>
            <w:r w:rsidR="002F72AF">
              <w:rPr>
                <w:noProof/>
                <w:webHidden/>
              </w:rPr>
              <w:fldChar w:fldCharType="begin"/>
            </w:r>
            <w:r w:rsidR="002F72AF">
              <w:rPr>
                <w:noProof/>
                <w:webHidden/>
              </w:rPr>
              <w:instrText xml:space="preserve"> PAGEREF _Toc153188952 \h </w:instrText>
            </w:r>
            <w:r w:rsidR="002F72AF">
              <w:rPr>
                <w:noProof/>
                <w:webHidden/>
              </w:rPr>
            </w:r>
            <w:r w:rsidR="002F72AF">
              <w:rPr>
                <w:noProof/>
                <w:webHidden/>
              </w:rPr>
              <w:fldChar w:fldCharType="separate"/>
            </w:r>
            <w:r w:rsidR="00270638">
              <w:rPr>
                <w:noProof/>
                <w:webHidden/>
              </w:rPr>
              <w:t>25</w:t>
            </w:r>
            <w:r w:rsidR="002F72AF">
              <w:rPr>
                <w:noProof/>
                <w:webHidden/>
              </w:rPr>
              <w:fldChar w:fldCharType="end"/>
            </w:r>
          </w:hyperlink>
        </w:p>
        <w:p w14:paraId="31CF22F4" w14:textId="7E97646E" w:rsidR="002F72AF" w:rsidRDefault="00334847" w:rsidP="002F72AF">
          <w:pPr>
            <w:pStyle w:val="TOC1"/>
            <w:rPr>
              <w:rFonts w:eastAsiaTheme="minorEastAsia"/>
              <w:kern w:val="2"/>
              <w:lang w:val="hu-HU" w:eastAsia="hu-HU"/>
              <w14:ligatures w14:val="standardContextual"/>
            </w:rPr>
          </w:pPr>
          <w:hyperlink w:anchor="_Toc153188953" w:history="1">
            <w:r w:rsidR="002F72AF" w:rsidRPr="0070739F">
              <w:rPr>
                <w:rStyle w:val="Hyperlink"/>
              </w:rPr>
              <w:t>7.</w:t>
            </w:r>
            <w:r w:rsidR="002F72AF">
              <w:rPr>
                <w:rFonts w:eastAsiaTheme="minorEastAsia"/>
                <w:kern w:val="2"/>
                <w:lang w:val="hu-HU" w:eastAsia="hu-HU"/>
                <w14:ligatures w14:val="standardContextual"/>
              </w:rPr>
              <w:tab/>
            </w:r>
            <w:r w:rsidR="002F72AF" w:rsidRPr="0070739F">
              <w:rPr>
                <w:rStyle w:val="Hyperlink"/>
              </w:rPr>
              <w:t>Figyelemfelhívás</w:t>
            </w:r>
            <w:r w:rsidR="002F72AF">
              <w:rPr>
                <w:webHidden/>
              </w:rPr>
              <w:tab/>
            </w:r>
            <w:r w:rsidR="002F72AF">
              <w:rPr>
                <w:webHidden/>
              </w:rPr>
              <w:fldChar w:fldCharType="begin"/>
            </w:r>
            <w:r w:rsidR="002F72AF">
              <w:rPr>
                <w:webHidden/>
              </w:rPr>
              <w:instrText xml:space="preserve"> PAGEREF _Toc153188953 \h </w:instrText>
            </w:r>
            <w:r w:rsidR="002F72AF">
              <w:rPr>
                <w:webHidden/>
              </w:rPr>
            </w:r>
            <w:r w:rsidR="002F72AF">
              <w:rPr>
                <w:webHidden/>
              </w:rPr>
              <w:fldChar w:fldCharType="separate"/>
            </w:r>
            <w:r w:rsidR="00270638">
              <w:rPr>
                <w:webHidden/>
              </w:rPr>
              <w:t>26</w:t>
            </w:r>
            <w:r w:rsidR="002F72AF">
              <w:rPr>
                <w:webHidden/>
              </w:rPr>
              <w:fldChar w:fldCharType="end"/>
            </w:r>
          </w:hyperlink>
        </w:p>
        <w:p w14:paraId="4371B2F2" w14:textId="77777777" w:rsidR="00CF45E9" w:rsidRPr="004B61C4" w:rsidRDefault="00EB3509" w:rsidP="00E85407">
          <w:pPr>
            <w:ind w:right="-3290"/>
            <w:rPr>
              <w:sz w:val="22"/>
            </w:rPr>
          </w:pPr>
          <w:r>
            <w:rPr>
              <w:sz w:val="22"/>
            </w:rPr>
            <w:fldChar w:fldCharType="end"/>
          </w:r>
        </w:p>
      </w:sdtContent>
    </w:sdt>
    <w:p w14:paraId="7BEAD2B0" w14:textId="77777777" w:rsidR="001622CC" w:rsidRDefault="001622CC">
      <w:pPr>
        <w:spacing w:after="200" w:line="276" w:lineRule="auto"/>
        <w:rPr>
          <w:b/>
          <w:bCs/>
          <w:sz w:val="24"/>
          <w:szCs w:val="28"/>
        </w:rPr>
      </w:pPr>
      <w:r>
        <w:rPr>
          <w:b/>
          <w:bCs/>
          <w:sz w:val="24"/>
          <w:szCs w:val="28"/>
        </w:rPr>
        <w:br w:type="page"/>
      </w:r>
    </w:p>
    <w:p w14:paraId="7AA1B5E6" w14:textId="77777777" w:rsidR="00B07BC3" w:rsidRPr="00B07BC3" w:rsidRDefault="00B07BC3" w:rsidP="00270638">
      <w:pPr>
        <w:pStyle w:val="Heading1"/>
        <w:ind w:left="360" w:right="-3141" w:hanging="360"/>
      </w:pPr>
      <w:bookmarkStart w:id="1" w:name="_Toc153188932"/>
      <w:r w:rsidRPr="00B07BC3">
        <w:lastRenderedPageBreak/>
        <w:t>Bevezetés - az adatszolgáltatás</w:t>
      </w:r>
      <w:r w:rsidR="00214FDB">
        <w:t>i képesség kialakításának</w:t>
      </w:r>
      <w:r w:rsidRPr="00B07BC3">
        <w:t xml:space="preserve"> célja</w:t>
      </w:r>
      <w:bookmarkEnd w:id="1"/>
    </w:p>
    <w:p w14:paraId="28CC4473" w14:textId="295A48C7" w:rsidR="008E4C6A" w:rsidRDefault="00F60173" w:rsidP="00270638">
      <w:pPr>
        <w:ind w:right="-3141"/>
        <w:textAlignment w:val="center"/>
        <w:rPr>
          <w:rFonts w:eastAsia="Times New Roman" w:cstheme="minorHAnsi"/>
          <w:sz w:val="22"/>
          <w:lang w:val="hu-HU"/>
        </w:rPr>
      </w:pPr>
      <w:bookmarkStart w:id="2" w:name="_Hlk145490609"/>
      <w:r>
        <w:rPr>
          <w:rFonts w:eastAsia="Times New Roman" w:cstheme="minorHAnsi"/>
          <w:sz w:val="22"/>
          <w:lang w:val="hu-HU"/>
        </w:rPr>
        <w:t>A</w:t>
      </w:r>
      <w:r w:rsidRPr="004B61C4">
        <w:rPr>
          <w:rFonts w:eastAsia="Times New Roman" w:cstheme="minorHAnsi"/>
          <w:sz w:val="22"/>
          <w:lang w:val="hu-HU"/>
        </w:rPr>
        <w:t xml:space="preserve"> Magyar Nemzeti Bank </w:t>
      </w:r>
      <w:r w:rsidRPr="00C45042">
        <w:rPr>
          <w:rFonts w:eastAsia="Times New Roman" w:cstheme="minorHAnsi"/>
          <w:sz w:val="22"/>
          <w:lang w:val="hu-HU"/>
        </w:rPr>
        <w:t>(továbbiakban „MNB”)</w:t>
      </w:r>
      <w:r w:rsidR="008E4C6A" w:rsidRPr="008E4C6A">
        <w:rPr>
          <w:rFonts w:eastAsia="Times New Roman" w:cstheme="minorHAnsi"/>
          <w:sz w:val="22"/>
          <w:lang w:val="hu-HU"/>
        </w:rPr>
        <w:t xml:space="preserve">, mint szanálási hatóság kidolgozta az </w:t>
      </w:r>
      <w:r w:rsidR="00093614">
        <w:rPr>
          <w:rFonts w:eastAsia="Times New Roman" w:cstheme="minorHAnsi"/>
          <w:sz w:val="22"/>
          <w:lang w:val="hu-HU"/>
        </w:rPr>
        <w:t xml:space="preserve">érintett </w:t>
      </w:r>
      <w:r w:rsidR="008E4C6A" w:rsidRPr="008E4C6A">
        <w:rPr>
          <w:rFonts w:eastAsia="Times New Roman" w:cstheme="minorHAnsi"/>
          <w:sz w:val="22"/>
          <w:lang w:val="hu-HU"/>
        </w:rPr>
        <w:t xml:space="preserve">intézmények számára az intézményi megfelelés elősegítése érdekében, </w:t>
      </w:r>
      <w:bookmarkStart w:id="3" w:name="_Hlk145489620"/>
      <w:r w:rsidR="008E4C6A" w:rsidRPr="00A46D15">
        <w:rPr>
          <w:rFonts w:eastAsia="Times New Roman" w:cstheme="minorHAnsi"/>
          <w:b/>
          <w:bCs/>
          <w:sz w:val="22"/>
          <w:lang w:val="hu-HU"/>
        </w:rPr>
        <w:t>a</w:t>
      </w:r>
      <w:r w:rsidR="000E061D">
        <w:rPr>
          <w:rFonts w:eastAsia="Times New Roman" w:cstheme="minorHAnsi"/>
          <w:b/>
          <w:bCs/>
          <w:sz w:val="22"/>
          <w:lang w:val="hu-HU"/>
        </w:rPr>
        <w:t xml:space="preserve"> szanálási vagyon-</w:t>
      </w:r>
      <w:r w:rsidR="008E4C6A" w:rsidRPr="00A46D15">
        <w:rPr>
          <w:rFonts w:eastAsia="Times New Roman" w:cstheme="minorHAnsi"/>
          <w:b/>
          <w:bCs/>
          <w:sz w:val="22"/>
          <w:lang w:val="hu-HU"/>
        </w:rPr>
        <w:t>értékelések</w:t>
      </w:r>
      <w:r w:rsidR="00E96ACF">
        <w:rPr>
          <w:rFonts w:eastAsia="Times New Roman" w:cstheme="minorHAnsi"/>
          <w:b/>
          <w:bCs/>
          <w:sz w:val="22"/>
          <w:lang w:val="hu-HU"/>
        </w:rPr>
        <w:t xml:space="preserve">hez és a </w:t>
      </w:r>
      <w:r w:rsidR="008F5804">
        <w:rPr>
          <w:rFonts w:eastAsia="Times New Roman" w:cstheme="minorHAnsi"/>
          <w:b/>
          <w:bCs/>
          <w:sz w:val="22"/>
          <w:lang w:val="hu-HU"/>
        </w:rPr>
        <w:t>szanálási intézkedések</w:t>
      </w:r>
      <w:r w:rsidR="00FD24B3">
        <w:rPr>
          <w:rFonts w:eastAsia="Times New Roman" w:cstheme="minorHAnsi"/>
          <w:sz w:val="22"/>
          <w:lang w:val="hu-HU"/>
        </w:rPr>
        <w:t xml:space="preserve"> </w:t>
      </w:r>
      <w:r w:rsidR="008F5804">
        <w:rPr>
          <w:rFonts w:eastAsia="Times New Roman" w:cstheme="minorHAnsi"/>
          <w:b/>
          <w:bCs/>
          <w:sz w:val="22"/>
          <w:lang w:val="hu-HU"/>
        </w:rPr>
        <w:t xml:space="preserve">– ideértve a </w:t>
      </w:r>
      <w:r w:rsidR="00E96ACF">
        <w:rPr>
          <w:rFonts w:eastAsia="Times New Roman" w:cstheme="minorHAnsi"/>
          <w:b/>
          <w:bCs/>
          <w:sz w:val="22"/>
          <w:lang w:val="hu-HU"/>
        </w:rPr>
        <w:t>szanálási eszközök alkalmazásá</w:t>
      </w:r>
      <w:r w:rsidR="008F5804">
        <w:rPr>
          <w:rFonts w:eastAsia="Times New Roman" w:cstheme="minorHAnsi"/>
          <w:b/>
          <w:bCs/>
          <w:sz w:val="22"/>
          <w:lang w:val="hu-HU"/>
        </w:rPr>
        <w:t xml:space="preserve">t – megalapozásához </w:t>
      </w:r>
      <w:proofErr w:type="gramStart"/>
      <w:r w:rsidR="00E96ACF">
        <w:rPr>
          <w:rFonts w:eastAsia="Times New Roman" w:cstheme="minorHAnsi"/>
          <w:b/>
          <w:bCs/>
          <w:sz w:val="22"/>
          <w:lang w:val="hu-HU"/>
        </w:rPr>
        <w:t xml:space="preserve">szükséges </w:t>
      </w:r>
      <w:r w:rsidR="008E4C6A" w:rsidRPr="000B17BD">
        <w:rPr>
          <w:rFonts w:eastAsia="Times New Roman" w:cstheme="minorHAnsi"/>
          <w:b/>
          <w:bCs/>
          <w:sz w:val="22"/>
          <w:lang w:val="hu-HU"/>
        </w:rPr>
        <w:t xml:space="preserve"> </w:t>
      </w:r>
      <w:r w:rsidR="008F5804">
        <w:rPr>
          <w:rFonts w:eastAsia="Times New Roman" w:cstheme="minorHAnsi"/>
          <w:b/>
          <w:bCs/>
          <w:sz w:val="22"/>
          <w:lang w:val="hu-HU"/>
        </w:rPr>
        <w:t>adatok</w:t>
      </w:r>
      <w:proofErr w:type="gramEnd"/>
      <w:r w:rsidR="008F5804">
        <w:rPr>
          <w:rFonts w:eastAsia="Times New Roman" w:cstheme="minorHAnsi"/>
          <w:b/>
          <w:bCs/>
          <w:sz w:val="22"/>
          <w:lang w:val="hu-HU"/>
        </w:rPr>
        <w:t xml:space="preserve"> megfelelő időben és összetételben történő biztosítására irányuló</w:t>
      </w:r>
      <w:r w:rsidR="008E4C6A" w:rsidRPr="00E85407">
        <w:rPr>
          <w:rFonts w:eastAsia="Times New Roman" w:cstheme="minorHAnsi"/>
          <w:b/>
          <w:bCs/>
          <w:sz w:val="22"/>
          <w:lang w:val="hu-HU"/>
        </w:rPr>
        <w:t>képesség</w:t>
      </w:r>
      <w:r w:rsidR="008E4C6A" w:rsidRPr="00E74ECA">
        <w:rPr>
          <w:rFonts w:eastAsia="Times New Roman" w:cstheme="minorHAnsi"/>
          <w:sz w:val="22"/>
          <w:lang w:val="hu-HU"/>
        </w:rPr>
        <w:t xml:space="preserve"> </w:t>
      </w:r>
      <w:r w:rsidR="008E4C6A" w:rsidRPr="00E85407">
        <w:rPr>
          <w:rFonts w:eastAsia="Times New Roman" w:cstheme="minorHAnsi"/>
          <w:b/>
          <w:bCs/>
          <w:sz w:val="22"/>
          <w:lang w:val="hu-HU"/>
        </w:rPr>
        <w:t>kiépítésére</w:t>
      </w:r>
      <w:r w:rsidR="008E4C6A" w:rsidRPr="00E74ECA">
        <w:rPr>
          <w:rFonts w:eastAsia="Times New Roman" w:cstheme="minorHAnsi"/>
          <w:sz w:val="22"/>
          <w:lang w:val="hu-HU"/>
        </w:rPr>
        <w:t xml:space="preserve"> vonatkozó elvárásai</w:t>
      </w:r>
      <w:bookmarkEnd w:id="3"/>
      <w:r w:rsidR="008E4C6A" w:rsidRPr="00E74ECA">
        <w:rPr>
          <w:rFonts w:eastAsia="Times New Roman" w:cstheme="minorHAnsi"/>
          <w:sz w:val="22"/>
          <w:lang w:val="hu-HU"/>
        </w:rPr>
        <w:t>t</w:t>
      </w:r>
      <w:r w:rsidR="00093614" w:rsidRPr="00E74ECA">
        <w:rPr>
          <w:rFonts w:eastAsia="Times New Roman" w:cstheme="minorHAnsi"/>
          <w:sz w:val="22"/>
          <w:lang w:val="hu-HU"/>
        </w:rPr>
        <w:t>.</w:t>
      </w:r>
    </w:p>
    <w:p w14:paraId="23D00B73" w14:textId="4758380D" w:rsidR="00C5643C" w:rsidRDefault="00E74ECA" w:rsidP="00270638">
      <w:pPr>
        <w:ind w:right="-3141"/>
        <w:textAlignment w:val="center"/>
        <w:rPr>
          <w:rFonts w:eastAsia="Times New Roman" w:cstheme="minorHAnsi"/>
          <w:sz w:val="22"/>
          <w:lang w:val="hu-HU"/>
        </w:rPr>
      </w:pPr>
      <w:r w:rsidRPr="00920E0F">
        <w:rPr>
          <w:sz w:val="22"/>
          <w:szCs w:val="24"/>
          <w:lang w:val="hu-HU"/>
        </w:rPr>
        <w:t xml:space="preserve">A jelen dokumentumban bemutatott elvárásoknak való </w:t>
      </w:r>
      <w:r w:rsidRPr="00920E0F">
        <w:rPr>
          <w:b/>
          <w:bCs/>
          <w:sz w:val="22"/>
          <w:szCs w:val="24"/>
          <w:lang w:val="hu-HU"/>
        </w:rPr>
        <w:t xml:space="preserve">teljes megfelelést az MNB </w:t>
      </w:r>
      <w:r w:rsidR="00C5643C">
        <w:rPr>
          <w:b/>
          <w:bCs/>
          <w:sz w:val="22"/>
          <w:szCs w:val="24"/>
          <w:lang w:val="hu-HU"/>
        </w:rPr>
        <w:t>főszabály szerint</w:t>
      </w:r>
      <w:r w:rsidR="00C5643C" w:rsidRPr="00920E0F">
        <w:rPr>
          <w:b/>
          <w:bCs/>
          <w:sz w:val="22"/>
          <w:szCs w:val="24"/>
          <w:lang w:val="hu-HU"/>
        </w:rPr>
        <w:t xml:space="preserve"> </w:t>
      </w:r>
      <w:r w:rsidRPr="00920E0F">
        <w:rPr>
          <w:b/>
          <w:bCs/>
          <w:sz w:val="22"/>
          <w:szCs w:val="24"/>
          <w:lang w:val="hu-HU"/>
        </w:rPr>
        <w:t>2025. december 31-re várja el</w:t>
      </w:r>
      <w:r w:rsidRPr="00920E0F">
        <w:rPr>
          <w:sz w:val="22"/>
          <w:szCs w:val="24"/>
          <w:lang w:val="hu-HU"/>
        </w:rPr>
        <w:t>.</w:t>
      </w:r>
      <w:r>
        <w:rPr>
          <w:sz w:val="22"/>
          <w:szCs w:val="24"/>
          <w:lang w:val="hu-HU"/>
        </w:rPr>
        <w:t xml:space="preserve"> Az </w:t>
      </w:r>
      <w:r w:rsidR="00E96ACF" w:rsidRPr="00920E0F">
        <w:rPr>
          <w:b/>
          <w:bCs/>
          <w:sz w:val="22"/>
          <w:szCs w:val="24"/>
          <w:lang w:val="hu-HU"/>
        </w:rPr>
        <w:t>adat</w:t>
      </w:r>
      <w:r w:rsidR="00E96ACF">
        <w:rPr>
          <w:b/>
          <w:bCs/>
          <w:sz w:val="22"/>
          <w:szCs w:val="24"/>
          <w:lang w:val="hu-HU"/>
        </w:rPr>
        <w:t>ok nyújtására vonatkozó</w:t>
      </w:r>
      <w:r w:rsidR="00E96ACF" w:rsidRPr="00920E0F">
        <w:rPr>
          <w:b/>
          <w:bCs/>
          <w:sz w:val="22"/>
          <w:szCs w:val="24"/>
          <w:lang w:val="hu-HU"/>
        </w:rPr>
        <w:t xml:space="preserve"> </w:t>
      </w:r>
      <w:r w:rsidRPr="00920E0F">
        <w:rPr>
          <w:b/>
          <w:bCs/>
          <w:sz w:val="22"/>
          <w:szCs w:val="24"/>
          <w:lang w:val="hu-HU"/>
        </w:rPr>
        <w:t>képesség kialakítása</w:t>
      </w:r>
      <w:r w:rsidRPr="00920E0F">
        <w:rPr>
          <w:sz w:val="22"/>
          <w:szCs w:val="24"/>
          <w:lang w:val="hu-HU"/>
        </w:rPr>
        <w:t xml:space="preserve"> </w:t>
      </w:r>
      <w:r>
        <w:rPr>
          <w:sz w:val="22"/>
          <w:szCs w:val="24"/>
          <w:lang w:val="hu-HU"/>
        </w:rPr>
        <w:t xml:space="preserve">és a feladatok teljesítésének ellenőrizhetősége </w:t>
      </w:r>
      <w:r w:rsidR="00280DDB">
        <w:rPr>
          <w:sz w:val="22"/>
          <w:szCs w:val="24"/>
          <w:lang w:val="hu-HU"/>
        </w:rPr>
        <w:t>érdekében,</w:t>
      </w:r>
      <w:r>
        <w:rPr>
          <w:b/>
          <w:bCs/>
          <w:sz w:val="22"/>
          <w:szCs w:val="24"/>
          <w:lang w:val="hu-HU"/>
        </w:rPr>
        <w:t xml:space="preserve"> </w:t>
      </w:r>
      <w:r w:rsidR="00FD24B3">
        <w:rPr>
          <w:sz w:val="22"/>
          <w:szCs w:val="24"/>
          <w:lang w:val="hu-HU"/>
        </w:rPr>
        <w:t>a</w:t>
      </w:r>
      <w:r w:rsidRPr="00920E0F">
        <w:rPr>
          <w:sz w:val="22"/>
          <w:szCs w:val="24"/>
          <w:lang w:val="hu-HU"/>
        </w:rPr>
        <w:t xml:space="preserve">z MNB elvárja, </w:t>
      </w:r>
      <w:proofErr w:type="spellStart"/>
      <w:r w:rsidR="00A46D15" w:rsidRPr="00270638">
        <w:rPr>
          <w:iCs/>
          <w:sz w:val="24"/>
          <w:szCs w:val="24"/>
        </w:rPr>
        <w:t>hogy</w:t>
      </w:r>
      <w:proofErr w:type="spellEnd"/>
      <w:r w:rsidR="00A46D15" w:rsidRPr="00270638">
        <w:rPr>
          <w:iCs/>
          <w:sz w:val="24"/>
          <w:szCs w:val="24"/>
        </w:rPr>
        <w:t xml:space="preserve"> </w:t>
      </w:r>
      <w:proofErr w:type="spellStart"/>
      <w:r w:rsidR="00A46D15" w:rsidRPr="00270638">
        <w:rPr>
          <w:iCs/>
          <w:sz w:val="24"/>
          <w:szCs w:val="24"/>
        </w:rPr>
        <w:t>az</w:t>
      </w:r>
      <w:proofErr w:type="spellEnd"/>
      <w:r w:rsidR="00A46D15" w:rsidRPr="00270638">
        <w:rPr>
          <w:iCs/>
          <w:sz w:val="24"/>
          <w:szCs w:val="24"/>
        </w:rPr>
        <w:t xml:space="preserve"> </w:t>
      </w:r>
      <w:proofErr w:type="spellStart"/>
      <w:r w:rsidR="00A46D15" w:rsidRPr="00270638">
        <w:rPr>
          <w:iCs/>
          <w:sz w:val="24"/>
          <w:szCs w:val="24"/>
        </w:rPr>
        <w:t>intézményeknek</w:t>
      </w:r>
      <w:proofErr w:type="spellEnd"/>
      <w:r w:rsidR="00A46D15" w:rsidRPr="00270638">
        <w:rPr>
          <w:iCs/>
          <w:sz w:val="24"/>
          <w:szCs w:val="24"/>
        </w:rPr>
        <w:t xml:space="preserve"> 2023. </w:t>
      </w:r>
      <w:proofErr w:type="spellStart"/>
      <w:r w:rsidR="00A46D15" w:rsidRPr="00270638">
        <w:rPr>
          <w:iCs/>
          <w:sz w:val="24"/>
          <w:szCs w:val="24"/>
        </w:rPr>
        <w:t>december</w:t>
      </w:r>
      <w:proofErr w:type="spellEnd"/>
      <w:r w:rsidR="00A46D15" w:rsidRPr="00270638">
        <w:rPr>
          <w:iCs/>
          <w:sz w:val="24"/>
          <w:szCs w:val="24"/>
        </w:rPr>
        <w:t xml:space="preserve"> 31-ig </w:t>
      </w:r>
      <w:proofErr w:type="spellStart"/>
      <w:r w:rsidR="00A46D15" w:rsidRPr="00270638">
        <w:rPr>
          <w:iCs/>
          <w:sz w:val="24"/>
          <w:szCs w:val="24"/>
        </w:rPr>
        <w:t>előzetes</w:t>
      </w:r>
      <w:proofErr w:type="spellEnd"/>
      <w:r w:rsidR="00A46D15" w:rsidRPr="00270638">
        <w:rPr>
          <w:iCs/>
          <w:sz w:val="24"/>
          <w:szCs w:val="24"/>
        </w:rPr>
        <w:t xml:space="preserve"> </w:t>
      </w:r>
      <w:proofErr w:type="spellStart"/>
      <w:r w:rsidR="00A46D15" w:rsidRPr="00270638">
        <w:rPr>
          <w:b/>
          <w:bCs/>
          <w:iCs/>
          <w:sz w:val="24"/>
          <w:szCs w:val="24"/>
        </w:rPr>
        <w:t>egyedi</w:t>
      </w:r>
      <w:proofErr w:type="spellEnd"/>
      <w:r w:rsidR="00A46D15" w:rsidRPr="00270638">
        <w:rPr>
          <w:b/>
          <w:bCs/>
          <w:iCs/>
          <w:sz w:val="24"/>
          <w:szCs w:val="24"/>
        </w:rPr>
        <w:t xml:space="preserve"> </w:t>
      </w:r>
      <w:proofErr w:type="spellStart"/>
      <w:r w:rsidR="00A46D15" w:rsidRPr="00270638">
        <w:rPr>
          <w:b/>
          <w:bCs/>
          <w:iCs/>
          <w:sz w:val="24"/>
          <w:szCs w:val="24"/>
        </w:rPr>
        <w:t>megfelelési</w:t>
      </w:r>
      <w:proofErr w:type="spellEnd"/>
      <w:r w:rsidR="00A46D15" w:rsidRPr="00270638">
        <w:rPr>
          <w:b/>
          <w:bCs/>
          <w:iCs/>
          <w:sz w:val="24"/>
          <w:szCs w:val="24"/>
        </w:rPr>
        <w:t xml:space="preserve"> </w:t>
      </w:r>
      <w:proofErr w:type="spellStart"/>
      <w:r w:rsidR="00A46D15" w:rsidRPr="00270638">
        <w:rPr>
          <w:b/>
          <w:bCs/>
          <w:iCs/>
          <w:sz w:val="24"/>
          <w:szCs w:val="24"/>
        </w:rPr>
        <w:t>összefoglalót</w:t>
      </w:r>
      <w:proofErr w:type="spellEnd"/>
      <w:r w:rsidR="00A46D15" w:rsidRPr="00270638">
        <w:rPr>
          <w:b/>
          <w:bCs/>
          <w:iCs/>
          <w:sz w:val="24"/>
          <w:szCs w:val="24"/>
        </w:rPr>
        <w:t xml:space="preserve">, </w:t>
      </w:r>
      <w:proofErr w:type="spellStart"/>
      <w:r w:rsidR="00A46D15" w:rsidRPr="00270638">
        <w:rPr>
          <w:b/>
          <w:bCs/>
          <w:iCs/>
          <w:sz w:val="24"/>
          <w:szCs w:val="24"/>
        </w:rPr>
        <w:t>majd</w:t>
      </w:r>
      <w:proofErr w:type="spellEnd"/>
      <w:r w:rsidR="00A46D15" w:rsidRPr="00270638">
        <w:rPr>
          <w:b/>
          <w:bCs/>
          <w:iCs/>
          <w:sz w:val="24"/>
          <w:szCs w:val="24"/>
        </w:rPr>
        <w:t xml:space="preserve"> 2024. </w:t>
      </w:r>
      <w:proofErr w:type="spellStart"/>
      <w:r w:rsidR="00A46D15" w:rsidRPr="00270638">
        <w:rPr>
          <w:b/>
          <w:bCs/>
          <w:iCs/>
          <w:sz w:val="24"/>
          <w:szCs w:val="24"/>
        </w:rPr>
        <w:t>március</w:t>
      </w:r>
      <w:proofErr w:type="spellEnd"/>
      <w:r w:rsidR="00A46D15" w:rsidRPr="00270638">
        <w:rPr>
          <w:b/>
          <w:bCs/>
          <w:iCs/>
          <w:sz w:val="24"/>
          <w:szCs w:val="24"/>
        </w:rPr>
        <w:t xml:space="preserve"> 31-ig </w:t>
      </w:r>
      <w:proofErr w:type="spellStart"/>
      <w:r w:rsidR="00A46D15" w:rsidRPr="00270638">
        <w:rPr>
          <w:b/>
          <w:bCs/>
          <w:iCs/>
          <w:sz w:val="24"/>
          <w:szCs w:val="24"/>
        </w:rPr>
        <w:t>részletes</w:t>
      </w:r>
      <w:proofErr w:type="spellEnd"/>
      <w:r w:rsidR="00A46D15" w:rsidRPr="00270638">
        <w:rPr>
          <w:b/>
          <w:bCs/>
          <w:iCs/>
          <w:sz w:val="24"/>
          <w:szCs w:val="24"/>
        </w:rPr>
        <w:t xml:space="preserve"> </w:t>
      </w:r>
      <w:proofErr w:type="spellStart"/>
      <w:r w:rsidR="00A46D15" w:rsidRPr="00270638">
        <w:rPr>
          <w:b/>
          <w:bCs/>
          <w:iCs/>
          <w:sz w:val="24"/>
          <w:szCs w:val="24"/>
        </w:rPr>
        <w:t>egyedi</w:t>
      </w:r>
      <w:proofErr w:type="spellEnd"/>
      <w:r w:rsidR="00A46D15" w:rsidRPr="00270638">
        <w:rPr>
          <w:b/>
          <w:bCs/>
          <w:iCs/>
          <w:sz w:val="24"/>
          <w:szCs w:val="24"/>
        </w:rPr>
        <w:t xml:space="preserve"> </w:t>
      </w:r>
      <w:proofErr w:type="spellStart"/>
      <w:r w:rsidR="00A46D15" w:rsidRPr="00270638">
        <w:rPr>
          <w:b/>
          <w:bCs/>
          <w:iCs/>
          <w:sz w:val="24"/>
          <w:szCs w:val="24"/>
        </w:rPr>
        <w:t>projekt</w:t>
      </w:r>
      <w:proofErr w:type="spellEnd"/>
      <w:r w:rsidR="00A46D15" w:rsidRPr="00270638">
        <w:rPr>
          <w:b/>
          <w:bCs/>
          <w:iCs/>
          <w:sz w:val="24"/>
          <w:szCs w:val="24"/>
        </w:rPr>
        <w:t xml:space="preserve"> </w:t>
      </w:r>
      <w:proofErr w:type="spellStart"/>
      <w:r w:rsidR="00A46D15" w:rsidRPr="00270638">
        <w:rPr>
          <w:b/>
          <w:bCs/>
          <w:iCs/>
          <w:sz w:val="24"/>
          <w:szCs w:val="24"/>
        </w:rPr>
        <w:t>ütemtervet</w:t>
      </w:r>
      <w:proofErr w:type="spellEnd"/>
      <w:r w:rsidR="00A46D15" w:rsidRPr="00270638">
        <w:rPr>
          <w:b/>
          <w:bCs/>
          <w:iCs/>
          <w:sz w:val="24"/>
          <w:szCs w:val="24"/>
        </w:rPr>
        <w:t xml:space="preserve"> </w:t>
      </w:r>
      <w:proofErr w:type="spellStart"/>
      <w:r w:rsidR="00FD24B3">
        <w:rPr>
          <w:b/>
          <w:bCs/>
          <w:iCs/>
          <w:sz w:val="24"/>
          <w:szCs w:val="24"/>
        </w:rPr>
        <w:t>alakítsanak</w:t>
      </w:r>
      <w:proofErr w:type="spellEnd"/>
      <w:r w:rsidR="00FD24B3">
        <w:rPr>
          <w:b/>
          <w:bCs/>
          <w:iCs/>
          <w:sz w:val="24"/>
          <w:szCs w:val="24"/>
        </w:rPr>
        <w:t xml:space="preserve"> </w:t>
      </w:r>
      <w:proofErr w:type="gramStart"/>
      <w:r w:rsidR="00FD24B3">
        <w:rPr>
          <w:b/>
          <w:bCs/>
          <w:iCs/>
          <w:sz w:val="24"/>
          <w:szCs w:val="24"/>
        </w:rPr>
        <w:t>ki</w:t>
      </w:r>
      <w:r w:rsidR="00A46D15">
        <w:rPr>
          <w:b/>
          <w:bCs/>
          <w:iCs/>
          <w:sz w:val="24"/>
          <w:szCs w:val="24"/>
        </w:rPr>
        <w:t>.</w:t>
      </w:r>
      <w:r w:rsidRPr="009329DF">
        <w:rPr>
          <w:sz w:val="22"/>
          <w:szCs w:val="24"/>
          <w:lang w:val="hu-HU"/>
        </w:rPr>
        <w:t>.</w:t>
      </w:r>
      <w:bookmarkEnd w:id="2"/>
      <w:proofErr w:type="gramEnd"/>
    </w:p>
    <w:p w14:paraId="6673E789" w14:textId="1245B516" w:rsidR="00C5643C" w:rsidRPr="00C970BB" w:rsidRDefault="00C5643C" w:rsidP="00270638">
      <w:pPr>
        <w:pStyle w:val="Heading2"/>
        <w:ind w:left="360" w:right="-3141" w:hanging="396"/>
      </w:pPr>
      <w:bookmarkStart w:id="4" w:name="_Toc153188933"/>
      <w:r>
        <w:t>A</w:t>
      </w:r>
      <w:r w:rsidR="00E96ACF">
        <w:t>datok nyújtására vonatkozó</w:t>
      </w:r>
      <w:r>
        <w:t>képesség kialakítás</w:t>
      </w:r>
      <w:r w:rsidR="002B2532">
        <w:t>ának</w:t>
      </w:r>
      <w:r>
        <w:t xml:space="preserve"> háttere</w:t>
      </w:r>
      <w:bookmarkEnd w:id="4"/>
    </w:p>
    <w:p w14:paraId="3646D5C5" w14:textId="3D8E50F5" w:rsidR="008F5804" w:rsidRDefault="004A1F51" w:rsidP="00270638">
      <w:pPr>
        <w:ind w:right="-3141"/>
        <w:textAlignment w:val="center"/>
        <w:rPr>
          <w:rFonts w:eastAsia="Times New Roman" w:cstheme="minorHAnsi"/>
          <w:sz w:val="22"/>
          <w:lang w:val="hu-HU"/>
        </w:rPr>
      </w:pPr>
      <w:r w:rsidRPr="00EC65D7">
        <w:rPr>
          <w:rFonts w:eastAsia="Times New Roman" w:cstheme="minorHAnsi"/>
          <w:sz w:val="22"/>
          <w:lang w:val="hu-HU"/>
        </w:rPr>
        <w:t xml:space="preserve">Az </w:t>
      </w:r>
      <w:r w:rsidR="00335D47" w:rsidRPr="00082539">
        <w:rPr>
          <w:rFonts w:eastAsia="Times New Roman" w:cstheme="minorHAnsi"/>
          <w:sz w:val="22"/>
          <w:lang w:val="hu-HU"/>
        </w:rPr>
        <w:t xml:space="preserve">Európai Parlament és a Tanács </w:t>
      </w:r>
      <w:r w:rsidR="009329DF">
        <w:rPr>
          <w:rFonts w:eastAsia="Times New Roman" w:cstheme="minorHAnsi"/>
          <w:sz w:val="22"/>
          <w:lang w:val="hu-HU"/>
        </w:rPr>
        <w:t xml:space="preserve">hitelintézetek és befektetési vállalkozások helyreállítási és </w:t>
      </w:r>
      <w:r w:rsidR="009329DF" w:rsidRPr="00082539">
        <w:rPr>
          <w:rFonts w:eastAsia="Times New Roman" w:cstheme="minorHAnsi"/>
          <w:sz w:val="22"/>
          <w:lang w:val="hu-HU"/>
        </w:rPr>
        <w:t>szanálás</w:t>
      </w:r>
      <w:r w:rsidR="009329DF">
        <w:rPr>
          <w:rFonts w:eastAsia="Times New Roman" w:cstheme="minorHAnsi"/>
          <w:sz w:val="22"/>
          <w:lang w:val="hu-HU"/>
        </w:rPr>
        <w:t>i</w:t>
      </w:r>
      <w:r w:rsidR="009329DF" w:rsidRPr="00082539">
        <w:rPr>
          <w:rFonts w:eastAsia="Times New Roman" w:cstheme="minorHAnsi"/>
          <w:sz w:val="22"/>
          <w:lang w:val="hu-HU"/>
        </w:rPr>
        <w:t xml:space="preserve"> </w:t>
      </w:r>
      <w:r w:rsidR="009329DF">
        <w:rPr>
          <w:rFonts w:eastAsia="Times New Roman" w:cstheme="minorHAnsi"/>
          <w:sz w:val="22"/>
          <w:lang w:val="hu-HU"/>
        </w:rPr>
        <w:t>keretrendszerének kialakítását célzó,</w:t>
      </w:r>
      <w:r w:rsidR="00335D47" w:rsidRPr="00082539">
        <w:rPr>
          <w:rFonts w:eastAsia="Times New Roman" w:cstheme="minorHAnsi"/>
          <w:sz w:val="22"/>
          <w:lang w:val="hu-HU"/>
        </w:rPr>
        <w:t xml:space="preserve"> 2014/</w:t>
      </w:r>
      <w:r w:rsidR="001F15F7">
        <w:rPr>
          <w:rFonts w:eastAsia="Times New Roman" w:cstheme="minorHAnsi"/>
          <w:sz w:val="22"/>
          <w:lang w:val="hu-HU"/>
        </w:rPr>
        <w:t>59/</w:t>
      </w:r>
      <w:r w:rsidR="00335D47" w:rsidRPr="00082539">
        <w:rPr>
          <w:rFonts w:eastAsia="Times New Roman" w:cstheme="minorHAnsi"/>
          <w:sz w:val="22"/>
          <w:lang w:val="hu-HU"/>
        </w:rPr>
        <w:t xml:space="preserve">EU </w:t>
      </w:r>
      <w:r w:rsidR="009329DF">
        <w:rPr>
          <w:rFonts w:eastAsia="Times New Roman" w:cstheme="minorHAnsi"/>
          <w:sz w:val="22"/>
          <w:lang w:val="hu-HU"/>
        </w:rPr>
        <w:t>irányelvet</w:t>
      </w:r>
      <w:r w:rsidR="00335D47">
        <w:rPr>
          <w:rFonts w:eastAsia="Times New Roman" w:cstheme="minorHAnsi"/>
          <w:sz w:val="22"/>
          <w:lang w:val="hu-HU"/>
        </w:rPr>
        <w:t xml:space="preserve"> („</w:t>
      </w:r>
      <w:proofErr w:type="spellStart"/>
      <w:r w:rsidR="00335D47">
        <w:rPr>
          <w:rFonts w:eastAsia="Times New Roman" w:cstheme="minorHAnsi"/>
          <w:sz w:val="22"/>
          <w:lang w:val="hu-HU"/>
        </w:rPr>
        <w:t>BRRD</w:t>
      </w:r>
      <w:proofErr w:type="spellEnd"/>
      <w:r w:rsidR="00335D47">
        <w:rPr>
          <w:rFonts w:eastAsia="Times New Roman" w:cstheme="minorHAnsi"/>
          <w:sz w:val="22"/>
          <w:lang w:val="hu-HU"/>
        </w:rPr>
        <w:t>”)</w:t>
      </w:r>
      <w:r w:rsidR="00AF5455" w:rsidRPr="00EC65D7">
        <w:rPr>
          <w:rFonts w:eastAsia="Times New Roman" w:cstheme="minorHAnsi"/>
          <w:sz w:val="22"/>
          <w:lang w:val="hu-HU"/>
        </w:rPr>
        <w:t xml:space="preserve"> </w:t>
      </w:r>
      <w:r w:rsidR="009329DF">
        <w:rPr>
          <w:rFonts w:eastAsia="Times New Roman" w:cstheme="minorHAnsi"/>
          <w:sz w:val="22"/>
          <w:lang w:val="hu-HU"/>
        </w:rPr>
        <w:t>átültető magyar Szanálási törvény</w:t>
      </w:r>
      <w:r w:rsidR="009329DF">
        <w:rPr>
          <w:rStyle w:val="FootnoteReference"/>
          <w:rFonts w:eastAsia="Times New Roman" w:cstheme="minorHAnsi"/>
          <w:sz w:val="22"/>
          <w:lang w:val="hu-HU"/>
        </w:rPr>
        <w:footnoteReference w:id="2"/>
      </w:r>
      <w:r w:rsidR="009329DF" w:rsidRPr="00B07BC3">
        <w:rPr>
          <w:rFonts w:eastAsia="Times New Roman" w:cstheme="minorHAnsi"/>
          <w:sz w:val="22"/>
          <w:lang w:val="hu-HU"/>
        </w:rPr>
        <w:t xml:space="preserve"> </w:t>
      </w:r>
      <w:r w:rsidR="009329DF">
        <w:rPr>
          <w:rFonts w:eastAsia="Times New Roman" w:cstheme="minorHAnsi"/>
          <w:sz w:val="22"/>
          <w:lang w:val="hu-HU"/>
        </w:rPr>
        <w:t>(„Szanálási törvény” vagy „</w:t>
      </w:r>
      <w:proofErr w:type="spellStart"/>
      <w:r w:rsidR="009329DF">
        <w:rPr>
          <w:rFonts w:eastAsia="Times New Roman" w:cstheme="minorHAnsi"/>
          <w:sz w:val="22"/>
          <w:lang w:val="hu-HU"/>
        </w:rPr>
        <w:t>Szantv</w:t>
      </w:r>
      <w:proofErr w:type="spellEnd"/>
      <w:r w:rsidR="009329DF">
        <w:rPr>
          <w:rFonts w:eastAsia="Times New Roman" w:cstheme="minorHAnsi"/>
          <w:sz w:val="22"/>
          <w:lang w:val="hu-HU"/>
        </w:rPr>
        <w:t xml:space="preserve">.”) szerinti szanálási hatósági feladatokat a Magyar Nemzeti Bank (MNB) látja el Magyarországon.  </w:t>
      </w:r>
      <w:r w:rsidR="001F53C9" w:rsidRPr="004B61C4">
        <w:rPr>
          <w:rFonts w:eastAsia="Times New Roman" w:cstheme="minorHAnsi"/>
          <w:sz w:val="22"/>
          <w:lang w:val="hu-HU"/>
        </w:rPr>
        <w:t xml:space="preserve">Az MNB </w:t>
      </w:r>
      <w:r w:rsidR="00371E75" w:rsidRPr="004B61C4">
        <w:rPr>
          <w:rFonts w:eastAsia="Times New Roman" w:cstheme="minorHAnsi"/>
          <w:sz w:val="22"/>
          <w:lang w:val="hu-HU"/>
        </w:rPr>
        <w:t>szanálási feladatköre egyr</w:t>
      </w:r>
      <w:r w:rsidR="00104A31" w:rsidRPr="004B61C4">
        <w:rPr>
          <w:rFonts w:eastAsia="Times New Roman" w:cstheme="minorHAnsi"/>
          <w:sz w:val="22"/>
          <w:lang w:val="hu-HU"/>
        </w:rPr>
        <w:t>észt folyamatos felkészülést és ciklikusan (jellemzően évente) ismétlődő, az egyedi intézményre, illetve intézménycsoportra</w:t>
      </w:r>
      <w:r w:rsidR="00594951" w:rsidRPr="004B61C4">
        <w:rPr>
          <w:rFonts w:eastAsia="Times New Roman" w:cstheme="minorHAnsi"/>
          <w:sz w:val="22"/>
          <w:lang w:val="hu-HU"/>
        </w:rPr>
        <w:t xml:space="preserve"> vonatkozó szanálási tervezést, másrészt szükség esetén válságkezelési feladatokat</w:t>
      </w:r>
      <w:r w:rsidR="001F15F7">
        <w:rPr>
          <w:rFonts w:eastAsia="Times New Roman" w:cstheme="minorHAnsi"/>
          <w:sz w:val="22"/>
          <w:lang w:val="hu-HU"/>
        </w:rPr>
        <w:t xml:space="preserve"> (szanálási eljárás, tőkeelemek, leírható, illetve átalakítható kötelezettsége leírása vagy átalakítása szanáláson kívül)</w:t>
      </w:r>
      <w:r w:rsidR="00594951" w:rsidRPr="004B61C4">
        <w:rPr>
          <w:rFonts w:eastAsia="Times New Roman" w:cstheme="minorHAnsi"/>
          <w:sz w:val="22"/>
          <w:lang w:val="hu-HU"/>
        </w:rPr>
        <w:t xml:space="preserve"> ölel fel</w:t>
      </w:r>
      <w:r w:rsidR="00594951" w:rsidRPr="00EC65D7">
        <w:rPr>
          <w:rFonts w:eastAsia="Times New Roman" w:cstheme="minorHAnsi"/>
          <w:sz w:val="22"/>
          <w:lang w:val="hu-HU"/>
        </w:rPr>
        <w:t>.</w:t>
      </w:r>
    </w:p>
    <w:p w14:paraId="7F2F30E8" w14:textId="3B740B19" w:rsidR="00B07BC3" w:rsidRPr="00EC65D7" w:rsidRDefault="00B07BC3" w:rsidP="00270638">
      <w:pPr>
        <w:ind w:right="-3141"/>
        <w:textAlignment w:val="center"/>
        <w:rPr>
          <w:rFonts w:eastAsia="Times New Roman" w:cstheme="minorHAnsi"/>
          <w:sz w:val="22"/>
          <w:lang w:val="hu-HU"/>
        </w:rPr>
      </w:pPr>
      <w:r w:rsidRPr="00EC65D7">
        <w:rPr>
          <w:rFonts w:eastAsia="Times New Roman" w:cstheme="minorHAnsi"/>
          <w:sz w:val="22"/>
          <w:lang w:val="hu-HU"/>
        </w:rPr>
        <w:t>A szan</w:t>
      </w:r>
      <w:r w:rsidRPr="00B07BC3">
        <w:rPr>
          <w:rFonts w:eastAsia="Times New Roman" w:cstheme="minorHAnsi"/>
          <w:sz w:val="22"/>
          <w:lang w:val="hu-HU"/>
        </w:rPr>
        <w:t xml:space="preserve">álási feladatkörében eljáró </w:t>
      </w:r>
      <w:r w:rsidR="006C5BF4">
        <w:rPr>
          <w:rFonts w:eastAsia="Times New Roman" w:cstheme="minorHAnsi"/>
          <w:sz w:val="22"/>
          <w:lang w:val="hu-HU"/>
        </w:rPr>
        <w:t>MNB</w:t>
      </w:r>
      <w:r w:rsidR="006D36C6">
        <w:rPr>
          <w:rFonts w:eastAsia="Times New Roman" w:cstheme="minorHAnsi"/>
          <w:sz w:val="22"/>
          <w:lang w:val="hu-HU"/>
        </w:rPr>
        <w:t xml:space="preserve"> a</w:t>
      </w:r>
      <w:r w:rsidRPr="00B07BC3">
        <w:rPr>
          <w:rFonts w:eastAsia="Times New Roman" w:cstheme="minorHAnsi"/>
          <w:sz w:val="22"/>
          <w:lang w:val="hu-HU"/>
        </w:rPr>
        <w:t xml:space="preserve"> Szanálási törvényben</w:t>
      </w:r>
      <w:r w:rsidR="00BB2A00">
        <w:rPr>
          <w:rFonts w:eastAsia="Times New Roman" w:cstheme="minorHAnsi"/>
          <w:sz w:val="22"/>
          <w:lang w:val="hu-HU"/>
        </w:rPr>
        <w:t xml:space="preserve"> </w:t>
      </w:r>
      <w:r w:rsidRPr="00B07BC3">
        <w:rPr>
          <w:rFonts w:eastAsia="Times New Roman" w:cstheme="minorHAnsi"/>
          <w:sz w:val="22"/>
          <w:lang w:val="hu-HU"/>
        </w:rPr>
        <w:t xml:space="preserve">rögzített intézményi körre rendszeresen szanálhatósági értékeléseket végez, amelynek célja a </w:t>
      </w:r>
      <w:proofErr w:type="spellStart"/>
      <w:r w:rsidRPr="00B07BC3">
        <w:rPr>
          <w:rFonts w:eastAsia="Times New Roman" w:cstheme="minorHAnsi"/>
          <w:sz w:val="22"/>
          <w:lang w:val="hu-HU"/>
        </w:rPr>
        <w:t>szanálhatóság</w:t>
      </w:r>
      <w:proofErr w:type="spellEnd"/>
      <w:r w:rsidRPr="00B07BC3">
        <w:rPr>
          <w:rFonts w:eastAsia="Times New Roman" w:cstheme="minorHAnsi"/>
          <w:sz w:val="22"/>
          <w:lang w:val="hu-HU"/>
        </w:rPr>
        <w:t xml:space="preserve"> előtt álló esetleges jelentős akadályok beazonosítása</w:t>
      </w:r>
      <w:r w:rsidR="00227242">
        <w:rPr>
          <w:rFonts w:eastAsia="Times New Roman" w:cstheme="minorHAnsi"/>
          <w:sz w:val="22"/>
          <w:lang w:val="hu-HU"/>
        </w:rPr>
        <w:t xml:space="preserve"> </w:t>
      </w:r>
      <w:r w:rsidR="00D44108">
        <w:rPr>
          <w:rFonts w:eastAsia="Times New Roman" w:cstheme="minorHAnsi"/>
          <w:sz w:val="22"/>
          <w:lang w:val="hu-HU"/>
        </w:rPr>
        <w:t xml:space="preserve">annak érdekében, hogy </w:t>
      </w:r>
      <w:r w:rsidR="00881A30">
        <w:rPr>
          <w:rFonts w:eastAsia="Times New Roman" w:cstheme="minorHAnsi"/>
          <w:sz w:val="22"/>
          <w:lang w:val="hu-HU"/>
        </w:rPr>
        <w:t>egy</w:t>
      </w:r>
      <w:r w:rsidR="00D44108">
        <w:rPr>
          <w:rFonts w:eastAsia="Times New Roman" w:cstheme="minorHAnsi"/>
          <w:sz w:val="22"/>
          <w:lang w:val="hu-HU"/>
        </w:rPr>
        <w:t xml:space="preserve"> szanálás</w:t>
      </w:r>
      <w:r w:rsidR="008F1726">
        <w:rPr>
          <w:rFonts w:eastAsia="Times New Roman" w:cstheme="minorHAnsi"/>
          <w:sz w:val="22"/>
          <w:lang w:val="hu-HU"/>
        </w:rPr>
        <w:t>i</w:t>
      </w:r>
      <w:r w:rsidR="00D44108">
        <w:rPr>
          <w:rFonts w:eastAsia="Times New Roman" w:cstheme="minorHAnsi"/>
          <w:sz w:val="22"/>
          <w:lang w:val="hu-HU"/>
        </w:rPr>
        <w:t xml:space="preserve"> </w:t>
      </w:r>
      <w:r w:rsidR="00C36A42">
        <w:rPr>
          <w:rFonts w:eastAsia="Times New Roman" w:cstheme="minorHAnsi"/>
          <w:sz w:val="22"/>
          <w:lang w:val="hu-HU"/>
        </w:rPr>
        <w:t>eljárásban</w:t>
      </w:r>
      <w:r w:rsidR="000637A1">
        <w:rPr>
          <w:rFonts w:eastAsia="Times New Roman" w:cstheme="minorHAnsi"/>
          <w:sz w:val="22"/>
          <w:lang w:val="hu-HU"/>
        </w:rPr>
        <w:t xml:space="preserve"> </w:t>
      </w:r>
      <w:r w:rsidR="006D41AD">
        <w:rPr>
          <w:rFonts w:eastAsia="Times New Roman" w:cstheme="minorHAnsi"/>
          <w:sz w:val="22"/>
          <w:lang w:val="hu-HU"/>
        </w:rPr>
        <w:t xml:space="preserve">a szanálási stratégia </w:t>
      </w:r>
      <w:r w:rsidR="003504F6">
        <w:rPr>
          <w:rFonts w:eastAsia="Times New Roman" w:cstheme="minorHAnsi"/>
          <w:sz w:val="22"/>
          <w:lang w:val="hu-HU"/>
        </w:rPr>
        <w:t>eredményesen</w:t>
      </w:r>
      <w:r w:rsidR="006D41AD">
        <w:rPr>
          <w:rFonts w:eastAsia="Times New Roman" w:cstheme="minorHAnsi"/>
          <w:sz w:val="22"/>
          <w:lang w:val="hu-HU"/>
        </w:rPr>
        <w:t xml:space="preserve"> végrehajtható legyen</w:t>
      </w:r>
      <w:r w:rsidR="000637A1">
        <w:rPr>
          <w:rFonts w:eastAsia="Times New Roman" w:cstheme="minorHAnsi"/>
          <w:sz w:val="22"/>
          <w:lang w:val="hu-HU"/>
        </w:rPr>
        <w:t>,</w:t>
      </w:r>
      <w:r w:rsidR="00302F67">
        <w:rPr>
          <w:rFonts w:eastAsia="Times New Roman" w:cstheme="minorHAnsi"/>
          <w:sz w:val="22"/>
          <w:lang w:val="hu-HU"/>
        </w:rPr>
        <w:t xml:space="preserve"> valamint </w:t>
      </w:r>
      <w:r w:rsidR="006F5E59">
        <w:rPr>
          <w:rFonts w:eastAsia="Times New Roman" w:cstheme="minorHAnsi"/>
          <w:sz w:val="22"/>
          <w:lang w:val="hu-HU"/>
        </w:rPr>
        <w:t>megfelelő információkat szolgáltasson a sz</w:t>
      </w:r>
      <w:r w:rsidR="00E4211E">
        <w:rPr>
          <w:rFonts w:eastAsia="Times New Roman" w:cstheme="minorHAnsi"/>
          <w:sz w:val="22"/>
          <w:lang w:val="hu-HU"/>
        </w:rPr>
        <w:t>a</w:t>
      </w:r>
      <w:r w:rsidR="006F5E59">
        <w:rPr>
          <w:rFonts w:eastAsia="Times New Roman" w:cstheme="minorHAnsi"/>
          <w:sz w:val="22"/>
          <w:lang w:val="hu-HU"/>
        </w:rPr>
        <w:t>nálási terv elkészítéséhez.</w:t>
      </w:r>
    </w:p>
    <w:p w14:paraId="567BB700" w14:textId="17C49AED" w:rsidR="008F5804" w:rsidRDefault="00EF08AB" w:rsidP="00270638">
      <w:pPr>
        <w:ind w:right="-3141"/>
        <w:textAlignment w:val="center"/>
        <w:rPr>
          <w:rFonts w:eastAsia="Times New Roman" w:cstheme="minorHAnsi"/>
          <w:sz w:val="22"/>
          <w:lang w:val="hu-HU"/>
        </w:rPr>
      </w:pPr>
      <w:r w:rsidRPr="000C5835">
        <w:rPr>
          <w:rFonts w:eastAsia="Times New Roman" w:cstheme="minorHAnsi"/>
          <w:sz w:val="22"/>
          <w:lang w:val="hu-HU"/>
        </w:rPr>
        <w:t xml:space="preserve">A Szanálási törvény szabályozza </w:t>
      </w:r>
      <w:r>
        <w:rPr>
          <w:rFonts w:eastAsia="Times New Roman" w:cstheme="minorHAnsi"/>
          <w:sz w:val="22"/>
          <w:lang w:val="hu-HU"/>
        </w:rPr>
        <w:t>a szanálási feladatkörében eljáró MNB</w:t>
      </w:r>
      <w:r w:rsidRPr="000C5835">
        <w:rPr>
          <w:rFonts w:eastAsia="Times New Roman" w:cstheme="minorHAnsi"/>
          <w:sz w:val="22"/>
          <w:lang w:val="hu-HU"/>
        </w:rPr>
        <w:t xml:space="preserve"> </w:t>
      </w:r>
      <w:r>
        <w:rPr>
          <w:rFonts w:eastAsia="Times New Roman" w:cstheme="minorHAnsi"/>
          <w:sz w:val="22"/>
          <w:lang w:val="hu-HU"/>
        </w:rPr>
        <w:t xml:space="preserve">azon </w:t>
      </w:r>
      <w:r w:rsidRPr="000C5835">
        <w:rPr>
          <w:rFonts w:eastAsia="Times New Roman" w:cstheme="minorHAnsi"/>
          <w:sz w:val="22"/>
          <w:lang w:val="hu-HU"/>
        </w:rPr>
        <w:t xml:space="preserve">hatáskörét, hogy </w:t>
      </w:r>
      <w:r w:rsidR="00D65D99">
        <w:rPr>
          <w:rFonts w:eastAsia="Times New Roman" w:cstheme="minorHAnsi"/>
          <w:sz w:val="22"/>
          <w:lang w:val="hu-HU"/>
        </w:rPr>
        <w:t xml:space="preserve">a </w:t>
      </w:r>
      <w:r w:rsidRPr="000C5835">
        <w:rPr>
          <w:rFonts w:eastAsia="Times New Roman" w:cstheme="minorHAnsi"/>
          <w:sz w:val="22"/>
          <w:lang w:val="hu-HU"/>
        </w:rPr>
        <w:t>hitelintézetek és befektetési vállalkozások esetében a szanálási feltételek együttes fennállta esetén /a fizetésképtelenség vagy várható fizetésképtelenség (“</w:t>
      </w:r>
      <w:proofErr w:type="spellStart"/>
      <w:r w:rsidRPr="000C5835">
        <w:rPr>
          <w:rFonts w:eastAsia="Times New Roman" w:cstheme="minorHAnsi"/>
          <w:sz w:val="22"/>
          <w:lang w:val="hu-HU"/>
        </w:rPr>
        <w:t>failing</w:t>
      </w:r>
      <w:proofErr w:type="spellEnd"/>
      <w:r w:rsidRPr="000C5835">
        <w:rPr>
          <w:rFonts w:eastAsia="Times New Roman" w:cstheme="minorHAnsi"/>
          <w:sz w:val="22"/>
          <w:lang w:val="hu-HU"/>
        </w:rPr>
        <w:t xml:space="preserve"> </w:t>
      </w:r>
      <w:proofErr w:type="spellStart"/>
      <w:r w:rsidRPr="000C5835">
        <w:rPr>
          <w:rFonts w:eastAsia="Times New Roman" w:cstheme="minorHAnsi"/>
          <w:sz w:val="22"/>
          <w:lang w:val="hu-HU"/>
        </w:rPr>
        <w:t>or</w:t>
      </w:r>
      <w:proofErr w:type="spellEnd"/>
      <w:r w:rsidRPr="000C5835">
        <w:rPr>
          <w:rFonts w:eastAsia="Times New Roman" w:cstheme="minorHAnsi"/>
          <w:sz w:val="22"/>
          <w:lang w:val="hu-HU"/>
        </w:rPr>
        <w:t xml:space="preserve"> </w:t>
      </w:r>
      <w:proofErr w:type="spellStart"/>
      <w:r w:rsidRPr="000C5835">
        <w:rPr>
          <w:rFonts w:eastAsia="Times New Roman" w:cstheme="minorHAnsi"/>
          <w:sz w:val="22"/>
          <w:lang w:val="hu-HU"/>
        </w:rPr>
        <w:t>likely</w:t>
      </w:r>
      <w:proofErr w:type="spellEnd"/>
      <w:r w:rsidRPr="000C5835">
        <w:rPr>
          <w:rFonts w:eastAsia="Times New Roman" w:cstheme="minorHAnsi"/>
          <w:sz w:val="22"/>
          <w:lang w:val="hu-HU"/>
        </w:rPr>
        <w:t xml:space="preserve"> </w:t>
      </w:r>
      <w:proofErr w:type="spellStart"/>
      <w:r w:rsidRPr="000C5835">
        <w:rPr>
          <w:rFonts w:eastAsia="Times New Roman" w:cstheme="minorHAnsi"/>
          <w:sz w:val="22"/>
          <w:lang w:val="hu-HU"/>
        </w:rPr>
        <w:t>to</w:t>
      </w:r>
      <w:proofErr w:type="spellEnd"/>
      <w:r w:rsidRPr="000C5835">
        <w:rPr>
          <w:rFonts w:eastAsia="Times New Roman" w:cstheme="minorHAnsi"/>
          <w:sz w:val="22"/>
          <w:lang w:val="hu-HU"/>
        </w:rPr>
        <w:t xml:space="preserve"> </w:t>
      </w:r>
      <w:proofErr w:type="spellStart"/>
      <w:r w:rsidRPr="000C5835">
        <w:rPr>
          <w:rFonts w:eastAsia="Times New Roman" w:cstheme="minorHAnsi"/>
          <w:sz w:val="22"/>
          <w:lang w:val="hu-HU"/>
        </w:rPr>
        <w:t>fail</w:t>
      </w:r>
      <w:proofErr w:type="spellEnd"/>
      <w:r w:rsidRPr="000C5835">
        <w:rPr>
          <w:rFonts w:eastAsia="Times New Roman" w:cstheme="minorHAnsi"/>
          <w:sz w:val="22"/>
          <w:lang w:val="hu-HU"/>
        </w:rPr>
        <w:t>”, „</w:t>
      </w:r>
      <w:proofErr w:type="spellStart"/>
      <w:r w:rsidRPr="000C5835">
        <w:rPr>
          <w:rFonts w:eastAsia="Times New Roman" w:cstheme="minorHAnsi"/>
          <w:sz w:val="22"/>
          <w:lang w:val="hu-HU"/>
        </w:rPr>
        <w:t>FOLTF</w:t>
      </w:r>
      <w:proofErr w:type="spellEnd"/>
      <w:r w:rsidRPr="000C5835">
        <w:rPr>
          <w:rFonts w:eastAsia="Times New Roman" w:cstheme="minorHAnsi"/>
          <w:sz w:val="22"/>
          <w:lang w:val="hu-HU"/>
        </w:rPr>
        <w:t xml:space="preserve">”), nincs a szanáláson kívül más megoldás az intézmény </w:t>
      </w:r>
      <w:proofErr w:type="spellStart"/>
      <w:r w:rsidRPr="000C5835">
        <w:rPr>
          <w:rFonts w:eastAsia="Times New Roman" w:cstheme="minorHAnsi"/>
          <w:sz w:val="22"/>
          <w:lang w:val="hu-HU"/>
        </w:rPr>
        <w:t>FOLTF</w:t>
      </w:r>
      <w:proofErr w:type="spellEnd"/>
      <w:r w:rsidRPr="000C5835">
        <w:rPr>
          <w:rFonts w:eastAsia="Times New Roman" w:cstheme="minorHAnsi"/>
          <w:sz w:val="22"/>
          <w:lang w:val="hu-HU"/>
        </w:rPr>
        <w:t xml:space="preserve"> helyzetének elhárítására, fennáll a szanálási értelemben vett közérdek/ a pénzügyi stabilitás megóvása céljából</w:t>
      </w:r>
      <w:r w:rsidR="00D65D99">
        <w:rPr>
          <w:rFonts w:eastAsia="Times New Roman" w:cstheme="minorHAnsi"/>
          <w:sz w:val="22"/>
          <w:lang w:val="hu-HU"/>
        </w:rPr>
        <w:t xml:space="preserve"> szanálási eljárást </w:t>
      </w:r>
      <w:r w:rsidR="00D00A2D">
        <w:rPr>
          <w:rFonts w:eastAsia="Times New Roman" w:cstheme="minorHAnsi"/>
          <w:sz w:val="22"/>
          <w:lang w:val="hu-HU"/>
        </w:rPr>
        <w:t xml:space="preserve">indítson </w:t>
      </w:r>
      <w:r w:rsidR="00D00A2D" w:rsidRPr="00D00A2D">
        <w:rPr>
          <w:rFonts w:eastAsia="Times New Roman" w:cstheme="minorHAnsi"/>
          <w:sz w:val="22"/>
          <w:lang w:val="hu-HU"/>
        </w:rPr>
        <w:t>vagy  szanálási eljáráson kívül, a tőkeelemek, leírható, illetve átalakítható kötelezettségek leírására vagy átalakítására irányuló hatáskör önálló gyakorlásával az életképesség</w:t>
      </w:r>
      <w:r w:rsidR="00D00A2D">
        <w:rPr>
          <w:rFonts w:eastAsia="Times New Roman" w:cstheme="minorHAnsi"/>
          <w:sz w:val="22"/>
          <w:lang w:val="hu-HU"/>
        </w:rPr>
        <w:t>et</w:t>
      </w:r>
      <w:r w:rsidR="00D00A2D" w:rsidRPr="00D00A2D">
        <w:rPr>
          <w:rFonts w:eastAsia="Times New Roman" w:cstheme="minorHAnsi"/>
          <w:sz w:val="22"/>
          <w:lang w:val="hu-HU"/>
        </w:rPr>
        <w:t xml:space="preserve"> (első két szanálási feltétel fennáll, de a közérdek nem állapítható meg) helyreállít</w:t>
      </w:r>
      <w:r w:rsidR="00D00A2D">
        <w:rPr>
          <w:rFonts w:eastAsia="Times New Roman" w:cstheme="minorHAnsi"/>
          <w:sz w:val="22"/>
          <w:lang w:val="hu-HU"/>
        </w:rPr>
        <w:t>sa</w:t>
      </w:r>
      <w:r w:rsidR="00D65D99">
        <w:rPr>
          <w:rFonts w:eastAsia="Times New Roman" w:cstheme="minorHAnsi"/>
          <w:sz w:val="22"/>
          <w:lang w:val="hu-HU"/>
        </w:rPr>
        <w:t>.</w:t>
      </w:r>
      <w:r w:rsidRPr="000C5835">
        <w:rPr>
          <w:rFonts w:eastAsia="Times New Roman" w:cstheme="minorHAnsi"/>
          <w:sz w:val="22"/>
          <w:lang w:val="hu-HU"/>
        </w:rPr>
        <w:t xml:space="preserve"> </w:t>
      </w:r>
    </w:p>
    <w:p w14:paraId="7E1B9F50" w14:textId="6521A31F" w:rsidR="00EF08AB" w:rsidRPr="000C5835" w:rsidRDefault="00EF08AB" w:rsidP="00270638">
      <w:pPr>
        <w:ind w:right="-3141"/>
        <w:textAlignment w:val="center"/>
        <w:rPr>
          <w:rFonts w:eastAsia="Times New Roman" w:cstheme="minorHAnsi"/>
          <w:sz w:val="22"/>
          <w:lang w:val="hu-HU"/>
        </w:rPr>
      </w:pPr>
      <w:r w:rsidRPr="000C5835">
        <w:rPr>
          <w:rFonts w:eastAsia="Times New Roman" w:cstheme="minorHAnsi"/>
          <w:sz w:val="22"/>
          <w:lang w:val="hu-HU"/>
        </w:rPr>
        <w:t xml:space="preserve">A szanálási feladatkörében eljáró MNB-nek a szanálási intézkedés meghozatalára vonatkozó döntését megelőzően gondoskodnia kell arról, hogy </w:t>
      </w:r>
      <w:r w:rsidRPr="000C5835">
        <w:rPr>
          <w:rFonts w:eastAsia="Times New Roman" w:cstheme="minorHAnsi"/>
          <w:b/>
          <w:bCs/>
          <w:sz w:val="22"/>
          <w:lang w:val="hu-HU"/>
        </w:rPr>
        <w:t>az intézmény, eszközeinek és forrásainak megbízható és valós értékelését</w:t>
      </w:r>
      <w:r w:rsidRPr="000C5835">
        <w:rPr>
          <w:rFonts w:eastAsia="Times New Roman" w:cstheme="minorHAnsi"/>
          <w:sz w:val="22"/>
          <w:lang w:val="hu-HU"/>
        </w:rPr>
        <w:t xml:space="preserve">  (független </w:t>
      </w:r>
      <w:r w:rsidRPr="000C5835">
        <w:rPr>
          <w:rFonts w:eastAsia="Times New Roman" w:cstheme="minorHAnsi"/>
          <w:sz w:val="22"/>
          <w:lang w:val="hu-HU"/>
        </w:rPr>
        <w:lastRenderedPageBreak/>
        <w:t>értékelés) független, jogszabályban meghatározott szakmai és összeférhetetlenségi követelményeknek megfelelő személy (független értékelő) végezze</w:t>
      </w:r>
      <w:r w:rsidRPr="000C5835">
        <w:rPr>
          <w:rFonts w:eastAsia="Times New Roman" w:cstheme="minorHAnsi"/>
          <w:sz w:val="22"/>
          <w:vertAlign w:val="superscript"/>
          <w:lang w:val="hu-HU"/>
        </w:rPr>
        <w:footnoteReference w:id="3"/>
      </w:r>
      <w:r w:rsidRPr="000C5835">
        <w:rPr>
          <w:rFonts w:eastAsia="Times New Roman" w:cstheme="minorHAnsi"/>
          <w:sz w:val="22"/>
          <w:lang w:val="hu-HU"/>
        </w:rPr>
        <w:t xml:space="preserve"> annak érdekében, hogy az értékelés a szanálási hatóságtól független személytől származzon így biztosítva az értékeléssel szembeni objektivitást. </w:t>
      </w:r>
    </w:p>
    <w:p w14:paraId="24D88E5D" w14:textId="12396209" w:rsidR="008F5804" w:rsidRPr="008F5804" w:rsidRDefault="008F5804" w:rsidP="00270638">
      <w:pPr>
        <w:ind w:right="-3141"/>
        <w:textAlignment w:val="center"/>
        <w:rPr>
          <w:rFonts w:eastAsia="Times New Roman" w:cstheme="minorHAnsi"/>
          <w:sz w:val="22"/>
          <w:lang w:val="hu-HU"/>
        </w:rPr>
      </w:pPr>
      <w:r w:rsidRPr="008F5804">
        <w:rPr>
          <w:rFonts w:eastAsia="Times New Roman" w:cstheme="minorHAnsi"/>
          <w:sz w:val="22"/>
          <w:lang w:val="hu-HU"/>
        </w:rPr>
        <w:t xml:space="preserve">Fontos megjegyezni, hogy amennyiben a szanálási eljárást megelőzően vagy annak során különböző, a </w:t>
      </w:r>
      <w:proofErr w:type="spellStart"/>
      <w:proofErr w:type="gramStart"/>
      <w:r w:rsidRPr="008F5804">
        <w:rPr>
          <w:rFonts w:eastAsia="Times New Roman" w:cstheme="minorHAnsi"/>
          <w:sz w:val="22"/>
          <w:lang w:val="hu-HU"/>
        </w:rPr>
        <w:t>Szantv</w:t>
      </w:r>
      <w:proofErr w:type="spellEnd"/>
      <w:r w:rsidRPr="008F5804">
        <w:rPr>
          <w:rFonts w:eastAsia="Times New Roman" w:cstheme="minorHAnsi"/>
          <w:sz w:val="22"/>
          <w:lang w:val="hu-HU"/>
        </w:rPr>
        <w:t>.-</w:t>
      </w:r>
      <w:proofErr w:type="gramEnd"/>
      <w:r w:rsidRPr="008F5804">
        <w:rPr>
          <w:rFonts w:eastAsia="Times New Roman" w:cstheme="minorHAnsi"/>
          <w:sz w:val="22"/>
          <w:lang w:val="hu-HU"/>
        </w:rPr>
        <w:t>ben rögzített okok miatt nincs mód a független értékelés lebonyolítására annak időigénye miatt</w:t>
      </w:r>
      <w:r w:rsidR="00FD24B3">
        <w:rPr>
          <w:rFonts w:eastAsia="Times New Roman" w:cstheme="minorHAnsi"/>
          <w:sz w:val="22"/>
          <w:lang w:val="hu-HU"/>
        </w:rPr>
        <w:t>,</w:t>
      </w:r>
      <w:r w:rsidRPr="008F5804">
        <w:rPr>
          <w:rFonts w:eastAsia="Times New Roman" w:cstheme="minorHAnsi"/>
          <w:sz w:val="22"/>
          <w:lang w:val="hu-HU"/>
        </w:rPr>
        <w:t xml:space="preserve"> vagy maradéktalanul nem lenne lehetőség a független értékeléssel szembeni, jogszabályi követelmények teljesítésére, akkor a szanálási feladatkörében eljáró MNB maga is elvégezheti az intézmény eszközeinek és forrásainak értékelését (ideiglenes értékelés), amelyhez közreműködőt vehet igénybe. Az ideiglenes értékelés esetén minden esetben kell független értékelő által utólagos, végleges értékelést készíteni, amely már teljesíti a független értékelés valamennyi követelményét.</w:t>
      </w:r>
    </w:p>
    <w:p w14:paraId="59D9DE5E" w14:textId="77777777" w:rsidR="00E3155F" w:rsidRDefault="00E3155F" w:rsidP="00270638">
      <w:pPr>
        <w:ind w:right="-3141"/>
        <w:textAlignment w:val="center"/>
        <w:rPr>
          <w:rFonts w:eastAsia="Times New Roman" w:cstheme="minorHAnsi"/>
          <w:sz w:val="22"/>
          <w:lang w:val="hu-HU"/>
        </w:rPr>
      </w:pPr>
      <w:r w:rsidRPr="00EC65D7">
        <w:rPr>
          <w:rFonts w:eastAsia="Times New Roman" w:cstheme="minorHAnsi"/>
          <w:sz w:val="22"/>
          <w:lang w:val="hu-HU"/>
        </w:rPr>
        <w:t xml:space="preserve">A </w:t>
      </w:r>
      <w:proofErr w:type="spellStart"/>
      <w:r w:rsidRPr="004B61C4">
        <w:rPr>
          <w:rFonts w:eastAsia="Times New Roman" w:cstheme="minorHAnsi"/>
          <w:sz w:val="22"/>
          <w:lang w:val="hu-HU"/>
        </w:rPr>
        <w:t>szanálhatóság</w:t>
      </w:r>
      <w:proofErr w:type="spellEnd"/>
      <w:r w:rsidRPr="004B61C4">
        <w:rPr>
          <w:rFonts w:eastAsia="Times New Roman" w:cstheme="minorHAnsi"/>
          <w:sz w:val="22"/>
          <w:lang w:val="hu-HU"/>
        </w:rPr>
        <w:t xml:space="preserve"> </w:t>
      </w:r>
      <w:r>
        <w:rPr>
          <w:rFonts w:eastAsia="Times New Roman" w:cstheme="minorHAnsi"/>
          <w:sz w:val="22"/>
          <w:lang w:val="hu-HU"/>
        </w:rPr>
        <w:t xml:space="preserve">fejlesztésére vonatkozó elvárások között kiemelt jelentőséggel bír, hogy az intézmények válsághelyzetben a szanálás elrendeléséhez és a szanálási intézkedések megalapozásához – ideértve a szanálási eszközök alkalmazását – </w:t>
      </w:r>
      <w:r w:rsidRPr="004B61C4">
        <w:rPr>
          <w:rFonts w:eastAsia="Times New Roman" w:cstheme="minorHAnsi"/>
          <w:sz w:val="22"/>
          <w:lang w:val="hu-HU"/>
        </w:rPr>
        <w:t xml:space="preserve">szükséges információk biztosítása, </w:t>
      </w:r>
      <w:r>
        <w:rPr>
          <w:rFonts w:eastAsia="Times New Roman" w:cstheme="minorHAnsi"/>
          <w:sz w:val="22"/>
          <w:lang w:val="hu-HU"/>
        </w:rPr>
        <w:t>a</w:t>
      </w:r>
      <w:r w:rsidRPr="004B61C4">
        <w:rPr>
          <w:rFonts w:eastAsia="Times New Roman" w:cstheme="minorHAnsi"/>
          <w:sz w:val="22"/>
          <w:lang w:val="hu-HU"/>
        </w:rPr>
        <w:t xml:space="preserve">mely magában foglalja a szükséges információk rendelkezésre állását, </w:t>
      </w:r>
      <w:r>
        <w:rPr>
          <w:rFonts w:eastAsia="Times New Roman" w:cstheme="minorHAnsi"/>
          <w:sz w:val="22"/>
          <w:lang w:val="hu-HU"/>
        </w:rPr>
        <w:t xml:space="preserve">a </w:t>
      </w:r>
      <w:r w:rsidRPr="004B61C4">
        <w:rPr>
          <w:rFonts w:eastAsia="Times New Roman" w:cstheme="minorHAnsi"/>
          <w:sz w:val="22"/>
          <w:lang w:val="hu-HU"/>
        </w:rPr>
        <w:t xml:space="preserve">megfelelő időben </w:t>
      </w:r>
      <w:r>
        <w:rPr>
          <w:rFonts w:eastAsia="Times New Roman" w:cstheme="minorHAnsi"/>
          <w:sz w:val="22"/>
          <w:lang w:val="hu-HU"/>
        </w:rPr>
        <w:t xml:space="preserve">és </w:t>
      </w:r>
      <w:r w:rsidRPr="000E061D">
        <w:rPr>
          <w:rFonts w:eastAsia="Times New Roman" w:cstheme="minorHAnsi"/>
          <w:sz w:val="22"/>
          <w:lang w:val="hu-HU"/>
        </w:rPr>
        <w:t>összetételben történő szolgáltatásá</w:t>
      </w:r>
      <w:r>
        <w:rPr>
          <w:rFonts w:eastAsia="Times New Roman" w:cstheme="minorHAnsi"/>
          <w:sz w:val="22"/>
          <w:lang w:val="hu-HU"/>
        </w:rPr>
        <w:t>t.</w:t>
      </w:r>
    </w:p>
    <w:p w14:paraId="2C7EA26B" w14:textId="6C783A5B" w:rsidR="00E3155F" w:rsidRDefault="00E3155F" w:rsidP="00270638">
      <w:pPr>
        <w:ind w:right="-3141"/>
        <w:textAlignment w:val="center"/>
        <w:rPr>
          <w:rFonts w:eastAsia="Times New Roman" w:cstheme="minorHAnsi"/>
          <w:sz w:val="22"/>
          <w:lang w:val="hu-HU"/>
        </w:rPr>
      </w:pPr>
      <w:r>
        <w:rPr>
          <w:rFonts w:eastAsia="Times New Roman" w:cstheme="minorHAnsi"/>
          <w:sz w:val="22"/>
          <w:lang w:val="hu-HU"/>
        </w:rPr>
        <w:t xml:space="preserve">A </w:t>
      </w:r>
      <w:proofErr w:type="spellStart"/>
      <w:r>
        <w:rPr>
          <w:rFonts w:eastAsia="Times New Roman" w:cstheme="minorHAnsi"/>
          <w:sz w:val="22"/>
          <w:lang w:val="hu-HU"/>
        </w:rPr>
        <w:t>Szantv</w:t>
      </w:r>
      <w:proofErr w:type="spellEnd"/>
      <w:r>
        <w:rPr>
          <w:rFonts w:eastAsia="Times New Roman" w:cstheme="minorHAnsi"/>
          <w:sz w:val="22"/>
          <w:lang w:val="hu-HU"/>
        </w:rPr>
        <w:t xml:space="preserve">. a </w:t>
      </w:r>
      <w:proofErr w:type="spellStart"/>
      <w:r>
        <w:rPr>
          <w:rFonts w:eastAsia="Times New Roman" w:cstheme="minorHAnsi"/>
          <w:sz w:val="22"/>
          <w:lang w:val="hu-HU"/>
        </w:rPr>
        <w:t>szanálhatóság</w:t>
      </w:r>
      <w:proofErr w:type="spellEnd"/>
      <w:r>
        <w:rPr>
          <w:rFonts w:eastAsia="Times New Roman" w:cstheme="minorHAnsi"/>
          <w:sz w:val="22"/>
          <w:lang w:val="hu-HU"/>
        </w:rPr>
        <w:t xml:space="preserve"> értékelése során, a szanálási feladatkörében eljáró MNB által mérlegelendő szempontok között írja elő annak értékelését, hogy </w:t>
      </w:r>
      <w:r w:rsidRPr="00E3155F">
        <w:rPr>
          <w:rFonts w:eastAsia="Times New Roman" w:cstheme="minorHAnsi"/>
          <w:sz w:val="22"/>
          <w:lang w:val="hu-HU"/>
        </w:rPr>
        <w:t>mennyire megfelelően biztosítják a vezetői információs rendszerek, hogy a szanálási hatóságok – a gyors határozathozatal érdekében – pontos és teljes körű információkat tudjanak gyűjteni a fő üzletágakkal és a kritikus működési folyamatokkal kapcsolatban</w:t>
      </w:r>
      <w:r>
        <w:rPr>
          <w:rFonts w:eastAsia="Times New Roman" w:cstheme="minorHAnsi"/>
          <w:sz w:val="22"/>
          <w:lang w:val="hu-HU"/>
        </w:rPr>
        <w:t xml:space="preserve">, valamint </w:t>
      </w:r>
      <w:r w:rsidRPr="00E3155F">
        <w:rPr>
          <w:rFonts w:eastAsia="Times New Roman" w:cstheme="minorHAnsi"/>
          <w:sz w:val="22"/>
          <w:lang w:val="hu-HU"/>
        </w:rPr>
        <w:t>a</w:t>
      </w:r>
      <w:r>
        <w:rPr>
          <w:rFonts w:eastAsia="Times New Roman" w:cstheme="minorHAnsi"/>
          <w:sz w:val="22"/>
          <w:lang w:val="hu-HU"/>
        </w:rPr>
        <w:t>z</w:t>
      </w:r>
      <w:r w:rsidRPr="00E3155F">
        <w:rPr>
          <w:rFonts w:eastAsia="Times New Roman" w:cstheme="minorHAnsi"/>
          <w:sz w:val="22"/>
          <w:lang w:val="hu-HU"/>
        </w:rPr>
        <w:t xml:space="preserve"> arra vonatkozó kapacitását, hogy az intézmény eredményes szanálásához elengedhetetlen információkat mindenkor, akár gyorsan változó körülmények között is rendelkezésre </w:t>
      </w:r>
      <w:proofErr w:type="spellStart"/>
      <w:r w:rsidRPr="00E3155F">
        <w:rPr>
          <w:rFonts w:eastAsia="Times New Roman" w:cstheme="minorHAnsi"/>
          <w:sz w:val="22"/>
          <w:lang w:val="hu-HU"/>
        </w:rPr>
        <w:t>bocsássák</w:t>
      </w:r>
      <w:proofErr w:type="spellEnd"/>
      <w:r w:rsidR="00FD24B3">
        <w:rPr>
          <w:rFonts w:eastAsia="Times New Roman" w:cstheme="minorHAnsi"/>
          <w:sz w:val="22"/>
          <w:lang w:val="hu-HU"/>
        </w:rPr>
        <w:t>.</w:t>
      </w:r>
      <w:r w:rsidRPr="000E061D" w:rsidDel="000E061D">
        <w:rPr>
          <w:rFonts w:eastAsia="Times New Roman" w:cstheme="minorHAnsi"/>
          <w:sz w:val="22"/>
          <w:lang w:val="hu-HU"/>
        </w:rPr>
        <w:t xml:space="preserve"> </w:t>
      </w:r>
    </w:p>
    <w:p w14:paraId="2CF78A61" w14:textId="2B137A40" w:rsidR="00EF08AB" w:rsidRDefault="00E3155F" w:rsidP="00270638">
      <w:pPr>
        <w:ind w:right="-3141"/>
        <w:textAlignment w:val="center"/>
        <w:rPr>
          <w:rFonts w:eastAsia="Times New Roman" w:cstheme="minorHAnsi"/>
          <w:sz w:val="22"/>
          <w:lang w:val="hu-HU"/>
        </w:rPr>
      </w:pPr>
      <w:r>
        <w:rPr>
          <w:rFonts w:eastAsia="Times New Roman" w:cstheme="minorHAnsi"/>
          <w:sz w:val="22"/>
          <w:lang w:val="hu-HU"/>
        </w:rPr>
        <w:t xml:space="preserve">Az Európai Bankhatóság a </w:t>
      </w:r>
      <w:proofErr w:type="spellStart"/>
      <w:r>
        <w:rPr>
          <w:rFonts w:eastAsia="Times New Roman" w:cstheme="minorHAnsi"/>
          <w:sz w:val="22"/>
          <w:lang w:val="hu-HU"/>
        </w:rPr>
        <w:t>szanálhatóság</w:t>
      </w:r>
      <w:proofErr w:type="spellEnd"/>
      <w:r>
        <w:rPr>
          <w:rFonts w:eastAsia="Times New Roman" w:cstheme="minorHAnsi"/>
          <w:sz w:val="22"/>
          <w:lang w:val="hu-HU"/>
        </w:rPr>
        <w:t xml:space="preserve"> javítására irányuló iránymutatásai</w:t>
      </w:r>
      <w:r>
        <w:rPr>
          <w:rStyle w:val="FootnoteReference"/>
          <w:rFonts w:eastAsia="Times New Roman" w:cstheme="minorHAnsi"/>
          <w:sz w:val="22"/>
          <w:lang w:val="hu-HU"/>
        </w:rPr>
        <w:footnoteReference w:id="4"/>
      </w:r>
      <w:r>
        <w:rPr>
          <w:rFonts w:eastAsia="Times New Roman" w:cstheme="minorHAnsi"/>
          <w:sz w:val="22"/>
          <w:lang w:val="hu-HU"/>
        </w:rPr>
        <w:t xml:space="preserve"> alapján az intézményeknek </w:t>
      </w:r>
      <w:r w:rsidRPr="0089654F">
        <w:rPr>
          <w:rFonts w:eastAsia="Times New Roman" w:cstheme="minorHAnsi"/>
          <w:sz w:val="22"/>
          <w:lang w:val="hu-HU"/>
        </w:rPr>
        <w:t xml:space="preserve">rendelkezniük kell olyan képességekkel (beleértve a </w:t>
      </w:r>
      <w:proofErr w:type="spellStart"/>
      <w:r w:rsidRPr="0089654F">
        <w:rPr>
          <w:rFonts w:eastAsia="Times New Roman" w:cstheme="minorHAnsi"/>
          <w:sz w:val="22"/>
          <w:lang w:val="hu-HU"/>
        </w:rPr>
        <w:t>MIS</w:t>
      </w:r>
      <w:proofErr w:type="spellEnd"/>
      <w:r w:rsidRPr="0089654F">
        <w:rPr>
          <w:rFonts w:eastAsia="Times New Roman" w:cstheme="minorHAnsi"/>
          <w:sz w:val="22"/>
          <w:lang w:val="hu-HU"/>
        </w:rPr>
        <w:t>‐t és a technológiai</w:t>
      </w:r>
      <w:r>
        <w:rPr>
          <w:rFonts w:eastAsia="Times New Roman" w:cstheme="minorHAnsi"/>
          <w:sz w:val="22"/>
          <w:lang w:val="hu-HU"/>
        </w:rPr>
        <w:t xml:space="preserve"> </w:t>
      </w:r>
      <w:r w:rsidRPr="0089654F">
        <w:rPr>
          <w:rFonts w:eastAsia="Times New Roman" w:cstheme="minorHAnsi"/>
          <w:sz w:val="22"/>
          <w:lang w:val="hu-HU"/>
        </w:rPr>
        <w:t>infrastruktúrát is), amelyek támogatják az értékelési adatok kellő időben történő, megfelelő</w:t>
      </w:r>
      <w:r>
        <w:rPr>
          <w:rFonts w:eastAsia="Times New Roman" w:cstheme="minorHAnsi"/>
          <w:sz w:val="22"/>
          <w:lang w:val="hu-HU"/>
        </w:rPr>
        <w:t xml:space="preserve"> </w:t>
      </w:r>
      <w:r w:rsidRPr="0089654F">
        <w:rPr>
          <w:rFonts w:eastAsia="Times New Roman" w:cstheme="minorHAnsi"/>
          <w:sz w:val="22"/>
          <w:lang w:val="hu-HU"/>
        </w:rPr>
        <w:t>részletességű szolgáltatását annak érdekében, hogy az értékelések megfelelő időkereten belül</w:t>
      </w:r>
      <w:r>
        <w:rPr>
          <w:rFonts w:eastAsia="Times New Roman" w:cstheme="minorHAnsi"/>
          <w:sz w:val="22"/>
          <w:lang w:val="hu-HU"/>
        </w:rPr>
        <w:t xml:space="preserve"> </w:t>
      </w:r>
      <w:r w:rsidRPr="0089654F">
        <w:rPr>
          <w:rFonts w:eastAsia="Times New Roman" w:cstheme="minorHAnsi"/>
          <w:sz w:val="22"/>
          <w:lang w:val="hu-HU"/>
        </w:rPr>
        <w:t>elvégezhetők legyenek</w:t>
      </w:r>
      <w:r>
        <w:rPr>
          <w:rFonts w:eastAsia="Times New Roman" w:cstheme="minorHAnsi"/>
          <w:sz w:val="22"/>
          <w:lang w:val="hu-HU"/>
        </w:rPr>
        <w:t>.</w:t>
      </w:r>
    </w:p>
    <w:p w14:paraId="1DA78466" w14:textId="154D5866" w:rsidR="00D00A2D" w:rsidRDefault="00D00A2D" w:rsidP="00270638">
      <w:pPr>
        <w:pStyle w:val="Heading2"/>
        <w:ind w:left="360" w:right="-3141" w:hanging="396"/>
      </w:pPr>
      <w:bookmarkStart w:id="5" w:name="_Toc153188934"/>
      <w:r>
        <w:t>Az adat</w:t>
      </w:r>
      <w:r w:rsidR="00680B36">
        <w:t xml:space="preserve">ok nyújtására irányuló ok </w:t>
      </w:r>
      <w:r>
        <w:t>képesség kialakításával érintett intézményi kör</w:t>
      </w:r>
      <w:bookmarkEnd w:id="5"/>
    </w:p>
    <w:p w14:paraId="244ABA5E" w14:textId="5344FEDF" w:rsidR="00D00A2D" w:rsidRDefault="00D00A2D" w:rsidP="00270638">
      <w:pPr>
        <w:ind w:right="-3141"/>
        <w:textAlignment w:val="center"/>
        <w:rPr>
          <w:rFonts w:eastAsia="Times New Roman" w:cstheme="minorHAnsi"/>
          <w:sz w:val="22"/>
          <w:lang w:val="hu-HU"/>
        </w:rPr>
      </w:pPr>
      <w:r>
        <w:rPr>
          <w:rFonts w:eastAsia="Times New Roman" w:cstheme="minorHAnsi"/>
          <w:sz w:val="22"/>
          <w:lang w:val="hu-HU"/>
        </w:rPr>
        <w:t xml:space="preserve">A jelen dokumentumban </w:t>
      </w:r>
      <w:r w:rsidR="00E3155F">
        <w:rPr>
          <w:rFonts w:eastAsia="Times New Roman" w:cstheme="minorHAnsi"/>
          <w:sz w:val="22"/>
          <w:lang w:val="hu-HU"/>
        </w:rPr>
        <w:t>által érintett</w:t>
      </w:r>
      <w:r>
        <w:rPr>
          <w:rFonts w:eastAsia="Times New Roman" w:cstheme="minorHAnsi"/>
          <w:sz w:val="22"/>
          <w:lang w:val="hu-HU"/>
        </w:rPr>
        <w:t xml:space="preserve"> adatszolgáltatási képességet </w:t>
      </w:r>
      <w:proofErr w:type="spellStart"/>
      <w:r>
        <w:rPr>
          <w:rFonts w:eastAsia="Times New Roman" w:cstheme="minorHAnsi"/>
          <w:sz w:val="22"/>
          <w:lang w:val="hu-HU"/>
        </w:rPr>
        <w:t>szanálhatóságuk</w:t>
      </w:r>
      <w:proofErr w:type="spellEnd"/>
      <w:r>
        <w:rPr>
          <w:rFonts w:eastAsia="Times New Roman" w:cstheme="minorHAnsi"/>
          <w:sz w:val="22"/>
          <w:lang w:val="hu-HU"/>
        </w:rPr>
        <w:t xml:space="preserve"> fejlesztése érdekében </w:t>
      </w:r>
      <w:r w:rsidR="00675312">
        <w:rPr>
          <w:rFonts w:eastAsia="Times New Roman" w:cstheme="minorHAnsi"/>
          <w:sz w:val="22"/>
          <w:lang w:val="hu-HU"/>
        </w:rPr>
        <w:t xml:space="preserve">egyrészről </w:t>
      </w:r>
      <w:r>
        <w:rPr>
          <w:rFonts w:eastAsia="Times New Roman" w:cstheme="minorHAnsi"/>
          <w:sz w:val="22"/>
          <w:lang w:val="hu-HU"/>
        </w:rPr>
        <w:t>minden</w:t>
      </w:r>
      <w:r w:rsidR="00644EC8">
        <w:rPr>
          <w:rFonts w:eastAsia="Times New Roman" w:cstheme="minorHAnsi"/>
          <w:sz w:val="22"/>
          <w:lang w:val="hu-HU"/>
        </w:rPr>
        <w:t>, a szanálási feladatkörében eljáró MNB joghatósága alá tartozó</w:t>
      </w:r>
      <w:r w:rsidR="00675312">
        <w:rPr>
          <w:rFonts w:eastAsia="Times New Roman" w:cstheme="minorHAnsi"/>
          <w:sz w:val="22"/>
          <w:lang w:val="hu-HU"/>
        </w:rPr>
        <w:t>, szanálási tervük szerint</w:t>
      </w:r>
      <w:r w:rsidR="00644EC8">
        <w:rPr>
          <w:rFonts w:eastAsia="Times New Roman" w:cstheme="minorHAnsi"/>
          <w:sz w:val="22"/>
          <w:lang w:val="hu-HU"/>
        </w:rPr>
        <w:t xml:space="preserve"> </w:t>
      </w:r>
      <w:r>
        <w:rPr>
          <w:rFonts w:eastAsia="Times New Roman" w:cstheme="minorHAnsi"/>
          <w:sz w:val="22"/>
          <w:lang w:val="hu-HU"/>
        </w:rPr>
        <w:t xml:space="preserve"> szanálás alá vonható szervezetnek</w:t>
      </w:r>
      <w:r w:rsidR="009F4CD8">
        <w:rPr>
          <w:rStyle w:val="FootnoteReference"/>
          <w:rFonts w:eastAsia="Times New Roman" w:cstheme="minorHAnsi"/>
          <w:sz w:val="22"/>
          <w:lang w:val="hu-HU"/>
        </w:rPr>
        <w:footnoteReference w:id="5"/>
      </w:r>
      <w:r>
        <w:rPr>
          <w:rFonts w:eastAsia="Times New Roman" w:cstheme="minorHAnsi"/>
          <w:sz w:val="22"/>
          <w:lang w:val="hu-HU"/>
        </w:rPr>
        <w:t xml:space="preserve"> ki kell alakítania, </w:t>
      </w:r>
      <w:r w:rsidR="00644EC8">
        <w:rPr>
          <w:rFonts w:eastAsia="Times New Roman" w:cstheme="minorHAnsi"/>
          <w:sz w:val="22"/>
          <w:lang w:val="hu-HU"/>
        </w:rPr>
        <w:t xml:space="preserve">valamint azoknak a szanálás alá nem vonható szervezeteknek, amelyek </w:t>
      </w:r>
      <w:r w:rsidR="00644EC8">
        <w:rPr>
          <w:rFonts w:eastAsia="Times New Roman" w:cstheme="minorHAnsi"/>
          <w:sz w:val="22"/>
          <w:lang w:val="hu-HU"/>
        </w:rPr>
        <w:lastRenderedPageBreak/>
        <w:t xml:space="preserve">esetében az adott csoportszintű szanálási terv az </w:t>
      </w:r>
      <w:r w:rsidR="00675312">
        <w:rPr>
          <w:rFonts w:eastAsia="Times New Roman" w:cstheme="minorHAnsi"/>
          <w:sz w:val="22"/>
          <w:lang w:val="hu-HU"/>
        </w:rPr>
        <w:t>életképességük</w:t>
      </w:r>
      <w:r w:rsidR="00644EC8">
        <w:rPr>
          <w:rFonts w:eastAsia="Times New Roman" w:cstheme="minorHAnsi"/>
          <w:sz w:val="22"/>
          <w:lang w:val="hu-HU"/>
        </w:rPr>
        <w:t xml:space="preserve"> </w:t>
      </w:r>
      <w:r w:rsidR="00351CC2">
        <w:rPr>
          <w:rFonts w:eastAsia="Times New Roman" w:cstheme="minorHAnsi"/>
          <w:sz w:val="22"/>
          <w:lang w:val="hu-HU"/>
        </w:rPr>
        <w:t>helyreállítására</w:t>
      </w:r>
      <w:r w:rsidR="00644EC8">
        <w:rPr>
          <w:rFonts w:eastAsia="Times New Roman" w:cstheme="minorHAnsi"/>
          <w:sz w:val="22"/>
          <w:lang w:val="hu-HU"/>
        </w:rPr>
        <w:t xml:space="preserve"> a tőkeelemek, leírható, illetve átalakítható kötelezettségek leírására vagy átalakítására vonatkozó hatáskör gyakorlásával számol.  </w:t>
      </w:r>
      <w:r w:rsidR="00AA0A84">
        <w:rPr>
          <w:rFonts w:eastAsia="Times New Roman" w:cstheme="minorHAnsi"/>
          <w:sz w:val="22"/>
          <w:lang w:val="hu-HU"/>
        </w:rPr>
        <w:t xml:space="preserve">A dokumentum további részében az „intézmény” megnevezésen a jelen pontban rögzített valamennyi szervezetet érteni kell. </w:t>
      </w:r>
    </w:p>
    <w:p w14:paraId="3A383732" w14:textId="3AE81009" w:rsidR="0086016C" w:rsidRPr="00A46D15" w:rsidRDefault="0086016C" w:rsidP="00270638">
      <w:pPr>
        <w:ind w:right="-3141"/>
        <w:textAlignment w:val="center"/>
        <w:rPr>
          <w:rFonts w:eastAsia="Times New Roman" w:cstheme="minorHAnsi"/>
          <w:sz w:val="22"/>
          <w:lang w:val="hu-HU"/>
        </w:rPr>
      </w:pPr>
      <w:r>
        <w:rPr>
          <w:rFonts w:eastAsia="Times New Roman" w:cstheme="minorHAnsi"/>
          <w:sz w:val="22"/>
          <w:lang w:val="hu-HU"/>
        </w:rPr>
        <w:t xml:space="preserve">A szanálási feladatkörében eljáró MNB ugyanakkor dönthet úgy, hogy a </w:t>
      </w:r>
      <w:proofErr w:type="spellStart"/>
      <w:r>
        <w:rPr>
          <w:rFonts w:eastAsia="Times New Roman" w:cstheme="minorHAnsi"/>
          <w:sz w:val="22"/>
          <w:lang w:val="hu-HU"/>
        </w:rPr>
        <w:t>Szantv</w:t>
      </w:r>
      <w:proofErr w:type="spellEnd"/>
      <w:r>
        <w:rPr>
          <w:rFonts w:eastAsia="Times New Roman" w:cstheme="minorHAnsi"/>
          <w:sz w:val="22"/>
          <w:lang w:val="hu-HU"/>
        </w:rPr>
        <w:t>. 4. § (2) bekezdés szerinti</w:t>
      </w:r>
      <w:r w:rsidR="00251CA0">
        <w:rPr>
          <w:rFonts w:eastAsia="Times New Roman" w:cstheme="minorHAnsi"/>
          <w:sz w:val="22"/>
          <w:lang w:val="hu-HU"/>
        </w:rPr>
        <w:t>,</w:t>
      </w:r>
      <w:r>
        <w:rPr>
          <w:rFonts w:eastAsia="Times New Roman" w:cstheme="minorHAnsi"/>
          <w:sz w:val="22"/>
          <w:lang w:val="hu-HU"/>
        </w:rPr>
        <w:t xml:space="preserve"> </w:t>
      </w:r>
      <w:r w:rsidRPr="0086016C">
        <w:rPr>
          <w:rFonts w:eastAsia="Times New Roman" w:cstheme="minorHAnsi"/>
          <w:sz w:val="22"/>
          <w:lang w:val="hu-HU"/>
        </w:rPr>
        <w:t xml:space="preserve">egyszerűsített </w:t>
      </w:r>
      <w:r>
        <w:rPr>
          <w:rFonts w:eastAsia="Times New Roman" w:cstheme="minorHAnsi"/>
          <w:sz w:val="22"/>
          <w:lang w:val="hu-HU"/>
        </w:rPr>
        <w:t xml:space="preserve">szanálási tervezési </w:t>
      </w:r>
      <w:r w:rsidRPr="0086016C">
        <w:rPr>
          <w:rFonts w:eastAsia="Times New Roman" w:cstheme="minorHAnsi"/>
          <w:sz w:val="22"/>
          <w:lang w:val="hu-HU"/>
        </w:rPr>
        <w:t xml:space="preserve">követelmények alá tartozó </w:t>
      </w:r>
      <w:r>
        <w:rPr>
          <w:rFonts w:eastAsia="Times New Roman" w:cstheme="minorHAnsi"/>
          <w:sz w:val="22"/>
          <w:lang w:val="hu-HU"/>
        </w:rPr>
        <w:t>szervezetek</w:t>
      </w:r>
      <w:r w:rsidR="005F438B">
        <w:rPr>
          <w:rFonts w:eastAsia="Times New Roman" w:cstheme="minorHAnsi"/>
          <w:sz w:val="22"/>
          <w:lang w:val="hu-HU"/>
        </w:rPr>
        <w:t xml:space="preserve"> vagy azon szervezetek esetében, amelyek</w:t>
      </w:r>
      <w:r w:rsidR="00251CA0">
        <w:rPr>
          <w:rFonts w:eastAsia="Times New Roman" w:cstheme="minorHAnsi"/>
          <w:sz w:val="22"/>
          <w:lang w:val="hu-HU"/>
        </w:rPr>
        <w:t xml:space="preserve"> vonatkozásában a</w:t>
      </w:r>
      <w:r w:rsidR="005F438B">
        <w:rPr>
          <w:rFonts w:eastAsia="Times New Roman" w:cstheme="minorHAnsi"/>
          <w:sz w:val="22"/>
          <w:lang w:val="hu-HU"/>
        </w:rPr>
        <w:t xml:space="preserve"> szanálási tervük </w:t>
      </w:r>
      <w:r w:rsidR="00251CA0">
        <w:rPr>
          <w:rFonts w:eastAsia="Times New Roman" w:cstheme="minorHAnsi"/>
          <w:sz w:val="22"/>
          <w:lang w:val="hu-HU"/>
        </w:rPr>
        <w:t xml:space="preserve">akként rendelkezik, </w:t>
      </w:r>
      <w:proofErr w:type="gramStart"/>
      <w:r w:rsidR="00251CA0">
        <w:rPr>
          <w:rFonts w:eastAsia="Times New Roman" w:cstheme="minorHAnsi"/>
          <w:sz w:val="22"/>
          <w:lang w:val="hu-HU"/>
        </w:rPr>
        <w:t xml:space="preserve">hogy </w:t>
      </w:r>
      <w:r w:rsidR="005F438B">
        <w:rPr>
          <w:rFonts w:eastAsia="Times New Roman" w:cstheme="minorHAnsi"/>
          <w:sz w:val="22"/>
          <w:lang w:val="hu-HU"/>
        </w:rPr>
        <w:t xml:space="preserve"> </w:t>
      </w:r>
      <w:proofErr w:type="spellStart"/>
      <w:r w:rsidR="005F438B">
        <w:rPr>
          <w:rFonts w:eastAsia="Times New Roman" w:cstheme="minorHAnsi"/>
          <w:sz w:val="22"/>
          <w:lang w:val="hu-HU"/>
        </w:rPr>
        <w:t>FOLTF</w:t>
      </w:r>
      <w:proofErr w:type="spellEnd"/>
      <w:proofErr w:type="gramEnd"/>
      <w:r w:rsidR="005F438B">
        <w:rPr>
          <w:rFonts w:eastAsia="Times New Roman" w:cstheme="minorHAnsi"/>
          <w:sz w:val="22"/>
          <w:lang w:val="hu-HU"/>
        </w:rPr>
        <w:t xml:space="preserve"> helyzet esetén, felszámolási eljárás keretében történő megszüntetésük hiteles és megvalósítható is elvárja a jelen dokumentum szerinti, az adott szervezet válságkezelési stratégiájához igazodó adatszolgáltatási képesség kiépítését</w:t>
      </w:r>
      <w:r w:rsidRPr="0086016C">
        <w:rPr>
          <w:rFonts w:eastAsia="Times New Roman" w:cstheme="minorHAnsi"/>
          <w:sz w:val="22"/>
          <w:lang w:val="hu-HU"/>
        </w:rPr>
        <w:t xml:space="preserve">. </w:t>
      </w:r>
      <w:r w:rsidR="00C11835">
        <w:rPr>
          <w:rFonts w:eastAsia="Times New Roman" w:cstheme="minorHAnsi"/>
          <w:sz w:val="22"/>
          <w:lang w:val="hu-HU"/>
        </w:rPr>
        <w:t xml:space="preserve">Erről az érintett intézményeket külön fogja értesíteni. </w:t>
      </w:r>
    </w:p>
    <w:p w14:paraId="3C12D993" w14:textId="5E4356E4" w:rsidR="00FF1359" w:rsidRPr="00A21EF3" w:rsidRDefault="00FF1359" w:rsidP="00270638">
      <w:pPr>
        <w:pStyle w:val="Heading1"/>
        <w:ind w:left="360" w:right="-3141" w:hanging="360"/>
      </w:pPr>
      <w:bookmarkStart w:id="6" w:name="_Toc153188935"/>
      <w:r w:rsidRPr="00DA2A7C">
        <w:t>A</w:t>
      </w:r>
      <w:r>
        <w:t xml:space="preserve"> kapcsolódó</w:t>
      </w:r>
      <w:r w:rsidRPr="00DA2A7C">
        <w:t xml:space="preserve"> jogforrások</w:t>
      </w:r>
      <w:r w:rsidR="006846A7">
        <w:t>, szabályozói anyagok</w:t>
      </w:r>
      <w:r w:rsidRPr="00DA2A7C">
        <w:t xml:space="preserve"> összefoglalója</w:t>
      </w:r>
      <w:bookmarkEnd w:id="6"/>
    </w:p>
    <w:p w14:paraId="3A57D08D" w14:textId="77777777" w:rsidR="00D65D99" w:rsidRDefault="00D65D99" w:rsidP="00D65D99">
      <w:pPr>
        <w:pStyle w:val="ListParagraph"/>
        <w:numPr>
          <w:ilvl w:val="0"/>
          <w:numId w:val="45"/>
        </w:numPr>
        <w:spacing w:after="60"/>
        <w:ind w:right="-3139"/>
        <w:textAlignment w:val="center"/>
        <w:rPr>
          <w:sz w:val="22"/>
          <w:lang w:val="hu-HU"/>
        </w:rPr>
      </w:pPr>
      <w:r w:rsidRPr="00A46D15">
        <w:rPr>
          <w:sz w:val="22"/>
          <w:lang w:val="hu-HU"/>
        </w:rPr>
        <w:t xml:space="preserve">a pénzügyi közvetítőrendszer egyes szereplőinek biztonságát erősítő intézményrendszer továbbfejlesztéséről szóló 2014. évi XXXVII. törvény </w:t>
      </w:r>
    </w:p>
    <w:p w14:paraId="1A16ED20" w14:textId="77777777" w:rsidR="00D65D99" w:rsidRDefault="00D65D99" w:rsidP="00D65D99">
      <w:pPr>
        <w:pStyle w:val="ListParagraph"/>
        <w:numPr>
          <w:ilvl w:val="0"/>
          <w:numId w:val="45"/>
        </w:numPr>
        <w:spacing w:after="60"/>
        <w:ind w:right="-3139"/>
        <w:textAlignment w:val="center"/>
        <w:rPr>
          <w:sz w:val="22"/>
          <w:lang w:val="hu-HU"/>
        </w:rPr>
      </w:pPr>
      <w:r w:rsidRPr="00A46D15">
        <w:rPr>
          <w:sz w:val="22"/>
          <w:lang w:val="hu-HU"/>
        </w:rPr>
        <w:t>A Bizottság (EU) 2016/1075 felhatalmazáson alapuló rendelete (2016. március 23.) a 2014/59/EU európai parlamenti és tanácsi irányelvnek a helyreállítási tervek, szanálási tervek és csoportszintű szanálási tervek tartalmát, az illetékes hatóság által a helyreállítási tervek és csoportszintű helyreállítási tervek tekintetében értékelendő minimumkövetelményeket, a csoporton belüli pénzügyi támogatás feltételeit, a független értékelőkre vonatkozó követelményeket, a leírási és átalakítási hatáskörök szerződéses elismerését, az értesítési követelmények és a felfüggesztésre vonatkozó közlemény eljárásait és tartalmát, valamint a szanálási kollégiumok operatív működését meghatározó szabályozástechnikai standardok tekintetében történő kiegészítéséről /független értékelőkre vonatkozó követelmények 37-41. cikk/</w:t>
      </w:r>
    </w:p>
    <w:p w14:paraId="7AA70D8B" w14:textId="77777777" w:rsidR="00D65D99" w:rsidRPr="00A46D15" w:rsidRDefault="00D65D99" w:rsidP="00D65D99">
      <w:pPr>
        <w:pStyle w:val="ListParagraph"/>
        <w:numPr>
          <w:ilvl w:val="0"/>
          <w:numId w:val="45"/>
        </w:numPr>
        <w:spacing w:after="60"/>
        <w:ind w:right="-3139"/>
        <w:textAlignment w:val="center"/>
        <w:rPr>
          <w:sz w:val="22"/>
          <w:lang w:val="hu-HU"/>
        </w:rPr>
      </w:pPr>
      <w:r w:rsidRPr="00A46D15">
        <w:rPr>
          <w:rFonts w:eastAsia="Times New Roman" w:cstheme="minorHAnsi"/>
          <w:sz w:val="22"/>
          <w:lang w:val="hu-HU"/>
        </w:rPr>
        <w:t>A Bizottság (EU) 2016/1401 felhatalmazáson alapuló rendelete (2016. május 23.) a hitelintézetek és befektetési vállalkozások helyreállítását és szanálását célzó keretrendszer létrehozásáról szóló 2014/59/EU európai parlamenti és tanácsi irányelvnek a származtatott ügyletekből eredő kötelezettségek értékelésének módszereire és alapelveire vonatkozó szabályozástechnikai standardok tekintetében történő kiegészítéséről</w:t>
      </w:r>
    </w:p>
    <w:p w14:paraId="3DD9F9F7" w14:textId="566EFB2F" w:rsidR="00D65D99" w:rsidRPr="00A46D15" w:rsidRDefault="00D65D99" w:rsidP="00A46D15">
      <w:pPr>
        <w:pStyle w:val="ListParagraph"/>
        <w:numPr>
          <w:ilvl w:val="0"/>
          <w:numId w:val="45"/>
        </w:numPr>
        <w:spacing w:after="60"/>
        <w:ind w:right="-3139"/>
        <w:textAlignment w:val="center"/>
        <w:rPr>
          <w:sz w:val="22"/>
          <w:lang w:val="hu-HU"/>
        </w:rPr>
      </w:pPr>
      <w:r w:rsidRPr="00A46D15">
        <w:rPr>
          <w:rFonts w:eastAsia="Times New Roman" w:cstheme="minorHAnsi"/>
          <w:sz w:val="22"/>
          <w:lang w:val="hu-HU"/>
        </w:rPr>
        <w:t>A Bizottság (EU) 2018/345 felhatalmazáson alapuló rendelete (2017. november 14.) a 2014/59/EU európai parlamenti és tanácsi irányelvnek az intézmények vagy szervezetek eszközei és kötelezettségei értékének megállapítására szolgáló módszertannal kapcsolatos kritériumokat meghatározó szabályozástechnikai standardok tekintetében történő kiegészítéséről</w:t>
      </w:r>
    </w:p>
    <w:p w14:paraId="729E5420" w14:textId="77777777" w:rsidR="00D65D99" w:rsidRPr="00A46D15" w:rsidRDefault="00D65D99" w:rsidP="00270638">
      <w:pPr>
        <w:pStyle w:val="ListParagraph"/>
        <w:spacing w:after="60"/>
        <w:ind w:left="1080" w:right="-3139"/>
        <w:textAlignment w:val="center"/>
        <w:rPr>
          <w:rFonts w:eastAsia="Times New Roman" w:cstheme="minorHAnsi"/>
          <w:sz w:val="22"/>
          <w:lang w:val="hu-HU"/>
        </w:rPr>
      </w:pPr>
    </w:p>
    <w:p w14:paraId="2D39DB92" w14:textId="77777777" w:rsidR="00FF1359" w:rsidRDefault="00FF1359" w:rsidP="00270638">
      <w:pPr>
        <w:pStyle w:val="ListParagraph"/>
        <w:numPr>
          <w:ilvl w:val="0"/>
          <w:numId w:val="45"/>
        </w:numPr>
        <w:spacing w:after="60"/>
        <w:ind w:right="-3139"/>
        <w:textAlignment w:val="center"/>
        <w:rPr>
          <w:rFonts w:eastAsia="Times New Roman" w:cstheme="minorHAnsi"/>
          <w:sz w:val="22"/>
          <w:lang w:val="hu-HU"/>
        </w:rPr>
      </w:pPr>
      <w:r w:rsidRPr="00A46D15">
        <w:rPr>
          <w:rFonts w:eastAsia="Times New Roman" w:cstheme="minorHAnsi"/>
          <w:sz w:val="22"/>
          <w:lang w:val="hu-HU"/>
        </w:rPr>
        <w:t>a Bizottság (EU) 2018/344 felhatalmazáson alapuló rendelete: a szanálás utáni értékelés.</w:t>
      </w:r>
    </w:p>
    <w:p w14:paraId="6626CC5D" w14:textId="772EFF65" w:rsidR="00A01CEC" w:rsidRDefault="00A01CEC" w:rsidP="00270638">
      <w:pPr>
        <w:pStyle w:val="ListParagraph"/>
        <w:numPr>
          <w:ilvl w:val="0"/>
          <w:numId w:val="45"/>
        </w:numPr>
        <w:spacing w:after="60"/>
        <w:ind w:right="-3139"/>
        <w:textAlignment w:val="center"/>
        <w:rPr>
          <w:rFonts w:eastAsia="Times New Roman" w:cstheme="minorHAnsi"/>
          <w:sz w:val="22"/>
          <w:lang w:val="hu-HU"/>
        </w:rPr>
      </w:pPr>
      <w:proofErr w:type="spellStart"/>
      <w:r>
        <w:rPr>
          <w:rFonts w:eastAsia="Times New Roman" w:cstheme="minorHAnsi"/>
          <w:sz w:val="22"/>
          <w:lang w:val="hu-HU"/>
        </w:rPr>
        <w:t>EBA</w:t>
      </w:r>
      <w:proofErr w:type="spellEnd"/>
      <w:r>
        <w:rPr>
          <w:rFonts w:eastAsia="Times New Roman" w:cstheme="minorHAnsi"/>
          <w:sz w:val="22"/>
          <w:lang w:val="hu-HU"/>
        </w:rPr>
        <w:t>/</w:t>
      </w:r>
      <w:proofErr w:type="spellStart"/>
      <w:r>
        <w:rPr>
          <w:rFonts w:eastAsia="Times New Roman" w:cstheme="minorHAnsi"/>
          <w:sz w:val="22"/>
          <w:lang w:val="hu-HU"/>
        </w:rPr>
        <w:t>GL</w:t>
      </w:r>
      <w:proofErr w:type="spellEnd"/>
      <w:r>
        <w:rPr>
          <w:rFonts w:eastAsia="Times New Roman" w:cstheme="minorHAnsi"/>
          <w:sz w:val="22"/>
          <w:lang w:val="hu-HU"/>
        </w:rPr>
        <w:t xml:space="preserve">/2022/01 Iránymutatások </w:t>
      </w:r>
      <w:r w:rsidRPr="00A01CEC">
        <w:rPr>
          <w:rFonts w:eastAsia="Times New Roman" w:cstheme="minorHAnsi"/>
          <w:sz w:val="22"/>
          <w:lang w:val="hu-HU"/>
        </w:rPr>
        <w:t>az intézmények és szanálási hatóságok</w:t>
      </w:r>
      <w:r>
        <w:rPr>
          <w:rFonts w:eastAsia="Times New Roman" w:cstheme="minorHAnsi"/>
          <w:sz w:val="22"/>
          <w:lang w:val="hu-HU"/>
        </w:rPr>
        <w:t xml:space="preserve"> </w:t>
      </w:r>
      <w:r w:rsidRPr="00A46D15">
        <w:rPr>
          <w:rFonts w:eastAsia="Times New Roman" w:cstheme="minorHAnsi"/>
          <w:sz w:val="22"/>
          <w:lang w:val="hu-HU"/>
        </w:rPr>
        <w:t xml:space="preserve">számára a </w:t>
      </w:r>
      <w:proofErr w:type="spellStart"/>
      <w:r w:rsidRPr="00A46D15">
        <w:rPr>
          <w:rFonts w:eastAsia="Times New Roman" w:cstheme="minorHAnsi"/>
          <w:sz w:val="22"/>
          <w:lang w:val="hu-HU"/>
        </w:rPr>
        <w:t>szanálhatóság</w:t>
      </w:r>
      <w:proofErr w:type="spellEnd"/>
      <w:r w:rsidRPr="00A46D15">
        <w:rPr>
          <w:rFonts w:eastAsia="Times New Roman" w:cstheme="minorHAnsi"/>
          <w:sz w:val="22"/>
          <w:lang w:val="hu-HU"/>
        </w:rPr>
        <w:t xml:space="preserve"> javításáról</w:t>
      </w:r>
    </w:p>
    <w:p w14:paraId="6ABEEE1F" w14:textId="40CD557E" w:rsidR="00B91DEA" w:rsidRPr="00A46D15" w:rsidRDefault="00B91DEA" w:rsidP="00270638">
      <w:pPr>
        <w:pStyle w:val="ListParagraph"/>
        <w:numPr>
          <w:ilvl w:val="0"/>
          <w:numId w:val="45"/>
        </w:numPr>
        <w:spacing w:after="60"/>
        <w:ind w:right="-3139"/>
        <w:textAlignment w:val="center"/>
        <w:rPr>
          <w:rFonts w:eastAsia="Times New Roman" w:cstheme="minorHAnsi"/>
          <w:sz w:val="22"/>
          <w:lang w:val="hu-HU"/>
        </w:rPr>
      </w:pPr>
      <w:proofErr w:type="spellStart"/>
      <w:r w:rsidRPr="00B91DEA">
        <w:rPr>
          <w:rFonts w:eastAsia="Times New Roman" w:cstheme="minorHAnsi"/>
          <w:sz w:val="22"/>
          <w:lang w:val="hu-HU"/>
        </w:rPr>
        <w:t>EBA</w:t>
      </w:r>
      <w:proofErr w:type="spellEnd"/>
      <w:r w:rsidRPr="00B91DEA">
        <w:rPr>
          <w:rFonts w:eastAsia="Times New Roman" w:cstheme="minorHAnsi"/>
          <w:sz w:val="22"/>
          <w:lang w:val="hu-HU"/>
        </w:rPr>
        <w:t>/</w:t>
      </w:r>
      <w:proofErr w:type="spellStart"/>
      <w:r w:rsidRPr="00B91DEA">
        <w:rPr>
          <w:rFonts w:eastAsia="Times New Roman" w:cstheme="minorHAnsi"/>
          <w:sz w:val="22"/>
          <w:lang w:val="hu-HU"/>
        </w:rPr>
        <w:t>GL</w:t>
      </w:r>
      <w:proofErr w:type="spellEnd"/>
      <w:r w:rsidRPr="00B91DEA">
        <w:rPr>
          <w:rFonts w:eastAsia="Times New Roman" w:cstheme="minorHAnsi"/>
          <w:sz w:val="22"/>
          <w:lang w:val="hu-HU"/>
        </w:rPr>
        <w:t>/2023/05</w:t>
      </w:r>
      <w:r>
        <w:rPr>
          <w:rFonts w:eastAsia="Times New Roman" w:cstheme="minorHAnsi"/>
          <w:sz w:val="22"/>
          <w:lang w:val="hu-HU"/>
        </w:rPr>
        <w:t xml:space="preserve"> </w:t>
      </w:r>
      <w:r w:rsidRPr="00B91DEA">
        <w:rPr>
          <w:rFonts w:eastAsia="Times New Roman" w:cstheme="minorHAnsi"/>
          <w:sz w:val="22"/>
          <w:lang w:val="hu-HU"/>
        </w:rPr>
        <w:t xml:space="preserve">Iránymutatások a 2014/59/EU irányelv </w:t>
      </w:r>
      <w:r w:rsidRPr="00A46D15">
        <w:rPr>
          <w:rFonts w:eastAsia="Times New Roman" w:cstheme="minorHAnsi"/>
          <w:sz w:val="22"/>
          <w:lang w:val="hu-HU"/>
        </w:rPr>
        <w:t xml:space="preserve">15. és 16. cikkének hatálya alá tartozó intézmények és szanálási hatóságok számára a </w:t>
      </w:r>
      <w:proofErr w:type="spellStart"/>
      <w:r w:rsidRPr="00A46D15">
        <w:rPr>
          <w:rFonts w:eastAsia="Times New Roman" w:cstheme="minorHAnsi"/>
          <w:sz w:val="22"/>
          <w:lang w:val="hu-HU"/>
        </w:rPr>
        <w:t>szanálhatóság</w:t>
      </w:r>
      <w:proofErr w:type="spellEnd"/>
      <w:r w:rsidRPr="00A46D15">
        <w:rPr>
          <w:rFonts w:eastAsia="Times New Roman" w:cstheme="minorHAnsi"/>
          <w:sz w:val="22"/>
          <w:lang w:val="hu-HU"/>
        </w:rPr>
        <w:t xml:space="preserve"> javításáról szóló</w:t>
      </w:r>
      <w:r>
        <w:rPr>
          <w:rFonts w:eastAsia="Times New Roman" w:cstheme="minorHAnsi"/>
          <w:sz w:val="22"/>
          <w:lang w:val="hu-HU"/>
        </w:rPr>
        <w:t xml:space="preserve"> </w:t>
      </w:r>
      <w:proofErr w:type="spellStart"/>
      <w:r w:rsidRPr="00A46D15">
        <w:rPr>
          <w:rFonts w:eastAsia="Times New Roman" w:cstheme="minorHAnsi"/>
          <w:sz w:val="22"/>
          <w:lang w:val="hu-HU"/>
        </w:rPr>
        <w:t>EBA</w:t>
      </w:r>
      <w:proofErr w:type="spellEnd"/>
      <w:r w:rsidRPr="00A46D15">
        <w:rPr>
          <w:rFonts w:eastAsia="Times New Roman" w:cstheme="minorHAnsi"/>
          <w:sz w:val="22"/>
          <w:lang w:val="hu-HU"/>
        </w:rPr>
        <w:t>/</w:t>
      </w:r>
      <w:proofErr w:type="spellStart"/>
      <w:r w:rsidRPr="00A46D15">
        <w:rPr>
          <w:rFonts w:eastAsia="Times New Roman" w:cstheme="minorHAnsi"/>
          <w:sz w:val="22"/>
          <w:lang w:val="hu-HU"/>
        </w:rPr>
        <w:t>GL</w:t>
      </w:r>
      <w:proofErr w:type="spellEnd"/>
      <w:r w:rsidRPr="00A46D15">
        <w:rPr>
          <w:rFonts w:eastAsia="Times New Roman" w:cstheme="minorHAnsi"/>
          <w:sz w:val="22"/>
          <w:lang w:val="hu-HU"/>
        </w:rPr>
        <w:t xml:space="preserve">/2022/01 iránymutatásoknak (szanálhatósági iránymutatások) a </w:t>
      </w:r>
      <w:proofErr w:type="spellStart"/>
      <w:r w:rsidRPr="00A46D15">
        <w:rPr>
          <w:rFonts w:eastAsia="Times New Roman" w:cstheme="minorHAnsi"/>
          <w:sz w:val="22"/>
          <w:lang w:val="hu-HU"/>
        </w:rPr>
        <w:t>szanálhatóság</w:t>
      </w:r>
      <w:proofErr w:type="spellEnd"/>
      <w:r w:rsidRPr="00A46D15">
        <w:rPr>
          <w:rFonts w:eastAsia="Times New Roman" w:cstheme="minorHAnsi"/>
          <w:sz w:val="22"/>
          <w:lang w:val="hu-HU"/>
        </w:rPr>
        <w:t xml:space="preserve"> tesztelésére vonatkozó új szakasz beillesztése céljából történő módosításáról</w:t>
      </w:r>
    </w:p>
    <w:p w14:paraId="345EF3F1" w14:textId="2490785E" w:rsidR="00A01CEC" w:rsidRPr="00A46D15" w:rsidRDefault="00A01CEC" w:rsidP="00270638">
      <w:pPr>
        <w:pStyle w:val="ListParagraph"/>
        <w:numPr>
          <w:ilvl w:val="0"/>
          <w:numId w:val="45"/>
        </w:numPr>
        <w:spacing w:after="60"/>
        <w:ind w:right="-3139"/>
        <w:textAlignment w:val="center"/>
        <w:rPr>
          <w:rFonts w:eastAsia="Times New Roman" w:cstheme="minorHAnsi"/>
          <w:sz w:val="22"/>
          <w:lang w:val="hu-HU"/>
        </w:rPr>
      </w:pPr>
      <w:proofErr w:type="spellStart"/>
      <w:r>
        <w:rPr>
          <w:rFonts w:eastAsia="Times New Roman" w:cstheme="minorHAnsi"/>
          <w:sz w:val="22"/>
          <w:lang w:val="hu-HU"/>
        </w:rPr>
        <w:t>EBA</w:t>
      </w:r>
      <w:proofErr w:type="spellEnd"/>
      <w:r>
        <w:rPr>
          <w:rFonts w:eastAsia="Times New Roman" w:cstheme="minorHAnsi"/>
          <w:sz w:val="22"/>
          <w:lang w:val="hu-HU"/>
        </w:rPr>
        <w:t xml:space="preserve"> </w:t>
      </w:r>
      <w:proofErr w:type="spellStart"/>
      <w:r>
        <w:rPr>
          <w:rFonts w:eastAsia="Times New Roman" w:cstheme="minorHAnsi"/>
          <w:sz w:val="22"/>
          <w:lang w:val="hu-HU"/>
        </w:rPr>
        <w:t>Handbook</w:t>
      </w:r>
      <w:proofErr w:type="spellEnd"/>
      <w:r>
        <w:rPr>
          <w:rFonts w:eastAsia="Times New Roman" w:cstheme="minorHAnsi"/>
          <w:sz w:val="22"/>
          <w:lang w:val="hu-HU"/>
        </w:rPr>
        <w:t xml:space="preserve"> </w:t>
      </w:r>
      <w:proofErr w:type="spellStart"/>
      <w:r>
        <w:rPr>
          <w:rFonts w:eastAsia="Times New Roman" w:cstheme="minorHAnsi"/>
          <w:sz w:val="22"/>
          <w:lang w:val="hu-HU"/>
        </w:rPr>
        <w:t>on</w:t>
      </w:r>
      <w:proofErr w:type="spellEnd"/>
      <w:r>
        <w:rPr>
          <w:rFonts w:eastAsia="Times New Roman" w:cstheme="minorHAnsi"/>
          <w:sz w:val="22"/>
          <w:lang w:val="hu-HU"/>
        </w:rPr>
        <w:t xml:space="preserve"> </w:t>
      </w:r>
      <w:proofErr w:type="spellStart"/>
      <w:r>
        <w:rPr>
          <w:rFonts w:eastAsia="Times New Roman" w:cstheme="minorHAnsi"/>
          <w:sz w:val="22"/>
          <w:lang w:val="hu-HU"/>
        </w:rPr>
        <w:t>Valuation</w:t>
      </w:r>
      <w:proofErr w:type="spellEnd"/>
      <w:r>
        <w:rPr>
          <w:rFonts w:eastAsia="Times New Roman" w:cstheme="minorHAnsi"/>
          <w:sz w:val="22"/>
          <w:lang w:val="hu-HU"/>
        </w:rPr>
        <w:t xml:space="preserve"> </w:t>
      </w:r>
      <w:proofErr w:type="spellStart"/>
      <w:r>
        <w:rPr>
          <w:rFonts w:eastAsia="Times New Roman" w:cstheme="minorHAnsi"/>
          <w:sz w:val="22"/>
          <w:lang w:val="hu-HU"/>
        </w:rPr>
        <w:t>for</w:t>
      </w:r>
      <w:proofErr w:type="spellEnd"/>
      <w:r>
        <w:rPr>
          <w:rFonts w:eastAsia="Times New Roman" w:cstheme="minorHAnsi"/>
          <w:sz w:val="22"/>
          <w:lang w:val="hu-HU"/>
        </w:rPr>
        <w:t xml:space="preserve"> </w:t>
      </w:r>
      <w:proofErr w:type="spellStart"/>
      <w:r>
        <w:rPr>
          <w:rFonts w:eastAsia="Times New Roman" w:cstheme="minorHAnsi"/>
          <w:sz w:val="22"/>
          <w:lang w:val="hu-HU"/>
        </w:rPr>
        <w:t>the</w:t>
      </w:r>
      <w:proofErr w:type="spellEnd"/>
      <w:r>
        <w:rPr>
          <w:rFonts w:eastAsia="Times New Roman" w:cstheme="minorHAnsi"/>
          <w:sz w:val="22"/>
          <w:lang w:val="hu-HU"/>
        </w:rPr>
        <w:t xml:space="preserve"> </w:t>
      </w:r>
      <w:proofErr w:type="spellStart"/>
      <w:r>
        <w:rPr>
          <w:rFonts w:eastAsia="Times New Roman" w:cstheme="minorHAnsi"/>
          <w:sz w:val="22"/>
          <w:lang w:val="hu-HU"/>
        </w:rPr>
        <w:t>Purposes</w:t>
      </w:r>
      <w:proofErr w:type="spellEnd"/>
      <w:r>
        <w:rPr>
          <w:rFonts w:eastAsia="Times New Roman" w:cstheme="minorHAnsi"/>
          <w:sz w:val="22"/>
          <w:lang w:val="hu-HU"/>
        </w:rPr>
        <w:t xml:space="preserve"> of Resolution (</w:t>
      </w:r>
      <w:proofErr w:type="spellStart"/>
      <w:r>
        <w:rPr>
          <w:rFonts w:eastAsia="Times New Roman" w:cstheme="minorHAnsi"/>
          <w:sz w:val="22"/>
          <w:lang w:val="hu-HU"/>
        </w:rPr>
        <w:t>EBA</w:t>
      </w:r>
      <w:proofErr w:type="spellEnd"/>
      <w:r>
        <w:rPr>
          <w:rFonts w:eastAsia="Times New Roman" w:cstheme="minorHAnsi"/>
          <w:sz w:val="22"/>
          <w:lang w:val="hu-HU"/>
        </w:rPr>
        <w:t xml:space="preserve"> Szanálási célú Értékelésekre szolgáló Kézikönyve)</w:t>
      </w:r>
    </w:p>
    <w:p w14:paraId="2B40A10D" w14:textId="171F8C93" w:rsidR="00B07BC3" w:rsidRPr="00B07BC3" w:rsidRDefault="00B07BC3" w:rsidP="00270638">
      <w:pPr>
        <w:pStyle w:val="Heading1"/>
        <w:ind w:left="360" w:hanging="360"/>
      </w:pPr>
      <w:bookmarkStart w:id="7" w:name="_Toc153188937"/>
      <w:r w:rsidRPr="00B07BC3">
        <w:t>Adatszolgáltatás elvárt módja és az intézmények rendelkezésére álló idő</w:t>
      </w:r>
      <w:bookmarkEnd w:id="7"/>
    </w:p>
    <w:p w14:paraId="696F2AC4" w14:textId="67F7C574" w:rsidR="00490656" w:rsidRDefault="00B07BC3" w:rsidP="00270638">
      <w:pPr>
        <w:textAlignment w:val="center"/>
        <w:rPr>
          <w:rFonts w:eastAsia="Times New Roman" w:cstheme="minorHAnsi"/>
          <w:sz w:val="22"/>
          <w:lang w:val="hu-HU"/>
        </w:rPr>
      </w:pPr>
      <w:r w:rsidRPr="00B07BC3">
        <w:rPr>
          <w:rFonts w:eastAsia="Times New Roman" w:cstheme="minorHAnsi"/>
          <w:sz w:val="22"/>
          <w:lang w:val="hu-HU"/>
        </w:rPr>
        <w:t xml:space="preserve">Az intézményektől elvárt, hogy az adatszótárban </w:t>
      </w:r>
      <w:r w:rsidR="00F7513E">
        <w:rPr>
          <w:rFonts w:eastAsia="Times New Roman" w:cstheme="minorHAnsi"/>
          <w:sz w:val="22"/>
          <w:lang w:val="hu-HU"/>
        </w:rPr>
        <w:t xml:space="preserve">és </w:t>
      </w:r>
      <w:r w:rsidR="00844117">
        <w:rPr>
          <w:rFonts w:eastAsia="Times New Roman" w:cstheme="minorHAnsi"/>
          <w:sz w:val="22"/>
          <w:lang w:val="hu-HU"/>
        </w:rPr>
        <w:t xml:space="preserve">a </w:t>
      </w:r>
      <w:r w:rsidR="00F7513E">
        <w:rPr>
          <w:rFonts w:eastAsia="Times New Roman" w:cstheme="minorHAnsi"/>
          <w:sz w:val="22"/>
          <w:lang w:val="hu-HU"/>
        </w:rPr>
        <w:t>„</w:t>
      </w:r>
      <w:proofErr w:type="spellStart"/>
      <w:r w:rsidR="00F7513E">
        <w:rPr>
          <w:rFonts w:eastAsia="Times New Roman" w:cstheme="minorHAnsi"/>
          <w:sz w:val="22"/>
          <w:lang w:val="hu-HU"/>
        </w:rPr>
        <w:t>bail</w:t>
      </w:r>
      <w:proofErr w:type="spellEnd"/>
      <w:r w:rsidR="00F7513E">
        <w:rPr>
          <w:rFonts w:eastAsia="Times New Roman" w:cstheme="minorHAnsi"/>
          <w:sz w:val="22"/>
          <w:lang w:val="hu-HU"/>
        </w:rPr>
        <w:t>-in”</w:t>
      </w:r>
      <w:r w:rsidR="00E501E2">
        <w:rPr>
          <w:rFonts w:eastAsia="Times New Roman" w:cstheme="minorHAnsi"/>
          <w:sz w:val="22"/>
          <w:lang w:val="hu-HU"/>
        </w:rPr>
        <w:t xml:space="preserve"> (hitelezői feltőkésítés)</w:t>
      </w:r>
      <w:r w:rsidR="00F7513E">
        <w:rPr>
          <w:rFonts w:eastAsia="Times New Roman" w:cstheme="minorHAnsi"/>
          <w:sz w:val="22"/>
          <w:lang w:val="hu-HU"/>
        </w:rPr>
        <w:t xml:space="preserve"> analitikában </w:t>
      </w:r>
      <w:r w:rsidRPr="00B07BC3">
        <w:rPr>
          <w:rFonts w:eastAsia="Times New Roman" w:cstheme="minorHAnsi"/>
          <w:sz w:val="22"/>
          <w:lang w:val="hu-HU"/>
        </w:rPr>
        <w:t xml:space="preserve">feltüntetett </w:t>
      </w:r>
      <w:r w:rsidR="00F7513E">
        <w:rPr>
          <w:rFonts w:eastAsia="Times New Roman" w:cstheme="minorHAnsi"/>
          <w:sz w:val="22"/>
          <w:lang w:val="hu-HU"/>
        </w:rPr>
        <w:t xml:space="preserve">adatokat és </w:t>
      </w:r>
      <w:r w:rsidRPr="00B07BC3">
        <w:rPr>
          <w:rFonts w:eastAsia="Times New Roman" w:cstheme="minorHAnsi"/>
          <w:sz w:val="22"/>
          <w:lang w:val="hu-HU"/>
        </w:rPr>
        <w:t>információkat előkészítsék, gyűjtsék</w:t>
      </w:r>
      <w:r w:rsidR="00514990">
        <w:rPr>
          <w:rFonts w:eastAsia="Times New Roman" w:cstheme="minorHAnsi"/>
          <w:sz w:val="22"/>
          <w:lang w:val="hu-HU"/>
        </w:rPr>
        <w:t>,</w:t>
      </w:r>
      <w:r w:rsidRPr="00B07BC3">
        <w:rPr>
          <w:rFonts w:eastAsia="Times New Roman" w:cstheme="minorHAnsi"/>
          <w:sz w:val="22"/>
          <w:lang w:val="hu-HU"/>
        </w:rPr>
        <w:t xml:space="preserve"> szükség szerin</w:t>
      </w:r>
      <w:r w:rsidR="00DF3392">
        <w:rPr>
          <w:rFonts w:eastAsia="Times New Roman" w:cstheme="minorHAnsi"/>
          <w:sz w:val="22"/>
          <w:lang w:val="hu-HU"/>
        </w:rPr>
        <w:t>t</w:t>
      </w:r>
      <w:r w:rsidRPr="00B07BC3">
        <w:rPr>
          <w:rFonts w:eastAsia="Times New Roman" w:cstheme="minorHAnsi"/>
          <w:sz w:val="22"/>
          <w:lang w:val="hu-HU"/>
        </w:rPr>
        <w:t xml:space="preserve"> aggregálják</w:t>
      </w:r>
      <w:r w:rsidR="004F18AB">
        <w:rPr>
          <w:rFonts w:eastAsia="Times New Roman" w:cstheme="minorHAnsi"/>
          <w:sz w:val="22"/>
          <w:lang w:val="hu-HU"/>
        </w:rPr>
        <w:t xml:space="preserve">, </w:t>
      </w:r>
      <w:r w:rsidR="00490656">
        <w:rPr>
          <w:rFonts w:eastAsia="Times New Roman" w:cstheme="minorHAnsi"/>
          <w:sz w:val="22"/>
          <w:lang w:val="hu-HU"/>
        </w:rPr>
        <w:t>strukturált formában rendelkezésre tartsák</w:t>
      </w:r>
      <w:r w:rsidRPr="00B07BC3">
        <w:rPr>
          <w:rFonts w:eastAsia="Times New Roman" w:cstheme="minorHAnsi"/>
          <w:sz w:val="22"/>
          <w:lang w:val="hu-HU"/>
        </w:rPr>
        <w:t xml:space="preserve"> és az elvárt időben a</w:t>
      </w:r>
      <w:r w:rsidR="001709B4">
        <w:rPr>
          <w:rFonts w:eastAsia="Times New Roman" w:cstheme="minorHAnsi"/>
          <w:sz w:val="22"/>
          <w:lang w:val="hu-HU"/>
        </w:rPr>
        <w:t>z MNB</w:t>
      </w:r>
      <w:r w:rsidR="00B5587D">
        <w:rPr>
          <w:rFonts w:eastAsia="Times New Roman" w:cstheme="minorHAnsi"/>
          <w:sz w:val="22"/>
          <w:lang w:val="hu-HU"/>
        </w:rPr>
        <w:t xml:space="preserve"> és </w:t>
      </w:r>
      <w:r w:rsidRPr="00B07BC3">
        <w:rPr>
          <w:rFonts w:eastAsia="Times New Roman" w:cstheme="minorHAnsi"/>
          <w:sz w:val="22"/>
          <w:lang w:val="hu-HU"/>
        </w:rPr>
        <w:t xml:space="preserve">a független értékelő rendelkezésére </w:t>
      </w:r>
      <w:r w:rsidR="00197FBB" w:rsidRPr="00B07BC3">
        <w:rPr>
          <w:rFonts w:eastAsia="Times New Roman" w:cstheme="minorHAnsi"/>
          <w:sz w:val="22"/>
          <w:lang w:val="hu-HU"/>
        </w:rPr>
        <w:t>bocsá</w:t>
      </w:r>
      <w:r w:rsidR="00197FBB">
        <w:rPr>
          <w:rFonts w:eastAsia="Times New Roman" w:cstheme="minorHAnsi"/>
          <w:sz w:val="22"/>
          <w:lang w:val="hu-HU"/>
        </w:rPr>
        <w:t>t</w:t>
      </w:r>
      <w:r w:rsidR="00197FBB" w:rsidRPr="00B07BC3">
        <w:rPr>
          <w:rFonts w:eastAsia="Times New Roman" w:cstheme="minorHAnsi"/>
          <w:sz w:val="22"/>
          <w:lang w:val="hu-HU"/>
        </w:rPr>
        <w:t>sák</w:t>
      </w:r>
      <w:r w:rsidR="00626AA2">
        <w:rPr>
          <w:rFonts w:eastAsia="Times New Roman" w:cstheme="minorHAnsi"/>
          <w:sz w:val="22"/>
          <w:lang w:val="hu-HU"/>
        </w:rPr>
        <w:t xml:space="preserve"> az értékelés elvégzésé</w:t>
      </w:r>
      <w:r w:rsidR="00D34DCA">
        <w:rPr>
          <w:rFonts w:eastAsia="Times New Roman" w:cstheme="minorHAnsi"/>
          <w:sz w:val="22"/>
          <w:lang w:val="hu-HU"/>
        </w:rPr>
        <w:t>nek</w:t>
      </w:r>
      <w:r w:rsidRPr="00B07BC3">
        <w:rPr>
          <w:rFonts w:eastAsia="Times New Roman" w:cstheme="minorHAnsi"/>
          <w:sz w:val="22"/>
          <w:lang w:val="hu-HU"/>
        </w:rPr>
        <w:t xml:space="preserve"> </w:t>
      </w:r>
      <w:r w:rsidR="00D34DCA" w:rsidRPr="00B07BC3">
        <w:rPr>
          <w:rFonts w:eastAsia="Times New Roman" w:cstheme="minorHAnsi"/>
          <w:sz w:val="22"/>
          <w:lang w:val="hu-HU"/>
        </w:rPr>
        <w:t>támoga</w:t>
      </w:r>
      <w:r w:rsidR="00D34DCA">
        <w:rPr>
          <w:rFonts w:eastAsia="Times New Roman" w:cstheme="minorHAnsi"/>
          <w:sz w:val="22"/>
          <w:lang w:val="hu-HU"/>
        </w:rPr>
        <w:t>tása</w:t>
      </w:r>
      <w:r w:rsidR="00D34DCA" w:rsidRPr="00B07BC3">
        <w:rPr>
          <w:rFonts w:eastAsia="Times New Roman" w:cstheme="minorHAnsi"/>
          <w:sz w:val="22"/>
          <w:lang w:val="hu-HU"/>
        </w:rPr>
        <w:t xml:space="preserve"> </w:t>
      </w:r>
      <w:r w:rsidR="00D34DCA">
        <w:rPr>
          <w:rFonts w:eastAsia="Times New Roman" w:cstheme="minorHAnsi"/>
          <w:sz w:val="22"/>
          <w:lang w:val="hu-HU"/>
        </w:rPr>
        <w:t>céljából</w:t>
      </w:r>
      <w:r w:rsidRPr="00B07BC3">
        <w:rPr>
          <w:rFonts w:eastAsia="Times New Roman" w:cstheme="minorHAnsi"/>
          <w:sz w:val="22"/>
          <w:lang w:val="hu-HU"/>
        </w:rPr>
        <w:t>.</w:t>
      </w:r>
      <w:r w:rsidR="00B84EEC">
        <w:rPr>
          <w:rFonts w:eastAsia="Times New Roman" w:cstheme="minorHAnsi"/>
          <w:sz w:val="22"/>
          <w:lang w:val="hu-HU"/>
        </w:rPr>
        <w:t xml:space="preserve"> Az </w:t>
      </w:r>
      <w:r w:rsidR="00337F8A">
        <w:rPr>
          <w:rFonts w:eastAsia="Times New Roman" w:cstheme="minorHAnsi"/>
          <w:sz w:val="22"/>
          <w:lang w:val="hu-HU"/>
        </w:rPr>
        <w:t xml:space="preserve">MNB </w:t>
      </w:r>
      <w:r w:rsidR="004F5B07">
        <w:rPr>
          <w:rFonts w:eastAsia="Times New Roman" w:cstheme="minorHAnsi"/>
          <w:sz w:val="22"/>
          <w:lang w:val="hu-HU"/>
        </w:rPr>
        <w:t xml:space="preserve">az </w:t>
      </w:r>
      <w:r w:rsidR="00FE2B43">
        <w:rPr>
          <w:rFonts w:eastAsia="Times New Roman" w:cstheme="minorHAnsi"/>
          <w:sz w:val="22"/>
          <w:lang w:val="hu-HU"/>
        </w:rPr>
        <w:t xml:space="preserve">értékelések gyakoriságával kapcsolatos elvárásait, valamint a </w:t>
      </w:r>
      <w:r w:rsidR="006A28FE">
        <w:rPr>
          <w:rFonts w:eastAsia="Times New Roman" w:cstheme="minorHAnsi"/>
          <w:sz w:val="22"/>
          <w:lang w:val="hu-HU"/>
        </w:rPr>
        <w:t xml:space="preserve">felkészülési és vizsgálati időszakra vonatkozó megállapításait </w:t>
      </w:r>
      <w:r w:rsidR="008F68CC">
        <w:rPr>
          <w:rFonts w:eastAsia="Times New Roman" w:cstheme="minorHAnsi"/>
          <w:sz w:val="22"/>
          <w:lang w:val="hu-HU"/>
        </w:rPr>
        <w:t xml:space="preserve">részletesen </w:t>
      </w:r>
      <w:r w:rsidR="008F68CC" w:rsidRPr="002F72AF">
        <w:rPr>
          <w:rFonts w:eastAsia="Times New Roman" w:cstheme="minorHAnsi"/>
          <w:sz w:val="22"/>
          <w:lang w:val="hu-HU"/>
        </w:rPr>
        <w:t xml:space="preserve">a </w:t>
      </w:r>
      <w:r w:rsidR="002F72AF" w:rsidRPr="00270638">
        <w:rPr>
          <w:rFonts w:eastAsia="Times New Roman" w:cstheme="minorHAnsi"/>
          <w:sz w:val="22"/>
          <w:lang w:val="hu-HU"/>
        </w:rPr>
        <w:t>6</w:t>
      </w:r>
      <w:r w:rsidR="00812A37" w:rsidRPr="002F72AF">
        <w:rPr>
          <w:rFonts w:eastAsia="Times New Roman" w:cstheme="minorHAnsi"/>
          <w:sz w:val="22"/>
          <w:lang w:val="hu-HU"/>
        </w:rPr>
        <w:t>.2</w:t>
      </w:r>
      <w:r w:rsidR="00202B0C" w:rsidRPr="002F72AF">
        <w:rPr>
          <w:rFonts w:eastAsia="Times New Roman" w:cstheme="minorHAnsi"/>
          <w:sz w:val="22"/>
          <w:lang w:val="hu-HU"/>
        </w:rPr>
        <w:t>.</w:t>
      </w:r>
      <w:r w:rsidR="00812A37" w:rsidRPr="002F72AF">
        <w:rPr>
          <w:rFonts w:eastAsia="Times New Roman" w:cstheme="minorHAnsi"/>
          <w:sz w:val="22"/>
          <w:lang w:val="hu-HU"/>
        </w:rPr>
        <w:t xml:space="preserve"> és </w:t>
      </w:r>
      <w:r w:rsidR="002F72AF" w:rsidRPr="00270638">
        <w:rPr>
          <w:rFonts w:eastAsia="Times New Roman" w:cstheme="minorHAnsi"/>
          <w:sz w:val="22"/>
          <w:lang w:val="hu-HU"/>
        </w:rPr>
        <w:t>6</w:t>
      </w:r>
      <w:r w:rsidR="00202B0C" w:rsidRPr="002F72AF">
        <w:rPr>
          <w:rFonts w:eastAsia="Times New Roman" w:cstheme="minorHAnsi"/>
          <w:sz w:val="22"/>
          <w:lang w:val="hu-HU"/>
        </w:rPr>
        <w:t>.3.</w:t>
      </w:r>
      <w:r w:rsidR="008F68CC" w:rsidRPr="004664AD">
        <w:rPr>
          <w:rFonts w:eastAsia="Times New Roman" w:cstheme="minorHAnsi"/>
          <w:sz w:val="22"/>
          <w:lang w:val="hu-HU"/>
        </w:rPr>
        <w:t xml:space="preserve"> </w:t>
      </w:r>
      <w:r w:rsidR="00202B0C" w:rsidRPr="002054D4">
        <w:rPr>
          <w:rFonts w:eastAsia="Times New Roman" w:cstheme="minorHAnsi"/>
          <w:sz w:val="22"/>
          <w:lang w:val="hu-HU"/>
        </w:rPr>
        <w:t>al</w:t>
      </w:r>
      <w:r w:rsidR="003A3ED1" w:rsidRPr="002054D4">
        <w:rPr>
          <w:rFonts w:eastAsia="Times New Roman" w:cstheme="minorHAnsi"/>
          <w:sz w:val="22"/>
          <w:lang w:val="hu-HU"/>
        </w:rPr>
        <w:t>fejezet</w:t>
      </w:r>
      <w:r w:rsidR="007F34DB" w:rsidRPr="002054D4">
        <w:rPr>
          <w:rFonts w:eastAsia="Times New Roman" w:cstheme="minorHAnsi"/>
          <w:sz w:val="22"/>
          <w:lang w:val="hu-HU"/>
        </w:rPr>
        <w:t>ek</w:t>
      </w:r>
      <w:r w:rsidR="003A3ED1" w:rsidRPr="004664AD">
        <w:rPr>
          <w:rFonts w:eastAsia="Times New Roman" w:cstheme="minorHAnsi"/>
          <w:sz w:val="22"/>
          <w:lang w:val="hu-HU"/>
        </w:rPr>
        <w:t xml:space="preserve"> </w:t>
      </w:r>
      <w:r w:rsidR="003A3ED1" w:rsidRPr="002054D4">
        <w:rPr>
          <w:rFonts w:eastAsia="Times New Roman" w:cstheme="minorHAnsi"/>
          <w:sz w:val="22"/>
          <w:lang w:val="hu-HU"/>
        </w:rPr>
        <w:t>tartalmazz</w:t>
      </w:r>
      <w:r w:rsidR="007F34DB" w:rsidRPr="002054D4">
        <w:rPr>
          <w:rFonts w:eastAsia="Times New Roman" w:cstheme="minorHAnsi"/>
          <w:sz w:val="22"/>
          <w:lang w:val="hu-HU"/>
        </w:rPr>
        <w:t>ák</w:t>
      </w:r>
      <w:r w:rsidR="003A3ED1" w:rsidRPr="004664AD">
        <w:rPr>
          <w:rFonts w:eastAsia="Times New Roman" w:cstheme="minorHAnsi"/>
          <w:sz w:val="22"/>
          <w:lang w:val="hu-HU"/>
        </w:rPr>
        <w:t>.</w:t>
      </w:r>
    </w:p>
    <w:p w14:paraId="500A3BE8" w14:textId="499F1453" w:rsidR="00A33D50" w:rsidRDefault="00A33D50" w:rsidP="00270638">
      <w:pPr>
        <w:pStyle w:val="Heading2"/>
        <w:ind w:left="360" w:hanging="396"/>
      </w:pPr>
      <w:bookmarkStart w:id="8" w:name="_Toc153188938"/>
      <w:r>
        <w:t>Adatszolgáltatás részei</w:t>
      </w:r>
      <w:bookmarkEnd w:id="8"/>
    </w:p>
    <w:p w14:paraId="4D408A19" w14:textId="66BAACE0" w:rsidR="009A4E6C" w:rsidRDefault="00DE57AA" w:rsidP="00270638">
      <w:pPr>
        <w:ind w:right="-3139"/>
        <w:textAlignment w:val="center"/>
        <w:rPr>
          <w:rFonts w:eastAsia="Times New Roman" w:cstheme="minorHAnsi"/>
          <w:sz w:val="22"/>
          <w:lang w:val="hu-HU"/>
        </w:rPr>
      </w:pPr>
      <w:r>
        <w:rPr>
          <w:rFonts w:eastAsia="Times New Roman" w:cstheme="minorHAnsi"/>
          <w:sz w:val="22"/>
          <w:lang w:val="hu-HU"/>
        </w:rPr>
        <w:t>A</w:t>
      </w:r>
      <w:r w:rsidR="00A33D50">
        <w:rPr>
          <w:rFonts w:eastAsia="Times New Roman" w:cstheme="minorHAnsi"/>
          <w:sz w:val="22"/>
          <w:lang w:val="hu-HU"/>
        </w:rPr>
        <w:t>z MNB két típusú adathalmaz szolgáltatását várja el: egyrészről létrehozott egy úgynevezett adatszótárt, amely útmutatást ad az intézményi kör számára a szanálási</w:t>
      </w:r>
      <w:r>
        <w:rPr>
          <w:rFonts w:eastAsia="Times New Roman" w:cstheme="minorHAnsi"/>
          <w:sz w:val="22"/>
          <w:lang w:val="hu-HU"/>
        </w:rPr>
        <w:t xml:space="preserve"> vagyonértékelések és a szanálási</w:t>
      </w:r>
      <w:r w:rsidR="00A33D50">
        <w:rPr>
          <w:rFonts w:eastAsia="Times New Roman" w:cstheme="minorHAnsi"/>
          <w:sz w:val="22"/>
          <w:lang w:val="hu-HU"/>
        </w:rPr>
        <w:t xml:space="preserve"> </w:t>
      </w:r>
      <w:r>
        <w:rPr>
          <w:rFonts w:eastAsia="Times New Roman" w:cstheme="minorHAnsi"/>
          <w:sz w:val="22"/>
          <w:lang w:val="hu-HU"/>
        </w:rPr>
        <w:t xml:space="preserve">eszközök alkalmazásához szükséges </w:t>
      </w:r>
      <w:r w:rsidR="00A33D50">
        <w:rPr>
          <w:rFonts w:eastAsia="Times New Roman" w:cstheme="minorHAnsi"/>
          <w:sz w:val="22"/>
          <w:lang w:val="hu-HU"/>
        </w:rPr>
        <w:t>adatszolgáltatásra vonatkozó kötelezettségeik teljesítése érdekében. Az adatszótárban meghatározott adatok és információk meghatározása során az MNB nagymértékben támaszkodott az Egységes Szanálási Testület (</w:t>
      </w:r>
      <w:proofErr w:type="spellStart"/>
      <w:r w:rsidR="00A33D50">
        <w:rPr>
          <w:rFonts w:eastAsia="Times New Roman" w:cstheme="minorHAnsi"/>
          <w:sz w:val="22"/>
          <w:lang w:val="hu-HU"/>
        </w:rPr>
        <w:t>Single</w:t>
      </w:r>
      <w:proofErr w:type="spellEnd"/>
      <w:r w:rsidR="00A33D50">
        <w:rPr>
          <w:rFonts w:eastAsia="Times New Roman" w:cstheme="minorHAnsi"/>
          <w:sz w:val="22"/>
          <w:lang w:val="hu-HU"/>
        </w:rPr>
        <w:t xml:space="preserve"> Resolution </w:t>
      </w:r>
      <w:proofErr w:type="spellStart"/>
      <w:r w:rsidR="00A33D50">
        <w:rPr>
          <w:rFonts w:eastAsia="Times New Roman" w:cstheme="minorHAnsi"/>
          <w:sz w:val="22"/>
          <w:lang w:val="hu-HU"/>
        </w:rPr>
        <w:t>Board</w:t>
      </w:r>
      <w:proofErr w:type="spellEnd"/>
      <w:r w:rsidR="00A33D50">
        <w:rPr>
          <w:rFonts w:eastAsia="Times New Roman" w:cstheme="minorHAnsi"/>
          <w:sz w:val="22"/>
          <w:lang w:val="hu-HU"/>
        </w:rPr>
        <w:t xml:space="preserve">,„SRB”) és az </w:t>
      </w:r>
      <w:proofErr w:type="spellStart"/>
      <w:r w:rsidR="00A33D50">
        <w:rPr>
          <w:rFonts w:eastAsia="Times New Roman" w:cstheme="minorHAnsi"/>
          <w:sz w:val="22"/>
          <w:lang w:val="hu-HU"/>
        </w:rPr>
        <w:t>EBA</w:t>
      </w:r>
      <w:proofErr w:type="spellEnd"/>
      <w:r w:rsidR="00A33D50">
        <w:rPr>
          <w:rFonts w:eastAsia="Times New Roman" w:cstheme="minorHAnsi"/>
          <w:sz w:val="22"/>
          <w:lang w:val="hu-HU"/>
        </w:rPr>
        <w:t xml:space="preserve"> szanálási értékelésekre vonatkozó kézikönyvében meghatározott értékelési alapelvekre és értékelési megközelítésekre, valamint az </w:t>
      </w:r>
      <w:proofErr w:type="spellStart"/>
      <w:r w:rsidR="00A33D50">
        <w:rPr>
          <w:rFonts w:eastAsia="Times New Roman" w:cstheme="minorHAnsi"/>
          <w:sz w:val="22"/>
          <w:lang w:val="hu-HU"/>
        </w:rPr>
        <w:t>EBA</w:t>
      </w:r>
      <w:proofErr w:type="spellEnd"/>
      <w:r w:rsidR="00A33D50">
        <w:rPr>
          <w:rFonts w:eastAsia="Times New Roman" w:cstheme="minorHAnsi"/>
          <w:sz w:val="22"/>
          <w:lang w:val="hu-HU"/>
        </w:rPr>
        <w:t xml:space="preserve"> által publikált kézikönyv adatszótár mellékletére, figyelemmel arra, hogy az </w:t>
      </w:r>
      <w:proofErr w:type="spellStart"/>
      <w:r w:rsidR="00A33D50">
        <w:rPr>
          <w:rFonts w:eastAsia="Times New Roman" w:cstheme="minorHAnsi"/>
          <w:sz w:val="22"/>
          <w:lang w:val="hu-HU"/>
        </w:rPr>
        <w:t>EBA</w:t>
      </w:r>
      <w:proofErr w:type="spellEnd"/>
      <w:r w:rsidR="00A33D50">
        <w:rPr>
          <w:rFonts w:eastAsia="Times New Roman" w:cstheme="minorHAnsi"/>
          <w:sz w:val="22"/>
          <w:lang w:val="hu-HU"/>
        </w:rPr>
        <w:t xml:space="preserve"> adatszótára egységes referenciaként szolgál az uniós tagállamokban a szanálási hatóságok adat- és információszolgáltatással kapcsolatos elvárásaival a szanálási értékelés támogatása során. </w:t>
      </w:r>
    </w:p>
    <w:p w14:paraId="31DD41A8" w14:textId="448CF5D5" w:rsidR="00A33D50" w:rsidRPr="00253053" w:rsidRDefault="00A33D50" w:rsidP="00270638">
      <w:pPr>
        <w:ind w:right="-3139"/>
        <w:textAlignment w:val="center"/>
        <w:rPr>
          <w:rFonts w:eastAsia="Times New Roman" w:cstheme="minorHAnsi"/>
          <w:sz w:val="22"/>
          <w:lang w:val="hu-HU"/>
        </w:rPr>
      </w:pPr>
      <w:r>
        <w:rPr>
          <w:rFonts w:eastAsia="Times New Roman" w:cstheme="minorHAnsi"/>
          <w:sz w:val="22"/>
          <w:lang w:val="hu-HU"/>
        </w:rPr>
        <w:t>A szintén a jelen dokumentum mellékletét képező „</w:t>
      </w:r>
      <w:proofErr w:type="spellStart"/>
      <w:r>
        <w:rPr>
          <w:rFonts w:eastAsia="Times New Roman" w:cstheme="minorHAnsi"/>
          <w:sz w:val="22"/>
          <w:lang w:val="hu-HU"/>
        </w:rPr>
        <w:t>bail</w:t>
      </w:r>
      <w:proofErr w:type="spellEnd"/>
      <w:r>
        <w:rPr>
          <w:rFonts w:eastAsia="Times New Roman" w:cstheme="minorHAnsi"/>
          <w:sz w:val="22"/>
          <w:lang w:val="hu-HU"/>
        </w:rPr>
        <w:t>-in” (hitelezői feltőkésítés) analitika kifejezetten a</w:t>
      </w:r>
      <w:r w:rsidR="00F05189">
        <w:rPr>
          <w:rFonts w:eastAsia="Times New Roman" w:cstheme="minorHAnsi"/>
          <w:sz w:val="22"/>
          <w:lang w:val="hu-HU"/>
        </w:rPr>
        <w:t>z intézmények</w:t>
      </w:r>
      <w:r>
        <w:rPr>
          <w:rFonts w:eastAsia="Times New Roman" w:cstheme="minorHAnsi"/>
          <w:sz w:val="22"/>
          <w:lang w:val="hu-HU"/>
        </w:rPr>
        <w:t xml:space="preserve"> forrásainak </w:t>
      </w:r>
      <w:r w:rsidR="009A4E6C">
        <w:rPr>
          <w:rFonts w:eastAsia="Times New Roman" w:cstheme="minorHAnsi"/>
          <w:sz w:val="22"/>
          <w:lang w:val="hu-HU"/>
        </w:rPr>
        <w:t>leírásra és átalakításra</w:t>
      </w:r>
      <w:r>
        <w:rPr>
          <w:rFonts w:eastAsia="Times New Roman" w:cstheme="minorHAnsi"/>
          <w:sz w:val="22"/>
          <w:lang w:val="hu-HU"/>
        </w:rPr>
        <w:t xml:space="preserve"> </w:t>
      </w:r>
      <w:r w:rsidR="009A4E6C">
        <w:rPr>
          <w:rFonts w:eastAsia="Times New Roman" w:cstheme="minorHAnsi"/>
          <w:sz w:val="22"/>
          <w:lang w:val="hu-HU"/>
        </w:rPr>
        <w:t xml:space="preserve">irányuló hatáskör gyakorlására </w:t>
      </w:r>
      <w:r>
        <w:rPr>
          <w:rFonts w:eastAsia="Times New Roman" w:cstheme="minorHAnsi"/>
          <w:sz w:val="22"/>
          <w:lang w:val="hu-HU"/>
        </w:rPr>
        <w:t>alkalmas instrumentumait célozza meghatározni.</w:t>
      </w:r>
    </w:p>
    <w:p w14:paraId="102C97E3" w14:textId="77777777" w:rsidR="00A33D50" w:rsidRDefault="00A33D50" w:rsidP="00270638">
      <w:pPr>
        <w:ind w:right="-3139"/>
        <w:textAlignment w:val="center"/>
        <w:rPr>
          <w:rFonts w:eastAsia="Times New Roman" w:cstheme="minorHAnsi"/>
          <w:sz w:val="22"/>
          <w:lang w:val="hu-HU"/>
        </w:rPr>
      </w:pPr>
      <w:r w:rsidRPr="00B07BC3">
        <w:rPr>
          <w:rFonts w:eastAsia="Times New Roman" w:cstheme="minorHAnsi"/>
          <w:sz w:val="22"/>
          <w:lang w:val="hu-HU"/>
        </w:rPr>
        <w:t>A közös</w:t>
      </w:r>
      <w:r>
        <w:rPr>
          <w:rFonts w:eastAsia="Times New Roman" w:cstheme="minorHAnsi"/>
          <w:sz w:val="22"/>
          <w:lang w:val="hu-HU"/>
        </w:rPr>
        <w:t xml:space="preserve"> és egységes</w:t>
      </w:r>
      <w:r w:rsidRPr="00B07BC3">
        <w:rPr>
          <w:rFonts w:eastAsia="Times New Roman" w:cstheme="minorHAnsi"/>
          <w:sz w:val="22"/>
          <w:lang w:val="hu-HU"/>
        </w:rPr>
        <w:t xml:space="preserve"> </w:t>
      </w:r>
      <w:r>
        <w:rPr>
          <w:rFonts w:eastAsia="Times New Roman" w:cstheme="minorHAnsi"/>
          <w:sz w:val="22"/>
          <w:lang w:val="hu-HU"/>
        </w:rPr>
        <w:t>adatszolgáltatás</w:t>
      </w:r>
      <w:r w:rsidRPr="00B07BC3">
        <w:rPr>
          <w:rFonts w:eastAsia="Times New Roman" w:cstheme="minorHAnsi"/>
          <w:sz w:val="22"/>
          <w:lang w:val="hu-HU"/>
        </w:rPr>
        <w:t xml:space="preserve"> érdekében az adatszótár továbbá részletes leírásokat tartalmaz az adatdefiníciók kapcsán.</w:t>
      </w:r>
      <w:r>
        <w:rPr>
          <w:rFonts w:eastAsia="Times New Roman" w:cstheme="minorHAnsi"/>
          <w:sz w:val="22"/>
          <w:lang w:val="hu-HU"/>
        </w:rPr>
        <w:t xml:space="preserve"> Az a</w:t>
      </w:r>
      <w:r w:rsidRPr="00B07BC3">
        <w:rPr>
          <w:rFonts w:eastAsia="Times New Roman" w:cstheme="minorHAnsi"/>
          <w:sz w:val="22"/>
          <w:lang w:val="hu-HU"/>
        </w:rPr>
        <w:t>datszótár melléklet</w:t>
      </w:r>
      <w:r>
        <w:rPr>
          <w:rFonts w:eastAsia="Times New Roman" w:cstheme="minorHAnsi"/>
          <w:sz w:val="22"/>
          <w:lang w:val="hu-HU"/>
        </w:rPr>
        <w:t>e</w:t>
      </w:r>
      <w:r w:rsidRPr="00B07BC3">
        <w:rPr>
          <w:rFonts w:eastAsia="Times New Roman" w:cstheme="minorHAnsi"/>
          <w:sz w:val="22"/>
          <w:lang w:val="hu-HU"/>
        </w:rPr>
        <w:t xml:space="preserve"> tartalmazza</w:t>
      </w:r>
      <w:r>
        <w:rPr>
          <w:rFonts w:eastAsia="Times New Roman" w:cstheme="minorHAnsi"/>
          <w:sz w:val="22"/>
          <w:lang w:val="hu-HU"/>
        </w:rPr>
        <w:t xml:space="preserve"> – többek között – a </w:t>
      </w:r>
      <w:r w:rsidRPr="00B07BC3">
        <w:rPr>
          <w:rFonts w:eastAsia="Times New Roman" w:cstheme="minorHAnsi"/>
          <w:sz w:val="22"/>
          <w:lang w:val="hu-HU"/>
        </w:rPr>
        <w:t xml:space="preserve">szanálási feltételek megállapításához, valamint a szanálási intézkedések alkalmazásának megalapozott alátámasztásához, az egyes </w:t>
      </w:r>
      <w:r w:rsidRPr="00B07BC3">
        <w:rPr>
          <w:rFonts w:eastAsia="Times New Roman" w:cstheme="minorHAnsi"/>
          <w:sz w:val="22"/>
          <w:lang w:val="hu-HU"/>
        </w:rPr>
        <w:lastRenderedPageBreak/>
        <w:t xml:space="preserve">szanálási eszközök </w:t>
      </w:r>
      <w:r>
        <w:rPr>
          <w:rFonts w:eastAsia="Times New Roman" w:cstheme="minorHAnsi"/>
          <w:sz w:val="22"/>
          <w:lang w:val="hu-HU"/>
        </w:rPr>
        <w:t>eredményességének vizsgálatához</w:t>
      </w:r>
      <w:r w:rsidRPr="00B07BC3">
        <w:rPr>
          <w:rFonts w:eastAsia="Times New Roman" w:cstheme="minorHAnsi"/>
          <w:sz w:val="22"/>
          <w:lang w:val="hu-HU"/>
        </w:rPr>
        <w:t xml:space="preserve"> szükséges független értékelés elkészítéséhez kapcsolódó információk körét, az információk priorizálását, valamint az egyes információk vonatkozásában az adatszolgáltatásra rendelkezésre álló maximális időt.</w:t>
      </w:r>
      <w:r>
        <w:rPr>
          <w:rFonts w:eastAsia="Times New Roman" w:cstheme="minorHAnsi"/>
          <w:sz w:val="22"/>
          <w:lang w:val="hu-HU"/>
        </w:rPr>
        <w:t xml:space="preserve"> </w:t>
      </w:r>
    </w:p>
    <w:p w14:paraId="0ECB9CB3" w14:textId="53B0B5B8" w:rsidR="00A33D50" w:rsidRDefault="00A33D50" w:rsidP="00270638">
      <w:pPr>
        <w:ind w:right="-3139"/>
        <w:textAlignment w:val="center"/>
        <w:rPr>
          <w:rFonts w:eastAsia="Times New Roman" w:cstheme="minorHAnsi"/>
          <w:sz w:val="22"/>
          <w:lang w:val="hu-HU"/>
        </w:rPr>
      </w:pPr>
      <w:r>
        <w:rPr>
          <w:rFonts w:eastAsia="Times New Roman" w:cstheme="minorHAnsi"/>
          <w:sz w:val="22"/>
          <w:lang w:val="hu-HU"/>
        </w:rPr>
        <w:t>A jelen dokumentum, valamint a mellékletét képező adatszótár és „</w:t>
      </w:r>
      <w:proofErr w:type="spellStart"/>
      <w:r>
        <w:rPr>
          <w:rFonts w:eastAsia="Times New Roman" w:cstheme="minorHAnsi"/>
          <w:sz w:val="22"/>
          <w:lang w:val="hu-HU"/>
        </w:rPr>
        <w:t>bail</w:t>
      </w:r>
      <w:proofErr w:type="spellEnd"/>
      <w:r>
        <w:rPr>
          <w:rFonts w:eastAsia="Times New Roman" w:cstheme="minorHAnsi"/>
          <w:sz w:val="22"/>
          <w:lang w:val="hu-HU"/>
        </w:rPr>
        <w:t xml:space="preserve">-in” analitika az arányosság elvét figyelembe véve került kialakításra, azaz szem előtt tartva a </w:t>
      </w:r>
      <w:r w:rsidR="009A4E6C">
        <w:rPr>
          <w:rFonts w:eastAsia="Times New Roman" w:cstheme="minorHAnsi"/>
          <w:sz w:val="22"/>
          <w:lang w:val="hu-HU"/>
        </w:rPr>
        <w:t>szanálási vagyon</w:t>
      </w:r>
      <w:r>
        <w:rPr>
          <w:rFonts w:eastAsia="Times New Roman" w:cstheme="minorHAnsi"/>
          <w:sz w:val="22"/>
          <w:lang w:val="hu-HU"/>
        </w:rPr>
        <w:t>értékeléshez szükséges teljeskörű adatszolgáltatás fontosságát és a</w:t>
      </w:r>
      <w:r w:rsidR="00CA267F">
        <w:rPr>
          <w:rFonts w:eastAsia="Times New Roman" w:cstheme="minorHAnsi"/>
          <w:sz w:val="22"/>
          <w:lang w:val="hu-HU"/>
        </w:rPr>
        <w:t>z</w:t>
      </w:r>
      <w:r>
        <w:rPr>
          <w:rFonts w:eastAsia="Times New Roman" w:cstheme="minorHAnsi"/>
          <w:sz w:val="22"/>
          <w:lang w:val="hu-HU"/>
        </w:rPr>
        <w:t xml:space="preserve">értékelés komplexitását, ugyanakkor elismerve az intézmények felkészüléssel kapcsolatos költségeit is, ily módon törekedve arra, hogy az adatszolgáltatás az intézmények számára az elérni kívánt céljához képest ne jelentsen aránytalan terhet. </w:t>
      </w:r>
    </w:p>
    <w:p w14:paraId="68C88023" w14:textId="77777777" w:rsidR="00B07BC3" w:rsidRPr="00154D5B" w:rsidRDefault="00B07BC3" w:rsidP="00270638">
      <w:pPr>
        <w:pStyle w:val="Heading2"/>
        <w:ind w:left="360" w:hanging="396"/>
      </w:pPr>
      <w:bookmarkStart w:id="9" w:name="_Toc153188939"/>
      <w:r w:rsidRPr="00154D5B">
        <w:t>Adatszolgáltatás elvárt módja</w:t>
      </w:r>
      <w:bookmarkEnd w:id="9"/>
    </w:p>
    <w:p w14:paraId="6EE89DDF" w14:textId="3F694D4D" w:rsidR="00B07BC3" w:rsidRPr="004664AD" w:rsidRDefault="00CC2B7C" w:rsidP="00270638">
      <w:pPr>
        <w:numPr>
          <w:ilvl w:val="2"/>
          <w:numId w:val="7"/>
        </w:numPr>
        <w:tabs>
          <w:tab w:val="clear" w:pos="2160"/>
        </w:tabs>
        <w:ind w:left="1080" w:right="-3135"/>
        <w:textAlignment w:val="center"/>
        <w:rPr>
          <w:rFonts w:eastAsia="Times New Roman" w:cstheme="minorHAnsi"/>
          <w:sz w:val="22"/>
          <w:lang w:val="hu-HU"/>
        </w:rPr>
      </w:pPr>
      <w:r>
        <w:rPr>
          <w:rFonts w:eastAsia="Times New Roman" w:cstheme="minorHAnsi"/>
          <w:sz w:val="22"/>
          <w:lang w:val="hu-HU"/>
        </w:rPr>
        <w:t>A</w:t>
      </w:r>
      <w:r w:rsidR="00B07BC3" w:rsidRPr="00B07BC3">
        <w:rPr>
          <w:rFonts w:eastAsia="Times New Roman" w:cstheme="minorHAnsi"/>
          <w:sz w:val="22"/>
          <w:lang w:val="hu-HU"/>
        </w:rPr>
        <w:t>z értékelésre és a szanálási</w:t>
      </w:r>
      <w:r w:rsidR="004F5B07">
        <w:rPr>
          <w:rFonts w:eastAsia="Times New Roman" w:cstheme="minorHAnsi"/>
          <w:sz w:val="22"/>
          <w:lang w:val="hu-HU"/>
        </w:rPr>
        <w:t xml:space="preserve"> eljárás elrendelésére, valamint a szanálási</w:t>
      </w:r>
      <w:r w:rsidR="00B07BC3" w:rsidRPr="00B07BC3">
        <w:rPr>
          <w:rFonts w:eastAsia="Times New Roman" w:cstheme="minorHAnsi"/>
          <w:sz w:val="22"/>
          <w:lang w:val="hu-HU"/>
        </w:rPr>
        <w:t xml:space="preserve"> </w:t>
      </w:r>
      <w:r w:rsidR="004F5B07">
        <w:rPr>
          <w:rFonts w:eastAsia="Times New Roman" w:cstheme="minorHAnsi"/>
          <w:sz w:val="22"/>
          <w:lang w:val="hu-HU"/>
        </w:rPr>
        <w:t>intézkedésekről szóló döntések meghozatalára</w:t>
      </w:r>
      <w:r w:rsidR="004F5B07" w:rsidRPr="00B07BC3">
        <w:rPr>
          <w:rFonts w:eastAsia="Times New Roman" w:cstheme="minorHAnsi"/>
          <w:sz w:val="22"/>
          <w:lang w:val="hu-HU"/>
        </w:rPr>
        <w:t xml:space="preserve"> </w:t>
      </w:r>
      <w:r w:rsidR="00B07BC3" w:rsidRPr="00B07BC3">
        <w:rPr>
          <w:rFonts w:eastAsia="Times New Roman" w:cstheme="minorHAnsi"/>
          <w:sz w:val="22"/>
          <w:lang w:val="hu-HU"/>
        </w:rPr>
        <w:t xml:space="preserve">rendelkezésre álló </w:t>
      </w:r>
      <w:r w:rsidR="00EE54A6">
        <w:rPr>
          <w:rFonts w:eastAsia="Times New Roman" w:cstheme="minorHAnsi"/>
          <w:sz w:val="22"/>
          <w:lang w:val="hu-HU"/>
        </w:rPr>
        <w:t xml:space="preserve">várhatóan </w:t>
      </w:r>
      <w:r w:rsidR="004F5B07">
        <w:rPr>
          <w:rFonts w:eastAsia="Times New Roman" w:cstheme="minorHAnsi"/>
          <w:sz w:val="22"/>
          <w:lang w:val="hu-HU"/>
        </w:rPr>
        <w:t>korlátozott</w:t>
      </w:r>
      <w:r w:rsidR="00EE54A6">
        <w:rPr>
          <w:rFonts w:eastAsia="Times New Roman" w:cstheme="minorHAnsi"/>
          <w:sz w:val="22"/>
          <w:lang w:val="hu-HU"/>
        </w:rPr>
        <w:t xml:space="preserve"> </w:t>
      </w:r>
      <w:r w:rsidR="00B07BC3" w:rsidRPr="00B07BC3">
        <w:rPr>
          <w:rFonts w:eastAsia="Times New Roman" w:cstheme="minorHAnsi"/>
          <w:sz w:val="22"/>
          <w:lang w:val="hu-HU"/>
        </w:rPr>
        <w:t>idő</w:t>
      </w:r>
      <w:r w:rsidR="00EE54A6">
        <w:rPr>
          <w:rFonts w:eastAsia="Times New Roman" w:cstheme="minorHAnsi"/>
          <w:sz w:val="22"/>
          <w:lang w:val="hu-HU"/>
        </w:rPr>
        <w:t>re</w:t>
      </w:r>
      <w:r>
        <w:rPr>
          <w:rFonts w:eastAsia="Times New Roman" w:cstheme="minorHAnsi"/>
          <w:sz w:val="22"/>
          <w:lang w:val="hu-HU"/>
        </w:rPr>
        <w:t xml:space="preserve"> </w:t>
      </w:r>
      <w:r w:rsidR="00C44349">
        <w:rPr>
          <w:rFonts w:eastAsia="Times New Roman" w:cstheme="minorHAnsi"/>
          <w:sz w:val="22"/>
          <w:lang w:val="hu-HU"/>
        </w:rPr>
        <w:t>tekintettel</w:t>
      </w:r>
      <w:r w:rsidR="00C44349" w:rsidRPr="00B07BC3">
        <w:rPr>
          <w:rFonts w:eastAsia="Times New Roman" w:cstheme="minorHAnsi"/>
          <w:sz w:val="22"/>
          <w:lang w:val="hu-HU"/>
        </w:rPr>
        <w:t xml:space="preserve"> </w:t>
      </w:r>
      <w:r w:rsidR="00B07BC3" w:rsidRPr="00B07BC3">
        <w:rPr>
          <w:rFonts w:eastAsia="Times New Roman" w:cstheme="minorHAnsi"/>
          <w:sz w:val="22"/>
          <w:lang w:val="hu-HU"/>
        </w:rPr>
        <w:t xml:space="preserve">az intézményeknek </w:t>
      </w:r>
      <w:proofErr w:type="spellStart"/>
      <w:r w:rsidR="00B07BC3" w:rsidRPr="00B07BC3">
        <w:rPr>
          <w:rFonts w:eastAsia="Times New Roman" w:cstheme="minorHAnsi"/>
          <w:sz w:val="22"/>
          <w:lang w:val="hu-HU"/>
        </w:rPr>
        <w:t>sztenderdizált</w:t>
      </w:r>
      <w:proofErr w:type="spellEnd"/>
      <w:r w:rsidR="00EE54A6">
        <w:rPr>
          <w:rFonts w:eastAsia="Times New Roman" w:cstheme="minorHAnsi"/>
          <w:sz w:val="22"/>
          <w:lang w:val="hu-HU"/>
        </w:rPr>
        <w:t xml:space="preserve"> és gyorsan feldolgozható</w:t>
      </w:r>
      <w:r w:rsidR="00B07BC3" w:rsidRPr="00B07BC3">
        <w:rPr>
          <w:rFonts w:eastAsia="Times New Roman" w:cstheme="minorHAnsi"/>
          <w:sz w:val="22"/>
          <w:lang w:val="hu-HU"/>
        </w:rPr>
        <w:t xml:space="preserve"> formátumban szükséges a független értékelő és</w:t>
      </w:r>
      <w:r w:rsidR="00C5006B">
        <w:rPr>
          <w:rFonts w:eastAsia="Times New Roman" w:cstheme="minorHAnsi"/>
          <w:sz w:val="22"/>
          <w:lang w:val="hu-HU"/>
        </w:rPr>
        <w:t>/vagy</w:t>
      </w:r>
      <w:r w:rsidR="00B07BC3" w:rsidRPr="00B07BC3">
        <w:rPr>
          <w:rFonts w:eastAsia="Times New Roman" w:cstheme="minorHAnsi"/>
          <w:sz w:val="22"/>
          <w:lang w:val="hu-HU"/>
        </w:rPr>
        <w:t xml:space="preserve"> a szanálási hatóság rendelkezésére bocsátani a</w:t>
      </w:r>
      <w:r w:rsidR="00F71B03">
        <w:rPr>
          <w:rFonts w:eastAsia="Times New Roman" w:cstheme="minorHAnsi"/>
          <w:sz w:val="22"/>
          <w:lang w:val="hu-HU"/>
        </w:rPr>
        <w:t xml:space="preserve"> kért</w:t>
      </w:r>
      <w:r w:rsidR="00B07BC3" w:rsidRPr="00B07BC3">
        <w:rPr>
          <w:rFonts w:eastAsia="Times New Roman" w:cstheme="minorHAnsi"/>
          <w:sz w:val="22"/>
          <w:lang w:val="hu-HU"/>
        </w:rPr>
        <w:t xml:space="preserve"> információkat</w:t>
      </w:r>
      <w:r w:rsidR="0043638B">
        <w:rPr>
          <w:rFonts w:eastAsia="Times New Roman" w:cstheme="minorHAnsi"/>
          <w:sz w:val="22"/>
          <w:lang w:val="hu-HU"/>
        </w:rPr>
        <w:t>.</w:t>
      </w:r>
      <w:r w:rsidR="00FB1D28">
        <w:rPr>
          <w:rFonts w:eastAsia="Times New Roman" w:cstheme="minorHAnsi"/>
          <w:sz w:val="22"/>
          <w:lang w:val="hu-HU"/>
        </w:rPr>
        <w:t xml:space="preserve"> Az adatszótár</w:t>
      </w:r>
      <w:r w:rsidR="00522BEE">
        <w:rPr>
          <w:rFonts w:eastAsia="Times New Roman" w:cstheme="minorHAnsi"/>
          <w:sz w:val="22"/>
          <w:lang w:val="hu-HU"/>
        </w:rPr>
        <w:t xml:space="preserve"> és a „</w:t>
      </w:r>
      <w:proofErr w:type="spellStart"/>
      <w:r w:rsidR="00522BEE">
        <w:rPr>
          <w:rFonts w:eastAsia="Times New Roman" w:cstheme="minorHAnsi"/>
          <w:sz w:val="22"/>
          <w:lang w:val="hu-HU"/>
        </w:rPr>
        <w:t>bail</w:t>
      </w:r>
      <w:proofErr w:type="spellEnd"/>
      <w:r w:rsidR="00522BEE">
        <w:rPr>
          <w:rFonts w:eastAsia="Times New Roman" w:cstheme="minorHAnsi"/>
          <w:sz w:val="22"/>
          <w:lang w:val="hu-HU"/>
        </w:rPr>
        <w:t>-in” analitika</w:t>
      </w:r>
      <w:r w:rsidR="00FB1D28">
        <w:rPr>
          <w:rFonts w:eastAsia="Times New Roman" w:cstheme="minorHAnsi"/>
          <w:sz w:val="22"/>
          <w:lang w:val="hu-HU"/>
        </w:rPr>
        <w:t xml:space="preserve"> </w:t>
      </w:r>
      <w:r w:rsidR="00B27C0E">
        <w:rPr>
          <w:rFonts w:eastAsia="Times New Roman" w:cstheme="minorHAnsi"/>
          <w:sz w:val="22"/>
          <w:lang w:val="hu-HU"/>
        </w:rPr>
        <w:t>nem határoz meg kötött formátumot az adat- és információszolgáltatásra</w:t>
      </w:r>
      <w:r w:rsidR="00BC6BCE">
        <w:rPr>
          <w:rFonts w:eastAsia="Times New Roman" w:cstheme="minorHAnsi"/>
          <w:sz w:val="22"/>
          <w:lang w:val="hu-HU"/>
        </w:rPr>
        <w:t xml:space="preserve"> vonatkozóan</w:t>
      </w:r>
      <w:r w:rsidR="006E42C4">
        <w:rPr>
          <w:rFonts w:eastAsia="Times New Roman" w:cstheme="minorHAnsi"/>
          <w:sz w:val="22"/>
          <w:lang w:val="hu-HU"/>
        </w:rPr>
        <w:t xml:space="preserve">, de a formátumnál tekintettel kell lennie </w:t>
      </w:r>
      <w:r w:rsidR="00950F8A">
        <w:rPr>
          <w:rFonts w:eastAsia="Times New Roman" w:cstheme="minorHAnsi"/>
          <w:sz w:val="22"/>
          <w:lang w:val="hu-HU"/>
        </w:rPr>
        <w:t>az intézménynek a következő elvekre:</w:t>
      </w:r>
    </w:p>
    <w:p w14:paraId="6CFD6813" w14:textId="1A4DB539" w:rsidR="00950F8A" w:rsidRPr="004664AD" w:rsidRDefault="00950F8A" w:rsidP="00270638">
      <w:pPr>
        <w:numPr>
          <w:ilvl w:val="3"/>
          <w:numId w:val="7"/>
        </w:numPr>
        <w:tabs>
          <w:tab w:val="clear" w:pos="2880"/>
        </w:tabs>
        <w:ind w:left="1710" w:right="-3135"/>
        <w:textAlignment w:val="center"/>
        <w:rPr>
          <w:rFonts w:eastAsia="Times New Roman" w:cstheme="minorHAnsi"/>
          <w:sz w:val="22"/>
          <w:lang w:val="hu-HU"/>
        </w:rPr>
      </w:pPr>
      <w:r w:rsidRPr="00331073">
        <w:rPr>
          <w:rFonts w:eastAsia="Times New Roman" w:cstheme="minorHAnsi"/>
          <w:sz w:val="22"/>
          <w:lang w:val="hu-HU"/>
        </w:rPr>
        <w:t xml:space="preserve">Amennyiben értelmezhető, az adatokat és információkat </w:t>
      </w:r>
      <w:r w:rsidR="00E91010" w:rsidRPr="00331073">
        <w:rPr>
          <w:rFonts w:eastAsia="Times New Roman" w:cstheme="minorHAnsi"/>
          <w:sz w:val="22"/>
          <w:lang w:val="hu-HU"/>
        </w:rPr>
        <w:t xml:space="preserve">minden esetben </w:t>
      </w:r>
      <w:r w:rsidR="00073215" w:rsidRPr="00331073">
        <w:rPr>
          <w:rFonts w:eastAsia="Times New Roman" w:cstheme="minorHAnsi"/>
          <w:sz w:val="22"/>
          <w:lang w:val="hu-HU"/>
        </w:rPr>
        <w:t>Microsoft</w:t>
      </w:r>
      <w:r w:rsidR="00B77CCF" w:rsidRPr="00331073">
        <w:rPr>
          <w:rFonts w:eastAsia="Times New Roman" w:cstheme="minorHAnsi"/>
          <w:sz w:val="22"/>
          <w:lang w:val="hu-HU"/>
        </w:rPr>
        <w:t xml:space="preserve"> Excel</w:t>
      </w:r>
      <w:r w:rsidR="00E91010" w:rsidRPr="00331073">
        <w:rPr>
          <w:rFonts w:eastAsia="Times New Roman" w:cstheme="minorHAnsi"/>
          <w:sz w:val="22"/>
          <w:lang w:val="hu-HU"/>
        </w:rPr>
        <w:t xml:space="preserve"> formátumban </w:t>
      </w:r>
      <w:r w:rsidR="00C2036A" w:rsidRPr="00331073">
        <w:rPr>
          <w:rFonts w:eastAsia="Times New Roman" w:cstheme="minorHAnsi"/>
          <w:sz w:val="22"/>
          <w:lang w:val="hu-HU"/>
        </w:rPr>
        <w:t>szükséges átadni</w:t>
      </w:r>
      <w:r w:rsidR="005174C0" w:rsidRPr="00331073">
        <w:rPr>
          <w:rFonts w:eastAsia="Times New Roman" w:cstheme="minorHAnsi"/>
          <w:sz w:val="22"/>
          <w:lang w:val="hu-HU"/>
        </w:rPr>
        <w:t>, a jelen dokumentum mellékletét képező adatszótár</w:t>
      </w:r>
      <w:r w:rsidR="005C42A3" w:rsidRPr="00331073">
        <w:rPr>
          <w:rFonts w:eastAsia="Times New Roman" w:cstheme="minorHAnsi"/>
          <w:sz w:val="22"/>
          <w:lang w:val="hu-HU"/>
        </w:rPr>
        <w:t xml:space="preserve"> és „</w:t>
      </w:r>
      <w:proofErr w:type="spellStart"/>
      <w:r w:rsidR="005C42A3" w:rsidRPr="00331073">
        <w:rPr>
          <w:rFonts w:eastAsia="Times New Roman" w:cstheme="minorHAnsi"/>
          <w:sz w:val="22"/>
          <w:lang w:val="hu-HU"/>
        </w:rPr>
        <w:t>bail</w:t>
      </w:r>
      <w:proofErr w:type="spellEnd"/>
      <w:r w:rsidR="005C42A3" w:rsidRPr="00331073">
        <w:rPr>
          <w:rFonts w:eastAsia="Times New Roman" w:cstheme="minorHAnsi"/>
          <w:sz w:val="22"/>
          <w:lang w:val="hu-HU"/>
        </w:rPr>
        <w:t>-in” analitika</w:t>
      </w:r>
      <w:r w:rsidR="005174C0" w:rsidRPr="00331073">
        <w:rPr>
          <w:rFonts w:eastAsia="Times New Roman" w:cstheme="minorHAnsi"/>
          <w:sz w:val="22"/>
          <w:lang w:val="hu-HU"/>
        </w:rPr>
        <w:t xml:space="preserve"> szerint</w:t>
      </w:r>
      <w:r w:rsidR="00506CD6" w:rsidRPr="00331073">
        <w:rPr>
          <w:rFonts w:eastAsia="Times New Roman" w:cstheme="minorHAnsi"/>
          <w:sz w:val="22"/>
          <w:lang w:val="hu-HU"/>
        </w:rPr>
        <w:t xml:space="preserve"> előre definiált </w:t>
      </w:r>
      <w:r w:rsidR="005174C0" w:rsidRPr="00331073">
        <w:rPr>
          <w:rFonts w:eastAsia="Times New Roman" w:cstheme="minorHAnsi"/>
          <w:sz w:val="22"/>
          <w:lang w:val="hu-HU"/>
        </w:rPr>
        <w:t>struktúrában</w:t>
      </w:r>
      <w:r w:rsidR="00CE4EE4" w:rsidRPr="00331073">
        <w:rPr>
          <w:rFonts w:eastAsia="Times New Roman" w:cstheme="minorHAnsi"/>
          <w:sz w:val="22"/>
          <w:lang w:val="hu-HU"/>
        </w:rPr>
        <w:t>,</w:t>
      </w:r>
      <w:r w:rsidR="005855E3" w:rsidRPr="00331073">
        <w:rPr>
          <w:rFonts w:eastAsia="Times New Roman" w:cstheme="minorHAnsi"/>
          <w:sz w:val="22"/>
          <w:lang w:val="hu-HU"/>
        </w:rPr>
        <w:t xml:space="preserve"> minden esetben törekedve a teljeskörű és konzisztens kitölt</w:t>
      </w:r>
      <w:r w:rsidR="00CE4EE4" w:rsidRPr="00331073">
        <w:rPr>
          <w:rFonts w:eastAsia="Times New Roman" w:cstheme="minorHAnsi"/>
          <w:sz w:val="22"/>
          <w:lang w:val="hu-HU"/>
        </w:rPr>
        <w:t>é</w:t>
      </w:r>
      <w:r w:rsidR="005855E3" w:rsidRPr="00331073">
        <w:rPr>
          <w:rFonts w:eastAsia="Times New Roman" w:cstheme="minorHAnsi"/>
          <w:sz w:val="22"/>
          <w:lang w:val="hu-HU"/>
        </w:rPr>
        <w:t>sre</w:t>
      </w:r>
      <w:r w:rsidR="00C2036A" w:rsidRPr="00331073">
        <w:rPr>
          <w:rFonts w:eastAsia="Times New Roman" w:cstheme="minorHAnsi"/>
          <w:sz w:val="22"/>
          <w:lang w:val="hu-HU"/>
        </w:rPr>
        <w:t xml:space="preserve">. </w:t>
      </w:r>
      <w:r w:rsidR="00DE38F8" w:rsidRPr="00331073">
        <w:rPr>
          <w:rFonts w:eastAsia="Times New Roman" w:cstheme="minorHAnsi"/>
          <w:sz w:val="22"/>
          <w:lang w:val="hu-HU"/>
        </w:rPr>
        <w:t>Abban az esetben, ha nagymennyiségű adat szolgáltatására kerül sor, amely</w:t>
      </w:r>
      <w:r w:rsidR="002F3C31" w:rsidRPr="00331073">
        <w:rPr>
          <w:rFonts w:eastAsia="Times New Roman" w:cstheme="minorHAnsi"/>
          <w:sz w:val="22"/>
          <w:lang w:val="hu-HU"/>
        </w:rPr>
        <w:t xml:space="preserve"> meghaladná a Microsoft Excel kapacitását, az adatszolgáltatásra </w:t>
      </w:r>
      <w:r w:rsidR="00C34321" w:rsidRPr="00331073">
        <w:rPr>
          <w:rFonts w:eastAsia="Times New Roman" w:cstheme="minorHAnsi"/>
          <w:sz w:val="22"/>
          <w:lang w:val="hu-HU"/>
        </w:rPr>
        <w:t>„</w:t>
      </w:r>
      <w:proofErr w:type="spellStart"/>
      <w:r w:rsidR="00C34321" w:rsidRPr="00331073">
        <w:rPr>
          <w:rFonts w:eastAsia="Times New Roman" w:cstheme="minorHAnsi"/>
          <w:sz w:val="22"/>
          <w:lang w:val="hu-HU"/>
        </w:rPr>
        <w:t>CSV</w:t>
      </w:r>
      <w:proofErr w:type="spellEnd"/>
      <w:r w:rsidR="00C34321" w:rsidRPr="00331073">
        <w:rPr>
          <w:rFonts w:eastAsia="Times New Roman" w:cstheme="minorHAnsi"/>
          <w:sz w:val="22"/>
          <w:lang w:val="hu-HU"/>
        </w:rPr>
        <w:t>”</w:t>
      </w:r>
      <w:r w:rsidR="002F3C31" w:rsidRPr="00331073">
        <w:rPr>
          <w:rFonts w:eastAsia="Times New Roman" w:cstheme="minorHAnsi"/>
          <w:sz w:val="22"/>
          <w:lang w:val="hu-HU"/>
        </w:rPr>
        <w:t xml:space="preserve"> </w:t>
      </w:r>
      <w:r w:rsidR="00C2245B" w:rsidRPr="00331073">
        <w:rPr>
          <w:rFonts w:eastAsia="Times New Roman" w:cstheme="minorHAnsi"/>
          <w:sz w:val="22"/>
          <w:lang w:val="hu-HU"/>
        </w:rPr>
        <w:t>(</w:t>
      </w:r>
      <w:r w:rsidR="001F0A3B">
        <w:rPr>
          <w:rFonts w:eastAsia="Times New Roman" w:cstheme="minorHAnsi"/>
          <w:sz w:val="22"/>
          <w:lang w:val="hu-HU"/>
        </w:rPr>
        <w:t>pontos</w:t>
      </w:r>
      <w:r w:rsidR="00C34321" w:rsidRPr="00331073">
        <w:rPr>
          <w:rFonts w:eastAsia="Times New Roman" w:cstheme="minorHAnsi"/>
          <w:sz w:val="22"/>
          <w:lang w:val="hu-HU"/>
        </w:rPr>
        <w:t xml:space="preserve">vesszővel elválasztott értékfájl) </w:t>
      </w:r>
      <w:r w:rsidR="00E94D1B" w:rsidRPr="00331073">
        <w:rPr>
          <w:rFonts w:eastAsia="Times New Roman" w:cstheme="minorHAnsi"/>
          <w:sz w:val="22"/>
          <w:lang w:val="hu-HU"/>
        </w:rPr>
        <w:t>fájl formátumban kerülhet sor</w:t>
      </w:r>
      <w:r w:rsidR="00C12A8B">
        <w:rPr>
          <w:rFonts w:eastAsia="Times New Roman" w:cstheme="minorHAnsi"/>
          <w:sz w:val="22"/>
          <w:lang w:val="hu-HU"/>
        </w:rPr>
        <w:t>, amely</w:t>
      </w:r>
      <w:r w:rsidR="002B7DCC">
        <w:rPr>
          <w:rFonts w:eastAsia="Times New Roman" w:cstheme="minorHAnsi"/>
          <w:sz w:val="22"/>
          <w:lang w:val="hu-HU"/>
        </w:rPr>
        <w:t xml:space="preserve"> tartalmazza </w:t>
      </w:r>
      <w:r w:rsidR="00C12A8B">
        <w:rPr>
          <w:rFonts w:eastAsia="Times New Roman" w:cstheme="minorHAnsi"/>
          <w:sz w:val="22"/>
          <w:lang w:val="hu-HU"/>
        </w:rPr>
        <w:t>a vonatkozó adatmezők megnevezése</w:t>
      </w:r>
      <w:r w:rsidR="002B7DCC">
        <w:rPr>
          <w:rFonts w:eastAsia="Times New Roman" w:cstheme="minorHAnsi"/>
          <w:sz w:val="22"/>
          <w:lang w:val="hu-HU"/>
        </w:rPr>
        <w:t>it is</w:t>
      </w:r>
      <w:r w:rsidR="00C12A8B" w:rsidRPr="00331073">
        <w:rPr>
          <w:rFonts w:eastAsia="Times New Roman" w:cstheme="minorHAnsi"/>
          <w:sz w:val="22"/>
          <w:lang w:val="hu-HU"/>
        </w:rPr>
        <w:t>.</w:t>
      </w:r>
      <w:r w:rsidR="00E94D1B" w:rsidRPr="00331073">
        <w:rPr>
          <w:rFonts w:eastAsia="Times New Roman" w:cstheme="minorHAnsi"/>
          <w:sz w:val="22"/>
          <w:lang w:val="hu-HU"/>
        </w:rPr>
        <w:t xml:space="preserve"> </w:t>
      </w:r>
      <w:r w:rsidR="00102737" w:rsidRPr="00331073">
        <w:rPr>
          <w:rFonts w:eastAsia="Times New Roman" w:cstheme="minorHAnsi"/>
          <w:sz w:val="22"/>
          <w:lang w:val="hu-HU"/>
        </w:rPr>
        <w:t xml:space="preserve">Amennyiben az intézmény az </w:t>
      </w:r>
      <w:proofErr w:type="spellStart"/>
      <w:r w:rsidR="00102737" w:rsidRPr="00331073">
        <w:rPr>
          <w:rFonts w:eastAsia="Times New Roman" w:cstheme="minorHAnsi"/>
          <w:sz w:val="22"/>
          <w:lang w:val="hu-HU"/>
        </w:rPr>
        <w:t>előzőektől</w:t>
      </w:r>
      <w:proofErr w:type="spellEnd"/>
      <w:r w:rsidR="00102737" w:rsidRPr="00331073">
        <w:rPr>
          <w:rFonts w:eastAsia="Times New Roman" w:cstheme="minorHAnsi"/>
          <w:sz w:val="22"/>
          <w:lang w:val="hu-HU"/>
        </w:rPr>
        <w:t xml:space="preserve"> eltérő </w:t>
      </w:r>
      <w:r w:rsidR="00B21F73" w:rsidRPr="00331073">
        <w:rPr>
          <w:rFonts w:eastAsia="Times New Roman" w:cstheme="minorHAnsi"/>
          <w:sz w:val="22"/>
          <w:lang w:val="hu-HU"/>
        </w:rPr>
        <w:t>formátumot kíván alkalmazni, azt minden esetben előzetesen egyeztetnie szükséges az értékelővel és/vagy a szanálási hatósággal.</w:t>
      </w:r>
    </w:p>
    <w:p w14:paraId="508E88AD" w14:textId="77777777" w:rsidR="00D361EB" w:rsidRPr="00EC65D7" w:rsidRDefault="00D361EB" w:rsidP="00270638">
      <w:pPr>
        <w:numPr>
          <w:ilvl w:val="3"/>
          <w:numId w:val="7"/>
        </w:numPr>
        <w:tabs>
          <w:tab w:val="clear" w:pos="2880"/>
        </w:tabs>
        <w:ind w:left="1710" w:right="-3135"/>
        <w:textAlignment w:val="center"/>
        <w:rPr>
          <w:rFonts w:eastAsia="Times New Roman" w:cstheme="minorHAnsi"/>
          <w:sz w:val="22"/>
          <w:lang w:val="hu-HU"/>
        </w:rPr>
      </w:pPr>
      <w:r w:rsidRPr="00331073">
        <w:rPr>
          <w:rFonts w:eastAsia="Times New Roman" w:cstheme="minorHAnsi"/>
          <w:sz w:val="22"/>
          <w:lang w:val="hu-HU"/>
        </w:rPr>
        <w:t>Elsősorban az „Egyéb adatok” szekcióban, az intézmények átvilágítását</w:t>
      </w:r>
      <w:r w:rsidR="008B1760" w:rsidRPr="00331073">
        <w:rPr>
          <w:rFonts w:eastAsia="Times New Roman" w:cstheme="minorHAnsi"/>
          <w:sz w:val="22"/>
          <w:lang w:val="hu-HU"/>
        </w:rPr>
        <w:t xml:space="preserve"> elősegítő adatok és információk kapcsán </w:t>
      </w:r>
      <w:r w:rsidR="00A94311" w:rsidRPr="00331073">
        <w:rPr>
          <w:rFonts w:eastAsia="Times New Roman" w:cstheme="minorHAnsi"/>
          <w:sz w:val="22"/>
          <w:lang w:val="hu-HU"/>
        </w:rPr>
        <w:t xml:space="preserve">lehet szükség </w:t>
      </w:r>
      <w:r w:rsidR="0084555A" w:rsidRPr="00331073">
        <w:rPr>
          <w:rFonts w:eastAsia="Times New Roman" w:cstheme="minorHAnsi"/>
          <w:sz w:val="22"/>
          <w:lang w:val="hu-HU"/>
        </w:rPr>
        <w:t>„PDF”</w:t>
      </w:r>
      <w:r w:rsidR="00A94311" w:rsidRPr="00331073">
        <w:rPr>
          <w:rFonts w:eastAsia="Times New Roman" w:cstheme="minorHAnsi"/>
          <w:sz w:val="22"/>
          <w:lang w:val="hu-HU"/>
        </w:rPr>
        <w:t xml:space="preserve"> </w:t>
      </w:r>
      <w:r w:rsidR="0084555A" w:rsidRPr="00331073">
        <w:rPr>
          <w:rFonts w:eastAsia="Times New Roman" w:cstheme="minorHAnsi"/>
          <w:sz w:val="22"/>
          <w:lang w:val="hu-HU"/>
        </w:rPr>
        <w:t xml:space="preserve">fájlok </w:t>
      </w:r>
      <w:r w:rsidR="00A94311" w:rsidRPr="00331073">
        <w:rPr>
          <w:rFonts w:eastAsia="Times New Roman" w:cstheme="minorHAnsi"/>
          <w:sz w:val="22"/>
          <w:lang w:val="hu-HU"/>
        </w:rPr>
        <w:t xml:space="preserve">vagy </w:t>
      </w:r>
      <w:r w:rsidR="00F4657B" w:rsidRPr="00331073">
        <w:rPr>
          <w:rFonts w:eastAsia="Times New Roman" w:cstheme="minorHAnsi"/>
          <w:sz w:val="22"/>
          <w:lang w:val="hu-HU"/>
        </w:rPr>
        <w:t xml:space="preserve">Microsoft Word </w:t>
      </w:r>
      <w:r w:rsidR="007509B7">
        <w:rPr>
          <w:rFonts w:eastAsia="Times New Roman" w:cstheme="minorHAnsi"/>
          <w:sz w:val="22"/>
          <w:lang w:val="hu-HU"/>
        </w:rPr>
        <w:t xml:space="preserve">és PowerPoint </w:t>
      </w:r>
      <w:r w:rsidR="00F4657B" w:rsidRPr="00331073">
        <w:rPr>
          <w:rFonts w:eastAsia="Times New Roman" w:cstheme="minorHAnsi"/>
          <w:sz w:val="22"/>
          <w:lang w:val="hu-HU"/>
        </w:rPr>
        <w:t xml:space="preserve">alapú dokumentumok átadására (pl. szabályzatok, módszertanok, </w:t>
      </w:r>
      <w:r w:rsidR="00B5683F" w:rsidRPr="00331073">
        <w:rPr>
          <w:rFonts w:eastAsia="Times New Roman" w:cstheme="minorHAnsi"/>
          <w:sz w:val="22"/>
          <w:lang w:val="hu-HU"/>
        </w:rPr>
        <w:t xml:space="preserve">értékbecslés riportok, </w:t>
      </w:r>
      <w:r w:rsidR="009078AF" w:rsidRPr="00331073">
        <w:rPr>
          <w:rFonts w:eastAsia="Times New Roman" w:cstheme="minorHAnsi"/>
          <w:sz w:val="22"/>
          <w:lang w:val="hu-HU"/>
        </w:rPr>
        <w:t>ügylet</w:t>
      </w:r>
      <w:r w:rsidR="00D92464">
        <w:rPr>
          <w:rFonts w:eastAsia="Times New Roman" w:cstheme="minorHAnsi"/>
          <w:sz w:val="22"/>
          <w:lang w:val="hu-HU"/>
        </w:rPr>
        <w:t xml:space="preserve"> </w:t>
      </w:r>
      <w:proofErr w:type="gramStart"/>
      <w:r w:rsidR="009078AF" w:rsidRPr="00331073">
        <w:rPr>
          <w:rFonts w:eastAsia="Times New Roman" w:cstheme="minorHAnsi"/>
          <w:sz w:val="22"/>
          <w:lang w:val="hu-HU"/>
        </w:rPr>
        <w:t>összefoglalók,</w:t>
      </w:r>
      <w:proofErr w:type="gramEnd"/>
      <w:r w:rsidR="009078AF" w:rsidRPr="00331073">
        <w:rPr>
          <w:rFonts w:eastAsia="Times New Roman" w:cstheme="minorHAnsi"/>
          <w:sz w:val="22"/>
          <w:lang w:val="hu-HU"/>
        </w:rPr>
        <w:t xml:space="preserve"> </w:t>
      </w:r>
      <w:r w:rsidR="00B5683F" w:rsidRPr="00331073">
        <w:rPr>
          <w:rFonts w:eastAsia="Times New Roman" w:cstheme="minorHAnsi"/>
          <w:sz w:val="22"/>
          <w:lang w:val="hu-HU"/>
        </w:rPr>
        <w:t>stb.).</w:t>
      </w:r>
    </w:p>
    <w:p w14:paraId="071E44B8" w14:textId="77777777" w:rsidR="00112C76" w:rsidRPr="004B61C4" w:rsidRDefault="00257C07" w:rsidP="00270638">
      <w:pPr>
        <w:numPr>
          <w:ilvl w:val="3"/>
          <w:numId w:val="7"/>
        </w:numPr>
        <w:tabs>
          <w:tab w:val="clear" w:pos="2880"/>
        </w:tabs>
        <w:ind w:left="1710" w:right="-3135"/>
        <w:textAlignment w:val="center"/>
        <w:rPr>
          <w:rFonts w:eastAsia="Times New Roman" w:cstheme="minorHAnsi"/>
          <w:sz w:val="22"/>
          <w:lang w:val="hu-HU"/>
        </w:rPr>
      </w:pPr>
      <w:r w:rsidRPr="004B61C4">
        <w:rPr>
          <w:rFonts w:eastAsia="Times New Roman" w:cstheme="minorHAnsi"/>
          <w:sz w:val="22"/>
          <w:lang w:val="hu-HU"/>
        </w:rPr>
        <w:t>Ál</w:t>
      </w:r>
      <w:r w:rsidR="00AC7513" w:rsidRPr="004B61C4">
        <w:rPr>
          <w:rFonts w:eastAsia="Times New Roman" w:cstheme="minorHAnsi"/>
          <w:sz w:val="22"/>
          <w:lang w:val="hu-HU"/>
        </w:rPr>
        <w:t>talános elvárás a rendelkezésre bocsátott adatok és információk formátumával</w:t>
      </w:r>
      <w:r w:rsidR="00774AAF" w:rsidRPr="004B61C4">
        <w:rPr>
          <w:rFonts w:eastAsia="Times New Roman" w:cstheme="minorHAnsi"/>
          <w:sz w:val="22"/>
          <w:lang w:val="hu-HU"/>
        </w:rPr>
        <w:t xml:space="preserve"> kapcsolatban</w:t>
      </w:r>
      <w:r w:rsidR="00826F69" w:rsidRPr="004B61C4">
        <w:rPr>
          <w:rFonts w:eastAsia="Times New Roman" w:cstheme="minorHAnsi"/>
          <w:sz w:val="22"/>
          <w:lang w:val="hu-HU"/>
        </w:rPr>
        <w:t>, hogy az érték típusú adatoknak öss</w:t>
      </w:r>
      <w:r w:rsidR="00A63181" w:rsidRPr="004B61C4">
        <w:rPr>
          <w:rFonts w:eastAsia="Times New Roman" w:cstheme="minorHAnsi"/>
          <w:sz w:val="22"/>
          <w:lang w:val="hu-HU"/>
        </w:rPr>
        <w:t>zegezhetőnek</w:t>
      </w:r>
      <w:r w:rsidR="00E571FB" w:rsidRPr="004B61C4">
        <w:rPr>
          <w:rFonts w:eastAsia="Times New Roman" w:cstheme="minorHAnsi"/>
          <w:sz w:val="22"/>
          <w:lang w:val="hu-HU"/>
        </w:rPr>
        <w:t xml:space="preserve"> kell lenniük</w:t>
      </w:r>
      <w:r w:rsidR="00F22042" w:rsidRPr="004B61C4">
        <w:rPr>
          <w:rFonts w:eastAsia="Times New Roman" w:cstheme="minorHAnsi"/>
          <w:sz w:val="22"/>
          <w:lang w:val="hu-HU"/>
        </w:rPr>
        <w:t xml:space="preserve"> (formátumtól függően, amennyiben értelmezhető)</w:t>
      </w:r>
      <w:r w:rsidR="00100E0E" w:rsidRPr="004B61C4">
        <w:rPr>
          <w:rFonts w:eastAsia="Times New Roman" w:cstheme="minorHAnsi"/>
          <w:sz w:val="22"/>
          <w:lang w:val="hu-HU"/>
        </w:rPr>
        <w:t xml:space="preserve">, az információk </w:t>
      </w:r>
      <w:r w:rsidR="00174842" w:rsidRPr="004B61C4">
        <w:rPr>
          <w:rFonts w:eastAsia="Times New Roman" w:cstheme="minorHAnsi"/>
          <w:sz w:val="22"/>
          <w:lang w:val="hu-HU"/>
        </w:rPr>
        <w:t>kereshetőség</w:t>
      </w:r>
      <w:r w:rsidR="0013599A" w:rsidRPr="004B61C4">
        <w:rPr>
          <w:rFonts w:eastAsia="Times New Roman" w:cstheme="minorHAnsi"/>
          <w:sz w:val="22"/>
          <w:lang w:val="hu-HU"/>
        </w:rPr>
        <w:t>ét dokumentumon belül</w:t>
      </w:r>
      <w:r w:rsidR="00174842" w:rsidRPr="004B61C4">
        <w:rPr>
          <w:rFonts w:eastAsia="Times New Roman" w:cstheme="minorHAnsi"/>
          <w:sz w:val="22"/>
          <w:lang w:val="hu-HU"/>
        </w:rPr>
        <w:t xml:space="preserve"> minden esetben </w:t>
      </w:r>
      <w:r w:rsidR="0013599A" w:rsidRPr="004B61C4">
        <w:rPr>
          <w:rFonts w:eastAsia="Times New Roman" w:cstheme="minorHAnsi"/>
          <w:sz w:val="22"/>
          <w:lang w:val="hu-HU"/>
        </w:rPr>
        <w:t xml:space="preserve">szükséges </w:t>
      </w:r>
      <w:r w:rsidR="0013599A" w:rsidRPr="004B61C4">
        <w:rPr>
          <w:rFonts w:eastAsia="Times New Roman" w:cstheme="minorHAnsi"/>
          <w:sz w:val="22"/>
          <w:lang w:val="hu-HU"/>
        </w:rPr>
        <w:lastRenderedPageBreak/>
        <w:t>biztosítani</w:t>
      </w:r>
      <w:r w:rsidR="00174842" w:rsidRPr="004B61C4">
        <w:rPr>
          <w:rFonts w:eastAsia="Times New Roman" w:cstheme="minorHAnsi"/>
          <w:sz w:val="22"/>
          <w:lang w:val="hu-HU"/>
        </w:rPr>
        <w:t>.</w:t>
      </w:r>
      <w:r w:rsidR="00CA40F2" w:rsidRPr="004B61C4">
        <w:rPr>
          <w:rFonts w:eastAsia="Times New Roman" w:cstheme="minorHAnsi"/>
          <w:sz w:val="22"/>
          <w:lang w:val="hu-HU"/>
        </w:rPr>
        <w:t xml:space="preserve"> A szolgáltatott adatokat </w:t>
      </w:r>
      <w:r w:rsidR="00633A95" w:rsidRPr="004B61C4">
        <w:rPr>
          <w:rFonts w:eastAsia="Times New Roman" w:cstheme="minorHAnsi"/>
          <w:sz w:val="22"/>
          <w:lang w:val="hu-HU"/>
        </w:rPr>
        <w:t xml:space="preserve">elektronikus úton feldolgozható, és </w:t>
      </w:r>
      <w:r w:rsidR="00120769">
        <w:rPr>
          <w:rFonts w:eastAsia="Times New Roman" w:cstheme="minorHAnsi"/>
          <w:sz w:val="22"/>
          <w:lang w:val="hu-HU"/>
        </w:rPr>
        <w:t>elektronikus</w:t>
      </w:r>
      <w:r w:rsidR="00120769" w:rsidRPr="004B61C4">
        <w:rPr>
          <w:rFonts w:eastAsia="Times New Roman" w:cstheme="minorHAnsi"/>
          <w:sz w:val="22"/>
          <w:lang w:val="hu-HU"/>
        </w:rPr>
        <w:t xml:space="preserve"> </w:t>
      </w:r>
      <w:r w:rsidR="00633A95" w:rsidRPr="004B61C4">
        <w:rPr>
          <w:rFonts w:eastAsia="Times New Roman" w:cstheme="minorHAnsi"/>
          <w:sz w:val="22"/>
          <w:lang w:val="hu-HU"/>
        </w:rPr>
        <w:t>úton olvasható formátumban szükséges szolgáltatni.</w:t>
      </w:r>
    </w:p>
    <w:p w14:paraId="2F3F0197" w14:textId="77777777" w:rsidR="00112C76" w:rsidRPr="004B61C4" w:rsidRDefault="00E378D8" w:rsidP="00270638">
      <w:pPr>
        <w:numPr>
          <w:ilvl w:val="3"/>
          <w:numId w:val="7"/>
        </w:numPr>
        <w:tabs>
          <w:tab w:val="clear" w:pos="2880"/>
        </w:tabs>
        <w:ind w:left="1710" w:right="-3135"/>
        <w:textAlignment w:val="center"/>
        <w:rPr>
          <w:rFonts w:eastAsia="Times New Roman" w:cstheme="minorHAnsi"/>
          <w:sz w:val="22"/>
          <w:lang w:val="hu-HU"/>
        </w:rPr>
      </w:pPr>
      <w:r w:rsidRPr="004B61C4">
        <w:rPr>
          <w:rFonts w:eastAsia="Times New Roman" w:cstheme="minorHAnsi"/>
          <w:sz w:val="22"/>
          <w:lang w:val="hu-HU"/>
        </w:rPr>
        <w:t>A fentieken kívül</w:t>
      </w:r>
      <w:r w:rsidR="007914C6" w:rsidRPr="004B61C4">
        <w:rPr>
          <w:rFonts w:eastAsia="Times New Roman" w:cstheme="minorHAnsi"/>
          <w:sz w:val="22"/>
          <w:lang w:val="hu-HU"/>
        </w:rPr>
        <w:t xml:space="preserve"> á</w:t>
      </w:r>
      <w:r w:rsidR="008F59AF" w:rsidRPr="004B61C4">
        <w:rPr>
          <w:rFonts w:eastAsia="Times New Roman" w:cstheme="minorHAnsi"/>
          <w:sz w:val="22"/>
          <w:lang w:val="hu-HU"/>
        </w:rPr>
        <w:t>ltalános elvárás</w:t>
      </w:r>
      <w:r w:rsidR="009648DD" w:rsidRPr="004B61C4">
        <w:rPr>
          <w:rFonts w:eastAsia="Times New Roman" w:cstheme="minorHAnsi"/>
          <w:sz w:val="22"/>
          <w:lang w:val="hu-HU"/>
        </w:rPr>
        <w:t>, hogy</w:t>
      </w:r>
      <w:r w:rsidR="008F59AF" w:rsidRPr="004B61C4">
        <w:rPr>
          <w:rFonts w:eastAsia="Times New Roman" w:cstheme="minorHAnsi"/>
          <w:sz w:val="22"/>
          <w:lang w:val="hu-HU"/>
        </w:rPr>
        <w:t xml:space="preserve"> a</w:t>
      </w:r>
      <w:r w:rsidR="009648DD" w:rsidRPr="004B61C4">
        <w:rPr>
          <w:rFonts w:eastAsia="Times New Roman" w:cstheme="minorHAnsi"/>
          <w:sz w:val="22"/>
          <w:lang w:val="hu-HU"/>
        </w:rPr>
        <w:t>z</w:t>
      </w:r>
      <w:r w:rsidR="008F59AF" w:rsidRPr="004B61C4">
        <w:rPr>
          <w:rFonts w:eastAsia="Times New Roman" w:cstheme="minorHAnsi"/>
          <w:sz w:val="22"/>
          <w:lang w:val="hu-HU"/>
        </w:rPr>
        <w:t xml:space="preserve"> adatok</w:t>
      </w:r>
      <w:r w:rsidR="009648DD" w:rsidRPr="004B61C4">
        <w:rPr>
          <w:rFonts w:eastAsia="Times New Roman" w:cstheme="minorHAnsi"/>
          <w:sz w:val="22"/>
          <w:lang w:val="hu-HU"/>
        </w:rPr>
        <w:t>at</w:t>
      </w:r>
      <w:r w:rsidR="008F59AF" w:rsidRPr="004B61C4">
        <w:rPr>
          <w:rFonts w:eastAsia="Times New Roman" w:cstheme="minorHAnsi"/>
          <w:sz w:val="22"/>
          <w:lang w:val="hu-HU"/>
        </w:rPr>
        <w:t xml:space="preserve"> és információk</w:t>
      </w:r>
      <w:r w:rsidR="009648DD" w:rsidRPr="004B61C4">
        <w:rPr>
          <w:rFonts w:eastAsia="Times New Roman" w:cstheme="minorHAnsi"/>
          <w:sz w:val="22"/>
          <w:lang w:val="hu-HU"/>
        </w:rPr>
        <w:t xml:space="preserve">at </w:t>
      </w:r>
      <w:r w:rsidR="005E4300" w:rsidRPr="004B61C4">
        <w:rPr>
          <w:rFonts w:eastAsia="Times New Roman" w:cstheme="minorHAnsi"/>
          <w:sz w:val="22"/>
          <w:lang w:val="hu-HU"/>
        </w:rPr>
        <w:t>számító</w:t>
      </w:r>
      <w:r w:rsidR="009648DD" w:rsidRPr="004B61C4">
        <w:rPr>
          <w:rFonts w:eastAsia="Times New Roman" w:cstheme="minorHAnsi"/>
          <w:sz w:val="22"/>
          <w:lang w:val="hu-HU"/>
        </w:rPr>
        <w:t xml:space="preserve">géppel olvasható </w:t>
      </w:r>
      <w:r w:rsidR="008F59AF" w:rsidRPr="004B61C4">
        <w:rPr>
          <w:rFonts w:eastAsia="Times New Roman" w:cstheme="minorHAnsi"/>
          <w:sz w:val="22"/>
          <w:lang w:val="hu-HU"/>
        </w:rPr>
        <w:t>formátumá</w:t>
      </w:r>
      <w:r w:rsidR="007C2B16" w:rsidRPr="004B61C4">
        <w:rPr>
          <w:rFonts w:eastAsia="Times New Roman" w:cstheme="minorHAnsi"/>
          <w:sz w:val="22"/>
          <w:lang w:val="hu-HU"/>
        </w:rPr>
        <w:t>ban szükséges rendelkezésre bocsátani</w:t>
      </w:r>
      <w:r w:rsidR="00DD05D8" w:rsidRPr="004B61C4">
        <w:rPr>
          <w:rFonts w:eastAsia="Times New Roman" w:cstheme="minorHAnsi"/>
          <w:sz w:val="22"/>
          <w:lang w:val="hu-HU"/>
        </w:rPr>
        <w:t>, a</w:t>
      </w:r>
      <w:r w:rsidR="00A61A0A" w:rsidRPr="004B61C4">
        <w:rPr>
          <w:rFonts w:eastAsia="Times New Roman" w:cstheme="minorHAnsi"/>
          <w:sz w:val="22"/>
          <w:lang w:val="hu-HU"/>
        </w:rPr>
        <w:t>z összes alábbi kritériumnak megfelelve</w:t>
      </w:r>
      <w:r w:rsidR="00DD05D8" w:rsidRPr="004B61C4">
        <w:rPr>
          <w:rFonts w:eastAsia="Times New Roman" w:cstheme="minorHAnsi"/>
          <w:sz w:val="22"/>
          <w:lang w:val="hu-HU"/>
        </w:rPr>
        <w:t>:</w:t>
      </w:r>
    </w:p>
    <w:p w14:paraId="1F2CC0EB" w14:textId="77777777" w:rsidR="008E20A2" w:rsidRPr="004B61C4" w:rsidRDefault="00456354" w:rsidP="00270638">
      <w:pPr>
        <w:pStyle w:val="ListParagraph"/>
        <w:numPr>
          <w:ilvl w:val="0"/>
          <w:numId w:val="23"/>
        </w:numPr>
        <w:ind w:left="2070" w:right="-3135"/>
        <w:textAlignment w:val="center"/>
        <w:rPr>
          <w:rFonts w:eastAsia="Times New Roman" w:cstheme="minorHAnsi"/>
          <w:sz w:val="22"/>
          <w:lang w:val="hu-HU"/>
        </w:rPr>
      </w:pPr>
      <w:r w:rsidRPr="004B61C4">
        <w:rPr>
          <w:rFonts w:eastAsia="Times New Roman" w:cstheme="minorHAnsi"/>
          <w:sz w:val="22"/>
          <w:lang w:val="hu-HU"/>
        </w:rPr>
        <w:t>o</w:t>
      </w:r>
      <w:r w:rsidR="00DD05D8" w:rsidRPr="004B61C4">
        <w:rPr>
          <w:rFonts w:eastAsia="Times New Roman" w:cstheme="minorHAnsi"/>
          <w:sz w:val="22"/>
          <w:lang w:val="hu-HU"/>
        </w:rPr>
        <w:t>lyan elektronikus formában, am</w:t>
      </w:r>
      <w:r w:rsidRPr="004B61C4">
        <w:rPr>
          <w:rFonts w:eastAsia="Times New Roman" w:cstheme="minorHAnsi"/>
          <w:sz w:val="22"/>
          <w:lang w:val="hu-HU"/>
        </w:rPr>
        <w:t>ely</w:t>
      </w:r>
      <w:r w:rsidR="00DD05D8" w:rsidRPr="004B61C4">
        <w:rPr>
          <w:rFonts w:eastAsia="Times New Roman" w:cstheme="minorHAnsi"/>
          <w:sz w:val="22"/>
          <w:lang w:val="hu-HU"/>
        </w:rPr>
        <w:t xml:space="preserve"> közvetlenül és automatikusan olvas</w:t>
      </w:r>
      <w:r w:rsidRPr="004B61C4">
        <w:rPr>
          <w:rFonts w:eastAsia="Times New Roman" w:cstheme="minorHAnsi"/>
          <w:sz w:val="22"/>
          <w:lang w:val="hu-HU"/>
        </w:rPr>
        <w:t>ható</w:t>
      </w:r>
      <w:r w:rsidR="00640E96" w:rsidRPr="004B61C4">
        <w:rPr>
          <w:rFonts w:eastAsia="Times New Roman" w:cstheme="minorHAnsi"/>
          <w:sz w:val="22"/>
          <w:lang w:val="hu-HU"/>
        </w:rPr>
        <w:t xml:space="preserve"> számítógép</w:t>
      </w:r>
      <w:r w:rsidRPr="004B61C4">
        <w:rPr>
          <w:rFonts w:eastAsia="Times New Roman" w:cstheme="minorHAnsi"/>
          <w:sz w:val="22"/>
          <w:lang w:val="hu-HU"/>
        </w:rPr>
        <w:t xml:space="preserve"> segítségével;</w:t>
      </w:r>
    </w:p>
    <w:p w14:paraId="12F1C0A7" w14:textId="77777777" w:rsidR="00640E96" w:rsidRPr="004B61C4" w:rsidRDefault="00A869CA" w:rsidP="00270638">
      <w:pPr>
        <w:pStyle w:val="ListParagraph"/>
        <w:numPr>
          <w:ilvl w:val="0"/>
          <w:numId w:val="23"/>
        </w:numPr>
        <w:ind w:left="2070" w:right="-3135"/>
        <w:textAlignment w:val="center"/>
        <w:rPr>
          <w:rFonts w:eastAsia="Times New Roman" w:cstheme="minorHAnsi"/>
          <w:sz w:val="22"/>
          <w:lang w:val="hu-HU"/>
        </w:rPr>
      </w:pPr>
      <w:r w:rsidRPr="004B61C4">
        <w:rPr>
          <w:rFonts w:eastAsia="Times New Roman" w:cstheme="minorHAnsi"/>
          <w:sz w:val="22"/>
          <w:lang w:val="hu-HU"/>
        </w:rPr>
        <w:t>a</w:t>
      </w:r>
      <w:r w:rsidR="00640E96" w:rsidRPr="004B61C4">
        <w:rPr>
          <w:rFonts w:eastAsia="Times New Roman" w:cstheme="minorHAnsi"/>
          <w:sz w:val="22"/>
          <w:lang w:val="hu-HU"/>
        </w:rPr>
        <w:t>z érintett személyek számára megfelelő hozzáférés biztosít</w:t>
      </w:r>
      <w:r w:rsidRPr="004B61C4">
        <w:rPr>
          <w:rFonts w:eastAsia="Times New Roman" w:cstheme="minorHAnsi"/>
          <w:sz w:val="22"/>
          <w:lang w:val="hu-HU"/>
        </w:rPr>
        <w:t>ható;</w:t>
      </w:r>
      <w:r w:rsidR="00162B5C" w:rsidRPr="004B61C4">
        <w:rPr>
          <w:rFonts w:eastAsia="Times New Roman" w:cstheme="minorHAnsi"/>
          <w:sz w:val="22"/>
          <w:lang w:val="hu-HU"/>
        </w:rPr>
        <w:t xml:space="preserve"> és</w:t>
      </w:r>
    </w:p>
    <w:p w14:paraId="5F7892DE" w14:textId="77777777" w:rsidR="00640E96" w:rsidRPr="004664AD" w:rsidRDefault="0087574B" w:rsidP="00270638">
      <w:pPr>
        <w:pStyle w:val="ListParagraph"/>
        <w:numPr>
          <w:ilvl w:val="0"/>
          <w:numId w:val="23"/>
        </w:numPr>
        <w:ind w:left="2070" w:right="-3135"/>
        <w:textAlignment w:val="center"/>
        <w:rPr>
          <w:rFonts w:eastAsia="Times New Roman" w:cstheme="minorHAnsi"/>
          <w:sz w:val="22"/>
          <w:lang w:val="hu-HU"/>
        </w:rPr>
      </w:pPr>
      <w:r w:rsidRPr="004B61C4">
        <w:rPr>
          <w:rFonts w:eastAsia="Times New Roman" w:cstheme="minorHAnsi"/>
          <w:sz w:val="22"/>
          <w:lang w:val="hu-HU"/>
        </w:rPr>
        <w:t>m</w:t>
      </w:r>
      <w:r w:rsidR="00E675BD" w:rsidRPr="004B61C4">
        <w:rPr>
          <w:rFonts w:eastAsia="Times New Roman" w:cstheme="minorHAnsi"/>
          <w:sz w:val="22"/>
          <w:lang w:val="hu-HU"/>
        </w:rPr>
        <w:t xml:space="preserve">egnyitható, olvasható, használható és másolható olyan számítógépes szoftverek </w:t>
      </w:r>
      <w:r w:rsidRPr="004B61C4">
        <w:rPr>
          <w:rFonts w:eastAsia="Times New Roman" w:cstheme="minorHAnsi"/>
          <w:sz w:val="22"/>
          <w:lang w:val="hu-HU"/>
        </w:rPr>
        <w:t>segítségével</w:t>
      </w:r>
      <w:r w:rsidR="001276F6" w:rsidRPr="004B61C4">
        <w:rPr>
          <w:rFonts w:eastAsia="Times New Roman" w:cstheme="minorHAnsi"/>
          <w:sz w:val="22"/>
          <w:lang w:val="hu-HU"/>
        </w:rPr>
        <w:t>, am</w:t>
      </w:r>
      <w:r w:rsidRPr="004B61C4">
        <w:rPr>
          <w:rFonts w:eastAsia="Times New Roman" w:cstheme="minorHAnsi"/>
          <w:sz w:val="22"/>
          <w:lang w:val="hu-HU"/>
        </w:rPr>
        <w:t>elyek</w:t>
      </w:r>
      <w:r w:rsidR="001276F6" w:rsidRPr="004B61C4">
        <w:rPr>
          <w:rFonts w:eastAsia="Times New Roman" w:cstheme="minorHAnsi"/>
          <w:sz w:val="22"/>
          <w:lang w:val="hu-HU"/>
        </w:rPr>
        <w:t xml:space="preserve"> </w:t>
      </w:r>
      <w:r w:rsidR="0018098B" w:rsidRPr="004B61C4">
        <w:rPr>
          <w:rFonts w:eastAsia="Times New Roman" w:cstheme="minorHAnsi"/>
          <w:sz w:val="22"/>
          <w:lang w:val="hu-HU"/>
        </w:rPr>
        <w:t>mindenki számára</w:t>
      </w:r>
      <w:r w:rsidR="001276F6" w:rsidRPr="004B61C4">
        <w:rPr>
          <w:rFonts w:eastAsia="Times New Roman" w:cstheme="minorHAnsi"/>
          <w:sz w:val="22"/>
          <w:lang w:val="hu-HU"/>
        </w:rPr>
        <w:t xml:space="preserve"> </w:t>
      </w:r>
      <w:r w:rsidR="00506313" w:rsidRPr="004B61C4">
        <w:rPr>
          <w:rFonts w:eastAsia="Times New Roman" w:cstheme="minorHAnsi"/>
          <w:sz w:val="22"/>
          <w:lang w:val="hu-HU"/>
        </w:rPr>
        <w:t>nyilvánosan</w:t>
      </w:r>
      <w:r w:rsidR="001276F6" w:rsidRPr="004B61C4">
        <w:rPr>
          <w:rFonts w:eastAsia="Times New Roman" w:cstheme="minorHAnsi"/>
          <w:sz w:val="22"/>
          <w:lang w:val="hu-HU"/>
        </w:rPr>
        <w:t xml:space="preserve"> elérhetők</w:t>
      </w:r>
      <w:r w:rsidR="00162B5C" w:rsidRPr="004664AD">
        <w:rPr>
          <w:rFonts w:eastAsia="Times New Roman" w:cstheme="minorHAnsi"/>
          <w:sz w:val="22"/>
          <w:lang w:val="hu-HU"/>
        </w:rPr>
        <w:t>.</w:t>
      </w:r>
    </w:p>
    <w:p w14:paraId="2FA74470" w14:textId="77777777" w:rsidR="001276F6" w:rsidRPr="004664AD" w:rsidRDefault="001276F6" w:rsidP="00270638">
      <w:pPr>
        <w:pStyle w:val="ListParagraph"/>
        <w:ind w:left="2070" w:right="-3135"/>
        <w:textAlignment w:val="center"/>
        <w:rPr>
          <w:rFonts w:eastAsia="Times New Roman" w:cstheme="minorHAnsi"/>
          <w:sz w:val="22"/>
          <w:lang w:val="hu-HU"/>
        </w:rPr>
      </w:pPr>
    </w:p>
    <w:p w14:paraId="0BDA74B8" w14:textId="322E0EC5" w:rsidR="00F61A64" w:rsidRPr="00F61A64" w:rsidRDefault="00531660" w:rsidP="00270638">
      <w:pPr>
        <w:numPr>
          <w:ilvl w:val="2"/>
          <w:numId w:val="7"/>
        </w:numPr>
        <w:tabs>
          <w:tab w:val="clear" w:pos="2160"/>
        </w:tabs>
        <w:ind w:left="1080" w:right="-3135"/>
        <w:textAlignment w:val="center"/>
        <w:rPr>
          <w:rFonts w:eastAsia="Times New Roman" w:cstheme="minorHAnsi"/>
          <w:sz w:val="22"/>
          <w:lang w:val="hu-HU"/>
        </w:rPr>
      </w:pPr>
      <w:r w:rsidRPr="00331073">
        <w:rPr>
          <w:rFonts w:eastAsia="Times New Roman" w:cstheme="minorHAnsi"/>
          <w:sz w:val="22"/>
          <w:lang w:val="hu-HU"/>
        </w:rPr>
        <w:t xml:space="preserve">Az </w:t>
      </w:r>
      <w:r w:rsidRPr="00C45042">
        <w:rPr>
          <w:rFonts w:eastAsia="Times New Roman" w:cstheme="minorHAnsi"/>
          <w:sz w:val="22"/>
          <w:lang w:val="hu-HU"/>
        </w:rPr>
        <w:t xml:space="preserve">értékelés </w:t>
      </w:r>
      <w:r w:rsidR="007D1943" w:rsidRPr="00C45042">
        <w:rPr>
          <w:rFonts w:eastAsia="Times New Roman" w:cstheme="minorHAnsi"/>
          <w:sz w:val="22"/>
          <w:lang w:val="hu-HU"/>
        </w:rPr>
        <w:t>elvégzéséhez szükséges adat</w:t>
      </w:r>
      <w:r w:rsidR="00401AC7" w:rsidRPr="004B61C4">
        <w:rPr>
          <w:rFonts w:eastAsia="Times New Roman" w:cstheme="minorHAnsi"/>
          <w:sz w:val="22"/>
          <w:lang w:val="hu-HU"/>
        </w:rPr>
        <w:t>ok</w:t>
      </w:r>
      <w:r w:rsidR="00C97B30" w:rsidRPr="004B61C4">
        <w:rPr>
          <w:rFonts w:eastAsia="Times New Roman" w:cstheme="minorHAnsi"/>
          <w:sz w:val="22"/>
          <w:lang w:val="hu-HU"/>
        </w:rPr>
        <w:t xml:space="preserve">at </w:t>
      </w:r>
      <w:r w:rsidR="00405115" w:rsidRPr="004B61C4">
        <w:rPr>
          <w:rFonts w:eastAsia="Times New Roman" w:cstheme="minorHAnsi"/>
          <w:sz w:val="22"/>
          <w:lang w:val="hu-HU"/>
        </w:rPr>
        <w:t>és információkat egy</w:t>
      </w:r>
      <w:r w:rsidR="004F5B07">
        <w:rPr>
          <w:rFonts w:eastAsia="Times New Roman" w:cstheme="minorHAnsi"/>
          <w:sz w:val="22"/>
          <w:lang w:val="hu-HU"/>
        </w:rPr>
        <w:t xml:space="preserve"> az érintett intézmény által felállítandó</w:t>
      </w:r>
      <w:r w:rsidR="00405115" w:rsidRPr="004B61C4">
        <w:rPr>
          <w:rFonts w:eastAsia="Times New Roman" w:cstheme="minorHAnsi"/>
          <w:sz w:val="22"/>
          <w:lang w:val="hu-HU"/>
        </w:rPr>
        <w:t xml:space="preserve"> virtuális adatszobába</w:t>
      </w:r>
      <w:r w:rsidR="00326A8D" w:rsidRPr="004B61C4">
        <w:rPr>
          <w:rFonts w:eastAsia="Times New Roman" w:cstheme="minorHAnsi"/>
          <w:sz w:val="22"/>
          <w:lang w:val="hu-HU"/>
        </w:rPr>
        <w:t xml:space="preserve"> (“</w:t>
      </w:r>
      <w:proofErr w:type="spellStart"/>
      <w:r w:rsidR="00326A8D" w:rsidRPr="004B61C4">
        <w:rPr>
          <w:rFonts w:eastAsia="Times New Roman" w:cstheme="minorHAnsi"/>
          <w:sz w:val="22"/>
          <w:lang w:val="hu-HU"/>
        </w:rPr>
        <w:t>VDR</w:t>
      </w:r>
      <w:proofErr w:type="spellEnd"/>
      <w:r w:rsidR="00326A8D" w:rsidRPr="004B61C4">
        <w:rPr>
          <w:rFonts w:eastAsia="Times New Roman" w:cstheme="minorHAnsi"/>
          <w:sz w:val="22"/>
          <w:lang w:val="hu-HU"/>
        </w:rPr>
        <w:t xml:space="preserve">”) </w:t>
      </w:r>
      <w:r w:rsidR="00405115" w:rsidRPr="004B61C4">
        <w:rPr>
          <w:rFonts w:eastAsia="Times New Roman" w:cstheme="minorHAnsi"/>
          <w:sz w:val="22"/>
          <w:lang w:val="hu-HU"/>
        </w:rPr>
        <w:t xml:space="preserve">történő feltöltéssel szükséges átadni az </w:t>
      </w:r>
      <w:r w:rsidR="00614334" w:rsidRPr="004B61C4">
        <w:rPr>
          <w:rFonts w:eastAsia="Times New Roman" w:cstheme="minorHAnsi"/>
          <w:sz w:val="22"/>
          <w:lang w:val="hu-HU"/>
        </w:rPr>
        <w:t xml:space="preserve">értékelőnek és/vagy </w:t>
      </w:r>
      <w:r w:rsidR="00913FCF">
        <w:rPr>
          <w:rFonts w:eastAsia="Times New Roman" w:cstheme="minorHAnsi"/>
          <w:sz w:val="22"/>
          <w:lang w:val="hu-HU"/>
        </w:rPr>
        <w:t xml:space="preserve">a </w:t>
      </w:r>
      <w:r w:rsidR="00614334" w:rsidRPr="004B61C4">
        <w:rPr>
          <w:rFonts w:eastAsia="Times New Roman" w:cstheme="minorHAnsi"/>
          <w:sz w:val="22"/>
          <w:lang w:val="hu-HU"/>
        </w:rPr>
        <w:t xml:space="preserve">szanálási hatóságnak. </w:t>
      </w:r>
      <w:r w:rsidR="00597CC2" w:rsidRPr="004B61C4">
        <w:rPr>
          <w:rFonts w:eastAsia="Times New Roman" w:cstheme="minorHAnsi"/>
          <w:sz w:val="22"/>
          <w:lang w:val="hu-HU"/>
        </w:rPr>
        <w:t xml:space="preserve">A szanálási hatóság </w:t>
      </w:r>
      <w:r w:rsidR="00784D4B" w:rsidRPr="004B61C4">
        <w:rPr>
          <w:rFonts w:eastAsia="Times New Roman" w:cstheme="minorHAnsi"/>
          <w:sz w:val="22"/>
          <w:lang w:val="hu-HU"/>
        </w:rPr>
        <w:t xml:space="preserve">a szanálhatósági értékelések keretében </w:t>
      </w:r>
      <w:r w:rsidR="00597CC2" w:rsidRPr="004B61C4">
        <w:rPr>
          <w:rFonts w:eastAsia="Times New Roman" w:cstheme="minorHAnsi"/>
          <w:sz w:val="22"/>
          <w:lang w:val="hu-HU"/>
        </w:rPr>
        <w:t xml:space="preserve">értékeli az </w:t>
      </w:r>
      <w:r w:rsidR="00326A8D" w:rsidRPr="004B61C4">
        <w:rPr>
          <w:rFonts w:eastAsia="Times New Roman" w:cstheme="minorHAnsi"/>
          <w:sz w:val="22"/>
          <w:lang w:val="hu-HU"/>
        </w:rPr>
        <w:t xml:space="preserve">intézmények </w:t>
      </w:r>
      <w:r w:rsidR="00835886" w:rsidRPr="004B61C4">
        <w:rPr>
          <w:rFonts w:eastAsia="Times New Roman" w:cstheme="minorHAnsi"/>
          <w:sz w:val="22"/>
          <w:lang w:val="hu-HU"/>
        </w:rPr>
        <w:t>virtuális adatszoba felállítására vonatkozó felkészültségét, ideértve az ad</w:t>
      </w:r>
      <w:r w:rsidR="005762E3" w:rsidRPr="004B61C4">
        <w:rPr>
          <w:rFonts w:eastAsia="Times New Roman" w:cstheme="minorHAnsi"/>
          <w:sz w:val="22"/>
          <w:lang w:val="hu-HU"/>
        </w:rPr>
        <w:t>atok és információk adatszobába történő feltöltésé</w:t>
      </w:r>
      <w:r w:rsidR="00D70D3F" w:rsidRPr="004B61C4">
        <w:rPr>
          <w:rFonts w:eastAsia="Times New Roman" w:cstheme="minorHAnsi"/>
          <w:sz w:val="22"/>
          <w:lang w:val="hu-HU"/>
        </w:rPr>
        <w:t>hez</w:t>
      </w:r>
      <w:r w:rsidR="005762E3" w:rsidRPr="004B61C4">
        <w:rPr>
          <w:rFonts w:eastAsia="Times New Roman" w:cstheme="minorHAnsi"/>
          <w:sz w:val="22"/>
          <w:lang w:val="hu-HU"/>
        </w:rPr>
        <w:t xml:space="preserve"> </w:t>
      </w:r>
      <w:r w:rsidR="00D70D3F" w:rsidRPr="004B61C4">
        <w:rPr>
          <w:rFonts w:eastAsia="Times New Roman" w:cstheme="minorHAnsi"/>
          <w:sz w:val="22"/>
          <w:lang w:val="hu-HU"/>
        </w:rPr>
        <w:t>szükséges időt.</w:t>
      </w:r>
      <w:r w:rsidR="00100BF9" w:rsidRPr="004B61C4">
        <w:rPr>
          <w:rFonts w:eastAsia="Times New Roman" w:cstheme="minorHAnsi"/>
          <w:sz w:val="22"/>
          <w:lang w:val="hu-HU"/>
        </w:rPr>
        <w:t xml:space="preserve"> </w:t>
      </w:r>
      <w:r w:rsidR="00F61A64" w:rsidRPr="00F61A64">
        <w:rPr>
          <w:rFonts w:eastAsia="Times New Roman" w:cstheme="minorHAnsi"/>
          <w:sz w:val="22"/>
          <w:lang w:val="hu-HU"/>
        </w:rPr>
        <w:t xml:space="preserve">A virtuális adatszoba fenntartásának akár jelentős költségeire (szolgáltatónak fizetett díj) is tekintettel a szanálási </w:t>
      </w:r>
      <w:r w:rsidR="002F1813">
        <w:rPr>
          <w:rFonts w:eastAsia="Times New Roman" w:cstheme="minorHAnsi"/>
          <w:sz w:val="22"/>
          <w:lang w:val="hu-HU"/>
        </w:rPr>
        <w:t>feladatkörében eljáró MNB</w:t>
      </w:r>
      <w:r w:rsidR="00F61A64" w:rsidRPr="00F61A64">
        <w:rPr>
          <w:rFonts w:eastAsia="Times New Roman" w:cstheme="minorHAnsi"/>
          <w:sz w:val="22"/>
          <w:lang w:val="hu-HU"/>
        </w:rPr>
        <w:t xml:space="preserve"> </w:t>
      </w:r>
      <w:r w:rsidR="00F61A64">
        <w:rPr>
          <w:rFonts w:eastAsia="Times New Roman" w:cstheme="minorHAnsi"/>
          <w:sz w:val="22"/>
          <w:lang w:val="hu-HU"/>
        </w:rPr>
        <w:t xml:space="preserve">– főszabály szerint - </w:t>
      </w:r>
      <w:r w:rsidR="00F61A64" w:rsidRPr="00F61A64">
        <w:rPr>
          <w:rFonts w:eastAsia="Times New Roman" w:cstheme="minorHAnsi"/>
          <w:sz w:val="22"/>
          <w:lang w:val="hu-HU"/>
        </w:rPr>
        <w:t xml:space="preserve">nem várja el a </w:t>
      </w:r>
      <w:proofErr w:type="spellStart"/>
      <w:r w:rsidR="00F61A64" w:rsidRPr="00F61A64">
        <w:rPr>
          <w:rFonts w:eastAsia="Times New Roman" w:cstheme="minorHAnsi"/>
          <w:sz w:val="22"/>
          <w:lang w:val="hu-HU"/>
        </w:rPr>
        <w:t>VDR</w:t>
      </w:r>
      <w:proofErr w:type="spellEnd"/>
      <w:r w:rsidR="00F61A64" w:rsidRPr="00F61A64">
        <w:rPr>
          <w:rFonts w:eastAsia="Times New Roman" w:cstheme="minorHAnsi"/>
          <w:sz w:val="22"/>
          <w:lang w:val="hu-HU"/>
        </w:rPr>
        <w:t xml:space="preserve"> állandó fenntartását. A szanálhatósági értékelés során a szanálási hatóság az alábbi szempontokat figyelembe véve vizsgálja az intézmény adatszoba felállítására vonatkozó felkészültségét:</w:t>
      </w:r>
    </w:p>
    <w:p w14:paraId="56BC7987" w14:textId="2BF964D9" w:rsidR="00F61A64" w:rsidRDefault="00F61A64" w:rsidP="00270638">
      <w:pPr>
        <w:numPr>
          <w:ilvl w:val="3"/>
          <w:numId w:val="7"/>
        </w:numPr>
        <w:tabs>
          <w:tab w:val="clear" w:pos="2880"/>
        </w:tabs>
        <w:ind w:left="1710" w:right="-3135"/>
        <w:textAlignment w:val="center"/>
        <w:rPr>
          <w:rFonts w:eastAsia="Times New Roman" w:cstheme="minorHAnsi"/>
          <w:sz w:val="22"/>
          <w:lang w:val="hu-HU"/>
        </w:rPr>
      </w:pPr>
      <w:r>
        <w:rPr>
          <w:rFonts w:eastAsia="Times New Roman" w:cstheme="minorHAnsi"/>
          <w:sz w:val="22"/>
          <w:lang w:val="hu-HU"/>
        </w:rPr>
        <w:t xml:space="preserve">Az intézménynek rendelkeznie kell egy megállapodással egy általánosan elfogadott, megfelelő reputációval </w:t>
      </w:r>
      <w:r w:rsidR="008240D9">
        <w:rPr>
          <w:rFonts w:eastAsia="Times New Roman" w:cstheme="minorHAnsi"/>
          <w:sz w:val="22"/>
          <w:lang w:val="hu-HU"/>
        </w:rPr>
        <w:t xml:space="preserve">és az intézmény számára a jelen dokumentum szerinti elvárásoknak való megfeleléshez szükséges feltételeket biztosítani képes </w:t>
      </w:r>
      <w:r>
        <w:rPr>
          <w:rFonts w:eastAsia="Times New Roman" w:cstheme="minorHAnsi"/>
          <w:sz w:val="22"/>
          <w:lang w:val="hu-HU"/>
        </w:rPr>
        <w:t xml:space="preserve">adatszoba szolgáltatóval (megállapodott díj, üzleti </w:t>
      </w:r>
      <w:proofErr w:type="gramStart"/>
      <w:r>
        <w:rPr>
          <w:rFonts w:eastAsia="Times New Roman" w:cstheme="minorHAnsi"/>
          <w:sz w:val="22"/>
          <w:lang w:val="hu-HU"/>
        </w:rPr>
        <w:t>feltételek,</w:t>
      </w:r>
      <w:proofErr w:type="gramEnd"/>
      <w:r>
        <w:rPr>
          <w:rFonts w:eastAsia="Times New Roman" w:cstheme="minorHAnsi"/>
          <w:sz w:val="22"/>
          <w:lang w:val="hu-HU"/>
        </w:rPr>
        <w:t xml:space="preserve"> stb.), hogy szükség esetén azonnal igénybe vehető legyen a </w:t>
      </w:r>
      <w:proofErr w:type="spellStart"/>
      <w:r>
        <w:rPr>
          <w:rFonts w:eastAsia="Times New Roman" w:cstheme="minorHAnsi"/>
          <w:sz w:val="22"/>
          <w:lang w:val="hu-HU"/>
        </w:rPr>
        <w:t>VDR</w:t>
      </w:r>
      <w:proofErr w:type="spellEnd"/>
      <w:r>
        <w:rPr>
          <w:rFonts w:eastAsia="Times New Roman" w:cstheme="minorHAnsi"/>
          <w:sz w:val="22"/>
          <w:lang w:val="hu-HU"/>
        </w:rPr>
        <w:t xml:space="preserve"> szolgáltatás.</w:t>
      </w:r>
    </w:p>
    <w:p w14:paraId="49C93E52" w14:textId="207325F7" w:rsidR="00435220" w:rsidRDefault="00435220" w:rsidP="00270638">
      <w:pPr>
        <w:ind w:left="1710" w:right="-3135"/>
        <w:textAlignment w:val="center"/>
        <w:rPr>
          <w:rFonts w:eastAsia="Times New Roman" w:cstheme="minorHAnsi"/>
          <w:sz w:val="22"/>
          <w:lang w:val="hu-HU"/>
        </w:rPr>
      </w:pPr>
      <w:r>
        <w:rPr>
          <w:rFonts w:eastAsia="Times New Roman" w:cstheme="minorHAnsi"/>
          <w:sz w:val="22"/>
          <w:lang w:val="hu-HU"/>
        </w:rPr>
        <w:t>Az intézmény az alábbi szolgáltatók bármelyikével köthet megállapodást ezen szolgáltatásra, miközben az adatszobát az MNB engedélyével saját maga is üzemeltetheti</w:t>
      </w:r>
      <w:r w:rsidRPr="00985890">
        <w:rPr>
          <w:rFonts w:eastAsia="Times New Roman" w:cstheme="minorHAnsi"/>
          <w:sz w:val="22"/>
          <w:lang w:val="hu-HU"/>
        </w:rPr>
        <w:t>;</w:t>
      </w:r>
      <w:r>
        <w:rPr>
          <w:rFonts w:eastAsia="Times New Roman" w:cstheme="minorHAnsi"/>
          <w:sz w:val="22"/>
          <w:lang w:val="hu-HU"/>
        </w:rPr>
        <w:t xml:space="preserve"> </w:t>
      </w:r>
    </w:p>
    <w:p w14:paraId="4868B971" w14:textId="77777777" w:rsidR="00435220" w:rsidRDefault="00435220" w:rsidP="00270638">
      <w:pPr>
        <w:pStyle w:val="ListParagraph"/>
        <w:numPr>
          <w:ilvl w:val="2"/>
          <w:numId w:val="52"/>
        </w:numPr>
        <w:ind w:right="-3135"/>
        <w:textAlignment w:val="center"/>
        <w:rPr>
          <w:rFonts w:eastAsia="Times New Roman" w:cstheme="minorHAnsi"/>
          <w:sz w:val="22"/>
          <w:lang w:val="hu-HU"/>
        </w:rPr>
      </w:pPr>
      <w:proofErr w:type="spellStart"/>
      <w:r>
        <w:rPr>
          <w:rFonts w:eastAsia="Times New Roman" w:cstheme="minorHAnsi"/>
          <w:sz w:val="22"/>
          <w:lang w:val="hu-HU"/>
        </w:rPr>
        <w:t>Intralinks</w:t>
      </w:r>
      <w:proofErr w:type="spellEnd"/>
      <w:r>
        <w:rPr>
          <w:rFonts w:eastAsia="Times New Roman" w:cstheme="minorHAnsi"/>
          <w:sz w:val="22"/>
          <w:lang w:val="hu-HU"/>
        </w:rPr>
        <w:t xml:space="preserve"> (</w:t>
      </w:r>
      <w:r w:rsidRPr="008E6549">
        <w:rPr>
          <w:rFonts w:eastAsia="Times New Roman" w:cstheme="minorHAnsi"/>
          <w:sz w:val="22"/>
          <w:lang w:val="hu-HU"/>
        </w:rPr>
        <w:t>www.intralinks.com</w:t>
      </w:r>
      <w:r>
        <w:rPr>
          <w:rFonts w:eastAsia="Times New Roman" w:cstheme="minorHAnsi"/>
          <w:sz w:val="22"/>
        </w:rPr>
        <w:t>)</w:t>
      </w:r>
    </w:p>
    <w:p w14:paraId="749EF2DF" w14:textId="77777777" w:rsidR="00435220" w:rsidRDefault="00435220" w:rsidP="00270638">
      <w:pPr>
        <w:pStyle w:val="ListParagraph"/>
        <w:numPr>
          <w:ilvl w:val="2"/>
          <w:numId w:val="52"/>
        </w:numPr>
        <w:ind w:right="-3135"/>
        <w:textAlignment w:val="center"/>
        <w:rPr>
          <w:rFonts w:eastAsia="Times New Roman" w:cstheme="minorHAnsi"/>
          <w:sz w:val="22"/>
          <w:lang w:val="hu-HU"/>
        </w:rPr>
      </w:pPr>
      <w:r>
        <w:rPr>
          <w:rFonts w:eastAsia="Times New Roman" w:cstheme="minorHAnsi"/>
          <w:sz w:val="22"/>
          <w:lang w:val="hu-HU"/>
        </w:rPr>
        <w:t>Datasite (</w:t>
      </w:r>
      <w:r w:rsidRPr="00D86333">
        <w:rPr>
          <w:rFonts w:eastAsia="Times New Roman" w:cstheme="minorHAnsi"/>
          <w:sz w:val="22"/>
          <w:lang w:val="hu-HU"/>
        </w:rPr>
        <w:t>www.datasite.com</w:t>
      </w:r>
      <w:r>
        <w:rPr>
          <w:rFonts w:eastAsia="Times New Roman" w:cstheme="minorHAnsi"/>
          <w:sz w:val="22"/>
          <w:lang w:val="hu-HU"/>
        </w:rPr>
        <w:t>)</w:t>
      </w:r>
    </w:p>
    <w:p w14:paraId="10D85884" w14:textId="77777777" w:rsidR="00435220" w:rsidRDefault="00435220" w:rsidP="00270638">
      <w:pPr>
        <w:pStyle w:val="ListParagraph"/>
        <w:numPr>
          <w:ilvl w:val="2"/>
          <w:numId w:val="52"/>
        </w:numPr>
        <w:ind w:right="-3135"/>
        <w:textAlignment w:val="center"/>
        <w:rPr>
          <w:rFonts w:eastAsia="Times New Roman" w:cstheme="minorHAnsi"/>
          <w:sz w:val="22"/>
          <w:lang w:val="hu-HU"/>
        </w:rPr>
      </w:pPr>
      <w:proofErr w:type="spellStart"/>
      <w:r>
        <w:rPr>
          <w:rFonts w:eastAsia="Times New Roman" w:cstheme="minorHAnsi"/>
          <w:sz w:val="22"/>
          <w:lang w:val="hu-HU"/>
        </w:rPr>
        <w:t>Ansarada</w:t>
      </w:r>
      <w:proofErr w:type="spellEnd"/>
      <w:r>
        <w:rPr>
          <w:rFonts w:eastAsia="Times New Roman" w:cstheme="minorHAnsi"/>
          <w:sz w:val="22"/>
          <w:lang w:val="hu-HU"/>
        </w:rPr>
        <w:t xml:space="preserve"> (www.ansarada.com)</w:t>
      </w:r>
    </w:p>
    <w:p w14:paraId="56C86B09" w14:textId="77777777" w:rsidR="00435220" w:rsidRDefault="00435220" w:rsidP="00270638">
      <w:pPr>
        <w:pStyle w:val="ListParagraph"/>
        <w:numPr>
          <w:ilvl w:val="2"/>
          <w:numId w:val="52"/>
        </w:numPr>
        <w:ind w:right="-3135"/>
        <w:textAlignment w:val="center"/>
        <w:rPr>
          <w:rFonts w:eastAsia="Times New Roman" w:cstheme="minorHAnsi"/>
          <w:sz w:val="22"/>
          <w:lang w:val="hu-HU"/>
        </w:rPr>
      </w:pPr>
      <w:proofErr w:type="spellStart"/>
      <w:r>
        <w:rPr>
          <w:rFonts w:eastAsia="Times New Roman" w:cstheme="minorHAnsi"/>
          <w:sz w:val="22"/>
          <w:lang w:val="hu-HU"/>
        </w:rPr>
        <w:t>iDeals</w:t>
      </w:r>
      <w:proofErr w:type="spellEnd"/>
      <w:r>
        <w:rPr>
          <w:rFonts w:eastAsia="Times New Roman" w:cstheme="minorHAnsi"/>
          <w:sz w:val="22"/>
          <w:lang w:val="hu-HU"/>
        </w:rPr>
        <w:t xml:space="preserve"> (</w:t>
      </w:r>
      <w:r w:rsidRPr="00771B46">
        <w:rPr>
          <w:rFonts w:eastAsia="Times New Roman" w:cstheme="minorHAnsi"/>
          <w:sz w:val="22"/>
          <w:lang w:val="hu-HU"/>
        </w:rPr>
        <w:t>www.idealsvdr.com</w:t>
      </w:r>
      <w:r>
        <w:rPr>
          <w:rFonts w:eastAsia="Times New Roman" w:cstheme="minorHAnsi"/>
          <w:sz w:val="22"/>
          <w:lang w:val="hu-HU"/>
        </w:rPr>
        <w:t>)</w:t>
      </w:r>
    </w:p>
    <w:p w14:paraId="61BF231E" w14:textId="77777777" w:rsidR="00435220" w:rsidRDefault="00435220" w:rsidP="00270638">
      <w:pPr>
        <w:pStyle w:val="ListParagraph"/>
        <w:numPr>
          <w:ilvl w:val="2"/>
          <w:numId w:val="52"/>
        </w:numPr>
        <w:ind w:right="-3135"/>
        <w:textAlignment w:val="center"/>
        <w:rPr>
          <w:rFonts w:eastAsia="Times New Roman" w:cstheme="minorHAnsi"/>
          <w:sz w:val="22"/>
          <w:lang w:val="hu-HU"/>
        </w:rPr>
      </w:pPr>
      <w:proofErr w:type="spellStart"/>
      <w:r>
        <w:rPr>
          <w:rFonts w:eastAsia="Times New Roman" w:cstheme="minorHAnsi"/>
          <w:sz w:val="22"/>
          <w:lang w:val="hu-HU"/>
        </w:rPr>
        <w:t>Drooms</w:t>
      </w:r>
      <w:proofErr w:type="spellEnd"/>
      <w:r>
        <w:rPr>
          <w:rFonts w:eastAsia="Times New Roman" w:cstheme="minorHAnsi"/>
          <w:sz w:val="22"/>
          <w:lang w:val="hu-HU"/>
        </w:rPr>
        <w:t xml:space="preserve"> (</w:t>
      </w:r>
      <w:r w:rsidRPr="008D619E">
        <w:rPr>
          <w:rFonts w:eastAsia="Times New Roman" w:cstheme="minorHAnsi"/>
          <w:sz w:val="22"/>
          <w:lang w:val="hu-HU"/>
        </w:rPr>
        <w:t>drooms.com</w:t>
      </w:r>
      <w:r>
        <w:rPr>
          <w:rFonts w:eastAsia="Times New Roman" w:cstheme="minorHAnsi"/>
          <w:sz w:val="22"/>
          <w:lang w:val="hu-HU"/>
        </w:rPr>
        <w:t>)</w:t>
      </w:r>
    </w:p>
    <w:p w14:paraId="7CB3107C" w14:textId="77777777" w:rsidR="00435220" w:rsidRDefault="00435220" w:rsidP="00270638">
      <w:pPr>
        <w:pStyle w:val="ListParagraph"/>
        <w:numPr>
          <w:ilvl w:val="2"/>
          <w:numId w:val="52"/>
        </w:numPr>
        <w:ind w:right="-3135"/>
        <w:textAlignment w:val="center"/>
        <w:rPr>
          <w:rFonts w:eastAsia="Times New Roman" w:cstheme="minorHAnsi"/>
          <w:sz w:val="22"/>
          <w:lang w:val="hu-HU"/>
        </w:rPr>
      </w:pPr>
      <w:proofErr w:type="spellStart"/>
      <w:r>
        <w:rPr>
          <w:rFonts w:eastAsia="Times New Roman" w:cstheme="minorHAnsi"/>
          <w:sz w:val="22"/>
          <w:lang w:val="hu-HU"/>
        </w:rPr>
        <w:t>Firmex</w:t>
      </w:r>
      <w:proofErr w:type="spellEnd"/>
      <w:r>
        <w:rPr>
          <w:rFonts w:eastAsia="Times New Roman" w:cstheme="minorHAnsi"/>
          <w:sz w:val="22"/>
          <w:lang w:val="hu-HU"/>
        </w:rPr>
        <w:t xml:space="preserve"> (</w:t>
      </w:r>
      <w:r w:rsidRPr="001D3765">
        <w:rPr>
          <w:rFonts w:eastAsia="Times New Roman" w:cstheme="minorHAnsi"/>
          <w:sz w:val="22"/>
          <w:lang w:val="hu-HU"/>
        </w:rPr>
        <w:t>www.firmex.com</w:t>
      </w:r>
      <w:r>
        <w:rPr>
          <w:rFonts w:eastAsia="Times New Roman" w:cstheme="minorHAnsi"/>
          <w:sz w:val="22"/>
          <w:lang w:val="hu-HU"/>
        </w:rPr>
        <w:t>)</w:t>
      </w:r>
    </w:p>
    <w:p w14:paraId="3D0FF91E" w14:textId="7C8C5609" w:rsidR="000D24C0" w:rsidRDefault="00435220" w:rsidP="00270638">
      <w:pPr>
        <w:numPr>
          <w:ilvl w:val="3"/>
          <w:numId w:val="7"/>
        </w:numPr>
        <w:ind w:right="-3135"/>
        <w:textAlignment w:val="center"/>
        <w:rPr>
          <w:rFonts w:eastAsia="Times New Roman" w:cstheme="minorHAnsi"/>
          <w:sz w:val="22"/>
          <w:lang w:val="hu-HU"/>
        </w:rPr>
      </w:pPr>
      <w:r>
        <w:rPr>
          <w:rFonts w:eastAsia="Times New Roman" w:cstheme="minorHAnsi"/>
          <w:sz w:val="22"/>
          <w:lang w:val="hu-HU"/>
        </w:rPr>
        <w:lastRenderedPageBreak/>
        <w:t>Amennyiben az intézmény a fenti listán nem szereplő szolgáltatóval kíván megállapodást kötni, úgy ahhoz az MNB előzetes jóváhagyásának beszerzése szükséges.</w:t>
      </w:r>
    </w:p>
    <w:p w14:paraId="6790135F" w14:textId="59FD2E0D" w:rsidR="00F61A64" w:rsidRPr="00065F8C" w:rsidRDefault="00F61A64" w:rsidP="00270638">
      <w:pPr>
        <w:numPr>
          <w:ilvl w:val="3"/>
          <w:numId w:val="7"/>
        </w:numPr>
        <w:tabs>
          <w:tab w:val="clear" w:pos="2880"/>
        </w:tabs>
        <w:ind w:left="1710" w:right="-3135"/>
        <w:textAlignment w:val="center"/>
        <w:rPr>
          <w:rFonts w:eastAsia="Times New Roman" w:cstheme="minorHAnsi"/>
          <w:sz w:val="22"/>
          <w:lang w:val="hu-HU"/>
        </w:rPr>
      </w:pPr>
      <w:r w:rsidRPr="7A49EDBC">
        <w:rPr>
          <w:rFonts w:eastAsia="Times New Roman"/>
          <w:sz w:val="22"/>
          <w:lang w:val="hu-HU"/>
        </w:rPr>
        <w:t>Az intézmény egy saját / online fájltárolási szolgáltató által biztosított, de az ellenőrizhetőség céljából a szanálási hatóság számára is hozzáférhető tárhelyen vagy szerveren gyűjti, rendszerezi és időszakosan aktualizálja az adatokat és információkat.</w:t>
      </w:r>
    </w:p>
    <w:p w14:paraId="56274262" w14:textId="60DC7BF7" w:rsidR="00F61A64" w:rsidRDefault="00F61A64" w:rsidP="00270638">
      <w:pPr>
        <w:numPr>
          <w:ilvl w:val="3"/>
          <w:numId w:val="7"/>
        </w:numPr>
        <w:tabs>
          <w:tab w:val="clear" w:pos="2880"/>
        </w:tabs>
        <w:ind w:left="1710" w:right="-3135"/>
        <w:textAlignment w:val="center"/>
        <w:rPr>
          <w:rFonts w:eastAsia="Times New Roman" w:cstheme="minorHAnsi"/>
          <w:sz w:val="22"/>
          <w:lang w:val="hu-HU"/>
        </w:rPr>
      </w:pPr>
      <w:r w:rsidRPr="7A49EDBC">
        <w:rPr>
          <w:rFonts w:eastAsia="Times New Roman"/>
          <w:sz w:val="22"/>
          <w:lang w:val="hu-HU"/>
        </w:rPr>
        <w:t xml:space="preserve">Fontos, hogy az adatok és információk gyűjtése strukturáltan történjen, abban a szerkezetben, melyben egy </w:t>
      </w:r>
      <w:r>
        <w:rPr>
          <w:rFonts w:eastAsia="Times New Roman"/>
          <w:sz w:val="22"/>
          <w:lang w:val="hu-HU"/>
        </w:rPr>
        <w:t>szanálási</w:t>
      </w:r>
      <w:r w:rsidRPr="7A49EDBC">
        <w:rPr>
          <w:rFonts w:eastAsia="Times New Roman"/>
          <w:sz w:val="22"/>
          <w:lang w:val="hu-HU"/>
        </w:rPr>
        <w:t xml:space="preserve"> eljárás alkalmával az intézmény az adatokat és információkat az értékelővel és/vagy szanálási hatósággal meg kívánja osztani. </w:t>
      </w:r>
      <w:r w:rsidR="005B412A">
        <w:rPr>
          <w:rFonts w:eastAsia="Times New Roman"/>
          <w:sz w:val="22"/>
          <w:lang w:val="hu-HU"/>
        </w:rPr>
        <w:t>A</w:t>
      </w:r>
      <w:r w:rsidRPr="7A49EDBC">
        <w:rPr>
          <w:rFonts w:eastAsia="Times New Roman"/>
          <w:sz w:val="22"/>
          <w:lang w:val="hu-HU"/>
        </w:rPr>
        <w:t xml:space="preserve"> szanálási eljáráskor az adatokat és információkat az értékelő és/vagy szanálási hatóság által megállapított határnapra szükséges aktualizálni.</w:t>
      </w:r>
    </w:p>
    <w:p w14:paraId="051759FC" w14:textId="641BA003" w:rsidR="00F61A64" w:rsidRDefault="00F61A64" w:rsidP="00270638">
      <w:pPr>
        <w:numPr>
          <w:ilvl w:val="3"/>
          <w:numId w:val="7"/>
        </w:numPr>
        <w:tabs>
          <w:tab w:val="clear" w:pos="2880"/>
        </w:tabs>
        <w:ind w:left="1710" w:right="-3135"/>
        <w:textAlignment w:val="center"/>
        <w:rPr>
          <w:rFonts w:eastAsia="Times New Roman" w:cstheme="minorHAnsi"/>
          <w:sz w:val="22"/>
          <w:lang w:val="hu-HU"/>
        </w:rPr>
      </w:pPr>
      <w:r w:rsidRPr="00F61A64">
        <w:rPr>
          <w:rFonts w:eastAsia="Times New Roman" w:cstheme="minorHAnsi"/>
          <w:sz w:val="22"/>
          <w:lang w:val="hu-HU"/>
        </w:rPr>
        <w:t xml:space="preserve">További elvárás a virtuális adatszobával szemben, hogy egy szanálási eljárás alkalmával az </w:t>
      </w:r>
      <w:r w:rsidR="005B1DA8">
        <w:rPr>
          <w:rFonts w:eastAsia="Times New Roman" w:cstheme="minorHAnsi"/>
          <w:sz w:val="22"/>
          <w:lang w:val="hu-HU"/>
        </w:rPr>
        <w:t>a szanálási hatóság által meghatározott, az értékelőn kívüli</w:t>
      </w:r>
      <w:r w:rsidRPr="00F61A64">
        <w:rPr>
          <w:rFonts w:eastAsia="Times New Roman" w:cstheme="minorHAnsi"/>
          <w:sz w:val="22"/>
          <w:lang w:val="hu-HU"/>
        </w:rPr>
        <w:t xml:space="preserve"> további érintettek számára is elérhetővé kell tenni a tartalom egy részét vagy egészét. Fontos, hogy minden esetben biztosítani szükséges a</w:t>
      </w:r>
      <w:r w:rsidR="002F1813">
        <w:rPr>
          <w:rFonts w:eastAsia="Times New Roman" w:cstheme="minorHAnsi"/>
          <w:sz w:val="22"/>
          <w:lang w:val="hu-HU"/>
        </w:rPr>
        <w:t xml:space="preserve"> jogszabályok által előírt </w:t>
      </w:r>
      <w:r w:rsidRPr="00F61A64">
        <w:rPr>
          <w:rFonts w:eastAsia="Times New Roman" w:cstheme="minorHAnsi"/>
          <w:sz w:val="22"/>
          <w:lang w:val="hu-HU"/>
        </w:rPr>
        <w:t xml:space="preserve">adatvédelmi </w:t>
      </w:r>
      <w:r w:rsidR="002F1813">
        <w:rPr>
          <w:rFonts w:eastAsia="Times New Roman" w:cstheme="minorHAnsi"/>
          <w:sz w:val="22"/>
          <w:lang w:val="hu-HU"/>
        </w:rPr>
        <w:t>követelményeket</w:t>
      </w:r>
      <w:r w:rsidRPr="00F61A64">
        <w:rPr>
          <w:rFonts w:eastAsia="Times New Roman" w:cstheme="minorHAnsi"/>
          <w:sz w:val="22"/>
          <w:lang w:val="hu-HU"/>
        </w:rPr>
        <w:t xml:space="preserve">, ilyen szempontból az adatok – különösen a személyes adatok – és információk elkülönítése és a kapcsolódó jogosultságok, hozzáférési korlátozások beállítása, valamint a személyes adatok védelme, az adatbiztonság megfelelő szintjének biztosítása érdekében alkalmazandó intézkedések meghatározása és végrehajtása elengedhetetlen. Ehhez kapcsolódóan fontos megjegyezni, hogy az egyedi szanálási eljárások és körülmények tekintetében az adatszótár alapján megállapított adatok és információk </w:t>
      </w:r>
      <w:r w:rsidR="00232F51">
        <w:rPr>
          <w:rFonts w:eastAsia="Times New Roman" w:cstheme="minorHAnsi"/>
          <w:sz w:val="22"/>
          <w:lang w:val="hu-HU"/>
        </w:rPr>
        <w:t xml:space="preserve">csak a jogszabály által meghatározott esetekben továbbíthatók. </w:t>
      </w:r>
    </w:p>
    <w:p w14:paraId="3D072ED6" w14:textId="45C74A61" w:rsidR="00F61A64" w:rsidRPr="00435220" w:rsidRDefault="00F61A64" w:rsidP="00270638">
      <w:pPr>
        <w:numPr>
          <w:ilvl w:val="3"/>
          <w:numId w:val="7"/>
        </w:numPr>
        <w:tabs>
          <w:tab w:val="clear" w:pos="2880"/>
        </w:tabs>
        <w:ind w:left="1710" w:right="-3135"/>
        <w:textAlignment w:val="center"/>
        <w:rPr>
          <w:rFonts w:eastAsia="Times New Roman" w:cstheme="minorHAnsi"/>
          <w:sz w:val="22"/>
          <w:lang w:val="hu-HU"/>
        </w:rPr>
      </w:pPr>
      <w:r w:rsidRPr="00F61A64">
        <w:rPr>
          <w:rFonts w:eastAsia="Times New Roman" w:cstheme="minorHAnsi"/>
          <w:sz w:val="22"/>
          <w:lang w:val="hu-HU"/>
        </w:rPr>
        <w:t xml:space="preserve">Abban az esetben, ha az intézmény nem képes az adatszoba felállítására a szanálási hatóság által meghatározott minőségben és időkereten belül, a szanálási hatóság elvárhatja az intézménytől állandó </w:t>
      </w:r>
      <w:proofErr w:type="spellStart"/>
      <w:r w:rsidRPr="00F61A64">
        <w:rPr>
          <w:rFonts w:eastAsia="Times New Roman" w:cstheme="minorHAnsi"/>
          <w:sz w:val="22"/>
          <w:lang w:val="hu-HU"/>
        </w:rPr>
        <w:t>VDR</w:t>
      </w:r>
      <w:proofErr w:type="spellEnd"/>
      <w:r w:rsidRPr="00F61A64">
        <w:rPr>
          <w:rFonts w:eastAsia="Times New Roman" w:cstheme="minorHAnsi"/>
          <w:sz w:val="22"/>
          <w:lang w:val="hu-HU"/>
        </w:rPr>
        <w:t xml:space="preserve"> fenntartását. Ezt minden esetben megelőzi egy konzultációsperiódus a szanálási feladatkörében eljáró MNB-vel, amelynek során a szanálási hatóság felhívja a figyelmet a hiányosságokra és felszólítja az intézményt a hiányzó adatok és információk pótlására. Ezt követően a szanálási hatóság újra vizsgálja az intézmény felkészültségét és az elvárásoknak való megfelelést.</w:t>
      </w:r>
    </w:p>
    <w:p w14:paraId="228B64A9" w14:textId="77777777" w:rsidR="00F61A64" w:rsidRPr="004B61C4" w:rsidRDefault="00F61A64" w:rsidP="00270638">
      <w:pPr>
        <w:numPr>
          <w:ilvl w:val="2"/>
          <w:numId w:val="7"/>
        </w:numPr>
        <w:tabs>
          <w:tab w:val="clear" w:pos="2160"/>
        </w:tabs>
        <w:ind w:left="1080" w:right="-3135"/>
        <w:textAlignment w:val="center"/>
        <w:rPr>
          <w:rFonts w:eastAsia="Times New Roman" w:cstheme="minorHAnsi"/>
          <w:sz w:val="22"/>
          <w:lang w:val="hu-HU"/>
        </w:rPr>
      </w:pPr>
      <w:r w:rsidRPr="004B61C4">
        <w:rPr>
          <w:rFonts w:eastAsia="Times New Roman" w:cstheme="minorHAnsi"/>
          <w:sz w:val="22"/>
          <w:lang w:val="hu-HU"/>
        </w:rPr>
        <w:t>Fontos szempont a titokmentesítés: az intézménynek az adatok és információk rendelkezésre bocsátásának maximális időtartamánál tekintettel kell lennie a titokmentesítésre vonatkozó elvárásokra és azok végrehajtásának időigényére is. A titokmentesítés módjáról, eszközeiről, folyamatáról és végrehajtásáról az intézménynek szintén rendelkeznie kell a felkészülési időszakban.</w:t>
      </w:r>
    </w:p>
    <w:p w14:paraId="0AE1A2E9" w14:textId="774A6DE0" w:rsidR="00F61A64" w:rsidRPr="00270638" w:rsidRDefault="00F61A64" w:rsidP="00270638">
      <w:pPr>
        <w:numPr>
          <w:ilvl w:val="2"/>
          <w:numId w:val="7"/>
        </w:numPr>
        <w:tabs>
          <w:tab w:val="clear" w:pos="2160"/>
        </w:tabs>
        <w:ind w:left="1080" w:right="-3135"/>
        <w:textAlignment w:val="center"/>
        <w:rPr>
          <w:rFonts w:eastAsia="Times New Roman" w:cstheme="minorHAnsi"/>
          <w:sz w:val="22"/>
          <w:lang w:val="hu-HU"/>
        </w:rPr>
      </w:pPr>
      <w:r w:rsidRPr="004B61C4">
        <w:rPr>
          <w:rFonts w:eastAsia="Times New Roman" w:cstheme="minorHAnsi"/>
          <w:sz w:val="22"/>
          <w:lang w:val="hu-HU"/>
        </w:rPr>
        <w:lastRenderedPageBreak/>
        <w:t xml:space="preserve">Lényeges, hogy az adatokat és információkat rendszeresen </w:t>
      </w:r>
      <w:r>
        <w:rPr>
          <w:rFonts w:eastAsia="Times New Roman" w:cstheme="minorHAnsi"/>
          <w:sz w:val="22"/>
          <w:lang w:val="hu-HU"/>
        </w:rPr>
        <w:t xml:space="preserve">naprakészen tartani </w:t>
      </w:r>
      <w:r w:rsidRPr="004B61C4">
        <w:rPr>
          <w:rFonts w:eastAsia="Times New Roman" w:cstheme="minorHAnsi"/>
          <w:sz w:val="22"/>
          <w:lang w:val="hu-HU"/>
        </w:rPr>
        <w:t>szükséges</w:t>
      </w:r>
      <w:r>
        <w:rPr>
          <w:rFonts w:eastAsia="Times New Roman" w:cstheme="minorHAnsi"/>
          <w:sz w:val="22"/>
          <w:lang w:val="hu-HU"/>
        </w:rPr>
        <w:t>.</w:t>
      </w:r>
    </w:p>
    <w:p w14:paraId="456E7CC7" w14:textId="77777777" w:rsidR="00B07BC3" w:rsidRPr="009360DC" w:rsidRDefault="00B07BC3" w:rsidP="00270638">
      <w:pPr>
        <w:pStyle w:val="Heading2"/>
        <w:ind w:left="360" w:hanging="360"/>
      </w:pPr>
      <w:bookmarkStart w:id="10" w:name="_Toc153188940"/>
      <w:r w:rsidRPr="009360DC">
        <w:t>Az információk rendelkezésre bocsátásának</w:t>
      </w:r>
      <w:r w:rsidR="004A77E8" w:rsidRPr="009360DC">
        <w:t xml:space="preserve"> </w:t>
      </w:r>
      <w:r w:rsidR="002520EA">
        <w:t>gyakorisága</w:t>
      </w:r>
      <w:r w:rsidR="00827FFA" w:rsidRPr="009360DC">
        <w:t>,</w:t>
      </w:r>
      <w:r w:rsidRPr="009360DC">
        <w:t xml:space="preserve"> </w:t>
      </w:r>
      <w:r w:rsidR="000D4960" w:rsidRPr="009360DC">
        <w:t xml:space="preserve">valamint az adatszolgáltatásra rendelkezésre álló </w:t>
      </w:r>
      <w:r w:rsidRPr="009360DC">
        <w:t>maximális időtartam</w:t>
      </w:r>
      <w:bookmarkEnd w:id="10"/>
    </w:p>
    <w:p w14:paraId="3AB5A5A0" w14:textId="78B68B67" w:rsidR="009F7604" w:rsidRPr="00B70B89" w:rsidRDefault="002816B8" w:rsidP="00270638">
      <w:pPr>
        <w:pStyle w:val="ListParagraph"/>
        <w:numPr>
          <w:ilvl w:val="2"/>
          <w:numId w:val="15"/>
        </w:numPr>
        <w:tabs>
          <w:tab w:val="clear" w:pos="2160"/>
        </w:tabs>
        <w:ind w:left="1080" w:right="-3135"/>
        <w:textAlignment w:val="center"/>
        <w:rPr>
          <w:rFonts w:eastAsia="Times New Roman" w:cstheme="minorHAnsi"/>
          <w:sz w:val="22"/>
          <w:lang w:val="hu-HU"/>
        </w:rPr>
      </w:pPr>
      <w:r w:rsidRPr="00B70B89">
        <w:rPr>
          <w:rFonts w:eastAsia="Times New Roman" w:cstheme="minorHAnsi"/>
          <w:sz w:val="22"/>
          <w:lang w:val="hu-HU"/>
        </w:rPr>
        <w:t>A</w:t>
      </w:r>
      <w:r w:rsidR="009F7604" w:rsidRPr="00B70B89">
        <w:rPr>
          <w:rFonts w:eastAsia="Times New Roman" w:cstheme="minorHAnsi"/>
          <w:sz w:val="22"/>
          <w:lang w:val="hu-HU"/>
        </w:rPr>
        <w:t xml:space="preserve">z adatszótár </w:t>
      </w:r>
      <w:r w:rsidR="00E03159" w:rsidRPr="00B70B89">
        <w:rPr>
          <w:rFonts w:eastAsia="Times New Roman" w:cstheme="minorHAnsi"/>
          <w:sz w:val="22"/>
          <w:lang w:val="hu-HU"/>
        </w:rPr>
        <w:t xml:space="preserve">önmagában </w:t>
      </w:r>
      <w:r w:rsidR="009F7604" w:rsidRPr="00B70B89">
        <w:rPr>
          <w:rFonts w:eastAsia="Times New Roman" w:cstheme="minorHAnsi"/>
          <w:sz w:val="22"/>
          <w:lang w:val="hu-HU"/>
        </w:rPr>
        <w:t>nem keletkeztet általános adatszolgáltatási kötelezettséget az intézmények számára.</w:t>
      </w:r>
      <w:r w:rsidR="00E03159" w:rsidRPr="00B70B89">
        <w:rPr>
          <w:rFonts w:eastAsia="Times New Roman" w:cstheme="minorHAnsi"/>
          <w:sz w:val="22"/>
          <w:lang w:val="hu-HU"/>
        </w:rPr>
        <w:t xml:space="preserve"> Adatszolgáltatási kötelezettsége </w:t>
      </w:r>
      <w:r w:rsidR="00055B2E" w:rsidRPr="00B70B89">
        <w:rPr>
          <w:rFonts w:eastAsia="Times New Roman" w:cstheme="minorHAnsi"/>
          <w:sz w:val="22"/>
          <w:lang w:val="hu-HU"/>
        </w:rPr>
        <w:t>az inté</w:t>
      </w:r>
      <w:r w:rsidR="00797DA8">
        <w:rPr>
          <w:rFonts w:eastAsia="Times New Roman" w:cstheme="minorHAnsi"/>
          <w:sz w:val="22"/>
          <w:lang w:val="hu-HU"/>
        </w:rPr>
        <w:t>z</w:t>
      </w:r>
      <w:r w:rsidR="00055B2E" w:rsidRPr="00B70B89">
        <w:rPr>
          <w:rFonts w:eastAsia="Times New Roman" w:cstheme="minorHAnsi"/>
          <w:sz w:val="22"/>
          <w:lang w:val="hu-HU"/>
        </w:rPr>
        <w:t>ménynek</w:t>
      </w:r>
      <w:r w:rsidR="00774F8F">
        <w:rPr>
          <w:rFonts w:eastAsia="Times New Roman" w:cstheme="minorHAnsi"/>
          <w:sz w:val="22"/>
          <w:lang w:val="hu-HU"/>
        </w:rPr>
        <w:t xml:space="preserve"> az MNB által közigazgatási hatósági döntésében előírtak alapján,</w:t>
      </w:r>
      <w:r w:rsidR="002341FE" w:rsidRPr="00B70B89">
        <w:rPr>
          <w:rFonts w:eastAsia="Times New Roman" w:cstheme="minorHAnsi"/>
          <w:sz w:val="22"/>
          <w:lang w:val="hu-HU"/>
        </w:rPr>
        <w:t xml:space="preserve"> </w:t>
      </w:r>
      <w:r w:rsidR="008E1D19" w:rsidRPr="00B70B89">
        <w:rPr>
          <w:rFonts w:eastAsia="Times New Roman" w:cstheme="minorHAnsi"/>
          <w:sz w:val="22"/>
          <w:lang w:val="hu-HU"/>
        </w:rPr>
        <w:t>fizetésképtelen</w:t>
      </w:r>
      <w:r w:rsidR="00774F8F">
        <w:rPr>
          <w:rFonts w:eastAsia="Times New Roman" w:cstheme="minorHAnsi"/>
          <w:sz w:val="22"/>
          <w:lang w:val="hu-HU"/>
        </w:rPr>
        <w:t>ség vagy azzal fenyegető</w:t>
      </w:r>
      <w:r w:rsidR="008E1D19" w:rsidRPr="00B70B89">
        <w:rPr>
          <w:rFonts w:eastAsia="Times New Roman" w:cstheme="minorHAnsi"/>
          <w:sz w:val="22"/>
          <w:lang w:val="hu-HU"/>
        </w:rPr>
        <w:t xml:space="preserve"> helyzet elérésekor</w:t>
      </w:r>
      <w:r w:rsidR="00774F8F">
        <w:rPr>
          <w:rFonts w:eastAsia="Times New Roman" w:cstheme="minorHAnsi"/>
          <w:sz w:val="22"/>
          <w:lang w:val="hu-HU"/>
        </w:rPr>
        <w:t xml:space="preserve"> vagy várható bekövetkeztekor</w:t>
      </w:r>
      <w:r w:rsidR="008E1D19" w:rsidRPr="00B70B89">
        <w:rPr>
          <w:rFonts w:eastAsia="Times New Roman" w:cstheme="minorHAnsi"/>
          <w:sz w:val="22"/>
          <w:lang w:val="hu-HU"/>
        </w:rPr>
        <w:t>,</w:t>
      </w:r>
      <w:r w:rsidR="00055B2E" w:rsidRPr="00B70B89">
        <w:rPr>
          <w:rFonts w:eastAsia="Times New Roman" w:cstheme="minorHAnsi"/>
          <w:sz w:val="22"/>
          <w:lang w:val="hu-HU"/>
        </w:rPr>
        <w:t xml:space="preserve"> </w:t>
      </w:r>
      <w:r w:rsidR="000E6EC1" w:rsidRPr="00B70B89">
        <w:rPr>
          <w:rFonts w:eastAsia="Times New Roman" w:cstheme="minorHAnsi"/>
          <w:sz w:val="22"/>
          <w:lang w:val="hu-HU"/>
        </w:rPr>
        <w:t xml:space="preserve">és a szanálási eljárás során keletkezhet </w:t>
      </w:r>
      <w:proofErr w:type="spellStart"/>
      <w:r w:rsidR="000E6EC1" w:rsidRPr="00B70B89">
        <w:rPr>
          <w:rFonts w:eastAsia="Times New Roman" w:cstheme="minorHAnsi"/>
          <w:sz w:val="22"/>
          <w:lang w:val="hu-HU"/>
        </w:rPr>
        <w:t>a</w:t>
      </w:r>
      <w:r w:rsidR="006D6473">
        <w:rPr>
          <w:rFonts w:eastAsia="Times New Roman" w:cstheme="minorHAnsi"/>
          <w:sz w:val="22"/>
          <w:lang w:val="hu-HU"/>
        </w:rPr>
        <w:t>szanálási</w:t>
      </w:r>
      <w:proofErr w:type="spellEnd"/>
      <w:r w:rsidR="006D6473">
        <w:rPr>
          <w:rFonts w:eastAsia="Times New Roman" w:cstheme="minorHAnsi"/>
          <w:sz w:val="22"/>
          <w:lang w:val="hu-HU"/>
        </w:rPr>
        <w:t xml:space="preserve"> vagyon</w:t>
      </w:r>
      <w:r w:rsidR="007C4A78" w:rsidRPr="00B70B89">
        <w:rPr>
          <w:rFonts w:eastAsia="Times New Roman" w:cstheme="minorHAnsi"/>
          <w:sz w:val="22"/>
          <w:lang w:val="hu-HU"/>
        </w:rPr>
        <w:t>értékelés</w:t>
      </w:r>
      <w:r w:rsidR="006D6473">
        <w:rPr>
          <w:rFonts w:eastAsia="Times New Roman" w:cstheme="minorHAnsi"/>
          <w:sz w:val="22"/>
          <w:lang w:val="hu-HU"/>
        </w:rPr>
        <w:t>, illetve a szanálási eszközök alkalmazásának a</w:t>
      </w:r>
      <w:r w:rsidR="007C4A78" w:rsidRPr="00B70B89">
        <w:rPr>
          <w:rFonts w:eastAsia="Times New Roman" w:cstheme="minorHAnsi"/>
          <w:sz w:val="22"/>
          <w:lang w:val="hu-HU"/>
        </w:rPr>
        <w:t xml:space="preserve"> támogatás</w:t>
      </w:r>
      <w:r w:rsidR="00604E5F" w:rsidRPr="00B70B89">
        <w:rPr>
          <w:rFonts w:eastAsia="Times New Roman" w:cstheme="minorHAnsi"/>
          <w:sz w:val="22"/>
          <w:lang w:val="hu-HU"/>
        </w:rPr>
        <w:t>a</w:t>
      </w:r>
      <w:r w:rsidR="007C4A78" w:rsidRPr="00B70B89">
        <w:rPr>
          <w:rFonts w:eastAsia="Times New Roman" w:cstheme="minorHAnsi"/>
          <w:sz w:val="22"/>
          <w:lang w:val="hu-HU"/>
        </w:rPr>
        <w:t xml:space="preserve"> </w:t>
      </w:r>
      <w:r w:rsidR="00604E5F" w:rsidRPr="00B70B89">
        <w:rPr>
          <w:rFonts w:eastAsia="Times New Roman" w:cstheme="minorHAnsi"/>
          <w:sz w:val="22"/>
          <w:lang w:val="hu-HU"/>
        </w:rPr>
        <w:t>céljából</w:t>
      </w:r>
      <w:r w:rsidR="007C4A78" w:rsidRPr="00B70B89">
        <w:rPr>
          <w:rFonts w:eastAsia="Times New Roman" w:cstheme="minorHAnsi"/>
          <w:sz w:val="22"/>
          <w:lang w:val="hu-HU"/>
        </w:rPr>
        <w:t>.</w:t>
      </w:r>
    </w:p>
    <w:p w14:paraId="659FC1F7" w14:textId="6AA38103" w:rsidR="006C0B89" w:rsidRPr="00755A1A" w:rsidRDefault="006C0B89" w:rsidP="00270638">
      <w:pPr>
        <w:pStyle w:val="ListParagraph"/>
        <w:numPr>
          <w:ilvl w:val="2"/>
          <w:numId w:val="15"/>
        </w:numPr>
        <w:tabs>
          <w:tab w:val="clear" w:pos="2160"/>
        </w:tabs>
        <w:ind w:left="1080" w:right="-3135"/>
        <w:textAlignment w:val="center"/>
        <w:rPr>
          <w:rFonts w:eastAsia="Times New Roman" w:cstheme="minorHAnsi"/>
          <w:sz w:val="22"/>
          <w:lang w:val="hu-HU"/>
        </w:rPr>
      </w:pPr>
      <w:r w:rsidRPr="00B70B89">
        <w:rPr>
          <w:rFonts w:eastAsia="Times New Roman" w:cstheme="minorHAnsi"/>
          <w:sz w:val="22"/>
          <w:lang w:val="hu-HU"/>
        </w:rPr>
        <w:t>A</w:t>
      </w:r>
      <w:r w:rsidR="0077140A" w:rsidRPr="00B70B89">
        <w:rPr>
          <w:rFonts w:eastAsia="Times New Roman" w:cstheme="minorHAnsi"/>
          <w:sz w:val="22"/>
          <w:lang w:val="hu-HU"/>
        </w:rPr>
        <w:t>z</w:t>
      </w:r>
      <w:r w:rsidR="004B1351" w:rsidRPr="00B70B89">
        <w:rPr>
          <w:rFonts w:eastAsia="Times New Roman" w:cstheme="minorHAnsi"/>
          <w:sz w:val="22"/>
          <w:lang w:val="hu-HU"/>
        </w:rPr>
        <w:t xml:space="preserve"> MNB az</w:t>
      </w:r>
      <w:r w:rsidR="0077140A" w:rsidRPr="00B70B89">
        <w:rPr>
          <w:rFonts w:eastAsia="Times New Roman" w:cstheme="minorHAnsi"/>
          <w:sz w:val="22"/>
          <w:lang w:val="hu-HU"/>
        </w:rPr>
        <w:t xml:space="preserve"> éves szaná</w:t>
      </w:r>
      <w:r w:rsidR="004B1351" w:rsidRPr="00B70B89">
        <w:rPr>
          <w:rFonts w:eastAsia="Times New Roman" w:cstheme="minorHAnsi"/>
          <w:sz w:val="22"/>
          <w:lang w:val="hu-HU"/>
        </w:rPr>
        <w:t>l</w:t>
      </w:r>
      <w:r w:rsidR="0077140A" w:rsidRPr="00B70B89">
        <w:rPr>
          <w:rFonts w:eastAsia="Times New Roman" w:cstheme="minorHAnsi"/>
          <w:sz w:val="22"/>
          <w:lang w:val="hu-HU"/>
        </w:rPr>
        <w:t xml:space="preserve">hatósági </w:t>
      </w:r>
      <w:r w:rsidR="004B1351" w:rsidRPr="00B70B89">
        <w:rPr>
          <w:rFonts w:eastAsia="Times New Roman" w:cstheme="minorHAnsi"/>
          <w:sz w:val="22"/>
          <w:lang w:val="hu-HU"/>
        </w:rPr>
        <w:t>értékelések alkalmával</w:t>
      </w:r>
      <w:r w:rsidR="00336697" w:rsidRPr="00B70B89">
        <w:rPr>
          <w:rFonts w:eastAsia="Times New Roman" w:cstheme="minorHAnsi"/>
          <w:sz w:val="22"/>
          <w:lang w:val="hu-HU"/>
        </w:rPr>
        <w:t xml:space="preserve"> véletlenszerűen</w:t>
      </w:r>
      <w:r w:rsidR="004B1351" w:rsidRPr="00B70B89">
        <w:rPr>
          <w:rFonts w:eastAsia="Times New Roman" w:cstheme="minorHAnsi"/>
          <w:sz w:val="22"/>
          <w:lang w:val="hu-HU"/>
        </w:rPr>
        <w:t xml:space="preserve"> vizsgálja </w:t>
      </w:r>
      <w:r w:rsidR="001775D1" w:rsidRPr="00B70B89">
        <w:rPr>
          <w:rFonts w:eastAsia="Times New Roman" w:cstheme="minorHAnsi"/>
          <w:sz w:val="22"/>
          <w:lang w:val="hu-HU"/>
        </w:rPr>
        <w:t xml:space="preserve">az intézmények felkészültségét, többek között azt, hogy </w:t>
      </w:r>
      <w:r w:rsidR="00234518" w:rsidRPr="00B70B89">
        <w:rPr>
          <w:rFonts w:eastAsia="Times New Roman" w:cstheme="minorHAnsi"/>
          <w:sz w:val="22"/>
          <w:lang w:val="hu-HU"/>
        </w:rPr>
        <w:t>a meghatározott időn belül eleget tud</w:t>
      </w:r>
      <w:r w:rsidR="000B5596" w:rsidRPr="00B70B89">
        <w:rPr>
          <w:rFonts w:eastAsia="Times New Roman" w:cstheme="minorHAnsi"/>
          <w:sz w:val="22"/>
          <w:lang w:val="hu-HU"/>
        </w:rPr>
        <w:t>-e tenni az intézmény az adatszolgáltatási kötelezettségének</w:t>
      </w:r>
      <w:r w:rsidR="000B1490" w:rsidRPr="00B70B89">
        <w:rPr>
          <w:rFonts w:eastAsia="Times New Roman" w:cstheme="minorHAnsi"/>
          <w:sz w:val="22"/>
          <w:lang w:val="hu-HU"/>
        </w:rPr>
        <w:t xml:space="preserve"> </w:t>
      </w:r>
      <w:r w:rsidR="0071684B" w:rsidRPr="00B70B89">
        <w:rPr>
          <w:rFonts w:eastAsia="Times New Roman" w:cstheme="minorHAnsi"/>
          <w:sz w:val="22"/>
          <w:lang w:val="hu-HU"/>
        </w:rPr>
        <w:t xml:space="preserve">elvárt minőségben (további </w:t>
      </w:r>
      <w:r w:rsidR="0071684B" w:rsidRPr="002F72AF">
        <w:rPr>
          <w:rFonts w:eastAsia="Times New Roman" w:cstheme="minorHAnsi"/>
          <w:sz w:val="22"/>
          <w:lang w:val="hu-HU"/>
        </w:rPr>
        <w:t xml:space="preserve">részletek a </w:t>
      </w:r>
      <w:r w:rsidR="002F72AF" w:rsidRPr="00270638">
        <w:rPr>
          <w:rFonts w:eastAsia="Times New Roman" w:cstheme="minorHAnsi"/>
          <w:sz w:val="22"/>
          <w:lang w:val="hu-HU"/>
        </w:rPr>
        <w:t>6</w:t>
      </w:r>
      <w:r w:rsidR="00C933D3" w:rsidRPr="002F72AF">
        <w:rPr>
          <w:rFonts w:eastAsia="Times New Roman" w:cstheme="minorHAnsi"/>
          <w:sz w:val="22"/>
          <w:lang w:val="hu-HU"/>
        </w:rPr>
        <w:t xml:space="preserve">.2. és </w:t>
      </w:r>
      <w:r w:rsidR="002F72AF" w:rsidRPr="00270638">
        <w:rPr>
          <w:rFonts w:eastAsia="Times New Roman" w:cstheme="minorHAnsi"/>
          <w:sz w:val="22"/>
          <w:lang w:val="hu-HU"/>
        </w:rPr>
        <w:t>6</w:t>
      </w:r>
      <w:r w:rsidR="00C933D3" w:rsidRPr="002F72AF">
        <w:rPr>
          <w:rFonts w:eastAsia="Times New Roman" w:cstheme="minorHAnsi"/>
          <w:sz w:val="22"/>
          <w:lang w:val="hu-HU"/>
        </w:rPr>
        <w:t>.3.</w:t>
      </w:r>
      <w:r w:rsidR="0071684B" w:rsidRPr="00B70B89">
        <w:rPr>
          <w:rFonts w:eastAsia="Times New Roman" w:cstheme="minorHAnsi"/>
          <w:sz w:val="22"/>
          <w:lang w:val="hu-HU"/>
        </w:rPr>
        <w:t xml:space="preserve"> </w:t>
      </w:r>
      <w:r w:rsidR="00C933D3">
        <w:rPr>
          <w:rFonts w:eastAsia="Times New Roman" w:cstheme="minorHAnsi"/>
          <w:sz w:val="22"/>
          <w:lang w:val="hu-HU"/>
        </w:rPr>
        <w:t>al</w:t>
      </w:r>
      <w:r w:rsidR="0071684B" w:rsidRPr="00B70B89">
        <w:rPr>
          <w:rFonts w:eastAsia="Times New Roman" w:cstheme="minorHAnsi"/>
          <w:sz w:val="22"/>
          <w:lang w:val="hu-HU"/>
        </w:rPr>
        <w:t>fejezet</w:t>
      </w:r>
      <w:r w:rsidR="003757F2">
        <w:rPr>
          <w:rFonts w:eastAsia="Times New Roman" w:cstheme="minorHAnsi"/>
          <w:sz w:val="22"/>
          <w:lang w:val="hu-HU"/>
        </w:rPr>
        <w:t>ek</w:t>
      </w:r>
      <w:r w:rsidR="0071684B" w:rsidRPr="00B70B89">
        <w:rPr>
          <w:rFonts w:eastAsia="Times New Roman" w:cstheme="minorHAnsi"/>
          <w:sz w:val="22"/>
          <w:lang w:val="hu-HU"/>
        </w:rPr>
        <w:t>ben).</w:t>
      </w:r>
      <w:r w:rsidR="00A405A2" w:rsidRPr="00B70B89">
        <w:rPr>
          <w:rFonts w:eastAsia="Times New Roman" w:cstheme="minorHAnsi"/>
          <w:sz w:val="22"/>
          <w:lang w:val="hu-HU"/>
        </w:rPr>
        <w:t xml:space="preserve"> </w:t>
      </w:r>
      <w:r w:rsidR="00A32F1F" w:rsidRPr="00A32F1F">
        <w:rPr>
          <w:rFonts w:eastAsia="Times New Roman" w:cstheme="minorHAnsi"/>
          <w:sz w:val="22"/>
          <w:lang w:val="hu-HU"/>
        </w:rPr>
        <w:t>Figyelembe véve az értékelés</w:t>
      </w:r>
      <w:r w:rsidR="001319F4">
        <w:rPr>
          <w:rFonts w:eastAsia="Times New Roman" w:cstheme="minorHAnsi"/>
          <w:sz w:val="22"/>
          <w:lang w:val="hu-HU"/>
        </w:rPr>
        <w:t>hez szükséges adatok és a „</w:t>
      </w:r>
      <w:proofErr w:type="spellStart"/>
      <w:r w:rsidR="001319F4">
        <w:rPr>
          <w:rFonts w:eastAsia="Times New Roman" w:cstheme="minorHAnsi"/>
          <w:sz w:val="22"/>
          <w:lang w:val="hu-HU"/>
        </w:rPr>
        <w:t>bail</w:t>
      </w:r>
      <w:proofErr w:type="spellEnd"/>
      <w:r w:rsidR="001319F4">
        <w:rPr>
          <w:rFonts w:eastAsia="Times New Roman" w:cstheme="minorHAnsi"/>
          <w:sz w:val="22"/>
          <w:lang w:val="hu-HU"/>
        </w:rPr>
        <w:t>-in” analit</w:t>
      </w:r>
      <w:r w:rsidR="001C666F">
        <w:rPr>
          <w:rFonts w:eastAsia="Times New Roman" w:cstheme="minorHAnsi"/>
          <w:sz w:val="22"/>
          <w:lang w:val="hu-HU"/>
        </w:rPr>
        <w:t>i</w:t>
      </w:r>
      <w:r w:rsidR="001319F4">
        <w:rPr>
          <w:rFonts w:eastAsia="Times New Roman" w:cstheme="minorHAnsi"/>
          <w:sz w:val="22"/>
          <w:lang w:val="hu-HU"/>
        </w:rPr>
        <w:t>ka</w:t>
      </w:r>
      <w:r w:rsidR="00CB241E">
        <w:rPr>
          <w:rFonts w:eastAsia="Times New Roman" w:cstheme="minorHAnsi"/>
          <w:sz w:val="22"/>
          <w:lang w:val="hu-HU"/>
        </w:rPr>
        <w:t xml:space="preserve"> adatai közötti </w:t>
      </w:r>
      <w:r w:rsidR="00A32F1F" w:rsidRPr="00A32F1F">
        <w:rPr>
          <w:rFonts w:eastAsia="Times New Roman" w:cstheme="minorHAnsi"/>
          <w:sz w:val="22"/>
          <w:lang w:val="hu-HU"/>
        </w:rPr>
        <w:t>összefüggés</w:t>
      </w:r>
      <w:r w:rsidR="00232FE1">
        <w:rPr>
          <w:rFonts w:eastAsia="Times New Roman" w:cstheme="minorHAnsi"/>
          <w:sz w:val="22"/>
          <w:lang w:val="hu-HU"/>
        </w:rPr>
        <w:t>eket</w:t>
      </w:r>
      <w:r w:rsidR="00A32F1F" w:rsidRPr="00A32F1F">
        <w:rPr>
          <w:rFonts w:eastAsia="Times New Roman" w:cstheme="minorHAnsi"/>
          <w:sz w:val="22"/>
          <w:lang w:val="hu-HU"/>
        </w:rPr>
        <w:t xml:space="preserve">, </w:t>
      </w:r>
      <w:r w:rsidR="00CB241E" w:rsidRPr="00F87621">
        <w:rPr>
          <w:rFonts w:eastAsia="Times New Roman" w:cstheme="minorHAnsi"/>
          <w:sz w:val="22"/>
          <w:lang w:val="hu-HU"/>
        </w:rPr>
        <w:t>a k</w:t>
      </w:r>
      <w:r w:rsidR="00CB241E">
        <w:rPr>
          <w:rFonts w:eastAsia="Times New Roman" w:cstheme="minorHAnsi"/>
          <w:sz w:val="22"/>
          <w:lang w:val="hu-HU"/>
        </w:rPr>
        <w:t>ét adatszótárt egymástól függőnek kell tekinteni.</w:t>
      </w:r>
      <w:r w:rsidR="00C96566">
        <w:rPr>
          <w:rFonts w:eastAsia="Times New Roman" w:cstheme="minorHAnsi"/>
          <w:sz w:val="22"/>
          <w:lang w:val="hu-HU"/>
        </w:rPr>
        <w:t xml:space="preserve"> Amennyiben az MNB úgy látja, hogy szükséges az adatpontok összehangolása (pl. jogszabályváltozások vagy értékelési módszertan</w:t>
      </w:r>
      <w:r w:rsidR="00232FE1">
        <w:rPr>
          <w:rFonts w:eastAsia="Times New Roman" w:cstheme="minorHAnsi"/>
          <w:sz w:val="22"/>
          <w:lang w:val="hu-HU"/>
        </w:rPr>
        <w:t xml:space="preserve"> változásai miatt)</w:t>
      </w:r>
      <w:r w:rsidR="00A32F1F" w:rsidRPr="00A32F1F">
        <w:rPr>
          <w:rFonts w:eastAsia="Times New Roman" w:cstheme="minorHAnsi"/>
          <w:sz w:val="22"/>
          <w:lang w:val="hu-HU"/>
        </w:rPr>
        <w:t xml:space="preserve"> </w:t>
      </w:r>
      <w:r w:rsidR="00232FE1">
        <w:rPr>
          <w:rFonts w:eastAsia="Times New Roman" w:cstheme="minorHAnsi"/>
          <w:sz w:val="22"/>
          <w:lang w:val="hu-HU"/>
        </w:rPr>
        <w:t xml:space="preserve">úgy mind a </w:t>
      </w:r>
      <w:r w:rsidR="00151BFD">
        <w:rPr>
          <w:rFonts w:eastAsia="Times New Roman" w:cstheme="minorHAnsi"/>
          <w:sz w:val="22"/>
          <w:lang w:val="hu-HU"/>
        </w:rPr>
        <w:t>„</w:t>
      </w:r>
      <w:proofErr w:type="spellStart"/>
      <w:r w:rsidR="00151BFD">
        <w:rPr>
          <w:rFonts w:eastAsia="Times New Roman" w:cstheme="minorHAnsi"/>
          <w:sz w:val="22"/>
          <w:lang w:val="hu-HU"/>
        </w:rPr>
        <w:t>bail</w:t>
      </w:r>
      <w:proofErr w:type="spellEnd"/>
      <w:r w:rsidR="00151BFD">
        <w:rPr>
          <w:rFonts w:eastAsia="Times New Roman" w:cstheme="minorHAnsi"/>
          <w:sz w:val="22"/>
          <w:lang w:val="hu-HU"/>
        </w:rPr>
        <w:t>-in” analitika, mind pedig az értékeléshez szükséges adatok esetén rendszeres frissítéseket tehet közzé</w:t>
      </w:r>
      <w:r w:rsidR="00284AE9">
        <w:rPr>
          <w:rFonts w:eastAsia="Times New Roman" w:cstheme="minorHAnsi"/>
          <w:sz w:val="22"/>
          <w:lang w:val="hu-HU"/>
        </w:rPr>
        <w:t xml:space="preserve"> az adatszolgáltatás </w:t>
      </w:r>
      <w:r w:rsidR="00B33DEB">
        <w:rPr>
          <w:rFonts w:eastAsia="Times New Roman" w:cstheme="minorHAnsi"/>
          <w:sz w:val="22"/>
          <w:lang w:val="hu-HU"/>
        </w:rPr>
        <w:t xml:space="preserve">képességének </w:t>
      </w:r>
      <w:r w:rsidR="00284AE9">
        <w:rPr>
          <w:rFonts w:eastAsia="Times New Roman" w:cstheme="minorHAnsi"/>
          <w:sz w:val="22"/>
          <w:lang w:val="hu-HU"/>
        </w:rPr>
        <w:t>követelményeire vonatkozóan</w:t>
      </w:r>
      <w:r w:rsidR="00151BFD">
        <w:rPr>
          <w:rFonts w:eastAsia="Times New Roman" w:cstheme="minorHAnsi"/>
          <w:sz w:val="22"/>
          <w:lang w:val="hu-HU"/>
        </w:rPr>
        <w:t xml:space="preserve">. </w:t>
      </w:r>
      <w:r w:rsidR="00284AE9">
        <w:rPr>
          <w:rFonts w:eastAsia="Times New Roman" w:cstheme="minorHAnsi"/>
          <w:sz w:val="22"/>
          <w:lang w:val="hu-HU"/>
        </w:rPr>
        <w:t>A „</w:t>
      </w:r>
      <w:proofErr w:type="spellStart"/>
      <w:r w:rsidR="00284AE9">
        <w:rPr>
          <w:rFonts w:eastAsia="Times New Roman" w:cstheme="minorHAnsi"/>
          <w:sz w:val="22"/>
          <w:lang w:val="hu-HU"/>
        </w:rPr>
        <w:t>bail</w:t>
      </w:r>
      <w:proofErr w:type="spellEnd"/>
      <w:r w:rsidR="00284AE9">
        <w:rPr>
          <w:rFonts w:eastAsia="Times New Roman" w:cstheme="minorHAnsi"/>
          <w:sz w:val="22"/>
          <w:lang w:val="hu-HU"/>
        </w:rPr>
        <w:t>-in” analitika</w:t>
      </w:r>
      <w:r w:rsidR="00774F8F">
        <w:rPr>
          <w:rFonts w:eastAsia="Times New Roman" w:cstheme="minorHAnsi"/>
          <w:sz w:val="22"/>
          <w:lang w:val="hu-HU"/>
        </w:rPr>
        <w:t xml:space="preserve"> már az esetleges válsághelyzet kezelésére irányuló tervezési szakaszban </w:t>
      </w:r>
      <w:proofErr w:type="gramStart"/>
      <w:r w:rsidR="00774F8F">
        <w:rPr>
          <w:rFonts w:eastAsia="Times New Roman" w:cstheme="minorHAnsi"/>
          <w:sz w:val="22"/>
          <w:lang w:val="hu-HU"/>
        </w:rPr>
        <w:t xml:space="preserve">is, </w:t>
      </w:r>
      <w:r w:rsidR="00A32F1F" w:rsidRPr="00A32F1F">
        <w:rPr>
          <w:rFonts w:eastAsia="Times New Roman" w:cstheme="minorHAnsi"/>
          <w:sz w:val="22"/>
          <w:lang w:val="hu-HU"/>
        </w:rPr>
        <w:t xml:space="preserve"> nem</w:t>
      </w:r>
      <w:proofErr w:type="gramEnd"/>
      <w:r w:rsidR="00A32F1F" w:rsidRPr="00A32F1F">
        <w:rPr>
          <w:rFonts w:eastAsia="Times New Roman" w:cstheme="minorHAnsi"/>
          <w:sz w:val="22"/>
          <w:lang w:val="hu-HU"/>
        </w:rPr>
        <w:t xml:space="preserve"> csak a</w:t>
      </w:r>
      <w:r w:rsidR="00284AE9">
        <w:rPr>
          <w:rFonts w:eastAsia="Times New Roman" w:cstheme="minorHAnsi"/>
          <w:sz w:val="22"/>
          <w:lang w:val="hu-HU"/>
        </w:rPr>
        <w:t>z értékelés</w:t>
      </w:r>
      <w:r w:rsidR="00774F8F">
        <w:rPr>
          <w:rFonts w:eastAsia="Times New Roman" w:cstheme="minorHAnsi"/>
          <w:sz w:val="22"/>
          <w:lang w:val="hu-HU"/>
        </w:rPr>
        <w:t>hez</w:t>
      </w:r>
      <w:r w:rsidR="00284AE9">
        <w:rPr>
          <w:rFonts w:eastAsia="Times New Roman" w:cstheme="minorHAnsi"/>
          <w:sz w:val="22"/>
          <w:lang w:val="hu-HU"/>
        </w:rPr>
        <w:t xml:space="preserve"> és </w:t>
      </w:r>
      <w:r w:rsidR="00774F8F">
        <w:rPr>
          <w:rFonts w:eastAsia="Times New Roman" w:cstheme="minorHAnsi"/>
          <w:sz w:val="22"/>
          <w:lang w:val="hu-HU"/>
        </w:rPr>
        <w:t>a leírási vagy átalakítási hatáskör gyakorlásához</w:t>
      </w:r>
      <w:r w:rsidR="00A32F1F" w:rsidRPr="00755A1A">
        <w:rPr>
          <w:rFonts w:eastAsia="Times New Roman" w:cstheme="minorHAnsi"/>
          <w:sz w:val="22"/>
          <w:lang w:val="hu-HU"/>
        </w:rPr>
        <w:t>, hanem a</w:t>
      </w:r>
      <w:r w:rsidR="00284AE9">
        <w:rPr>
          <w:rFonts w:eastAsia="Times New Roman" w:cstheme="minorHAnsi"/>
          <w:sz w:val="22"/>
          <w:lang w:val="hu-HU"/>
        </w:rPr>
        <w:t>nnak</w:t>
      </w:r>
      <w:r w:rsidR="00A32F1F" w:rsidRPr="00755A1A">
        <w:rPr>
          <w:rFonts w:eastAsia="Times New Roman" w:cstheme="minorHAnsi"/>
          <w:sz w:val="22"/>
          <w:lang w:val="hu-HU"/>
        </w:rPr>
        <w:t xml:space="preserve"> megtervezéshez is szükséges</w:t>
      </w:r>
      <w:r w:rsidR="00CF30F7">
        <w:rPr>
          <w:rFonts w:eastAsia="Times New Roman" w:cstheme="minorHAnsi"/>
          <w:sz w:val="22"/>
          <w:lang w:val="hu-HU"/>
        </w:rPr>
        <w:t>, így a</w:t>
      </w:r>
      <w:r w:rsidR="00A405A2" w:rsidRPr="00755A1A">
        <w:rPr>
          <w:rFonts w:eastAsia="Times New Roman" w:cstheme="minorHAnsi"/>
          <w:sz w:val="22"/>
          <w:lang w:val="hu-HU"/>
        </w:rPr>
        <w:t xml:space="preserve"> </w:t>
      </w:r>
      <w:r w:rsidR="00CB6DE0" w:rsidRPr="00755A1A">
        <w:rPr>
          <w:rFonts w:eastAsia="Times New Roman" w:cstheme="minorHAnsi"/>
          <w:sz w:val="22"/>
          <w:lang w:val="hu-HU"/>
        </w:rPr>
        <w:t>„</w:t>
      </w:r>
      <w:proofErr w:type="spellStart"/>
      <w:r w:rsidR="00CB6DE0" w:rsidRPr="00755A1A">
        <w:rPr>
          <w:rFonts w:eastAsia="Times New Roman" w:cstheme="minorHAnsi"/>
          <w:sz w:val="22"/>
          <w:lang w:val="hu-HU"/>
        </w:rPr>
        <w:t>bail</w:t>
      </w:r>
      <w:proofErr w:type="spellEnd"/>
      <w:r w:rsidR="00CB6DE0" w:rsidRPr="00755A1A">
        <w:rPr>
          <w:rFonts w:eastAsia="Times New Roman" w:cstheme="minorHAnsi"/>
          <w:sz w:val="22"/>
          <w:lang w:val="hu-HU"/>
        </w:rPr>
        <w:t xml:space="preserve">-in” analitikában meghatározott adatszolgáltatási kötelezettség </w:t>
      </w:r>
      <w:r w:rsidR="00FF6C33" w:rsidRPr="00755A1A">
        <w:rPr>
          <w:rFonts w:eastAsia="Times New Roman" w:cstheme="minorHAnsi"/>
          <w:sz w:val="22"/>
          <w:lang w:val="hu-HU"/>
        </w:rPr>
        <w:t>értékelésé</w:t>
      </w:r>
      <w:r w:rsidR="00456910" w:rsidRPr="00755A1A">
        <w:rPr>
          <w:rFonts w:eastAsia="Times New Roman" w:cstheme="minorHAnsi"/>
          <w:sz w:val="22"/>
          <w:lang w:val="hu-HU"/>
        </w:rPr>
        <w:t>t</w:t>
      </w:r>
      <w:r w:rsidR="00FF6C33" w:rsidRPr="00755A1A">
        <w:rPr>
          <w:rFonts w:eastAsia="Times New Roman" w:cstheme="minorHAnsi"/>
          <w:sz w:val="22"/>
          <w:lang w:val="hu-HU"/>
        </w:rPr>
        <w:t xml:space="preserve"> </w:t>
      </w:r>
      <w:r w:rsidR="00456910" w:rsidRPr="00755A1A">
        <w:rPr>
          <w:rFonts w:eastAsia="Times New Roman" w:cstheme="minorHAnsi"/>
          <w:sz w:val="22"/>
          <w:lang w:val="hu-HU"/>
        </w:rPr>
        <w:t xml:space="preserve">a szanálási hatóság </w:t>
      </w:r>
      <w:r w:rsidR="00FF6C33" w:rsidRPr="00755A1A">
        <w:rPr>
          <w:rFonts w:eastAsia="Times New Roman" w:cstheme="minorHAnsi"/>
          <w:sz w:val="22"/>
          <w:lang w:val="hu-HU"/>
        </w:rPr>
        <w:t>az adatszótárhoz kapcsolódó</w:t>
      </w:r>
      <w:r w:rsidR="00456910" w:rsidRPr="00755A1A">
        <w:rPr>
          <w:rFonts w:eastAsia="Times New Roman" w:cstheme="minorHAnsi"/>
          <w:sz w:val="22"/>
          <w:lang w:val="hu-HU"/>
        </w:rPr>
        <w:t xml:space="preserve"> adatszolgáltatás</w:t>
      </w:r>
      <w:r w:rsidR="00FF6C33" w:rsidRPr="00755A1A">
        <w:rPr>
          <w:rFonts w:eastAsia="Times New Roman" w:cstheme="minorHAnsi"/>
          <w:sz w:val="22"/>
          <w:lang w:val="hu-HU"/>
        </w:rPr>
        <w:t xml:space="preserve"> nélkül is </w:t>
      </w:r>
      <w:r w:rsidR="00456910" w:rsidRPr="00755A1A">
        <w:rPr>
          <w:rFonts w:eastAsia="Times New Roman" w:cstheme="minorHAnsi"/>
          <w:sz w:val="22"/>
          <w:lang w:val="hu-HU"/>
        </w:rPr>
        <w:t>elvégezheti.</w:t>
      </w:r>
    </w:p>
    <w:p w14:paraId="3CE10E93" w14:textId="77777777" w:rsidR="00B07BC3" w:rsidRPr="00B70B89" w:rsidRDefault="00B07BC3" w:rsidP="00270638">
      <w:pPr>
        <w:pStyle w:val="ListParagraph"/>
        <w:numPr>
          <w:ilvl w:val="2"/>
          <w:numId w:val="15"/>
        </w:numPr>
        <w:tabs>
          <w:tab w:val="clear" w:pos="2160"/>
        </w:tabs>
        <w:ind w:left="1080" w:right="-3135"/>
        <w:textAlignment w:val="center"/>
        <w:rPr>
          <w:rFonts w:eastAsia="Times New Roman" w:cstheme="minorHAnsi"/>
          <w:sz w:val="22"/>
          <w:lang w:val="hu-HU"/>
        </w:rPr>
      </w:pPr>
      <w:r w:rsidRPr="00B70B89">
        <w:rPr>
          <w:rFonts w:eastAsia="Times New Roman" w:cstheme="minorHAnsi"/>
          <w:sz w:val="22"/>
          <w:lang w:val="hu-HU"/>
        </w:rPr>
        <w:t xml:space="preserve">Az információk eltérő jellegéből és az értékelési eredményre gyakorolt potenciális hatásából adódóan, </w:t>
      </w:r>
      <w:r w:rsidR="00127F30" w:rsidRPr="00B70B89">
        <w:rPr>
          <w:rFonts w:eastAsia="Times New Roman" w:cstheme="minorHAnsi"/>
          <w:sz w:val="22"/>
          <w:lang w:val="hu-HU"/>
        </w:rPr>
        <w:t xml:space="preserve">relevanciájukhoz szorosan kapcsolódva </w:t>
      </w:r>
      <w:r w:rsidRPr="00B70B89">
        <w:rPr>
          <w:rFonts w:eastAsia="Times New Roman" w:cstheme="minorHAnsi"/>
          <w:sz w:val="22"/>
          <w:lang w:val="hu-HU"/>
        </w:rPr>
        <w:t xml:space="preserve">az adatszótár </w:t>
      </w:r>
      <w:proofErr w:type="spellStart"/>
      <w:r w:rsidRPr="00B70B89">
        <w:rPr>
          <w:rFonts w:eastAsia="Times New Roman" w:cstheme="minorHAnsi"/>
          <w:sz w:val="22"/>
          <w:lang w:val="hu-HU"/>
        </w:rPr>
        <w:t>adatmezőnként</w:t>
      </w:r>
      <w:proofErr w:type="spellEnd"/>
      <w:r w:rsidRPr="00B70B89">
        <w:rPr>
          <w:rFonts w:eastAsia="Times New Roman" w:cstheme="minorHAnsi"/>
          <w:sz w:val="22"/>
          <w:lang w:val="hu-HU"/>
        </w:rPr>
        <w:t xml:space="preserve"> tartalmazza az MNB elvárását arra vonatkozóan, hogy az intézményeknek maximálisan hány </w:t>
      </w:r>
      <w:r w:rsidR="00F74A5C" w:rsidRPr="00B70B89">
        <w:rPr>
          <w:rFonts w:eastAsia="Times New Roman" w:cstheme="minorHAnsi"/>
          <w:sz w:val="22"/>
          <w:lang w:val="hu-HU"/>
        </w:rPr>
        <w:t xml:space="preserve">naptári nap </w:t>
      </w:r>
      <w:r w:rsidRPr="00B70B89">
        <w:rPr>
          <w:rFonts w:eastAsia="Times New Roman" w:cstheme="minorHAnsi"/>
          <w:sz w:val="22"/>
          <w:lang w:val="hu-HU"/>
        </w:rPr>
        <w:t>áll rendelkezésükre az információszolgáltatásra az adatigény bejelentésének napjától („T”) számítva:</w:t>
      </w:r>
    </w:p>
    <w:p w14:paraId="20F9022F" w14:textId="77777777" w:rsidR="00B07BC3" w:rsidRPr="004B61C4" w:rsidRDefault="00B07BC3" w:rsidP="00270638">
      <w:pPr>
        <w:numPr>
          <w:ilvl w:val="3"/>
          <w:numId w:val="7"/>
        </w:numPr>
        <w:tabs>
          <w:tab w:val="clear" w:pos="2880"/>
        </w:tabs>
        <w:ind w:left="1710" w:right="-3135"/>
        <w:textAlignment w:val="center"/>
        <w:rPr>
          <w:rFonts w:eastAsia="Times New Roman" w:cstheme="minorHAnsi"/>
          <w:sz w:val="22"/>
          <w:lang w:val="hu-HU"/>
        </w:rPr>
      </w:pPr>
      <w:r w:rsidRPr="00B07BC3">
        <w:rPr>
          <w:rFonts w:eastAsia="Times New Roman" w:cstheme="minorHAnsi"/>
          <w:sz w:val="22"/>
          <w:lang w:val="hu-HU"/>
        </w:rPr>
        <w:t>T</w:t>
      </w:r>
      <w:r w:rsidRPr="00F87621">
        <w:rPr>
          <w:rFonts w:eastAsia="Times New Roman" w:cstheme="minorHAnsi"/>
          <w:sz w:val="22"/>
          <w:lang w:val="hu-HU"/>
        </w:rPr>
        <w:t xml:space="preserve">+2: </w:t>
      </w:r>
      <w:r w:rsidRPr="004B61C4">
        <w:rPr>
          <w:rFonts w:eastAsia="Times New Roman" w:cstheme="minorHAnsi"/>
          <w:sz w:val="22"/>
          <w:lang w:val="hu-HU"/>
        </w:rPr>
        <w:t xml:space="preserve">információbekéréstől számított legfeljebb két </w:t>
      </w:r>
      <w:r w:rsidR="00E9654F" w:rsidRPr="004B61C4">
        <w:rPr>
          <w:rFonts w:eastAsia="Times New Roman" w:cstheme="minorHAnsi"/>
          <w:sz w:val="22"/>
          <w:lang w:val="hu-HU"/>
        </w:rPr>
        <w:t xml:space="preserve">naptári napon </w:t>
      </w:r>
      <w:r w:rsidRPr="004B61C4">
        <w:rPr>
          <w:rFonts w:eastAsia="Times New Roman" w:cstheme="minorHAnsi"/>
          <w:sz w:val="22"/>
          <w:lang w:val="hu-HU"/>
        </w:rPr>
        <w:t>belül;</w:t>
      </w:r>
    </w:p>
    <w:p w14:paraId="0BD58451" w14:textId="77777777" w:rsidR="00B07BC3" w:rsidRPr="004B61C4" w:rsidRDefault="00B07BC3" w:rsidP="00270638">
      <w:pPr>
        <w:numPr>
          <w:ilvl w:val="3"/>
          <w:numId w:val="7"/>
        </w:numPr>
        <w:tabs>
          <w:tab w:val="clear" w:pos="2880"/>
        </w:tabs>
        <w:ind w:left="1710" w:right="-3135"/>
        <w:textAlignment w:val="center"/>
        <w:rPr>
          <w:rFonts w:eastAsia="Times New Roman" w:cstheme="minorHAnsi"/>
          <w:sz w:val="22"/>
          <w:lang w:val="hu-HU"/>
        </w:rPr>
      </w:pPr>
      <w:r w:rsidRPr="004B61C4">
        <w:rPr>
          <w:rFonts w:eastAsia="Times New Roman" w:cstheme="minorHAnsi"/>
          <w:sz w:val="22"/>
          <w:lang w:val="hu-HU"/>
        </w:rPr>
        <w:t xml:space="preserve">T+5: információbekéréstől számított legfeljebb öt </w:t>
      </w:r>
      <w:r w:rsidR="00E9654F" w:rsidRPr="004B61C4">
        <w:rPr>
          <w:rFonts w:eastAsia="Times New Roman" w:cstheme="minorHAnsi"/>
          <w:sz w:val="22"/>
          <w:lang w:val="hu-HU"/>
        </w:rPr>
        <w:t xml:space="preserve">naptári napon </w:t>
      </w:r>
      <w:r w:rsidRPr="004B61C4">
        <w:rPr>
          <w:rFonts w:eastAsia="Times New Roman" w:cstheme="minorHAnsi"/>
          <w:sz w:val="22"/>
          <w:lang w:val="hu-HU"/>
        </w:rPr>
        <w:t>belül;</w:t>
      </w:r>
    </w:p>
    <w:p w14:paraId="1941D698" w14:textId="77777777" w:rsidR="00B07BC3" w:rsidRPr="00F87621" w:rsidRDefault="00B07BC3" w:rsidP="00270638">
      <w:pPr>
        <w:numPr>
          <w:ilvl w:val="3"/>
          <w:numId w:val="7"/>
        </w:numPr>
        <w:tabs>
          <w:tab w:val="clear" w:pos="2880"/>
        </w:tabs>
        <w:ind w:left="1710" w:right="-3139"/>
        <w:textAlignment w:val="center"/>
        <w:rPr>
          <w:rFonts w:eastAsia="Times New Roman" w:cstheme="minorHAnsi"/>
          <w:sz w:val="22"/>
          <w:lang w:val="hu-HU"/>
        </w:rPr>
      </w:pPr>
      <w:r w:rsidRPr="004B61C4">
        <w:rPr>
          <w:rFonts w:eastAsia="Times New Roman" w:cstheme="minorHAnsi"/>
          <w:sz w:val="22"/>
          <w:lang w:val="hu-HU"/>
        </w:rPr>
        <w:t xml:space="preserve">T+10: információbekéréstől számított legfeljebb tíz </w:t>
      </w:r>
      <w:r w:rsidR="00E9654F" w:rsidRPr="004B61C4">
        <w:rPr>
          <w:rFonts w:eastAsia="Times New Roman" w:cstheme="minorHAnsi"/>
          <w:sz w:val="22"/>
          <w:lang w:val="hu-HU"/>
        </w:rPr>
        <w:t xml:space="preserve">naptári napon </w:t>
      </w:r>
      <w:r w:rsidRPr="004B61C4">
        <w:rPr>
          <w:rFonts w:eastAsia="Times New Roman" w:cstheme="minorHAnsi"/>
          <w:sz w:val="22"/>
          <w:lang w:val="hu-HU"/>
        </w:rPr>
        <w:t>belül</w:t>
      </w:r>
      <w:r w:rsidRPr="00F87621">
        <w:rPr>
          <w:rFonts w:eastAsia="Times New Roman" w:cstheme="minorHAnsi"/>
          <w:sz w:val="22"/>
          <w:lang w:val="hu-HU"/>
        </w:rPr>
        <w:t>.</w:t>
      </w:r>
    </w:p>
    <w:p w14:paraId="0DD23D6B" w14:textId="77777777" w:rsidR="00943FC3" w:rsidRDefault="008C6AEA" w:rsidP="00270638">
      <w:pPr>
        <w:ind w:left="1080" w:right="-3139"/>
        <w:textAlignment w:val="center"/>
        <w:rPr>
          <w:rFonts w:eastAsia="Times New Roman" w:cstheme="minorHAnsi"/>
          <w:sz w:val="22"/>
          <w:lang w:val="hu-HU"/>
        </w:rPr>
      </w:pPr>
      <w:r w:rsidRPr="00F87621">
        <w:rPr>
          <w:rFonts w:eastAsia="Times New Roman" w:cstheme="minorHAnsi"/>
          <w:sz w:val="22"/>
          <w:lang w:val="hu-HU"/>
        </w:rPr>
        <w:t xml:space="preserve">Az </w:t>
      </w:r>
      <w:r>
        <w:rPr>
          <w:rFonts w:eastAsia="Times New Roman" w:cstheme="minorHAnsi"/>
          <w:sz w:val="22"/>
          <w:lang w:val="hu-HU"/>
        </w:rPr>
        <w:t xml:space="preserve">említett </w:t>
      </w:r>
      <w:r w:rsidR="001A5AAB">
        <w:rPr>
          <w:rFonts w:eastAsia="Times New Roman" w:cstheme="minorHAnsi"/>
          <w:sz w:val="22"/>
          <w:lang w:val="hu-HU"/>
        </w:rPr>
        <w:t xml:space="preserve">egyes adatok és információk </w:t>
      </w:r>
      <w:r w:rsidR="00E04503">
        <w:rPr>
          <w:rFonts w:eastAsia="Times New Roman" w:cstheme="minorHAnsi"/>
          <w:sz w:val="22"/>
          <w:lang w:val="hu-HU"/>
        </w:rPr>
        <w:t xml:space="preserve">rendelkezésre </w:t>
      </w:r>
      <w:r w:rsidR="0012610A">
        <w:rPr>
          <w:rFonts w:eastAsia="Times New Roman" w:cstheme="minorHAnsi"/>
          <w:sz w:val="22"/>
          <w:lang w:val="hu-HU"/>
        </w:rPr>
        <w:t>bocsátására vonatkozó maximáli</w:t>
      </w:r>
      <w:r w:rsidR="00AE21C3">
        <w:rPr>
          <w:rFonts w:eastAsia="Times New Roman" w:cstheme="minorHAnsi"/>
          <w:sz w:val="22"/>
          <w:lang w:val="hu-HU"/>
        </w:rPr>
        <w:t>s</w:t>
      </w:r>
      <w:r w:rsidR="0012610A">
        <w:rPr>
          <w:rFonts w:eastAsia="Times New Roman" w:cstheme="minorHAnsi"/>
          <w:sz w:val="22"/>
          <w:lang w:val="hu-HU"/>
        </w:rPr>
        <w:t xml:space="preserve"> időtartamok</w:t>
      </w:r>
      <w:r w:rsidR="00BA20E5">
        <w:rPr>
          <w:rFonts w:eastAsia="Times New Roman" w:cstheme="minorHAnsi"/>
          <w:sz w:val="22"/>
          <w:lang w:val="hu-HU"/>
        </w:rPr>
        <w:t xml:space="preserve"> általánosnak tekinthetők</w:t>
      </w:r>
      <w:r w:rsidR="0012610A">
        <w:rPr>
          <w:rFonts w:eastAsia="Times New Roman" w:cstheme="minorHAnsi"/>
          <w:sz w:val="22"/>
          <w:lang w:val="hu-HU"/>
        </w:rPr>
        <w:t xml:space="preserve"> a legtöbb adatmező esetében, de </w:t>
      </w:r>
      <w:r w:rsidR="00B417A7">
        <w:rPr>
          <w:rFonts w:eastAsia="Times New Roman" w:cstheme="minorHAnsi"/>
          <w:sz w:val="22"/>
          <w:lang w:val="hu-HU"/>
        </w:rPr>
        <w:t>vannak olyan kivételek, melyek esetében ennél rövidebb</w:t>
      </w:r>
      <w:r w:rsidR="00154238">
        <w:rPr>
          <w:rFonts w:eastAsia="Times New Roman" w:cstheme="minorHAnsi"/>
          <w:sz w:val="22"/>
          <w:lang w:val="hu-HU"/>
        </w:rPr>
        <w:t>, T+1</w:t>
      </w:r>
      <w:r w:rsidR="00B13554">
        <w:rPr>
          <w:rFonts w:eastAsia="Times New Roman" w:cstheme="minorHAnsi"/>
          <w:sz w:val="22"/>
          <w:lang w:val="hu-HU"/>
        </w:rPr>
        <w:t xml:space="preserve"> (infor</w:t>
      </w:r>
      <w:r w:rsidR="00726D22">
        <w:rPr>
          <w:rFonts w:eastAsia="Times New Roman" w:cstheme="minorHAnsi"/>
          <w:sz w:val="22"/>
          <w:lang w:val="hu-HU"/>
        </w:rPr>
        <w:t>m</w:t>
      </w:r>
      <w:r w:rsidR="00B13554">
        <w:rPr>
          <w:rFonts w:eastAsia="Times New Roman" w:cstheme="minorHAnsi"/>
          <w:sz w:val="22"/>
          <w:lang w:val="hu-HU"/>
        </w:rPr>
        <w:t>ációbekéréstől számított legfeljebb egy naptári napon) napi adatszolgáltatást vár el az MNB.</w:t>
      </w:r>
      <w:r w:rsidR="00901D4D">
        <w:rPr>
          <w:rFonts w:eastAsia="Times New Roman" w:cstheme="minorHAnsi"/>
          <w:sz w:val="22"/>
          <w:lang w:val="hu-HU"/>
        </w:rPr>
        <w:t xml:space="preserve"> Ebbe a kategóriába tartoznak az Egyéb pénzügyi eszközök</w:t>
      </w:r>
      <w:r w:rsidR="00E21E20">
        <w:rPr>
          <w:rFonts w:eastAsia="Times New Roman" w:cstheme="minorHAnsi"/>
          <w:sz w:val="22"/>
          <w:lang w:val="hu-HU"/>
        </w:rPr>
        <w:t xml:space="preserve"> és a </w:t>
      </w:r>
      <w:proofErr w:type="spellStart"/>
      <w:r w:rsidR="007952D4">
        <w:rPr>
          <w:rFonts w:eastAsia="Times New Roman" w:cstheme="minorHAnsi"/>
          <w:sz w:val="22"/>
          <w:lang w:val="hu-HU"/>
        </w:rPr>
        <w:t>derivatívák</w:t>
      </w:r>
      <w:proofErr w:type="spellEnd"/>
      <w:r w:rsidR="007952D4">
        <w:rPr>
          <w:rFonts w:eastAsia="Times New Roman" w:cstheme="minorHAnsi"/>
          <w:sz w:val="22"/>
          <w:lang w:val="hu-HU"/>
        </w:rPr>
        <w:t>.</w:t>
      </w:r>
      <w:r w:rsidR="00092564">
        <w:rPr>
          <w:rFonts w:eastAsia="Times New Roman" w:cstheme="minorHAnsi"/>
          <w:sz w:val="22"/>
          <w:lang w:val="hu-HU"/>
        </w:rPr>
        <w:t xml:space="preserve"> </w:t>
      </w:r>
      <w:r w:rsidR="00FB16F0">
        <w:rPr>
          <w:rFonts w:eastAsia="Times New Roman" w:cstheme="minorHAnsi"/>
          <w:sz w:val="22"/>
          <w:lang w:val="hu-HU"/>
        </w:rPr>
        <w:t>Abban az esetben, ha a</w:t>
      </w:r>
      <w:r w:rsidR="001337BB">
        <w:rPr>
          <w:rFonts w:eastAsia="Times New Roman" w:cstheme="minorHAnsi"/>
          <w:sz w:val="22"/>
          <w:lang w:val="hu-HU"/>
        </w:rPr>
        <w:t xml:space="preserve">z információszolgáltatásra rendelkezésre álló időből </w:t>
      </w:r>
      <w:r w:rsidR="001B4211">
        <w:rPr>
          <w:rFonts w:eastAsia="Times New Roman" w:cstheme="minorHAnsi"/>
          <w:sz w:val="22"/>
          <w:lang w:val="hu-HU"/>
        </w:rPr>
        <w:t xml:space="preserve">egy másik </w:t>
      </w:r>
      <w:r w:rsidR="001B4211">
        <w:rPr>
          <w:rFonts w:eastAsia="Times New Roman" w:cstheme="minorHAnsi"/>
          <w:sz w:val="22"/>
          <w:lang w:val="hu-HU"/>
        </w:rPr>
        <w:lastRenderedPageBreak/>
        <w:t>határnapra („</w:t>
      </w:r>
      <w:proofErr w:type="spellStart"/>
      <w:r w:rsidR="001B4211">
        <w:rPr>
          <w:rFonts w:eastAsia="Times New Roman" w:cstheme="minorHAnsi"/>
          <w:sz w:val="22"/>
          <w:lang w:val="hu-HU"/>
        </w:rPr>
        <w:t>cut-off</w:t>
      </w:r>
      <w:proofErr w:type="spellEnd"/>
      <w:r w:rsidR="001B4211">
        <w:rPr>
          <w:rFonts w:eastAsia="Times New Roman" w:cstheme="minorHAnsi"/>
          <w:sz w:val="22"/>
          <w:lang w:val="hu-HU"/>
        </w:rPr>
        <w:t xml:space="preserve"> </w:t>
      </w:r>
      <w:proofErr w:type="spellStart"/>
      <w:r w:rsidR="001B4211">
        <w:rPr>
          <w:rFonts w:eastAsia="Times New Roman" w:cstheme="minorHAnsi"/>
          <w:sz w:val="22"/>
          <w:lang w:val="hu-HU"/>
        </w:rPr>
        <w:t>date</w:t>
      </w:r>
      <w:proofErr w:type="spellEnd"/>
      <w:r w:rsidR="001B4211">
        <w:rPr>
          <w:rFonts w:eastAsia="Times New Roman" w:cstheme="minorHAnsi"/>
          <w:sz w:val="22"/>
          <w:lang w:val="hu-HU"/>
        </w:rPr>
        <w:t>”)</w:t>
      </w:r>
      <w:r w:rsidR="00B45BCF">
        <w:rPr>
          <w:rFonts w:eastAsia="Times New Roman" w:cstheme="minorHAnsi"/>
          <w:sz w:val="22"/>
          <w:lang w:val="hu-HU"/>
        </w:rPr>
        <w:t xml:space="preserve"> történő információszolgáltatás következne, mint amire az eredetileg meghatározott </w:t>
      </w:r>
      <w:r w:rsidR="004851BF">
        <w:rPr>
          <w:rFonts w:eastAsia="Times New Roman" w:cstheme="minorHAnsi"/>
          <w:sz w:val="22"/>
          <w:lang w:val="hu-HU"/>
        </w:rPr>
        <w:t>információszolgáltatás vonatkozott, értelemszerűen az eredeti határnapra szükséges adatokat és információkat rendelkezésre bocsátani</w:t>
      </w:r>
      <w:r w:rsidR="00DC7C98">
        <w:rPr>
          <w:rFonts w:eastAsia="Times New Roman" w:cstheme="minorHAnsi"/>
          <w:sz w:val="22"/>
          <w:lang w:val="hu-HU"/>
        </w:rPr>
        <w:t xml:space="preserve"> (például az információbekérés és </w:t>
      </w:r>
      <w:r w:rsidR="00AD561B">
        <w:rPr>
          <w:rFonts w:eastAsia="Times New Roman" w:cstheme="minorHAnsi"/>
          <w:sz w:val="22"/>
          <w:lang w:val="hu-HU"/>
        </w:rPr>
        <w:t>az adatszolgáltatás között</w:t>
      </w:r>
      <w:r w:rsidR="00993A04">
        <w:rPr>
          <w:rFonts w:eastAsia="Times New Roman" w:cstheme="minorHAnsi"/>
          <w:sz w:val="22"/>
          <w:lang w:val="hu-HU"/>
        </w:rPr>
        <w:t>i</w:t>
      </w:r>
      <w:r w:rsidR="00AD561B">
        <w:rPr>
          <w:rFonts w:eastAsia="Times New Roman" w:cstheme="minorHAnsi"/>
          <w:sz w:val="22"/>
          <w:lang w:val="hu-HU"/>
        </w:rPr>
        <w:t xml:space="preserve"> </w:t>
      </w:r>
      <w:r w:rsidR="006D33DE">
        <w:rPr>
          <w:rFonts w:eastAsia="Times New Roman" w:cstheme="minorHAnsi"/>
          <w:sz w:val="22"/>
          <w:lang w:val="hu-HU"/>
        </w:rPr>
        <w:t>hóforduló</w:t>
      </w:r>
      <w:r w:rsidR="00993A04">
        <w:rPr>
          <w:rFonts w:eastAsia="Times New Roman" w:cstheme="minorHAnsi"/>
          <w:sz w:val="22"/>
          <w:lang w:val="hu-HU"/>
        </w:rPr>
        <w:t>ból adódóan</w:t>
      </w:r>
      <w:r w:rsidR="006D33DE">
        <w:rPr>
          <w:rFonts w:eastAsia="Times New Roman" w:cstheme="minorHAnsi"/>
          <w:sz w:val="22"/>
          <w:lang w:val="hu-HU"/>
        </w:rPr>
        <w:t>).</w:t>
      </w:r>
    </w:p>
    <w:p w14:paraId="558AEE30" w14:textId="77777777" w:rsidR="00092564" w:rsidRDefault="003703E1" w:rsidP="00270638">
      <w:pPr>
        <w:pStyle w:val="ListParagraph"/>
        <w:numPr>
          <w:ilvl w:val="2"/>
          <w:numId w:val="15"/>
        </w:numPr>
        <w:tabs>
          <w:tab w:val="clear" w:pos="2160"/>
        </w:tabs>
        <w:ind w:left="1080" w:right="-3135"/>
        <w:textAlignment w:val="center"/>
        <w:rPr>
          <w:rFonts w:eastAsia="Times New Roman" w:cstheme="minorHAnsi"/>
          <w:sz w:val="22"/>
          <w:lang w:val="hu-HU"/>
        </w:rPr>
      </w:pPr>
      <w:r w:rsidRPr="004B61C4">
        <w:rPr>
          <w:rFonts w:eastAsia="Times New Roman" w:cstheme="minorHAnsi"/>
          <w:sz w:val="22"/>
          <w:lang w:val="hu-HU"/>
        </w:rPr>
        <w:t>Ezenkívül a „</w:t>
      </w:r>
      <w:proofErr w:type="spellStart"/>
      <w:r w:rsidRPr="004B61C4">
        <w:rPr>
          <w:rFonts w:eastAsia="Times New Roman" w:cstheme="minorHAnsi"/>
          <w:sz w:val="22"/>
          <w:lang w:val="hu-HU"/>
        </w:rPr>
        <w:t>bail</w:t>
      </w:r>
      <w:proofErr w:type="spellEnd"/>
      <w:r w:rsidRPr="004B61C4">
        <w:rPr>
          <w:rFonts w:eastAsia="Times New Roman" w:cstheme="minorHAnsi"/>
          <w:sz w:val="22"/>
          <w:lang w:val="hu-HU"/>
        </w:rPr>
        <w:t xml:space="preserve">-in” analitikában foglalt adatok és </w:t>
      </w:r>
      <w:r w:rsidR="001D5300" w:rsidRPr="004B61C4">
        <w:rPr>
          <w:rFonts w:eastAsia="Times New Roman" w:cstheme="minorHAnsi"/>
          <w:sz w:val="22"/>
          <w:lang w:val="hu-HU"/>
        </w:rPr>
        <w:t>informác</w:t>
      </w:r>
      <w:r w:rsidR="00AE04E7" w:rsidRPr="004B61C4">
        <w:rPr>
          <w:rFonts w:eastAsia="Times New Roman" w:cstheme="minorHAnsi"/>
          <w:sz w:val="22"/>
          <w:lang w:val="hu-HU"/>
        </w:rPr>
        <w:t>i</w:t>
      </w:r>
      <w:r w:rsidR="001D5300" w:rsidRPr="004B61C4">
        <w:rPr>
          <w:rFonts w:eastAsia="Times New Roman" w:cstheme="minorHAnsi"/>
          <w:sz w:val="22"/>
          <w:lang w:val="hu-HU"/>
        </w:rPr>
        <w:t>ók tekintetében minden esetben T+1 napi adatszolgáltatás az elvárás.</w:t>
      </w:r>
    </w:p>
    <w:p w14:paraId="4DE089BE" w14:textId="77777777" w:rsidR="00B07BC3" w:rsidRPr="00B07BC3" w:rsidRDefault="00B07BC3" w:rsidP="00270638">
      <w:pPr>
        <w:pStyle w:val="Heading1"/>
        <w:keepNext/>
        <w:ind w:left="357" w:right="-3141" w:hanging="360"/>
      </w:pPr>
      <w:bookmarkStart w:id="11" w:name="_Toc153188941"/>
      <w:r w:rsidRPr="00B07BC3">
        <w:t>Általános áttekintés az adatszótár</w:t>
      </w:r>
      <w:r w:rsidR="00475966">
        <w:t xml:space="preserve"> és a „</w:t>
      </w:r>
      <w:proofErr w:type="spellStart"/>
      <w:r w:rsidR="00475966">
        <w:t>bail</w:t>
      </w:r>
      <w:proofErr w:type="spellEnd"/>
      <w:r w:rsidR="00475966">
        <w:t>-in” analitika</w:t>
      </w:r>
      <w:r w:rsidRPr="00B07BC3">
        <w:t xml:space="preserve"> struktúrájáról</w:t>
      </w:r>
      <w:bookmarkEnd w:id="11"/>
    </w:p>
    <w:p w14:paraId="3A1123DA" w14:textId="1F4DBC58" w:rsidR="00B07BC3" w:rsidRDefault="00B07BC3" w:rsidP="00270638">
      <w:pPr>
        <w:keepNext/>
        <w:ind w:left="357" w:right="-3141"/>
        <w:textAlignment w:val="center"/>
        <w:rPr>
          <w:rFonts w:eastAsia="Times New Roman" w:cstheme="minorHAnsi"/>
          <w:sz w:val="22"/>
          <w:lang w:val="hu-HU"/>
        </w:rPr>
      </w:pPr>
      <w:r w:rsidRPr="00B07BC3">
        <w:rPr>
          <w:rFonts w:eastAsia="Times New Roman" w:cstheme="minorHAnsi"/>
          <w:sz w:val="22"/>
          <w:lang w:val="hu-HU"/>
        </w:rPr>
        <w:t>A</w:t>
      </w:r>
      <w:r w:rsidR="00435220">
        <w:rPr>
          <w:rFonts w:eastAsia="Times New Roman" w:cstheme="minorHAnsi"/>
          <w:sz w:val="22"/>
          <w:lang w:val="hu-HU"/>
        </w:rPr>
        <w:t>z</w:t>
      </w:r>
      <w:r w:rsidR="0029091A">
        <w:rPr>
          <w:rFonts w:eastAsia="Times New Roman" w:cstheme="minorHAnsi"/>
          <w:sz w:val="22"/>
          <w:lang w:val="hu-HU"/>
        </w:rPr>
        <w:t xml:space="preserve"> értékelésekhez szükséges</w:t>
      </w:r>
      <w:r w:rsidRPr="00B07BC3">
        <w:rPr>
          <w:rFonts w:eastAsia="Times New Roman" w:cstheme="minorHAnsi"/>
          <w:sz w:val="22"/>
          <w:lang w:val="hu-HU"/>
        </w:rPr>
        <w:t xml:space="preserve"> adatszótár </w:t>
      </w:r>
      <w:r w:rsidR="0029091A">
        <w:rPr>
          <w:rFonts w:eastAsia="Times New Roman" w:cstheme="minorHAnsi"/>
          <w:sz w:val="22"/>
          <w:lang w:val="hu-HU"/>
        </w:rPr>
        <w:t>és a „</w:t>
      </w:r>
      <w:proofErr w:type="spellStart"/>
      <w:r w:rsidR="0029091A">
        <w:rPr>
          <w:rFonts w:eastAsia="Times New Roman" w:cstheme="minorHAnsi"/>
          <w:sz w:val="22"/>
          <w:lang w:val="hu-HU"/>
        </w:rPr>
        <w:t>bail</w:t>
      </w:r>
      <w:proofErr w:type="spellEnd"/>
      <w:r w:rsidR="0029091A">
        <w:rPr>
          <w:rFonts w:eastAsia="Times New Roman" w:cstheme="minorHAnsi"/>
          <w:sz w:val="22"/>
          <w:lang w:val="hu-HU"/>
        </w:rPr>
        <w:t>-in” analitika</w:t>
      </w:r>
      <w:r w:rsidRPr="00B07BC3">
        <w:rPr>
          <w:rFonts w:eastAsia="Times New Roman" w:cstheme="minorHAnsi"/>
          <w:sz w:val="22"/>
          <w:lang w:val="hu-HU"/>
        </w:rPr>
        <w:t xml:space="preserve"> egy előre definiált adatkört tartalmaz, amely hozzájárul a </w:t>
      </w:r>
      <w:r w:rsidR="00D908F1">
        <w:rPr>
          <w:rFonts w:eastAsia="Times New Roman" w:cstheme="minorHAnsi"/>
          <w:sz w:val="22"/>
          <w:lang w:val="hu-HU"/>
        </w:rPr>
        <w:t>szanálási</w:t>
      </w:r>
      <w:r w:rsidRPr="00B07BC3">
        <w:rPr>
          <w:rFonts w:eastAsia="Times New Roman" w:cstheme="minorHAnsi"/>
          <w:sz w:val="22"/>
          <w:lang w:val="hu-HU"/>
        </w:rPr>
        <w:t xml:space="preserve"> értékelés eredményes elvégzéséhez.</w:t>
      </w:r>
      <w:r w:rsidR="00FE3351">
        <w:rPr>
          <w:rFonts w:eastAsia="Times New Roman" w:cstheme="minorHAnsi"/>
          <w:sz w:val="22"/>
          <w:lang w:val="hu-HU"/>
        </w:rPr>
        <w:t xml:space="preserve"> </w:t>
      </w:r>
      <w:r w:rsidR="004D0406">
        <w:rPr>
          <w:rFonts w:eastAsia="Times New Roman" w:cstheme="minorHAnsi"/>
          <w:sz w:val="22"/>
          <w:lang w:val="hu-HU"/>
        </w:rPr>
        <w:t xml:space="preserve">A megalapozott értékeléshez szükséges </w:t>
      </w:r>
      <w:r w:rsidR="00FB243A">
        <w:rPr>
          <w:rFonts w:eastAsia="Times New Roman" w:cstheme="minorHAnsi"/>
          <w:sz w:val="22"/>
          <w:lang w:val="hu-HU"/>
        </w:rPr>
        <w:t>adatok és információk</w:t>
      </w:r>
      <w:r w:rsidR="0058713B">
        <w:rPr>
          <w:rFonts w:eastAsia="Times New Roman" w:cstheme="minorHAnsi"/>
          <w:sz w:val="22"/>
          <w:lang w:val="hu-HU"/>
        </w:rPr>
        <w:t xml:space="preserve"> </w:t>
      </w:r>
      <w:r w:rsidR="0058713B" w:rsidRPr="00264155">
        <w:rPr>
          <w:rFonts w:eastAsia="Times New Roman" w:cstheme="minorHAnsi"/>
          <w:sz w:val="22"/>
          <w:lang w:val="hu-HU"/>
        </w:rPr>
        <w:t xml:space="preserve">egységes </w:t>
      </w:r>
      <w:r w:rsidR="009C799D">
        <w:rPr>
          <w:rFonts w:eastAsia="Times New Roman" w:cstheme="minorHAnsi"/>
          <w:sz w:val="22"/>
          <w:lang w:val="hu-HU"/>
        </w:rPr>
        <w:t>megértésének</w:t>
      </w:r>
      <w:r w:rsidR="004D0406">
        <w:rPr>
          <w:rFonts w:eastAsia="Times New Roman" w:cstheme="minorHAnsi"/>
          <w:sz w:val="22"/>
          <w:lang w:val="hu-HU"/>
        </w:rPr>
        <w:t xml:space="preserve"> megállapítása érdekében</w:t>
      </w:r>
      <w:r w:rsidR="00FB243A">
        <w:rPr>
          <w:rFonts w:eastAsia="Times New Roman" w:cstheme="minorHAnsi"/>
          <w:sz w:val="22"/>
          <w:lang w:val="hu-HU"/>
        </w:rPr>
        <w:t xml:space="preserve"> a</w:t>
      </w:r>
      <w:r w:rsidR="00A65B29">
        <w:rPr>
          <w:rFonts w:eastAsia="Times New Roman" w:cstheme="minorHAnsi"/>
          <w:sz w:val="22"/>
          <w:lang w:val="hu-HU"/>
        </w:rPr>
        <w:t xml:space="preserve">z adatszótár részletezi a releváns adatpontokat a </w:t>
      </w:r>
      <w:r w:rsidR="002049BB">
        <w:rPr>
          <w:rFonts w:eastAsia="Times New Roman" w:cstheme="minorHAnsi"/>
          <w:sz w:val="22"/>
          <w:lang w:val="hu-HU"/>
        </w:rPr>
        <w:t xml:space="preserve">különböző eszközcsoportok, kötelezettségek és </w:t>
      </w:r>
      <w:r w:rsidR="00C26854">
        <w:rPr>
          <w:rFonts w:eastAsia="Times New Roman" w:cstheme="minorHAnsi"/>
          <w:sz w:val="22"/>
          <w:lang w:val="hu-HU"/>
        </w:rPr>
        <w:t>mérlegen kívüli tételek tekintetében, ezenkívül eltérő prioritásokat rendel az adatpontokh</w:t>
      </w:r>
      <w:r w:rsidR="00EC57A4">
        <w:rPr>
          <w:rFonts w:eastAsia="Times New Roman" w:cstheme="minorHAnsi"/>
          <w:sz w:val="22"/>
          <w:lang w:val="hu-HU"/>
        </w:rPr>
        <w:t>o</w:t>
      </w:r>
      <w:r w:rsidR="00C26854">
        <w:rPr>
          <w:rFonts w:eastAsia="Times New Roman" w:cstheme="minorHAnsi"/>
          <w:sz w:val="22"/>
          <w:lang w:val="hu-HU"/>
        </w:rPr>
        <w:t xml:space="preserve">z </w:t>
      </w:r>
      <w:r w:rsidR="001A04FC">
        <w:rPr>
          <w:rFonts w:eastAsia="Times New Roman" w:cstheme="minorHAnsi"/>
          <w:sz w:val="22"/>
          <w:lang w:val="hu-HU"/>
        </w:rPr>
        <w:t>az értékeléshez való hozzájárulásuk fontossága szempontjából.</w:t>
      </w:r>
    </w:p>
    <w:p w14:paraId="3E993644" w14:textId="0659FC9A" w:rsidR="00074436" w:rsidRPr="00B07BC3" w:rsidRDefault="00074436" w:rsidP="00270638">
      <w:pPr>
        <w:ind w:left="360" w:right="-3139"/>
        <w:textAlignment w:val="center"/>
        <w:rPr>
          <w:rFonts w:eastAsia="Times New Roman" w:cstheme="minorHAnsi"/>
          <w:sz w:val="22"/>
          <w:lang w:val="hu-HU"/>
        </w:rPr>
      </w:pPr>
      <w:r>
        <w:rPr>
          <w:rFonts w:eastAsia="Times New Roman" w:cstheme="minorHAnsi"/>
          <w:sz w:val="22"/>
          <w:lang w:val="hu-HU"/>
        </w:rPr>
        <w:t>A</w:t>
      </w:r>
      <w:r w:rsidR="00B247F1">
        <w:rPr>
          <w:rFonts w:eastAsia="Times New Roman" w:cstheme="minorHAnsi"/>
          <w:sz w:val="22"/>
          <w:lang w:val="hu-HU"/>
        </w:rPr>
        <w:t>z adatszolgáltatás szempontjából</w:t>
      </w:r>
      <w:r>
        <w:rPr>
          <w:rFonts w:eastAsia="Times New Roman" w:cstheme="minorHAnsi"/>
          <w:sz w:val="22"/>
          <w:lang w:val="hu-HU"/>
        </w:rPr>
        <w:t xml:space="preserve"> </w:t>
      </w:r>
      <w:r w:rsidR="00BE3150">
        <w:rPr>
          <w:rFonts w:eastAsia="Times New Roman" w:cstheme="minorHAnsi"/>
          <w:sz w:val="22"/>
          <w:lang w:val="hu-HU"/>
        </w:rPr>
        <w:t>kétsz</w:t>
      </w:r>
      <w:r w:rsidR="00894310">
        <w:rPr>
          <w:rFonts w:eastAsia="Times New Roman" w:cstheme="minorHAnsi"/>
          <w:sz w:val="22"/>
          <w:lang w:val="hu-HU"/>
        </w:rPr>
        <w:t>e</w:t>
      </w:r>
      <w:r w:rsidR="00BE3150">
        <w:rPr>
          <w:rFonts w:eastAsia="Times New Roman" w:cstheme="minorHAnsi"/>
          <w:sz w:val="22"/>
          <w:lang w:val="hu-HU"/>
        </w:rPr>
        <w:t>res teher elkerülése</w:t>
      </w:r>
      <w:r w:rsidR="00894310">
        <w:rPr>
          <w:rFonts w:eastAsia="Times New Roman" w:cstheme="minorHAnsi"/>
          <w:sz w:val="22"/>
          <w:lang w:val="hu-HU"/>
        </w:rPr>
        <w:t xml:space="preserve"> </w:t>
      </w:r>
      <w:r w:rsidR="00FE1596">
        <w:rPr>
          <w:rFonts w:eastAsia="Times New Roman" w:cstheme="minorHAnsi"/>
          <w:sz w:val="22"/>
          <w:lang w:val="hu-HU"/>
        </w:rPr>
        <w:t xml:space="preserve">és </w:t>
      </w:r>
      <w:r w:rsidR="00376103">
        <w:rPr>
          <w:rFonts w:eastAsia="Times New Roman" w:cstheme="minorHAnsi"/>
          <w:sz w:val="22"/>
          <w:lang w:val="hu-HU"/>
        </w:rPr>
        <w:t xml:space="preserve">a már </w:t>
      </w:r>
      <w:r w:rsidR="00B17F99">
        <w:rPr>
          <w:rFonts w:eastAsia="Times New Roman" w:cstheme="minorHAnsi"/>
          <w:sz w:val="22"/>
          <w:lang w:val="hu-HU"/>
        </w:rPr>
        <w:t xml:space="preserve">kiépített </w:t>
      </w:r>
      <w:r w:rsidR="00376103">
        <w:rPr>
          <w:rFonts w:eastAsia="Times New Roman" w:cstheme="minorHAnsi"/>
          <w:sz w:val="22"/>
          <w:lang w:val="hu-HU"/>
        </w:rPr>
        <w:t xml:space="preserve">belső képességek </w:t>
      </w:r>
      <w:r w:rsidR="00B17F99">
        <w:rPr>
          <w:rFonts w:eastAsia="Times New Roman" w:cstheme="minorHAnsi"/>
          <w:sz w:val="22"/>
          <w:lang w:val="hu-HU"/>
        </w:rPr>
        <w:t xml:space="preserve">minél nagyobb </w:t>
      </w:r>
      <w:r w:rsidR="00FF1811">
        <w:rPr>
          <w:rFonts w:eastAsia="Times New Roman" w:cstheme="minorHAnsi"/>
          <w:sz w:val="22"/>
          <w:lang w:val="hu-HU"/>
        </w:rPr>
        <w:t xml:space="preserve">mértékű </w:t>
      </w:r>
      <w:r w:rsidR="00B17F99">
        <w:rPr>
          <w:rFonts w:eastAsia="Times New Roman" w:cstheme="minorHAnsi"/>
          <w:sz w:val="22"/>
          <w:lang w:val="hu-HU"/>
        </w:rPr>
        <w:t xml:space="preserve">kihasználása </w:t>
      </w:r>
      <w:r w:rsidR="00894310">
        <w:rPr>
          <w:rFonts w:eastAsia="Times New Roman" w:cstheme="minorHAnsi"/>
          <w:sz w:val="22"/>
          <w:lang w:val="hu-HU"/>
        </w:rPr>
        <w:t xml:space="preserve">érdekében </w:t>
      </w:r>
      <w:r w:rsidR="00B17F99">
        <w:rPr>
          <w:rFonts w:eastAsia="Times New Roman" w:cstheme="minorHAnsi"/>
          <w:sz w:val="22"/>
          <w:lang w:val="hu-HU"/>
        </w:rPr>
        <w:t>az adatszótár</w:t>
      </w:r>
      <w:r w:rsidR="006714B8">
        <w:rPr>
          <w:rFonts w:eastAsia="Times New Roman" w:cstheme="minorHAnsi"/>
          <w:sz w:val="22"/>
          <w:lang w:val="hu-HU"/>
        </w:rPr>
        <w:t xml:space="preserve"> olyan adatmezők figyelembe vételével került meghatározásra</w:t>
      </w:r>
      <w:r w:rsidR="006F26B3">
        <w:rPr>
          <w:rFonts w:eastAsia="Times New Roman" w:cstheme="minorHAnsi"/>
          <w:sz w:val="22"/>
          <w:lang w:val="hu-HU"/>
        </w:rPr>
        <w:t xml:space="preserve">, amelyek </w:t>
      </w:r>
      <w:r w:rsidR="0026263D">
        <w:rPr>
          <w:rFonts w:eastAsia="Times New Roman" w:cstheme="minorHAnsi"/>
          <w:sz w:val="22"/>
          <w:lang w:val="hu-HU"/>
        </w:rPr>
        <w:t>egy része</w:t>
      </w:r>
      <w:r w:rsidR="006D1374">
        <w:rPr>
          <w:rFonts w:eastAsia="Times New Roman" w:cstheme="minorHAnsi"/>
          <w:sz w:val="22"/>
          <w:lang w:val="hu-HU"/>
        </w:rPr>
        <w:t xml:space="preserve"> </w:t>
      </w:r>
      <w:r w:rsidR="007A5B3F">
        <w:rPr>
          <w:rFonts w:eastAsia="Times New Roman" w:cstheme="minorHAnsi"/>
          <w:sz w:val="22"/>
          <w:lang w:val="hu-HU"/>
        </w:rPr>
        <w:t xml:space="preserve">megtalálható </w:t>
      </w:r>
      <w:r w:rsidR="00D24FC9">
        <w:rPr>
          <w:rFonts w:eastAsia="Times New Roman" w:cstheme="minorHAnsi"/>
          <w:sz w:val="22"/>
          <w:lang w:val="hu-HU"/>
        </w:rPr>
        <w:t xml:space="preserve">már meglévő adatszolgáltatáshoz alkalmazott adattáblákban, úgy mint </w:t>
      </w:r>
      <w:r w:rsidR="003F17AC">
        <w:rPr>
          <w:rFonts w:eastAsia="Times New Roman" w:cstheme="minorHAnsi"/>
          <w:sz w:val="22"/>
          <w:lang w:val="hu-HU"/>
        </w:rPr>
        <w:t>az Európai Központi Bank</w:t>
      </w:r>
      <w:r w:rsidR="003D69C1">
        <w:rPr>
          <w:rFonts w:eastAsia="Times New Roman" w:cstheme="minorHAnsi"/>
          <w:sz w:val="22"/>
          <w:lang w:val="hu-HU"/>
        </w:rPr>
        <w:t xml:space="preserve"> </w:t>
      </w:r>
      <w:r w:rsidR="003D69C1" w:rsidRPr="00B85B02">
        <w:rPr>
          <w:rFonts w:eastAsia="Times New Roman" w:cstheme="minorHAnsi"/>
          <w:sz w:val="22"/>
          <w:lang w:val="hu-HU"/>
        </w:rPr>
        <w:t>„</w:t>
      </w:r>
      <w:proofErr w:type="spellStart"/>
      <w:r w:rsidR="008B0A58" w:rsidRPr="00B85B02">
        <w:rPr>
          <w:rFonts w:eastAsia="Times New Roman" w:cstheme="minorHAnsi"/>
          <w:sz w:val="22"/>
          <w:lang w:val="hu-HU"/>
        </w:rPr>
        <w:t>AnaCredit</w:t>
      </w:r>
      <w:proofErr w:type="spellEnd"/>
      <w:r w:rsidR="003D69C1" w:rsidRPr="00065F8C">
        <w:rPr>
          <w:rFonts w:eastAsia="Times New Roman" w:cstheme="minorHAnsi"/>
          <w:sz w:val="22"/>
          <w:lang w:val="hu-HU"/>
        </w:rPr>
        <w:t xml:space="preserve">” </w:t>
      </w:r>
      <w:r w:rsidR="00992418" w:rsidRPr="00065F8C">
        <w:rPr>
          <w:rFonts w:eastAsia="Times New Roman" w:cstheme="minorHAnsi"/>
          <w:sz w:val="22"/>
          <w:lang w:val="hu-HU"/>
        </w:rPr>
        <w:t>adattáblája</w:t>
      </w:r>
      <w:r w:rsidR="008B0A58" w:rsidRPr="00B85B02">
        <w:rPr>
          <w:rFonts w:eastAsia="Times New Roman" w:cstheme="minorHAnsi"/>
          <w:sz w:val="22"/>
          <w:lang w:val="hu-HU"/>
        </w:rPr>
        <w:t xml:space="preserve">, </w:t>
      </w:r>
      <w:r w:rsidR="00992418" w:rsidRPr="00065F8C">
        <w:rPr>
          <w:rFonts w:eastAsia="Times New Roman" w:cstheme="minorHAnsi"/>
          <w:sz w:val="22"/>
          <w:lang w:val="hu-HU"/>
        </w:rPr>
        <w:t xml:space="preserve">az </w:t>
      </w:r>
      <w:proofErr w:type="spellStart"/>
      <w:r w:rsidR="00B44A0B" w:rsidRPr="00B85B02">
        <w:rPr>
          <w:rFonts w:eastAsia="Times New Roman" w:cstheme="minorHAnsi"/>
          <w:sz w:val="22"/>
          <w:lang w:val="hu-HU"/>
        </w:rPr>
        <w:t>EBA</w:t>
      </w:r>
      <w:proofErr w:type="spellEnd"/>
      <w:r w:rsidR="00B44A0B" w:rsidRPr="00B85B02">
        <w:rPr>
          <w:rFonts w:eastAsia="Times New Roman" w:cstheme="minorHAnsi"/>
          <w:sz w:val="22"/>
          <w:lang w:val="hu-HU"/>
        </w:rPr>
        <w:t xml:space="preserve"> </w:t>
      </w:r>
      <w:r w:rsidR="00695D5C" w:rsidRPr="00065F8C">
        <w:rPr>
          <w:rFonts w:eastAsia="Times New Roman" w:cstheme="minorHAnsi"/>
          <w:sz w:val="22"/>
          <w:lang w:val="hu-HU"/>
        </w:rPr>
        <w:t>nemteljesítő hitelekre („</w:t>
      </w:r>
      <w:proofErr w:type="spellStart"/>
      <w:r w:rsidR="00B44A0B" w:rsidRPr="00B85B02">
        <w:rPr>
          <w:rFonts w:eastAsia="Times New Roman" w:cstheme="minorHAnsi"/>
          <w:sz w:val="22"/>
          <w:lang w:val="hu-HU"/>
        </w:rPr>
        <w:t>NPL</w:t>
      </w:r>
      <w:proofErr w:type="spellEnd"/>
      <w:r w:rsidR="00695D5C" w:rsidRPr="00065F8C">
        <w:rPr>
          <w:rFonts w:eastAsia="Times New Roman" w:cstheme="minorHAnsi"/>
          <w:sz w:val="22"/>
          <w:lang w:val="hu-HU"/>
        </w:rPr>
        <w:t>”)</w:t>
      </w:r>
      <w:r w:rsidR="00B44A0B" w:rsidRPr="00B85B02">
        <w:rPr>
          <w:rFonts w:eastAsia="Times New Roman" w:cstheme="minorHAnsi"/>
          <w:sz w:val="22"/>
          <w:lang w:val="hu-HU"/>
        </w:rPr>
        <w:t xml:space="preserve"> </w:t>
      </w:r>
      <w:r w:rsidR="00B85B02" w:rsidRPr="00065F8C">
        <w:rPr>
          <w:rFonts w:eastAsia="Times New Roman" w:cstheme="minorHAnsi"/>
          <w:sz w:val="22"/>
          <w:lang w:val="hu-HU"/>
        </w:rPr>
        <w:t>vonatkozó adatsablonjai</w:t>
      </w:r>
      <w:r w:rsidR="00B44A0B" w:rsidRPr="00B85B02">
        <w:rPr>
          <w:rFonts w:eastAsia="Times New Roman" w:cstheme="minorHAnsi"/>
          <w:sz w:val="22"/>
          <w:lang w:val="hu-HU"/>
        </w:rPr>
        <w:t xml:space="preserve">, </w:t>
      </w:r>
      <w:r w:rsidR="0025427B">
        <w:rPr>
          <w:rFonts w:eastAsia="Times New Roman" w:cstheme="minorHAnsi"/>
          <w:sz w:val="22"/>
          <w:lang w:val="hu-HU"/>
        </w:rPr>
        <w:t>az Európai Értékpap</w:t>
      </w:r>
      <w:r w:rsidR="0068056F">
        <w:rPr>
          <w:rFonts w:eastAsia="Times New Roman" w:cstheme="minorHAnsi"/>
          <w:sz w:val="22"/>
          <w:lang w:val="hu-HU"/>
        </w:rPr>
        <w:t xml:space="preserve">ír-piaci Hatóság </w:t>
      </w:r>
      <w:proofErr w:type="spellStart"/>
      <w:r w:rsidR="0068056F">
        <w:rPr>
          <w:rFonts w:eastAsia="Times New Roman" w:cstheme="minorHAnsi"/>
          <w:sz w:val="22"/>
          <w:lang w:val="hu-HU"/>
        </w:rPr>
        <w:t>értékpapírosításra</w:t>
      </w:r>
      <w:proofErr w:type="spellEnd"/>
      <w:r w:rsidR="0068056F">
        <w:rPr>
          <w:rFonts w:eastAsia="Times New Roman" w:cstheme="minorHAnsi"/>
          <w:sz w:val="22"/>
          <w:lang w:val="hu-HU"/>
        </w:rPr>
        <w:t xml:space="preserve"> vonatkozó adatsablonjai, a</w:t>
      </w:r>
      <w:r w:rsidR="00B44A0B">
        <w:rPr>
          <w:rFonts w:eastAsia="Times New Roman" w:cstheme="minorHAnsi"/>
          <w:sz w:val="22"/>
          <w:lang w:val="hu-HU"/>
        </w:rPr>
        <w:t xml:space="preserve"> </w:t>
      </w:r>
      <w:proofErr w:type="spellStart"/>
      <w:r w:rsidR="009C0CE3">
        <w:rPr>
          <w:rFonts w:eastAsia="Times New Roman" w:cstheme="minorHAnsi"/>
          <w:sz w:val="22"/>
          <w:lang w:val="hu-HU"/>
        </w:rPr>
        <w:t>HITREG</w:t>
      </w:r>
      <w:proofErr w:type="spellEnd"/>
      <w:r w:rsidR="009C0CE3">
        <w:rPr>
          <w:rFonts w:eastAsia="Times New Roman" w:cstheme="minorHAnsi"/>
          <w:sz w:val="22"/>
          <w:lang w:val="hu-HU"/>
        </w:rPr>
        <w:t xml:space="preserve"> adatmodell, </w:t>
      </w:r>
      <w:r w:rsidR="0021425E">
        <w:rPr>
          <w:rFonts w:eastAsia="Times New Roman" w:cstheme="minorHAnsi"/>
          <w:sz w:val="22"/>
          <w:lang w:val="hu-HU"/>
        </w:rPr>
        <w:t xml:space="preserve">valamint a </w:t>
      </w:r>
      <w:proofErr w:type="spellStart"/>
      <w:r w:rsidR="009C0CE3">
        <w:rPr>
          <w:rFonts w:eastAsia="Times New Roman" w:cstheme="minorHAnsi"/>
          <w:sz w:val="22"/>
          <w:lang w:val="hu-HU"/>
        </w:rPr>
        <w:t>COREP</w:t>
      </w:r>
      <w:proofErr w:type="spellEnd"/>
      <w:r w:rsidR="009C0CE3">
        <w:rPr>
          <w:rFonts w:eastAsia="Times New Roman" w:cstheme="minorHAnsi"/>
          <w:sz w:val="22"/>
          <w:lang w:val="hu-HU"/>
        </w:rPr>
        <w:t xml:space="preserve"> és </w:t>
      </w:r>
      <w:proofErr w:type="spellStart"/>
      <w:r w:rsidR="009C0CE3">
        <w:rPr>
          <w:rFonts w:eastAsia="Times New Roman" w:cstheme="minorHAnsi"/>
          <w:sz w:val="22"/>
          <w:lang w:val="hu-HU"/>
        </w:rPr>
        <w:t>FINREP</w:t>
      </w:r>
      <w:proofErr w:type="spellEnd"/>
      <w:r w:rsidR="009C0CE3">
        <w:rPr>
          <w:rFonts w:eastAsia="Times New Roman" w:cstheme="minorHAnsi"/>
          <w:sz w:val="22"/>
          <w:lang w:val="hu-HU"/>
        </w:rPr>
        <w:t xml:space="preserve"> </w:t>
      </w:r>
      <w:r w:rsidR="0021425E">
        <w:rPr>
          <w:rFonts w:eastAsia="Times New Roman" w:cstheme="minorHAnsi"/>
          <w:sz w:val="22"/>
          <w:lang w:val="hu-HU"/>
        </w:rPr>
        <w:t>jelentés táblák.</w:t>
      </w:r>
      <w:r w:rsidR="005364A6">
        <w:rPr>
          <w:rFonts w:eastAsia="Times New Roman" w:cstheme="minorHAnsi"/>
          <w:sz w:val="22"/>
          <w:lang w:val="hu-HU"/>
        </w:rPr>
        <w:t xml:space="preserve"> </w:t>
      </w:r>
      <w:r w:rsidR="00B612FD">
        <w:rPr>
          <w:rFonts w:eastAsia="Times New Roman" w:cstheme="minorHAnsi"/>
          <w:sz w:val="22"/>
          <w:lang w:val="hu-HU"/>
        </w:rPr>
        <w:t>Figyelemmel kell azonban lenni arra, hogy az adatok a fenti adatszolgáltatások vonatkozási napjától eltérő időpontra is bekérhetőek.</w:t>
      </w:r>
    </w:p>
    <w:p w14:paraId="16C3A0E7" w14:textId="7D715588" w:rsidR="005364A6" w:rsidRPr="00B07BC3" w:rsidRDefault="005364A6" w:rsidP="00270638">
      <w:pPr>
        <w:ind w:left="360" w:right="-3139"/>
        <w:textAlignment w:val="center"/>
        <w:rPr>
          <w:rFonts w:eastAsia="Times New Roman" w:cstheme="minorHAnsi"/>
          <w:sz w:val="22"/>
          <w:lang w:val="hu-HU"/>
        </w:rPr>
      </w:pPr>
      <w:r>
        <w:rPr>
          <w:rFonts w:eastAsia="Times New Roman" w:cstheme="minorHAnsi"/>
          <w:sz w:val="22"/>
          <w:lang w:val="hu-HU"/>
        </w:rPr>
        <w:t xml:space="preserve">A </w:t>
      </w:r>
      <w:r w:rsidR="00D908F1">
        <w:rPr>
          <w:rFonts w:eastAsia="Times New Roman" w:cstheme="minorHAnsi"/>
          <w:sz w:val="22"/>
          <w:lang w:val="hu-HU"/>
        </w:rPr>
        <w:t>szanálási</w:t>
      </w:r>
      <w:r w:rsidR="00257912">
        <w:rPr>
          <w:rFonts w:eastAsia="Times New Roman" w:cstheme="minorHAnsi"/>
          <w:sz w:val="22"/>
          <w:lang w:val="hu-HU"/>
        </w:rPr>
        <w:t xml:space="preserve"> </w:t>
      </w:r>
      <w:r>
        <w:rPr>
          <w:rFonts w:eastAsia="Times New Roman" w:cstheme="minorHAnsi"/>
          <w:sz w:val="22"/>
          <w:lang w:val="hu-HU"/>
        </w:rPr>
        <w:t>értékeléshez szükséges adatszótár</w:t>
      </w:r>
      <w:r w:rsidR="00F87541">
        <w:rPr>
          <w:rFonts w:eastAsia="Times New Roman" w:cstheme="minorHAnsi"/>
          <w:sz w:val="22"/>
          <w:lang w:val="hu-HU"/>
        </w:rPr>
        <w:t xml:space="preserve"> </w:t>
      </w:r>
      <w:r w:rsidR="000954DB">
        <w:rPr>
          <w:rFonts w:eastAsia="Times New Roman" w:cstheme="minorHAnsi"/>
          <w:sz w:val="22"/>
          <w:lang w:val="hu-HU"/>
        </w:rPr>
        <w:t>struktúráját</w:t>
      </w:r>
      <w:r w:rsidR="00F87541">
        <w:rPr>
          <w:rFonts w:eastAsia="Times New Roman" w:cstheme="minorHAnsi"/>
          <w:sz w:val="22"/>
          <w:lang w:val="hu-HU"/>
        </w:rPr>
        <w:t xml:space="preserve"> és </w:t>
      </w:r>
      <w:r w:rsidR="000954DB">
        <w:rPr>
          <w:rFonts w:eastAsia="Times New Roman" w:cstheme="minorHAnsi"/>
          <w:sz w:val="22"/>
          <w:lang w:val="hu-HU"/>
        </w:rPr>
        <w:t xml:space="preserve">főbb </w:t>
      </w:r>
      <w:r w:rsidR="00F87541">
        <w:rPr>
          <w:rFonts w:eastAsia="Times New Roman" w:cstheme="minorHAnsi"/>
          <w:sz w:val="22"/>
          <w:lang w:val="hu-HU"/>
        </w:rPr>
        <w:t>moduljait az 1.sz. ábra szemlélteti.</w:t>
      </w:r>
    </w:p>
    <w:p w14:paraId="6A007B5B" w14:textId="77777777" w:rsidR="00EB4A76" w:rsidRPr="00F87621" w:rsidRDefault="00EB4A76" w:rsidP="008A6158">
      <w:pPr>
        <w:spacing w:before="120" w:after="60"/>
        <w:ind w:right="-3139"/>
        <w:textAlignment w:val="center"/>
        <w:rPr>
          <w:rFonts w:eastAsia="Times New Roman" w:cstheme="minorHAnsi"/>
          <w:b/>
          <w:bCs/>
          <w:sz w:val="22"/>
          <w:lang w:val="hu-HU"/>
        </w:rPr>
        <w:sectPr w:rsidR="00EB4A76" w:rsidRPr="00F87621" w:rsidSect="00E15C45">
          <w:headerReference w:type="default" r:id="rId8"/>
          <w:footerReference w:type="default" r:id="rId9"/>
          <w:headerReference w:type="first" r:id="rId10"/>
          <w:footerReference w:type="first" r:id="rId11"/>
          <w:pgSz w:w="11906" w:h="16838" w:code="9"/>
          <w:pgMar w:top="1985" w:right="4166" w:bottom="1134" w:left="680" w:header="680" w:footer="567" w:gutter="0"/>
          <w:pgNumType w:start="0"/>
          <w:cols w:space="284"/>
          <w:titlePg/>
          <w:docGrid w:linePitch="360"/>
        </w:sectPr>
      </w:pPr>
    </w:p>
    <w:p w14:paraId="2F89502A" w14:textId="7E41F99B" w:rsidR="00B07BC3" w:rsidRDefault="006D48E1" w:rsidP="00920E0F">
      <w:pPr>
        <w:keepNext/>
        <w:keepLines/>
        <w:spacing w:before="120" w:after="60"/>
        <w:ind w:left="357" w:right="-3141"/>
        <w:textAlignment w:val="center"/>
        <w:rPr>
          <w:rFonts w:eastAsia="Times New Roman" w:cstheme="minorHAnsi"/>
          <w:b/>
          <w:bCs/>
          <w:sz w:val="22"/>
          <w:lang w:val="hu-HU"/>
        </w:rPr>
      </w:pPr>
      <w:r w:rsidRPr="00F87621">
        <w:rPr>
          <w:rFonts w:eastAsia="Times New Roman" w:cstheme="minorHAnsi"/>
          <w:b/>
          <w:bCs/>
          <w:sz w:val="22"/>
          <w:lang w:val="hu-HU"/>
        </w:rPr>
        <w:lastRenderedPageBreak/>
        <w:t xml:space="preserve">1.sz. ábra: </w:t>
      </w:r>
      <w:r w:rsidR="00B07BC3" w:rsidRPr="00F87621">
        <w:rPr>
          <w:rFonts w:eastAsia="Times New Roman" w:cstheme="minorHAnsi"/>
          <w:b/>
          <w:bCs/>
          <w:sz w:val="22"/>
          <w:lang w:val="hu-HU"/>
        </w:rPr>
        <w:t xml:space="preserve">A </w:t>
      </w:r>
      <w:r w:rsidR="00D908F1">
        <w:rPr>
          <w:rFonts w:eastAsia="Times New Roman" w:cstheme="minorHAnsi"/>
          <w:b/>
          <w:bCs/>
          <w:sz w:val="22"/>
          <w:lang w:val="hu-HU"/>
        </w:rPr>
        <w:t>szanálási</w:t>
      </w:r>
      <w:r w:rsidR="00257912" w:rsidRPr="00257912">
        <w:rPr>
          <w:rFonts w:eastAsia="Times New Roman" w:cstheme="minorHAnsi"/>
          <w:b/>
          <w:bCs/>
          <w:sz w:val="22"/>
          <w:lang w:val="hu-HU"/>
        </w:rPr>
        <w:t xml:space="preserve"> </w:t>
      </w:r>
      <w:r w:rsidR="0029091A" w:rsidRPr="00835C51">
        <w:rPr>
          <w:rFonts w:eastAsia="Times New Roman" w:cstheme="minorHAnsi"/>
          <w:b/>
          <w:bCs/>
          <w:sz w:val="22"/>
          <w:lang w:val="hu-HU"/>
        </w:rPr>
        <w:t>értékelésekhez szükséges</w:t>
      </w:r>
      <w:r w:rsidR="00B07BC3" w:rsidRPr="00F87621">
        <w:rPr>
          <w:rFonts w:eastAsia="Times New Roman" w:cstheme="minorHAnsi"/>
          <w:b/>
          <w:bCs/>
          <w:sz w:val="22"/>
          <w:lang w:val="hu-HU"/>
        </w:rPr>
        <w:t xml:space="preserve"> </w:t>
      </w:r>
      <w:r w:rsidR="0029091A">
        <w:rPr>
          <w:rFonts w:eastAsia="Times New Roman" w:cstheme="minorHAnsi"/>
          <w:b/>
          <w:bCs/>
          <w:sz w:val="22"/>
          <w:lang w:val="hu-HU"/>
        </w:rPr>
        <w:t xml:space="preserve">adatszótár </w:t>
      </w:r>
      <w:r w:rsidR="00B07BC3" w:rsidRPr="00124EF6">
        <w:rPr>
          <w:rFonts w:eastAsia="Times New Roman" w:cstheme="minorHAnsi"/>
          <w:b/>
          <w:bCs/>
          <w:sz w:val="22"/>
          <w:lang w:val="hu-HU"/>
        </w:rPr>
        <w:t>modulok tartalmának magas szintű áttekintése</w:t>
      </w:r>
    </w:p>
    <w:p w14:paraId="41D529A2" w14:textId="77777777" w:rsidR="00EB3C4C" w:rsidRDefault="00EB3C4C" w:rsidP="00920E0F">
      <w:pPr>
        <w:keepNext/>
        <w:keepLines/>
        <w:spacing w:before="120" w:after="60"/>
        <w:ind w:left="357" w:right="-3141"/>
        <w:textAlignment w:val="center"/>
        <w:rPr>
          <w:rFonts w:eastAsia="Times New Roman" w:cstheme="minorHAnsi"/>
          <w:b/>
          <w:bCs/>
          <w:sz w:val="22"/>
          <w:lang w:val="hu-HU"/>
        </w:rPr>
      </w:pPr>
      <w:r w:rsidRPr="00EB3C4C">
        <w:rPr>
          <w:rFonts w:eastAsia="Times New Roman" w:cstheme="minorHAnsi"/>
          <w:b/>
          <w:bCs/>
          <w:noProof/>
          <w:sz w:val="22"/>
        </w:rPr>
        <w:drawing>
          <wp:inline distT="0" distB="0" distL="0" distR="0" wp14:anchorId="37A5D6A1" wp14:editId="7027B3AE">
            <wp:extent cx="8502650" cy="3710940"/>
            <wp:effectExtent l="0" t="0" r="0" b="0"/>
            <wp:docPr id="12" name="Graphic 11">
              <a:extLst xmlns:a="http://schemas.openxmlformats.org/drawingml/2006/main">
                <a:ext uri="{FF2B5EF4-FFF2-40B4-BE49-F238E27FC236}">
                  <a16:creationId xmlns:a16="http://schemas.microsoft.com/office/drawing/2014/main" id="{0EF91F15-7800-5F9C-233D-1AFAC265F1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a:extLst>
                        <a:ext uri="{FF2B5EF4-FFF2-40B4-BE49-F238E27FC236}">
                          <a16:creationId xmlns:a16="http://schemas.microsoft.com/office/drawing/2014/main" id="{0EF91F15-7800-5F9C-233D-1AFAC265F1A9}"/>
                        </a:ext>
                      </a:extLst>
                    </pic:cNvPr>
                    <pic:cNvPicPr>
                      <a:picLocks noChangeAspect="1"/>
                    </pic:cNvPicPr>
                  </pic:nvPicPr>
                  <pic:blipFill rotWithShape="1">
                    <a:blip r:embed="rId12">
                      <a:extLst>
                        <a:ext uri="{96DAC541-7B7A-43D3-8B79-37D633B846F1}">
                          <asvg:svgBlip xmlns:asvg="http://schemas.microsoft.com/office/drawing/2016/SVG/main" r:embed="rId13"/>
                        </a:ext>
                      </a:extLst>
                    </a:blip>
                    <a:srcRect r="49022"/>
                    <a:stretch/>
                  </pic:blipFill>
                  <pic:spPr>
                    <a:xfrm>
                      <a:off x="0" y="0"/>
                      <a:ext cx="8503925" cy="3711496"/>
                    </a:xfrm>
                    <a:prstGeom prst="rect">
                      <a:avLst/>
                    </a:prstGeom>
                  </pic:spPr>
                </pic:pic>
              </a:graphicData>
            </a:graphic>
          </wp:inline>
        </w:drawing>
      </w:r>
    </w:p>
    <w:p w14:paraId="29AB058B" w14:textId="77777777" w:rsidR="00EB4A76" w:rsidRPr="00920E0F" w:rsidRDefault="00920E0F" w:rsidP="00920E0F">
      <w:pPr>
        <w:keepNext/>
        <w:keepLines/>
        <w:spacing w:before="120" w:after="60"/>
        <w:ind w:left="357" w:right="-3141"/>
        <w:textAlignment w:val="center"/>
        <w:rPr>
          <w:rFonts w:eastAsia="Times New Roman" w:cstheme="minorHAnsi"/>
          <w:b/>
          <w:bCs/>
          <w:sz w:val="22"/>
          <w:lang w:val="hu-HU"/>
        </w:rPr>
        <w:sectPr w:rsidR="00EB4A76" w:rsidRPr="00920E0F" w:rsidSect="004B61C4">
          <w:headerReference w:type="default" r:id="rId14"/>
          <w:headerReference w:type="first" r:id="rId15"/>
          <w:pgSz w:w="16838" w:h="11906" w:orient="landscape" w:code="9"/>
          <w:pgMar w:top="677" w:right="1987" w:bottom="4162" w:left="1138" w:header="677" w:footer="562" w:gutter="0"/>
          <w:cols w:space="284"/>
          <w:titlePg/>
          <w:docGrid w:linePitch="360"/>
        </w:sectPr>
      </w:pPr>
      <w:r>
        <w:rPr>
          <w:rFonts w:eastAsia="Times New Roman" w:cstheme="minorHAnsi"/>
          <w:b/>
          <w:bCs/>
          <w:noProof/>
          <w:sz w:val="22"/>
          <w:lang w:val="hu-HU"/>
        </w:rPr>
        <w:lastRenderedPageBreak/>
        <w:drawing>
          <wp:inline distT="0" distB="0" distL="0" distR="0" wp14:anchorId="3E250835" wp14:editId="2DB8A59B">
            <wp:extent cx="8705850" cy="424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05850" cy="4243070"/>
                    </a:xfrm>
                    <a:prstGeom prst="rect">
                      <a:avLst/>
                    </a:prstGeom>
                    <a:noFill/>
                  </pic:spPr>
                </pic:pic>
              </a:graphicData>
            </a:graphic>
          </wp:inline>
        </w:drawing>
      </w:r>
    </w:p>
    <w:p w14:paraId="2100693C" w14:textId="7644BDCC" w:rsidR="00C32B8B" w:rsidRPr="00C53603" w:rsidRDefault="00C32B8B" w:rsidP="00270638">
      <w:pPr>
        <w:pStyle w:val="Heading2"/>
        <w:ind w:left="360" w:right="-3141" w:hanging="360"/>
      </w:pPr>
      <w:bookmarkStart w:id="12" w:name="_Toc153188942"/>
      <w:r w:rsidRPr="00C53603">
        <w:lastRenderedPageBreak/>
        <w:t>A</w:t>
      </w:r>
      <w:r w:rsidR="003073E9" w:rsidRPr="003073E9">
        <w:t xml:space="preserve"> </w:t>
      </w:r>
      <w:r w:rsidR="00D908F1">
        <w:t>szanálási</w:t>
      </w:r>
      <w:r w:rsidR="00257912">
        <w:t xml:space="preserve"> </w:t>
      </w:r>
      <w:r w:rsidR="003073E9">
        <w:t xml:space="preserve">értékelésekhez szükséges </w:t>
      </w:r>
      <w:r w:rsidRPr="00C53603">
        <w:t>adatszótárban található adatmezők főbb témák szerint</w:t>
      </w:r>
      <w:r w:rsidR="00A30031">
        <w:t>,</w:t>
      </w:r>
      <w:r w:rsidRPr="00C53603">
        <w:t xml:space="preserve"> modulokba </w:t>
      </w:r>
      <w:r w:rsidR="00A27045" w:rsidRPr="00C53603">
        <w:t>kerültek elkülönítésre:</w:t>
      </w:r>
      <w:bookmarkEnd w:id="12"/>
    </w:p>
    <w:p w14:paraId="27D1DE11" w14:textId="77777777" w:rsidR="004D07A3" w:rsidRPr="004B61C4" w:rsidRDefault="004D07A3" w:rsidP="00270638">
      <w:pPr>
        <w:numPr>
          <w:ilvl w:val="2"/>
          <w:numId w:val="30"/>
        </w:numPr>
        <w:tabs>
          <w:tab w:val="clear" w:pos="2160"/>
          <w:tab w:val="num" w:pos="1080"/>
        </w:tabs>
        <w:ind w:left="1080" w:right="-3141"/>
        <w:textAlignment w:val="center"/>
        <w:rPr>
          <w:rFonts w:eastAsia="Times New Roman" w:cstheme="minorHAnsi"/>
          <w:sz w:val="22"/>
          <w:lang w:val="hu-HU"/>
        </w:rPr>
      </w:pPr>
      <w:r w:rsidRPr="00F87621">
        <w:rPr>
          <w:rFonts w:eastAsia="Times New Roman" w:cstheme="minorHAnsi"/>
          <w:sz w:val="22"/>
          <w:lang w:val="hu-HU"/>
        </w:rPr>
        <w:t xml:space="preserve">A </w:t>
      </w:r>
      <w:r w:rsidRPr="004B61C4">
        <w:rPr>
          <w:rFonts w:eastAsia="Times New Roman" w:cstheme="minorHAnsi"/>
          <w:sz w:val="22"/>
          <w:lang w:val="hu-HU"/>
        </w:rPr>
        <w:t>hitel szekció tartalmazza a hitelekre, a szerződő felekre, valamint a fedezetekre vonatozó adatokat. A fedezetek megbont</w:t>
      </w:r>
      <w:r w:rsidR="00EF5E25" w:rsidRPr="004B61C4">
        <w:rPr>
          <w:rFonts w:eastAsia="Times New Roman" w:cstheme="minorHAnsi"/>
          <w:sz w:val="22"/>
          <w:lang w:val="hu-HU"/>
        </w:rPr>
        <w:t>ásra kerültek</w:t>
      </w:r>
      <w:r w:rsidRPr="004B61C4">
        <w:rPr>
          <w:rFonts w:eastAsia="Times New Roman" w:cstheme="minorHAnsi"/>
          <w:sz w:val="22"/>
          <w:lang w:val="hu-HU"/>
        </w:rPr>
        <w:t xml:space="preserve"> típus szerint</w:t>
      </w:r>
      <w:r w:rsidR="007200CB" w:rsidRPr="00713065">
        <w:rPr>
          <w:rFonts w:eastAsia="Times New Roman" w:cstheme="minorHAnsi"/>
          <w:sz w:val="22"/>
          <w:lang w:val="hu-HU"/>
        </w:rPr>
        <w:t>;</w:t>
      </w:r>
      <w:r w:rsidRPr="004B61C4">
        <w:rPr>
          <w:rFonts w:eastAsia="Times New Roman" w:cstheme="minorHAnsi"/>
          <w:sz w:val="22"/>
          <w:lang w:val="hu-HU"/>
        </w:rPr>
        <w:t xml:space="preserve"> ingatlan, ingó</w:t>
      </w:r>
      <w:r w:rsidR="00302099" w:rsidRPr="004B61C4">
        <w:rPr>
          <w:rFonts w:eastAsia="Times New Roman" w:cstheme="minorHAnsi"/>
          <w:sz w:val="22"/>
          <w:lang w:val="hu-HU"/>
        </w:rPr>
        <w:t>ság</w:t>
      </w:r>
      <w:r w:rsidRPr="004B61C4">
        <w:rPr>
          <w:rFonts w:eastAsia="Times New Roman" w:cstheme="minorHAnsi"/>
          <w:sz w:val="22"/>
          <w:lang w:val="hu-HU"/>
        </w:rPr>
        <w:t xml:space="preserve"> és pénzügyi fedezetekre.</w:t>
      </w:r>
      <w:r w:rsidR="00B472B8" w:rsidRPr="004B61C4">
        <w:rPr>
          <w:rFonts w:eastAsia="Times New Roman" w:cstheme="minorHAnsi"/>
          <w:sz w:val="22"/>
          <w:lang w:val="hu-HU"/>
        </w:rPr>
        <w:t xml:space="preserve"> A </w:t>
      </w:r>
      <w:r w:rsidR="00875673" w:rsidRPr="004B61C4">
        <w:rPr>
          <w:rFonts w:eastAsia="Times New Roman" w:cstheme="minorHAnsi"/>
          <w:sz w:val="22"/>
          <w:lang w:val="hu-HU"/>
        </w:rPr>
        <w:t>hitelekre vonatkozó adattáblában egy adósnak több ügylete is lehet, ezek a szerződés azonosítóval kerülnek megkülönböztetésre.</w:t>
      </w:r>
      <w:r w:rsidR="005753A2" w:rsidRPr="004B61C4">
        <w:rPr>
          <w:rFonts w:eastAsia="Times New Roman" w:cstheme="minorHAnsi"/>
          <w:sz w:val="22"/>
          <w:lang w:val="hu-HU"/>
        </w:rPr>
        <w:t xml:space="preserve"> Egy hitel</w:t>
      </w:r>
      <w:r w:rsidR="00302099" w:rsidRPr="004B61C4">
        <w:rPr>
          <w:rFonts w:eastAsia="Times New Roman" w:cstheme="minorHAnsi"/>
          <w:sz w:val="22"/>
          <w:lang w:val="hu-HU"/>
        </w:rPr>
        <w:t xml:space="preserve"> mögött lehet több fedezet, míg</w:t>
      </w:r>
      <w:r w:rsidR="00E43346" w:rsidRPr="004B61C4">
        <w:rPr>
          <w:rFonts w:eastAsia="Times New Roman" w:cstheme="minorHAnsi"/>
          <w:sz w:val="22"/>
          <w:lang w:val="hu-HU"/>
        </w:rPr>
        <w:t xml:space="preserve"> egy fedezet is tartozhat több hitelhez.</w:t>
      </w:r>
    </w:p>
    <w:p w14:paraId="3940FFA7" w14:textId="77777777" w:rsidR="004D07A3" w:rsidRPr="004B61C4" w:rsidRDefault="004D07A3" w:rsidP="00270638">
      <w:pPr>
        <w:numPr>
          <w:ilvl w:val="2"/>
          <w:numId w:val="7"/>
        </w:numPr>
        <w:tabs>
          <w:tab w:val="clear" w:pos="2160"/>
        </w:tabs>
        <w:ind w:left="1080" w:right="-3141"/>
        <w:textAlignment w:val="center"/>
        <w:rPr>
          <w:rFonts w:eastAsia="Times New Roman" w:cstheme="minorHAnsi"/>
          <w:sz w:val="22"/>
          <w:lang w:val="hu-HU"/>
        </w:rPr>
      </w:pPr>
      <w:r w:rsidRPr="004B61C4">
        <w:rPr>
          <w:rFonts w:eastAsia="Times New Roman" w:cstheme="minorHAnsi"/>
          <w:sz w:val="22"/>
          <w:lang w:val="hu-HU"/>
        </w:rPr>
        <w:t>A</w:t>
      </w:r>
      <w:r w:rsidRPr="00C45042">
        <w:rPr>
          <w:rFonts w:eastAsia="Times New Roman" w:cstheme="minorHAnsi"/>
          <w:sz w:val="22"/>
          <w:lang w:val="hu-HU"/>
        </w:rPr>
        <w:t>z</w:t>
      </w:r>
      <w:r w:rsidRPr="004B61C4">
        <w:rPr>
          <w:rFonts w:eastAsia="Times New Roman" w:cstheme="minorHAnsi"/>
          <w:sz w:val="22"/>
          <w:lang w:val="hu-HU"/>
        </w:rPr>
        <w:t xml:space="preserve"> egyéb eszközök szekcióba tartoznak az egyéb pénzügyi eszközök</w:t>
      </w:r>
      <w:r w:rsidR="006951C1" w:rsidRPr="004B61C4">
        <w:rPr>
          <w:rFonts w:eastAsia="Times New Roman" w:cstheme="minorHAnsi"/>
          <w:sz w:val="22"/>
          <w:lang w:val="hu-HU"/>
        </w:rPr>
        <w:t xml:space="preserve"> (készpénz és </w:t>
      </w:r>
      <w:r w:rsidR="00944A71" w:rsidRPr="004B61C4">
        <w:rPr>
          <w:rFonts w:eastAsia="Times New Roman" w:cstheme="minorHAnsi"/>
          <w:sz w:val="22"/>
          <w:lang w:val="hu-HU"/>
        </w:rPr>
        <w:t>készpénz-egyenértékesek, hitelviszonyt megtestesítő értékpapírok és tőkebefektetések)</w:t>
      </w:r>
      <w:r w:rsidRPr="004B61C4">
        <w:rPr>
          <w:rFonts w:eastAsia="Times New Roman" w:cstheme="minorHAnsi"/>
          <w:sz w:val="22"/>
          <w:lang w:val="hu-HU"/>
        </w:rPr>
        <w:t xml:space="preserve"> és az egyéb nem-pénzügyi eszközökre</w:t>
      </w:r>
      <w:r w:rsidR="00944A71" w:rsidRPr="004B61C4">
        <w:rPr>
          <w:rFonts w:eastAsia="Times New Roman" w:cstheme="minorHAnsi"/>
          <w:sz w:val="22"/>
          <w:lang w:val="hu-HU"/>
        </w:rPr>
        <w:t xml:space="preserve"> (</w:t>
      </w:r>
      <w:r w:rsidR="00300B2A" w:rsidRPr="004B61C4">
        <w:rPr>
          <w:rFonts w:eastAsia="Times New Roman" w:cstheme="minorHAnsi"/>
          <w:sz w:val="22"/>
          <w:lang w:val="hu-HU"/>
        </w:rPr>
        <w:t xml:space="preserve">halasztott adó, goodwill, </w:t>
      </w:r>
      <w:r w:rsidR="005B3F6C" w:rsidRPr="004B61C4">
        <w:rPr>
          <w:rFonts w:eastAsia="Times New Roman" w:cstheme="minorHAnsi"/>
          <w:sz w:val="22"/>
          <w:lang w:val="hu-HU"/>
        </w:rPr>
        <w:t>egyéb eszközök)</w:t>
      </w:r>
      <w:r w:rsidRPr="004B61C4">
        <w:rPr>
          <w:rFonts w:eastAsia="Times New Roman" w:cstheme="minorHAnsi"/>
          <w:sz w:val="22"/>
          <w:lang w:val="hu-HU"/>
        </w:rPr>
        <w:t xml:space="preserve"> vonatkozó adatmezők.</w:t>
      </w:r>
    </w:p>
    <w:p w14:paraId="0D9C7C78" w14:textId="77777777" w:rsidR="004D07A3" w:rsidRPr="004B61C4" w:rsidRDefault="004D07A3" w:rsidP="00270638">
      <w:pPr>
        <w:numPr>
          <w:ilvl w:val="2"/>
          <w:numId w:val="7"/>
        </w:numPr>
        <w:tabs>
          <w:tab w:val="clear" w:pos="2160"/>
        </w:tabs>
        <w:ind w:left="1080" w:right="-3141"/>
        <w:textAlignment w:val="center"/>
        <w:rPr>
          <w:rFonts w:eastAsia="Times New Roman" w:cstheme="minorHAnsi"/>
          <w:sz w:val="22"/>
          <w:lang w:val="hu-HU"/>
        </w:rPr>
      </w:pPr>
      <w:r w:rsidRPr="004B61C4">
        <w:rPr>
          <w:rFonts w:eastAsia="Times New Roman" w:cstheme="minorHAnsi"/>
          <w:sz w:val="22"/>
          <w:lang w:val="hu-HU"/>
        </w:rPr>
        <w:t>A kötelezettségek szekciója tartalmazza a betéteket, kibocsátott értékpapírokat, céltartalékokat, nyugdíjhoz kapcsolódó kötelezettségeket és az egyéb kötelezettségeket.</w:t>
      </w:r>
    </w:p>
    <w:p w14:paraId="475FB00E" w14:textId="77777777" w:rsidR="004D07A3" w:rsidRPr="004B61C4" w:rsidRDefault="00FF6FCC" w:rsidP="00270638">
      <w:pPr>
        <w:numPr>
          <w:ilvl w:val="2"/>
          <w:numId w:val="7"/>
        </w:numPr>
        <w:tabs>
          <w:tab w:val="clear" w:pos="2160"/>
        </w:tabs>
        <w:ind w:left="1080" w:right="-3141"/>
        <w:textAlignment w:val="center"/>
        <w:rPr>
          <w:rFonts w:eastAsia="Times New Roman" w:cstheme="minorHAnsi"/>
          <w:sz w:val="22"/>
          <w:lang w:val="hu-HU"/>
        </w:rPr>
      </w:pPr>
      <w:r w:rsidRPr="004B61C4">
        <w:rPr>
          <w:rFonts w:eastAsia="Times New Roman" w:cstheme="minorHAnsi"/>
          <w:sz w:val="22"/>
          <w:lang w:val="hu-HU"/>
        </w:rPr>
        <w:t>Külön</w:t>
      </w:r>
      <w:r w:rsidR="004D07A3" w:rsidRPr="004B61C4">
        <w:rPr>
          <w:rFonts w:eastAsia="Times New Roman" w:cstheme="minorHAnsi"/>
          <w:sz w:val="22"/>
          <w:lang w:val="hu-HU"/>
        </w:rPr>
        <w:t xml:space="preserve"> szekció</w:t>
      </w:r>
      <w:r w:rsidRPr="004B61C4">
        <w:rPr>
          <w:rFonts w:eastAsia="Times New Roman" w:cstheme="minorHAnsi"/>
          <w:sz w:val="22"/>
          <w:lang w:val="hu-HU"/>
        </w:rPr>
        <w:t>t</w:t>
      </w:r>
      <w:r w:rsidR="004D07A3" w:rsidRPr="004B61C4">
        <w:rPr>
          <w:rFonts w:eastAsia="Times New Roman" w:cstheme="minorHAnsi"/>
          <w:sz w:val="22"/>
          <w:lang w:val="hu-HU"/>
        </w:rPr>
        <w:t xml:space="preserve"> </w:t>
      </w:r>
      <w:r w:rsidRPr="004B61C4">
        <w:rPr>
          <w:rFonts w:eastAsia="Times New Roman" w:cstheme="minorHAnsi"/>
          <w:sz w:val="22"/>
          <w:lang w:val="hu-HU"/>
        </w:rPr>
        <w:t>alkotnak</w:t>
      </w:r>
      <w:r w:rsidR="004D07A3" w:rsidRPr="004B61C4">
        <w:rPr>
          <w:rFonts w:eastAsia="Times New Roman" w:cstheme="minorHAnsi"/>
          <w:sz w:val="22"/>
          <w:lang w:val="hu-HU"/>
        </w:rPr>
        <w:t xml:space="preserve"> a származékos ügyletek</w:t>
      </w:r>
      <w:r w:rsidR="002D7F91" w:rsidRPr="004B61C4">
        <w:rPr>
          <w:rFonts w:eastAsia="Times New Roman" w:cstheme="minorHAnsi"/>
          <w:sz w:val="22"/>
          <w:lang w:val="hu-HU"/>
        </w:rPr>
        <w:t>hez</w:t>
      </w:r>
      <w:r w:rsidR="004D07A3" w:rsidRPr="004B61C4">
        <w:rPr>
          <w:rFonts w:eastAsia="Times New Roman" w:cstheme="minorHAnsi"/>
          <w:sz w:val="22"/>
          <w:lang w:val="hu-HU"/>
        </w:rPr>
        <w:t xml:space="preserve"> és a mérlegen kívüli tételek</w:t>
      </w:r>
      <w:r w:rsidR="002D7F91" w:rsidRPr="004B61C4">
        <w:rPr>
          <w:rFonts w:eastAsia="Times New Roman" w:cstheme="minorHAnsi"/>
          <w:sz w:val="22"/>
          <w:lang w:val="hu-HU"/>
        </w:rPr>
        <w:t>hez kapcsolódó adatmezők</w:t>
      </w:r>
      <w:r w:rsidR="004D07A3" w:rsidRPr="004B61C4">
        <w:rPr>
          <w:rFonts w:eastAsia="Times New Roman" w:cstheme="minorHAnsi"/>
          <w:sz w:val="22"/>
          <w:lang w:val="hu-HU"/>
        </w:rPr>
        <w:t>.</w:t>
      </w:r>
    </w:p>
    <w:p w14:paraId="3CF1E639" w14:textId="77777777" w:rsidR="007616E1" w:rsidRPr="004B61C4" w:rsidRDefault="007616E1" w:rsidP="00270638">
      <w:pPr>
        <w:numPr>
          <w:ilvl w:val="3"/>
          <w:numId w:val="7"/>
        </w:numPr>
        <w:tabs>
          <w:tab w:val="clear" w:pos="2880"/>
        </w:tabs>
        <w:ind w:left="1710" w:right="-3141"/>
        <w:textAlignment w:val="center"/>
        <w:rPr>
          <w:rFonts w:eastAsia="Times New Roman" w:cstheme="minorHAnsi"/>
          <w:sz w:val="22"/>
          <w:lang w:val="hu-HU"/>
        </w:rPr>
      </w:pPr>
      <w:r w:rsidRPr="00F87621">
        <w:rPr>
          <w:rFonts w:eastAsia="Times New Roman" w:cstheme="minorHAnsi"/>
          <w:sz w:val="22"/>
          <w:lang w:val="hu-HU"/>
        </w:rPr>
        <w:t xml:space="preserve">A </w:t>
      </w:r>
      <w:proofErr w:type="spellStart"/>
      <w:r w:rsidRPr="004B61C4">
        <w:rPr>
          <w:rFonts w:eastAsia="Times New Roman" w:cstheme="minorHAnsi"/>
          <w:sz w:val="22"/>
          <w:lang w:val="hu-HU"/>
        </w:rPr>
        <w:t>derivatívákról</w:t>
      </w:r>
      <w:proofErr w:type="spellEnd"/>
      <w:r w:rsidRPr="004B61C4">
        <w:rPr>
          <w:rFonts w:eastAsia="Times New Roman" w:cstheme="minorHAnsi"/>
          <w:sz w:val="22"/>
          <w:lang w:val="hu-HU"/>
        </w:rPr>
        <w:t xml:space="preserve"> szóló </w:t>
      </w:r>
      <w:r w:rsidR="004E3FF9" w:rsidRPr="004B61C4">
        <w:rPr>
          <w:rFonts w:eastAsia="Times New Roman" w:cstheme="minorHAnsi"/>
          <w:sz w:val="22"/>
          <w:lang w:val="hu-HU"/>
        </w:rPr>
        <w:t>adattáblában</w:t>
      </w:r>
      <w:r w:rsidRPr="004B61C4">
        <w:rPr>
          <w:rFonts w:eastAsia="Times New Roman" w:cstheme="minorHAnsi"/>
          <w:sz w:val="22"/>
          <w:lang w:val="hu-HU"/>
        </w:rPr>
        <w:t xml:space="preserve"> olyan szerződések</w:t>
      </w:r>
      <w:r w:rsidR="00CF65BC" w:rsidRPr="004B61C4">
        <w:rPr>
          <w:rFonts w:eastAsia="Times New Roman" w:cstheme="minorHAnsi"/>
          <w:sz w:val="22"/>
          <w:lang w:val="hu-HU"/>
        </w:rPr>
        <w:t>re vonatkoz</w:t>
      </w:r>
      <w:r w:rsidR="004E3FF9" w:rsidRPr="004B61C4">
        <w:rPr>
          <w:rFonts w:eastAsia="Times New Roman" w:cstheme="minorHAnsi"/>
          <w:sz w:val="22"/>
          <w:lang w:val="hu-HU"/>
        </w:rPr>
        <w:t>ó információkat szükséges megadni</w:t>
      </w:r>
      <w:r w:rsidRPr="004B61C4">
        <w:rPr>
          <w:rFonts w:eastAsia="Times New Roman" w:cstheme="minorHAnsi"/>
          <w:sz w:val="22"/>
          <w:lang w:val="hu-HU"/>
        </w:rPr>
        <w:t>, am</w:t>
      </w:r>
      <w:r w:rsidR="00CF65BC" w:rsidRPr="004B61C4">
        <w:rPr>
          <w:rFonts w:eastAsia="Times New Roman" w:cstheme="minorHAnsi"/>
          <w:sz w:val="22"/>
          <w:lang w:val="hu-HU"/>
        </w:rPr>
        <w:t>elyek</w:t>
      </w:r>
      <w:r w:rsidRPr="004B61C4">
        <w:rPr>
          <w:rFonts w:eastAsia="Times New Roman" w:cstheme="minorHAnsi"/>
          <w:sz w:val="22"/>
          <w:lang w:val="hu-HU"/>
        </w:rPr>
        <w:t xml:space="preserve"> pénzügyi eszköznek, pénzügyi kötelezettségnek vagy mérlegen kívüli tételnek tekinthető</w:t>
      </w:r>
      <w:r w:rsidR="004E3FF9" w:rsidRPr="004B61C4">
        <w:rPr>
          <w:rFonts w:eastAsia="Times New Roman" w:cstheme="minorHAnsi"/>
          <w:sz w:val="22"/>
          <w:lang w:val="hu-HU"/>
        </w:rPr>
        <w:t>k</w:t>
      </w:r>
      <w:r w:rsidRPr="004B61C4">
        <w:rPr>
          <w:rFonts w:eastAsia="Times New Roman" w:cstheme="minorHAnsi"/>
          <w:sz w:val="22"/>
          <w:lang w:val="hu-HU"/>
        </w:rPr>
        <w:t>.</w:t>
      </w:r>
    </w:p>
    <w:p w14:paraId="2719EA15" w14:textId="77777777" w:rsidR="00EA6941" w:rsidRPr="004B61C4" w:rsidDel="00EA6941" w:rsidRDefault="00EA6941" w:rsidP="00270638">
      <w:pPr>
        <w:numPr>
          <w:ilvl w:val="3"/>
          <w:numId w:val="7"/>
        </w:numPr>
        <w:tabs>
          <w:tab w:val="clear" w:pos="2880"/>
        </w:tabs>
        <w:ind w:left="1710" w:right="-3141"/>
        <w:textAlignment w:val="center"/>
        <w:rPr>
          <w:rFonts w:eastAsia="Times New Roman" w:cstheme="minorHAnsi"/>
          <w:sz w:val="22"/>
          <w:lang w:val="hu-HU"/>
        </w:rPr>
      </w:pPr>
      <w:r w:rsidRPr="004B61C4">
        <w:rPr>
          <w:rFonts w:eastAsia="Times New Roman" w:cstheme="minorHAnsi"/>
          <w:sz w:val="22"/>
          <w:lang w:val="hu-HU"/>
        </w:rPr>
        <w:t>A mérlegen kívüli tételek között találhatók nyújtott és kapott hitel kötelezettségvállalások (visszavonható / nem visszavonható), nyújtott pénzügyi kezességek, bírósági eljárásokhoz kapcsolódó információk, am</w:t>
      </w:r>
      <w:r w:rsidR="00231059" w:rsidRPr="004B61C4">
        <w:rPr>
          <w:rFonts w:eastAsia="Times New Roman" w:cstheme="minorHAnsi"/>
          <w:sz w:val="22"/>
          <w:lang w:val="hu-HU"/>
        </w:rPr>
        <w:t>elyek</w:t>
      </w:r>
      <w:r w:rsidRPr="004B61C4">
        <w:rPr>
          <w:rFonts w:eastAsia="Times New Roman" w:cstheme="minorHAnsi"/>
          <w:sz w:val="22"/>
          <w:lang w:val="hu-HU"/>
        </w:rPr>
        <w:t xml:space="preserve"> nem </w:t>
      </w:r>
      <w:r w:rsidR="00231059" w:rsidRPr="004B61C4">
        <w:rPr>
          <w:rFonts w:eastAsia="Times New Roman" w:cstheme="minorHAnsi"/>
          <w:sz w:val="22"/>
          <w:lang w:val="hu-HU"/>
        </w:rPr>
        <w:t>kerültek kimutatásra</w:t>
      </w:r>
      <w:r w:rsidRPr="004B61C4">
        <w:rPr>
          <w:rFonts w:eastAsia="Times New Roman" w:cstheme="minorHAnsi"/>
          <w:sz w:val="22"/>
          <w:lang w:val="hu-HU"/>
        </w:rPr>
        <w:t xml:space="preserve"> a céltartalékok között, nyújtott és kapott egyéb kötelezettségek, és egyéb mérlegen kívüli tételek</w:t>
      </w:r>
      <w:r w:rsidR="00231059" w:rsidRPr="004B61C4">
        <w:rPr>
          <w:rFonts w:eastAsia="Times New Roman" w:cstheme="minorHAnsi"/>
          <w:sz w:val="22"/>
          <w:lang w:val="hu-HU"/>
        </w:rPr>
        <w:t>.</w:t>
      </w:r>
    </w:p>
    <w:p w14:paraId="2835E526" w14:textId="77777777" w:rsidR="00FF6855" w:rsidRPr="00F87621" w:rsidRDefault="004D07A3" w:rsidP="00270638">
      <w:pPr>
        <w:numPr>
          <w:ilvl w:val="2"/>
          <w:numId w:val="7"/>
        </w:numPr>
        <w:tabs>
          <w:tab w:val="clear" w:pos="2160"/>
        </w:tabs>
        <w:ind w:left="1080" w:right="-3141"/>
        <w:textAlignment w:val="center"/>
        <w:rPr>
          <w:rFonts w:eastAsia="Times New Roman" w:cstheme="minorHAnsi"/>
          <w:sz w:val="22"/>
          <w:lang w:val="hu-HU"/>
        </w:rPr>
      </w:pPr>
      <w:r w:rsidRPr="004B61C4">
        <w:rPr>
          <w:rFonts w:eastAsia="Times New Roman" w:cstheme="minorHAnsi"/>
          <w:sz w:val="22"/>
          <w:lang w:val="hu-HU"/>
        </w:rPr>
        <w:t xml:space="preserve">Ezenfelül az </w:t>
      </w:r>
      <w:r w:rsidR="00FB4C0E" w:rsidRPr="004B61C4">
        <w:rPr>
          <w:rFonts w:eastAsia="Times New Roman" w:cstheme="minorHAnsi"/>
          <w:sz w:val="22"/>
          <w:lang w:val="hu-HU"/>
        </w:rPr>
        <w:t>adatszótár</w:t>
      </w:r>
      <w:r w:rsidR="00B067E7" w:rsidRPr="004B61C4">
        <w:rPr>
          <w:rFonts w:eastAsia="Times New Roman" w:cstheme="minorHAnsi"/>
          <w:sz w:val="22"/>
          <w:lang w:val="hu-HU"/>
        </w:rPr>
        <w:t xml:space="preserve"> külön szekcióban</w:t>
      </w:r>
      <w:r w:rsidRPr="004B61C4">
        <w:rPr>
          <w:rFonts w:eastAsia="Times New Roman" w:cstheme="minorHAnsi"/>
          <w:sz w:val="22"/>
          <w:lang w:val="hu-HU"/>
        </w:rPr>
        <w:t xml:space="preserve"> tartalmazza az egyéb, értékelési szempontból releváns információkat</w:t>
      </w:r>
      <w:r w:rsidR="003E62CF" w:rsidRPr="004B61C4">
        <w:rPr>
          <w:rFonts w:eastAsia="Times New Roman" w:cstheme="minorHAnsi"/>
          <w:sz w:val="22"/>
          <w:lang w:val="hu-HU"/>
        </w:rPr>
        <w:t xml:space="preserve"> (“Egyéb adatok”)</w:t>
      </w:r>
      <w:r w:rsidRPr="004B61C4">
        <w:rPr>
          <w:rFonts w:eastAsia="Times New Roman" w:cstheme="minorHAnsi"/>
          <w:sz w:val="22"/>
          <w:lang w:val="hu-HU"/>
        </w:rPr>
        <w:t>, beleértve a</w:t>
      </w:r>
      <w:r w:rsidR="00E36F38">
        <w:rPr>
          <w:rFonts w:eastAsia="Times New Roman" w:cstheme="minorHAnsi"/>
          <w:sz w:val="22"/>
          <w:lang w:val="hu-HU"/>
        </w:rPr>
        <w:t>z</w:t>
      </w:r>
      <w:r w:rsidRPr="004B61C4">
        <w:rPr>
          <w:rFonts w:eastAsia="Times New Roman" w:cstheme="minorHAnsi"/>
          <w:sz w:val="22"/>
          <w:lang w:val="hu-HU"/>
        </w:rPr>
        <w:t xml:space="preserve"> átvilágításhoz szükséges</w:t>
      </w:r>
      <w:r w:rsidR="00B067E7" w:rsidRPr="004B61C4">
        <w:rPr>
          <w:rFonts w:eastAsia="Times New Roman" w:cstheme="minorHAnsi"/>
          <w:sz w:val="22"/>
          <w:lang w:val="hu-HU"/>
        </w:rPr>
        <w:t xml:space="preserve"> adatokat és információkat</w:t>
      </w:r>
      <w:r w:rsidRPr="004B61C4">
        <w:rPr>
          <w:rFonts w:eastAsia="Times New Roman" w:cstheme="minorHAnsi"/>
          <w:sz w:val="22"/>
          <w:lang w:val="hu-HU"/>
        </w:rPr>
        <w:t xml:space="preserve">, a visszavett </w:t>
      </w:r>
      <w:r w:rsidR="00407AB5" w:rsidRPr="004B61C4">
        <w:rPr>
          <w:rFonts w:eastAsia="Times New Roman" w:cstheme="minorHAnsi"/>
          <w:sz w:val="22"/>
          <w:lang w:val="hu-HU"/>
        </w:rPr>
        <w:t>ingatlanokhoz és ingóságokhoz</w:t>
      </w:r>
      <w:r w:rsidRPr="004B61C4">
        <w:rPr>
          <w:rFonts w:eastAsia="Times New Roman" w:cstheme="minorHAnsi"/>
          <w:sz w:val="22"/>
          <w:lang w:val="hu-HU"/>
        </w:rPr>
        <w:t xml:space="preserve"> kapcsolódó </w:t>
      </w:r>
      <w:r w:rsidR="00B067E7" w:rsidRPr="004B61C4">
        <w:rPr>
          <w:rFonts w:eastAsia="Times New Roman" w:cstheme="minorHAnsi"/>
          <w:sz w:val="22"/>
          <w:lang w:val="hu-HU"/>
        </w:rPr>
        <w:t>adatmezőket</w:t>
      </w:r>
      <w:r w:rsidR="00FA34E6" w:rsidRPr="004B61C4">
        <w:rPr>
          <w:rFonts w:eastAsia="Times New Roman" w:cstheme="minorHAnsi"/>
          <w:sz w:val="22"/>
          <w:lang w:val="hu-HU"/>
        </w:rPr>
        <w:t>, a végrehajtási eljárás</w:t>
      </w:r>
      <w:r w:rsidR="00B565EB">
        <w:rPr>
          <w:rFonts w:eastAsia="Times New Roman" w:cstheme="minorHAnsi"/>
          <w:sz w:val="22"/>
          <w:lang w:val="hu-HU"/>
        </w:rPr>
        <w:t>okkal</w:t>
      </w:r>
      <w:r w:rsidR="00227D91">
        <w:rPr>
          <w:rFonts w:eastAsia="Times New Roman" w:cstheme="minorHAnsi"/>
          <w:sz w:val="22"/>
          <w:lang w:val="hu-HU"/>
        </w:rPr>
        <w:t xml:space="preserve"> kapcsolatos</w:t>
      </w:r>
      <w:r w:rsidR="00CF0D00">
        <w:rPr>
          <w:rFonts w:eastAsia="Times New Roman" w:cstheme="minorHAnsi"/>
          <w:sz w:val="22"/>
          <w:lang w:val="hu-HU"/>
        </w:rPr>
        <w:t xml:space="preserve">, </w:t>
      </w:r>
      <w:r w:rsidR="00227D91">
        <w:rPr>
          <w:rFonts w:eastAsia="Times New Roman" w:cstheme="minorHAnsi"/>
          <w:sz w:val="22"/>
          <w:lang w:val="hu-HU"/>
        </w:rPr>
        <w:t xml:space="preserve">harmadik felekkel kötött szerződésekre vonatkozó, valamint a peres eljárásokhoz </w:t>
      </w:r>
      <w:r w:rsidR="00FA34E6" w:rsidRPr="004B61C4">
        <w:rPr>
          <w:rFonts w:eastAsia="Times New Roman" w:cstheme="minorHAnsi"/>
          <w:sz w:val="22"/>
          <w:lang w:val="hu-HU"/>
        </w:rPr>
        <w:t>kapcsol</w:t>
      </w:r>
      <w:r w:rsidR="00227D91">
        <w:rPr>
          <w:rFonts w:eastAsia="Times New Roman" w:cstheme="minorHAnsi"/>
          <w:sz w:val="22"/>
          <w:lang w:val="hu-HU"/>
        </w:rPr>
        <w:t xml:space="preserve">ódó </w:t>
      </w:r>
      <w:r w:rsidR="00FA34E6" w:rsidRPr="004B61C4">
        <w:rPr>
          <w:rFonts w:eastAsia="Times New Roman" w:cstheme="minorHAnsi"/>
          <w:sz w:val="22"/>
          <w:lang w:val="hu-HU"/>
        </w:rPr>
        <w:t>információkat</w:t>
      </w:r>
      <w:r w:rsidRPr="004B61C4">
        <w:rPr>
          <w:rFonts w:eastAsia="Times New Roman" w:cstheme="minorHAnsi"/>
          <w:sz w:val="22"/>
          <w:lang w:val="hu-HU"/>
        </w:rPr>
        <w:t>.</w:t>
      </w:r>
      <w:r w:rsidR="00414E14" w:rsidRPr="004B61C4">
        <w:rPr>
          <w:rFonts w:eastAsia="Times New Roman" w:cstheme="minorHAnsi"/>
          <w:sz w:val="22"/>
          <w:lang w:val="hu-HU"/>
        </w:rPr>
        <w:t xml:space="preserve"> </w:t>
      </w:r>
      <w:r w:rsidR="00137DD2" w:rsidRPr="004B61C4">
        <w:rPr>
          <w:rFonts w:eastAsia="Times New Roman" w:cstheme="minorHAnsi"/>
          <w:sz w:val="22"/>
          <w:lang w:val="hu-HU"/>
        </w:rPr>
        <w:t>Az adatszótár „</w:t>
      </w:r>
      <w:r w:rsidR="00E36F38">
        <w:rPr>
          <w:rFonts w:eastAsia="Times New Roman" w:cstheme="minorHAnsi"/>
          <w:sz w:val="22"/>
          <w:lang w:val="hu-HU"/>
        </w:rPr>
        <w:t>(</w:t>
      </w:r>
      <w:r w:rsidR="003E62CF" w:rsidRPr="004B61C4">
        <w:rPr>
          <w:rFonts w:eastAsia="Times New Roman" w:cstheme="minorHAnsi"/>
          <w:sz w:val="22"/>
          <w:lang w:val="hu-HU"/>
        </w:rPr>
        <w:t>Pénzügyi</w:t>
      </w:r>
      <w:r w:rsidR="00E36F38">
        <w:rPr>
          <w:rFonts w:eastAsia="Times New Roman" w:cstheme="minorHAnsi"/>
          <w:sz w:val="22"/>
          <w:lang w:val="hu-HU"/>
        </w:rPr>
        <w:t>)</w:t>
      </w:r>
      <w:r w:rsidR="003E62CF" w:rsidRPr="004B61C4">
        <w:rPr>
          <w:rFonts w:eastAsia="Times New Roman" w:cstheme="minorHAnsi"/>
          <w:sz w:val="22"/>
          <w:lang w:val="hu-HU"/>
        </w:rPr>
        <w:t xml:space="preserve"> átvilágítás</w:t>
      </w:r>
      <w:r w:rsidR="00137DD2" w:rsidRPr="004B61C4">
        <w:rPr>
          <w:rFonts w:eastAsia="Times New Roman" w:cstheme="minorHAnsi"/>
          <w:sz w:val="22"/>
          <w:lang w:val="hu-HU"/>
        </w:rPr>
        <w:t>” szekciója olyan általános adat és információ elvárást határoz meg, amely a pénzügyi intézmény pénzügyi átvilágításához kapcsolódik és az értékelés elvégzését támogatja. Itt szerepelnek többek között a vállalkozás jogi struktúrájára, működésére, irányítására, jogi működésére, hitel portfoliójára, betéti portf</w:t>
      </w:r>
      <w:r w:rsidR="00602DB5" w:rsidRPr="004B61C4">
        <w:rPr>
          <w:rFonts w:eastAsia="Times New Roman" w:cstheme="minorHAnsi"/>
          <w:sz w:val="22"/>
          <w:lang w:val="hu-HU"/>
        </w:rPr>
        <w:t>o</w:t>
      </w:r>
      <w:r w:rsidR="00137DD2" w:rsidRPr="004B61C4">
        <w:rPr>
          <w:rFonts w:eastAsia="Times New Roman" w:cstheme="minorHAnsi"/>
          <w:sz w:val="22"/>
          <w:lang w:val="hu-HU"/>
        </w:rPr>
        <w:t>liójára, egyéb termékeire, emberi erőforrások irányítására, informatikai rendszer</w:t>
      </w:r>
      <w:r w:rsidR="0075624F" w:rsidRPr="004B61C4">
        <w:rPr>
          <w:rFonts w:eastAsia="Times New Roman" w:cstheme="minorHAnsi"/>
          <w:sz w:val="22"/>
          <w:lang w:val="hu-HU"/>
        </w:rPr>
        <w:t>re vonatkozó</w:t>
      </w:r>
      <w:r w:rsidR="00137DD2" w:rsidRPr="004B61C4">
        <w:rPr>
          <w:rFonts w:eastAsia="Times New Roman" w:cstheme="minorHAnsi"/>
          <w:sz w:val="22"/>
          <w:lang w:val="hu-HU"/>
        </w:rPr>
        <w:t xml:space="preserve"> információ</w:t>
      </w:r>
      <w:r w:rsidR="0075624F" w:rsidRPr="004B61C4">
        <w:rPr>
          <w:rFonts w:eastAsia="Times New Roman" w:cstheme="minorHAnsi"/>
          <w:sz w:val="22"/>
          <w:lang w:val="hu-HU"/>
        </w:rPr>
        <w:t>k</w:t>
      </w:r>
      <w:r w:rsidR="00137DD2" w:rsidRPr="004B61C4">
        <w:rPr>
          <w:rFonts w:eastAsia="Times New Roman" w:cstheme="minorHAnsi"/>
          <w:sz w:val="22"/>
          <w:lang w:val="hu-HU"/>
        </w:rPr>
        <w:t>, könyvelési és audit szabályzatokra, pénzügyi információkra, üzleti tervre, a vállalat kockázat</w:t>
      </w:r>
      <w:r w:rsidR="0075624F" w:rsidRPr="004B61C4">
        <w:rPr>
          <w:rFonts w:eastAsia="Times New Roman" w:cstheme="minorHAnsi"/>
          <w:sz w:val="22"/>
          <w:lang w:val="hu-HU"/>
        </w:rPr>
        <w:t>i profiljára</w:t>
      </w:r>
      <w:r w:rsidR="00137DD2" w:rsidRPr="004B61C4">
        <w:rPr>
          <w:rFonts w:eastAsia="Times New Roman" w:cstheme="minorHAnsi"/>
          <w:sz w:val="22"/>
          <w:lang w:val="hu-HU"/>
        </w:rPr>
        <w:t>,</w:t>
      </w:r>
      <w:r w:rsidR="0075624F" w:rsidRPr="004B61C4">
        <w:rPr>
          <w:rFonts w:eastAsia="Times New Roman" w:cstheme="minorHAnsi"/>
          <w:sz w:val="22"/>
          <w:lang w:val="hu-HU"/>
        </w:rPr>
        <w:t xml:space="preserve"> </w:t>
      </w:r>
      <w:r w:rsidR="00137DD2" w:rsidRPr="004B61C4">
        <w:rPr>
          <w:rFonts w:eastAsia="Times New Roman" w:cstheme="minorHAnsi"/>
          <w:sz w:val="22"/>
          <w:lang w:val="hu-HU"/>
        </w:rPr>
        <w:t xml:space="preserve">finanszírozására, </w:t>
      </w:r>
      <w:r w:rsidR="00137DD2" w:rsidRPr="004B61C4">
        <w:rPr>
          <w:rFonts w:eastAsia="Times New Roman" w:cstheme="minorHAnsi"/>
          <w:sz w:val="22"/>
          <w:lang w:val="hu-HU"/>
        </w:rPr>
        <w:lastRenderedPageBreak/>
        <w:t>likviditására, tőkéjére, szabályozási és megfelelési szabályzatra, adózására vonatkozó adatok és információk</w:t>
      </w:r>
      <w:r w:rsidR="00137DD2" w:rsidRPr="00F87621">
        <w:rPr>
          <w:rFonts w:eastAsia="Times New Roman" w:cstheme="minorHAnsi"/>
          <w:sz w:val="22"/>
          <w:lang w:val="hu-HU"/>
        </w:rPr>
        <w:t>.</w:t>
      </w:r>
    </w:p>
    <w:p w14:paraId="36A49B27" w14:textId="77777777" w:rsidR="00175DBF" w:rsidRPr="004B61C4" w:rsidRDefault="007B1CD5" w:rsidP="00270638">
      <w:pPr>
        <w:ind w:left="360" w:right="-3141"/>
        <w:textAlignment w:val="center"/>
        <w:rPr>
          <w:rFonts w:eastAsia="Times New Roman" w:cstheme="minorHAnsi"/>
          <w:sz w:val="22"/>
          <w:lang w:val="hu-HU"/>
        </w:rPr>
      </w:pPr>
      <w:r w:rsidRPr="00F87621">
        <w:rPr>
          <w:rFonts w:eastAsia="Times New Roman" w:cstheme="minorHAnsi"/>
          <w:sz w:val="22"/>
          <w:lang w:val="hu-HU"/>
        </w:rPr>
        <w:t>A</w:t>
      </w:r>
      <w:r w:rsidR="003202A3" w:rsidRPr="00F87621">
        <w:rPr>
          <w:rFonts w:eastAsia="Times New Roman" w:cstheme="minorHAnsi"/>
          <w:sz w:val="22"/>
          <w:lang w:val="hu-HU"/>
        </w:rPr>
        <w:t>z</w:t>
      </w:r>
      <w:r w:rsidRPr="00F87621">
        <w:rPr>
          <w:rFonts w:eastAsia="Times New Roman" w:cstheme="minorHAnsi"/>
          <w:sz w:val="22"/>
          <w:lang w:val="hu-HU"/>
        </w:rPr>
        <w:t xml:space="preserve"> </w:t>
      </w:r>
      <w:r w:rsidRPr="004B61C4">
        <w:rPr>
          <w:rFonts w:eastAsia="Times New Roman" w:cstheme="minorHAnsi"/>
          <w:sz w:val="22"/>
          <w:lang w:val="hu-HU"/>
        </w:rPr>
        <w:t xml:space="preserve">átvilágításhoz kapcsolódó </w:t>
      </w:r>
      <w:r w:rsidR="00122C8C" w:rsidRPr="004B61C4">
        <w:rPr>
          <w:rFonts w:eastAsia="Times New Roman" w:cstheme="minorHAnsi"/>
          <w:sz w:val="22"/>
          <w:lang w:val="hu-HU"/>
        </w:rPr>
        <w:t xml:space="preserve">és az értékelés mélységét támogató adatok és információk kivételével </w:t>
      </w:r>
      <w:r w:rsidR="00980869" w:rsidRPr="004B61C4">
        <w:rPr>
          <w:rFonts w:eastAsia="Times New Roman" w:cstheme="minorHAnsi"/>
          <w:sz w:val="22"/>
          <w:lang w:val="hu-HU"/>
        </w:rPr>
        <w:t xml:space="preserve">az adatmezők általában véve egyedi </w:t>
      </w:r>
      <w:r w:rsidR="005365AB" w:rsidRPr="004B61C4">
        <w:rPr>
          <w:rFonts w:eastAsia="Times New Roman" w:cstheme="minorHAnsi"/>
          <w:sz w:val="22"/>
          <w:lang w:val="hu-HU"/>
        </w:rPr>
        <w:t>tranzakciókat, ügyleteket és eszközöket jelölnek.</w:t>
      </w:r>
    </w:p>
    <w:p w14:paraId="63E0F16C" w14:textId="77777777" w:rsidR="00531A25" w:rsidRDefault="00633E50" w:rsidP="00C27723">
      <w:pPr>
        <w:spacing w:after="0"/>
        <w:ind w:left="360" w:right="-3135"/>
        <w:textAlignment w:val="center"/>
        <w:rPr>
          <w:rFonts w:eastAsia="Times New Roman" w:cstheme="minorHAnsi"/>
          <w:b/>
          <w:bCs/>
          <w:sz w:val="22"/>
          <w:lang w:val="hu-HU"/>
        </w:rPr>
      </w:pPr>
      <w:r>
        <w:rPr>
          <w:rFonts w:eastAsia="Times New Roman" w:cstheme="minorHAnsi"/>
          <w:b/>
          <w:bCs/>
          <w:sz w:val="22"/>
          <w:lang w:val="hu-HU"/>
        </w:rPr>
        <w:t xml:space="preserve">2.sz. ábra: </w:t>
      </w:r>
      <w:r w:rsidR="00B07BC3" w:rsidRPr="00D51885">
        <w:rPr>
          <w:rFonts w:eastAsia="Times New Roman" w:cstheme="minorHAnsi"/>
          <w:b/>
          <w:bCs/>
          <w:sz w:val="22"/>
          <w:lang w:val="hu-HU"/>
        </w:rPr>
        <w:t>A</w:t>
      </w:r>
      <w:r w:rsidR="001F7B29" w:rsidRPr="00D51885">
        <w:rPr>
          <w:rFonts w:eastAsia="Times New Roman" w:cstheme="minorHAnsi"/>
          <w:b/>
          <w:bCs/>
          <w:sz w:val="22"/>
          <w:lang w:val="hu-HU"/>
        </w:rPr>
        <w:t>z</w:t>
      </w:r>
      <w:r w:rsidR="00B07BC3" w:rsidRPr="00D51885">
        <w:rPr>
          <w:rFonts w:eastAsia="Times New Roman" w:cstheme="minorHAnsi"/>
          <w:b/>
          <w:bCs/>
          <w:sz w:val="22"/>
          <w:lang w:val="hu-HU"/>
        </w:rPr>
        <w:t xml:space="preserve"> </w:t>
      </w:r>
      <w:r w:rsidR="001F7B29" w:rsidRPr="00D51885">
        <w:rPr>
          <w:rFonts w:eastAsia="Times New Roman" w:cstheme="minorHAnsi"/>
          <w:b/>
          <w:bCs/>
          <w:sz w:val="22"/>
          <w:lang w:val="hu-HU"/>
        </w:rPr>
        <w:t>egyes adattáblák</w:t>
      </w:r>
      <w:r w:rsidR="00B07BC3" w:rsidRPr="00D51885">
        <w:rPr>
          <w:rFonts w:eastAsia="Times New Roman" w:cstheme="minorHAnsi"/>
          <w:b/>
          <w:bCs/>
          <w:sz w:val="22"/>
          <w:lang w:val="hu-HU"/>
        </w:rPr>
        <w:t xml:space="preserve"> közötti kapcsolatok magas szintű bemutatása</w:t>
      </w:r>
    </w:p>
    <w:p w14:paraId="479A964C" w14:textId="77777777" w:rsidR="00D56BF1" w:rsidRPr="00D51885" w:rsidRDefault="00D56BF1" w:rsidP="00270638">
      <w:pPr>
        <w:spacing w:after="0"/>
        <w:ind w:left="360" w:right="-3135"/>
        <w:jc w:val="center"/>
        <w:textAlignment w:val="center"/>
        <w:rPr>
          <w:rFonts w:eastAsia="Times New Roman" w:cstheme="minorHAnsi"/>
          <w:b/>
          <w:bCs/>
          <w:sz w:val="22"/>
          <w:lang w:val="hu-HU"/>
        </w:rPr>
      </w:pPr>
      <w:r w:rsidRPr="00D56BF1">
        <w:rPr>
          <w:rFonts w:eastAsia="Times New Roman" w:cstheme="minorHAnsi"/>
          <w:b/>
          <w:bCs/>
          <w:noProof/>
          <w:sz w:val="22"/>
        </w:rPr>
        <w:drawing>
          <wp:inline distT="0" distB="0" distL="0" distR="0" wp14:anchorId="1FB608AC" wp14:editId="25776E66">
            <wp:extent cx="4991100" cy="394462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4991100" cy="3944620"/>
                    </a:xfrm>
                    <a:prstGeom prst="rect">
                      <a:avLst/>
                    </a:prstGeom>
                  </pic:spPr>
                </pic:pic>
              </a:graphicData>
            </a:graphic>
          </wp:inline>
        </w:drawing>
      </w:r>
    </w:p>
    <w:p w14:paraId="1084C830" w14:textId="77777777" w:rsidR="00D51885" w:rsidRDefault="00D51885" w:rsidP="00A030EA">
      <w:pPr>
        <w:spacing w:after="0"/>
        <w:ind w:right="-3135"/>
        <w:textAlignment w:val="center"/>
        <w:rPr>
          <w:rFonts w:eastAsia="Times New Roman" w:cstheme="minorHAnsi"/>
          <w:sz w:val="22"/>
          <w:lang w:val="hu-HU"/>
        </w:rPr>
      </w:pPr>
    </w:p>
    <w:p w14:paraId="5100A677" w14:textId="77777777" w:rsidR="00531A25" w:rsidRPr="00C53603" w:rsidRDefault="006067A4" w:rsidP="00270638">
      <w:pPr>
        <w:pStyle w:val="Heading2"/>
        <w:ind w:left="360" w:hanging="360"/>
      </w:pPr>
      <w:bookmarkStart w:id="13" w:name="_Toc153188943"/>
      <w:r w:rsidRPr="00C53603">
        <w:t xml:space="preserve">Az egyes </w:t>
      </w:r>
      <w:r w:rsidR="00E20FA6" w:rsidRPr="00C53603">
        <w:t>adattáblák</w:t>
      </w:r>
      <w:r w:rsidR="00D241B9" w:rsidRPr="00C53603">
        <w:t xml:space="preserve"> közötti kapcsolatot egyedi azonosítók biztosítják</w:t>
      </w:r>
      <w:bookmarkEnd w:id="13"/>
    </w:p>
    <w:p w14:paraId="20FEF295" w14:textId="77777777" w:rsidR="001F6E87" w:rsidRPr="00A707A2" w:rsidRDefault="0065556F" w:rsidP="00270638">
      <w:pPr>
        <w:numPr>
          <w:ilvl w:val="2"/>
          <w:numId w:val="16"/>
        </w:numPr>
        <w:ind w:right="-3135"/>
        <w:textAlignment w:val="center"/>
        <w:rPr>
          <w:rFonts w:eastAsia="Times New Roman" w:cstheme="minorHAnsi"/>
          <w:sz w:val="22"/>
          <w:lang w:val="hu-HU"/>
        </w:rPr>
      </w:pPr>
      <w:r>
        <w:rPr>
          <w:rFonts w:eastAsia="Times New Roman" w:cstheme="minorHAnsi"/>
          <w:sz w:val="22"/>
          <w:lang w:val="hu-HU"/>
        </w:rPr>
        <w:t>Szerződő fél</w:t>
      </w:r>
      <w:r w:rsidRPr="00A707A2">
        <w:rPr>
          <w:rFonts w:eastAsia="Times New Roman" w:cstheme="minorHAnsi"/>
          <w:sz w:val="22"/>
          <w:lang w:val="hu-HU"/>
        </w:rPr>
        <w:t xml:space="preserve"> </w:t>
      </w:r>
      <w:r w:rsidR="001F6E87" w:rsidRPr="00A707A2">
        <w:rPr>
          <w:rFonts w:eastAsia="Times New Roman" w:cstheme="minorHAnsi"/>
          <w:sz w:val="22"/>
          <w:lang w:val="hu-HU"/>
        </w:rPr>
        <w:t xml:space="preserve">azonosítója: </w:t>
      </w:r>
      <w:r w:rsidR="00A70017" w:rsidRPr="00065F8C">
        <w:rPr>
          <w:rFonts w:eastAsia="Times New Roman" w:cstheme="minorHAnsi"/>
          <w:sz w:val="22"/>
          <w:lang w:val="hu-HU"/>
        </w:rPr>
        <w:t xml:space="preserve">az intézmény </w:t>
      </w:r>
      <w:r w:rsidR="001559FC" w:rsidRPr="00065F8C">
        <w:rPr>
          <w:rFonts w:eastAsia="Times New Roman" w:cstheme="minorHAnsi"/>
          <w:sz w:val="22"/>
          <w:lang w:val="hu-HU"/>
        </w:rPr>
        <w:t xml:space="preserve">egyedi belső azonosítója a </w:t>
      </w:r>
      <w:r w:rsidR="0037225B" w:rsidRPr="00065F8C">
        <w:rPr>
          <w:rFonts w:eastAsia="Times New Roman" w:cstheme="minorHAnsi"/>
          <w:sz w:val="22"/>
          <w:lang w:val="hu-HU"/>
        </w:rPr>
        <w:t>bank ügyfelei, szerződő felei vonatkozásában, mely</w:t>
      </w:r>
      <w:r w:rsidR="001F6E87" w:rsidRPr="00A707A2">
        <w:rPr>
          <w:rFonts w:eastAsia="Times New Roman" w:cstheme="minorHAnsi"/>
          <w:sz w:val="22"/>
          <w:lang w:val="hu-HU"/>
        </w:rPr>
        <w:t xml:space="preserve"> a</w:t>
      </w:r>
      <w:r w:rsidR="00497C42" w:rsidRPr="00065F8C">
        <w:rPr>
          <w:rFonts w:eastAsia="Times New Roman" w:cstheme="minorHAnsi"/>
          <w:sz w:val="22"/>
          <w:lang w:val="hu-HU"/>
        </w:rPr>
        <w:t>z</w:t>
      </w:r>
      <w:r w:rsidR="001F6E87" w:rsidRPr="00A707A2">
        <w:rPr>
          <w:rFonts w:eastAsia="Times New Roman" w:cstheme="minorHAnsi"/>
          <w:sz w:val="22"/>
          <w:lang w:val="hu-HU"/>
        </w:rPr>
        <w:t xml:space="preserve"> </w:t>
      </w:r>
      <w:r w:rsidR="00497C42" w:rsidRPr="00065F8C">
        <w:rPr>
          <w:rFonts w:eastAsia="Times New Roman" w:cstheme="minorHAnsi"/>
          <w:sz w:val="22"/>
          <w:lang w:val="hu-HU"/>
        </w:rPr>
        <w:t xml:space="preserve">adóson kívül jelenti – többek között – a </w:t>
      </w:r>
      <w:r w:rsidR="001F6E87" w:rsidRPr="00A707A2">
        <w:rPr>
          <w:rFonts w:eastAsia="Times New Roman" w:cstheme="minorHAnsi"/>
          <w:sz w:val="22"/>
          <w:lang w:val="hu-HU"/>
        </w:rPr>
        <w:t>betétese</w:t>
      </w:r>
      <w:r w:rsidR="00497C42" w:rsidRPr="00065F8C">
        <w:rPr>
          <w:rFonts w:eastAsia="Times New Roman" w:cstheme="minorHAnsi"/>
          <w:sz w:val="22"/>
          <w:lang w:val="hu-HU"/>
        </w:rPr>
        <w:t>ket</w:t>
      </w:r>
      <w:r w:rsidR="001F6E87" w:rsidRPr="00A707A2">
        <w:rPr>
          <w:rFonts w:eastAsia="Times New Roman" w:cstheme="minorHAnsi"/>
          <w:sz w:val="22"/>
          <w:lang w:val="hu-HU"/>
        </w:rPr>
        <w:t xml:space="preserve">, </w:t>
      </w:r>
      <w:r w:rsidR="00587B02" w:rsidRPr="00065F8C">
        <w:rPr>
          <w:rFonts w:eastAsia="Times New Roman" w:cstheme="minorHAnsi"/>
          <w:sz w:val="22"/>
          <w:lang w:val="hu-HU"/>
        </w:rPr>
        <w:t xml:space="preserve">a </w:t>
      </w:r>
      <w:r w:rsidR="001F6E87" w:rsidRPr="00A707A2">
        <w:rPr>
          <w:rFonts w:eastAsia="Times New Roman" w:cstheme="minorHAnsi"/>
          <w:sz w:val="22"/>
          <w:lang w:val="hu-HU"/>
        </w:rPr>
        <w:t>fedezetnyújtó</w:t>
      </w:r>
      <w:r w:rsidR="007D700F" w:rsidRPr="00065F8C">
        <w:rPr>
          <w:rFonts w:eastAsia="Times New Roman" w:cstheme="minorHAnsi"/>
          <w:sz w:val="22"/>
          <w:lang w:val="hu-HU"/>
        </w:rPr>
        <w:t>t</w:t>
      </w:r>
      <w:r w:rsidR="001F6E87" w:rsidRPr="00A707A2">
        <w:rPr>
          <w:rFonts w:eastAsia="Times New Roman" w:cstheme="minorHAnsi"/>
          <w:sz w:val="22"/>
          <w:lang w:val="hu-HU"/>
        </w:rPr>
        <w:t xml:space="preserve">, </w:t>
      </w:r>
      <w:r w:rsidR="00587B02" w:rsidRPr="00065F8C">
        <w:rPr>
          <w:rFonts w:eastAsia="Times New Roman" w:cstheme="minorHAnsi"/>
          <w:sz w:val="22"/>
          <w:lang w:val="hu-HU"/>
        </w:rPr>
        <w:t xml:space="preserve">a </w:t>
      </w:r>
      <w:r w:rsidR="001F6E87" w:rsidRPr="00A707A2">
        <w:rPr>
          <w:rFonts w:eastAsia="Times New Roman" w:cstheme="minorHAnsi"/>
          <w:sz w:val="22"/>
          <w:lang w:val="hu-HU"/>
        </w:rPr>
        <w:t>kezes</w:t>
      </w:r>
      <w:r w:rsidR="007D700F" w:rsidRPr="00065F8C">
        <w:rPr>
          <w:rFonts w:eastAsia="Times New Roman" w:cstheme="minorHAnsi"/>
          <w:sz w:val="22"/>
          <w:lang w:val="hu-HU"/>
        </w:rPr>
        <w:t>t</w:t>
      </w:r>
      <w:r w:rsidR="001F6E87" w:rsidRPr="00A707A2">
        <w:rPr>
          <w:rFonts w:eastAsia="Times New Roman" w:cstheme="minorHAnsi"/>
          <w:sz w:val="22"/>
          <w:lang w:val="hu-HU"/>
        </w:rPr>
        <w:t xml:space="preserve">, </w:t>
      </w:r>
      <w:r w:rsidR="00587B02" w:rsidRPr="00065F8C">
        <w:rPr>
          <w:rFonts w:eastAsia="Times New Roman" w:cstheme="minorHAnsi"/>
          <w:sz w:val="22"/>
          <w:lang w:val="hu-HU"/>
        </w:rPr>
        <w:t>a</w:t>
      </w:r>
      <w:r w:rsidR="007D700F" w:rsidRPr="00065F8C">
        <w:rPr>
          <w:rFonts w:eastAsia="Times New Roman" w:cstheme="minorHAnsi"/>
          <w:sz w:val="22"/>
          <w:lang w:val="hu-HU"/>
        </w:rPr>
        <w:t>z</w:t>
      </w:r>
      <w:r w:rsidR="00587B02" w:rsidRPr="00065F8C">
        <w:rPr>
          <w:rFonts w:eastAsia="Times New Roman" w:cstheme="minorHAnsi"/>
          <w:sz w:val="22"/>
          <w:lang w:val="hu-HU"/>
        </w:rPr>
        <w:t xml:space="preserve"> </w:t>
      </w:r>
      <w:r w:rsidR="007D700F" w:rsidRPr="00065F8C">
        <w:rPr>
          <w:rFonts w:eastAsia="Times New Roman" w:cstheme="minorHAnsi"/>
          <w:sz w:val="22"/>
          <w:lang w:val="hu-HU"/>
        </w:rPr>
        <w:t>adóstársat</w:t>
      </w:r>
      <w:r w:rsidR="001F6E87" w:rsidRPr="00A707A2">
        <w:rPr>
          <w:rFonts w:eastAsia="Times New Roman" w:cstheme="minorHAnsi"/>
          <w:sz w:val="22"/>
          <w:lang w:val="hu-HU"/>
        </w:rPr>
        <w:t>,</w:t>
      </w:r>
      <w:r w:rsidR="007D700F" w:rsidRPr="00065F8C">
        <w:rPr>
          <w:rFonts w:eastAsia="Times New Roman" w:cstheme="minorHAnsi"/>
          <w:sz w:val="22"/>
          <w:lang w:val="hu-HU"/>
        </w:rPr>
        <w:t xml:space="preserve"> a garancianyújtót,</w:t>
      </w:r>
      <w:r w:rsidR="001F6E87" w:rsidRPr="00A707A2">
        <w:rPr>
          <w:rFonts w:eastAsia="Times New Roman" w:cstheme="minorHAnsi"/>
          <w:sz w:val="22"/>
          <w:lang w:val="hu-HU"/>
        </w:rPr>
        <w:t xml:space="preserve"> valamint az egyéb követelések és kötelezettségek mögött álló jogi vagy természetes személy</w:t>
      </w:r>
      <w:r w:rsidR="007D700F" w:rsidRPr="00065F8C">
        <w:rPr>
          <w:rFonts w:eastAsia="Times New Roman" w:cstheme="minorHAnsi"/>
          <w:sz w:val="22"/>
          <w:lang w:val="hu-HU"/>
        </w:rPr>
        <w:t>eket</w:t>
      </w:r>
      <w:r w:rsidR="001F6E87" w:rsidRPr="00A707A2">
        <w:rPr>
          <w:rFonts w:eastAsia="Times New Roman" w:cstheme="minorHAnsi"/>
          <w:sz w:val="22"/>
          <w:lang w:val="hu-HU"/>
        </w:rPr>
        <w:t>.</w:t>
      </w:r>
    </w:p>
    <w:p w14:paraId="6FACFF50" w14:textId="77777777" w:rsidR="001F6E87" w:rsidRPr="00A707A2" w:rsidRDefault="002B7AA4" w:rsidP="00270638">
      <w:pPr>
        <w:numPr>
          <w:ilvl w:val="2"/>
          <w:numId w:val="16"/>
        </w:numPr>
        <w:ind w:right="-3135"/>
        <w:textAlignment w:val="center"/>
        <w:rPr>
          <w:rFonts w:eastAsia="Times New Roman" w:cstheme="minorHAnsi"/>
          <w:sz w:val="22"/>
          <w:lang w:val="hu-HU"/>
        </w:rPr>
      </w:pPr>
      <w:r>
        <w:rPr>
          <w:rFonts w:eastAsia="Times New Roman" w:cstheme="minorHAnsi"/>
          <w:sz w:val="22"/>
          <w:lang w:val="hu-HU"/>
        </w:rPr>
        <w:t>Ügyfél</w:t>
      </w:r>
      <w:r w:rsidR="001F6E87" w:rsidRPr="00A707A2">
        <w:rPr>
          <w:rFonts w:eastAsia="Times New Roman" w:cstheme="minorHAnsi"/>
          <w:sz w:val="22"/>
          <w:lang w:val="hu-HU"/>
        </w:rPr>
        <w:t>csoport</w:t>
      </w:r>
      <w:r w:rsidR="00CC0E09">
        <w:rPr>
          <w:rFonts w:eastAsia="Times New Roman" w:cstheme="minorHAnsi"/>
          <w:sz w:val="22"/>
          <w:lang w:val="hu-HU"/>
        </w:rPr>
        <w:t xml:space="preserve"> (adóscsoport)</w:t>
      </w:r>
      <w:r w:rsidR="001F6E87" w:rsidRPr="00A707A2">
        <w:rPr>
          <w:rFonts w:eastAsia="Times New Roman" w:cstheme="minorHAnsi"/>
          <w:sz w:val="22"/>
          <w:lang w:val="hu-HU"/>
        </w:rPr>
        <w:t xml:space="preserve"> azonosítója: a</w:t>
      </w:r>
      <w:r w:rsidR="00E127BA">
        <w:rPr>
          <w:rFonts w:eastAsia="Times New Roman" w:cstheme="minorHAnsi"/>
          <w:sz w:val="22"/>
          <w:lang w:val="hu-HU"/>
        </w:rPr>
        <w:t>z</w:t>
      </w:r>
      <w:r w:rsidR="001F6E87" w:rsidRPr="00A707A2">
        <w:rPr>
          <w:rFonts w:eastAsia="Times New Roman" w:cstheme="minorHAnsi"/>
          <w:sz w:val="22"/>
          <w:lang w:val="hu-HU"/>
        </w:rPr>
        <w:t xml:space="preserve"> </w:t>
      </w:r>
      <w:r w:rsidR="00E127BA">
        <w:rPr>
          <w:rFonts w:eastAsia="Times New Roman" w:cstheme="minorHAnsi"/>
          <w:sz w:val="22"/>
          <w:lang w:val="hu-HU"/>
        </w:rPr>
        <w:t>intézmény</w:t>
      </w:r>
      <w:r w:rsidR="001F6E87" w:rsidRPr="00A707A2">
        <w:rPr>
          <w:rFonts w:eastAsia="Times New Roman" w:cstheme="minorHAnsi"/>
          <w:sz w:val="22"/>
          <w:lang w:val="hu-HU"/>
        </w:rPr>
        <w:t xml:space="preserve"> </w:t>
      </w:r>
      <w:r w:rsidR="00E127BA">
        <w:rPr>
          <w:rFonts w:eastAsia="Times New Roman" w:cstheme="minorHAnsi"/>
          <w:sz w:val="22"/>
          <w:lang w:val="hu-HU"/>
        </w:rPr>
        <w:t xml:space="preserve">egyedi </w:t>
      </w:r>
      <w:r w:rsidR="001F6E87" w:rsidRPr="00A707A2">
        <w:rPr>
          <w:rFonts w:eastAsia="Times New Roman" w:cstheme="minorHAnsi"/>
          <w:sz w:val="22"/>
          <w:lang w:val="hu-HU"/>
        </w:rPr>
        <w:t>belső azonosítója a partnercsoportok beazonosításához.</w:t>
      </w:r>
      <w:r w:rsidR="00587B02" w:rsidRPr="00065F8C">
        <w:rPr>
          <w:rFonts w:eastAsia="Times New Roman" w:cstheme="minorHAnsi"/>
          <w:sz w:val="22"/>
          <w:lang w:val="hu-HU"/>
        </w:rPr>
        <w:t xml:space="preserve"> </w:t>
      </w:r>
      <w:r w:rsidR="005A63B7">
        <w:rPr>
          <w:rFonts w:eastAsia="Times New Roman" w:cstheme="minorHAnsi"/>
          <w:sz w:val="22"/>
          <w:lang w:val="hu-HU"/>
        </w:rPr>
        <w:t>A partnerek</w:t>
      </w:r>
      <w:r w:rsidR="001F6E87" w:rsidRPr="00A707A2">
        <w:rPr>
          <w:rFonts w:eastAsia="Times New Roman" w:cstheme="minorHAnsi"/>
          <w:sz w:val="22"/>
          <w:lang w:val="hu-HU"/>
        </w:rPr>
        <w:t xml:space="preserve"> csoport</w:t>
      </w:r>
      <w:r w:rsidR="005A63B7">
        <w:rPr>
          <w:rFonts w:eastAsia="Times New Roman" w:cstheme="minorHAnsi"/>
          <w:sz w:val="22"/>
          <w:lang w:val="hu-HU"/>
        </w:rPr>
        <w:t>ja</w:t>
      </w:r>
      <w:r w:rsidR="001F6E87" w:rsidRPr="00A707A2">
        <w:rPr>
          <w:rFonts w:eastAsia="Times New Roman" w:cstheme="minorHAnsi"/>
          <w:sz w:val="22"/>
          <w:lang w:val="hu-HU"/>
        </w:rPr>
        <w:t xml:space="preserve"> az egymással kapcsolatban álló felek csoportját jelent</w:t>
      </w:r>
      <w:r w:rsidR="00BF2E00" w:rsidRPr="00065F8C">
        <w:rPr>
          <w:rFonts w:eastAsia="Times New Roman" w:cstheme="minorHAnsi"/>
          <w:sz w:val="22"/>
          <w:lang w:val="hu-HU"/>
        </w:rPr>
        <w:t>i</w:t>
      </w:r>
      <w:r w:rsidR="001F6E87" w:rsidRPr="00A707A2">
        <w:rPr>
          <w:rFonts w:eastAsia="Times New Roman" w:cstheme="minorHAnsi"/>
          <w:sz w:val="22"/>
          <w:lang w:val="hu-HU"/>
        </w:rPr>
        <w:t>, ame</w:t>
      </w:r>
      <w:r w:rsidR="004F7AAC">
        <w:rPr>
          <w:rFonts w:eastAsia="Times New Roman" w:cstheme="minorHAnsi"/>
          <w:sz w:val="22"/>
          <w:lang w:val="hu-HU"/>
        </w:rPr>
        <w:t>nnyiben</w:t>
      </w:r>
      <w:r w:rsidR="001F6E87" w:rsidRPr="00A707A2">
        <w:rPr>
          <w:rFonts w:eastAsia="Times New Roman" w:cstheme="minorHAnsi"/>
          <w:sz w:val="22"/>
          <w:lang w:val="hu-HU"/>
        </w:rPr>
        <w:t xml:space="preserve"> (i) mindegyik </w:t>
      </w:r>
      <w:r w:rsidR="0025002D">
        <w:rPr>
          <w:rFonts w:eastAsia="Times New Roman" w:cstheme="minorHAnsi"/>
          <w:sz w:val="22"/>
          <w:lang w:val="hu-HU"/>
        </w:rPr>
        <w:t>ügy</w:t>
      </w:r>
      <w:r w:rsidR="001F6E87" w:rsidRPr="00A707A2">
        <w:rPr>
          <w:rFonts w:eastAsia="Times New Roman" w:cstheme="minorHAnsi"/>
          <w:sz w:val="22"/>
          <w:lang w:val="hu-HU"/>
        </w:rPr>
        <w:t xml:space="preserve">félnek kitettsége </w:t>
      </w:r>
      <w:r w:rsidR="00F42B64" w:rsidRPr="00065F8C">
        <w:rPr>
          <w:rFonts w:eastAsia="Times New Roman" w:cstheme="minorHAnsi"/>
          <w:sz w:val="22"/>
          <w:lang w:val="hu-HU"/>
        </w:rPr>
        <w:t xml:space="preserve">van </w:t>
      </w:r>
      <w:r w:rsidR="001F6E87" w:rsidRPr="00A707A2">
        <w:rPr>
          <w:rFonts w:eastAsia="Times New Roman" w:cstheme="minorHAnsi"/>
          <w:sz w:val="22"/>
          <w:lang w:val="hu-HU"/>
        </w:rPr>
        <w:t>a</w:t>
      </w:r>
      <w:r w:rsidR="0025002D">
        <w:rPr>
          <w:rFonts w:eastAsia="Times New Roman" w:cstheme="minorHAnsi"/>
          <w:sz w:val="22"/>
          <w:lang w:val="hu-HU"/>
        </w:rPr>
        <w:t>z</w:t>
      </w:r>
      <w:r w:rsidR="001F6E87" w:rsidRPr="00A707A2">
        <w:rPr>
          <w:rFonts w:eastAsia="Times New Roman" w:cstheme="minorHAnsi"/>
          <w:sz w:val="22"/>
          <w:lang w:val="hu-HU"/>
        </w:rPr>
        <w:t xml:space="preserve"> intézménnyel szemben; (ii) a</w:t>
      </w:r>
      <w:r w:rsidR="005F15FE">
        <w:rPr>
          <w:rFonts w:eastAsia="Times New Roman" w:cstheme="minorHAnsi"/>
          <w:sz w:val="22"/>
          <w:lang w:val="hu-HU"/>
        </w:rPr>
        <w:t>z</w:t>
      </w:r>
      <w:r w:rsidR="001F6E87" w:rsidRPr="00A707A2">
        <w:rPr>
          <w:rFonts w:eastAsia="Times New Roman" w:cstheme="minorHAnsi"/>
          <w:sz w:val="22"/>
          <w:lang w:val="hu-HU"/>
        </w:rPr>
        <w:t xml:space="preserve"> </w:t>
      </w:r>
      <w:r w:rsidR="00D4307C">
        <w:rPr>
          <w:rFonts w:eastAsia="Times New Roman" w:cstheme="minorHAnsi"/>
          <w:sz w:val="22"/>
          <w:lang w:val="hu-HU"/>
        </w:rPr>
        <w:t>ügy</w:t>
      </w:r>
      <w:r w:rsidR="001F6E87" w:rsidRPr="00A707A2">
        <w:rPr>
          <w:rFonts w:eastAsia="Times New Roman" w:cstheme="minorHAnsi"/>
          <w:sz w:val="22"/>
          <w:lang w:val="hu-HU"/>
        </w:rPr>
        <w:t>felek egyedi hitelminős</w:t>
      </w:r>
      <w:r w:rsidR="003F3E53">
        <w:rPr>
          <w:rFonts w:eastAsia="Times New Roman" w:cstheme="minorHAnsi"/>
          <w:sz w:val="22"/>
          <w:lang w:val="hu-HU"/>
        </w:rPr>
        <w:t>ítése</w:t>
      </w:r>
      <w:r w:rsidR="001F6E87" w:rsidRPr="00A707A2">
        <w:rPr>
          <w:rFonts w:eastAsia="Times New Roman" w:cstheme="minorHAnsi"/>
          <w:sz w:val="22"/>
          <w:lang w:val="hu-HU"/>
        </w:rPr>
        <w:t xml:space="preserve"> hatással van a</w:t>
      </w:r>
      <w:r w:rsidR="00D4307C">
        <w:rPr>
          <w:rFonts w:eastAsia="Times New Roman" w:cstheme="minorHAnsi"/>
          <w:sz w:val="22"/>
          <w:lang w:val="hu-HU"/>
        </w:rPr>
        <w:t>z</w:t>
      </w:r>
      <w:r w:rsidR="001F6E87" w:rsidRPr="00A707A2">
        <w:rPr>
          <w:rFonts w:eastAsia="Times New Roman" w:cstheme="minorHAnsi"/>
          <w:sz w:val="22"/>
          <w:lang w:val="hu-HU"/>
        </w:rPr>
        <w:t xml:space="preserve"> </w:t>
      </w:r>
      <w:r w:rsidR="00D4307C">
        <w:rPr>
          <w:rFonts w:eastAsia="Times New Roman" w:cstheme="minorHAnsi"/>
          <w:sz w:val="22"/>
          <w:lang w:val="hu-HU"/>
        </w:rPr>
        <w:t>ügy</w:t>
      </w:r>
      <w:r w:rsidR="001F6E87" w:rsidRPr="00A707A2">
        <w:rPr>
          <w:rFonts w:eastAsia="Times New Roman" w:cstheme="minorHAnsi"/>
          <w:sz w:val="22"/>
          <w:lang w:val="hu-HU"/>
        </w:rPr>
        <w:t>felek csoportjába tartozó bármely más fél hitelminős</w:t>
      </w:r>
      <w:r w:rsidR="003F3E53">
        <w:rPr>
          <w:rFonts w:eastAsia="Times New Roman" w:cstheme="minorHAnsi"/>
          <w:sz w:val="22"/>
          <w:lang w:val="hu-HU"/>
        </w:rPr>
        <w:t>ítésére</w:t>
      </w:r>
      <w:r w:rsidR="001F6E87" w:rsidRPr="00A707A2">
        <w:rPr>
          <w:rFonts w:eastAsia="Times New Roman" w:cstheme="minorHAnsi"/>
          <w:sz w:val="22"/>
          <w:lang w:val="hu-HU"/>
        </w:rPr>
        <w:t>; és (iii) a szerződő felek gazdasági kapcsolatban állnak egymással.</w:t>
      </w:r>
    </w:p>
    <w:p w14:paraId="5ACBA150" w14:textId="77777777" w:rsidR="001F6E87" w:rsidRPr="00A707A2" w:rsidRDefault="001F6E87" w:rsidP="00270638">
      <w:pPr>
        <w:numPr>
          <w:ilvl w:val="2"/>
          <w:numId w:val="16"/>
        </w:numPr>
        <w:ind w:right="-3135"/>
        <w:textAlignment w:val="center"/>
        <w:rPr>
          <w:rFonts w:eastAsia="Times New Roman" w:cstheme="minorHAnsi"/>
          <w:sz w:val="22"/>
          <w:lang w:val="hu-HU"/>
        </w:rPr>
      </w:pPr>
      <w:r w:rsidRPr="00A707A2">
        <w:rPr>
          <w:rFonts w:eastAsia="Times New Roman" w:cstheme="minorHAnsi"/>
          <w:sz w:val="22"/>
          <w:lang w:val="hu-HU"/>
        </w:rPr>
        <w:lastRenderedPageBreak/>
        <w:t>Szerződés azonosító: a</w:t>
      </w:r>
      <w:r w:rsidR="00641A02">
        <w:rPr>
          <w:rFonts w:eastAsia="Times New Roman" w:cstheme="minorHAnsi"/>
          <w:sz w:val="22"/>
          <w:lang w:val="hu-HU"/>
        </w:rPr>
        <w:t>z</w:t>
      </w:r>
      <w:r w:rsidRPr="00A707A2">
        <w:rPr>
          <w:rFonts w:eastAsia="Times New Roman" w:cstheme="minorHAnsi"/>
          <w:sz w:val="22"/>
          <w:lang w:val="hu-HU"/>
        </w:rPr>
        <w:t xml:space="preserve"> </w:t>
      </w:r>
      <w:r w:rsidR="00641A02">
        <w:rPr>
          <w:rFonts w:eastAsia="Times New Roman" w:cstheme="minorHAnsi"/>
          <w:sz w:val="22"/>
          <w:lang w:val="hu-HU"/>
        </w:rPr>
        <w:t>intézmény</w:t>
      </w:r>
      <w:r w:rsidRPr="00A707A2">
        <w:rPr>
          <w:rFonts w:eastAsia="Times New Roman" w:cstheme="minorHAnsi"/>
          <w:sz w:val="22"/>
          <w:lang w:val="hu-HU"/>
        </w:rPr>
        <w:t xml:space="preserve"> belső azonosítója az egyes hitel szerződésekhez </w:t>
      </w:r>
      <w:r w:rsidR="00641A02">
        <w:rPr>
          <w:rFonts w:eastAsia="Times New Roman" w:cstheme="minorHAnsi"/>
          <w:sz w:val="22"/>
          <w:lang w:val="hu-HU"/>
        </w:rPr>
        <w:t>(</w:t>
      </w:r>
      <w:r w:rsidRPr="00A707A2">
        <w:rPr>
          <w:rFonts w:eastAsia="Times New Roman" w:cstheme="minorHAnsi"/>
          <w:sz w:val="22"/>
          <w:lang w:val="hu-HU"/>
        </w:rPr>
        <w:t>ahol</w:t>
      </w:r>
      <w:r w:rsidR="00641A02">
        <w:rPr>
          <w:rFonts w:eastAsia="Times New Roman" w:cstheme="minorHAnsi"/>
          <w:sz w:val="22"/>
          <w:lang w:val="hu-HU"/>
        </w:rPr>
        <w:t xml:space="preserve"> a</w:t>
      </w:r>
      <w:r w:rsidRPr="00A707A2">
        <w:rPr>
          <w:rFonts w:eastAsia="Times New Roman" w:cstheme="minorHAnsi"/>
          <w:sz w:val="22"/>
          <w:lang w:val="hu-HU"/>
        </w:rPr>
        <w:t xml:space="preserve"> hitel definícióját a 680/2014/EU bizottsági végrehajtási rendelet V. mellékletének 1. része határozza meg</w:t>
      </w:r>
      <w:r w:rsidR="00641A02">
        <w:rPr>
          <w:rFonts w:eastAsia="Times New Roman" w:cstheme="minorHAnsi"/>
          <w:sz w:val="22"/>
          <w:lang w:val="hu-HU"/>
        </w:rPr>
        <w:t>)</w:t>
      </w:r>
      <w:r w:rsidRPr="00A707A2">
        <w:rPr>
          <w:rFonts w:eastAsia="Times New Roman" w:cstheme="minorHAnsi"/>
          <w:sz w:val="22"/>
          <w:lang w:val="hu-HU"/>
        </w:rPr>
        <w:t>, valamint az egyéb eszközökhöz, pénzügyi instrumentumokhoz kapcsolódó szerződések</w:t>
      </w:r>
      <w:r w:rsidR="007B689E">
        <w:rPr>
          <w:rFonts w:eastAsia="Times New Roman" w:cstheme="minorHAnsi"/>
          <w:sz w:val="22"/>
          <w:lang w:val="hu-HU"/>
        </w:rPr>
        <w:t>re vonatkozóan</w:t>
      </w:r>
      <w:r w:rsidRPr="00A707A2">
        <w:rPr>
          <w:rFonts w:eastAsia="Times New Roman" w:cstheme="minorHAnsi"/>
          <w:sz w:val="22"/>
          <w:lang w:val="hu-HU"/>
        </w:rPr>
        <w:t>.</w:t>
      </w:r>
    </w:p>
    <w:p w14:paraId="50F860A3" w14:textId="77777777" w:rsidR="001F6E87" w:rsidRPr="00065F8C" w:rsidRDefault="001F6E87" w:rsidP="00270638">
      <w:pPr>
        <w:numPr>
          <w:ilvl w:val="2"/>
          <w:numId w:val="16"/>
        </w:numPr>
        <w:ind w:right="-3135"/>
        <w:textAlignment w:val="center"/>
        <w:rPr>
          <w:rFonts w:eastAsia="Times New Roman" w:cstheme="minorHAnsi"/>
          <w:sz w:val="22"/>
          <w:lang w:val="hu-HU"/>
        </w:rPr>
      </w:pPr>
      <w:r w:rsidRPr="00A707A2">
        <w:rPr>
          <w:rFonts w:eastAsia="Times New Roman" w:cstheme="minorHAnsi"/>
          <w:sz w:val="22"/>
          <w:lang w:val="hu-HU"/>
        </w:rPr>
        <w:t>Egyedi azonosító az egyes kötelezettségekhez, mérlegen kívüli tételekhez, valamint a kapott fedezetekhez</w:t>
      </w:r>
      <w:r w:rsidR="00384689">
        <w:rPr>
          <w:rFonts w:eastAsia="Times New Roman" w:cstheme="minorHAnsi"/>
          <w:sz w:val="22"/>
          <w:lang w:val="hu-HU"/>
        </w:rPr>
        <w:t xml:space="preserve"> kapcsolódóan</w:t>
      </w:r>
      <w:r w:rsidRPr="00A707A2">
        <w:rPr>
          <w:rFonts w:eastAsia="Times New Roman" w:cstheme="minorHAnsi"/>
          <w:sz w:val="22"/>
          <w:lang w:val="hu-HU"/>
        </w:rPr>
        <w:t>.</w:t>
      </w:r>
    </w:p>
    <w:p w14:paraId="63A0409A" w14:textId="77777777" w:rsidR="007C1B14" w:rsidRDefault="00394BD8" w:rsidP="00270638">
      <w:pPr>
        <w:ind w:left="360" w:right="-3135"/>
        <w:textAlignment w:val="center"/>
        <w:rPr>
          <w:rFonts w:eastAsia="Times New Roman" w:cstheme="minorHAnsi"/>
          <w:sz w:val="22"/>
          <w:lang w:val="hu-HU"/>
        </w:rPr>
      </w:pPr>
      <w:r>
        <w:rPr>
          <w:rFonts w:eastAsia="Times New Roman" w:cstheme="minorHAnsi"/>
          <w:sz w:val="22"/>
          <w:lang w:val="hu-HU"/>
        </w:rPr>
        <w:t xml:space="preserve">Az adattáblák közötti kapcsolatokat a </w:t>
      </w:r>
      <w:r w:rsidR="00CB6D91" w:rsidRPr="00F87621">
        <w:rPr>
          <w:rFonts w:eastAsia="Times New Roman" w:cstheme="minorHAnsi"/>
          <w:sz w:val="22"/>
          <w:lang w:val="hu-HU"/>
        </w:rPr>
        <w:t>2.</w:t>
      </w:r>
      <w:r w:rsidR="001E4959" w:rsidRPr="00F87621">
        <w:rPr>
          <w:rFonts w:eastAsia="Times New Roman" w:cstheme="minorHAnsi"/>
          <w:sz w:val="22"/>
          <w:lang w:val="hu-HU"/>
        </w:rPr>
        <w:t xml:space="preserve"> </w:t>
      </w:r>
      <w:r w:rsidR="00E44D12" w:rsidRPr="00F87621">
        <w:rPr>
          <w:rFonts w:eastAsia="Times New Roman" w:cstheme="minorHAnsi"/>
          <w:sz w:val="22"/>
          <w:lang w:val="hu-HU"/>
        </w:rPr>
        <w:t>sz</w:t>
      </w:r>
      <w:r w:rsidR="001E4959" w:rsidRPr="00F87621">
        <w:rPr>
          <w:rFonts w:eastAsia="Times New Roman" w:cstheme="minorHAnsi"/>
          <w:sz w:val="22"/>
          <w:lang w:val="hu-HU"/>
        </w:rPr>
        <w:t>ámú</w:t>
      </w:r>
      <w:r w:rsidR="00D26EB1" w:rsidRPr="00F87621">
        <w:rPr>
          <w:rFonts w:eastAsia="Times New Roman" w:cstheme="minorHAnsi"/>
          <w:sz w:val="22"/>
          <w:lang w:val="hu-HU"/>
        </w:rPr>
        <w:t xml:space="preserve"> </w:t>
      </w:r>
      <w:r w:rsidR="00D26EB1">
        <w:rPr>
          <w:rFonts w:eastAsia="Times New Roman" w:cstheme="minorHAnsi"/>
          <w:sz w:val="22"/>
          <w:lang w:val="hu-HU"/>
        </w:rPr>
        <w:t>ábra szemlélteti.</w:t>
      </w:r>
    </w:p>
    <w:p w14:paraId="15DB49A9" w14:textId="77777777" w:rsidR="00B07BC3" w:rsidRPr="007231A2" w:rsidRDefault="00B07BC3" w:rsidP="00270638">
      <w:pPr>
        <w:pStyle w:val="Heading2"/>
        <w:ind w:left="360" w:hanging="360"/>
      </w:pPr>
      <w:bookmarkStart w:id="14" w:name="_Toc153188944"/>
      <w:r w:rsidRPr="007231A2">
        <w:t>Az adatszótárban megtalálható oszlopok tartalmának magas szintű áttekintése</w:t>
      </w:r>
      <w:bookmarkEnd w:id="14"/>
      <w:r w:rsidR="00C1452D" w:rsidRPr="007231A2">
        <w:t xml:space="preserve"> </w:t>
      </w:r>
    </w:p>
    <w:p w14:paraId="18A59996" w14:textId="77777777" w:rsidR="0047104D" w:rsidRPr="007231A2" w:rsidRDefault="0047104D"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7231A2">
        <w:rPr>
          <w:rFonts w:eastAsia="Times New Roman" w:cstheme="minorHAnsi"/>
          <w:sz w:val="22"/>
          <w:lang w:val="hu-HU"/>
        </w:rPr>
        <w:t>Adatmező azonosító</w:t>
      </w:r>
      <w:r w:rsidR="0010599C" w:rsidRPr="007231A2">
        <w:rPr>
          <w:rFonts w:eastAsia="Times New Roman" w:cstheme="minorHAnsi"/>
          <w:sz w:val="22"/>
          <w:lang w:val="hu-HU"/>
        </w:rPr>
        <w:t>: az adatmező egyedi azonosítója</w:t>
      </w:r>
      <w:r w:rsidR="002A7A34">
        <w:rPr>
          <w:rFonts w:eastAsia="Times New Roman" w:cstheme="minorHAnsi"/>
          <w:sz w:val="22"/>
          <w:lang w:val="hu-HU"/>
        </w:rPr>
        <w:t xml:space="preserve"> </w:t>
      </w:r>
      <w:r w:rsidR="0013392E">
        <w:rPr>
          <w:rFonts w:eastAsia="Times New Roman" w:cstheme="minorHAnsi"/>
          <w:sz w:val="22"/>
          <w:lang w:val="hu-HU"/>
        </w:rPr>
        <w:t>az egyszerűbb hivatkozás érdekében</w:t>
      </w:r>
      <w:r w:rsidR="0035364A" w:rsidRPr="007231A2">
        <w:rPr>
          <w:rFonts w:eastAsia="Times New Roman" w:cstheme="minorHAnsi"/>
          <w:sz w:val="22"/>
          <w:lang w:val="hu-HU"/>
        </w:rPr>
        <w:t>.</w:t>
      </w:r>
    </w:p>
    <w:p w14:paraId="2401C405" w14:textId="77777777" w:rsidR="0047104D" w:rsidRPr="007231A2" w:rsidRDefault="0047104D"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7231A2">
        <w:rPr>
          <w:rFonts w:eastAsia="Times New Roman" w:cstheme="minorHAnsi"/>
          <w:sz w:val="22"/>
          <w:lang w:val="hu-HU"/>
        </w:rPr>
        <w:t>Kategória</w:t>
      </w:r>
      <w:r w:rsidR="000226EC" w:rsidRPr="00F87621">
        <w:rPr>
          <w:rFonts w:eastAsia="Times New Roman" w:cstheme="minorHAnsi"/>
          <w:sz w:val="22"/>
          <w:lang w:val="hu-HU"/>
        </w:rPr>
        <w:t xml:space="preserve">: </w:t>
      </w:r>
      <w:r w:rsidR="00491E9E" w:rsidRPr="004B61C4">
        <w:rPr>
          <w:rFonts w:eastAsia="Times New Roman" w:cstheme="minorHAnsi"/>
          <w:sz w:val="22"/>
          <w:lang w:val="hu-HU"/>
        </w:rPr>
        <w:t xml:space="preserve">az adott adatmező </w:t>
      </w:r>
      <w:r w:rsidR="003827B6" w:rsidRPr="004B61C4">
        <w:rPr>
          <w:rFonts w:eastAsia="Times New Roman" w:cstheme="minorHAnsi"/>
          <w:sz w:val="22"/>
          <w:lang w:val="hu-HU"/>
        </w:rPr>
        <w:t xml:space="preserve">magasabb hierarchia szintjét (pl. </w:t>
      </w:r>
      <w:r w:rsidR="002D3B7C" w:rsidRPr="004B61C4">
        <w:rPr>
          <w:rFonts w:eastAsia="Times New Roman" w:cstheme="minorHAnsi"/>
          <w:sz w:val="22"/>
          <w:lang w:val="hu-HU"/>
        </w:rPr>
        <w:t xml:space="preserve">modul, </w:t>
      </w:r>
      <w:r w:rsidR="003827B6" w:rsidRPr="004B61C4">
        <w:rPr>
          <w:rFonts w:eastAsia="Times New Roman" w:cstheme="minorHAnsi"/>
          <w:sz w:val="22"/>
          <w:lang w:val="hu-HU"/>
        </w:rPr>
        <w:t xml:space="preserve">eszközcsoport, </w:t>
      </w:r>
      <w:r w:rsidR="002D3B7C" w:rsidRPr="004B61C4">
        <w:rPr>
          <w:rFonts w:eastAsia="Times New Roman" w:cstheme="minorHAnsi"/>
          <w:sz w:val="22"/>
          <w:lang w:val="hu-HU"/>
        </w:rPr>
        <w:t xml:space="preserve">fedezet </w:t>
      </w:r>
      <w:proofErr w:type="gramStart"/>
      <w:r w:rsidR="002D3B7C" w:rsidRPr="004B61C4">
        <w:rPr>
          <w:rFonts w:eastAsia="Times New Roman" w:cstheme="minorHAnsi"/>
          <w:sz w:val="22"/>
          <w:lang w:val="hu-HU"/>
        </w:rPr>
        <w:t>típusa,</w:t>
      </w:r>
      <w:proofErr w:type="gramEnd"/>
      <w:r w:rsidR="002D3B7C" w:rsidRPr="004B61C4">
        <w:rPr>
          <w:rFonts w:eastAsia="Times New Roman" w:cstheme="minorHAnsi"/>
          <w:sz w:val="22"/>
          <w:lang w:val="hu-HU"/>
        </w:rPr>
        <w:t xml:space="preserve"> stb.) jelöli</w:t>
      </w:r>
      <w:r w:rsidR="002D3B7C" w:rsidRPr="00F87621">
        <w:rPr>
          <w:rFonts w:eastAsia="Times New Roman" w:cstheme="minorHAnsi"/>
          <w:sz w:val="22"/>
          <w:lang w:val="hu-HU"/>
        </w:rPr>
        <w:t>.</w:t>
      </w:r>
    </w:p>
    <w:p w14:paraId="72C9B3F4" w14:textId="77777777" w:rsidR="0047104D" w:rsidRPr="007231A2" w:rsidRDefault="0047104D"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7231A2">
        <w:rPr>
          <w:rFonts w:eastAsia="Times New Roman" w:cstheme="minorHAnsi"/>
          <w:sz w:val="22"/>
          <w:lang w:val="hu-HU"/>
        </w:rPr>
        <w:t>Adatmező neve</w:t>
      </w:r>
      <w:r w:rsidR="00DD4424">
        <w:rPr>
          <w:rFonts w:eastAsia="Times New Roman" w:cstheme="minorHAnsi"/>
          <w:sz w:val="22"/>
          <w:lang w:val="hu-HU"/>
        </w:rPr>
        <w:t>.</w:t>
      </w:r>
    </w:p>
    <w:p w14:paraId="3F098410" w14:textId="77777777" w:rsidR="0047104D" w:rsidRPr="007231A2" w:rsidRDefault="0047104D"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7231A2">
        <w:rPr>
          <w:rFonts w:eastAsia="Times New Roman" w:cstheme="minorHAnsi"/>
          <w:sz w:val="22"/>
          <w:lang w:val="hu-HU"/>
        </w:rPr>
        <w:t>Adatmező rövid leírása</w:t>
      </w:r>
      <w:r w:rsidR="0091652D" w:rsidRPr="007231A2">
        <w:rPr>
          <w:rFonts w:eastAsia="Times New Roman" w:cstheme="minorHAnsi"/>
          <w:sz w:val="22"/>
          <w:lang w:val="hu-HU"/>
        </w:rPr>
        <w:t xml:space="preserve">: </w:t>
      </w:r>
      <w:r w:rsidR="003E4946" w:rsidRPr="007231A2">
        <w:rPr>
          <w:rFonts w:eastAsia="Times New Roman" w:cstheme="minorHAnsi"/>
          <w:sz w:val="22"/>
          <w:lang w:val="hu-HU"/>
        </w:rPr>
        <w:t>az adatmező</w:t>
      </w:r>
      <w:r w:rsidR="0018392B" w:rsidRPr="007231A2">
        <w:rPr>
          <w:rFonts w:eastAsia="Times New Roman" w:cstheme="minorHAnsi"/>
          <w:sz w:val="22"/>
          <w:lang w:val="hu-HU"/>
        </w:rPr>
        <w:t xml:space="preserve"> jelentésének</w:t>
      </w:r>
      <w:r w:rsidR="003E4946" w:rsidRPr="007231A2">
        <w:rPr>
          <w:rFonts w:eastAsia="Times New Roman" w:cstheme="minorHAnsi"/>
          <w:sz w:val="22"/>
          <w:lang w:val="hu-HU"/>
        </w:rPr>
        <w:t xml:space="preserve"> egységes és közös </w:t>
      </w:r>
      <w:r w:rsidR="00395B7C" w:rsidRPr="007231A2">
        <w:rPr>
          <w:rFonts w:eastAsia="Times New Roman" w:cstheme="minorHAnsi"/>
          <w:sz w:val="22"/>
          <w:lang w:val="hu-HU"/>
        </w:rPr>
        <w:t>értelmezését szolgálja</w:t>
      </w:r>
      <w:r w:rsidR="0018392B" w:rsidRPr="007231A2">
        <w:rPr>
          <w:rFonts w:eastAsia="Times New Roman" w:cstheme="minorHAnsi"/>
          <w:sz w:val="22"/>
          <w:lang w:val="hu-HU"/>
        </w:rPr>
        <w:t xml:space="preserve"> a</w:t>
      </w:r>
      <w:r w:rsidR="00410F5B" w:rsidRPr="007231A2">
        <w:rPr>
          <w:rFonts w:eastAsia="Times New Roman" w:cstheme="minorHAnsi"/>
          <w:sz w:val="22"/>
          <w:lang w:val="hu-HU"/>
        </w:rPr>
        <w:t>z intézmények között.</w:t>
      </w:r>
      <w:r w:rsidR="00FC0097" w:rsidRPr="007231A2">
        <w:rPr>
          <w:rFonts w:eastAsia="Times New Roman" w:cstheme="minorHAnsi"/>
          <w:sz w:val="22"/>
          <w:lang w:val="hu-HU"/>
        </w:rPr>
        <w:t xml:space="preserve"> Az adatmező leírása </w:t>
      </w:r>
      <w:r w:rsidR="004103EA">
        <w:rPr>
          <w:rFonts w:eastAsia="Times New Roman" w:cstheme="minorHAnsi"/>
          <w:sz w:val="22"/>
          <w:lang w:val="hu-HU"/>
        </w:rPr>
        <w:t>többnyire</w:t>
      </w:r>
      <w:r w:rsidR="00FC0097" w:rsidRPr="007231A2">
        <w:rPr>
          <w:rFonts w:eastAsia="Times New Roman" w:cstheme="minorHAnsi"/>
          <w:sz w:val="22"/>
          <w:lang w:val="hu-HU"/>
        </w:rPr>
        <w:t xml:space="preserve"> </w:t>
      </w:r>
      <w:r w:rsidR="00936D41" w:rsidRPr="007231A2">
        <w:rPr>
          <w:rFonts w:eastAsia="Times New Roman" w:cstheme="minorHAnsi"/>
          <w:sz w:val="22"/>
          <w:lang w:val="hu-HU"/>
        </w:rPr>
        <w:t>részletes definíciókkal</w:t>
      </w:r>
      <w:r w:rsidR="004103EA">
        <w:rPr>
          <w:rFonts w:eastAsia="Times New Roman" w:cstheme="minorHAnsi"/>
          <w:sz w:val="22"/>
          <w:lang w:val="hu-HU"/>
        </w:rPr>
        <w:t xml:space="preserve"> szolgál</w:t>
      </w:r>
      <w:r w:rsidR="00936D41" w:rsidRPr="007231A2">
        <w:rPr>
          <w:rFonts w:eastAsia="Times New Roman" w:cstheme="minorHAnsi"/>
          <w:sz w:val="22"/>
          <w:lang w:val="hu-HU"/>
        </w:rPr>
        <w:t xml:space="preserve">, </w:t>
      </w:r>
      <w:r w:rsidR="00707511">
        <w:rPr>
          <w:rFonts w:eastAsia="Times New Roman" w:cstheme="minorHAnsi"/>
          <w:sz w:val="22"/>
          <w:lang w:val="hu-HU"/>
        </w:rPr>
        <w:t>bizonyos</w:t>
      </w:r>
      <w:r w:rsidR="00936D41" w:rsidRPr="007231A2">
        <w:rPr>
          <w:rFonts w:eastAsia="Times New Roman" w:cstheme="minorHAnsi"/>
          <w:sz w:val="22"/>
          <w:lang w:val="hu-HU"/>
        </w:rPr>
        <w:t xml:space="preserve"> adatmezők</w:t>
      </w:r>
      <w:r w:rsidR="00707511">
        <w:rPr>
          <w:rFonts w:eastAsia="Times New Roman" w:cstheme="minorHAnsi"/>
          <w:sz w:val="22"/>
          <w:lang w:val="hu-HU"/>
        </w:rPr>
        <w:t xml:space="preserve"> esetében azonban</w:t>
      </w:r>
      <w:r w:rsidR="00707511" w:rsidRPr="007231A2">
        <w:rPr>
          <w:rFonts w:eastAsia="Times New Roman" w:cstheme="minorHAnsi"/>
          <w:sz w:val="22"/>
          <w:lang w:val="hu-HU"/>
        </w:rPr>
        <w:t xml:space="preserve"> </w:t>
      </w:r>
      <w:r w:rsidR="00936D41" w:rsidRPr="007231A2">
        <w:rPr>
          <w:rFonts w:eastAsia="Times New Roman" w:cstheme="minorHAnsi"/>
          <w:sz w:val="22"/>
          <w:lang w:val="hu-HU"/>
        </w:rPr>
        <w:t>példákat mutat be</w:t>
      </w:r>
      <w:r w:rsidR="00677E5F" w:rsidRPr="007231A2">
        <w:rPr>
          <w:rFonts w:eastAsia="Times New Roman" w:cstheme="minorHAnsi"/>
          <w:sz w:val="22"/>
          <w:lang w:val="hu-HU"/>
        </w:rPr>
        <w:t>.</w:t>
      </w:r>
    </w:p>
    <w:p w14:paraId="6B1C2D5B" w14:textId="77777777" w:rsidR="0047104D" w:rsidRPr="007231A2" w:rsidRDefault="0047104D"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7231A2">
        <w:rPr>
          <w:rFonts w:eastAsia="Times New Roman" w:cstheme="minorHAnsi"/>
          <w:sz w:val="22"/>
          <w:lang w:val="hu-HU"/>
        </w:rPr>
        <w:t xml:space="preserve">Az adatmező típusa (pl. alfanumerikus, </w:t>
      </w:r>
      <w:r w:rsidR="00E0261D" w:rsidRPr="007231A2">
        <w:rPr>
          <w:rFonts w:eastAsia="Times New Roman" w:cstheme="minorHAnsi"/>
          <w:sz w:val="22"/>
          <w:lang w:val="hu-HU"/>
        </w:rPr>
        <w:t>legörd</w:t>
      </w:r>
      <w:r w:rsidR="00E0261D">
        <w:rPr>
          <w:rFonts w:eastAsia="Times New Roman" w:cstheme="minorHAnsi"/>
          <w:sz w:val="22"/>
          <w:lang w:val="hu-HU"/>
        </w:rPr>
        <w:t>ü</w:t>
      </w:r>
      <w:r w:rsidR="00E0261D" w:rsidRPr="007231A2">
        <w:rPr>
          <w:rFonts w:eastAsia="Times New Roman" w:cstheme="minorHAnsi"/>
          <w:sz w:val="22"/>
          <w:lang w:val="hu-HU"/>
        </w:rPr>
        <w:t xml:space="preserve">lő </w:t>
      </w:r>
      <w:r w:rsidR="00E71D94" w:rsidRPr="007231A2">
        <w:rPr>
          <w:rFonts w:eastAsia="Times New Roman" w:cstheme="minorHAnsi"/>
          <w:sz w:val="22"/>
          <w:lang w:val="hu-HU"/>
        </w:rPr>
        <w:t xml:space="preserve">lista, </w:t>
      </w:r>
      <w:proofErr w:type="gramStart"/>
      <w:r w:rsidR="00E71D94" w:rsidRPr="007231A2">
        <w:rPr>
          <w:rFonts w:eastAsia="Times New Roman" w:cstheme="minorHAnsi"/>
          <w:sz w:val="22"/>
          <w:lang w:val="hu-HU"/>
        </w:rPr>
        <w:t>dátum</w:t>
      </w:r>
      <w:r w:rsidRPr="007231A2">
        <w:rPr>
          <w:rFonts w:eastAsia="Times New Roman" w:cstheme="minorHAnsi"/>
          <w:sz w:val="22"/>
          <w:lang w:val="hu-HU"/>
        </w:rPr>
        <w:t>,</w:t>
      </w:r>
      <w:proofErr w:type="gramEnd"/>
      <w:r w:rsidRPr="007231A2">
        <w:rPr>
          <w:rFonts w:eastAsia="Times New Roman" w:cstheme="minorHAnsi"/>
          <w:sz w:val="22"/>
          <w:lang w:val="hu-HU"/>
        </w:rPr>
        <w:t xml:space="preserve"> stb.)</w:t>
      </w:r>
      <w:r w:rsidR="00306C2C" w:rsidRPr="007231A2">
        <w:rPr>
          <w:rFonts w:eastAsia="Times New Roman" w:cstheme="minorHAnsi"/>
          <w:sz w:val="22"/>
          <w:lang w:val="hu-HU"/>
        </w:rPr>
        <w:t xml:space="preserve">: </w:t>
      </w:r>
      <w:r w:rsidR="00274335" w:rsidRPr="007231A2">
        <w:rPr>
          <w:rFonts w:eastAsia="Times New Roman" w:cstheme="minorHAnsi"/>
          <w:sz w:val="22"/>
          <w:lang w:val="hu-HU"/>
        </w:rPr>
        <w:t>az érték típusát, a lehetséges értékkészletet jelölő oszlop</w:t>
      </w:r>
      <w:r w:rsidR="00B316F6" w:rsidRPr="007231A2">
        <w:rPr>
          <w:rFonts w:eastAsia="Times New Roman" w:cstheme="minorHAnsi"/>
          <w:sz w:val="22"/>
          <w:lang w:val="hu-HU"/>
        </w:rPr>
        <w:t>.</w:t>
      </w:r>
      <w:r w:rsidR="00B42646" w:rsidRPr="007231A2">
        <w:rPr>
          <w:rFonts w:eastAsia="Times New Roman" w:cstheme="minorHAnsi"/>
          <w:sz w:val="22"/>
          <w:lang w:val="hu-HU"/>
        </w:rPr>
        <w:t xml:space="preserve"> A kapcsolódó konvenciók</w:t>
      </w:r>
      <w:r w:rsidR="00F00CB3" w:rsidRPr="007231A2">
        <w:rPr>
          <w:rFonts w:eastAsia="Times New Roman" w:cstheme="minorHAnsi"/>
          <w:sz w:val="22"/>
          <w:lang w:val="hu-HU"/>
        </w:rPr>
        <w:t xml:space="preserve"> </w:t>
      </w:r>
      <w:r w:rsidR="00F00CB3" w:rsidRPr="00404808">
        <w:rPr>
          <w:rFonts w:eastAsia="Times New Roman" w:cstheme="minorHAnsi"/>
          <w:sz w:val="22"/>
          <w:lang w:val="hu-HU"/>
        </w:rPr>
        <w:t xml:space="preserve">a </w:t>
      </w:r>
      <w:r w:rsidR="00492A5E" w:rsidRPr="00F87621">
        <w:rPr>
          <w:rFonts w:eastAsia="Times New Roman" w:cstheme="minorHAnsi"/>
          <w:sz w:val="22"/>
          <w:lang w:val="hu-HU"/>
        </w:rPr>
        <w:t>6.2.</w:t>
      </w:r>
      <w:r w:rsidR="00F00CB3" w:rsidRPr="00F87621">
        <w:rPr>
          <w:rFonts w:eastAsia="Times New Roman" w:cstheme="minorHAnsi"/>
          <w:sz w:val="22"/>
          <w:lang w:val="hu-HU"/>
        </w:rPr>
        <w:t xml:space="preserve"> </w:t>
      </w:r>
      <w:r w:rsidR="00F00CB3" w:rsidRPr="004B61C4">
        <w:rPr>
          <w:rFonts w:eastAsia="Times New Roman" w:cstheme="minorHAnsi"/>
          <w:sz w:val="22"/>
          <w:lang w:val="hu-HU"/>
        </w:rPr>
        <w:t>fejezetben kerülnek részletes bemutatásra.</w:t>
      </w:r>
      <w:r w:rsidR="00457449" w:rsidRPr="004B61C4">
        <w:rPr>
          <w:rFonts w:eastAsia="Times New Roman" w:cstheme="minorHAnsi"/>
          <w:sz w:val="22"/>
          <w:lang w:val="hu-HU"/>
        </w:rPr>
        <w:t xml:space="preserve"> Bizonyos esetekben </w:t>
      </w:r>
      <w:r w:rsidR="0076418B" w:rsidRPr="004B61C4">
        <w:rPr>
          <w:rFonts w:eastAsia="Times New Roman" w:cstheme="minorHAnsi"/>
          <w:sz w:val="22"/>
          <w:lang w:val="hu-HU"/>
        </w:rPr>
        <w:t xml:space="preserve">az értékkészlet meghatározott formátumban kér egyéni adatot (numerikus, </w:t>
      </w:r>
      <w:proofErr w:type="gramStart"/>
      <w:r w:rsidR="0076418B" w:rsidRPr="004B61C4">
        <w:rPr>
          <w:rFonts w:eastAsia="Times New Roman" w:cstheme="minorHAnsi"/>
          <w:sz w:val="22"/>
          <w:lang w:val="hu-HU"/>
        </w:rPr>
        <w:t>alfanumerikus,</w:t>
      </w:r>
      <w:proofErr w:type="gramEnd"/>
      <w:r w:rsidR="0076418B" w:rsidRPr="004B61C4">
        <w:rPr>
          <w:rFonts w:eastAsia="Times New Roman" w:cstheme="minorHAnsi"/>
          <w:sz w:val="22"/>
          <w:lang w:val="hu-HU"/>
        </w:rPr>
        <w:t xml:space="preserve"> stb.), egyéb eset</w:t>
      </w:r>
      <w:r w:rsidR="00490F70" w:rsidRPr="004B61C4">
        <w:rPr>
          <w:rFonts w:eastAsia="Times New Roman" w:cstheme="minorHAnsi"/>
          <w:sz w:val="22"/>
          <w:lang w:val="hu-HU"/>
        </w:rPr>
        <w:t xml:space="preserve">ekben </w:t>
      </w:r>
      <w:r w:rsidR="00E0261D" w:rsidRPr="004B61C4">
        <w:rPr>
          <w:rFonts w:eastAsia="Times New Roman" w:cstheme="minorHAnsi"/>
          <w:sz w:val="22"/>
          <w:lang w:val="hu-HU"/>
        </w:rPr>
        <w:t>legördül</w:t>
      </w:r>
      <w:r w:rsidR="00E0261D" w:rsidRPr="00C45042">
        <w:rPr>
          <w:rFonts w:eastAsia="Times New Roman" w:cstheme="minorHAnsi"/>
          <w:sz w:val="22"/>
          <w:lang w:val="hu-HU"/>
        </w:rPr>
        <w:t>ő</w:t>
      </w:r>
      <w:r w:rsidR="00E0261D" w:rsidRPr="004B61C4">
        <w:rPr>
          <w:rFonts w:eastAsia="Times New Roman" w:cstheme="minorHAnsi"/>
          <w:sz w:val="22"/>
          <w:lang w:val="hu-HU"/>
        </w:rPr>
        <w:t xml:space="preserve"> </w:t>
      </w:r>
      <w:r w:rsidR="00490F70" w:rsidRPr="004B61C4">
        <w:rPr>
          <w:rFonts w:eastAsia="Times New Roman" w:cstheme="minorHAnsi"/>
          <w:sz w:val="22"/>
          <w:lang w:val="hu-HU"/>
        </w:rPr>
        <w:t>listából szükséges kiválasztani a megfelelő érték</w:t>
      </w:r>
      <w:r w:rsidR="00490F70" w:rsidRPr="00F87621">
        <w:rPr>
          <w:rFonts w:eastAsia="Times New Roman" w:cstheme="minorHAnsi"/>
          <w:sz w:val="22"/>
          <w:lang w:val="hu-HU"/>
        </w:rPr>
        <w:t>et.</w:t>
      </w:r>
    </w:p>
    <w:p w14:paraId="3304EA34" w14:textId="77777777" w:rsidR="00B07BC3" w:rsidRPr="00F86524" w:rsidRDefault="0047104D"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7231A2">
        <w:rPr>
          <w:rFonts w:eastAsia="Times New Roman" w:cstheme="minorHAnsi"/>
          <w:sz w:val="22"/>
          <w:lang w:val="hu-HU"/>
        </w:rPr>
        <w:t xml:space="preserve">Az adatmező </w:t>
      </w:r>
      <w:r w:rsidR="00002AA3" w:rsidRPr="007231A2">
        <w:rPr>
          <w:rFonts w:eastAsia="Times New Roman" w:cstheme="minorHAnsi"/>
          <w:sz w:val="22"/>
          <w:lang w:val="hu-HU"/>
        </w:rPr>
        <w:t>prioritási kategóriája</w:t>
      </w:r>
      <w:r w:rsidR="00EB5BB2" w:rsidRPr="007231A2">
        <w:rPr>
          <w:rFonts w:eastAsia="Times New Roman" w:cstheme="minorHAnsi"/>
          <w:sz w:val="22"/>
          <w:lang w:val="hu-HU"/>
        </w:rPr>
        <w:t xml:space="preserve">: </w:t>
      </w:r>
      <w:r w:rsidR="008231E0" w:rsidRPr="007231A2">
        <w:rPr>
          <w:rFonts w:eastAsia="Times New Roman" w:cstheme="minorHAnsi"/>
          <w:sz w:val="22"/>
          <w:lang w:val="hu-HU"/>
        </w:rPr>
        <w:t>az adatmező</w:t>
      </w:r>
      <w:r w:rsidR="009450D1" w:rsidRPr="007231A2">
        <w:rPr>
          <w:rFonts w:eastAsia="Times New Roman" w:cstheme="minorHAnsi"/>
          <w:sz w:val="22"/>
          <w:lang w:val="hu-HU"/>
        </w:rPr>
        <w:t xml:space="preserve"> értékelés elvégzése </w:t>
      </w:r>
      <w:r w:rsidR="00133F2E" w:rsidRPr="007231A2">
        <w:rPr>
          <w:rFonts w:eastAsia="Times New Roman" w:cstheme="minorHAnsi"/>
          <w:sz w:val="22"/>
          <w:lang w:val="hu-HU"/>
        </w:rPr>
        <w:t>szempontjából megállapított</w:t>
      </w:r>
      <w:r w:rsidR="008231E0" w:rsidRPr="007231A2">
        <w:rPr>
          <w:rFonts w:eastAsia="Times New Roman" w:cstheme="minorHAnsi"/>
          <w:sz w:val="22"/>
          <w:lang w:val="hu-HU"/>
        </w:rPr>
        <w:t xml:space="preserve"> </w:t>
      </w:r>
      <w:r w:rsidR="00E74F41" w:rsidRPr="007231A2">
        <w:rPr>
          <w:rFonts w:eastAsia="Times New Roman" w:cstheme="minorHAnsi"/>
          <w:sz w:val="22"/>
          <w:lang w:val="hu-HU"/>
        </w:rPr>
        <w:t>jelentőségére vonatkozó indikáció</w:t>
      </w:r>
      <w:r w:rsidR="00133F2E" w:rsidRPr="007231A2">
        <w:rPr>
          <w:rFonts w:eastAsia="Times New Roman" w:cstheme="minorHAnsi"/>
          <w:sz w:val="22"/>
          <w:lang w:val="hu-HU"/>
        </w:rPr>
        <w:t>.</w:t>
      </w:r>
      <w:r w:rsidR="00F86524">
        <w:rPr>
          <w:rFonts w:eastAsia="Times New Roman" w:cstheme="minorHAnsi"/>
          <w:sz w:val="22"/>
          <w:lang w:val="hu-HU"/>
        </w:rPr>
        <w:t xml:space="preserve"> </w:t>
      </w:r>
      <w:r w:rsidR="00B07BC3" w:rsidRPr="00F86524">
        <w:rPr>
          <w:rFonts w:eastAsia="Times New Roman" w:cstheme="minorHAnsi"/>
          <w:sz w:val="22"/>
          <w:lang w:val="hu-HU"/>
        </w:rPr>
        <w:t>Az adatmezők prioritási kategóriáinak magyarázata (a prioritási kategóriák tájékoztató jellegűek)</w:t>
      </w:r>
      <w:r w:rsidR="00DD4424">
        <w:rPr>
          <w:rFonts w:eastAsia="Times New Roman" w:cstheme="minorHAnsi"/>
          <w:sz w:val="22"/>
          <w:lang w:val="hu-HU"/>
        </w:rPr>
        <w:t>.</w:t>
      </w:r>
    </w:p>
    <w:p w14:paraId="5E99A754" w14:textId="2A7B3915" w:rsidR="00B07BC3" w:rsidRPr="00B07BC3" w:rsidRDefault="00B07BC3" w:rsidP="00270638">
      <w:pPr>
        <w:numPr>
          <w:ilvl w:val="2"/>
          <w:numId w:val="18"/>
        </w:numPr>
        <w:ind w:left="1710" w:right="-3135"/>
        <w:textAlignment w:val="center"/>
        <w:rPr>
          <w:rFonts w:eastAsia="Times New Roman" w:cstheme="minorHAnsi"/>
          <w:sz w:val="22"/>
          <w:lang w:val="hu-HU"/>
        </w:rPr>
      </w:pPr>
      <w:r w:rsidRPr="00065F8C">
        <w:rPr>
          <w:rFonts w:eastAsia="Times New Roman" w:cstheme="minorHAnsi"/>
          <w:b/>
          <w:bCs/>
          <w:sz w:val="22"/>
          <w:lang w:val="hu-HU"/>
        </w:rPr>
        <w:t>1-es prioritás:</w:t>
      </w:r>
      <w:r w:rsidRPr="00B07BC3">
        <w:rPr>
          <w:rFonts w:eastAsia="Times New Roman" w:cstheme="minorHAnsi"/>
          <w:sz w:val="22"/>
          <w:lang w:val="hu-HU"/>
        </w:rPr>
        <w:t xml:space="preserve"> ide soroljuk azokat az adatmezőket (információkat), amelyek nélkülözhetetlenek az intézmény </w:t>
      </w:r>
      <w:r w:rsidR="00D908F1">
        <w:rPr>
          <w:rFonts w:eastAsia="Times New Roman" w:cstheme="minorHAnsi"/>
          <w:sz w:val="22"/>
          <w:lang w:val="hu-HU"/>
        </w:rPr>
        <w:t>szanálási</w:t>
      </w:r>
      <w:r w:rsidRPr="00B07BC3">
        <w:rPr>
          <w:rFonts w:eastAsia="Times New Roman" w:cstheme="minorHAnsi"/>
          <w:sz w:val="22"/>
          <w:lang w:val="hu-HU"/>
        </w:rPr>
        <w:t xml:space="preserve"> értékeléséhez. Ezen adatmezők a szanálás során alkalmazott értékelési módszer általános megközelítésétől függően potenciálisan a legrelevánsabbaknak tekinthetők a provizórikus 2-es típusú értékelés elvégzéséhez, amely tájékoztatást nyújt a megfelelő szanálási intézkedésre vonatkozó döntéshez.</w:t>
      </w:r>
    </w:p>
    <w:p w14:paraId="47B52492" w14:textId="77777777" w:rsidR="00B07BC3" w:rsidRPr="00B07BC3" w:rsidRDefault="00B07BC3" w:rsidP="00270638">
      <w:pPr>
        <w:numPr>
          <w:ilvl w:val="2"/>
          <w:numId w:val="18"/>
        </w:numPr>
        <w:ind w:left="1710" w:right="-3135"/>
        <w:textAlignment w:val="center"/>
        <w:rPr>
          <w:rFonts w:eastAsia="Times New Roman" w:cstheme="minorHAnsi"/>
          <w:sz w:val="22"/>
          <w:lang w:val="hu-HU"/>
        </w:rPr>
      </w:pPr>
      <w:r w:rsidRPr="00065F8C">
        <w:rPr>
          <w:rFonts w:eastAsia="Times New Roman" w:cstheme="minorHAnsi"/>
          <w:b/>
          <w:bCs/>
          <w:sz w:val="22"/>
          <w:lang w:val="hu-HU"/>
        </w:rPr>
        <w:t>2-es prioritás:</w:t>
      </w:r>
      <w:r w:rsidRPr="00B07BC3">
        <w:rPr>
          <w:rFonts w:eastAsia="Times New Roman" w:cstheme="minorHAnsi"/>
          <w:sz w:val="22"/>
          <w:lang w:val="hu-HU"/>
        </w:rPr>
        <w:t xml:space="preserve"> azon adatmezők, amelyek várhatóan jelentős hatást gyakorolnak a szanálás előtti értékelésre, az egyes adatmezők értékelési eredményre gyakorolt hatásának mértéke azonban a szanálás konkrét körülményeitől is függ.</w:t>
      </w:r>
    </w:p>
    <w:p w14:paraId="0B48D3D4" w14:textId="77777777" w:rsidR="00B07BC3" w:rsidRDefault="00B07BC3" w:rsidP="00270638">
      <w:pPr>
        <w:numPr>
          <w:ilvl w:val="2"/>
          <w:numId w:val="18"/>
        </w:numPr>
        <w:ind w:left="1710" w:right="-3135"/>
        <w:textAlignment w:val="center"/>
        <w:rPr>
          <w:rFonts w:eastAsia="Times New Roman" w:cstheme="minorHAnsi"/>
          <w:sz w:val="22"/>
          <w:lang w:val="hu-HU"/>
        </w:rPr>
      </w:pPr>
      <w:r w:rsidRPr="00065F8C">
        <w:rPr>
          <w:rFonts w:eastAsia="Times New Roman" w:cstheme="minorHAnsi"/>
          <w:b/>
          <w:bCs/>
          <w:sz w:val="22"/>
          <w:lang w:val="hu-HU"/>
        </w:rPr>
        <w:t>3-as prioritás:</w:t>
      </w:r>
      <w:r w:rsidRPr="00B07BC3">
        <w:rPr>
          <w:rFonts w:eastAsia="Times New Roman" w:cstheme="minorHAnsi"/>
          <w:sz w:val="22"/>
          <w:lang w:val="hu-HU"/>
        </w:rPr>
        <w:t xml:space="preserve"> olyan adatmezők, amelyek valószínűsíthetően hozzáadott értékkel bírnak a szanáláshoz kapcsolódó értékelések szempontjából, de nem gyakorolnak feltétlenül jelentős hatást az értékelési eredményre. Ezen adatmezők rendelkezésre bocsátásának tekintetében eseti </w:t>
      </w:r>
      <w:r w:rsidRPr="00B07BC3">
        <w:rPr>
          <w:rFonts w:eastAsia="Times New Roman" w:cstheme="minorHAnsi"/>
          <w:sz w:val="22"/>
          <w:lang w:val="hu-HU"/>
        </w:rPr>
        <w:lastRenderedPageBreak/>
        <w:t>alapú megítélés is szükséges lehet az adatok rendelkezésre állásától és a konkrét szanálási körülményben való relevanciájától függően.</w:t>
      </w:r>
    </w:p>
    <w:p w14:paraId="03F316E1" w14:textId="77777777" w:rsidR="009E2E55" w:rsidRPr="00B07BC3" w:rsidRDefault="00AE21C3" w:rsidP="00270638">
      <w:pPr>
        <w:pStyle w:val="ListParagraph"/>
        <w:numPr>
          <w:ilvl w:val="2"/>
          <w:numId w:val="17"/>
        </w:numPr>
        <w:tabs>
          <w:tab w:val="clear" w:pos="2160"/>
        </w:tabs>
        <w:ind w:left="1170" w:right="-3139"/>
        <w:textAlignment w:val="center"/>
        <w:rPr>
          <w:rFonts w:eastAsia="Times New Roman" w:cstheme="minorHAnsi"/>
          <w:sz w:val="22"/>
          <w:lang w:val="hu-HU"/>
        </w:rPr>
      </w:pPr>
      <w:r>
        <w:rPr>
          <w:rFonts w:eastAsia="Times New Roman" w:cstheme="minorHAnsi"/>
          <w:sz w:val="22"/>
          <w:lang w:val="hu-HU"/>
        </w:rPr>
        <w:t xml:space="preserve">Rendelkezésre bocsátás maximális időtartama: </w:t>
      </w:r>
      <w:r w:rsidR="00EC15A7">
        <w:rPr>
          <w:rFonts w:eastAsia="Times New Roman" w:cstheme="minorHAnsi"/>
          <w:sz w:val="22"/>
          <w:lang w:val="hu-HU"/>
        </w:rPr>
        <w:t xml:space="preserve">az adatok és információk rendelkezésre bocsátásának elvárt, maximális időtartamát jelöli a </w:t>
      </w:r>
      <w:r w:rsidR="00532654" w:rsidRPr="00404808">
        <w:rPr>
          <w:rFonts w:eastAsia="Times New Roman" w:cstheme="minorHAnsi"/>
          <w:sz w:val="22"/>
          <w:lang w:val="hu-HU"/>
        </w:rPr>
        <w:t>4.2.</w:t>
      </w:r>
      <w:r w:rsidR="00E95289" w:rsidRPr="00EC2060">
        <w:rPr>
          <w:rFonts w:eastAsia="Times New Roman" w:cstheme="minorHAnsi"/>
          <w:sz w:val="22"/>
          <w:lang w:val="hu-HU"/>
        </w:rPr>
        <w:t xml:space="preserve"> fejezetpontban részletezettek szerint.</w:t>
      </w:r>
    </w:p>
    <w:p w14:paraId="1FC16552" w14:textId="0625E434" w:rsidR="00CA69D7" w:rsidRDefault="00B07BC3" w:rsidP="00270638">
      <w:pPr>
        <w:pStyle w:val="ListParagraph"/>
        <w:numPr>
          <w:ilvl w:val="2"/>
          <w:numId w:val="17"/>
        </w:numPr>
        <w:tabs>
          <w:tab w:val="clear" w:pos="2160"/>
        </w:tabs>
        <w:ind w:left="1170" w:right="-3139"/>
        <w:textAlignment w:val="center"/>
        <w:rPr>
          <w:rFonts w:eastAsia="Times New Roman" w:cstheme="minorHAnsi"/>
          <w:sz w:val="22"/>
          <w:lang w:val="hu-HU"/>
        </w:rPr>
      </w:pPr>
      <w:r w:rsidRPr="00B07BC3">
        <w:rPr>
          <w:rFonts w:eastAsia="Times New Roman" w:cstheme="minorHAnsi"/>
          <w:sz w:val="22"/>
          <w:lang w:val="hu-HU"/>
        </w:rPr>
        <w:t xml:space="preserve">Az információk </w:t>
      </w:r>
      <w:r w:rsidR="003765DD">
        <w:rPr>
          <w:rFonts w:eastAsia="Times New Roman" w:cstheme="minorHAnsi"/>
          <w:sz w:val="22"/>
          <w:lang w:val="hu-HU"/>
        </w:rPr>
        <w:t>határ</w:t>
      </w:r>
      <w:r w:rsidR="003765DD" w:rsidRPr="00B07BC3">
        <w:rPr>
          <w:rFonts w:eastAsia="Times New Roman" w:cstheme="minorHAnsi"/>
          <w:sz w:val="22"/>
          <w:lang w:val="hu-HU"/>
        </w:rPr>
        <w:t>napj</w:t>
      </w:r>
      <w:r w:rsidR="003765DD">
        <w:rPr>
          <w:rFonts w:eastAsia="Times New Roman" w:cstheme="minorHAnsi"/>
          <w:sz w:val="22"/>
          <w:lang w:val="hu-HU"/>
        </w:rPr>
        <w:t>a</w:t>
      </w:r>
      <w:r w:rsidR="00155CF3">
        <w:rPr>
          <w:rFonts w:eastAsia="Times New Roman" w:cstheme="minorHAnsi"/>
          <w:sz w:val="22"/>
          <w:lang w:val="hu-HU"/>
        </w:rPr>
        <w:t xml:space="preserve"> („</w:t>
      </w:r>
      <w:proofErr w:type="spellStart"/>
      <w:r w:rsidR="00155CF3">
        <w:rPr>
          <w:rFonts w:eastAsia="Times New Roman" w:cstheme="minorHAnsi"/>
          <w:sz w:val="22"/>
          <w:lang w:val="hu-HU"/>
        </w:rPr>
        <w:t>cut-off</w:t>
      </w:r>
      <w:proofErr w:type="spellEnd"/>
      <w:r w:rsidR="00155CF3">
        <w:rPr>
          <w:rFonts w:eastAsia="Times New Roman" w:cstheme="minorHAnsi"/>
          <w:sz w:val="22"/>
          <w:lang w:val="hu-HU"/>
        </w:rPr>
        <w:t xml:space="preserve"> </w:t>
      </w:r>
      <w:proofErr w:type="spellStart"/>
      <w:r w:rsidR="00155CF3">
        <w:rPr>
          <w:rFonts w:eastAsia="Times New Roman" w:cstheme="minorHAnsi"/>
          <w:sz w:val="22"/>
          <w:lang w:val="hu-HU"/>
        </w:rPr>
        <w:t>date</w:t>
      </w:r>
      <w:proofErr w:type="spellEnd"/>
      <w:r w:rsidR="00155CF3">
        <w:rPr>
          <w:rFonts w:eastAsia="Times New Roman" w:cstheme="minorHAnsi"/>
          <w:sz w:val="22"/>
          <w:lang w:val="hu-HU"/>
        </w:rPr>
        <w:t>”)</w:t>
      </w:r>
      <w:r w:rsidR="00533586">
        <w:rPr>
          <w:rFonts w:eastAsia="Times New Roman" w:cstheme="minorHAnsi"/>
          <w:sz w:val="22"/>
          <w:lang w:val="hu-HU"/>
        </w:rPr>
        <w:t xml:space="preserve">: </w:t>
      </w:r>
      <w:r w:rsidR="00634E88">
        <w:rPr>
          <w:rFonts w:eastAsia="Times New Roman" w:cstheme="minorHAnsi"/>
          <w:sz w:val="22"/>
          <w:lang w:val="hu-HU"/>
        </w:rPr>
        <w:t>az adat</w:t>
      </w:r>
      <w:r w:rsidR="00824B30">
        <w:rPr>
          <w:rFonts w:eastAsia="Times New Roman" w:cstheme="minorHAnsi"/>
          <w:sz w:val="22"/>
          <w:lang w:val="hu-HU"/>
        </w:rPr>
        <w:t>szótár</w:t>
      </w:r>
      <w:r w:rsidR="00634E88">
        <w:rPr>
          <w:rFonts w:eastAsia="Times New Roman" w:cstheme="minorHAnsi"/>
          <w:sz w:val="22"/>
          <w:lang w:val="hu-HU"/>
        </w:rPr>
        <w:t xml:space="preserve"> minden adatmező esetén tartalmazza, hogy az adatszolgáltatásnak milyen </w:t>
      </w:r>
      <w:r w:rsidR="00F63275">
        <w:rPr>
          <w:rFonts w:eastAsia="Times New Roman" w:cstheme="minorHAnsi"/>
          <w:sz w:val="22"/>
          <w:lang w:val="hu-HU"/>
        </w:rPr>
        <w:t>határ</w:t>
      </w:r>
      <w:r w:rsidR="00B12C79">
        <w:rPr>
          <w:rFonts w:eastAsia="Times New Roman" w:cstheme="minorHAnsi"/>
          <w:sz w:val="22"/>
          <w:lang w:val="hu-HU"/>
        </w:rPr>
        <w:t>napra (úgynevezett „</w:t>
      </w:r>
      <w:proofErr w:type="spellStart"/>
      <w:r w:rsidR="00B12C79">
        <w:rPr>
          <w:rFonts w:eastAsia="Times New Roman" w:cstheme="minorHAnsi"/>
          <w:sz w:val="22"/>
          <w:lang w:val="hu-HU"/>
        </w:rPr>
        <w:t>cut-off</w:t>
      </w:r>
      <w:proofErr w:type="spellEnd"/>
      <w:r w:rsidR="00B12C79">
        <w:rPr>
          <w:rFonts w:eastAsia="Times New Roman" w:cstheme="minorHAnsi"/>
          <w:sz w:val="22"/>
          <w:lang w:val="hu-HU"/>
        </w:rPr>
        <w:t xml:space="preserve"> </w:t>
      </w:r>
      <w:proofErr w:type="spellStart"/>
      <w:proofErr w:type="gramStart"/>
      <w:r w:rsidR="00B12C79">
        <w:rPr>
          <w:rFonts w:eastAsia="Times New Roman" w:cstheme="minorHAnsi"/>
          <w:sz w:val="22"/>
          <w:lang w:val="hu-HU"/>
        </w:rPr>
        <w:t>date</w:t>
      </w:r>
      <w:proofErr w:type="spellEnd"/>
      <w:r w:rsidR="00B12C79">
        <w:rPr>
          <w:rFonts w:eastAsia="Times New Roman" w:cstheme="minorHAnsi"/>
          <w:sz w:val="22"/>
          <w:lang w:val="hu-HU"/>
        </w:rPr>
        <w:t>”-</w:t>
      </w:r>
      <w:proofErr w:type="gramEnd"/>
      <w:r w:rsidR="00B12C79">
        <w:rPr>
          <w:rFonts w:eastAsia="Times New Roman" w:cstheme="minorHAnsi"/>
          <w:sz w:val="22"/>
          <w:lang w:val="hu-HU"/>
        </w:rPr>
        <w:t xml:space="preserve">re) </w:t>
      </w:r>
      <w:r w:rsidR="00C32F33">
        <w:rPr>
          <w:rFonts w:eastAsia="Times New Roman" w:cstheme="minorHAnsi"/>
          <w:sz w:val="22"/>
          <w:lang w:val="hu-HU"/>
        </w:rPr>
        <w:t>kell vonatkoznia.</w:t>
      </w:r>
      <w:r w:rsidR="00726D8E">
        <w:rPr>
          <w:rFonts w:eastAsia="Times New Roman" w:cstheme="minorHAnsi"/>
          <w:sz w:val="22"/>
          <w:lang w:val="hu-HU"/>
        </w:rPr>
        <w:t xml:space="preserve"> </w:t>
      </w:r>
      <w:r w:rsidR="002B603A">
        <w:rPr>
          <w:rFonts w:eastAsia="Times New Roman" w:cstheme="minorHAnsi"/>
          <w:sz w:val="22"/>
          <w:lang w:val="hu-HU"/>
        </w:rPr>
        <w:t xml:space="preserve">Általános megközelítésként </w:t>
      </w:r>
      <w:r w:rsidR="00B24B79">
        <w:rPr>
          <w:rFonts w:eastAsia="Times New Roman" w:cstheme="minorHAnsi"/>
          <w:sz w:val="22"/>
          <w:lang w:val="hu-HU"/>
        </w:rPr>
        <w:t>az adatok és információk határnapjának a lehető legközelebb kell esnie</w:t>
      </w:r>
      <w:r w:rsidR="00C4688E">
        <w:rPr>
          <w:rFonts w:eastAsia="Times New Roman" w:cstheme="minorHAnsi"/>
          <w:sz w:val="22"/>
          <w:lang w:val="hu-HU"/>
        </w:rPr>
        <w:t xml:space="preserve"> a szanálás</w:t>
      </w:r>
      <w:r w:rsidR="00841E60">
        <w:rPr>
          <w:rFonts w:eastAsia="Times New Roman" w:cstheme="minorHAnsi"/>
          <w:sz w:val="22"/>
          <w:lang w:val="hu-HU"/>
        </w:rPr>
        <w:t xml:space="preserve"> elrendelésének, illetve a szanálási</w:t>
      </w:r>
      <w:r w:rsidR="00C4688E">
        <w:rPr>
          <w:rFonts w:eastAsia="Times New Roman" w:cstheme="minorHAnsi"/>
          <w:sz w:val="22"/>
          <w:lang w:val="hu-HU"/>
        </w:rPr>
        <w:t xml:space="preserve"> </w:t>
      </w:r>
      <w:r w:rsidR="0029079D">
        <w:rPr>
          <w:rFonts w:eastAsia="Times New Roman" w:cstheme="minorHAnsi"/>
          <w:sz w:val="22"/>
          <w:lang w:val="hu-HU"/>
        </w:rPr>
        <w:t xml:space="preserve">intézkedés </w:t>
      </w:r>
      <w:r w:rsidR="00841E60">
        <w:rPr>
          <w:rFonts w:eastAsia="Times New Roman" w:cstheme="minorHAnsi"/>
          <w:sz w:val="22"/>
          <w:lang w:val="hu-HU"/>
        </w:rPr>
        <w:t xml:space="preserve">alkalmazásának </w:t>
      </w:r>
      <w:r w:rsidR="00C4688E">
        <w:rPr>
          <w:rFonts w:eastAsia="Times New Roman" w:cstheme="minorHAnsi"/>
          <w:sz w:val="22"/>
          <w:lang w:val="hu-HU"/>
        </w:rPr>
        <w:t>várható időpontjához</w:t>
      </w:r>
      <w:r w:rsidR="00841E60">
        <w:rPr>
          <w:rFonts w:eastAsia="Times New Roman" w:cstheme="minorHAnsi"/>
          <w:sz w:val="22"/>
          <w:lang w:val="hu-HU"/>
        </w:rPr>
        <w:t xml:space="preserve"> </w:t>
      </w:r>
      <w:proofErr w:type="gramStart"/>
      <w:r w:rsidR="00841E60">
        <w:rPr>
          <w:rFonts w:eastAsia="Times New Roman" w:cstheme="minorHAnsi"/>
          <w:sz w:val="22"/>
          <w:lang w:val="hu-HU"/>
        </w:rPr>
        <w:t xml:space="preserve">– </w:t>
      </w:r>
      <w:r w:rsidR="00CA7AA8">
        <w:rPr>
          <w:rFonts w:eastAsia="Times New Roman" w:cstheme="minorHAnsi"/>
          <w:sz w:val="22"/>
          <w:lang w:val="hu-HU"/>
        </w:rPr>
        <w:t xml:space="preserve"> </w:t>
      </w:r>
      <w:r w:rsidR="00841E60">
        <w:rPr>
          <w:rFonts w:eastAsia="Times New Roman" w:cstheme="minorHAnsi"/>
          <w:sz w:val="22"/>
          <w:lang w:val="hu-HU"/>
        </w:rPr>
        <w:t>attól</w:t>
      </w:r>
      <w:proofErr w:type="gramEnd"/>
      <w:r w:rsidR="00841E60">
        <w:rPr>
          <w:rFonts w:eastAsia="Times New Roman" w:cstheme="minorHAnsi"/>
          <w:sz w:val="22"/>
          <w:lang w:val="hu-HU"/>
        </w:rPr>
        <w:t xml:space="preserve"> függően, hogy ideiglenes vagy független értékelésre kerül sor – </w:t>
      </w:r>
      <w:r w:rsidR="00CA7AA8">
        <w:rPr>
          <w:rFonts w:eastAsia="Times New Roman" w:cstheme="minorHAnsi"/>
          <w:sz w:val="22"/>
          <w:lang w:val="hu-HU"/>
        </w:rPr>
        <w:t xml:space="preserve">az értékelő és/vagy szanálási hatóság ezt figyelembe véve </w:t>
      </w:r>
      <w:r w:rsidR="006C4526">
        <w:rPr>
          <w:rFonts w:eastAsia="Times New Roman" w:cstheme="minorHAnsi"/>
          <w:sz w:val="22"/>
          <w:lang w:val="hu-HU"/>
        </w:rPr>
        <w:t>állapítja meg a határnapot</w:t>
      </w:r>
      <w:r w:rsidR="00841E60">
        <w:rPr>
          <w:rFonts w:eastAsia="Times New Roman" w:cstheme="minorHAnsi"/>
          <w:sz w:val="22"/>
          <w:lang w:val="hu-HU"/>
        </w:rPr>
        <w:t xml:space="preserve"> </w:t>
      </w:r>
      <w:r w:rsidR="006C4526">
        <w:rPr>
          <w:rFonts w:eastAsia="Times New Roman" w:cstheme="minorHAnsi"/>
          <w:sz w:val="22"/>
          <w:lang w:val="hu-HU"/>
        </w:rPr>
        <w:t>.</w:t>
      </w:r>
      <w:r w:rsidR="00151E67">
        <w:rPr>
          <w:rFonts w:eastAsia="Times New Roman" w:cstheme="minorHAnsi"/>
          <w:sz w:val="22"/>
          <w:lang w:val="hu-HU"/>
        </w:rPr>
        <w:t xml:space="preserve"> A határnap megállapításánál további szempont lehet, hogy </w:t>
      </w:r>
      <w:r w:rsidR="0003098E">
        <w:rPr>
          <w:rFonts w:eastAsia="Times New Roman" w:cstheme="minorHAnsi"/>
          <w:sz w:val="22"/>
          <w:lang w:val="hu-HU"/>
        </w:rPr>
        <w:t xml:space="preserve">az adatok és információk döntő többsége </w:t>
      </w:r>
      <w:r w:rsidR="008117B0">
        <w:rPr>
          <w:rFonts w:eastAsia="Times New Roman" w:cstheme="minorHAnsi"/>
          <w:sz w:val="22"/>
          <w:lang w:val="hu-HU"/>
        </w:rPr>
        <w:t>esetében</w:t>
      </w:r>
      <w:r w:rsidR="00455537">
        <w:rPr>
          <w:rFonts w:eastAsia="Times New Roman" w:cstheme="minorHAnsi"/>
          <w:sz w:val="22"/>
          <w:lang w:val="hu-HU"/>
        </w:rPr>
        <w:t xml:space="preserve"> a </w:t>
      </w:r>
      <w:r w:rsidR="00443854">
        <w:rPr>
          <w:rFonts w:eastAsia="Times New Roman" w:cstheme="minorHAnsi"/>
          <w:sz w:val="22"/>
          <w:lang w:val="hu-HU"/>
        </w:rPr>
        <w:t xml:space="preserve">belső ellenőrzési és </w:t>
      </w:r>
      <w:r w:rsidR="00236E69">
        <w:rPr>
          <w:rFonts w:eastAsia="Times New Roman" w:cstheme="minorHAnsi"/>
          <w:sz w:val="22"/>
          <w:lang w:val="hu-HU"/>
        </w:rPr>
        <w:t>validációs folyamatok</w:t>
      </w:r>
      <w:r w:rsidR="008117B0">
        <w:rPr>
          <w:rFonts w:eastAsia="Times New Roman" w:cstheme="minorHAnsi"/>
          <w:sz w:val="22"/>
          <w:lang w:val="hu-HU"/>
        </w:rPr>
        <w:t xml:space="preserve"> megvalósuljanak</w:t>
      </w:r>
      <w:r w:rsidR="00992D8C">
        <w:rPr>
          <w:rFonts w:eastAsia="Times New Roman" w:cstheme="minorHAnsi"/>
          <w:sz w:val="22"/>
          <w:lang w:val="hu-HU"/>
        </w:rPr>
        <w:t xml:space="preserve"> és az információk </w:t>
      </w:r>
      <w:r w:rsidR="00992D8C" w:rsidRPr="00653749">
        <w:rPr>
          <w:rFonts w:eastAsia="Times New Roman" w:cstheme="minorHAnsi"/>
          <w:sz w:val="22"/>
          <w:lang w:val="hu-HU"/>
        </w:rPr>
        <w:t>legyenek</w:t>
      </w:r>
      <w:r w:rsidR="00992D8C">
        <w:rPr>
          <w:rFonts w:eastAsia="Times New Roman" w:cstheme="minorHAnsi"/>
          <w:sz w:val="22"/>
          <w:lang w:val="hu-HU"/>
        </w:rPr>
        <w:t xml:space="preserve"> konzisztensek </w:t>
      </w:r>
      <w:r w:rsidR="006F482D">
        <w:rPr>
          <w:rFonts w:eastAsia="Times New Roman" w:cstheme="minorHAnsi"/>
          <w:sz w:val="22"/>
          <w:lang w:val="hu-HU"/>
        </w:rPr>
        <w:t xml:space="preserve">a </w:t>
      </w:r>
      <w:r w:rsidR="0029079D">
        <w:rPr>
          <w:rFonts w:eastAsia="Times New Roman" w:cstheme="minorHAnsi"/>
          <w:sz w:val="22"/>
          <w:lang w:val="hu-HU"/>
        </w:rPr>
        <w:t xml:space="preserve">számviteli </w:t>
      </w:r>
      <w:r w:rsidR="006F482D">
        <w:rPr>
          <w:rFonts w:eastAsia="Times New Roman" w:cstheme="minorHAnsi"/>
          <w:sz w:val="22"/>
          <w:lang w:val="hu-HU"/>
        </w:rPr>
        <w:t xml:space="preserve">nyilvántartásokkal </w:t>
      </w:r>
      <w:r w:rsidR="006F482D" w:rsidRPr="006A57F9">
        <w:rPr>
          <w:rFonts w:eastAsia="Times New Roman" w:cstheme="minorHAnsi"/>
          <w:sz w:val="22"/>
          <w:lang w:val="hu-HU"/>
        </w:rPr>
        <w:t xml:space="preserve">és egyéb </w:t>
      </w:r>
      <w:r w:rsidR="006A57F9" w:rsidRPr="00065F8C">
        <w:rPr>
          <w:rFonts w:eastAsia="Times New Roman" w:cstheme="minorHAnsi"/>
          <w:sz w:val="22"/>
          <w:lang w:val="hu-HU"/>
        </w:rPr>
        <w:t>dokumentumokkal, adatszolgáltatással</w:t>
      </w:r>
      <w:r w:rsidR="00E5358F" w:rsidRPr="006A57F9">
        <w:rPr>
          <w:rFonts w:eastAsia="Times New Roman" w:cstheme="minorHAnsi"/>
          <w:sz w:val="22"/>
          <w:lang w:val="hu-HU"/>
        </w:rPr>
        <w:t>, melyeket belsőleg vagy külső félnek riportált az intézmény.</w:t>
      </w:r>
    </w:p>
    <w:p w14:paraId="5958BB60" w14:textId="77777777" w:rsidR="00B07E47" w:rsidRDefault="002C5C01" w:rsidP="00270638">
      <w:pPr>
        <w:numPr>
          <w:ilvl w:val="2"/>
          <w:numId w:val="16"/>
        </w:numPr>
        <w:ind w:left="1710" w:right="-3139"/>
        <w:textAlignment w:val="center"/>
        <w:rPr>
          <w:rFonts w:eastAsia="Times New Roman" w:cstheme="minorHAnsi"/>
          <w:sz w:val="22"/>
          <w:lang w:val="hu-HU"/>
        </w:rPr>
      </w:pPr>
      <w:r>
        <w:rPr>
          <w:rFonts w:eastAsia="Times New Roman" w:cstheme="minorHAnsi"/>
          <w:sz w:val="22"/>
          <w:lang w:val="hu-HU"/>
        </w:rPr>
        <w:t>Minden</w:t>
      </w:r>
      <w:r w:rsidR="005A4A72">
        <w:rPr>
          <w:rFonts w:eastAsia="Times New Roman" w:cstheme="minorHAnsi"/>
          <w:sz w:val="22"/>
          <w:lang w:val="hu-HU"/>
        </w:rPr>
        <w:t xml:space="preserve"> </w:t>
      </w:r>
      <w:r w:rsidR="003E766A">
        <w:rPr>
          <w:rFonts w:eastAsia="Times New Roman" w:cstheme="minorHAnsi"/>
          <w:sz w:val="22"/>
          <w:lang w:val="hu-HU"/>
        </w:rPr>
        <w:t xml:space="preserve">adatot és </w:t>
      </w:r>
      <w:r w:rsidR="005A4A72">
        <w:rPr>
          <w:rFonts w:eastAsia="Times New Roman" w:cstheme="minorHAnsi"/>
          <w:sz w:val="22"/>
          <w:lang w:val="hu-HU"/>
        </w:rPr>
        <w:t>információt</w:t>
      </w:r>
      <w:r w:rsidR="003E766A">
        <w:rPr>
          <w:rFonts w:eastAsia="Times New Roman" w:cstheme="minorHAnsi"/>
          <w:sz w:val="22"/>
          <w:lang w:val="hu-HU"/>
        </w:rPr>
        <w:t xml:space="preserve"> utolsó lezárt hónap határnappal </w:t>
      </w:r>
      <w:r w:rsidR="00494103">
        <w:rPr>
          <w:rFonts w:eastAsia="Times New Roman" w:cstheme="minorHAnsi"/>
          <w:sz w:val="22"/>
          <w:lang w:val="hu-HU"/>
        </w:rPr>
        <w:t>szükséges szolgáltatn</w:t>
      </w:r>
      <w:r w:rsidR="004D0D25">
        <w:rPr>
          <w:rFonts w:eastAsia="Times New Roman" w:cstheme="minorHAnsi"/>
          <w:sz w:val="22"/>
          <w:lang w:val="hu-HU"/>
        </w:rPr>
        <w:t>ia az intézményeknek</w:t>
      </w:r>
      <w:r w:rsidR="007762DA">
        <w:rPr>
          <w:rFonts w:eastAsia="Times New Roman" w:cstheme="minorHAnsi"/>
          <w:sz w:val="22"/>
          <w:lang w:val="hu-HU"/>
        </w:rPr>
        <w:t xml:space="preserve"> (amennyiben a „T” nap a hónap 15-ik naptári napja utánra esik, az előző hónap lezárt adatát kell szolgáltatni)</w:t>
      </w:r>
      <w:r w:rsidR="004D0D25">
        <w:rPr>
          <w:rFonts w:eastAsia="Times New Roman" w:cstheme="minorHAnsi"/>
          <w:sz w:val="22"/>
          <w:lang w:val="hu-HU"/>
        </w:rPr>
        <w:t xml:space="preserve">. Az értékelés szempontjából kritikus, az értékelés </w:t>
      </w:r>
      <w:r w:rsidR="00477144">
        <w:rPr>
          <w:rFonts w:eastAsia="Times New Roman" w:cstheme="minorHAnsi"/>
          <w:sz w:val="22"/>
          <w:lang w:val="hu-HU"/>
        </w:rPr>
        <w:t>eredményére jelentős hatá</w:t>
      </w:r>
      <w:r w:rsidR="007E101C">
        <w:rPr>
          <w:rFonts w:eastAsia="Times New Roman" w:cstheme="minorHAnsi"/>
          <w:sz w:val="22"/>
          <w:lang w:val="hu-HU"/>
        </w:rPr>
        <w:t>s</w:t>
      </w:r>
      <w:r w:rsidR="00C539CF">
        <w:rPr>
          <w:rFonts w:eastAsia="Times New Roman" w:cstheme="minorHAnsi"/>
          <w:sz w:val="22"/>
          <w:lang w:val="hu-HU"/>
        </w:rPr>
        <w:t xml:space="preserve">sal levő, illetve </w:t>
      </w:r>
      <w:r w:rsidR="005E7C7F">
        <w:rPr>
          <w:rFonts w:eastAsia="Times New Roman" w:cstheme="minorHAnsi"/>
          <w:sz w:val="22"/>
          <w:lang w:val="hu-HU"/>
        </w:rPr>
        <w:t>rövid időn belül akár jelentősen is</w:t>
      </w:r>
      <w:r w:rsidR="00C539CF">
        <w:rPr>
          <w:rFonts w:eastAsia="Times New Roman" w:cstheme="minorHAnsi"/>
          <w:sz w:val="22"/>
          <w:lang w:val="hu-HU"/>
        </w:rPr>
        <w:t xml:space="preserve"> vált</w:t>
      </w:r>
      <w:r w:rsidR="005E7C7F">
        <w:rPr>
          <w:rFonts w:eastAsia="Times New Roman" w:cstheme="minorHAnsi"/>
          <w:sz w:val="22"/>
          <w:lang w:val="hu-HU"/>
        </w:rPr>
        <w:t>o</w:t>
      </w:r>
      <w:r w:rsidR="00C539CF">
        <w:rPr>
          <w:rFonts w:eastAsia="Times New Roman" w:cstheme="minorHAnsi"/>
          <w:sz w:val="22"/>
          <w:lang w:val="hu-HU"/>
        </w:rPr>
        <w:t>zó</w:t>
      </w:r>
      <w:r w:rsidR="005E7C7F">
        <w:rPr>
          <w:rFonts w:eastAsia="Times New Roman" w:cstheme="minorHAnsi"/>
          <w:sz w:val="22"/>
          <w:lang w:val="hu-HU"/>
        </w:rPr>
        <w:t xml:space="preserve"> információk esetében az utolsó lezárt hónap</w:t>
      </w:r>
      <w:r w:rsidR="004D71FA">
        <w:rPr>
          <w:rFonts w:eastAsia="Times New Roman" w:cstheme="minorHAnsi"/>
          <w:sz w:val="22"/>
          <w:lang w:val="hu-HU"/>
        </w:rPr>
        <w:t xml:space="preserve">on felül, „T-2” vagy „T” időpontra is szükséges </w:t>
      </w:r>
      <w:r w:rsidR="00FD39BE">
        <w:rPr>
          <w:rFonts w:eastAsia="Times New Roman" w:cstheme="minorHAnsi"/>
          <w:sz w:val="22"/>
          <w:lang w:val="hu-HU"/>
        </w:rPr>
        <w:t>az adatszolgáltatás.</w:t>
      </w:r>
    </w:p>
    <w:p w14:paraId="3C1941BE" w14:textId="77777777" w:rsidR="0031608C" w:rsidRDefault="00BE742C" w:rsidP="00270638">
      <w:pPr>
        <w:numPr>
          <w:ilvl w:val="2"/>
          <w:numId w:val="16"/>
        </w:numPr>
        <w:ind w:left="1710" w:right="-3139"/>
        <w:textAlignment w:val="center"/>
        <w:rPr>
          <w:rFonts w:eastAsia="Times New Roman" w:cstheme="minorHAnsi"/>
          <w:sz w:val="22"/>
          <w:lang w:val="hu-HU"/>
        </w:rPr>
      </w:pPr>
      <w:r>
        <w:rPr>
          <w:rFonts w:eastAsia="Times New Roman" w:cstheme="minorHAnsi"/>
          <w:sz w:val="22"/>
          <w:lang w:val="hu-HU"/>
        </w:rPr>
        <w:t>Meg kell jegyezni, hogy</w:t>
      </w:r>
      <w:r w:rsidR="0031608C" w:rsidRPr="00065F8C">
        <w:rPr>
          <w:rFonts w:eastAsia="Times New Roman" w:cstheme="minorHAnsi"/>
          <w:sz w:val="22"/>
          <w:lang w:val="hu-HU"/>
        </w:rPr>
        <w:t xml:space="preserve"> </w:t>
      </w:r>
      <w:r>
        <w:rPr>
          <w:rFonts w:eastAsia="Times New Roman" w:cstheme="minorHAnsi"/>
          <w:sz w:val="22"/>
          <w:lang w:val="hu-HU"/>
        </w:rPr>
        <w:t>léteznek</w:t>
      </w:r>
      <w:r w:rsidR="0031608C" w:rsidRPr="00065F8C">
        <w:rPr>
          <w:rFonts w:eastAsia="Times New Roman" w:cstheme="minorHAnsi"/>
          <w:sz w:val="22"/>
          <w:lang w:val="hu-HU"/>
        </w:rPr>
        <w:t xml:space="preserve"> olyan adatok és információk, melyek nem frissíthetők minden esetben az információkérés határnapjára (például a vállalati ügyfél hitelminősítése külső hitelminősítő által, vállalati ügyfél pénzügyi kimutatásaira vonatkozó </w:t>
      </w:r>
      <w:proofErr w:type="gramStart"/>
      <w:r w:rsidR="0031608C" w:rsidRPr="00065F8C">
        <w:rPr>
          <w:rFonts w:eastAsia="Times New Roman" w:cstheme="minorHAnsi"/>
          <w:sz w:val="22"/>
          <w:lang w:val="hu-HU"/>
        </w:rPr>
        <w:t>adatok</w:t>
      </w:r>
      <w:r>
        <w:rPr>
          <w:rFonts w:eastAsia="Times New Roman" w:cstheme="minorHAnsi"/>
          <w:sz w:val="22"/>
          <w:lang w:val="hu-HU"/>
        </w:rPr>
        <w:t>,</w:t>
      </w:r>
      <w:proofErr w:type="gramEnd"/>
      <w:r>
        <w:rPr>
          <w:rFonts w:eastAsia="Times New Roman" w:cstheme="minorHAnsi"/>
          <w:sz w:val="22"/>
          <w:lang w:val="hu-HU"/>
        </w:rPr>
        <w:t xml:space="preserve"> stb.</w:t>
      </w:r>
      <w:r w:rsidR="0031608C" w:rsidRPr="00065F8C">
        <w:rPr>
          <w:rFonts w:eastAsia="Times New Roman" w:cstheme="minorHAnsi"/>
          <w:sz w:val="22"/>
          <w:lang w:val="hu-HU"/>
        </w:rPr>
        <w:t>). Ezen információk esetében az intézmény rendszereiben, birtokában lévő legnaprakészebb</w:t>
      </w:r>
      <w:r w:rsidR="00CC7104">
        <w:rPr>
          <w:rFonts w:eastAsia="Times New Roman" w:cstheme="minorHAnsi"/>
          <w:sz w:val="22"/>
          <w:lang w:val="hu-HU"/>
        </w:rPr>
        <w:t>, utolsó aktualizálás szerinti</w:t>
      </w:r>
      <w:r w:rsidR="0031608C" w:rsidRPr="00065F8C">
        <w:rPr>
          <w:rFonts w:eastAsia="Times New Roman" w:cstheme="minorHAnsi"/>
          <w:sz w:val="22"/>
          <w:lang w:val="hu-HU"/>
        </w:rPr>
        <w:t xml:space="preserve"> információt szükséges megadni és külön adatmezőben feltüntetni, hogy mely időpontra vonatkozik az adat.</w:t>
      </w:r>
    </w:p>
    <w:p w14:paraId="2FFBF722" w14:textId="77777777" w:rsidR="00A554F3" w:rsidRDefault="00A554F3" w:rsidP="00270638">
      <w:pPr>
        <w:numPr>
          <w:ilvl w:val="2"/>
          <w:numId w:val="16"/>
        </w:numPr>
        <w:ind w:left="1710" w:right="-3139"/>
        <w:textAlignment w:val="center"/>
        <w:rPr>
          <w:rFonts w:eastAsia="Times New Roman" w:cstheme="minorHAnsi"/>
          <w:sz w:val="22"/>
          <w:lang w:val="hu-HU"/>
        </w:rPr>
      </w:pPr>
      <w:r>
        <w:rPr>
          <w:rFonts w:eastAsia="Times New Roman" w:cstheme="minorHAnsi"/>
          <w:sz w:val="22"/>
          <w:lang w:val="hu-HU"/>
        </w:rPr>
        <w:t>Egyes adatok, információk tekintetében, (elsősorban a Pénzügyi átvilágításhoz tartozó információk esetén) az MNB elfogadja, ha az intézmény belső ellenőrzése alapján felülvizsgált, és elfogadott folyamatok kellően bizonyítj</w:t>
      </w:r>
      <w:r w:rsidR="00E36F1B">
        <w:rPr>
          <w:rFonts w:eastAsia="Times New Roman" w:cstheme="minorHAnsi"/>
          <w:sz w:val="22"/>
          <w:lang w:val="hu-HU"/>
        </w:rPr>
        <w:t>ák</w:t>
      </w:r>
      <w:r>
        <w:rPr>
          <w:rFonts w:eastAsia="Times New Roman" w:cstheme="minorHAnsi"/>
          <w:sz w:val="22"/>
          <w:lang w:val="hu-HU"/>
        </w:rPr>
        <w:t>, hogy az információk helye azonosításra kerül</w:t>
      </w:r>
      <w:r w:rsidR="00E36F1B">
        <w:rPr>
          <w:rFonts w:eastAsia="Times New Roman" w:cstheme="minorHAnsi"/>
          <w:sz w:val="22"/>
          <w:lang w:val="hu-HU"/>
        </w:rPr>
        <w:t>t</w:t>
      </w:r>
      <w:r>
        <w:rPr>
          <w:rFonts w:eastAsia="Times New Roman" w:cstheme="minorHAnsi"/>
          <w:sz w:val="22"/>
          <w:lang w:val="hu-HU"/>
        </w:rPr>
        <w:t xml:space="preserve">, azok határidőre való előállítása, </w:t>
      </w:r>
      <w:r w:rsidR="00E36F1B">
        <w:rPr>
          <w:rFonts w:eastAsia="Times New Roman" w:cstheme="minorHAnsi"/>
          <w:sz w:val="22"/>
          <w:lang w:val="hu-HU"/>
        </w:rPr>
        <w:t>és az adatszolgáltatások</w:t>
      </w:r>
      <w:r>
        <w:rPr>
          <w:rFonts w:eastAsia="Times New Roman" w:cstheme="minorHAnsi"/>
          <w:sz w:val="22"/>
          <w:lang w:val="hu-HU"/>
        </w:rPr>
        <w:t xml:space="preserve"> felelősei meghatározásosra kerültek, szüksége esetén az intézmény </w:t>
      </w:r>
      <w:r w:rsidR="00E36F1B">
        <w:rPr>
          <w:rFonts w:eastAsia="Times New Roman" w:cstheme="minorHAnsi"/>
          <w:sz w:val="22"/>
          <w:lang w:val="hu-HU"/>
        </w:rPr>
        <w:t xml:space="preserve">képes </w:t>
      </w:r>
      <w:r>
        <w:rPr>
          <w:rFonts w:eastAsia="Times New Roman" w:cstheme="minorHAnsi"/>
          <w:sz w:val="22"/>
          <w:lang w:val="hu-HU"/>
        </w:rPr>
        <w:t>az</w:t>
      </w:r>
      <w:r w:rsidR="00E36F1B">
        <w:rPr>
          <w:rFonts w:eastAsia="Times New Roman" w:cstheme="minorHAnsi"/>
          <w:sz w:val="22"/>
          <w:lang w:val="hu-HU"/>
        </w:rPr>
        <w:t xml:space="preserve"> adatszolgáltatások</w:t>
      </w:r>
      <w:r>
        <w:rPr>
          <w:rFonts w:eastAsia="Times New Roman" w:cstheme="minorHAnsi"/>
          <w:sz w:val="22"/>
          <w:lang w:val="hu-HU"/>
        </w:rPr>
        <w:t xml:space="preserve"> hat</w:t>
      </w:r>
      <w:r w:rsidR="00E36F1B">
        <w:rPr>
          <w:rFonts w:eastAsia="Times New Roman" w:cstheme="minorHAnsi"/>
          <w:sz w:val="22"/>
          <w:lang w:val="hu-HU"/>
        </w:rPr>
        <w:t>á</w:t>
      </w:r>
      <w:r>
        <w:rPr>
          <w:rFonts w:eastAsia="Times New Roman" w:cstheme="minorHAnsi"/>
          <w:sz w:val="22"/>
          <w:lang w:val="hu-HU"/>
        </w:rPr>
        <w:t>rid</w:t>
      </w:r>
      <w:r w:rsidR="00E36F1B">
        <w:rPr>
          <w:rFonts w:eastAsia="Times New Roman" w:cstheme="minorHAnsi"/>
          <w:sz w:val="22"/>
          <w:lang w:val="hu-HU"/>
        </w:rPr>
        <w:t>őr</w:t>
      </w:r>
      <w:r>
        <w:rPr>
          <w:rFonts w:eastAsia="Times New Roman" w:cstheme="minorHAnsi"/>
          <w:sz w:val="22"/>
          <w:lang w:val="hu-HU"/>
        </w:rPr>
        <w:t>e</w:t>
      </w:r>
      <w:r w:rsidR="00E36F1B">
        <w:rPr>
          <w:rFonts w:eastAsia="Times New Roman" w:cstheme="minorHAnsi"/>
          <w:sz w:val="22"/>
          <w:lang w:val="hu-HU"/>
        </w:rPr>
        <w:t xml:space="preserve"> történő feltöltésére</w:t>
      </w:r>
      <w:r>
        <w:rPr>
          <w:rFonts w:eastAsia="Times New Roman" w:cstheme="minorHAnsi"/>
          <w:sz w:val="22"/>
          <w:lang w:val="hu-HU"/>
        </w:rPr>
        <w:t>.</w:t>
      </w:r>
    </w:p>
    <w:p w14:paraId="70449669" w14:textId="675FDA48" w:rsidR="00545F68" w:rsidRPr="00841E60" w:rsidRDefault="00322EFF" w:rsidP="00270638">
      <w:pPr>
        <w:numPr>
          <w:ilvl w:val="2"/>
          <w:numId w:val="16"/>
        </w:numPr>
        <w:ind w:left="1710" w:right="-3139"/>
        <w:textAlignment w:val="center"/>
        <w:rPr>
          <w:rFonts w:eastAsia="Times New Roman" w:cstheme="minorHAnsi"/>
          <w:sz w:val="22"/>
          <w:lang w:val="hu-HU"/>
        </w:rPr>
      </w:pPr>
      <w:r>
        <w:rPr>
          <w:rFonts w:eastAsia="Times New Roman" w:cstheme="minorHAnsi"/>
          <w:sz w:val="22"/>
          <w:lang w:val="hu-HU"/>
        </w:rPr>
        <w:t>Az értékelő és/vagy a szanálási hatóság</w:t>
      </w:r>
      <w:r w:rsidR="009A6DA4">
        <w:rPr>
          <w:rFonts w:eastAsia="Times New Roman" w:cstheme="minorHAnsi"/>
          <w:sz w:val="22"/>
          <w:lang w:val="hu-HU"/>
        </w:rPr>
        <w:t xml:space="preserve"> – az adatbekérőben </w:t>
      </w:r>
      <w:r w:rsidR="00A97DBB">
        <w:rPr>
          <w:rFonts w:eastAsia="Times New Roman" w:cstheme="minorHAnsi"/>
          <w:sz w:val="22"/>
          <w:lang w:val="hu-HU"/>
        </w:rPr>
        <w:t xml:space="preserve">jelzettektől eltérően – további </w:t>
      </w:r>
      <w:r w:rsidR="00CA07DF">
        <w:rPr>
          <w:rFonts w:eastAsia="Times New Roman" w:cstheme="minorHAnsi"/>
          <w:sz w:val="22"/>
          <w:lang w:val="hu-HU"/>
        </w:rPr>
        <w:t>időpontokra is kérheti az adatok és inform</w:t>
      </w:r>
      <w:r w:rsidR="002F73E8">
        <w:rPr>
          <w:rFonts w:eastAsia="Times New Roman" w:cstheme="minorHAnsi"/>
          <w:sz w:val="22"/>
          <w:lang w:val="hu-HU"/>
        </w:rPr>
        <w:t>á</w:t>
      </w:r>
      <w:r w:rsidR="00CA07DF">
        <w:rPr>
          <w:rFonts w:eastAsia="Times New Roman" w:cstheme="minorHAnsi"/>
          <w:sz w:val="22"/>
          <w:lang w:val="hu-HU"/>
        </w:rPr>
        <w:t xml:space="preserve">ciók egészének vagy egy részének aktualizálását, </w:t>
      </w:r>
      <w:r w:rsidR="00CA07DF">
        <w:rPr>
          <w:rFonts w:eastAsia="Times New Roman" w:cstheme="minorHAnsi"/>
          <w:sz w:val="22"/>
          <w:lang w:val="hu-HU"/>
        </w:rPr>
        <w:lastRenderedPageBreak/>
        <w:t xml:space="preserve">amennyiben </w:t>
      </w:r>
      <w:r w:rsidR="00162C00">
        <w:rPr>
          <w:rFonts w:eastAsia="Times New Roman" w:cstheme="minorHAnsi"/>
          <w:sz w:val="22"/>
          <w:lang w:val="hu-HU"/>
        </w:rPr>
        <w:t>az értékelés elvégzése</w:t>
      </w:r>
      <w:r w:rsidR="00C76AF6">
        <w:rPr>
          <w:rFonts w:eastAsia="Times New Roman" w:cstheme="minorHAnsi"/>
          <w:sz w:val="22"/>
          <w:lang w:val="hu-HU"/>
        </w:rPr>
        <w:t>, a</w:t>
      </w:r>
      <w:r w:rsidR="00883B5D">
        <w:rPr>
          <w:rFonts w:eastAsia="Times New Roman" w:cstheme="minorHAnsi"/>
          <w:sz w:val="22"/>
          <w:lang w:val="hu-HU"/>
        </w:rPr>
        <w:t xml:space="preserve"> pozíciók </w:t>
      </w:r>
      <w:proofErr w:type="spellStart"/>
      <w:r w:rsidR="007E101C">
        <w:rPr>
          <w:rFonts w:eastAsia="Times New Roman" w:cstheme="minorHAnsi"/>
          <w:sz w:val="22"/>
          <w:lang w:val="hu-HU"/>
        </w:rPr>
        <w:t>materialitása</w:t>
      </w:r>
      <w:proofErr w:type="spellEnd"/>
      <w:r w:rsidR="007E101C">
        <w:rPr>
          <w:rFonts w:eastAsia="Times New Roman" w:cstheme="minorHAnsi"/>
          <w:sz w:val="22"/>
          <w:lang w:val="hu-HU"/>
        </w:rPr>
        <w:t xml:space="preserve"> </w:t>
      </w:r>
      <w:r w:rsidR="00162C00">
        <w:rPr>
          <w:rFonts w:eastAsia="Times New Roman" w:cstheme="minorHAnsi"/>
          <w:sz w:val="22"/>
          <w:lang w:val="hu-HU"/>
        </w:rPr>
        <w:t xml:space="preserve">és a </w:t>
      </w:r>
      <w:r w:rsidR="00841E60">
        <w:rPr>
          <w:rFonts w:eastAsia="Times New Roman" w:cstheme="minorHAnsi"/>
          <w:sz w:val="22"/>
          <w:lang w:val="hu-HU"/>
        </w:rPr>
        <w:t xml:space="preserve">szanálás elrendelése, illetve a </w:t>
      </w:r>
      <w:r w:rsidR="00162C00">
        <w:rPr>
          <w:rFonts w:eastAsia="Times New Roman" w:cstheme="minorHAnsi"/>
          <w:sz w:val="22"/>
          <w:lang w:val="hu-HU"/>
        </w:rPr>
        <w:t>szanálási</w:t>
      </w:r>
      <w:r w:rsidR="0029079D">
        <w:rPr>
          <w:rFonts w:eastAsia="Times New Roman" w:cstheme="minorHAnsi"/>
          <w:sz w:val="22"/>
          <w:lang w:val="hu-HU"/>
        </w:rPr>
        <w:t xml:space="preserve"> intézkedésről szóló</w:t>
      </w:r>
      <w:r w:rsidR="00841E60">
        <w:rPr>
          <w:rFonts w:eastAsia="Times New Roman" w:cstheme="minorHAnsi"/>
          <w:sz w:val="22"/>
          <w:lang w:val="hu-HU"/>
        </w:rPr>
        <w:t xml:space="preserve"> </w:t>
      </w:r>
      <w:r w:rsidR="00162C00" w:rsidRPr="00841E60">
        <w:rPr>
          <w:rFonts w:eastAsia="Times New Roman" w:cstheme="minorHAnsi"/>
          <w:sz w:val="22"/>
          <w:lang w:val="hu-HU"/>
        </w:rPr>
        <w:t xml:space="preserve">döntés szempontjából szükségesnek </w:t>
      </w:r>
      <w:r w:rsidR="00706718" w:rsidRPr="00841E60">
        <w:rPr>
          <w:rFonts w:eastAsia="Times New Roman" w:cstheme="minorHAnsi"/>
          <w:sz w:val="22"/>
          <w:lang w:val="hu-HU"/>
        </w:rPr>
        <w:t>látja</w:t>
      </w:r>
      <w:r w:rsidR="00162C00" w:rsidRPr="00841E60">
        <w:rPr>
          <w:rFonts w:eastAsia="Times New Roman" w:cstheme="minorHAnsi"/>
          <w:sz w:val="22"/>
          <w:lang w:val="hu-HU"/>
        </w:rPr>
        <w:t>.</w:t>
      </w:r>
    </w:p>
    <w:p w14:paraId="124B29CA" w14:textId="77777777" w:rsidR="00FD7C8E" w:rsidRPr="00877768" w:rsidRDefault="00C71E97" w:rsidP="00270638">
      <w:pPr>
        <w:pStyle w:val="Heading2"/>
        <w:ind w:left="360" w:hanging="360"/>
      </w:pPr>
      <w:bookmarkStart w:id="15" w:name="_Toc153188945"/>
      <w:r w:rsidRPr="00877768">
        <w:t>A</w:t>
      </w:r>
      <w:r w:rsidR="008E08FE" w:rsidRPr="00877768">
        <w:t xml:space="preserve"> „</w:t>
      </w:r>
      <w:proofErr w:type="spellStart"/>
      <w:r w:rsidRPr="00877768">
        <w:t>bail</w:t>
      </w:r>
      <w:proofErr w:type="spellEnd"/>
      <w:r w:rsidRPr="00877768">
        <w:t>-in</w:t>
      </w:r>
      <w:r w:rsidR="008E08FE" w:rsidRPr="00877768">
        <w:t>”</w:t>
      </w:r>
      <w:r w:rsidRPr="00877768">
        <w:t xml:space="preserve"> </w:t>
      </w:r>
      <w:r w:rsidR="00CD041E" w:rsidRPr="00877768">
        <w:t xml:space="preserve">analitika </w:t>
      </w:r>
      <w:r w:rsidR="006A5D94" w:rsidRPr="00877768">
        <w:t>struktúrájának magas szintű áttekintése</w:t>
      </w:r>
      <w:bookmarkEnd w:id="15"/>
    </w:p>
    <w:p w14:paraId="688EF6BC" w14:textId="77777777" w:rsidR="00B56D72" w:rsidRPr="00C45042" w:rsidRDefault="00371208" w:rsidP="00270638">
      <w:pPr>
        <w:ind w:left="360" w:right="-3139"/>
        <w:textAlignment w:val="center"/>
        <w:rPr>
          <w:rFonts w:eastAsia="Times New Roman" w:cstheme="minorHAnsi"/>
          <w:sz w:val="22"/>
          <w:lang w:val="hu-HU"/>
        </w:rPr>
      </w:pPr>
      <w:r>
        <w:rPr>
          <w:rFonts w:eastAsia="Times New Roman" w:cstheme="minorHAnsi"/>
          <w:sz w:val="22"/>
        </w:rPr>
        <w:t>A</w:t>
      </w:r>
      <w:r w:rsidR="00651D5A">
        <w:rPr>
          <w:rFonts w:eastAsia="Times New Roman" w:cstheme="minorHAnsi"/>
          <w:sz w:val="22"/>
        </w:rPr>
        <w:t xml:space="preserve"> “bail-in”</w:t>
      </w:r>
      <w:r>
        <w:rPr>
          <w:rFonts w:eastAsia="Times New Roman" w:cstheme="minorHAnsi"/>
          <w:sz w:val="22"/>
        </w:rPr>
        <w:t xml:space="preserve"> </w:t>
      </w:r>
      <w:r w:rsidRPr="004B61C4">
        <w:rPr>
          <w:rFonts w:eastAsia="Times New Roman" w:cstheme="minorHAnsi"/>
          <w:sz w:val="22"/>
          <w:lang w:val="hu-HU"/>
        </w:rPr>
        <w:t>analitika 7 modulb</w:t>
      </w:r>
      <w:r w:rsidRPr="00C45042">
        <w:rPr>
          <w:rFonts w:eastAsia="Times New Roman" w:cstheme="minorHAnsi"/>
          <w:sz w:val="22"/>
          <w:lang w:val="hu-HU"/>
        </w:rPr>
        <w:t>ól áll:</w:t>
      </w:r>
    </w:p>
    <w:p w14:paraId="4F9C67A8" w14:textId="77777777" w:rsidR="00100D80" w:rsidRPr="004B61C4" w:rsidRDefault="00100D80" w:rsidP="00270638">
      <w:pPr>
        <w:pStyle w:val="ListParagraph"/>
        <w:numPr>
          <w:ilvl w:val="1"/>
          <w:numId w:val="19"/>
        </w:numPr>
        <w:ind w:left="1170" w:right="-3135"/>
        <w:rPr>
          <w:rFonts w:cstheme="minorHAnsi"/>
          <w:i/>
          <w:iCs/>
          <w:sz w:val="22"/>
          <w:lang w:val="hu-HU"/>
        </w:rPr>
      </w:pPr>
      <w:r w:rsidRPr="004B61C4">
        <w:rPr>
          <w:rFonts w:cstheme="minorHAnsi"/>
          <w:sz w:val="22"/>
          <w:lang w:val="hu-HU"/>
        </w:rPr>
        <w:t>Áttekint</w:t>
      </w:r>
      <w:r w:rsidR="00F13791" w:rsidRPr="004B61C4">
        <w:rPr>
          <w:rFonts w:cstheme="minorHAnsi"/>
          <w:sz w:val="22"/>
          <w:lang w:val="hu-HU"/>
        </w:rPr>
        <w:t>ő</w:t>
      </w:r>
      <w:r w:rsidRPr="004B61C4">
        <w:rPr>
          <w:rFonts w:cstheme="minorHAnsi"/>
          <w:i/>
          <w:iCs/>
          <w:sz w:val="22"/>
          <w:lang w:val="hu-HU"/>
        </w:rPr>
        <w:t xml:space="preserve">: </w:t>
      </w:r>
      <w:r w:rsidRPr="004B61C4">
        <w:rPr>
          <w:rFonts w:cstheme="minorHAnsi"/>
          <w:sz w:val="22"/>
          <w:lang w:val="hu-HU"/>
        </w:rPr>
        <w:t>az adatbekérő fedőlapja</w:t>
      </w:r>
    </w:p>
    <w:p w14:paraId="3E417E4F" w14:textId="77777777" w:rsidR="00100D80" w:rsidRPr="004B61C4" w:rsidRDefault="00DC7096" w:rsidP="00270638">
      <w:pPr>
        <w:pStyle w:val="ListParagraph"/>
        <w:numPr>
          <w:ilvl w:val="1"/>
          <w:numId w:val="19"/>
        </w:numPr>
        <w:ind w:left="1170" w:right="-3135"/>
        <w:rPr>
          <w:rFonts w:cstheme="minorHAnsi"/>
          <w:i/>
          <w:iCs/>
          <w:sz w:val="22"/>
          <w:lang w:val="hu-HU"/>
        </w:rPr>
      </w:pPr>
      <w:r w:rsidRPr="004B61C4">
        <w:rPr>
          <w:rFonts w:cstheme="minorHAnsi"/>
          <w:sz w:val="22"/>
          <w:lang w:val="hu-HU"/>
        </w:rPr>
        <w:t>Szerződő felek</w:t>
      </w:r>
      <w:r w:rsidR="00100D80" w:rsidRPr="004B61C4">
        <w:rPr>
          <w:rFonts w:cstheme="minorHAnsi"/>
          <w:i/>
          <w:iCs/>
          <w:sz w:val="22"/>
          <w:lang w:val="hu-HU"/>
        </w:rPr>
        <w:t>:</w:t>
      </w:r>
      <w:r w:rsidR="00100D80" w:rsidRPr="004B61C4">
        <w:rPr>
          <w:rFonts w:cstheme="minorHAnsi"/>
          <w:sz w:val="22"/>
          <w:lang w:val="hu-HU"/>
        </w:rPr>
        <w:t xml:space="preserve"> a szanálás kapcsán, a szerződő félre vonatkozóan felmerülő összes adattípus</w:t>
      </w:r>
    </w:p>
    <w:p w14:paraId="71977436" w14:textId="77777777" w:rsidR="00100D80" w:rsidRPr="004B61C4" w:rsidRDefault="00100D80" w:rsidP="00270638">
      <w:pPr>
        <w:pStyle w:val="ListParagraph"/>
        <w:numPr>
          <w:ilvl w:val="1"/>
          <w:numId w:val="19"/>
        </w:numPr>
        <w:ind w:left="1170" w:right="-3135"/>
        <w:rPr>
          <w:rFonts w:cstheme="minorHAnsi"/>
          <w:i/>
          <w:iCs/>
          <w:sz w:val="22"/>
          <w:lang w:val="hu-HU"/>
        </w:rPr>
      </w:pPr>
      <w:r w:rsidRPr="004B61C4">
        <w:rPr>
          <w:rFonts w:cstheme="minorHAnsi"/>
          <w:sz w:val="22"/>
          <w:lang w:val="hu-HU"/>
        </w:rPr>
        <w:t>Betét</w:t>
      </w:r>
      <w:r w:rsidRPr="004B61C4">
        <w:rPr>
          <w:rFonts w:cstheme="minorHAnsi"/>
          <w:i/>
          <w:iCs/>
          <w:sz w:val="22"/>
          <w:lang w:val="hu-HU"/>
        </w:rPr>
        <w:t>:</w:t>
      </w:r>
      <w:r w:rsidRPr="004B61C4">
        <w:rPr>
          <w:rFonts w:cstheme="minorHAnsi"/>
          <w:sz w:val="22"/>
          <w:lang w:val="hu-HU"/>
        </w:rPr>
        <w:t xml:space="preserve"> </w:t>
      </w:r>
      <w:r w:rsidR="00EE0E32" w:rsidRPr="004B61C4">
        <w:rPr>
          <w:rFonts w:cstheme="minorHAnsi"/>
          <w:sz w:val="22"/>
          <w:lang w:val="hu-HU"/>
        </w:rPr>
        <w:t>b</w:t>
      </w:r>
      <w:r w:rsidRPr="004B61C4">
        <w:rPr>
          <w:rFonts w:cstheme="minorHAnsi"/>
          <w:sz w:val="22"/>
          <w:lang w:val="hu-HU"/>
        </w:rPr>
        <w:t>etétekre vonatkozó, szanáláshoz szükséges adattípusok</w:t>
      </w:r>
    </w:p>
    <w:p w14:paraId="5A5241D0" w14:textId="77777777" w:rsidR="00100D80" w:rsidRPr="004B61C4" w:rsidRDefault="00100D80" w:rsidP="00270638">
      <w:pPr>
        <w:pStyle w:val="ListParagraph"/>
        <w:numPr>
          <w:ilvl w:val="1"/>
          <w:numId w:val="19"/>
        </w:numPr>
        <w:ind w:left="1170" w:right="-3135"/>
        <w:rPr>
          <w:rFonts w:cstheme="minorHAnsi"/>
          <w:i/>
          <w:iCs/>
          <w:sz w:val="22"/>
          <w:lang w:val="hu-HU"/>
        </w:rPr>
      </w:pPr>
      <w:r w:rsidRPr="004B61C4">
        <w:rPr>
          <w:rFonts w:cstheme="minorHAnsi"/>
          <w:sz w:val="22"/>
          <w:lang w:val="hu-HU"/>
        </w:rPr>
        <w:t>Értékpapír</w:t>
      </w:r>
      <w:r w:rsidRPr="004B61C4">
        <w:rPr>
          <w:rFonts w:cstheme="minorHAnsi"/>
          <w:i/>
          <w:iCs/>
          <w:sz w:val="22"/>
          <w:lang w:val="hu-HU"/>
        </w:rPr>
        <w:t>:</w:t>
      </w:r>
      <w:r w:rsidRPr="004B61C4">
        <w:rPr>
          <w:rFonts w:cstheme="minorHAnsi"/>
          <w:sz w:val="22"/>
          <w:lang w:val="hu-HU"/>
        </w:rPr>
        <w:t xml:space="preserve"> </w:t>
      </w:r>
      <w:r w:rsidR="00EE0E32" w:rsidRPr="004B61C4">
        <w:rPr>
          <w:rFonts w:cstheme="minorHAnsi"/>
          <w:sz w:val="22"/>
          <w:lang w:val="hu-HU"/>
        </w:rPr>
        <w:t xml:space="preserve">értékpapírokra </w:t>
      </w:r>
      <w:r w:rsidRPr="004B61C4">
        <w:rPr>
          <w:rFonts w:cstheme="minorHAnsi"/>
          <w:sz w:val="22"/>
          <w:lang w:val="hu-HU"/>
        </w:rPr>
        <w:t>vonatkozó, szanáláshoz szükséges adattípusok</w:t>
      </w:r>
    </w:p>
    <w:p w14:paraId="20B3AEB1" w14:textId="77777777" w:rsidR="00100D80" w:rsidRPr="004B61C4" w:rsidRDefault="00100D80" w:rsidP="00270638">
      <w:pPr>
        <w:pStyle w:val="ListParagraph"/>
        <w:numPr>
          <w:ilvl w:val="1"/>
          <w:numId w:val="19"/>
        </w:numPr>
        <w:ind w:left="1170" w:right="-3135"/>
        <w:rPr>
          <w:rFonts w:cstheme="minorHAnsi"/>
          <w:i/>
          <w:iCs/>
          <w:sz w:val="22"/>
          <w:lang w:val="hu-HU"/>
        </w:rPr>
      </w:pPr>
      <w:proofErr w:type="spellStart"/>
      <w:r w:rsidRPr="004B61C4">
        <w:rPr>
          <w:rFonts w:cstheme="minorHAnsi"/>
          <w:sz w:val="22"/>
          <w:lang w:val="hu-HU"/>
        </w:rPr>
        <w:t>Derivatíva</w:t>
      </w:r>
      <w:proofErr w:type="spellEnd"/>
      <w:r w:rsidRPr="004B61C4">
        <w:rPr>
          <w:rFonts w:cstheme="minorHAnsi"/>
          <w:i/>
          <w:iCs/>
          <w:sz w:val="22"/>
          <w:lang w:val="hu-HU"/>
        </w:rPr>
        <w:t xml:space="preserve">: </w:t>
      </w:r>
      <w:proofErr w:type="spellStart"/>
      <w:r w:rsidR="00EE0E32" w:rsidRPr="004B61C4">
        <w:rPr>
          <w:rFonts w:cstheme="minorHAnsi"/>
          <w:sz w:val="22"/>
          <w:lang w:val="hu-HU"/>
        </w:rPr>
        <w:t>derivatívákra</w:t>
      </w:r>
      <w:proofErr w:type="spellEnd"/>
      <w:r w:rsidR="00EE0E32" w:rsidRPr="004B61C4">
        <w:rPr>
          <w:rFonts w:cstheme="minorHAnsi"/>
          <w:sz w:val="22"/>
          <w:lang w:val="hu-HU"/>
        </w:rPr>
        <w:t xml:space="preserve"> </w:t>
      </w:r>
      <w:r w:rsidRPr="004B61C4">
        <w:rPr>
          <w:rFonts w:cstheme="minorHAnsi"/>
          <w:sz w:val="22"/>
          <w:lang w:val="hu-HU"/>
        </w:rPr>
        <w:t>vonatkozó, szanáláshoz szükséges adattípusok</w:t>
      </w:r>
    </w:p>
    <w:p w14:paraId="284185E2" w14:textId="77777777" w:rsidR="00100D80" w:rsidRPr="004B61C4" w:rsidRDefault="00100D80" w:rsidP="00270638">
      <w:pPr>
        <w:pStyle w:val="ListParagraph"/>
        <w:numPr>
          <w:ilvl w:val="1"/>
          <w:numId w:val="19"/>
        </w:numPr>
        <w:ind w:left="1170" w:right="-3135"/>
        <w:rPr>
          <w:rFonts w:cstheme="minorHAnsi"/>
          <w:i/>
          <w:iCs/>
          <w:sz w:val="22"/>
          <w:lang w:val="hu-HU"/>
        </w:rPr>
      </w:pPr>
      <w:r w:rsidRPr="004B61C4">
        <w:rPr>
          <w:rFonts w:cstheme="minorHAnsi"/>
          <w:sz w:val="22"/>
          <w:lang w:val="hu-HU"/>
        </w:rPr>
        <w:t>Egyéb kötelezettségek</w:t>
      </w:r>
      <w:r w:rsidRPr="004B61C4">
        <w:rPr>
          <w:rFonts w:cstheme="minorHAnsi"/>
          <w:i/>
          <w:iCs/>
          <w:sz w:val="22"/>
          <w:lang w:val="hu-HU"/>
        </w:rPr>
        <w:t xml:space="preserve">: </w:t>
      </w:r>
      <w:r w:rsidRPr="004B61C4">
        <w:rPr>
          <w:rFonts w:cstheme="minorHAnsi"/>
          <w:sz w:val="22"/>
          <w:lang w:val="hu-HU"/>
        </w:rPr>
        <w:t>felmerülő egyéb kötelezettségek, pénzügyi eszközökre vonatkozó, szanáláshoz szükséges adattípusok</w:t>
      </w:r>
    </w:p>
    <w:p w14:paraId="74B9F0D0" w14:textId="0FEBBB1A" w:rsidR="00BD245D" w:rsidRPr="004B61C4" w:rsidRDefault="0029079D" w:rsidP="00270638">
      <w:pPr>
        <w:pStyle w:val="ListParagraph"/>
        <w:numPr>
          <w:ilvl w:val="1"/>
          <w:numId w:val="19"/>
        </w:numPr>
        <w:ind w:left="1170" w:right="-3135"/>
        <w:rPr>
          <w:rFonts w:cstheme="minorHAnsi"/>
          <w:sz w:val="22"/>
          <w:lang w:val="hu-HU"/>
        </w:rPr>
      </w:pPr>
      <w:r>
        <w:rPr>
          <w:rFonts w:cstheme="minorHAnsi"/>
          <w:sz w:val="22"/>
          <w:lang w:val="hu-HU"/>
        </w:rPr>
        <w:t>Hitelezői feltőkésítésbő</w:t>
      </w:r>
      <w:r w:rsidRPr="004B61C4">
        <w:rPr>
          <w:rFonts w:cstheme="minorHAnsi"/>
          <w:sz w:val="22"/>
          <w:lang w:val="hu-HU"/>
        </w:rPr>
        <w:t xml:space="preserve">l </w:t>
      </w:r>
      <w:r w:rsidR="00100D80" w:rsidRPr="004B61C4">
        <w:rPr>
          <w:rFonts w:cstheme="minorHAnsi"/>
          <w:sz w:val="22"/>
          <w:lang w:val="hu-HU"/>
        </w:rPr>
        <w:t>való kizárás feltételei</w:t>
      </w:r>
      <w:r w:rsidR="00100D80" w:rsidRPr="004B61C4">
        <w:rPr>
          <w:rFonts w:cstheme="minorHAnsi"/>
          <w:i/>
          <w:iCs/>
          <w:sz w:val="22"/>
          <w:lang w:val="hu-HU"/>
        </w:rPr>
        <w:t>:</w:t>
      </w:r>
      <w:r w:rsidR="00100D80" w:rsidRPr="004B61C4">
        <w:rPr>
          <w:rFonts w:cstheme="minorHAnsi"/>
          <w:sz w:val="22"/>
          <w:lang w:val="hu-HU"/>
        </w:rPr>
        <w:t xml:space="preserve"> A szanálási szabályoknak megfelelően kialakított logikai kapcsolatok, melyek segítségével “</w:t>
      </w:r>
      <w:proofErr w:type="spellStart"/>
      <w:r w:rsidR="00100D80" w:rsidRPr="004B61C4">
        <w:rPr>
          <w:rFonts w:cstheme="minorHAnsi"/>
          <w:sz w:val="22"/>
          <w:lang w:val="hu-HU"/>
        </w:rPr>
        <w:t>bail</w:t>
      </w:r>
      <w:proofErr w:type="spellEnd"/>
      <w:r w:rsidR="00100D80" w:rsidRPr="004B61C4">
        <w:rPr>
          <w:rFonts w:cstheme="minorHAnsi"/>
          <w:sz w:val="22"/>
          <w:lang w:val="hu-HU"/>
        </w:rPr>
        <w:t xml:space="preserve">-in </w:t>
      </w:r>
      <w:proofErr w:type="spellStart"/>
      <w:proofErr w:type="gramStart"/>
      <w:r w:rsidR="00100D80" w:rsidRPr="004B61C4">
        <w:rPr>
          <w:rFonts w:cstheme="minorHAnsi"/>
          <w:sz w:val="22"/>
          <w:lang w:val="hu-HU"/>
        </w:rPr>
        <w:t>flag</w:t>
      </w:r>
      <w:proofErr w:type="spellEnd"/>
      <w:r w:rsidR="00100D80" w:rsidRPr="004B61C4">
        <w:rPr>
          <w:rFonts w:cstheme="minorHAnsi"/>
          <w:sz w:val="22"/>
          <w:lang w:val="hu-HU"/>
        </w:rPr>
        <w:t>”-</w:t>
      </w:r>
      <w:proofErr w:type="gramEnd"/>
      <w:r w:rsidR="00100D80" w:rsidRPr="004B61C4">
        <w:rPr>
          <w:rFonts w:cstheme="minorHAnsi"/>
          <w:sz w:val="22"/>
          <w:lang w:val="hu-HU"/>
        </w:rPr>
        <w:t>ek kerültek kialakításra. Ezek a pontok azonnali szanálásból való kizárást jelölnek.</w:t>
      </w:r>
      <w:r w:rsidR="007E16E2">
        <w:rPr>
          <w:rFonts w:cstheme="minorHAnsi"/>
          <w:sz w:val="22"/>
          <w:lang w:val="hu-HU"/>
        </w:rPr>
        <w:t xml:space="preserve"> </w:t>
      </w:r>
      <w:r w:rsidR="00BD245D" w:rsidRPr="004B61C4">
        <w:rPr>
          <w:rFonts w:cstheme="minorHAnsi"/>
          <w:sz w:val="22"/>
          <w:lang w:val="hu-HU"/>
        </w:rPr>
        <w:t xml:space="preserve">A </w:t>
      </w:r>
      <w:r w:rsidR="00BD245D" w:rsidRPr="004B61C4">
        <w:rPr>
          <w:rFonts w:cstheme="minorHAnsi"/>
          <w:i/>
          <w:iCs/>
          <w:sz w:val="22"/>
          <w:lang w:val="hu-HU"/>
        </w:rPr>
        <w:t>“</w:t>
      </w:r>
      <w:r>
        <w:rPr>
          <w:rFonts w:cstheme="minorHAnsi"/>
          <w:i/>
          <w:iCs/>
          <w:sz w:val="22"/>
          <w:lang w:val="hu-HU"/>
        </w:rPr>
        <w:t>Hitelezői feltőkésítésből</w:t>
      </w:r>
      <w:r w:rsidRPr="004B61C4">
        <w:rPr>
          <w:rFonts w:cstheme="minorHAnsi"/>
          <w:i/>
          <w:iCs/>
          <w:sz w:val="22"/>
          <w:lang w:val="hu-HU"/>
        </w:rPr>
        <w:t xml:space="preserve"> </w:t>
      </w:r>
      <w:r w:rsidR="00BD245D" w:rsidRPr="004B61C4">
        <w:rPr>
          <w:rFonts w:cstheme="minorHAnsi"/>
          <w:i/>
          <w:iCs/>
          <w:sz w:val="22"/>
          <w:lang w:val="hu-HU"/>
        </w:rPr>
        <w:t>való kizárás feltételei”</w:t>
      </w:r>
      <w:r w:rsidR="00BD245D" w:rsidRPr="004B61C4">
        <w:rPr>
          <w:rFonts w:cstheme="minorHAnsi"/>
          <w:sz w:val="22"/>
          <w:lang w:val="hu-HU"/>
        </w:rPr>
        <w:t xml:space="preserve"> adattábla kialakítása során több releváns jogszabály került áttekintésre, </w:t>
      </w:r>
      <w:r w:rsidR="00545058">
        <w:rPr>
          <w:rFonts w:cstheme="minorHAnsi"/>
          <w:sz w:val="22"/>
          <w:lang w:val="hu-HU"/>
        </w:rPr>
        <w:t>elsősorban a Szanálási törvény</w:t>
      </w:r>
      <w:r w:rsidR="00BD245D" w:rsidRPr="004B61C4">
        <w:rPr>
          <w:rFonts w:cstheme="minorHAnsi"/>
          <w:sz w:val="22"/>
          <w:lang w:val="hu-HU"/>
        </w:rPr>
        <w:t xml:space="preserve"> a szolgált, emellett a kockázati szintek meghatározása érdekében figyelembe kell venni a pénzmosás és terrorizmus finanszírozás elleni törvény szükséges pontjait (2017. évi LIII. </w:t>
      </w:r>
      <w:proofErr w:type="spellStart"/>
      <w:r w:rsidR="00BD245D" w:rsidRPr="004B61C4">
        <w:rPr>
          <w:rFonts w:cstheme="minorHAnsi"/>
          <w:sz w:val="22"/>
          <w:lang w:val="hu-HU"/>
        </w:rPr>
        <w:t>Pmt</w:t>
      </w:r>
      <w:proofErr w:type="spellEnd"/>
      <w:r w:rsidR="00BD245D" w:rsidRPr="004B61C4">
        <w:rPr>
          <w:rFonts w:cstheme="minorHAnsi"/>
          <w:sz w:val="22"/>
          <w:lang w:val="hu-HU"/>
        </w:rPr>
        <w:t>. Törvény 4. cikk 10. § (1) b,).</w:t>
      </w:r>
    </w:p>
    <w:p w14:paraId="1C5840DE" w14:textId="17735154" w:rsidR="001D447C" w:rsidRPr="00F87621" w:rsidRDefault="00CA4C6D" w:rsidP="00270638">
      <w:pPr>
        <w:ind w:left="1170" w:right="-3135"/>
        <w:rPr>
          <w:rFonts w:cstheme="minorHAnsi"/>
          <w:sz w:val="22"/>
          <w:lang w:val="hu-HU"/>
        </w:rPr>
      </w:pPr>
      <w:r w:rsidRPr="004B61C4">
        <w:rPr>
          <w:rFonts w:cstheme="minorHAnsi"/>
          <w:sz w:val="22"/>
          <w:lang w:val="hu-HU"/>
        </w:rPr>
        <w:t xml:space="preserve">A szanálási hatóságnak </w:t>
      </w:r>
      <w:r w:rsidR="002B56CB" w:rsidRPr="004B61C4">
        <w:rPr>
          <w:rFonts w:cstheme="minorHAnsi"/>
          <w:sz w:val="22"/>
          <w:lang w:val="hu-HU"/>
        </w:rPr>
        <w:t>egy hitelezői feltőkésítés</w:t>
      </w:r>
      <w:r w:rsidR="0029079D">
        <w:rPr>
          <w:rFonts w:cstheme="minorHAnsi"/>
          <w:sz w:val="22"/>
          <w:lang w:val="hu-HU"/>
        </w:rPr>
        <w:t xml:space="preserve"> </w:t>
      </w:r>
      <w:r w:rsidR="002B56CB" w:rsidRPr="004B61C4">
        <w:rPr>
          <w:rFonts w:cstheme="minorHAnsi"/>
          <w:sz w:val="22"/>
          <w:lang w:val="hu-HU"/>
        </w:rPr>
        <w:t xml:space="preserve">végrehajtása során pontosan meg kell tudnia határoznia azon </w:t>
      </w:r>
      <w:r w:rsidR="00545058">
        <w:rPr>
          <w:rFonts w:cstheme="minorHAnsi"/>
          <w:sz w:val="22"/>
          <w:lang w:val="hu-HU"/>
        </w:rPr>
        <w:t>kötelezettségek</w:t>
      </w:r>
      <w:r w:rsidR="00545058" w:rsidRPr="004B61C4">
        <w:rPr>
          <w:rFonts w:cstheme="minorHAnsi"/>
          <w:sz w:val="22"/>
          <w:lang w:val="hu-HU"/>
        </w:rPr>
        <w:t xml:space="preserve"> </w:t>
      </w:r>
      <w:r w:rsidR="002B56CB" w:rsidRPr="004B61C4">
        <w:rPr>
          <w:rFonts w:cstheme="minorHAnsi"/>
          <w:sz w:val="22"/>
          <w:lang w:val="hu-HU"/>
        </w:rPr>
        <w:t>körét, amelyek a hitelezői feltőkésítésből</w:t>
      </w:r>
      <w:r w:rsidR="00545058">
        <w:rPr>
          <w:rFonts w:cstheme="minorHAnsi"/>
          <w:sz w:val="22"/>
          <w:lang w:val="hu-HU"/>
        </w:rPr>
        <w:t xml:space="preserve"> 1) törvény erejénél fogva kizártak, 2) törvényben meghatározott jellemzőik alapján a szanálási hatóságnak ki kell zárnia vagy 3) törvényben meghatározott esetekben, mérlegelési jogkörében dönthet azok </w:t>
      </w:r>
      <w:r w:rsidR="002B56CB" w:rsidRPr="004B61C4">
        <w:rPr>
          <w:rFonts w:cstheme="minorHAnsi"/>
          <w:sz w:val="22"/>
          <w:lang w:val="hu-HU"/>
        </w:rPr>
        <w:t>kizár</w:t>
      </w:r>
      <w:r w:rsidR="00545058">
        <w:rPr>
          <w:rFonts w:cstheme="minorHAnsi"/>
          <w:sz w:val="22"/>
          <w:lang w:val="hu-HU"/>
        </w:rPr>
        <w:t>ásáról</w:t>
      </w:r>
      <w:r w:rsidR="006A3B72" w:rsidRPr="004B61C4">
        <w:rPr>
          <w:rFonts w:cstheme="minorHAnsi"/>
          <w:sz w:val="22"/>
          <w:lang w:val="hu-HU"/>
        </w:rPr>
        <w:t>. A “</w:t>
      </w:r>
      <w:proofErr w:type="spellStart"/>
      <w:r w:rsidR="006A3B72" w:rsidRPr="004B61C4">
        <w:rPr>
          <w:rFonts w:cstheme="minorHAnsi"/>
          <w:sz w:val="22"/>
          <w:lang w:val="hu-HU"/>
        </w:rPr>
        <w:t>bail</w:t>
      </w:r>
      <w:proofErr w:type="spellEnd"/>
      <w:r w:rsidR="006A3B72" w:rsidRPr="004B61C4">
        <w:rPr>
          <w:rFonts w:cstheme="minorHAnsi"/>
          <w:sz w:val="22"/>
          <w:lang w:val="hu-HU"/>
        </w:rPr>
        <w:t>-in” analitika adattartalma így nem korlátozódik a hitelez</w:t>
      </w:r>
      <w:r w:rsidR="00347D40" w:rsidRPr="004B61C4">
        <w:rPr>
          <w:rFonts w:cstheme="minorHAnsi"/>
          <w:sz w:val="22"/>
          <w:lang w:val="hu-HU"/>
        </w:rPr>
        <w:t>ő</w:t>
      </w:r>
      <w:r w:rsidR="006A3B72" w:rsidRPr="004B61C4">
        <w:rPr>
          <w:rFonts w:cstheme="minorHAnsi"/>
          <w:sz w:val="22"/>
          <w:lang w:val="hu-HU"/>
        </w:rPr>
        <w:t xml:space="preserve">i feltőkésítésbe bevonható </w:t>
      </w:r>
      <w:r w:rsidR="00554A87" w:rsidRPr="004B61C4">
        <w:rPr>
          <w:rFonts w:cstheme="minorHAnsi"/>
          <w:sz w:val="22"/>
          <w:lang w:val="hu-HU"/>
        </w:rPr>
        <w:t xml:space="preserve">kötelezettségekre, </w:t>
      </w:r>
      <w:proofErr w:type="spellStart"/>
      <w:r w:rsidR="004708DF" w:rsidRPr="004B61C4">
        <w:rPr>
          <w:rFonts w:cstheme="minorHAnsi"/>
          <w:sz w:val="22"/>
          <w:lang w:val="hu-HU"/>
        </w:rPr>
        <w:t>esetenként</w:t>
      </w:r>
      <w:proofErr w:type="spellEnd"/>
      <w:r w:rsidR="004708DF" w:rsidRPr="004B61C4">
        <w:rPr>
          <w:rFonts w:cstheme="minorHAnsi"/>
          <w:sz w:val="22"/>
          <w:lang w:val="hu-HU"/>
        </w:rPr>
        <w:t xml:space="preserve"> a </w:t>
      </w:r>
      <w:r w:rsidR="0029079D">
        <w:rPr>
          <w:rFonts w:cstheme="minorHAnsi"/>
          <w:sz w:val="22"/>
          <w:lang w:val="hu-HU"/>
        </w:rPr>
        <w:t>hitelezői feltőkésítésből</w:t>
      </w:r>
      <w:r w:rsidR="004708DF" w:rsidRPr="004B61C4">
        <w:rPr>
          <w:rFonts w:cstheme="minorHAnsi"/>
          <w:sz w:val="22"/>
          <w:lang w:val="hu-HU"/>
        </w:rPr>
        <w:t xml:space="preserve"> </w:t>
      </w:r>
      <w:r w:rsidR="00545058">
        <w:rPr>
          <w:rFonts w:cstheme="minorHAnsi"/>
          <w:sz w:val="22"/>
          <w:lang w:val="hu-HU"/>
        </w:rPr>
        <w:t xml:space="preserve">kizárt, </w:t>
      </w:r>
      <w:r w:rsidR="004708DF" w:rsidRPr="004B61C4">
        <w:rPr>
          <w:rFonts w:cstheme="minorHAnsi"/>
          <w:sz w:val="22"/>
          <w:lang w:val="hu-HU"/>
        </w:rPr>
        <w:t>kizárandó</w:t>
      </w:r>
      <w:r w:rsidR="00545058">
        <w:rPr>
          <w:rFonts w:cstheme="minorHAnsi"/>
          <w:sz w:val="22"/>
          <w:lang w:val="hu-HU"/>
        </w:rPr>
        <w:t xml:space="preserve"> vagy kizárható</w:t>
      </w:r>
      <w:r w:rsidR="004708DF" w:rsidRPr="004B61C4">
        <w:rPr>
          <w:rFonts w:cstheme="minorHAnsi"/>
          <w:sz w:val="22"/>
          <w:lang w:val="hu-HU"/>
        </w:rPr>
        <w:t xml:space="preserve"> </w:t>
      </w:r>
      <w:r w:rsidR="00FD6284" w:rsidRPr="004B61C4">
        <w:rPr>
          <w:rFonts w:cstheme="minorHAnsi"/>
          <w:sz w:val="22"/>
          <w:lang w:val="hu-HU"/>
        </w:rPr>
        <w:t>kötelezettségek</w:t>
      </w:r>
      <w:r w:rsidR="00AA213B" w:rsidRPr="004B61C4">
        <w:rPr>
          <w:rFonts w:cstheme="minorHAnsi"/>
          <w:sz w:val="22"/>
          <w:lang w:val="hu-HU"/>
        </w:rPr>
        <w:t xml:space="preserve">re is szükséges az adatszolgáltatás biztosítása annak érdekében, hogy a szanálási hatóság képes legyen megállapítani a </w:t>
      </w:r>
      <w:r w:rsidR="008524D5">
        <w:rPr>
          <w:rFonts w:cstheme="minorHAnsi"/>
          <w:sz w:val="22"/>
          <w:lang w:val="hu-HU"/>
        </w:rPr>
        <w:t xml:space="preserve">hitelezői </w:t>
      </w:r>
      <w:r w:rsidR="00AA213B" w:rsidRPr="004B61C4">
        <w:rPr>
          <w:rFonts w:cstheme="minorHAnsi"/>
          <w:sz w:val="22"/>
          <w:lang w:val="hu-HU"/>
        </w:rPr>
        <w:t xml:space="preserve">feltőkésítésbe bevonható </w:t>
      </w:r>
      <w:r w:rsidR="00220C8C" w:rsidRPr="004B61C4">
        <w:rPr>
          <w:rFonts w:cstheme="minorHAnsi"/>
          <w:sz w:val="22"/>
          <w:lang w:val="hu-HU"/>
        </w:rPr>
        <w:t>instrumentumok</w:t>
      </w:r>
      <w:r w:rsidR="00AA213B" w:rsidRPr="004B61C4">
        <w:rPr>
          <w:rFonts w:cstheme="minorHAnsi"/>
          <w:sz w:val="22"/>
          <w:lang w:val="hu-HU"/>
        </w:rPr>
        <w:t xml:space="preserve"> teljes körét</w:t>
      </w:r>
      <w:r w:rsidR="00AA213B" w:rsidRPr="00F87621">
        <w:rPr>
          <w:rFonts w:cstheme="minorHAnsi"/>
          <w:sz w:val="22"/>
          <w:lang w:val="hu-HU"/>
        </w:rPr>
        <w:t>.</w:t>
      </w:r>
    </w:p>
    <w:p w14:paraId="00BD4E4F" w14:textId="77777777" w:rsidR="00B95216" w:rsidRPr="00F87621" w:rsidRDefault="00B95216" w:rsidP="00270638">
      <w:pPr>
        <w:ind w:left="360" w:right="-3135"/>
        <w:rPr>
          <w:rFonts w:cstheme="minorHAnsi"/>
          <w:sz w:val="22"/>
          <w:lang w:val="hu-HU"/>
        </w:rPr>
      </w:pPr>
      <w:r>
        <w:rPr>
          <w:rFonts w:eastAsia="Times New Roman" w:cstheme="minorHAnsi"/>
          <w:sz w:val="22"/>
          <w:lang w:val="hu-HU"/>
        </w:rPr>
        <w:t>A „</w:t>
      </w:r>
      <w:proofErr w:type="spellStart"/>
      <w:r>
        <w:rPr>
          <w:rFonts w:eastAsia="Times New Roman" w:cstheme="minorHAnsi"/>
          <w:sz w:val="22"/>
          <w:lang w:val="hu-HU"/>
        </w:rPr>
        <w:t>bail</w:t>
      </w:r>
      <w:proofErr w:type="spellEnd"/>
      <w:r>
        <w:rPr>
          <w:rFonts w:eastAsia="Times New Roman" w:cstheme="minorHAnsi"/>
          <w:sz w:val="22"/>
          <w:lang w:val="hu-HU"/>
        </w:rPr>
        <w:t xml:space="preserve">-in” analitikában meghatározott adatok és információk </w:t>
      </w:r>
      <w:r w:rsidR="00F72809">
        <w:rPr>
          <w:rFonts w:eastAsia="Times New Roman" w:cstheme="minorHAnsi"/>
          <w:sz w:val="22"/>
          <w:lang w:val="hu-HU"/>
        </w:rPr>
        <w:t xml:space="preserve">mindegyike </w:t>
      </w:r>
      <w:r w:rsidR="00D746F9">
        <w:rPr>
          <w:rFonts w:eastAsia="Times New Roman" w:cstheme="minorHAnsi"/>
          <w:sz w:val="22"/>
          <w:lang w:val="hu-HU"/>
        </w:rPr>
        <w:t>1-es prioritási kategóriába tartozik, ennek megfelelően</w:t>
      </w:r>
      <w:r>
        <w:rPr>
          <w:rFonts w:eastAsia="Times New Roman" w:cstheme="minorHAnsi"/>
          <w:sz w:val="22"/>
          <w:lang w:val="hu-HU"/>
        </w:rPr>
        <w:t xml:space="preserve"> „T” időpontra szükséges az adatokat rendelkezésre bocsátani.</w:t>
      </w:r>
    </w:p>
    <w:p w14:paraId="7971CF03" w14:textId="77777777" w:rsidR="002614CC" w:rsidRPr="00F87621" w:rsidRDefault="000226A8" w:rsidP="00270638">
      <w:pPr>
        <w:ind w:left="360" w:right="-3135"/>
        <w:rPr>
          <w:rFonts w:cstheme="minorHAnsi"/>
          <w:sz w:val="22"/>
          <w:lang w:val="hu-HU"/>
        </w:rPr>
      </w:pPr>
      <w:r w:rsidRPr="00BA0785">
        <w:rPr>
          <w:rFonts w:eastAsia="Times New Roman" w:cstheme="minorHAnsi"/>
          <w:sz w:val="22"/>
          <w:lang w:val="hu-HU"/>
        </w:rPr>
        <w:t>A “</w:t>
      </w:r>
      <w:proofErr w:type="spellStart"/>
      <w:r w:rsidRPr="00BA0785">
        <w:rPr>
          <w:rFonts w:eastAsia="Times New Roman" w:cstheme="minorHAnsi"/>
          <w:sz w:val="22"/>
          <w:lang w:val="hu-HU"/>
        </w:rPr>
        <w:t>bail</w:t>
      </w:r>
      <w:proofErr w:type="spellEnd"/>
      <w:r w:rsidRPr="00BA0785">
        <w:rPr>
          <w:rFonts w:eastAsia="Times New Roman" w:cstheme="minorHAnsi"/>
          <w:sz w:val="22"/>
          <w:lang w:val="hu-HU"/>
        </w:rPr>
        <w:t>-in” analitikában szerepl</w:t>
      </w:r>
      <w:r w:rsidRPr="00C45042">
        <w:rPr>
          <w:rFonts w:eastAsia="Times New Roman" w:cstheme="minorHAnsi"/>
          <w:sz w:val="22"/>
          <w:lang w:val="hu-HU"/>
        </w:rPr>
        <w:t>ő adatokat és információkat az egyszerűbb értelmezés és feldolgozás érdekében szerződés szinten szükséges benyújtani</w:t>
      </w:r>
      <w:r>
        <w:rPr>
          <w:rFonts w:eastAsia="Times New Roman" w:cstheme="minorHAnsi"/>
          <w:sz w:val="22"/>
          <w:lang w:val="hu-HU"/>
        </w:rPr>
        <w:t>.</w:t>
      </w:r>
    </w:p>
    <w:p w14:paraId="1E1FADA4" w14:textId="77777777" w:rsidR="00B07BC3" w:rsidRPr="00B07BC3" w:rsidRDefault="00B07BC3" w:rsidP="00270638">
      <w:pPr>
        <w:pStyle w:val="Heading1"/>
        <w:ind w:left="360" w:hanging="360"/>
      </w:pPr>
      <w:bookmarkStart w:id="16" w:name="_Toc153188946"/>
      <w:r w:rsidRPr="00B07BC3">
        <w:t>Specifikus magyarázatok</w:t>
      </w:r>
      <w:bookmarkEnd w:id="16"/>
    </w:p>
    <w:p w14:paraId="40551BDC" w14:textId="77777777" w:rsidR="00B07BC3" w:rsidRPr="002F4755" w:rsidRDefault="00B07BC3" w:rsidP="00270638">
      <w:pPr>
        <w:pStyle w:val="Heading2"/>
        <w:ind w:left="360" w:hanging="360"/>
      </w:pPr>
      <w:bookmarkStart w:id="17" w:name="_Toc153188947"/>
      <w:r w:rsidRPr="002F4755">
        <w:lastRenderedPageBreak/>
        <w:t>Az adatszótárban használt referenciák, rövidítések</w:t>
      </w:r>
      <w:bookmarkEnd w:id="17"/>
    </w:p>
    <w:p w14:paraId="1C1A9201" w14:textId="77777777" w:rsidR="001C4C6D" w:rsidRPr="00A84B23" w:rsidRDefault="001C4C6D"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ÁKK: Államadósság Kezelő Központ Zrt.</w:t>
      </w:r>
    </w:p>
    <w:p w14:paraId="425FE3FD" w14:textId="77777777" w:rsidR="00A84B23" w:rsidRPr="00755A1A" w:rsidRDefault="00A84B23" w:rsidP="00270638">
      <w:pPr>
        <w:numPr>
          <w:ilvl w:val="2"/>
          <w:numId w:val="16"/>
        </w:numPr>
        <w:ind w:right="-3139"/>
        <w:textAlignment w:val="center"/>
        <w:rPr>
          <w:rFonts w:eastAsia="Times New Roman" w:cstheme="minorHAnsi"/>
          <w:sz w:val="22"/>
          <w:lang w:val="hu-HU"/>
        </w:rPr>
      </w:pPr>
      <w:r>
        <w:rPr>
          <w:rFonts w:eastAsia="Times New Roman" w:cstheme="minorHAnsi"/>
          <w:sz w:val="22"/>
        </w:rPr>
        <w:t>ALCO (</w:t>
      </w:r>
      <w:r w:rsidR="005C1AF4">
        <w:rPr>
          <w:rFonts w:eastAsia="Times New Roman" w:cstheme="minorHAnsi"/>
          <w:sz w:val="22"/>
        </w:rPr>
        <w:t>“</w:t>
      </w:r>
      <w:r>
        <w:rPr>
          <w:rFonts w:eastAsia="Times New Roman" w:cstheme="minorHAnsi"/>
          <w:sz w:val="22"/>
        </w:rPr>
        <w:t>Asset-Liability Committee</w:t>
      </w:r>
      <w:r w:rsidR="005C1AF4">
        <w:rPr>
          <w:rFonts w:eastAsia="Times New Roman" w:cstheme="minorHAnsi"/>
          <w:sz w:val="22"/>
        </w:rPr>
        <w:t>”</w:t>
      </w:r>
      <w:r>
        <w:rPr>
          <w:rFonts w:eastAsia="Times New Roman" w:cstheme="minorHAnsi"/>
          <w:sz w:val="22"/>
        </w:rPr>
        <w:t xml:space="preserve">): </w:t>
      </w:r>
      <w:r w:rsidR="0086387C" w:rsidRPr="006C3C61">
        <w:rPr>
          <w:rFonts w:eastAsia="Times New Roman" w:cstheme="minorHAnsi"/>
          <w:sz w:val="22"/>
          <w:lang w:val="hu-HU"/>
        </w:rPr>
        <w:t>Eszköz-</w:t>
      </w:r>
      <w:r w:rsidR="00B703B8" w:rsidRPr="006C3C61">
        <w:rPr>
          <w:rFonts w:eastAsia="Times New Roman" w:cstheme="minorHAnsi"/>
          <w:sz w:val="22"/>
          <w:lang w:val="hu-HU"/>
        </w:rPr>
        <w:t>forrás menedzsment Bizottság</w:t>
      </w:r>
    </w:p>
    <w:p w14:paraId="73BA4084" w14:textId="77777777" w:rsidR="002C56F7" w:rsidRPr="002C56F7" w:rsidRDefault="002C56F7"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 xml:space="preserve">Basel II: </w:t>
      </w:r>
      <w:r w:rsidR="005C1AF4">
        <w:rPr>
          <w:rFonts w:eastAsia="Times New Roman" w:cstheme="minorHAnsi"/>
          <w:sz w:val="22"/>
          <w:lang w:val="hu-HU"/>
        </w:rPr>
        <w:t>a Bázeli Bankfelügyeleti Bizottság által kiadott banki törvényekre és szabályozásokra vonatkozó ajánlások (második a Bázeli Megállapodások közül)</w:t>
      </w:r>
    </w:p>
    <w:p w14:paraId="4B49FF77" w14:textId="77777777" w:rsidR="00A84B23" w:rsidRPr="00A84B23" w:rsidRDefault="00A84B23"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BUBOR</w:t>
      </w:r>
      <w:proofErr w:type="spellEnd"/>
      <w:r>
        <w:rPr>
          <w:rFonts w:eastAsia="Times New Roman" w:cstheme="minorHAnsi"/>
          <w:sz w:val="22"/>
          <w:lang w:val="hu-HU"/>
        </w:rPr>
        <w:t xml:space="preserve"> (</w:t>
      </w:r>
      <w:r w:rsidR="005C1AF4">
        <w:rPr>
          <w:rFonts w:eastAsia="Times New Roman" w:cstheme="minorHAnsi"/>
          <w:sz w:val="22"/>
          <w:lang w:val="hu-HU"/>
        </w:rPr>
        <w:t>„</w:t>
      </w:r>
      <w:r>
        <w:rPr>
          <w:rFonts w:eastAsia="Times New Roman" w:cstheme="minorHAnsi"/>
          <w:sz w:val="22"/>
          <w:lang w:val="hu-HU"/>
        </w:rPr>
        <w:t xml:space="preserve">Budapest </w:t>
      </w:r>
      <w:r w:rsidRPr="00C36CD9">
        <w:rPr>
          <w:rFonts w:eastAsia="Times New Roman" w:cstheme="minorHAnsi"/>
          <w:sz w:val="22"/>
        </w:rPr>
        <w:t>Interbank</w:t>
      </w:r>
      <w:r>
        <w:rPr>
          <w:rFonts w:eastAsia="Times New Roman" w:cstheme="minorHAnsi"/>
          <w:sz w:val="22"/>
          <w:lang w:val="hu-HU"/>
        </w:rPr>
        <w:t xml:space="preserve"> </w:t>
      </w:r>
      <w:r w:rsidRPr="00C36CD9">
        <w:rPr>
          <w:rFonts w:eastAsia="Times New Roman" w:cstheme="minorHAnsi"/>
          <w:sz w:val="22"/>
        </w:rPr>
        <w:t>Offered</w:t>
      </w:r>
      <w:r>
        <w:rPr>
          <w:rFonts w:eastAsia="Times New Roman" w:cstheme="minorHAnsi"/>
          <w:sz w:val="22"/>
          <w:lang w:val="hu-HU"/>
        </w:rPr>
        <w:t xml:space="preserve"> </w:t>
      </w:r>
      <w:r w:rsidRPr="00C36CD9">
        <w:rPr>
          <w:rFonts w:eastAsia="Times New Roman" w:cstheme="minorHAnsi"/>
          <w:sz w:val="22"/>
        </w:rPr>
        <w:t>Rate</w:t>
      </w:r>
      <w:r w:rsidR="005C1AF4">
        <w:rPr>
          <w:rFonts w:eastAsia="Times New Roman" w:cstheme="minorHAnsi"/>
          <w:sz w:val="22"/>
          <w:lang w:val="hu-HU"/>
        </w:rPr>
        <w:t>”</w:t>
      </w:r>
      <w:r>
        <w:rPr>
          <w:rFonts w:eastAsia="Times New Roman" w:cstheme="minorHAnsi"/>
          <w:sz w:val="22"/>
          <w:lang w:val="hu-HU"/>
        </w:rPr>
        <w:t xml:space="preserve">): </w:t>
      </w:r>
      <w:r w:rsidR="005C1AF4">
        <w:rPr>
          <w:rFonts w:eastAsia="Times New Roman" w:cstheme="minorHAnsi"/>
          <w:sz w:val="22"/>
          <w:lang w:val="hu-HU"/>
        </w:rPr>
        <w:t>budapesti</w:t>
      </w:r>
      <w:r>
        <w:rPr>
          <w:rFonts w:eastAsia="Times New Roman" w:cstheme="minorHAnsi"/>
          <w:sz w:val="22"/>
          <w:lang w:val="hu-HU"/>
        </w:rPr>
        <w:t xml:space="preserve"> bankközi</w:t>
      </w:r>
      <w:r w:rsidR="005C1AF4">
        <w:rPr>
          <w:rFonts w:eastAsia="Times New Roman" w:cstheme="minorHAnsi"/>
          <w:sz w:val="22"/>
          <w:lang w:val="hu-HU"/>
        </w:rPr>
        <w:t xml:space="preserve"> forint</w:t>
      </w:r>
      <w:r>
        <w:rPr>
          <w:rFonts w:eastAsia="Times New Roman" w:cstheme="minorHAnsi"/>
          <w:sz w:val="22"/>
          <w:lang w:val="hu-HU"/>
        </w:rPr>
        <w:t xml:space="preserve"> </w:t>
      </w:r>
      <w:r w:rsidR="005C1AF4">
        <w:rPr>
          <w:rFonts w:eastAsia="Times New Roman" w:cstheme="minorHAnsi"/>
          <w:sz w:val="22"/>
          <w:lang w:val="hu-HU"/>
        </w:rPr>
        <w:t>hitel</w:t>
      </w:r>
      <w:r>
        <w:rPr>
          <w:rFonts w:eastAsia="Times New Roman" w:cstheme="minorHAnsi"/>
          <w:sz w:val="22"/>
          <w:lang w:val="hu-HU"/>
        </w:rPr>
        <w:t>kamatláb</w:t>
      </w:r>
    </w:p>
    <w:p w14:paraId="70DA4747" w14:textId="77777777" w:rsidR="00926626" w:rsidRDefault="0092662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CAPEX</w:t>
      </w:r>
      <w:proofErr w:type="spellEnd"/>
      <w:r>
        <w:rPr>
          <w:rFonts w:eastAsia="Times New Roman" w:cstheme="minorHAnsi"/>
          <w:sz w:val="22"/>
          <w:lang w:val="hu-HU"/>
        </w:rPr>
        <w:t xml:space="preserve"> (</w:t>
      </w:r>
      <w:r w:rsidR="00FC15F8">
        <w:rPr>
          <w:rFonts w:eastAsia="Times New Roman" w:cstheme="minorHAnsi"/>
          <w:sz w:val="22"/>
          <w:lang w:val="hu-HU"/>
        </w:rPr>
        <w:t>„</w:t>
      </w:r>
      <w:r>
        <w:rPr>
          <w:rFonts w:eastAsia="Times New Roman" w:cstheme="minorHAnsi"/>
          <w:sz w:val="22"/>
          <w:lang w:val="hu-HU"/>
        </w:rPr>
        <w:t xml:space="preserve">Capital </w:t>
      </w:r>
      <w:r w:rsidRPr="00C36CD9">
        <w:rPr>
          <w:rFonts w:eastAsia="Times New Roman" w:cstheme="minorHAnsi"/>
          <w:sz w:val="22"/>
        </w:rPr>
        <w:t>Expenditure</w:t>
      </w:r>
      <w:r w:rsidR="00FC15F8">
        <w:rPr>
          <w:rFonts w:eastAsia="Times New Roman" w:cstheme="minorHAnsi"/>
          <w:sz w:val="22"/>
          <w:lang w:val="hu-HU"/>
        </w:rPr>
        <w:t>”</w:t>
      </w:r>
      <w:r>
        <w:rPr>
          <w:rFonts w:eastAsia="Times New Roman" w:cstheme="minorHAnsi"/>
          <w:sz w:val="22"/>
          <w:lang w:val="hu-HU"/>
        </w:rPr>
        <w:t>): tőkebefektetés</w:t>
      </w:r>
    </w:p>
    <w:p w14:paraId="00ED60D7" w14:textId="77777777" w:rsidR="002C56F7" w:rsidRDefault="002C56F7"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CCY</w:t>
      </w:r>
      <w:proofErr w:type="spellEnd"/>
      <w:r>
        <w:rPr>
          <w:rFonts w:eastAsia="Times New Roman" w:cstheme="minorHAnsi"/>
          <w:sz w:val="22"/>
          <w:lang w:val="hu-HU"/>
        </w:rPr>
        <w:t xml:space="preserve"> (</w:t>
      </w:r>
      <w:r w:rsidR="00FC15F8">
        <w:rPr>
          <w:rFonts w:eastAsia="Times New Roman" w:cstheme="minorHAnsi"/>
          <w:sz w:val="22"/>
          <w:lang w:val="hu-HU"/>
        </w:rPr>
        <w:t>"</w:t>
      </w:r>
      <w:r w:rsidR="00FC15F8" w:rsidRPr="00C36CD9">
        <w:rPr>
          <w:rFonts w:eastAsia="Times New Roman" w:cstheme="minorHAnsi"/>
          <w:sz w:val="22"/>
        </w:rPr>
        <w:t>c</w:t>
      </w:r>
      <w:r w:rsidRPr="00C36CD9">
        <w:rPr>
          <w:rFonts w:eastAsia="Times New Roman" w:cstheme="minorHAnsi"/>
          <w:sz w:val="22"/>
        </w:rPr>
        <w:t>urrency</w:t>
      </w:r>
      <w:r w:rsidR="00FC15F8">
        <w:rPr>
          <w:rFonts w:eastAsia="Times New Roman" w:cstheme="minorHAnsi"/>
          <w:sz w:val="22"/>
          <w:lang w:val="hu-HU"/>
        </w:rPr>
        <w:t>”</w:t>
      </w:r>
      <w:r>
        <w:rPr>
          <w:rFonts w:eastAsia="Times New Roman" w:cstheme="minorHAnsi"/>
          <w:sz w:val="22"/>
          <w:lang w:val="hu-HU"/>
        </w:rPr>
        <w:t>): deviza</w:t>
      </w:r>
    </w:p>
    <w:p w14:paraId="2DA8B6E7" w14:textId="77777777" w:rsidR="00A84B23" w:rsidRDefault="00A84B23"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CIR</w:t>
      </w:r>
      <w:proofErr w:type="spellEnd"/>
      <w:r>
        <w:rPr>
          <w:rFonts w:eastAsia="Times New Roman" w:cstheme="minorHAnsi"/>
          <w:sz w:val="22"/>
          <w:lang w:val="hu-HU"/>
        </w:rPr>
        <w:t xml:space="preserve"> (</w:t>
      </w:r>
      <w:r w:rsidR="00FC15F8">
        <w:rPr>
          <w:rFonts w:eastAsia="Times New Roman" w:cstheme="minorHAnsi"/>
          <w:sz w:val="22"/>
          <w:lang w:val="hu-HU"/>
        </w:rPr>
        <w:t>„</w:t>
      </w:r>
      <w:r>
        <w:rPr>
          <w:rFonts w:eastAsia="Times New Roman" w:cstheme="minorHAnsi"/>
          <w:sz w:val="22"/>
          <w:lang w:val="hu-HU"/>
        </w:rPr>
        <w:t>Cost-</w:t>
      </w:r>
      <w:proofErr w:type="spellStart"/>
      <w:r w:rsidRPr="009329DF">
        <w:rPr>
          <w:rFonts w:eastAsia="Times New Roman" w:cstheme="minorHAnsi"/>
          <w:sz w:val="22"/>
          <w:lang w:val="hu-HU"/>
        </w:rPr>
        <w:t>to</w:t>
      </w:r>
      <w:proofErr w:type="spellEnd"/>
      <w:r>
        <w:rPr>
          <w:rFonts w:eastAsia="Times New Roman" w:cstheme="minorHAnsi"/>
          <w:sz w:val="22"/>
          <w:lang w:val="hu-HU"/>
        </w:rPr>
        <w:t>-</w:t>
      </w:r>
      <w:proofErr w:type="spellStart"/>
      <w:r w:rsidRPr="009329DF">
        <w:rPr>
          <w:rFonts w:eastAsia="Times New Roman" w:cstheme="minorHAnsi"/>
          <w:sz w:val="22"/>
          <w:lang w:val="hu-HU"/>
        </w:rPr>
        <w:t>Income</w:t>
      </w:r>
      <w:proofErr w:type="spellEnd"/>
      <w:r>
        <w:rPr>
          <w:rFonts w:eastAsia="Times New Roman" w:cstheme="minorHAnsi"/>
          <w:sz w:val="22"/>
          <w:lang w:val="hu-HU"/>
        </w:rPr>
        <w:t xml:space="preserve"> ratio</w:t>
      </w:r>
      <w:r w:rsidR="00FC15F8">
        <w:rPr>
          <w:rFonts w:eastAsia="Times New Roman" w:cstheme="minorHAnsi"/>
          <w:sz w:val="22"/>
          <w:lang w:val="hu-HU"/>
        </w:rPr>
        <w:t>”</w:t>
      </w:r>
      <w:r>
        <w:rPr>
          <w:rFonts w:eastAsia="Times New Roman" w:cstheme="minorHAnsi"/>
          <w:sz w:val="22"/>
          <w:lang w:val="hu-HU"/>
        </w:rPr>
        <w:t xml:space="preserve">): </w:t>
      </w:r>
      <w:r w:rsidR="00C42B6E">
        <w:rPr>
          <w:rFonts w:eastAsia="Times New Roman" w:cstheme="minorHAnsi"/>
          <w:sz w:val="22"/>
          <w:lang w:val="hu-HU"/>
        </w:rPr>
        <w:t xml:space="preserve">költség bevétel mutató, </w:t>
      </w:r>
      <w:r>
        <w:rPr>
          <w:rFonts w:eastAsia="Times New Roman" w:cstheme="minorHAnsi"/>
          <w:sz w:val="22"/>
          <w:lang w:val="hu-HU"/>
        </w:rPr>
        <w:t>a bevételhez viszonyított költségek aránya</w:t>
      </w:r>
    </w:p>
    <w:p w14:paraId="3C7D887F" w14:textId="77777777" w:rsidR="00C40D54" w:rsidRPr="00C40D54" w:rsidRDefault="00C40D54"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COREP</w:t>
      </w:r>
      <w:proofErr w:type="spellEnd"/>
      <w:r>
        <w:rPr>
          <w:rFonts w:eastAsia="Times New Roman" w:cstheme="minorHAnsi"/>
          <w:sz w:val="22"/>
          <w:lang w:val="hu-HU"/>
        </w:rPr>
        <w:t xml:space="preserve"> (</w:t>
      </w:r>
      <w:r w:rsidR="00FC15F8">
        <w:rPr>
          <w:rFonts w:eastAsia="Times New Roman" w:cstheme="minorHAnsi"/>
          <w:sz w:val="22"/>
          <w:lang w:val="hu-HU"/>
        </w:rPr>
        <w:t>„</w:t>
      </w:r>
      <w:proofErr w:type="spellStart"/>
      <w:r w:rsidRPr="00F87621">
        <w:rPr>
          <w:rFonts w:eastAsia="Times New Roman" w:cstheme="minorHAnsi"/>
          <w:sz w:val="22"/>
          <w:lang w:val="hu-HU"/>
        </w:rPr>
        <w:t>Common</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Reporting</w:t>
      </w:r>
      <w:proofErr w:type="spellEnd"/>
      <w:r w:rsidR="00FC15F8">
        <w:rPr>
          <w:rFonts w:eastAsia="Times New Roman" w:cstheme="minorHAnsi"/>
          <w:sz w:val="22"/>
          <w:lang w:val="hu-HU"/>
        </w:rPr>
        <w:t>”</w:t>
      </w:r>
      <w:r>
        <w:rPr>
          <w:rFonts w:eastAsia="Times New Roman" w:cstheme="minorHAnsi"/>
          <w:sz w:val="22"/>
          <w:lang w:val="hu-HU"/>
        </w:rPr>
        <w:t>) sablon: a 680/2014 számú EU Felügyeleti Jelentésről szóló végrehajtási rendeletének kiegészítéseként az Európai Központi Bank által kidolgozásra került technikai végrehajtási sztenderdek (</w:t>
      </w:r>
      <w:proofErr w:type="spellStart"/>
      <w:r w:rsidRPr="00F87621">
        <w:rPr>
          <w:rFonts w:eastAsia="Times New Roman" w:cstheme="minorHAnsi"/>
          <w:sz w:val="22"/>
          <w:lang w:val="hu-HU"/>
        </w:rPr>
        <w:t>Implementing</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Technical</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Standards</w:t>
      </w:r>
      <w:proofErr w:type="spellEnd"/>
      <w:r>
        <w:rPr>
          <w:rFonts w:eastAsia="Times New Roman" w:cstheme="minorHAnsi"/>
          <w:sz w:val="22"/>
          <w:lang w:val="hu-HU"/>
        </w:rPr>
        <w:t xml:space="preserve"> - </w:t>
      </w:r>
      <w:proofErr w:type="spellStart"/>
      <w:r>
        <w:rPr>
          <w:rFonts w:eastAsia="Times New Roman" w:cstheme="minorHAnsi"/>
          <w:sz w:val="22"/>
          <w:lang w:val="hu-HU"/>
        </w:rPr>
        <w:t>ITS</w:t>
      </w:r>
      <w:proofErr w:type="spellEnd"/>
      <w:r>
        <w:rPr>
          <w:rFonts w:eastAsia="Times New Roman" w:cstheme="minorHAnsi"/>
          <w:sz w:val="22"/>
          <w:lang w:val="hu-HU"/>
        </w:rPr>
        <w:t>) részeként megtalálható adat bejelentési sablonok (I</w:t>
      </w:r>
      <w:r w:rsidR="00C25DF9">
        <w:rPr>
          <w:rFonts w:eastAsia="Times New Roman" w:cstheme="minorHAnsi"/>
          <w:sz w:val="22"/>
          <w:lang w:val="hu-HU"/>
        </w:rPr>
        <w:t>.</w:t>
      </w:r>
      <w:r>
        <w:rPr>
          <w:rFonts w:eastAsia="Times New Roman" w:cstheme="minorHAnsi"/>
          <w:sz w:val="22"/>
          <w:lang w:val="hu-HU"/>
        </w:rPr>
        <w:t>, II</w:t>
      </w:r>
      <w:r w:rsidR="00C25DF9">
        <w:rPr>
          <w:rFonts w:eastAsia="Times New Roman" w:cstheme="minorHAnsi"/>
          <w:sz w:val="22"/>
          <w:lang w:val="hu-HU"/>
        </w:rPr>
        <w:t>.</w:t>
      </w:r>
      <w:r>
        <w:rPr>
          <w:rFonts w:eastAsia="Times New Roman" w:cstheme="minorHAnsi"/>
          <w:sz w:val="22"/>
          <w:lang w:val="hu-HU"/>
        </w:rPr>
        <w:t xml:space="preserve"> </w:t>
      </w:r>
      <w:r w:rsidR="00164FFF">
        <w:rPr>
          <w:rFonts w:eastAsia="Times New Roman" w:cstheme="minorHAnsi"/>
          <w:sz w:val="22"/>
          <w:lang w:val="hu-HU"/>
        </w:rPr>
        <w:t>m</w:t>
      </w:r>
      <w:r>
        <w:rPr>
          <w:rFonts w:eastAsia="Times New Roman" w:cstheme="minorHAnsi"/>
          <w:sz w:val="22"/>
          <w:lang w:val="hu-HU"/>
        </w:rPr>
        <w:t>elléklet)</w:t>
      </w:r>
    </w:p>
    <w:p w14:paraId="36EA478B" w14:textId="77777777" w:rsidR="00A84B23" w:rsidRPr="00A84B23" w:rsidRDefault="00A84B23"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CRR</w:t>
      </w:r>
      <w:proofErr w:type="spellEnd"/>
      <w:r>
        <w:rPr>
          <w:rFonts w:eastAsia="Times New Roman" w:cstheme="minorHAnsi"/>
          <w:sz w:val="22"/>
          <w:lang w:val="hu-HU"/>
        </w:rPr>
        <w:t xml:space="preserve"> (</w:t>
      </w:r>
      <w:r w:rsidR="00860769">
        <w:rPr>
          <w:rFonts w:eastAsia="Times New Roman" w:cstheme="minorHAnsi"/>
          <w:sz w:val="22"/>
          <w:lang w:val="hu-HU"/>
        </w:rPr>
        <w:t>„</w:t>
      </w:r>
      <w:r>
        <w:rPr>
          <w:rFonts w:eastAsia="Times New Roman" w:cstheme="minorHAnsi"/>
          <w:sz w:val="22"/>
          <w:lang w:val="hu-HU"/>
        </w:rPr>
        <w:t xml:space="preserve">Capital </w:t>
      </w:r>
      <w:r w:rsidRPr="00C36CD9">
        <w:rPr>
          <w:rFonts w:eastAsia="Times New Roman" w:cstheme="minorHAnsi"/>
          <w:sz w:val="22"/>
        </w:rPr>
        <w:t>Requirement</w:t>
      </w:r>
      <w:r>
        <w:rPr>
          <w:rFonts w:eastAsia="Times New Roman" w:cstheme="minorHAnsi"/>
          <w:sz w:val="22"/>
          <w:lang w:val="hu-HU"/>
        </w:rPr>
        <w:t xml:space="preserve"> </w:t>
      </w:r>
      <w:r w:rsidRPr="00C36CD9">
        <w:rPr>
          <w:rFonts w:eastAsia="Times New Roman" w:cstheme="minorHAnsi"/>
          <w:sz w:val="22"/>
        </w:rPr>
        <w:t>Regulation</w:t>
      </w:r>
      <w:r w:rsidR="00860769">
        <w:rPr>
          <w:rFonts w:eastAsia="Times New Roman" w:cstheme="minorHAnsi"/>
          <w:sz w:val="22"/>
          <w:lang w:val="hu-HU"/>
        </w:rPr>
        <w:t>”</w:t>
      </w:r>
      <w:r>
        <w:rPr>
          <w:rFonts w:eastAsia="Times New Roman" w:cstheme="minorHAnsi"/>
          <w:sz w:val="22"/>
          <w:lang w:val="hu-HU"/>
        </w:rPr>
        <w:t>): hatályos tőkekövetelmény rendelet 575/2013 EU</w:t>
      </w:r>
    </w:p>
    <w:p w14:paraId="54C761BB" w14:textId="77777777" w:rsidR="00966271" w:rsidRDefault="00966271"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DPD</w:t>
      </w:r>
      <w:proofErr w:type="spellEnd"/>
      <w:r>
        <w:rPr>
          <w:rFonts w:eastAsia="Times New Roman" w:cstheme="minorHAnsi"/>
          <w:sz w:val="22"/>
          <w:lang w:val="hu-HU"/>
        </w:rPr>
        <w:t xml:space="preserve"> (</w:t>
      </w:r>
      <w:r w:rsidR="00860769">
        <w:rPr>
          <w:rFonts w:eastAsia="Times New Roman" w:cstheme="minorHAnsi"/>
          <w:sz w:val="22"/>
          <w:lang w:val="hu-HU"/>
        </w:rPr>
        <w:t>„</w:t>
      </w:r>
      <w:proofErr w:type="spellStart"/>
      <w:r w:rsidRPr="009329DF">
        <w:rPr>
          <w:rFonts w:eastAsia="Times New Roman" w:cstheme="minorHAnsi"/>
          <w:sz w:val="22"/>
          <w:lang w:val="hu-HU"/>
        </w:rPr>
        <w:t>Days</w:t>
      </w:r>
      <w:proofErr w:type="spellEnd"/>
      <w:r>
        <w:rPr>
          <w:rFonts w:eastAsia="Times New Roman" w:cstheme="minorHAnsi"/>
          <w:sz w:val="22"/>
          <w:lang w:val="hu-HU"/>
        </w:rPr>
        <w:t xml:space="preserve"> </w:t>
      </w:r>
      <w:proofErr w:type="spellStart"/>
      <w:r w:rsidRPr="009329DF">
        <w:rPr>
          <w:rFonts w:eastAsia="Times New Roman" w:cstheme="minorHAnsi"/>
          <w:sz w:val="22"/>
          <w:lang w:val="hu-HU"/>
        </w:rPr>
        <w:t>Past</w:t>
      </w:r>
      <w:proofErr w:type="spellEnd"/>
      <w:r>
        <w:rPr>
          <w:rFonts w:eastAsia="Times New Roman" w:cstheme="minorHAnsi"/>
          <w:sz w:val="22"/>
          <w:lang w:val="hu-HU"/>
        </w:rPr>
        <w:t xml:space="preserve"> </w:t>
      </w:r>
      <w:proofErr w:type="spellStart"/>
      <w:r w:rsidRPr="009329DF">
        <w:rPr>
          <w:rFonts w:eastAsia="Times New Roman" w:cstheme="minorHAnsi"/>
          <w:sz w:val="22"/>
          <w:lang w:val="hu-HU"/>
        </w:rPr>
        <w:t>Due</w:t>
      </w:r>
      <w:proofErr w:type="spellEnd"/>
      <w:r w:rsidR="00860769">
        <w:rPr>
          <w:rFonts w:eastAsia="Times New Roman" w:cstheme="minorHAnsi"/>
          <w:sz w:val="22"/>
          <w:lang w:val="hu-HU"/>
        </w:rPr>
        <w:t>”</w:t>
      </w:r>
      <w:r>
        <w:rPr>
          <w:rFonts w:eastAsia="Times New Roman" w:cstheme="minorHAnsi"/>
          <w:sz w:val="22"/>
          <w:lang w:val="hu-HU"/>
        </w:rPr>
        <w:t>): lejár</w:t>
      </w:r>
      <w:r w:rsidR="00860769">
        <w:rPr>
          <w:rFonts w:eastAsia="Times New Roman" w:cstheme="minorHAnsi"/>
          <w:sz w:val="22"/>
          <w:lang w:val="hu-HU"/>
        </w:rPr>
        <w:t>a</w:t>
      </w:r>
      <w:r>
        <w:rPr>
          <w:rFonts w:eastAsia="Times New Roman" w:cstheme="minorHAnsi"/>
          <w:sz w:val="22"/>
          <w:lang w:val="hu-HU"/>
        </w:rPr>
        <w:t xml:space="preserve">t </w:t>
      </w:r>
      <w:r w:rsidR="00860769">
        <w:rPr>
          <w:rFonts w:eastAsia="Times New Roman" w:cstheme="minorHAnsi"/>
          <w:sz w:val="22"/>
          <w:lang w:val="hu-HU"/>
        </w:rPr>
        <w:t xml:space="preserve">óta eltelt </w:t>
      </w:r>
      <w:r>
        <w:rPr>
          <w:rFonts w:eastAsia="Times New Roman" w:cstheme="minorHAnsi"/>
          <w:sz w:val="22"/>
          <w:lang w:val="hu-HU"/>
        </w:rPr>
        <w:t>napok száma</w:t>
      </w:r>
    </w:p>
    <w:p w14:paraId="7FFD32A6" w14:textId="77777777" w:rsidR="00603369" w:rsidRDefault="00603369"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DTA</w:t>
      </w:r>
      <w:proofErr w:type="spellEnd"/>
      <w:r>
        <w:rPr>
          <w:rFonts w:eastAsia="Times New Roman" w:cstheme="minorHAnsi"/>
          <w:sz w:val="22"/>
          <w:lang w:val="hu-HU"/>
        </w:rPr>
        <w:t xml:space="preserve"> (</w:t>
      </w:r>
      <w:r w:rsidR="00860769">
        <w:rPr>
          <w:rFonts w:eastAsia="Times New Roman" w:cstheme="minorHAnsi"/>
          <w:sz w:val="22"/>
          <w:lang w:val="hu-HU"/>
        </w:rPr>
        <w:t>„</w:t>
      </w:r>
      <w:r w:rsidRPr="00C36CD9">
        <w:rPr>
          <w:rFonts w:eastAsia="Times New Roman" w:cstheme="minorHAnsi"/>
          <w:sz w:val="22"/>
        </w:rPr>
        <w:t>Deferred</w:t>
      </w:r>
      <w:r>
        <w:rPr>
          <w:rFonts w:eastAsia="Times New Roman" w:cstheme="minorHAnsi"/>
          <w:sz w:val="22"/>
          <w:lang w:val="hu-HU"/>
        </w:rPr>
        <w:t xml:space="preserve"> </w:t>
      </w:r>
      <w:proofErr w:type="spellStart"/>
      <w:r>
        <w:rPr>
          <w:rFonts w:eastAsia="Times New Roman" w:cstheme="minorHAnsi"/>
          <w:sz w:val="22"/>
          <w:lang w:val="hu-HU"/>
        </w:rPr>
        <w:t>Tax</w:t>
      </w:r>
      <w:proofErr w:type="spellEnd"/>
      <w:r>
        <w:rPr>
          <w:rFonts w:eastAsia="Times New Roman" w:cstheme="minorHAnsi"/>
          <w:sz w:val="22"/>
          <w:lang w:val="hu-HU"/>
        </w:rPr>
        <w:t xml:space="preserve"> </w:t>
      </w:r>
      <w:r w:rsidRPr="00C36CD9">
        <w:rPr>
          <w:rFonts w:eastAsia="Times New Roman" w:cstheme="minorHAnsi"/>
          <w:sz w:val="22"/>
        </w:rPr>
        <w:t>Assets</w:t>
      </w:r>
      <w:r w:rsidR="00860769">
        <w:rPr>
          <w:rFonts w:eastAsia="Times New Roman" w:cstheme="minorHAnsi"/>
          <w:sz w:val="22"/>
          <w:lang w:val="hu-HU"/>
        </w:rPr>
        <w:t>”</w:t>
      </w:r>
      <w:r>
        <w:rPr>
          <w:rFonts w:eastAsia="Times New Roman" w:cstheme="minorHAnsi"/>
          <w:sz w:val="22"/>
          <w:lang w:val="hu-HU"/>
        </w:rPr>
        <w:t>): halasztott adókövetelések</w:t>
      </w:r>
    </w:p>
    <w:p w14:paraId="2F8D03D7" w14:textId="77777777" w:rsidR="00603369" w:rsidRPr="00603369" w:rsidRDefault="00603369"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DTC</w:t>
      </w:r>
      <w:proofErr w:type="spellEnd"/>
      <w:r>
        <w:rPr>
          <w:rFonts w:eastAsia="Times New Roman" w:cstheme="minorHAnsi"/>
          <w:sz w:val="22"/>
          <w:lang w:val="hu-HU"/>
        </w:rPr>
        <w:t xml:space="preserve"> (</w:t>
      </w:r>
      <w:r w:rsidR="00860769">
        <w:rPr>
          <w:rFonts w:eastAsia="Times New Roman" w:cstheme="minorHAnsi"/>
          <w:sz w:val="22"/>
          <w:lang w:val="hu-HU"/>
        </w:rPr>
        <w:t>„</w:t>
      </w:r>
      <w:r w:rsidRPr="00C36CD9">
        <w:rPr>
          <w:rFonts w:eastAsia="Times New Roman" w:cstheme="minorHAnsi"/>
          <w:sz w:val="22"/>
        </w:rPr>
        <w:t>Deferred</w:t>
      </w:r>
      <w:r>
        <w:rPr>
          <w:rFonts w:eastAsia="Times New Roman" w:cstheme="minorHAnsi"/>
          <w:sz w:val="22"/>
          <w:lang w:val="hu-HU"/>
        </w:rPr>
        <w:t xml:space="preserve"> </w:t>
      </w:r>
      <w:proofErr w:type="spellStart"/>
      <w:r>
        <w:rPr>
          <w:rFonts w:eastAsia="Times New Roman" w:cstheme="minorHAnsi"/>
          <w:sz w:val="22"/>
          <w:lang w:val="hu-HU"/>
        </w:rPr>
        <w:t>Tax</w:t>
      </w:r>
      <w:proofErr w:type="spellEnd"/>
      <w:r>
        <w:rPr>
          <w:rFonts w:eastAsia="Times New Roman" w:cstheme="minorHAnsi"/>
          <w:sz w:val="22"/>
          <w:lang w:val="hu-HU"/>
        </w:rPr>
        <w:t xml:space="preserve"> </w:t>
      </w:r>
      <w:r w:rsidRPr="00C36CD9">
        <w:rPr>
          <w:rFonts w:eastAsia="Times New Roman" w:cstheme="minorHAnsi"/>
          <w:sz w:val="22"/>
        </w:rPr>
        <w:t>Credits</w:t>
      </w:r>
      <w:r w:rsidR="00860769">
        <w:rPr>
          <w:rFonts w:eastAsia="Times New Roman" w:cstheme="minorHAnsi"/>
          <w:sz w:val="22"/>
          <w:lang w:val="hu-HU"/>
        </w:rPr>
        <w:t>”</w:t>
      </w:r>
      <w:r>
        <w:rPr>
          <w:rFonts w:eastAsia="Times New Roman" w:cstheme="minorHAnsi"/>
          <w:sz w:val="22"/>
          <w:lang w:val="hu-HU"/>
        </w:rPr>
        <w:t>): halasztott adójóváírások</w:t>
      </w:r>
    </w:p>
    <w:p w14:paraId="4FD91A8F" w14:textId="77777777" w:rsidR="00603369" w:rsidRPr="00603369" w:rsidRDefault="00603369"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EBITDA</w:t>
      </w:r>
      <w:proofErr w:type="spellEnd"/>
      <w:r>
        <w:rPr>
          <w:rFonts w:eastAsia="Times New Roman" w:cstheme="minorHAnsi"/>
          <w:sz w:val="22"/>
          <w:lang w:val="hu-HU"/>
        </w:rPr>
        <w:t xml:space="preserve"> (</w:t>
      </w:r>
      <w:r w:rsidR="00860769">
        <w:rPr>
          <w:rFonts w:eastAsia="Times New Roman" w:cstheme="minorHAnsi"/>
          <w:sz w:val="22"/>
          <w:lang w:val="hu-HU"/>
        </w:rPr>
        <w:t>„</w:t>
      </w:r>
      <w:proofErr w:type="spellStart"/>
      <w:r w:rsidRPr="00F87621">
        <w:rPr>
          <w:rFonts w:eastAsia="Times New Roman" w:cstheme="minorHAnsi"/>
          <w:sz w:val="22"/>
          <w:lang w:val="hu-HU"/>
        </w:rPr>
        <w:t>Earnings</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Before</w:t>
      </w:r>
      <w:proofErr w:type="spellEnd"/>
      <w:r>
        <w:rPr>
          <w:rFonts w:eastAsia="Times New Roman" w:cstheme="minorHAnsi"/>
          <w:sz w:val="22"/>
          <w:lang w:val="hu-HU"/>
        </w:rPr>
        <w:t xml:space="preserve"> Interest, </w:t>
      </w:r>
      <w:proofErr w:type="spellStart"/>
      <w:r w:rsidRPr="00F87621">
        <w:rPr>
          <w:rFonts w:eastAsia="Times New Roman" w:cstheme="minorHAnsi"/>
          <w:sz w:val="22"/>
          <w:lang w:val="hu-HU"/>
        </w:rPr>
        <w:t>Taxes</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Depreciation</w:t>
      </w:r>
      <w:proofErr w:type="spellEnd"/>
      <w:r>
        <w:rPr>
          <w:rFonts w:eastAsia="Times New Roman" w:cstheme="minorHAnsi"/>
          <w:sz w:val="22"/>
          <w:lang w:val="hu-HU"/>
        </w:rPr>
        <w:t xml:space="preserve">, and </w:t>
      </w:r>
      <w:proofErr w:type="spellStart"/>
      <w:r w:rsidRPr="00F87621">
        <w:rPr>
          <w:rFonts w:eastAsia="Times New Roman" w:cstheme="minorHAnsi"/>
          <w:sz w:val="22"/>
          <w:lang w:val="hu-HU"/>
        </w:rPr>
        <w:t>Amortiza</w:t>
      </w:r>
      <w:r w:rsidR="00860769" w:rsidRPr="00F87621">
        <w:rPr>
          <w:rFonts w:eastAsia="Times New Roman" w:cstheme="minorHAnsi"/>
          <w:sz w:val="22"/>
          <w:lang w:val="hu-HU"/>
        </w:rPr>
        <w:t>ti</w:t>
      </w:r>
      <w:r w:rsidRPr="00F87621">
        <w:rPr>
          <w:rFonts w:eastAsia="Times New Roman" w:cstheme="minorHAnsi"/>
          <w:sz w:val="22"/>
          <w:lang w:val="hu-HU"/>
        </w:rPr>
        <w:t>on</w:t>
      </w:r>
      <w:proofErr w:type="spellEnd"/>
      <w:r>
        <w:rPr>
          <w:rFonts w:eastAsia="Times New Roman" w:cstheme="minorHAnsi"/>
          <w:sz w:val="22"/>
          <w:lang w:val="hu-HU"/>
        </w:rPr>
        <w:t>): fizetett kamatok, adók, értékcsökkenési leírás és amortizáció előtti eredmény</w:t>
      </w:r>
    </w:p>
    <w:p w14:paraId="56DCB66A" w14:textId="77777777" w:rsidR="00603369" w:rsidRDefault="00603369"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ECB</w:t>
      </w:r>
      <w:proofErr w:type="spellEnd"/>
      <w:r>
        <w:rPr>
          <w:rFonts w:eastAsia="Times New Roman" w:cstheme="minorHAnsi"/>
          <w:sz w:val="22"/>
          <w:lang w:val="hu-HU"/>
        </w:rPr>
        <w:t xml:space="preserve"> </w:t>
      </w:r>
      <w:proofErr w:type="spellStart"/>
      <w:r w:rsidRPr="009329DF">
        <w:rPr>
          <w:rFonts w:eastAsia="Times New Roman" w:cstheme="minorHAnsi"/>
          <w:sz w:val="22"/>
          <w:lang w:val="hu-HU"/>
        </w:rPr>
        <w:t>AnaCredit</w:t>
      </w:r>
      <w:proofErr w:type="spellEnd"/>
      <w:r>
        <w:rPr>
          <w:rFonts w:eastAsia="Times New Roman" w:cstheme="minorHAnsi"/>
          <w:sz w:val="22"/>
          <w:lang w:val="hu-HU"/>
        </w:rPr>
        <w:t xml:space="preserve">: a 2016/867 számú 2016 </w:t>
      </w:r>
      <w:r w:rsidR="00DF1602">
        <w:rPr>
          <w:rFonts w:eastAsia="Times New Roman" w:cstheme="minorHAnsi"/>
          <w:sz w:val="22"/>
          <w:lang w:val="hu-HU"/>
        </w:rPr>
        <w:t>m</w:t>
      </w:r>
      <w:r>
        <w:rPr>
          <w:rFonts w:eastAsia="Times New Roman" w:cstheme="minorHAnsi"/>
          <w:sz w:val="22"/>
          <w:lang w:val="hu-HU"/>
        </w:rPr>
        <w:t>ájus 18-án kiadott EU rendelet (</w:t>
      </w:r>
      <w:proofErr w:type="spellStart"/>
      <w:r>
        <w:rPr>
          <w:rFonts w:eastAsia="Times New Roman" w:cstheme="minorHAnsi"/>
          <w:sz w:val="22"/>
          <w:lang w:val="hu-HU"/>
        </w:rPr>
        <w:t>ECB</w:t>
      </w:r>
      <w:proofErr w:type="spellEnd"/>
      <w:r>
        <w:rPr>
          <w:rFonts w:eastAsia="Times New Roman" w:cstheme="minorHAnsi"/>
          <w:sz w:val="22"/>
          <w:lang w:val="hu-HU"/>
        </w:rPr>
        <w:t>/2016/13)</w:t>
      </w:r>
    </w:p>
    <w:p w14:paraId="6C4EF1DF" w14:textId="77777777" w:rsidR="004370F4" w:rsidRDefault="004370F4"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EIOPA</w:t>
      </w:r>
      <w:proofErr w:type="spellEnd"/>
      <w:r>
        <w:rPr>
          <w:rFonts w:eastAsia="Times New Roman" w:cstheme="minorHAnsi"/>
          <w:sz w:val="22"/>
          <w:lang w:val="hu-HU"/>
        </w:rPr>
        <w:t xml:space="preserve"> (</w:t>
      </w:r>
      <w:r w:rsidR="006118A1">
        <w:rPr>
          <w:rFonts w:eastAsia="Times New Roman" w:cstheme="minorHAnsi"/>
          <w:sz w:val="22"/>
          <w:lang w:val="hu-HU"/>
        </w:rPr>
        <w:t>„</w:t>
      </w:r>
      <w:r>
        <w:rPr>
          <w:rFonts w:eastAsia="Times New Roman" w:cstheme="minorHAnsi"/>
          <w:sz w:val="22"/>
          <w:lang w:val="hu-HU"/>
        </w:rPr>
        <w:t>E</w:t>
      </w:r>
      <w:r w:rsidRPr="00B97DAC">
        <w:rPr>
          <w:rFonts w:eastAsia="Times New Roman" w:cstheme="minorHAnsi"/>
          <w:sz w:val="22"/>
          <w:lang w:val="hu-HU"/>
        </w:rPr>
        <w:t xml:space="preserve">uropean </w:t>
      </w:r>
      <w:proofErr w:type="spellStart"/>
      <w:r w:rsidRPr="009329DF">
        <w:rPr>
          <w:rFonts w:eastAsia="Times New Roman" w:cstheme="minorHAnsi"/>
          <w:sz w:val="22"/>
          <w:lang w:val="hu-HU"/>
        </w:rPr>
        <w:t>Insurance</w:t>
      </w:r>
      <w:proofErr w:type="spellEnd"/>
      <w:r w:rsidRPr="00B97DAC">
        <w:rPr>
          <w:rFonts w:eastAsia="Times New Roman" w:cstheme="minorHAnsi"/>
          <w:sz w:val="22"/>
          <w:lang w:val="hu-HU"/>
        </w:rPr>
        <w:t xml:space="preserve"> and </w:t>
      </w:r>
      <w:proofErr w:type="spellStart"/>
      <w:r w:rsidRPr="009329DF">
        <w:rPr>
          <w:rFonts w:eastAsia="Times New Roman" w:cstheme="minorHAnsi"/>
          <w:sz w:val="22"/>
          <w:lang w:val="hu-HU"/>
        </w:rPr>
        <w:t>Occupational</w:t>
      </w:r>
      <w:proofErr w:type="spellEnd"/>
      <w:r w:rsidRPr="00B97DAC">
        <w:rPr>
          <w:rFonts w:eastAsia="Times New Roman" w:cstheme="minorHAnsi"/>
          <w:sz w:val="22"/>
          <w:lang w:val="hu-HU"/>
        </w:rPr>
        <w:t xml:space="preserve"> </w:t>
      </w:r>
      <w:proofErr w:type="spellStart"/>
      <w:r w:rsidRPr="009329DF">
        <w:rPr>
          <w:rFonts w:eastAsia="Times New Roman" w:cstheme="minorHAnsi"/>
          <w:sz w:val="22"/>
          <w:lang w:val="hu-HU"/>
        </w:rPr>
        <w:t>Pensions</w:t>
      </w:r>
      <w:proofErr w:type="spellEnd"/>
      <w:r w:rsidRPr="00B97DAC">
        <w:rPr>
          <w:rFonts w:eastAsia="Times New Roman" w:cstheme="minorHAnsi"/>
          <w:sz w:val="22"/>
          <w:lang w:val="hu-HU"/>
        </w:rPr>
        <w:t xml:space="preserve"> </w:t>
      </w:r>
      <w:proofErr w:type="spellStart"/>
      <w:r w:rsidRPr="009329DF">
        <w:rPr>
          <w:rFonts w:eastAsia="Times New Roman" w:cstheme="minorHAnsi"/>
          <w:sz w:val="22"/>
          <w:lang w:val="hu-HU"/>
        </w:rPr>
        <w:t>Authority</w:t>
      </w:r>
      <w:proofErr w:type="spellEnd"/>
      <w:r w:rsidR="006118A1">
        <w:rPr>
          <w:rFonts w:eastAsia="Times New Roman" w:cstheme="minorHAnsi"/>
          <w:sz w:val="22"/>
          <w:lang w:val="hu-HU"/>
        </w:rPr>
        <w:t>”</w:t>
      </w:r>
      <w:r>
        <w:rPr>
          <w:rFonts w:eastAsia="Times New Roman" w:cstheme="minorHAnsi"/>
          <w:sz w:val="22"/>
          <w:lang w:val="hu-HU"/>
        </w:rPr>
        <w:t xml:space="preserve">): Az Európai Biztosítás- és </w:t>
      </w:r>
      <w:proofErr w:type="spellStart"/>
      <w:r>
        <w:rPr>
          <w:rFonts w:eastAsia="Times New Roman" w:cstheme="minorHAnsi"/>
          <w:sz w:val="22"/>
          <w:lang w:val="hu-HU"/>
        </w:rPr>
        <w:t>Foglalkoztatóinyugdíj</w:t>
      </w:r>
      <w:proofErr w:type="spellEnd"/>
      <w:r>
        <w:rPr>
          <w:rFonts w:eastAsia="Times New Roman" w:cstheme="minorHAnsi"/>
          <w:sz w:val="22"/>
          <w:lang w:val="hu-HU"/>
        </w:rPr>
        <w:t>-hatóság</w:t>
      </w:r>
    </w:p>
    <w:p w14:paraId="2BA1F166" w14:textId="77777777" w:rsidR="00603369" w:rsidRPr="00603369" w:rsidRDefault="00603369"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EONIA</w:t>
      </w:r>
      <w:proofErr w:type="spellEnd"/>
      <w:r>
        <w:rPr>
          <w:rFonts w:eastAsia="Times New Roman" w:cstheme="minorHAnsi"/>
          <w:sz w:val="22"/>
          <w:lang w:val="hu-HU"/>
        </w:rPr>
        <w:t xml:space="preserve"> (</w:t>
      </w:r>
      <w:r w:rsidR="006118A1">
        <w:rPr>
          <w:rFonts w:eastAsia="Times New Roman" w:cstheme="minorHAnsi"/>
          <w:sz w:val="22"/>
          <w:lang w:val="hu-HU"/>
        </w:rPr>
        <w:t>„</w:t>
      </w:r>
      <w:r>
        <w:rPr>
          <w:rFonts w:eastAsia="Times New Roman" w:cstheme="minorHAnsi"/>
          <w:sz w:val="22"/>
          <w:lang w:val="hu-HU"/>
        </w:rPr>
        <w:t xml:space="preserve">Euro </w:t>
      </w:r>
      <w:r w:rsidRPr="00C36CD9">
        <w:rPr>
          <w:rFonts w:eastAsia="Times New Roman" w:cstheme="minorHAnsi"/>
          <w:sz w:val="22"/>
        </w:rPr>
        <w:t>Overnight</w:t>
      </w:r>
      <w:r>
        <w:rPr>
          <w:rFonts w:eastAsia="Times New Roman" w:cstheme="minorHAnsi"/>
          <w:sz w:val="22"/>
          <w:lang w:val="hu-HU"/>
        </w:rPr>
        <w:t xml:space="preserve"> Index </w:t>
      </w:r>
      <w:r w:rsidRPr="00C36CD9">
        <w:rPr>
          <w:rFonts w:eastAsia="Times New Roman" w:cstheme="minorHAnsi"/>
          <w:sz w:val="22"/>
        </w:rPr>
        <w:t>Average</w:t>
      </w:r>
      <w:r w:rsidR="006118A1">
        <w:rPr>
          <w:rFonts w:eastAsia="Times New Roman" w:cstheme="minorHAnsi"/>
          <w:sz w:val="22"/>
          <w:lang w:val="hu-HU"/>
        </w:rPr>
        <w:t>”</w:t>
      </w:r>
      <w:r>
        <w:rPr>
          <w:rFonts w:eastAsia="Times New Roman" w:cstheme="minorHAnsi"/>
          <w:sz w:val="22"/>
          <w:lang w:val="hu-HU"/>
        </w:rPr>
        <w:t>)</w:t>
      </w:r>
      <w:r w:rsidRPr="006F237C">
        <w:rPr>
          <w:rFonts w:eastAsia="Times New Roman" w:cstheme="minorHAnsi"/>
          <w:sz w:val="22"/>
          <w:lang w:val="hu-HU"/>
        </w:rPr>
        <w:t>: euró</w:t>
      </w:r>
      <w:r w:rsidR="006118A1">
        <w:rPr>
          <w:rFonts w:eastAsia="Times New Roman" w:cstheme="minorHAnsi"/>
          <w:sz w:val="22"/>
          <w:lang w:val="hu-HU"/>
        </w:rPr>
        <w:t>pai egynapos index átlag kamat</w:t>
      </w:r>
      <w:r w:rsidRPr="006F237C">
        <w:rPr>
          <w:rFonts w:eastAsia="Times New Roman" w:cstheme="minorHAnsi"/>
          <w:sz w:val="22"/>
          <w:lang w:val="hu-HU"/>
        </w:rPr>
        <w:t xml:space="preserve"> </w:t>
      </w:r>
    </w:p>
    <w:p w14:paraId="7EB6936B" w14:textId="77777777" w:rsidR="00603369" w:rsidRDefault="00603369"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ESA</w:t>
      </w:r>
      <w:proofErr w:type="spellEnd"/>
      <w:r>
        <w:rPr>
          <w:rFonts w:eastAsia="Times New Roman" w:cstheme="minorHAnsi"/>
          <w:sz w:val="22"/>
          <w:lang w:val="hu-HU"/>
        </w:rPr>
        <w:t xml:space="preserve"> 2010 klasszifikáció: Az európai könyvelési rendszer (</w:t>
      </w:r>
      <w:r w:rsidR="00C000FD">
        <w:rPr>
          <w:rFonts w:eastAsia="Times New Roman" w:cstheme="minorHAnsi"/>
          <w:sz w:val="22"/>
          <w:lang w:val="hu-HU"/>
        </w:rPr>
        <w:t>„</w:t>
      </w:r>
      <w:r>
        <w:rPr>
          <w:rFonts w:eastAsia="Times New Roman" w:cstheme="minorHAnsi"/>
          <w:sz w:val="22"/>
          <w:lang w:val="hu-HU"/>
        </w:rPr>
        <w:t xml:space="preserve">European System of </w:t>
      </w:r>
      <w:proofErr w:type="spellStart"/>
      <w:r w:rsidRPr="00F87621">
        <w:rPr>
          <w:rFonts w:eastAsia="Times New Roman" w:cstheme="minorHAnsi"/>
          <w:sz w:val="22"/>
          <w:lang w:val="hu-HU"/>
        </w:rPr>
        <w:t>Accounts</w:t>
      </w:r>
      <w:proofErr w:type="spellEnd"/>
      <w:r w:rsidR="00C000FD">
        <w:rPr>
          <w:rFonts w:eastAsia="Times New Roman" w:cstheme="minorHAnsi"/>
          <w:sz w:val="22"/>
          <w:lang w:val="hu-HU"/>
        </w:rPr>
        <w:t>”,</w:t>
      </w:r>
      <w:r>
        <w:rPr>
          <w:rFonts w:eastAsia="Times New Roman" w:cstheme="minorHAnsi"/>
          <w:sz w:val="22"/>
          <w:lang w:val="hu-HU"/>
        </w:rPr>
        <w:t xml:space="preserve"> </w:t>
      </w:r>
      <w:r w:rsidR="00C000FD">
        <w:rPr>
          <w:rFonts w:eastAsia="Times New Roman" w:cstheme="minorHAnsi"/>
          <w:sz w:val="22"/>
          <w:lang w:val="hu-HU"/>
        </w:rPr>
        <w:t>„</w:t>
      </w:r>
      <w:proofErr w:type="spellStart"/>
      <w:r>
        <w:rPr>
          <w:rFonts w:eastAsia="Times New Roman" w:cstheme="minorHAnsi"/>
          <w:sz w:val="22"/>
          <w:lang w:val="hu-HU"/>
        </w:rPr>
        <w:t>ESA</w:t>
      </w:r>
      <w:proofErr w:type="spellEnd"/>
      <w:r w:rsidR="00C000FD">
        <w:rPr>
          <w:rFonts w:eastAsia="Times New Roman" w:cstheme="minorHAnsi"/>
          <w:sz w:val="22"/>
          <w:lang w:val="hu-HU"/>
        </w:rPr>
        <w:t>”</w:t>
      </w:r>
      <w:r>
        <w:rPr>
          <w:rFonts w:eastAsia="Times New Roman" w:cstheme="minorHAnsi"/>
          <w:sz w:val="22"/>
          <w:lang w:val="hu-HU"/>
        </w:rPr>
        <w:t>) szerinti klasszifikáció 2010-es változat (EUROSTAT)</w:t>
      </w:r>
    </w:p>
    <w:p w14:paraId="3D426702" w14:textId="77777777" w:rsidR="002C56F7" w:rsidRPr="002C56F7" w:rsidRDefault="002C56F7"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ESG</w:t>
      </w:r>
      <w:proofErr w:type="spellEnd"/>
      <w:r>
        <w:rPr>
          <w:rFonts w:eastAsia="Times New Roman" w:cstheme="minorHAnsi"/>
          <w:sz w:val="22"/>
          <w:lang w:val="hu-HU"/>
        </w:rPr>
        <w:t xml:space="preserve"> (</w:t>
      </w:r>
      <w:r w:rsidR="00C000FD">
        <w:rPr>
          <w:rFonts w:eastAsia="Times New Roman" w:cstheme="minorHAnsi"/>
          <w:sz w:val="22"/>
          <w:lang w:val="hu-HU"/>
        </w:rPr>
        <w:t>„</w:t>
      </w:r>
      <w:proofErr w:type="spellStart"/>
      <w:r w:rsidRPr="00F87621">
        <w:rPr>
          <w:rFonts w:eastAsia="Times New Roman" w:cstheme="minorHAnsi"/>
          <w:sz w:val="22"/>
          <w:lang w:val="hu-HU"/>
        </w:rPr>
        <w:t>Environmental</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Social</w:t>
      </w:r>
      <w:proofErr w:type="spellEnd"/>
      <w:r>
        <w:rPr>
          <w:rFonts w:eastAsia="Times New Roman" w:cstheme="minorHAnsi"/>
          <w:sz w:val="22"/>
          <w:lang w:val="hu-HU"/>
        </w:rPr>
        <w:t xml:space="preserve"> and </w:t>
      </w:r>
      <w:proofErr w:type="spellStart"/>
      <w:r w:rsidRPr="00F87621">
        <w:rPr>
          <w:rFonts w:eastAsia="Times New Roman" w:cstheme="minorHAnsi"/>
          <w:sz w:val="22"/>
          <w:lang w:val="hu-HU"/>
        </w:rPr>
        <w:t>Governance</w:t>
      </w:r>
      <w:proofErr w:type="spellEnd"/>
      <w:r w:rsidR="00C000FD">
        <w:rPr>
          <w:rFonts w:eastAsia="Times New Roman" w:cstheme="minorHAnsi"/>
          <w:sz w:val="22"/>
          <w:lang w:val="hu-HU"/>
        </w:rPr>
        <w:t>”</w:t>
      </w:r>
      <w:r>
        <w:rPr>
          <w:rFonts w:eastAsia="Times New Roman" w:cstheme="minorHAnsi"/>
          <w:sz w:val="22"/>
          <w:lang w:val="hu-HU"/>
        </w:rPr>
        <w:t>): környezeti, szociális, és irányítási szempontokat is megfontoló megközelítés</w:t>
      </w:r>
    </w:p>
    <w:p w14:paraId="37768A60" w14:textId="77777777" w:rsidR="001C4C6D" w:rsidRDefault="001C4C6D"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ESMA</w:t>
      </w:r>
      <w:proofErr w:type="spellEnd"/>
      <w:r>
        <w:rPr>
          <w:rFonts w:eastAsia="Times New Roman" w:cstheme="minorHAnsi"/>
          <w:sz w:val="22"/>
          <w:lang w:val="hu-HU"/>
        </w:rPr>
        <w:t xml:space="preserve"> (</w:t>
      </w:r>
      <w:r w:rsidR="00C000FD">
        <w:rPr>
          <w:rFonts w:eastAsia="Times New Roman" w:cstheme="minorHAnsi"/>
          <w:sz w:val="22"/>
          <w:lang w:val="hu-HU"/>
        </w:rPr>
        <w:t>„</w:t>
      </w:r>
      <w:r>
        <w:rPr>
          <w:rFonts w:eastAsia="Times New Roman" w:cstheme="minorHAnsi"/>
          <w:sz w:val="22"/>
          <w:lang w:val="hu-HU"/>
        </w:rPr>
        <w:t xml:space="preserve">European </w:t>
      </w:r>
      <w:r w:rsidRPr="00295BAF">
        <w:rPr>
          <w:rFonts w:eastAsia="Times New Roman" w:cstheme="minorHAnsi"/>
          <w:sz w:val="22"/>
        </w:rPr>
        <w:t>Securities</w:t>
      </w:r>
      <w:r>
        <w:rPr>
          <w:rFonts w:eastAsia="Times New Roman" w:cstheme="minorHAnsi"/>
          <w:sz w:val="22"/>
          <w:lang w:val="hu-HU"/>
        </w:rPr>
        <w:t xml:space="preserve"> and </w:t>
      </w:r>
      <w:r w:rsidRPr="00295BAF">
        <w:rPr>
          <w:rFonts w:eastAsia="Times New Roman" w:cstheme="minorHAnsi"/>
          <w:sz w:val="22"/>
        </w:rPr>
        <w:t>Markets</w:t>
      </w:r>
      <w:r>
        <w:rPr>
          <w:rFonts w:eastAsia="Times New Roman" w:cstheme="minorHAnsi"/>
          <w:sz w:val="22"/>
          <w:lang w:val="hu-HU"/>
        </w:rPr>
        <w:t xml:space="preserve"> </w:t>
      </w:r>
      <w:r w:rsidRPr="00295BAF">
        <w:rPr>
          <w:rFonts w:eastAsia="Times New Roman" w:cstheme="minorHAnsi"/>
          <w:sz w:val="22"/>
        </w:rPr>
        <w:t>Authority</w:t>
      </w:r>
      <w:r w:rsidR="00C000FD">
        <w:rPr>
          <w:rFonts w:eastAsia="Times New Roman" w:cstheme="minorHAnsi"/>
          <w:sz w:val="22"/>
          <w:lang w:val="hu-HU"/>
        </w:rPr>
        <w:t>”</w:t>
      </w:r>
      <w:r>
        <w:rPr>
          <w:rFonts w:eastAsia="Times New Roman" w:cstheme="minorHAnsi"/>
          <w:sz w:val="22"/>
          <w:lang w:val="hu-HU"/>
        </w:rPr>
        <w:t>): Európai Értékpapír Piaci Hatóság</w:t>
      </w:r>
    </w:p>
    <w:p w14:paraId="59A745C3" w14:textId="77777777" w:rsidR="00603369" w:rsidRDefault="00603369"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lastRenderedPageBreak/>
        <w:t>EUR: Euró</w:t>
      </w:r>
    </w:p>
    <w:p w14:paraId="012C2F39" w14:textId="77777777" w:rsidR="00603369" w:rsidRPr="004370F4" w:rsidRDefault="002C56F7"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EURIBOR</w:t>
      </w:r>
      <w:proofErr w:type="spellEnd"/>
      <w:r>
        <w:rPr>
          <w:rFonts w:eastAsia="Times New Roman" w:cstheme="minorHAnsi"/>
          <w:sz w:val="22"/>
          <w:lang w:val="hu-HU"/>
        </w:rPr>
        <w:t xml:space="preserve"> (</w:t>
      </w:r>
      <w:r w:rsidR="00C000FD">
        <w:rPr>
          <w:rFonts w:eastAsia="Times New Roman" w:cstheme="minorHAnsi"/>
          <w:sz w:val="22"/>
          <w:lang w:val="hu-HU"/>
        </w:rPr>
        <w:t>„</w:t>
      </w:r>
      <w:r>
        <w:rPr>
          <w:rFonts w:eastAsia="Times New Roman" w:cstheme="minorHAnsi"/>
          <w:sz w:val="22"/>
          <w:lang w:val="hu-HU"/>
        </w:rPr>
        <w:t xml:space="preserve">Euro </w:t>
      </w:r>
      <w:r w:rsidRPr="00295BAF">
        <w:rPr>
          <w:rFonts w:eastAsia="Times New Roman" w:cstheme="minorHAnsi"/>
          <w:sz w:val="22"/>
        </w:rPr>
        <w:t>Interbank</w:t>
      </w:r>
      <w:r>
        <w:rPr>
          <w:rFonts w:eastAsia="Times New Roman" w:cstheme="minorHAnsi"/>
          <w:sz w:val="22"/>
          <w:lang w:val="hu-HU"/>
        </w:rPr>
        <w:t xml:space="preserve"> </w:t>
      </w:r>
      <w:r w:rsidRPr="00295BAF">
        <w:rPr>
          <w:rFonts w:eastAsia="Times New Roman" w:cstheme="minorHAnsi"/>
          <w:sz w:val="22"/>
        </w:rPr>
        <w:t>Offered</w:t>
      </w:r>
      <w:r>
        <w:rPr>
          <w:rFonts w:eastAsia="Times New Roman" w:cstheme="minorHAnsi"/>
          <w:sz w:val="22"/>
          <w:lang w:val="hu-HU"/>
        </w:rPr>
        <w:t xml:space="preserve"> </w:t>
      </w:r>
      <w:r w:rsidRPr="00295BAF">
        <w:rPr>
          <w:rFonts w:eastAsia="Times New Roman" w:cstheme="minorHAnsi"/>
          <w:sz w:val="22"/>
        </w:rPr>
        <w:t>Rate</w:t>
      </w:r>
      <w:r w:rsidR="00C000FD">
        <w:rPr>
          <w:rFonts w:eastAsia="Times New Roman" w:cstheme="minorHAnsi"/>
          <w:sz w:val="22"/>
          <w:lang w:val="hu-HU"/>
        </w:rPr>
        <w:t>”</w:t>
      </w:r>
      <w:r>
        <w:rPr>
          <w:rFonts w:eastAsia="Times New Roman" w:cstheme="minorHAnsi"/>
          <w:sz w:val="22"/>
          <w:lang w:val="hu-HU"/>
        </w:rPr>
        <w:t>): európai irányadó bankközi kamatláb</w:t>
      </w:r>
    </w:p>
    <w:p w14:paraId="171C47F8" w14:textId="77777777" w:rsidR="002C56F7" w:rsidRPr="00755A1A" w:rsidRDefault="00F57A81"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FINREP</w:t>
      </w:r>
      <w:proofErr w:type="spellEnd"/>
      <w:r w:rsidR="00A62990">
        <w:rPr>
          <w:rFonts w:eastAsia="Times New Roman" w:cstheme="minorHAnsi"/>
          <w:sz w:val="22"/>
          <w:lang w:val="hu-HU"/>
        </w:rPr>
        <w:t xml:space="preserve"> (</w:t>
      </w:r>
      <w:r w:rsidR="00D00003">
        <w:rPr>
          <w:rFonts w:eastAsia="Times New Roman" w:cstheme="minorHAnsi"/>
          <w:sz w:val="22"/>
          <w:lang w:val="hu-HU"/>
        </w:rPr>
        <w:t>„</w:t>
      </w:r>
      <w:r w:rsidR="00A62990">
        <w:rPr>
          <w:rFonts w:eastAsia="Times New Roman" w:cstheme="minorHAnsi"/>
          <w:sz w:val="22"/>
          <w:lang w:val="hu-HU"/>
        </w:rPr>
        <w:t xml:space="preserve">Financial </w:t>
      </w:r>
      <w:proofErr w:type="spellStart"/>
      <w:r w:rsidR="00A62990" w:rsidRPr="00F87621">
        <w:rPr>
          <w:rFonts w:eastAsia="Times New Roman" w:cstheme="minorHAnsi"/>
          <w:sz w:val="22"/>
          <w:lang w:val="hu-HU"/>
        </w:rPr>
        <w:t>Reporting</w:t>
      </w:r>
      <w:proofErr w:type="spellEnd"/>
      <w:r w:rsidR="00D00003">
        <w:rPr>
          <w:rFonts w:eastAsia="Times New Roman" w:cstheme="minorHAnsi"/>
          <w:sz w:val="22"/>
          <w:lang w:val="hu-HU"/>
        </w:rPr>
        <w:t>”</w:t>
      </w:r>
      <w:r w:rsidR="00A62990">
        <w:rPr>
          <w:rFonts w:eastAsia="Times New Roman" w:cstheme="minorHAnsi"/>
          <w:sz w:val="22"/>
          <w:lang w:val="hu-HU"/>
        </w:rPr>
        <w:t>)</w:t>
      </w:r>
      <w:r>
        <w:rPr>
          <w:rFonts w:eastAsia="Times New Roman" w:cstheme="minorHAnsi"/>
          <w:sz w:val="22"/>
          <w:lang w:val="hu-HU"/>
        </w:rPr>
        <w:t xml:space="preserve">: </w:t>
      </w:r>
      <w:r w:rsidR="00B8085D" w:rsidRPr="00B8085D">
        <w:rPr>
          <w:rFonts w:eastAsia="Times New Roman" w:cstheme="minorHAnsi"/>
          <w:sz w:val="22"/>
          <w:lang w:val="hu-HU"/>
        </w:rPr>
        <w:t>a 680/2014 számú EU Felügyeleti Jelentésről szóló végrehajtási rendeletének kiegészítéseként az Európai Központi Bank által kidolgozásra került technikai végrehajtási sztenderdek (</w:t>
      </w:r>
      <w:r w:rsidR="00D00003">
        <w:rPr>
          <w:rFonts w:eastAsia="Times New Roman" w:cstheme="minorHAnsi"/>
          <w:sz w:val="22"/>
          <w:lang w:val="hu-HU"/>
        </w:rPr>
        <w:t>„</w:t>
      </w:r>
      <w:proofErr w:type="spellStart"/>
      <w:r w:rsidR="00B8085D" w:rsidRPr="00F87621">
        <w:rPr>
          <w:rFonts w:eastAsia="Times New Roman" w:cstheme="minorHAnsi"/>
          <w:sz w:val="22"/>
          <w:lang w:val="hu-HU"/>
        </w:rPr>
        <w:t>Implementing</w:t>
      </w:r>
      <w:proofErr w:type="spellEnd"/>
      <w:r w:rsidR="00B8085D" w:rsidRPr="00B8085D">
        <w:rPr>
          <w:rFonts w:eastAsia="Times New Roman" w:cstheme="minorHAnsi"/>
          <w:sz w:val="22"/>
          <w:lang w:val="hu-HU"/>
        </w:rPr>
        <w:t xml:space="preserve"> </w:t>
      </w:r>
      <w:proofErr w:type="spellStart"/>
      <w:r w:rsidR="00B8085D" w:rsidRPr="00F87621">
        <w:rPr>
          <w:rFonts w:eastAsia="Times New Roman" w:cstheme="minorHAnsi"/>
          <w:sz w:val="22"/>
          <w:lang w:val="hu-HU"/>
        </w:rPr>
        <w:t>Technical</w:t>
      </w:r>
      <w:proofErr w:type="spellEnd"/>
      <w:r w:rsidR="00B8085D" w:rsidRPr="00B8085D">
        <w:rPr>
          <w:rFonts w:eastAsia="Times New Roman" w:cstheme="minorHAnsi"/>
          <w:sz w:val="22"/>
          <w:lang w:val="hu-HU"/>
        </w:rPr>
        <w:t xml:space="preserve"> </w:t>
      </w:r>
      <w:proofErr w:type="spellStart"/>
      <w:r w:rsidR="00B8085D" w:rsidRPr="00F87621">
        <w:rPr>
          <w:rFonts w:eastAsia="Times New Roman" w:cstheme="minorHAnsi"/>
          <w:sz w:val="22"/>
          <w:lang w:val="hu-HU"/>
        </w:rPr>
        <w:t>Standards</w:t>
      </w:r>
      <w:proofErr w:type="spellEnd"/>
      <w:r w:rsidR="00D00003">
        <w:rPr>
          <w:rFonts w:eastAsia="Times New Roman" w:cstheme="minorHAnsi"/>
          <w:sz w:val="22"/>
          <w:lang w:val="hu-HU"/>
        </w:rPr>
        <w:t>”,</w:t>
      </w:r>
      <w:r w:rsidR="00B8085D" w:rsidRPr="00B8085D">
        <w:rPr>
          <w:rFonts w:eastAsia="Times New Roman" w:cstheme="minorHAnsi"/>
          <w:sz w:val="22"/>
          <w:lang w:val="hu-HU"/>
        </w:rPr>
        <w:t xml:space="preserve"> </w:t>
      </w:r>
      <w:r w:rsidR="00D00003">
        <w:rPr>
          <w:rFonts w:eastAsia="Times New Roman" w:cstheme="minorHAnsi"/>
          <w:sz w:val="22"/>
          <w:lang w:val="hu-HU"/>
        </w:rPr>
        <w:t>„</w:t>
      </w:r>
      <w:proofErr w:type="spellStart"/>
      <w:r w:rsidR="00B8085D" w:rsidRPr="00B8085D">
        <w:rPr>
          <w:rFonts w:eastAsia="Times New Roman" w:cstheme="minorHAnsi"/>
          <w:sz w:val="22"/>
          <w:lang w:val="hu-HU"/>
        </w:rPr>
        <w:t>ITS</w:t>
      </w:r>
      <w:proofErr w:type="spellEnd"/>
      <w:r w:rsidR="00D00003">
        <w:rPr>
          <w:rFonts w:eastAsia="Times New Roman" w:cstheme="minorHAnsi"/>
          <w:sz w:val="22"/>
          <w:lang w:val="hu-HU"/>
        </w:rPr>
        <w:t>”</w:t>
      </w:r>
      <w:r w:rsidR="00B8085D" w:rsidRPr="00B8085D">
        <w:rPr>
          <w:rFonts w:eastAsia="Times New Roman" w:cstheme="minorHAnsi"/>
          <w:sz w:val="22"/>
          <w:lang w:val="hu-HU"/>
        </w:rPr>
        <w:t>) részeként megtalálható adat bejelentési sablonok (</w:t>
      </w:r>
      <w:r w:rsidR="00B8085D">
        <w:rPr>
          <w:rFonts w:eastAsia="Times New Roman" w:cstheme="minorHAnsi"/>
          <w:sz w:val="22"/>
          <w:lang w:val="hu-HU"/>
        </w:rPr>
        <w:t>III</w:t>
      </w:r>
      <w:r w:rsidR="00B8085D" w:rsidRPr="00B8085D">
        <w:rPr>
          <w:rFonts w:eastAsia="Times New Roman" w:cstheme="minorHAnsi"/>
          <w:sz w:val="22"/>
          <w:lang w:val="hu-HU"/>
        </w:rPr>
        <w:t>., I</w:t>
      </w:r>
      <w:r w:rsidR="00B8085D">
        <w:rPr>
          <w:rFonts w:eastAsia="Times New Roman" w:cstheme="minorHAnsi"/>
          <w:sz w:val="22"/>
          <w:lang w:val="hu-HU"/>
        </w:rPr>
        <w:t>V</w:t>
      </w:r>
      <w:r w:rsidR="00B8085D" w:rsidRPr="00B8085D">
        <w:rPr>
          <w:rFonts w:eastAsia="Times New Roman" w:cstheme="minorHAnsi"/>
          <w:sz w:val="22"/>
          <w:lang w:val="hu-HU"/>
        </w:rPr>
        <w:t>.</w:t>
      </w:r>
      <w:r w:rsidR="00B8085D">
        <w:rPr>
          <w:rFonts w:eastAsia="Times New Roman" w:cstheme="minorHAnsi"/>
          <w:sz w:val="22"/>
          <w:lang w:val="hu-HU"/>
        </w:rPr>
        <w:t>, V.</w:t>
      </w:r>
      <w:r w:rsidR="00B8085D" w:rsidRPr="00B8085D">
        <w:rPr>
          <w:rFonts w:eastAsia="Times New Roman" w:cstheme="minorHAnsi"/>
          <w:sz w:val="22"/>
          <w:lang w:val="hu-HU"/>
        </w:rPr>
        <w:t xml:space="preserve"> </w:t>
      </w:r>
      <w:r w:rsidR="00164FFF">
        <w:rPr>
          <w:rFonts w:eastAsia="Times New Roman" w:cstheme="minorHAnsi"/>
          <w:sz w:val="22"/>
          <w:lang w:val="hu-HU"/>
        </w:rPr>
        <w:t>m</w:t>
      </w:r>
      <w:r w:rsidR="00B8085D" w:rsidRPr="00B8085D">
        <w:rPr>
          <w:rFonts w:eastAsia="Times New Roman" w:cstheme="minorHAnsi"/>
          <w:sz w:val="22"/>
          <w:lang w:val="hu-HU"/>
        </w:rPr>
        <w:t>elléklet)</w:t>
      </w:r>
    </w:p>
    <w:p w14:paraId="3301B9A8" w14:textId="77777777" w:rsidR="00E42B76" w:rsidRPr="00755A1A" w:rsidRDefault="002C56F7"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HUF: Magyar Forint</w:t>
      </w:r>
    </w:p>
    <w:p w14:paraId="643C28B9" w14:textId="77777777" w:rsid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IAS</w:t>
      </w:r>
      <w:proofErr w:type="spellEnd"/>
      <w:r>
        <w:rPr>
          <w:rFonts w:eastAsia="Times New Roman" w:cstheme="minorHAnsi"/>
          <w:sz w:val="22"/>
          <w:lang w:val="hu-HU"/>
        </w:rPr>
        <w:t xml:space="preserve"> (</w:t>
      </w:r>
      <w:r w:rsidR="00D00003">
        <w:rPr>
          <w:rFonts w:eastAsia="Times New Roman" w:cstheme="minorHAnsi"/>
          <w:sz w:val="22"/>
          <w:lang w:val="hu-HU"/>
        </w:rPr>
        <w:t>„</w:t>
      </w:r>
      <w:r>
        <w:rPr>
          <w:rFonts w:eastAsia="Times New Roman" w:cstheme="minorHAnsi"/>
          <w:sz w:val="22"/>
          <w:lang w:val="hu-HU"/>
        </w:rPr>
        <w:t>Internation</w:t>
      </w:r>
      <w:r w:rsidR="00D00003">
        <w:rPr>
          <w:rFonts w:eastAsia="Times New Roman" w:cstheme="minorHAnsi"/>
          <w:sz w:val="22"/>
          <w:lang w:val="hu-HU"/>
        </w:rPr>
        <w:t>a</w:t>
      </w:r>
      <w:r>
        <w:rPr>
          <w:rFonts w:eastAsia="Times New Roman" w:cstheme="minorHAnsi"/>
          <w:sz w:val="22"/>
          <w:lang w:val="hu-HU"/>
        </w:rPr>
        <w:t xml:space="preserve">l Accounting </w:t>
      </w:r>
      <w:proofErr w:type="spellStart"/>
      <w:r w:rsidRPr="00F87621">
        <w:rPr>
          <w:rFonts w:eastAsia="Times New Roman" w:cstheme="minorHAnsi"/>
          <w:sz w:val="22"/>
          <w:lang w:val="hu-HU"/>
        </w:rPr>
        <w:t>Standards</w:t>
      </w:r>
      <w:proofErr w:type="spellEnd"/>
      <w:r w:rsidR="00D00003">
        <w:rPr>
          <w:rFonts w:eastAsia="Times New Roman" w:cstheme="minorHAnsi"/>
          <w:sz w:val="22"/>
          <w:lang w:val="hu-HU"/>
        </w:rPr>
        <w:t>”</w:t>
      </w:r>
      <w:r>
        <w:rPr>
          <w:rFonts w:eastAsia="Times New Roman" w:cstheme="minorHAnsi"/>
          <w:sz w:val="22"/>
          <w:lang w:val="hu-HU"/>
        </w:rPr>
        <w:t xml:space="preserve">) vagy </w:t>
      </w:r>
      <w:proofErr w:type="spellStart"/>
      <w:r>
        <w:rPr>
          <w:rFonts w:eastAsia="Times New Roman" w:cstheme="minorHAnsi"/>
          <w:sz w:val="22"/>
          <w:lang w:val="hu-HU"/>
        </w:rPr>
        <w:t>IFRS</w:t>
      </w:r>
      <w:proofErr w:type="spellEnd"/>
      <w:r>
        <w:rPr>
          <w:rFonts w:eastAsia="Times New Roman" w:cstheme="minorHAnsi"/>
          <w:sz w:val="22"/>
          <w:lang w:val="hu-HU"/>
        </w:rPr>
        <w:t xml:space="preserve"> (</w:t>
      </w:r>
      <w:r w:rsidR="00D00003">
        <w:rPr>
          <w:rFonts w:eastAsia="Times New Roman" w:cstheme="minorHAnsi"/>
          <w:sz w:val="22"/>
          <w:lang w:val="hu-HU"/>
        </w:rPr>
        <w:t>„</w:t>
      </w:r>
      <w:r>
        <w:rPr>
          <w:rFonts w:eastAsia="Times New Roman" w:cstheme="minorHAnsi"/>
          <w:sz w:val="22"/>
          <w:lang w:val="hu-HU"/>
        </w:rPr>
        <w:t xml:space="preserve">International Financial </w:t>
      </w:r>
      <w:proofErr w:type="spellStart"/>
      <w:r w:rsidRPr="00F87621">
        <w:rPr>
          <w:rFonts w:eastAsia="Times New Roman" w:cstheme="minorHAnsi"/>
          <w:sz w:val="22"/>
          <w:lang w:val="hu-HU"/>
        </w:rPr>
        <w:t>Reporting</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Standards</w:t>
      </w:r>
      <w:proofErr w:type="spellEnd"/>
      <w:r w:rsidR="00D00003">
        <w:rPr>
          <w:rFonts w:eastAsia="Times New Roman" w:cstheme="minorHAnsi"/>
          <w:sz w:val="22"/>
          <w:lang w:val="hu-HU"/>
        </w:rPr>
        <w:t>”</w:t>
      </w:r>
      <w:r>
        <w:rPr>
          <w:rFonts w:eastAsia="Times New Roman" w:cstheme="minorHAnsi"/>
          <w:sz w:val="22"/>
          <w:lang w:val="hu-HU"/>
        </w:rPr>
        <w:t xml:space="preserve">): nemzetközi könyvelési szabályzat, ahogy az </w:t>
      </w:r>
      <w:proofErr w:type="spellStart"/>
      <w:r>
        <w:rPr>
          <w:rFonts w:eastAsia="Times New Roman" w:cstheme="minorHAnsi"/>
          <w:sz w:val="22"/>
          <w:lang w:val="hu-HU"/>
        </w:rPr>
        <w:t>IAS</w:t>
      </w:r>
      <w:proofErr w:type="spellEnd"/>
      <w:r>
        <w:rPr>
          <w:rFonts w:eastAsia="Times New Roman" w:cstheme="minorHAnsi"/>
          <w:sz w:val="22"/>
          <w:lang w:val="hu-HU"/>
        </w:rPr>
        <w:t xml:space="preserve"> rendelet 1606/2002 2. cikkében definiálták, amit az Európai Bizottság elfogadott</w:t>
      </w:r>
    </w:p>
    <w:p w14:paraId="72F33CB9" w14:textId="77777777" w:rsid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ICAAP</w:t>
      </w:r>
      <w:proofErr w:type="spellEnd"/>
      <w:r>
        <w:rPr>
          <w:rFonts w:eastAsia="Times New Roman" w:cstheme="minorHAnsi"/>
          <w:sz w:val="22"/>
          <w:lang w:val="hu-HU"/>
        </w:rPr>
        <w:t xml:space="preserve"> </w:t>
      </w:r>
      <w:r>
        <w:rPr>
          <w:rFonts w:eastAsia="Times New Roman" w:cstheme="minorHAnsi"/>
          <w:sz w:val="22"/>
        </w:rPr>
        <w:t>(</w:t>
      </w:r>
      <w:r w:rsidR="00904AD3">
        <w:rPr>
          <w:rFonts w:eastAsia="Times New Roman" w:cstheme="minorHAnsi"/>
          <w:sz w:val="22"/>
        </w:rPr>
        <w:t>“</w:t>
      </w:r>
      <w:r w:rsidRPr="008A129B">
        <w:rPr>
          <w:rFonts w:eastAsia="Times New Roman" w:cstheme="minorHAnsi"/>
          <w:sz w:val="22"/>
        </w:rPr>
        <w:t>Internal Capital Adequacy Assessment Process</w:t>
      </w:r>
      <w:r w:rsidR="00904AD3">
        <w:rPr>
          <w:rFonts w:eastAsia="Times New Roman" w:cstheme="minorHAnsi"/>
          <w:sz w:val="22"/>
        </w:rPr>
        <w:t>”</w:t>
      </w:r>
      <w:r>
        <w:rPr>
          <w:rFonts w:eastAsia="Times New Roman" w:cstheme="minorHAnsi"/>
          <w:sz w:val="22"/>
        </w:rPr>
        <w:t>)</w:t>
      </w:r>
      <w:r w:rsidRPr="00C45286">
        <w:rPr>
          <w:rFonts w:eastAsia="Times New Roman" w:cstheme="minorHAnsi"/>
          <w:sz w:val="22"/>
          <w:lang w:val="hu-HU"/>
        </w:rPr>
        <w:t>:</w:t>
      </w:r>
      <w:r>
        <w:rPr>
          <w:rFonts w:eastAsia="Times New Roman" w:cstheme="minorHAnsi"/>
          <w:sz w:val="22"/>
          <w:lang w:val="hu-HU"/>
        </w:rPr>
        <w:t xml:space="preserve"> belső tőkemegfelelési folyamat</w:t>
      </w:r>
    </w:p>
    <w:p w14:paraId="786D82EF" w14:textId="77777777" w:rsidR="00E42B76" w:rsidRPr="004370F4"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ILAAP</w:t>
      </w:r>
      <w:proofErr w:type="spellEnd"/>
      <w:r>
        <w:rPr>
          <w:rFonts w:eastAsia="Times New Roman" w:cstheme="minorHAnsi"/>
          <w:sz w:val="22"/>
          <w:lang w:val="hu-HU"/>
        </w:rPr>
        <w:t xml:space="preserve"> (</w:t>
      </w:r>
      <w:r w:rsidR="00904AD3">
        <w:rPr>
          <w:rFonts w:eastAsia="Times New Roman" w:cstheme="minorHAnsi"/>
          <w:sz w:val="22"/>
          <w:lang w:val="hu-HU"/>
        </w:rPr>
        <w:t>"</w:t>
      </w:r>
      <w:r w:rsidR="00904AD3" w:rsidRPr="00C14CF2">
        <w:rPr>
          <w:rFonts w:eastAsia="Times New Roman" w:cstheme="minorHAnsi"/>
          <w:sz w:val="22"/>
        </w:rPr>
        <w:t>I</w:t>
      </w:r>
      <w:r w:rsidRPr="00C14CF2">
        <w:rPr>
          <w:rFonts w:eastAsia="Times New Roman" w:cstheme="minorHAnsi"/>
          <w:sz w:val="22"/>
        </w:rPr>
        <w:t>nternal</w:t>
      </w:r>
      <w:r w:rsidRPr="006E05CF">
        <w:rPr>
          <w:rFonts w:eastAsia="Times New Roman" w:cstheme="minorHAnsi"/>
          <w:sz w:val="22"/>
          <w:lang w:val="hu-HU"/>
        </w:rPr>
        <w:t xml:space="preserve"> </w:t>
      </w:r>
      <w:r w:rsidR="00904AD3" w:rsidRPr="00C14CF2">
        <w:rPr>
          <w:rFonts w:eastAsia="Times New Roman" w:cstheme="minorHAnsi"/>
          <w:sz w:val="22"/>
        </w:rPr>
        <w:t>L</w:t>
      </w:r>
      <w:r w:rsidRPr="00C14CF2">
        <w:rPr>
          <w:rFonts w:eastAsia="Times New Roman" w:cstheme="minorHAnsi"/>
          <w:sz w:val="22"/>
        </w:rPr>
        <w:t>iquidity</w:t>
      </w:r>
      <w:r w:rsidRPr="006E05CF">
        <w:rPr>
          <w:rFonts w:eastAsia="Times New Roman" w:cstheme="minorHAnsi"/>
          <w:sz w:val="22"/>
          <w:lang w:val="hu-HU"/>
        </w:rPr>
        <w:t xml:space="preserve"> </w:t>
      </w:r>
      <w:r w:rsidR="00904AD3" w:rsidRPr="00C14CF2">
        <w:rPr>
          <w:rFonts w:eastAsia="Times New Roman" w:cstheme="minorHAnsi"/>
          <w:sz w:val="22"/>
        </w:rPr>
        <w:t>A</w:t>
      </w:r>
      <w:r w:rsidRPr="00C14CF2">
        <w:rPr>
          <w:rFonts w:eastAsia="Times New Roman" w:cstheme="minorHAnsi"/>
          <w:sz w:val="22"/>
        </w:rPr>
        <w:t>dequacy</w:t>
      </w:r>
      <w:r w:rsidRPr="006E05CF">
        <w:rPr>
          <w:rFonts w:eastAsia="Times New Roman" w:cstheme="minorHAnsi"/>
          <w:sz w:val="22"/>
          <w:lang w:val="hu-HU"/>
        </w:rPr>
        <w:t xml:space="preserve"> </w:t>
      </w:r>
      <w:r w:rsidR="00904AD3" w:rsidRPr="00C14CF2">
        <w:rPr>
          <w:rFonts w:eastAsia="Times New Roman" w:cstheme="minorHAnsi"/>
          <w:sz w:val="22"/>
        </w:rPr>
        <w:t>A</w:t>
      </w:r>
      <w:r w:rsidRPr="00C14CF2">
        <w:rPr>
          <w:rFonts w:eastAsia="Times New Roman" w:cstheme="minorHAnsi"/>
          <w:sz w:val="22"/>
        </w:rPr>
        <w:t>ssessment</w:t>
      </w:r>
      <w:r w:rsidRPr="006E05CF">
        <w:rPr>
          <w:rFonts w:eastAsia="Times New Roman" w:cstheme="minorHAnsi"/>
          <w:sz w:val="22"/>
          <w:lang w:val="hu-HU"/>
        </w:rPr>
        <w:t xml:space="preserve"> </w:t>
      </w:r>
      <w:r w:rsidR="00904AD3" w:rsidRPr="00C14CF2">
        <w:rPr>
          <w:rFonts w:eastAsia="Times New Roman" w:cstheme="minorHAnsi"/>
          <w:sz w:val="22"/>
        </w:rPr>
        <w:t>P</w:t>
      </w:r>
      <w:r w:rsidRPr="00C14CF2">
        <w:rPr>
          <w:rFonts w:eastAsia="Times New Roman" w:cstheme="minorHAnsi"/>
          <w:sz w:val="22"/>
        </w:rPr>
        <w:t>rocess</w:t>
      </w:r>
      <w:r w:rsidR="00904AD3">
        <w:rPr>
          <w:rFonts w:eastAsia="Times New Roman" w:cstheme="minorHAnsi"/>
          <w:sz w:val="22"/>
          <w:lang w:val="hu-HU"/>
        </w:rPr>
        <w:t>”</w:t>
      </w:r>
      <w:r>
        <w:rPr>
          <w:rFonts w:eastAsia="Times New Roman" w:cstheme="minorHAnsi"/>
          <w:sz w:val="22"/>
          <w:lang w:val="hu-HU"/>
        </w:rPr>
        <w:t>): belső likviditás-megfelelési folyamat</w:t>
      </w:r>
    </w:p>
    <w:p w14:paraId="1C45033D" w14:textId="77777777" w:rsidR="00E42B76" w:rsidRP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IRB</w:t>
      </w:r>
      <w:proofErr w:type="spellEnd"/>
      <w:r>
        <w:rPr>
          <w:rFonts w:eastAsia="Times New Roman" w:cstheme="minorHAnsi"/>
          <w:sz w:val="22"/>
          <w:lang w:val="hu-HU"/>
        </w:rPr>
        <w:t xml:space="preserve"> (</w:t>
      </w:r>
      <w:r w:rsidR="00C237FE">
        <w:rPr>
          <w:rFonts w:eastAsia="Times New Roman" w:cstheme="minorHAnsi"/>
          <w:sz w:val="22"/>
          <w:lang w:val="hu-HU"/>
        </w:rPr>
        <w:t>„</w:t>
      </w:r>
      <w:r w:rsidRPr="00C14CF2">
        <w:rPr>
          <w:rFonts w:eastAsia="Times New Roman" w:cstheme="minorHAnsi"/>
          <w:sz w:val="22"/>
        </w:rPr>
        <w:t>internal</w:t>
      </w:r>
      <w:r>
        <w:rPr>
          <w:rFonts w:eastAsia="Times New Roman" w:cstheme="minorHAnsi"/>
          <w:sz w:val="22"/>
          <w:lang w:val="hu-HU"/>
        </w:rPr>
        <w:t xml:space="preserve"> </w:t>
      </w:r>
      <w:r w:rsidRPr="00C14CF2">
        <w:rPr>
          <w:rFonts w:eastAsia="Times New Roman" w:cstheme="minorHAnsi"/>
          <w:sz w:val="22"/>
        </w:rPr>
        <w:t>ratings</w:t>
      </w:r>
      <w:r>
        <w:rPr>
          <w:rFonts w:eastAsia="Times New Roman" w:cstheme="minorHAnsi"/>
          <w:sz w:val="22"/>
          <w:lang w:val="hu-HU"/>
        </w:rPr>
        <w:t>-</w:t>
      </w:r>
      <w:r w:rsidRPr="00C14CF2">
        <w:rPr>
          <w:rFonts w:eastAsia="Times New Roman" w:cstheme="minorHAnsi"/>
          <w:sz w:val="22"/>
        </w:rPr>
        <w:t>based</w:t>
      </w:r>
      <w:r w:rsidR="00C237FE">
        <w:rPr>
          <w:rFonts w:eastAsia="Times New Roman" w:cstheme="minorHAnsi"/>
          <w:sz w:val="22"/>
          <w:lang w:val="hu-HU"/>
        </w:rPr>
        <w:t>”</w:t>
      </w:r>
      <w:r>
        <w:rPr>
          <w:rFonts w:eastAsia="Times New Roman" w:cstheme="minorHAnsi"/>
          <w:sz w:val="22"/>
          <w:lang w:val="hu-HU"/>
        </w:rPr>
        <w:t>): belső értékelésen alapuló</w:t>
      </w:r>
      <w:r w:rsidR="00C237FE">
        <w:rPr>
          <w:rFonts w:eastAsia="Times New Roman" w:cstheme="minorHAnsi"/>
          <w:sz w:val="22"/>
          <w:lang w:val="hu-HU"/>
        </w:rPr>
        <w:t xml:space="preserve"> modell</w:t>
      </w:r>
    </w:p>
    <w:p w14:paraId="1E99EABE" w14:textId="77777777" w:rsidR="00E42B76" w:rsidRP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IRRBB</w:t>
      </w:r>
      <w:proofErr w:type="spellEnd"/>
      <w:r>
        <w:rPr>
          <w:rFonts w:eastAsia="Times New Roman" w:cstheme="minorHAnsi"/>
          <w:sz w:val="22"/>
          <w:lang w:val="hu-HU"/>
        </w:rPr>
        <w:t xml:space="preserve"> (</w:t>
      </w:r>
      <w:r w:rsidR="00A22793">
        <w:rPr>
          <w:rFonts w:eastAsia="Times New Roman" w:cstheme="minorHAnsi"/>
          <w:sz w:val="22"/>
          <w:lang w:val="hu-HU"/>
        </w:rPr>
        <w:t>„</w:t>
      </w:r>
      <w:r>
        <w:rPr>
          <w:rFonts w:eastAsia="Times New Roman" w:cstheme="minorHAnsi"/>
          <w:sz w:val="22"/>
          <w:lang w:val="hu-HU"/>
        </w:rPr>
        <w:t xml:space="preserve">Interest </w:t>
      </w:r>
      <w:r w:rsidRPr="00C14CF2">
        <w:rPr>
          <w:rFonts w:eastAsia="Times New Roman" w:cstheme="minorHAnsi"/>
          <w:sz w:val="22"/>
        </w:rPr>
        <w:t>Rate</w:t>
      </w:r>
      <w:r>
        <w:rPr>
          <w:rFonts w:eastAsia="Times New Roman" w:cstheme="minorHAnsi"/>
          <w:sz w:val="22"/>
          <w:lang w:val="hu-HU"/>
        </w:rPr>
        <w:t xml:space="preserve"> </w:t>
      </w:r>
      <w:proofErr w:type="spellStart"/>
      <w:r>
        <w:rPr>
          <w:rFonts w:eastAsia="Times New Roman" w:cstheme="minorHAnsi"/>
          <w:sz w:val="22"/>
          <w:lang w:val="hu-HU"/>
        </w:rPr>
        <w:t>Risk</w:t>
      </w:r>
      <w:proofErr w:type="spellEnd"/>
      <w:r>
        <w:rPr>
          <w:rFonts w:eastAsia="Times New Roman" w:cstheme="minorHAnsi"/>
          <w:sz w:val="22"/>
          <w:lang w:val="hu-HU"/>
        </w:rPr>
        <w:t xml:space="preserve"> in </w:t>
      </w:r>
      <w:r w:rsidRPr="00C14CF2">
        <w:rPr>
          <w:rFonts w:eastAsia="Times New Roman" w:cstheme="minorHAnsi"/>
          <w:sz w:val="22"/>
        </w:rPr>
        <w:t>the</w:t>
      </w:r>
      <w:r>
        <w:rPr>
          <w:rFonts w:eastAsia="Times New Roman" w:cstheme="minorHAnsi"/>
          <w:sz w:val="22"/>
          <w:lang w:val="hu-HU"/>
        </w:rPr>
        <w:t xml:space="preserve"> Banking </w:t>
      </w:r>
      <w:r w:rsidRPr="00C14CF2">
        <w:rPr>
          <w:rFonts w:eastAsia="Times New Roman" w:cstheme="minorHAnsi"/>
          <w:sz w:val="22"/>
        </w:rPr>
        <w:t>Book</w:t>
      </w:r>
      <w:r w:rsidR="00A22793">
        <w:rPr>
          <w:rFonts w:eastAsia="Times New Roman" w:cstheme="minorHAnsi"/>
          <w:sz w:val="22"/>
          <w:lang w:val="hu-HU"/>
        </w:rPr>
        <w:t>”</w:t>
      </w:r>
      <w:r>
        <w:rPr>
          <w:rFonts w:eastAsia="Times New Roman" w:cstheme="minorHAnsi"/>
          <w:sz w:val="22"/>
          <w:lang w:val="hu-HU"/>
        </w:rPr>
        <w:t>) irányelv: kamatlábkockázat a bank</w:t>
      </w:r>
      <w:r w:rsidR="00A22793">
        <w:rPr>
          <w:rFonts w:eastAsia="Times New Roman" w:cstheme="minorHAnsi"/>
          <w:sz w:val="22"/>
          <w:lang w:val="hu-HU"/>
        </w:rPr>
        <w:t xml:space="preserve">i </w:t>
      </w:r>
      <w:r>
        <w:rPr>
          <w:rFonts w:eastAsia="Times New Roman" w:cstheme="minorHAnsi"/>
          <w:sz w:val="22"/>
          <w:lang w:val="hu-HU"/>
        </w:rPr>
        <w:t xml:space="preserve">könyvben </w:t>
      </w:r>
    </w:p>
    <w:p w14:paraId="11CF3B9D" w14:textId="77777777" w:rsidR="00E42B76" w:rsidRDefault="00E42B76"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ISCO-08: a foglalkoztatás nemzetközi sztenderd klasszifikációja</w:t>
      </w:r>
      <w:r w:rsidR="00A22793">
        <w:rPr>
          <w:rFonts w:eastAsia="Times New Roman" w:cstheme="minorHAnsi"/>
          <w:sz w:val="22"/>
          <w:lang w:val="hu-HU"/>
        </w:rPr>
        <w:t>,</w:t>
      </w:r>
      <w:r>
        <w:rPr>
          <w:rFonts w:eastAsia="Times New Roman" w:cstheme="minorHAnsi"/>
          <w:sz w:val="22"/>
          <w:lang w:val="hu-HU"/>
        </w:rPr>
        <w:t xml:space="preserve"> az ISCO-88 utódja</w:t>
      </w:r>
    </w:p>
    <w:p w14:paraId="562EBF8A" w14:textId="77777777" w:rsidR="00C76BEB" w:rsidRPr="00E42B76" w:rsidRDefault="00C76BEB"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ISDA</w:t>
      </w:r>
      <w:proofErr w:type="spellEnd"/>
      <w:r>
        <w:rPr>
          <w:rFonts w:eastAsia="Times New Roman" w:cstheme="minorHAnsi"/>
          <w:sz w:val="22"/>
          <w:lang w:val="hu-HU"/>
        </w:rPr>
        <w:t xml:space="preserve"> </w:t>
      </w:r>
      <w:proofErr w:type="spellStart"/>
      <w:r>
        <w:rPr>
          <w:rFonts w:eastAsia="Times New Roman" w:cstheme="minorHAnsi"/>
          <w:sz w:val="22"/>
          <w:lang w:val="hu-HU"/>
        </w:rPr>
        <w:t>OTC</w:t>
      </w:r>
      <w:proofErr w:type="spellEnd"/>
      <w:r>
        <w:rPr>
          <w:rFonts w:eastAsia="Times New Roman" w:cstheme="minorHAnsi"/>
          <w:sz w:val="22"/>
          <w:lang w:val="hu-HU"/>
        </w:rPr>
        <w:t xml:space="preserve"> </w:t>
      </w:r>
      <w:proofErr w:type="spellStart"/>
      <w:r>
        <w:rPr>
          <w:rFonts w:eastAsia="Times New Roman" w:cstheme="minorHAnsi"/>
          <w:sz w:val="22"/>
          <w:lang w:val="hu-HU"/>
        </w:rPr>
        <w:t>Derivatívák</w:t>
      </w:r>
      <w:proofErr w:type="spellEnd"/>
      <w:r>
        <w:rPr>
          <w:rFonts w:eastAsia="Times New Roman" w:cstheme="minorHAnsi"/>
          <w:sz w:val="22"/>
          <w:lang w:val="hu-HU"/>
        </w:rPr>
        <w:t xml:space="preserve"> Csoportosítása v1.0: az </w:t>
      </w:r>
      <w:proofErr w:type="spellStart"/>
      <w:r>
        <w:rPr>
          <w:rFonts w:eastAsia="Times New Roman" w:cstheme="minorHAnsi"/>
          <w:sz w:val="22"/>
          <w:lang w:val="hu-HU"/>
        </w:rPr>
        <w:t>ISDA</w:t>
      </w:r>
      <w:proofErr w:type="spellEnd"/>
      <w:r>
        <w:rPr>
          <w:rFonts w:eastAsia="Times New Roman" w:cstheme="minorHAnsi"/>
          <w:sz w:val="22"/>
          <w:lang w:val="hu-HU"/>
        </w:rPr>
        <w:t xml:space="preserve"> standardok alapján csoportosított </w:t>
      </w:r>
      <w:proofErr w:type="spellStart"/>
      <w:r>
        <w:rPr>
          <w:rFonts w:eastAsia="Times New Roman" w:cstheme="minorHAnsi"/>
          <w:sz w:val="22"/>
          <w:lang w:val="hu-HU"/>
        </w:rPr>
        <w:t>OTC</w:t>
      </w:r>
      <w:proofErr w:type="spellEnd"/>
      <w:r>
        <w:rPr>
          <w:rFonts w:eastAsia="Times New Roman" w:cstheme="minorHAnsi"/>
          <w:sz w:val="22"/>
          <w:lang w:val="hu-HU"/>
        </w:rPr>
        <w:t xml:space="preserve"> </w:t>
      </w:r>
      <w:proofErr w:type="spellStart"/>
      <w:r>
        <w:rPr>
          <w:rFonts w:eastAsia="Times New Roman" w:cstheme="minorHAnsi"/>
          <w:sz w:val="22"/>
          <w:lang w:val="hu-HU"/>
        </w:rPr>
        <w:t>derivatívák</w:t>
      </w:r>
      <w:proofErr w:type="spellEnd"/>
    </w:p>
    <w:p w14:paraId="5A76F23D" w14:textId="77777777" w:rsidR="00E42B76" w:rsidRDefault="00E42B76"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ISO 3166 ALPHA-2: lista az országokról, 2 betűvel kódolva</w:t>
      </w:r>
    </w:p>
    <w:p w14:paraId="2037F796" w14:textId="77777777" w:rsidR="00E42B76" w:rsidRDefault="00E42B76"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ISO 4217: lista a globális valutákról, 3 betűvel kódolva</w:t>
      </w:r>
    </w:p>
    <w:p w14:paraId="1E21FEC6" w14:textId="77777777" w:rsidR="00C76BEB" w:rsidRDefault="00C76BEB" w:rsidP="00270638">
      <w:pPr>
        <w:numPr>
          <w:ilvl w:val="2"/>
          <w:numId w:val="16"/>
        </w:numPr>
        <w:ind w:right="-3139"/>
        <w:textAlignment w:val="center"/>
        <w:rPr>
          <w:rFonts w:eastAsia="Times New Roman" w:cstheme="minorHAnsi"/>
          <w:sz w:val="22"/>
          <w:lang w:val="hu-HU"/>
        </w:rPr>
      </w:pPr>
      <w:proofErr w:type="gramStart"/>
      <w:r>
        <w:rPr>
          <w:rFonts w:eastAsia="Times New Roman" w:cstheme="minorHAnsi"/>
          <w:sz w:val="22"/>
          <w:lang w:val="hu-HU"/>
        </w:rPr>
        <w:t>ISIN</w:t>
      </w:r>
      <w:proofErr w:type="gramEnd"/>
      <w:r>
        <w:rPr>
          <w:rFonts w:eastAsia="Times New Roman" w:cstheme="minorHAnsi"/>
          <w:sz w:val="22"/>
          <w:lang w:val="hu-HU"/>
        </w:rPr>
        <w:t xml:space="preserve"> (</w:t>
      </w:r>
      <w:r w:rsidR="00B21BCC">
        <w:rPr>
          <w:rFonts w:eastAsia="Times New Roman" w:cstheme="minorHAnsi"/>
          <w:sz w:val="22"/>
          <w:lang w:val="hu-HU"/>
        </w:rPr>
        <w:t>„</w:t>
      </w:r>
      <w:r>
        <w:rPr>
          <w:rFonts w:eastAsia="Times New Roman" w:cstheme="minorHAnsi"/>
          <w:sz w:val="22"/>
          <w:lang w:val="hu-HU"/>
        </w:rPr>
        <w:t xml:space="preserve">International </w:t>
      </w:r>
      <w:proofErr w:type="spellStart"/>
      <w:r w:rsidRPr="00F87621">
        <w:rPr>
          <w:rFonts w:eastAsia="Times New Roman" w:cstheme="minorHAnsi"/>
          <w:sz w:val="22"/>
          <w:lang w:val="hu-HU"/>
        </w:rPr>
        <w:t>Securities</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Identification</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Number</w:t>
      </w:r>
      <w:proofErr w:type="spellEnd"/>
      <w:r w:rsidR="00B21BCC">
        <w:rPr>
          <w:rFonts w:eastAsia="Times New Roman" w:cstheme="minorHAnsi"/>
          <w:sz w:val="22"/>
          <w:lang w:val="hu-HU"/>
        </w:rPr>
        <w:t>”</w:t>
      </w:r>
      <w:r>
        <w:rPr>
          <w:rFonts w:eastAsia="Times New Roman" w:cstheme="minorHAnsi"/>
          <w:sz w:val="22"/>
          <w:lang w:val="hu-HU"/>
        </w:rPr>
        <w:t>): nemzetközi értékpapír azonosító szám, amit az értékpapírokhoz hozzárendelnek. 12 alfanumerikus karakterből áll, ami az értékpapír egyedi azonosítója</w:t>
      </w:r>
    </w:p>
    <w:p w14:paraId="1937BE22" w14:textId="77777777" w:rsidR="00E42B76" w:rsidRDefault="00E42B76"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IT (</w:t>
      </w:r>
      <w:r w:rsidR="00B21BCC">
        <w:rPr>
          <w:rFonts w:eastAsia="Times New Roman" w:cstheme="minorHAnsi"/>
          <w:sz w:val="22"/>
          <w:lang w:val="hu-HU"/>
        </w:rPr>
        <w:t>„</w:t>
      </w:r>
      <w:proofErr w:type="spellStart"/>
      <w:r>
        <w:rPr>
          <w:rFonts w:eastAsia="Times New Roman" w:cstheme="minorHAnsi"/>
          <w:sz w:val="22"/>
          <w:lang w:val="hu-HU"/>
        </w:rPr>
        <w:t>Information</w:t>
      </w:r>
      <w:proofErr w:type="spellEnd"/>
      <w:r>
        <w:rPr>
          <w:rFonts w:eastAsia="Times New Roman" w:cstheme="minorHAnsi"/>
          <w:sz w:val="22"/>
          <w:lang w:val="hu-HU"/>
        </w:rPr>
        <w:t xml:space="preserve"> </w:t>
      </w:r>
      <w:r w:rsidRPr="00C14CF2">
        <w:rPr>
          <w:rFonts w:eastAsia="Times New Roman" w:cstheme="minorHAnsi"/>
          <w:sz w:val="22"/>
        </w:rPr>
        <w:t>Technology</w:t>
      </w:r>
      <w:r w:rsidR="00B21BCC">
        <w:rPr>
          <w:rFonts w:eastAsia="Times New Roman" w:cstheme="minorHAnsi"/>
          <w:sz w:val="22"/>
          <w:lang w:val="hu-HU"/>
        </w:rPr>
        <w:t>”</w:t>
      </w:r>
      <w:r>
        <w:rPr>
          <w:rFonts w:eastAsia="Times New Roman" w:cstheme="minorHAnsi"/>
          <w:sz w:val="22"/>
          <w:lang w:val="hu-HU"/>
        </w:rPr>
        <w:t>): inform</w:t>
      </w:r>
      <w:r w:rsidR="00B21BCC">
        <w:rPr>
          <w:rFonts w:eastAsia="Times New Roman" w:cstheme="minorHAnsi"/>
          <w:sz w:val="22"/>
          <w:lang w:val="hu-HU"/>
        </w:rPr>
        <w:t>áció</w:t>
      </w:r>
      <w:r>
        <w:rPr>
          <w:rFonts w:eastAsia="Times New Roman" w:cstheme="minorHAnsi"/>
          <w:sz w:val="22"/>
          <w:lang w:val="hu-HU"/>
        </w:rPr>
        <w:t xml:space="preserve"> technológia</w:t>
      </w:r>
    </w:p>
    <w:p w14:paraId="0A85EDC7" w14:textId="77777777" w:rsidR="00966271" w:rsidRPr="00966271" w:rsidRDefault="00966271" w:rsidP="00270638">
      <w:pPr>
        <w:numPr>
          <w:ilvl w:val="2"/>
          <w:numId w:val="16"/>
        </w:numPr>
        <w:ind w:right="-3139"/>
        <w:textAlignment w:val="center"/>
        <w:rPr>
          <w:rFonts w:eastAsia="Times New Roman" w:cstheme="minorHAnsi"/>
          <w:sz w:val="22"/>
          <w:lang w:val="hu-HU"/>
        </w:rPr>
      </w:pPr>
      <w:proofErr w:type="spellStart"/>
      <w:r w:rsidRPr="00966271">
        <w:rPr>
          <w:rFonts w:eastAsia="Times New Roman" w:cstheme="minorHAnsi"/>
          <w:sz w:val="22"/>
          <w:lang w:val="hu-HU"/>
        </w:rPr>
        <w:t>LCR</w:t>
      </w:r>
      <w:proofErr w:type="spellEnd"/>
      <w:r w:rsidRPr="00966271">
        <w:rPr>
          <w:rFonts w:eastAsia="Times New Roman" w:cstheme="minorHAnsi"/>
          <w:sz w:val="22"/>
          <w:lang w:val="hu-HU"/>
        </w:rPr>
        <w:t xml:space="preserve"> (</w:t>
      </w:r>
      <w:r w:rsidR="00041C41">
        <w:rPr>
          <w:rFonts w:eastAsia="Times New Roman" w:cstheme="minorHAnsi"/>
          <w:sz w:val="22"/>
          <w:lang w:val="hu-HU"/>
        </w:rPr>
        <w:t>„</w:t>
      </w:r>
      <w:r w:rsidRPr="00C14CF2">
        <w:rPr>
          <w:rFonts w:eastAsia="Times New Roman" w:cstheme="minorHAnsi"/>
          <w:sz w:val="22"/>
        </w:rPr>
        <w:t>Liquidity</w:t>
      </w:r>
      <w:r w:rsidRPr="00966271">
        <w:rPr>
          <w:rFonts w:eastAsia="Times New Roman" w:cstheme="minorHAnsi"/>
          <w:sz w:val="22"/>
          <w:lang w:val="hu-HU"/>
        </w:rPr>
        <w:t xml:space="preserve"> </w:t>
      </w:r>
      <w:r w:rsidRPr="00C14CF2">
        <w:rPr>
          <w:rFonts w:eastAsia="Times New Roman" w:cstheme="minorHAnsi"/>
          <w:sz w:val="22"/>
        </w:rPr>
        <w:t>Coverage</w:t>
      </w:r>
      <w:r w:rsidRPr="00966271">
        <w:rPr>
          <w:rFonts w:eastAsia="Times New Roman" w:cstheme="minorHAnsi"/>
          <w:sz w:val="22"/>
          <w:lang w:val="hu-HU"/>
        </w:rPr>
        <w:t xml:space="preserve"> Ratio</w:t>
      </w:r>
      <w:r w:rsidR="00041C41">
        <w:rPr>
          <w:rFonts w:eastAsia="Times New Roman" w:cstheme="minorHAnsi"/>
          <w:sz w:val="22"/>
          <w:lang w:val="hu-HU"/>
        </w:rPr>
        <w:t>”</w:t>
      </w:r>
      <w:r w:rsidRPr="00966271">
        <w:rPr>
          <w:rFonts w:eastAsia="Times New Roman" w:cstheme="minorHAnsi"/>
          <w:sz w:val="22"/>
          <w:lang w:val="hu-HU"/>
        </w:rPr>
        <w:t xml:space="preserve">): likviditás fedezettségi mutató </w:t>
      </w:r>
    </w:p>
    <w:p w14:paraId="4EFFB373" w14:textId="77777777" w:rsidR="00E42B76" w:rsidRDefault="00E42B76"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LEI (</w:t>
      </w:r>
      <w:r w:rsidR="00041C41">
        <w:rPr>
          <w:rFonts w:eastAsia="Times New Roman" w:cstheme="minorHAnsi"/>
          <w:sz w:val="22"/>
          <w:lang w:val="hu-HU"/>
        </w:rPr>
        <w:t>„</w:t>
      </w:r>
      <w:proofErr w:type="spellStart"/>
      <w:r w:rsidRPr="00F87621">
        <w:rPr>
          <w:rFonts w:eastAsia="Times New Roman" w:cstheme="minorHAnsi"/>
          <w:sz w:val="22"/>
          <w:lang w:val="hu-HU"/>
        </w:rPr>
        <w:t>Legal</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Entity</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Identifier</w:t>
      </w:r>
      <w:proofErr w:type="spellEnd"/>
      <w:r w:rsidR="00041C41">
        <w:rPr>
          <w:rFonts w:eastAsia="Times New Roman" w:cstheme="minorHAnsi"/>
          <w:sz w:val="22"/>
          <w:lang w:val="hu-HU"/>
        </w:rPr>
        <w:t>”</w:t>
      </w:r>
      <w:r>
        <w:rPr>
          <w:rFonts w:eastAsia="Times New Roman" w:cstheme="minorHAnsi"/>
          <w:sz w:val="22"/>
          <w:lang w:val="hu-HU"/>
        </w:rPr>
        <w:t>): globális jogi entitások azonosítója, amivel az entitás egyedileg beazonosítható pénzügyi tranzakciókban</w:t>
      </w:r>
    </w:p>
    <w:p w14:paraId="4294198B" w14:textId="77777777" w:rsidR="00895A5D" w:rsidRDefault="00895A5D"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LGD</w:t>
      </w:r>
      <w:proofErr w:type="spellEnd"/>
      <w:r>
        <w:rPr>
          <w:rFonts w:eastAsia="Times New Roman" w:cstheme="minorHAnsi"/>
          <w:sz w:val="22"/>
          <w:lang w:val="hu-HU"/>
        </w:rPr>
        <w:t xml:space="preserve"> (</w:t>
      </w:r>
      <w:r w:rsidR="00041C41">
        <w:rPr>
          <w:rFonts w:eastAsia="Times New Roman" w:cstheme="minorHAnsi"/>
          <w:sz w:val="22"/>
          <w:lang w:val="hu-HU"/>
        </w:rPr>
        <w:t>„</w:t>
      </w:r>
      <w:proofErr w:type="spellStart"/>
      <w:r w:rsidRPr="00F87621">
        <w:rPr>
          <w:rFonts w:eastAsia="Times New Roman" w:cstheme="minorHAnsi"/>
          <w:sz w:val="22"/>
          <w:lang w:val="hu-HU"/>
        </w:rPr>
        <w:t>Loss</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Given</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Default</w:t>
      </w:r>
      <w:proofErr w:type="spellEnd"/>
      <w:r w:rsidR="00041C41">
        <w:rPr>
          <w:rFonts w:eastAsia="Times New Roman" w:cstheme="minorHAnsi"/>
          <w:sz w:val="22"/>
          <w:lang w:val="hu-HU"/>
        </w:rPr>
        <w:t>”</w:t>
      </w:r>
      <w:r>
        <w:rPr>
          <w:rFonts w:eastAsia="Times New Roman" w:cstheme="minorHAnsi"/>
          <w:sz w:val="22"/>
          <w:lang w:val="hu-HU"/>
        </w:rPr>
        <w:t>): veszteség nem teljesítés esetén</w:t>
      </w:r>
    </w:p>
    <w:p w14:paraId="46A4D05F" w14:textId="77777777" w:rsidR="009B752F" w:rsidRDefault="009B752F"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LIBOR (</w:t>
      </w:r>
      <w:r w:rsidR="00041C41">
        <w:rPr>
          <w:rFonts w:eastAsia="Times New Roman" w:cstheme="minorHAnsi"/>
          <w:sz w:val="22"/>
          <w:lang w:val="hu-HU"/>
        </w:rPr>
        <w:t>„</w:t>
      </w:r>
      <w:r>
        <w:rPr>
          <w:rFonts w:eastAsia="Times New Roman" w:cstheme="minorHAnsi"/>
          <w:sz w:val="22"/>
          <w:lang w:val="hu-HU"/>
        </w:rPr>
        <w:t xml:space="preserve">London </w:t>
      </w:r>
      <w:r w:rsidRPr="00C14CF2">
        <w:rPr>
          <w:rFonts w:eastAsia="Times New Roman" w:cstheme="minorHAnsi"/>
          <w:sz w:val="22"/>
        </w:rPr>
        <w:t>Interbank</w:t>
      </w:r>
      <w:r>
        <w:rPr>
          <w:rFonts w:eastAsia="Times New Roman" w:cstheme="minorHAnsi"/>
          <w:sz w:val="22"/>
          <w:lang w:val="hu-HU"/>
        </w:rPr>
        <w:t xml:space="preserve"> </w:t>
      </w:r>
      <w:r w:rsidRPr="00C14CF2">
        <w:rPr>
          <w:rFonts w:eastAsia="Times New Roman" w:cstheme="minorHAnsi"/>
          <w:sz w:val="22"/>
        </w:rPr>
        <w:t>Offered</w:t>
      </w:r>
      <w:r>
        <w:rPr>
          <w:rFonts w:eastAsia="Times New Roman" w:cstheme="minorHAnsi"/>
          <w:sz w:val="22"/>
          <w:lang w:val="hu-HU"/>
        </w:rPr>
        <w:t xml:space="preserve"> </w:t>
      </w:r>
      <w:r w:rsidRPr="00C14CF2">
        <w:rPr>
          <w:rFonts w:eastAsia="Times New Roman" w:cstheme="minorHAnsi"/>
          <w:sz w:val="22"/>
        </w:rPr>
        <w:t>Rate</w:t>
      </w:r>
      <w:r w:rsidR="00041C41">
        <w:rPr>
          <w:rFonts w:eastAsia="Times New Roman" w:cstheme="minorHAnsi"/>
          <w:sz w:val="22"/>
          <w:lang w:val="hu-HU"/>
        </w:rPr>
        <w:t>”</w:t>
      </w:r>
      <w:r>
        <w:rPr>
          <w:rFonts w:eastAsia="Times New Roman" w:cstheme="minorHAnsi"/>
          <w:sz w:val="22"/>
          <w:lang w:val="hu-HU"/>
        </w:rPr>
        <w:t>): a londoni irányadó bankközi kamatláb</w:t>
      </w:r>
    </w:p>
    <w:p w14:paraId="3BDAB569" w14:textId="77777777" w:rsidR="00E42B76" w:rsidRDefault="00E42B76"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Magyar számviteli standardok: a 2000. évi C. törvény a számvitelről</w:t>
      </w:r>
    </w:p>
    <w:p w14:paraId="506E625F" w14:textId="26C66CAA" w:rsid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lastRenderedPageBreak/>
        <w:t>MREL</w:t>
      </w:r>
      <w:proofErr w:type="spellEnd"/>
      <w:r>
        <w:rPr>
          <w:rFonts w:eastAsia="Times New Roman" w:cstheme="minorHAnsi"/>
          <w:sz w:val="22"/>
          <w:lang w:val="hu-HU"/>
        </w:rPr>
        <w:t xml:space="preserve"> (</w:t>
      </w:r>
      <w:r w:rsidR="007A4842">
        <w:rPr>
          <w:rFonts w:eastAsia="Times New Roman" w:cstheme="minorHAnsi"/>
          <w:sz w:val="22"/>
          <w:lang w:val="hu-HU"/>
        </w:rPr>
        <w:t>„</w:t>
      </w:r>
      <w:r>
        <w:rPr>
          <w:rFonts w:eastAsia="Times New Roman" w:cstheme="minorHAnsi"/>
          <w:sz w:val="22"/>
          <w:lang w:val="hu-HU"/>
        </w:rPr>
        <w:t xml:space="preserve">Minimum </w:t>
      </w:r>
      <w:proofErr w:type="spellStart"/>
      <w:r w:rsidRPr="00F87621">
        <w:rPr>
          <w:rFonts w:eastAsia="Times New Roman" w:cstheme="minorHAnsi"/>
          <w:sz w:val="22"/>
          <w:lang w:val="hu-HU"/>
        </w:rPr>
        <w:t>requirement</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for</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own</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funds</w:t>
      </w:r>
      <w:proofErr w:type="spellEnd"/>
      <w:r>
        <w:rPr>
          <w:rFonts w:eastAsia="Times New Roman" w:cstheme="minorHAnsi"/>
          <w:sz w:val="22"/>
          <w:lang w:val="hu-HU"/>
        </w:rPr>
        <w:t xml:space="preserve"> and </w:t>
      </w:r>
      <w:proofErr w:type="spellStart"/>
      <w:r w:rsidRPr="00F87621">
        <w:rPr>
          <w:rFonts w:eastAsia="Times New Roman" w:cstheme="minorHAnsi"/>
          <w:sz w:val="22"/>
          <w:lang w:val="hu-HU"/>
        </w:rPr>
        <w:t>eligible</w:t>
      </w:r>
      <w:proofErr w:type="spellEnd"/>
      <w:r>
        <w:rPr>
          <w:rFonts w:eastAsia="Times New Roman" w:cstheme="minorHAnsi"/>
          <w:sz w:val="22"/>
          <w:lang w:val="hu-HU"/>
        </w:rPr>
        <w:t xml:space="preserve"> </w:t>
      </w:r>
      <w:proofErr w:type="spellStart"/>
      <w:r w:rsidRPr="00F87621">
        <w:rPr>
          <w:rFonts w:eastAsia="Times New Roman" w:cstheme="minorHAnsi"/>
          <w:sz w:val="22"/>
          <w:lang w:val="hu-HU"/>
        </w:rPr>
        <w:t>liabilities</w:t>
      </w:r>
      <w:proofErr w:type="spellEnd"/>
      <w:r w:rsidR="007A4842">
        <w:rPr>
          <w:rFonts w:eastAsia="Times New Roman" w:cstheme="minorHAnsi"/>
          <w:sz w:val="22"/>
          <w:lang w:val="hu-HU"/>
        </w:rPr>
        <w:t>”</w:t>
      </w:r>
      <w:r>
        <w:rPr>
          <w:rFonts w:eastAsia="Times New Roman" w:cstheme="minorHAnsi"/>
          <w:sz w:val="22"/>
          <w:lang w:val="hu-HU"/>
        </w:rPr>
        <w:t>): a szavatolótőkére és leírható</w:t>
      </w:r>
      <w:r w:rsidR="00545058">
        <w:rPr>
          <w:rFonts w:eastAsia="Times New Roman" w:cstheme="minorHAnsi"/>
          <w:sz w:val="22"/>
          <w:lang w:val="hu-HU"/>
        </w:rPr>
        <w:t>, illetve</w:t>
      </w:r>
      <w:r>
        <w:rPr>
          <w:rFonts w:eastAsia="Times New Roman" w:cstheme="minorHAnsi"/>
          <w:sz w:val="22"/>
          <w:lang w:val="hu-HU"/>
        </w:rPr>
        <w:t xml:space="preserve"> átalakítható kötelezettségekre vonatkozó minimumkövetelmények</w:t>
      </w:r>
    </w:p>
    <w:p w14:paraId="35C0BF90" w14:textId="77777777" w:rsidR="00E42B76" w:rsidRDefault="00E42B76" w:rsidP="00270638">
      <w:pPr>
        <w:numPr>
          <w:ilvl w:val="2"/>
          <w:numId w:val="16"/>
        </w:numPr>
        <w:ind w:right="-3139"/>
        <w:textAlignment w:val="center"/>
        <w:rPr>
          <w:rFonts w:eastAsia="Times New Roman" w:cstheme="minorHAnsi"/>
          <w:sz w:val="22"/>
          <w:lang w:val="hu-HU"/>
        </w:rPr>
      </w:pPr>
      <w:proofErr w:type="spellStart"/>
      <w:r w:rsidRPr="00ED7D12">
        <w:rPr>
          <w:rFonts w:eastAsia="Times New Roman" w:cstheme="minorHAnsi"/>
          <w:sz w:val="22"/>
          <w:lang w:val="hu-HU"/>
        </w:rPr>
        <w:t>NACE</w:t>
      </w:r>
      <w:proofErr w:type="spellEnd"/>
      <w:r w:rsidRPr="00ED7D12">
        <w:rPr>
          <w:rFonts w:eastAsia="Times New Roman" w:cstheme="minorHAnsi"/>
          <w:sz w:val="22"/>
          <w:lang w:val="hu-HU"/>
        </w:rPr>
        <w:t xml:space="preserve"> (</w:t>
      </w:r>
      <w:r w:rsidR="007A4842">
        <w:rPr>
          <w:rFonts w:eastAsia="Times New Roman" w:cstheme="minorHAnsi"/>
          <w:sz w:val="22"/>
          <w:lang w:val="hu-HU"/>
        </w:rPr>
        <w:t>„</w:t>
      </w:r>
      <w:proofErr w:type="spellStart"/>
      <w:r w:rsidRPr="00ED7D12">
        <w:rPr>
          <w:rFonts w:eastAsia="Times New Roman" w:cstheme="minorHAnsi"/>
          <w:sz w:val="22"/>
          <w:lang w:val="hu-HU"/>
        </w:rPr>
        <w:t>Nomenclature</w:t>
      </w:r>
      <w:proofErr w:type="spellEnd"/>
      <w:r w:rsidRPr="00ED7D12">
        <w:rPr>
          <w:rFonts w:eastAsia="Times New Roman" w:cstheme="minorHAnsi"/>
          <w:sz w:val="22"/>
          <w:lang w:val="hu-HU"/>
        </w:rPr>
        <w:t xml:space="preserve"> </w:t>
      </w:r>
      <w:proofErr w:type="spellStart"/>
      <w:r w:rsidRPr="00ED7D12">
        <w:rPr>
          <w:rFonts w:eastAsia="Times New Roman" w:cstheme="minorHAnsi"/>
          <w:sz w:val="22"/>
          <w:lang w:val="hu-HU"/>
        </w:rPr>
        <w:t>generale</w:t>
      </w:r>
      <w:proofErr w:type="spellEnd"/>
      <w:r w:rsidRPr="00ED7D12">
        <w:rPr>
          <w:rFonts w:eastAsia="Times New Roman" w:cstheme="minorHAnsi"/>
          <w:sz w:val="22"/>
          <w:lang w:val="hu-HU"/>
        </w:rPr>
        <w:t xml:space="preserve"> </w:t>
      </w:r>
      <w:proofErr w:type="spellStart"/>
      <w:r w:rsidRPr="00ED7D12">
        <w:rPr>
          <w:rFonts w:eastAsia="Times New Roman" w:cstheme="minorHAnsi"/>
          <w:sz w:val="22"/>
          <w:lang w:val="hu-HU"/>
        </w:rPr>
        <w:t>des</w:t>
      </w:r>
      <w:proofErr w:type="spellEnd"/>
      <w:r w:rsidRPr="00ED7D12">
        <w:rPr>
          <w:rFonts w:eastAsia="Times New Roman" w:cstheme="minorHAnsi"/>
          <w:sz w:val="22"/>
          <w:lang w:val="hu-HU"/>
        </w:rPr>
        <w:t xml:space="preserve"> </w:t>
      </w:r>
      <w:proofErr w:type="spellStart"/>
      <w:r w:rsidRPr="00ED7D12">
        <w:rPr>
          <w:rFonts w:eastAsia="Times New Roman" w:cstheme="minorHAnsi"/>
          <w:sz w:val="22"/>
          <w:lang w:val="hu-HU"/>
        </w:rPr>
        <w:t>Activites</w:t>
      </w:r>
      <w:proofErr w:type="spellEnd"/>
      <w:r w:rsidRPr="00ED7D12">
        <w:rPr>
          <w:rFonts w:eastAsia="Times New Roman" w:cstheme="minorHAnsi"/>
          <w:sz w:val="22"/>
          <w:lang w:val="hu-HU"/>
        </w:rPr>
        <w:t xml:space="preserve"> </w:t>
      </w:r>
      <w:proofErr w:type="spellStart"/>
      <w:r w:rsidRPr="00ED7D12">
        <w:rPr>
          <w:rFonts w:eastAsia="Times New Roman" w:cstheme="minorHAnsi"/>
          <w:sz w:val="22"/>
          <w:lang w:val="hu-HU"/>
        </w:rPr>
        <w:t>economiques</w:t>
      </w:r>
      <w:proofErr w:type="spellEnd"/>
      <w:r w:rsidRPr="00ED7D12">
        <w:rPr>
          <w:rFonts w:eastAsia="Times New Roman" w:cstheme="minorHAnsi"/>
          <w:sz w:val="22"/>
          <w:lang w:val="hu-HU"/>
        </w:rPr>
        <w:t xml:space="preserve"> </w:t>
      </w:r>
      <w:proofErr w:type="spellStart"/>
      <w:r w:rsidRPr="00ED7D12">
        <w:rPr>
          <w:rFonts w:eastAsia="Times New Roman" w:cstheme="minorHAnsi"/>
          <w:sz w:val="22"/>
          <w:lang w:val="hu-HU"/>
        </w:rPr>
        <w:t>dans</w:t>
      </w:r>
      <w:proofErr w:type="spellEnd"/>
      <w:r w:rsidRPr="00ED7D12">
        <w:rPr>
          <w:rFonts w:eastAsia="Times New Roman" w:cstheme="minorHAnsi"/>
          <w:sz w:val="22"/>
          <w:lang w:val="hu-HU"/>
        </w:rPr>
        <w:t xml:space="preserve"> les </w:t>
      </w:r>
      <w:proofErr w:type="spellStart"/>
      <w:r w:rsidRPr="00ED7D12">
        <w:rPr>
          <w:rFonts w:eastAsia="Times New Roman" w:cstheme="minorHAnsi"/>
          <w:sz w:val="22"/>
          <w:lang w:val="hu-HU"/>
        </w:rPr>
        <w:t>Communautes</w:t>
      </w:r>
      <w:proofErr w:type="spellEnd"/>
      <w:r w:rsidRPr="00ED7D12">
        <w:rPr>
          <w:rFonts w:eastAsia="Times New Roman" w:cstheme="minorHAnsi"/>
          <w:sz w:val="22"/>
          <w:lang w:val="hu-HU"/>
        </w:rPr>
        <w:t xml:space="preserve"> </w:t>
      </w:r>
      <w:proofErr w:type="spellStart"/>
      <w:r w:rsidRPr="00ED7D12">
        <w:rPr>
          <w:rFonts w:eastAsia="Times New Roman" w:cstheme="minorHAnsi"/>
          <w:sz w:val="22"/>
          <w:lang w:val="hu-HU"/>
        </w:rPr>
        <w:t>europeennes</w:t>
      </w:r>
      <w:proofErr w:type="spellEnd"/>
      <w:r w:rsidR="007A4842">
        <w:rPr>
          <w:rFonts w:eastAsia="Times New Roman" w:cstheme="minorHAnsi"/>
          <w:sz w:val="22"/>
          <w:lang w:val="hu-HU"/>
        </w:rPr>
        <w:t>”</w:t>
      </w:r>
      <w:r w:rsidRPr="00ED7D12">
        <w:rPr>
          <w:rFonts w:eastAsia="Times New Roman" w:cstheme="minorHAnsi"/>
          <w:sz w:val="22"/>
          <w:lang w:val="hu-HU"/>
        </w:rPr>
        <w:t>): négy számjegyből álló kódok, melyet a gazdasági tevékenységek statisztikai osztályozására használnak és az Európai Parlament és a Tanács 1893/2006/EK számú rendelete alapján</w:t>
      </w:r>
    </w:p>
    <w:p w14:paraId="3E81C41D" w14:textId="77777777" w:rsidR="00ED7D12"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 xml:space="preserve">National </w:t>
      </w:r>
      <w:proofErr w:type="spellStart"/>
      <w:r>
        <w:rPr>
          <w:rFonts w:eastAsia="Times New Roman" w:cstheme="minorHAnsi"/>
          <w:sz w:val="22"/>
          <w:lang w:val="hu-HU"/>
        </w:rPr>
        <w:t>GAAP</w:t>
      </w:r>
      <w:proofErr w:type="spellEnd"/>
      <w:r>
        <w:rPr>
          <w:rFonts w:eastAsia="Times New Roman" w:cstheme="minorHAnsi"/>
          <w:sz w:val="22"/>
          <w:lang w:val="hu-HU"/>
        </w:rPr>
        <w:t xml:space="preserve"> (</w:t>
      </w:r>
      <w:r w:rsidR="007A4842">
        <w:rPr>
          <w:rFonts w:eastAsia="Times New Roman" w:cstheme="minorHAnsi"/>
          <w:sz w:val="22"/>
          <w:lang w:val="hu-HU"/>
        </w:rPr>
        <w:t>„</w:t>
      </w:r>
      <w:r w:rsidRPr="00C14CF2">
        <w:rPr>
          <w:rFonts w:eastAsia="Times New Roman" w:cstheme="minorHAnsi"/>
          <w:sz w:val="22"/>
        </w:rPr>
        <w:t>Generally</w:t>
      </w:r>
      <w:r>
        <w:rPr>
          <w:rFonts w:eastAsia="Times New Roman" w:cstheme="minorHAnsi"/>
          <w:sz w:val="22"/>
          <w:lang w:val="hu-HU"/>
        </w:rPr>
        <w:t xml:space="preserve"> </w:t>
      </w:r>
      <w:r w:rsidRPr="00C14CF2">
        <w:rPr>
          <w:rFonts w:eastAsia="Times New Roman" w:cstheme="minorHAnsi"/>
          <w:sz w:val="22"/>
        </w:rPr>
        <w:t>Accepted</w:t>
      </w:r>
      <w:r>
        <w:rPr>
          <w:rFonts w:eastAsia="Times New Roman" w:cstheme="minorHAnsi"/>
          <w:sz w:val="22"/>
          <w:lang w:val="hu-HU"/>
        </w:rPr>
        <w:t xml:space="preserve"> Accounting </w:t>
      </w:r>
      <w:r w:rsidRPr="00C14CF2">
        <w:rPr>
          <w:rFonts w:eastAsia="Times New Roman" w:cstheme="minorHAnsi"/>
          <w:sz w:val="22"/>
        </w:rPr>
        <w:t>Principles</w:t>
      </w:r>
      <w:r w:rsidR="007A4842">
        <w:rPr>
          <w:rFonts w:eastAsia="Times New Roman" w:cstheme="minorHAnsi"/>
          <w:sz w:val="22"/>
          <w:lang w:val="hu-HU"/>
        </w:rPr>
        <w:t>”</w:t>
      </w:r>
      <w:r>
        <w:rPr>
          <w:rFonts w:eastAsia="Times New Roman" w:cstheme="minorHAnsi"/>
          <w:sz w:val="22"/>
          <w:lang w:val="hu-HU"/>
        </w:rPr>
        <w:t>): Nemzeti számviteli szabályok</w:t>
      </w:r>
    </w:p>
    <w:p w14:paraId="134D6D58" w14:textId="77777777" w:rsidR="00ED7D12" w:rsidRPr="00ED7D12" w:rsidRDefault="00ED7D12"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NPE</w:t>
      </w:r>
      <w:proofErr w:type="spellEnd"/>
      <w:r>
        <w:rPr>
          <w:rFonts w:eastAsia="Times New Roman" w:cstheme="minorHAnsi"/>
          <w:sz w:val="22"/>
          <w:lang w:val="hu-HU"/>
        </w:rPr>
        <w:t xml:space="preserve"> (</w:t>
      </w:r>
      <w:r w:rsidR="007A4842">
        <w:rPr>
          <w:rFonts w:eastAsia="Times New Roman" w:cstheme="minorHAnsi"/>
          <w:sz w:val="22"/>
          <w:lang w:val="hu-HU"/>
        </w:rPr>
        <w:t>„</w:t>
      </w:r>
      <w:r>
        <w:rPr>
          <w:rFonts w:eastAsia="Times New Roman" w:cstheme="minorHAnsi"/>
          <w:sz w:val="22"/>
          <w:lang w:val="hu-HU"/>
        </w:rPr>
        <w:t>Non-</w:t>
      </w:r>
      <w:r w:rsidRPr="00C14CF2">
        <w:rPr>
          <w:rFonts w:eastAsia="Times New Roman" w:cstheme="minorHAnsi"/>
          <w:sz w:val="22"/>
        </w:rPr>
        <w:t>Performing</w:t>
      </w:r>
      <w:r>
        <w:rPr>
          <w:rFonts w:eastAsia="Times New Roman" w:cstheme="minorHAnsi"/>
          <w:sz w:val="22"/>
          <w:lang w:val="hu-HU"/>
        </w:rPr>
        <w:t xml:space="preserve"> </w:t>
      </w:r>
      <w:r w:rsidRPr="00C14CF2">
        <w:rPr>
          <w:rFonts w:eastAsia="Times New Roman" w:cstheme="minorHAnsi"/>
          <w:sz w:val="22"/>
        </w:rPr>
        <w:t>Exposures</w:t>
      </w:r>
      <w:r w:rsidR="007A4842">
        <w:rPr>
          <w:rFonts w:eastAsia="Times New Roman" w:cstheme="minorHAnsi"/>
          <w:sz w:val="22"/>
          <w:lang w:val="hu-HU"/>
        </w:rPr>
        <w:t>”</w:t>
      </w:r>
      <w:r>
        <w:rPr>
          <w:rFonts w:eastAsia="Times New Roman" w:cstheme="minorHAnsi"/>
          <w:sz w:val="22"/>
          <w:lang w:val="hu-HU"/>
        </w:rPr>
        <w:t>): nemteljesítő kitettségek</w:t>
      </w:r>
    </w:p>
    <w:p w14:paraId="1C689686" w14:textId="77777777" w:rsidR="00ED7D12" w:rsidRDefault="00ED7D12"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NPL</w:t>
      </w:r>
      <w:proofErr w:type="spellEnd"/>
      <w:r>
        <w:rPr>
          <w:rFonts w:eastAsia="Times New Roman" w:cstheme="minorHAnsi"/>
          <w:sz w:val="22"/>
          <w:lang w:val="hu-HU"/>
        </w:rPr>
        <w:t xml:space="preserve"> (</w:t>
      </w:r>
      <w:r w:rsidR="007A4842">
        <w:rPr>
          <w:rFonts w:eastAsia="Times New Roman" w:cstheme="minorHAnsi"/>
          <w:sz w:val="22"/>
          <w:lang w:val="hu-HU"/>
        </w:rPr>
        <w:t>„</w:t>
      </w:r>
      <w:r>
        <w:rPr>
          <w:rFonts w:eastAsia="Times New Roman" w:cstheme="minorHAnsi"/>
          <w:sz w:val="22"/>
          <w:lang w:val="hu-HU"/>
        </w:rPr>
        <w:t>Non-</w:t>
      </w:r>
      <w:r w:rsidRPr="00C14CF2">
        <w:rPr>
          <w:rFonts w:eastAsia="Times New Roman" w:cstheme="minorHAnsi"/>
          <w:sz w:val="22"/>
        </w:rPr>
        <w:t>Performing</w:t>
      </w:r>
      <w:r>
        <w:rPr>
          <w:rFonts w:eastAsia="Times New Roman" w:cstheme="minorHAnsi"/>
          <w:sz w:val="22"/>
          <w:lang w:val="hu-HU"/>
        </w:rPr>
        <w:t xml:space="preserve"> </w:t>
      </w:r>
      <w:r w:rsidRPr="00C14CF2">
        <w:rPr>
          <w:rFonts w:eastAsia="Times New Roman" w:cstheme="minorHAnsi"/>
          <w:sz w:val="22"/>
        </w:rPr>
        <w:t>Loan</w:t>
      </w:r>
      <w:r w:rsidR="007A4842">
        <w:rPr>
          <w:rFonts w:eastAsia="Times New Roman" w:cstheme="minorHAnsi"/>
          <w:sz w:val="22"/>
          <w:lang w:val="hu-HU"/>
        </w:rPr>
        <w:t>”</w:t>
      </w:r>
      <w:r>
        <w:rPr>
          <w:rFonts w:eastAsia="Times New Roman" w:cstheme="minorHAnsi"/>
          <w:sz w:val="22"/>
          <w:lang w:val="hu-HU"/>
        </w:rPr>
        <w:t>): nemteljesítő hitel</w:t>
      </w:r>
      <w:r w:rsidR="007A4842">
        <w:rPr>
          <w:rFonts w:eastAsia="Times New Roman" w:cstheme="minorHAnsi"/>
          <w:sz w:val="22"/>
          <w:lang w:val="hu-HU"/>
        </w:rPr>
        <w:t>ek</w:t>
      </w:r>
    </w:p>
    <w:p w14:paraId="73634614" w14:textId="77777777" w:rsidR="00ED7D12" w:rsidRPr="00ED7D12" w:rsidRDefault="00ED7D12"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NSFR</w:t>
      </w:r>
      <w:proofErr w:type="spellEnd"/>
      <w:r>
        <w:rPr>
          <w:rFonts w:eastAsia="Times New Roman" w:cstheme="minorHAnsi"/>
          <w:sz w:val="22"/>
          <w:lang w:val="hu-HU"/>
        </w:rPr>
        <w:t xml:space="preserve"> (</w:t>
      </w:r>
      <w:r w:rsidR="007A4842">
        <w:rPr>
          <w:rFonts w:eastAsia="Times New Roman" w:cstheme="minorHAnsi"/>
          <w:sz w:val="22"/>
          <w:lang w:val="hu-HU"/>
        </w:rPr>
        <w:t>„</w:t>
      </w:r>
      <w:r>
        <w:rPr>
          <w:rFonts w:eastAsia="Times New Roman" w:cstheme="minorHAnsi"/>
          <w:sz w:val="22"/>
          <w:lang w:val="hu-HU"/>
        </w:rPr>
        <w:t xml:space="preserve">Net </w:t>
      </w:r>
      <w:r w:rsidRPr="00C14CF2">
        <w:rPr>
          <w:rFonts w:eastAsia="Times New Roman" w:cstheme="minorHAnsi"/>
          <w:sz w:val="22"/>
        </w:rPr>
        <w:t>Stable</w:t>
      </w:r>
      <w:r>
        <w:rPr>
          <w:rFonts w:eastAsia="Times New Roman" w:cstheme="minorHAnsi"/>
          <w:sz w:val="22"/>
          <w:lang w:val="hu-HU"/>
        </w:rPr>
        <w:t xml:space="preserve"> </w:t>
      </w:r>
      <w:r w:rsidRPr="00C14CF2">
        <w:rPr>
          <w:rFonts w:eastAsia="Times New Roman" w:cstheme="minorHAnsi"/>
          <w:sz w:val="22"/>
        </w:rPr>
        <w:t>Funding</w:t>
      </w:r>
      <w:r>
        <w:rPr>
          <w:rFonts w:eastAsia="Times New Roman" w:cstheme="minorHAnsi"/>
          <w:sz w:val="22"/>
          <w:lang w:val="hu-HU"/>
        </w:rPr>
        <w:t xml:space="preserve"> Ratio</w:t>
      </w:r>
      <w:r w:rsidR="007A4842">
        <w:rPr>
          <w:rFonts w:eastAsia="Times New Roman" w:cstheme="minorHAnsi"/>
          <w:sz w:val="22"/>
          <w:lang w:val="hu-HU"/>
        </w:rPr>
        <w:t>”</w:t>
      </w:r>
      <w:r>
        <w:rPr>
          <w:rFonts w:eastAsia="Times New Roman" w:cstheme="minorHAnsi"/>
          <w:sz w:val="22"/>
          <w:lang w:val="hu-HU"/>
        </w:rPr>
        <w:t xml:space="preserve">): nettó stabil finanszírozási </w:t>
      </w:r>
      <w:r w:rsidR="007A4842">
        <w:rPr>
          <w:rFonts w:eastAsia="Times New Roman" w:cstheme="minorHAnsi"/>
          <w:sz w:val="22"/>
          <w:lang w:val="hu-HU"/>
        </w:rPr>
        <w:t>mutató</w:t>
      </w:r>
      <w:r w:rsidDel="00855F17">
        <w:rPr>
          <w:rStyle w:val="CommentReference"/>
        </w:rPr>
        <w:t xml:space="preserve"> </w:t>
      </w:r>
    </w:p>
    <w:p w14:paraId="42845E55" w14:textId="77777777" w:rsidR="00966271" w:rsidRDefault="00966271"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OPEX</w:t>
      </w:r>
      <w:proofErr w:type="spellEnd"/>
      <w:r>
        <w:rPr>
          <w:rFonts w:eastAsia="Times New Roman" w:cstheme="minorHAnsi"/>
          <w:sz w:val="22"/>
          <w:lang w:val="hu-HU"/>
        </w:rPr>
        <w:t xml:space="preserve"> (</w:t>
      </w:r>
      <w:r w:rsidR="007A4842">
        <w:rPr>
          <w:rFonts w:eastAsia="Times New Roman" w:cstheme="minorHAnsi"/>
          <w:sz w:val="22"/>
          <w:lang w:val="hu-HU"/>
        </w:rPr>
        <w:t>„</w:t>
      </w:r>
      <w:r w:rsidRPr="00C14CF2">
        <w:rPr>
          <w:rFonts w:eastAsia="Times New Roman" w:cstheme="minorHAnsi"/>
          <w:sz w:val="22"/>
        </w:rPr>
        <w:t>Operational</w:t>
      </w:r>
      <w:r>
        <w:rPr>
          <w:rFonts w:eastAsia="Times New Roman" w:cstheme="minorHAnsi"/>
          <w:sz w:val="22"/>
          <w:lang w:val="hu-HU"/>
        </w:rPr>
        <w:t xml:space="preserve"> </w:t>
      </w:r>
      <w:r w:rsidRPr="00C14CF2">
        <w:rPr>
          <w:rFonts w:eastAsia="Times New Roman" w:cstheme="minorHAnsi"/>
          <w:sz w:val="22"/>
        </w:rPr>
        <w:t>Expenditure</w:t>
      </w:r>
      <w:r w:rsidR="007A4842">
        <w:rPr>
          <w:rFonts w:eastAsia="Times New Roman" w:cstheme="minorHAnsi"/>
          <w:sz w:val="22"/>
          <w:lang w:val="hu-HU"/>
        </w:rPr>
        <w:t>”</w:t>
      </w:r>
      <w:r>
        <w:rPr>
          <w:rFonts w:eastAsia="Times New Roman" w:cstheme="minorHAnsi"/>
          <w:sz w:val="22"/>
          <w:lang w:val="hu-HU"/>
        </w:rPr>
        <w:t>): működési költség</w:t>
      </w:r>
    </w:p>
    <w:p w14:paraId="6B23C076" w14:textId="77777777" w:rsidR="00966271" w:rsidRDefault="00966271"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PD</w:t>
      </w:r>
      <w:proofErr w:type="spellEnd"/>
      <w:r>
        <w:rPr>
          <w:rFonts w:eastAsia="Times New Roman" w:cstheme="minorHAnsi"/>
          <w:sz w:val="22"/>
          <w:lang w:val="hu-HU"/>
        </w:rPr>
        <w:t xml:space="preserve"> (</w:t>
      </w:r>
      <w:r w:rsidR="007A4842">
        <w:rPr>
          <w:rFonts w:eastAsia="Times New Roman" w:cstheme="minorHAnsi"/>
          <w:sz w:val="22"/>
          <w:lang w:val="hu-HU"/>
        </w:rPr>
        <w:t>„</w:t>
      </w:r>
      <w:r w:rsidRPr="00C14CF2">
        <w:rPr>
          <w:rFonts w:eastAsia="Times New Roman" w:cstheme="minorHAnsi"/>
          <w:sz w:val="22"/>
        </w:rPr>
        <w:t>Probability</w:t>
      </w:r>
      <w:r>
        <w:rPr>
          <w:rFonts w:eastAsia="Times New Roman" w:cstheme="minorHAnsi"/>
          <w:sz w:val="22"/>
          <w:lang w:val="hu-HU"/>
        </w:rPr>
        <w:t xml:space="preserve"> of </w:t>
      </w:r>
      <w:r w:rsidRPr="00C14CF2">
        <w:rPr>
          <w:rFonts w:eastAsia="Times New Roman" w:cstheme="minorHAnsi"/>
          <w:sz w:val="22"/>
        </w:rPr>
        <w:t>Default</w:t>
      </w:r>
      <w:r w:rsidR="007A4842">
        <w:rPr>
          <w:rFonts w:eastAsia="Times New Roman" w:cstheme="minorHAnsi"/>
          <w:sz w:val="22"/>
          <w:lang w:val="hu-HU"/>
        </w:rPr>
        <w:t>”</w:t>
      </w:r>
      <w:r>
        <w:rPr>
          <w:rFonts w:eastAsia="Times New Roman" w:cstheme="minorHAnsi"/>
          <w:sz w:val="22"/>
          <w:lang w:val="hu-HU"/>
        </w:rPr>
        <w:t>): a nem teljesítés valószínűsége</w:t>
      </w:r>
    </w:p>
    <w:p w14:paraId="559B6A0C" w14:textId="77777777" w:rsidR="00741065" w:rsidRDefault="00741065"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Pmt</w:t>
      </w:r>
      <w:proofErr w:type="spellEnd"/>
      <w:r>
        <w:rPr>
          <w:rFonts w:eastAsia="Times New Roman" w:cstheme="minorHAnsi"/>
          <w:sz w:val="22"/>
          <w:lang w:val="hu-HU"/>
        </w:rPr>
        <w:t>. 2017. LIII.: a pénzmosás és a terrorizmus finanszírozása megelőzéséről és megakadályozásáról szóló törvény</w:t>
      </w:r>
    </w:p>
    <w:p w14:paraId="46403FE0" w14:textId="77777777" w:rsid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SME</w:t>
      </w:r>
      <w:proofErr w:type="spellEnd"/>
      <w:r>
        <w:rPr>
          <w:rFonts w:eastAsia="Times New Roman" w:cstheme="minorHAnsi"/>
          <w:sz w:val="22"/>
          <w:lang w:val="hu-HU"/>
        </w:rPr>
        <w:t xml:space="preserve"> (</w:t>
      </w:r>
      <w:r w:rsidR="007A4842">
        <w:rPr>
          <w:rFonts w:eastAsia="Times New Roman" w:cstheme="minorHAnsi"/>
          <w:sz w:val="22"/>
          <w:lang w:val="hu-HU"/>
        </w:rPr>
        <w:t>„</w:t>
      </w:r>
      <w:proofErr w:type="spellStart"/>
      <w:r w:rsidRPr="00F87621">
        <w:rPr>
          <w:rFonts w:eastAsia="Times New Roman" w:cstheme="minorHAnsi"/>
          <w:sz w:val="22"/>
          <w:lang w:val="hu-HU"/>
        </w:rPr>
        <w:t>Small</w:t>
      </w:r>
      <w:proofErr w:type="spellEnd"/>
      <w:r>
        <w:rPr>
          <w:rFonts w:eastAsia="Times New Roman" w:cstheme="minorHAnsi"/>
          <w:sz w:val="22"/>
          <w:lang w:val="hu-HU"/>
        </w:rPr>
        <w:t xml:space="preserve"> and </w:t>
      </w:r>
      <w:proofErr w:type="spellStart"/>
      <w:r w:rsidRPr="00F87621">
        <w:rPr>
          <w:rFonts w:eastAsia="Times New Roman" w:cstheme="minorHAnsi"/>
          <w:sz w:val="22"/>
          <w:lang w:val="hu-HU"/>
        </w:rPr>
        <w:t>Medium</w:t>
      </w:r>
      <w:r>
        <w:rPr>
          <w:rFonts w:eastAsia="Times New Roman" w:cstheme="minorHAnsi"/>
          <w:sz w:val="22"/>
          <w:lang w:val="hu-HU"/>
        </w:rPr>
        <w:t>-</w:t>
      </w:r>
      <w:r w:rsidRPr="00F87621">
        <w:rPr>
          <w:rFonts w:eastAsia="Times New Roman" w:cstheme="minorHAnsi"/>
          <w:sz w:val="22"/>
          <w:lang w:val="hu-HU"/>
        </w:rPr>
        <w:t>sized</w:t>
      </w:r>
      <w:proofErr w:type="spellEnd"/>
      <w:r>
        <w:rPr>
          <w:rFonts w:eastAsia="Times New Roman" w:cstheme="minorHAnsi"/>
          <w:sz w:val="22"/>
          <w:lang w:val="hu-HU"/>
        </w:rPr>
        <w:t xml:space="preserve"> Enterprise</w:t>
      </w:r>
      <w:r w:rsidR="007A4842">
        <w:rPr>
          <w:rFonts w:eastAsia="Times New Roman" w:cstheme="minorHAnsi"/>
          <w:sz w:val="22"/>
          <w:lang w:val="hu-HU"/>
        </w:rPr>
        <w:t>”</w:t>
      </w:r>
      <w:r>
        <w:rPr>
          <w:rFonts w:eastAsia="Times New Roman" w:cstheme="minorHAnsi"/>
          <w:sz w:val="22"/>
          <w:lang w:val="hu-HU"/>
        </w:rPr>
        <w:t>): kis- és középvállalkozások, ahogy a 2003/361 számú rendelet meghatározza 2003. május 6-án (Jutalék Ajánlások)</w:t>
      </w:r>
    </w:p>
    <w:p w14:paraId="29DF5555" w14:textId="77777777" w:rsid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SOFR</w:t>
      </w:r>
      <w:proofErr w:type="spellEnd"/>
      <w:r>
        <w:rPr>
          <w:rFonts w:eastAsia="Times New Roman" w:cstheme="minorHAnsi"/>
          <w:sz w:val="22"/>
          <w:lang w:val="hu-HU"/>
        </w:rPr>
        <w:t xml:space="preserve"> (</w:t>
      </w:r>
      <w:r w:rsidR="007A4842">
        <w:rPr>
          <w:rFonts w:eastAsia="Times New Roman" w:cstheme="minorHAnsi"/>
          <w:sz w:val="22"/>
          <w:lang w:val="hu-HU"/>
        </w:rPr>
        <w:t>„</w:t>
      </w:r>
      <w:r w:rsidRPr="00C14CF2">
        <w:rPr>
          <w:rFonts w:eastAsia="Times New Roman" w:cstheme="minorHAnsi"/>
          <w:sz w:val="22"/>
        </w:rPr>
        <w:t>Secured</w:t>
      </w:r>
      <w:r>
        <w:rPr>
          <w:rFonts w:eastAsia="Times New Roman" w:cstheme="minorHAnsi"/>
          <w:sz w:val="22"/>
          <w:lang w:val="hu-HU"/>
        </w:rPr>
        <w:t xml:space="preserve"> </w:t>
      </w:r>
      <w:r w:rsidRPr="00C14CF2">
        <w:rPr>
          <w:rFonts w:eastAsia="Times New Roman" w:cstheme="minorHAnsi"/>
          <w:sz w:val="22"/>
        </w:rPr>
        <w:t>Overnight</w:t>
      </w:r>
      <w:r>
        <w:rPr>
          <w:rFonts w:eastAsia="Times New Roman" w:cstheme="minorHAnsi"/>
          <w:sz w:val="22"/>
          <w:lang w:val="hu-HU"/>
        </w:rPr>
        <w:t xml:space="preserve"> </w:t>
      </w:r>
      <w:r w:rsidRPr="00C14CF2">
        <w:rPr>
          <w:rFonts w:eastAsia="Times New Roman" w:cstheme="minorHAnsi"/>
          <w:sz w:val="22"/>
        </w:rPr>
        <w:t>Financing</w:t>
      </w:r>
      <w:r>
        <w:rPr>
          <w:rFonts w:eastAsia="Times New Roman" w:cstheme="minorHAnsi"/>
          <w:sz w:val="22"/>
          <w:lang w:val="hu-HU"/>
        </w:rPr>
        <w:t xml:space="preserve"> </w:t>
      </w:r>
      <w:r w:rsidRPr="00C14CF2">
        <w:rPr>
          <w:rFonts w:eastAsia="Times New Roman" w:cstheme="minorHAnsi"/>
          <w:sz w:val="22"/>
        </w:rPr>
        <w:t>Rate</w:t>
      </w:r>
      <w:r w:rsidR="007A4842">
        <w:rPr>
          <w:rFonts w:eastAsia="Times New Roman" w:cstheme="minorHAnsi"/>
          <w:sz w:val="22"/>
          <w:lang w:val="hu-HU"/>
        </w:rPr>
        <w:t>”</w:t>
      </w:r>
      <w:r>
        <w:rPr>
          <w:rFonts w:eastAsia="Times New Roman" w:cstheme="minorHAnsi"/>
          <w:sz w:val="22"/>
          <w:lang w:val="hu-HU"/>
        </w:rPr>
        <w:t xml:space="preserve">) fedezett napi finanszírozási ráta </w:t>
      </w:r>
    </w:p>
    <w:p w14:paraId="77D9795D" w14:textId="77777777" w:rsidR="00E42B76" w:rsidRDefault="00E42B76"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SONIA</w:t>
      </w:r>
      <w:proofErr w:type="spellEnd"/>
      <w:r>
        <w:rPr>
          <w:rFonts w:eastAsia="Times New Roman" w:cstheme="minorHAnsi"/>
          <w:sz w:val="22"/>
          <w:lang w:val="hu-HU"/>
        </w:rPr>
        <w:t xml:space="preserve"> (</w:t>
      </w:r>
      <w:r w:rsidR="007A4842">
        <w:rPr>
          <w:rFonts w:eastAsia="Times New Roman" w:cstheme="minorHAnsi"/>
          <w:sz w:val="22"/>
          <w:lang w:val="hu-HU"/>
        </w:rPr>
        <w:t>„</w:t>
      </w:r>
      <w:r>
        <w:rPr>
          <w:rFonts w:eastAsia="Times New Roman" w:cstheme="minorHAnsi"/>
          <w:sz w:val="22"/>
          <w:lang w:val="hu-HU"/>
        </w:rPr>
        <w:t xml:space="preserve">Sterling </w:t>
      </w:r>
      <w:r w:rsidRPr="00C14CF2">
        <w:rPr>
          <w:rFonts w:eastAsia="Times New Roman" w:cstheme="minorHAnsi"/>
          <w:sz w:val="22"/>
        </w:rPr>
        <w:t>Overnight</w:t>
      </w:r>
      <w:r>
        <w:rPr>
          <w:rFonts w:eastAsia="Times New Roman" w:cstheme="minorHAnsi"/>
          <w:sz w:val="22"/>
          <w:lang w:val="hu-HU"/>
        </w:rPr>
        <w:t xml:space="preserve"> Index </w:t>
      </w:r>
      <w:r w:rsidRPr="00C14CF2">
        <w:rPr>
          <w:rFonts w:eastAsia="Times New Roman" w:cstheme="minorHAnsi"/>
          <w:sz w:val="22"/>
        </w:rPr>
        <w:t>Average</w:t>
      </w:r>
      <w:r w:rsidR="007A4842">
        <w:rPr>
          <w:rFonts w:eastAsia="Times New Roman" w:cstheme="minorHAnsi"/>
          <w:sz w:val="22"/>
          <w:lang w:val="hu-HU"/>
        </w:rPr>
        <w:t>”</w:t>
      </w:r>
      <w:r>
        <w:rPr>
          <w:rFonts w:eastAsia="Times New Roman" w:cstheme="minorHAnsi"/>
          <w:sz w:val="22"/>
          <w:lang w:val="hu-HU"/>
        </w:rPr>
        <w:t xml:space="preserve">): font napi index átlaga </w:t>
      </w:r>
    </w:p>
    <w:p w14:paraId="6D11DCAB" w14:textId="77777777" w:rsidR="00895A5D" w:rsidRDefault="00895A5D"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lang w:val="hu-HU"/>
        </w:rPr>
        <w:t>THM</w:t>
      </w:r>
      <w:proofErr w:type="spellEnd"/>
      <w:r>
        <w:rPr>
          <w:rFonts w:eastAsia="Times New Roman" w:cstheme="minorHAnsi"/>
          <w:sz w:val="22"/>
          <w:lang w:val="hu-HU"/>
        </w:rPr>
        <w:t>: Teljes Hiteldíj Mutató</w:t>
      </w:r>
    </w:p>
    <w:p w14:paraId="614B7DEF" w14:textId="77777777" w:rsidR="00ED7D12"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USD: Amerikai Dollár</w:t>
      </w:r>
    </w:p>
    <w:p w14:paraId="282B36BB" w14:textId="77777777" w:rsidR="00ED7D12" w:rsidRPr="00C45286"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rPr>
        <w:t>VAT (</w:t>
      </w:r>
      <w:r w:rsidR="00FD31F7">
        <w:rPr>
          <w:rFonts w:eastAsia="Times New Roman" w:cstheme="minorHAnsi"/>
          <w:sz w:val="22"/>
        </w:rPr>
        <w:t>“</w:t>
      </w:r>
      <w:r>
        <w:rPr>
          <w:rFonts w:eastAsia="Times New Roman" w:cstheme="minorHAnsi"/>
          <w:sz w:val="22"/>
        </w:rPr>
        <w:t>Value-Added Tax</w:t>
      </w:r>
      <w:r w:rsidR="00FD31F7">
        <w:rPr>
          <w:rFonts w:eastAsia="Times New Roman" w:cstheme="minorHAnsi"/>
          <w:sz w:val="22"/>
        </w:rPr>
        <w:t>”</w:t>
      </w:r>
      <w:r>
        <w:rPr>
          <w:rFonts w:eastAsia="Times New Roman" w:cstheme="minorHAnsi"/>
          <w:sz w:val="22"/>
        </w:rPr>
        <w:t xml:space="preserve">): </w:t>
      </w:r>
      <w:proofErr w:type="spellStart"/>
      <w:r>
        <w:rPr>
          <w:rFonts w:eastAsia="Times New Roman" w:cstheme="minorHAnsi"/>
          <w:sz w:val="22"/>
        </w:rPr>
        <w:t>Általános</w:t>
      </w:r>
      <w:proofErr w:type="spellEnd"/>
      <w:r>
        <w:rPr>
          <w:rFonts w:eastAsia="Times New Roman" w:cstheme="minorHAnsi"/>
          <w:sz w:val="22"/>
        </w:rPr>
        <w:t xml:space="preserve"> </w:t>
      </w:r>
      <w:proofErr w:type="spellStart"/>
      <w:r>
        <w:rPr>
          <w:rFonts w:eastAsia="Times New Roman" w:cstheme="minorHAnsi"/>
          <w:sz w:val="22"/>
        </w:rPr>
        <w:t>Forgalmi</w:t>
      </w:r>
      <w:proofErr w:type="spellEnd"/>
      <w:r>
        <w:rPr>
          <w:rFonts w:eastAsia="Times New Roman" w:cstheme="minorHAnsi"/>
          <w:sz w:val="22"/>
        </w:rPr>
        <w:t xml:space="preserve"> </w:t>
      </w:r>
      <w:proofErr w:type="spellStart"/>
      <w:r>
        <w:rPr>
          <w:rFonts w:eastAsia="Times New Roman" w:cstheme="minorHAnsi"/>
          <w:sz w:val="22"/>
        </w:rPr>
        <w:t>Adó</w:t>
      </w:r>
      <w:proofErr w:type="spellEnd"/>
      <w:r>
        <w:rPr>
          <w:rFonts w:eastAsia="Times New Roman" w:cstheme="minorHAnsi"/>
          <w:sz w:val="22"/>
        </w:rPr>
        <w:t xml:space="preserve"> (</w:t>
      </w:r>
      <w:proofErr w:type="spellStart"/>
      <w:r>
        <w:rPr>
          <w:rFonts w:eastAsia="Times New Roman" w:cstheme="minorHAnsi"/>
          <w:sz w:val="22"/>
        </w:rPr>
        <w:t>ÁFA</w:t>
      </w:r>
      <w:proofErr w:type="spellEnd"/>
      <w:r>
        <w:rPr>
          <w:rFonts w:eastAsia="Times New Roman" w:cstheme="minorHAnsi"/>
          <w:sz w:val="22"/>
        </w:rPr>
        <w:t>)</w:t>
      </w:r>
    </w:p>
    <w:p w14:paraId="1CDF75E8" w14:textId="77777777" w:rsidR="00ED7D12" w:rsidRPr="009C6532" w:rsidRDefault="00ED7D12" w:rsidP="00270638">
      <w:pPr>
        <w:numPr>
          <w:ilvl w:val="2"/>
          <w:numId w:val="16"/>
        </w:numPr>
        <w:ind w:right="-3139"/>
        <w:textAlignment w:val="center"/>
        <w:rPr>
          <w:rFonts w:eastAsia="Times New Roman" w:cstheme="minorHAnsi"/>
          <w:sz w:val="22"/>
          <w:lang w:val="hu-HU"/>
        </w:rPr>
      </w:pPr>
      <w:proofErr w:type="spellStart"/>
      <w:r>
        <w:rPr>
          <w:rFonts w:eastAsia="Times New Roman" w:cstheme="minorHAnsi"/>
          <w:sz w:val="22"/>
        </w:rPr>
        <w:t>WHT</w:t>
      </w:r>
      <w:proofErr w:type="spellEnd"/>
      <w:r>
        <w:rPr>
          <w:rFonts w:eastAsia="Times New Roman" w:cstheme="minorHAnsi"/>
          <w:sz w:val="22"/>
        </w:rPr>
        <w:t xml:space="preserve"> (</w:t>
      </w:r>
      <w:r w:rsidR="00AF7734">
        <w:rPr>
          <w:rFonts w:eastAsia="Times New Roman" w:cstheme="minorHAnsi"/>
          <w:sz w:val="22"/>
        </w:rPr>
        <w:t>"W</w:t>
      </w:r>
      <w:r>
        <w:rPr>
          <w:rFonts w:eastAsia="Times New Roman" w:cstheme="minorHAnsi"/>
          <w:sz w:val="22"/>
        </w:rPr>
        <w:t>ithholding tax</w:t>
      </w:r>
      <w:r w:rsidR="00AF7734">
        <w:rPr>
          <w:rFonts w:eastAsia="Times New Roman" w:cstheme="minorHAnsi"/>
          <w:sz w:val="22"/>
        </w:rPr>
        <w:t>”</w:t>
      </w:r>
      <w:r>
        <w:rPr>
          <w:rFonts w:eastAsia="Times New Roman" w:cstheme="minorHAnsi"/>
          <w:sz w:val="22"/>
        </w:rPr>
        <w:t xml:space="preserve">): </w:t>
      </w:r>
      <w:r w:rsidRPr="00AD644F">
        <w:rPr>
          <w:rFonts w:eastAsia="Times New Roman" w:cstheme="minorHAnsi"/>
          <w:sz w:val="22"/>
          <w:lang w:val="hu-HU"/>
        </w:rPr>
        <w:t>forrásadó</w:t>
      </w:r>
    </w:p>
    <w:p w14:paraId="43BB142E" w14:textId="77777777" w:rsidR="00ED7D12"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 xml:space="preserve">39/2016 számú MNB rendelet: a nemteljesítő kitettségre és az átstrukturált követelésre vonatkozó </w:t>
      </w:r>
      <w:proofErr w:type="spellStart"/>
      <w:r>
        <w:rPr>
          <w:rFonts w:eastAsia="Times New Roman" w:cstheme="minorHAnsi"/>
          <w:sz w:val="22"/>
          <w:lang w:val="hu-HU"/>
        </w:rPr>
        <w:t>prudenciális</w:t>
      </w:r>
      <w:proofErr w:type="spellEnd"/>
      <w:r>
        <w:rPr>
          <w:rFonts w:eastAsia="Times New Roman" w:cstheme="minorHAnsi"/>
          <w:sz w:val="22"/>
          <w:lang w:val="hu-HU"/>
        </w:rPr>
        <w:t xml:space="preserve"> követelményekről szóló rendelet</w:t>
      </w:r>
    </w:p>
    <w:p w14:paraId="7B020CD0" w14:textId="77777777" w:rsidR="00ED7D12" w:rsidRPr="002C56F7"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59/</w:t>
      </w:r>
      <w:r w:rsidRPr="00045412">
        <w:rPr>
          <w:rFonts w:eastAsia="Times New Roman" w:cstheme="minorHAnsi"/>
          <w:sz w:val="22"/>
          <w:lang w:val="hu-HU"/>
        </w:rPr>
        <w:t>2014</w:t>
      </w:r>
      <w:r>
        <w:rPr>
          <w:rFonts w:eastAsia="Times New Roman" w:cstheme="minorHAnsi"/>
          <w:sz w:val="22"/>
          <w:lang w:val="hu-HU"/>
        </w:rPr>
        <w:t xml:space="preserve"> számú EU irányelv</w:t>
      </w:r>
      <w:r w:rsidRPr="00045412">
        <w:rPr>
          <w:rFonts w:eastAsia="Times New Roman" w:cstheme="minorHAnsi"/>
          <w:sz w:val="22"/>
          <w:lang w:val="hu-HU"/>
        </w:rPr>
        <w:t>: a hitelintézetek és befektetési vállalkozások helyreállítását és szanálását célzó keretrendszer létrehozásáról és a 82/891/EGK tanácsi irányelv, a 2001/24/EK, 2002/47/EK, 2004/25/EK, 2005/56/EK, 2007/36/EK, 2011/35/EU, 2012/30/EU és 2013/36/EU irányelv, valamint az</w:t>
      </w:r>
      <w:r>
        <w:rPr>
          <w:rFonts w:eastAsia="Times New Roman" w:cstheme="minorHAnsi"/>
          <w:sz w:val="22"/>
          <w:lang w:val="hu-HU"/>
        </w:rPr>
        <w:t xml:space="preserve"> </w:t>
      </w:r>
      <w:r w:rsidRPr="00045412">
        <w:rPr>
          <w:rFonts w:eastAsia="Times New Roman" w:cstheme="minorHAnsi"/>
          <w:sz w:val="22"/>
          <w:lang w:val="hu-HU"/>
        </w:rPr>
        <w:t>1093/2010/EU és a 648/2012/EU európai parlamenti és tanácsi rendelet módosításáról</w:t>
      </w:r>
      <w:r>
        <w:rPr>
          <w:rFonts w:eastAsia="Times New Roman" w:cstheme="minorHAnsi"/>
          <w:sz w:val="22"/>
          <w:lang w:val="hu-HU"/>
        </w:rPr>
        <w:t xml:space="preserve"> szóló irányelv</w:t>
      </w:r>
    </w:p>
    <w:p w14:paraId="18B27B2E" w14:textId="77777777" w:rsidR="00ED7D12" w:rsidRDefault="00ED7D12" w:rsidP="00270638">
      <w:pPr>
        <w:numPr>
          <w:ilvl w:val="2"/>
          <w:numId w:val="16"/>
        </w:numPr>
        <w:ind w:right="-3139"/>
        <w:textAlignment w:val="center"/>
        <w:rPr>
          <w:rFonts w:eastAsia="Times New Roman" w:cstheme="minorHAnsi"/>
          <w:sz w:val="22"/>
          <w:lang w:val="hu-HU"/>
        </w:rPr>
      </w:pPr>
      <w:r w:rsidRPr="00D90D1B">
        <w:rPr>
          <w:rFonts w:eastAsia="Times New Roman" w:cstheme="minorHAnsi"/>
          <w:sz w:val="22"/>
          <w:lang w:val="hu-HU"/>
        </w:rPr>
        <w:t>451/2021 számú EU rendelet: az 575/2013/EU európai parlamenti és tanácsi rendeletnek az intézmények felügyeleti adatszolgáltatása tekintetében történő alkalmazására vonatkozó végrehajtás-</w:t>
      </w:r>
      <w:r w:rsidRPr="00D90D1B">
        <w:rPr>
          <w:rFonts w:eastAsia="Times New Roman" w:cstheme="minorHAnsi"/>
          <w:sz w:val="22"/>
          <w:lang w:val="hu-HU"/>
        </w:rPr>
        <w:lastRenderedPageBreak/>
        <w:t>technikai standardok</w:t>
      </w:r>
      <w:r>
        <w:rPr>
          <w:rFonts w:eastAsia="Times New Roman" w:cstheme="minorHAnsi"/>
          <w:sz w:val="22"/>
          <w:lang w:val="hu-HU"/>
        </w:rPr>
        <w:t xml:space="preserve"> </w:t>
      </w:r>
      <w:r w:rsidRPr="00D90D1B">
        <w:rPr>
          <w:rFonts w:eastAsia="Times New Roman" w:cstheme="minorHAnsi"/>
          <w:sz w:val="22"/>
          <w:lang w:val="hu-HU"/>
        </w:rPr>
        <w:t>megállapításáról és a 680/2014/EU végrehajtási rendelet hatályon kívül helyezéséről</w:t>
      </w:r>
    </w:p>
    <w:p w14:paraId="122C51AE" w14:textId="77777777" w:rsidR="00ED7D12" w:rsidRPr="00603369"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 xml:space="preserve">648/2012 számú EU rendelet: </w:t>
      </w:r>
      <w:r w:rsidRPr="00AE4857">
        <w:rPr>
          <w:rFonts w:eastAsia="Times New Roman" w:cstheme="minorHAnsi"/>
          <w:sz w:val="22"/>
          <w:lang w:val="hu-HU"/>
        </w:rPr>
        <w:t>a tőzsdén kívüli származtatott ügyletekről, a központi szerződő felekről és a kereskedés</w:t>
      </w:r>
      <w:r>
        <w:rPr>
          <w:rFonts w:eastAsia="Times New Roman" w:cstheme="minorHAnsi"/>
          <w:sz w:val="22"/>
          <w:lang w:val="hu-HU"/>
        </w:rPr>
        <w:t xml:space="preserve">i </w:t>
      </w:r>
      <w:r w:rsidRPr="00AE4857">
        <w:rPr>
          <w:rFonts w:eastAsia="Times New Roman" w:cstheme="minorHAnsi"/>
          <w:sz w:val="22"/>
          <w:lang w:val="hu-HU"/>
        </w:rPr>
        <w:t>adattárakról</w:t>
      </w:r>
    </w:p>
    <w:p w14:paraId="49463C01" w14:textId="77777777" w:rsidR="00431031" w:rsidRPr="00553A7D" w:rsidRDefault="00ED7D12" w:rsidP="00270638">
      <w:pPr>
        <w:numPr>
          <w:ilvl w:val="2"/>
          <w:numId w:val="16"/>
        </w:numPr>
        <w:ind w:right="-3139"/>
        <w:textAlignment w:val="center"/>
        <w:rPr>
          <w:rFonts w:eastAsia="Times New Roman" w:cstheme="minorHAnsi"/>
          <w:sz w:val="22"/>
          <w:lang w:val="hu-HU"/>
        </w:rPr>
      </w:pPr>
      <w:r>
        <w:rPr>
          <w:rFonts w:eastAsia="Times New Roman" w:cstheme="minorHAnsi"/>
          <w:sz w:val="22"/>
          <w:lang w:val="hu-HU"/>
        </w:rPr>
        <w:t>680/2014 számú EU bizottsági végrehajtási rendelet: az intézmények 575/2013/EU európai parlamenti és tanácsi rendelet szerinti felügyeleti adatszolgáltatása tekintetében végrehajtás-technikai standardok megállapításáról szóló rendelet</w:t>
      </w:r>
    </w:p>
    <w:p w14:paraId="2678CA42" w14:textId="77777777" w:rsidR="00B07BC3" w:rsidRDefault="00B07BC3" w:rsidP="00270638">
      <w:pPr>
        <w:pStyle w:val="Heading2"/>
        <w:ind w:left="360" w:hanging="360"/>
      </w:pPr>
      <w:bookmarkStart w:id="18" w:name="_Toc153188948"/>
      <w:r w:rsidRPr="001E0579">
        <w:t>Konvenciók</w:t>
      </w:r>
      <w:bookmarkEnd w:id="18"/>
    </w:p>
    <w:p w14:paraId="02F3FBEE" w14:textId="77777777" w:rsidR="0021309A" w:rsidRPr="00990625" w:rsidRDefault="0021309A" w:rsidP="00270638">
      <w:pPr>
        <w:pStyle w:val="ListParagraph"/>
        <w:numPr>
          <w:ilvl w:val="0"/>
          <w:numId w:val="20"/>
        </w:numPr>
        <w:ind w:left="1170" w:right="-3139"/>
        <w:textAlignment w:val="center"/>
        <w:rPr>
          <w:rFonts w:eastAsia="Times New Roman" w:cstheme="minorHAnsi"/>
          <w:sz w:val="22"/>
          <w:lang w:val="hu-HU"/>
        </w:rPr>
      </w:pPr>
      <w:r w:rsidRPr="00990625">
        <w:rPr>
          <w:rFonts w:eastAsia="Times New Roman" w:cstheme="minorHAnsi"/>
          <w:sz w:val="22"/>
          <w:lang w:val="hu-HU"/>
        </w:rPr>
        <w:t>Az adatmező típusa</w:t>
      </w:r>
    </w:p>
    <w:p w14:paraId="6514848B" w14:textId="77777777" w:rsidR="00B7138A" w:rsidRPr="00B7138A" w:rsidRDefault="000221BA" w:rsidP="00270638">
      <w:pPr>
        <w:numPr>
          <w:ilvl w:val="2"/>
          <w:numId w:val="16"/>
        </w:numPr>
        <w:ind w:left="1714" w:right="-3139"/>
        <w:textAlignment w:val="center"/>
        <w:rPr>
          <w:rFonts w:eastAsia="Times New Roman" w:cstheme="minorHAnsi"/>
          <w:sz w:val="22"/>
          <w:lang w:val="hu-HU"/>
        </w:rPr>
      </w:pPr>
      <w:r>
        <w:rPr>
          <w:rFonts w:eastAsia="Times New Roman" w:cstheme="minorHAnsi"/>
          <w:sz w:val="22"/>
          <w:lang w:val="hu-HU"/>
        </w:rPr>
        <w:t>Ha</w:t>
      </w:r>
      <w:r w:rsidR="00744154">
        <w:rPr>
          <w:rFonts w:eastAsia="Times New Roman" w:cstheme="minorHAnsi"/>
          <w:sz w:val="22"/>
          <w:lang w:val="hu-HU"/>
        </w:rPr>
        <w:t xml:space="preserve"> </w:t>
      </w:r>
      <w:r w:rsidR="00B7138A" w:rsidRPr="00B7138A">
        <w:rPr>
          <w:rFonts w:eastAsia="Times New Roman" w:cstheme="minorHAnsi"/>
          <w:sz w:val="22"/>
          <w:lang w:val="hu-HU"/>
        </w:rPr>
        <w:t>a mező típusa legördülő</w:t>
      </w:r>
      <w:r w:rsidR="003E5991">
        <w:rPr>
          <w:rFonts w:eastAsia="Times New Roman" w:cstheme="minorHAnsi"/>
          <w:sz w:val="22"/>
          <w:lang w:val="hu-HU"/>
        </w:rPr>
        <w:t xml:space="preserve"> lista</w:t>
      </w:r>
      <w:r w:rsidR="00B7138A" w:rsidRPr="00B7138A">
        <w:rPr>
          <w:rFonts w:eastAsia="Times New Roman" w:cstheme="minorHAnsi"/>
          <w:sz w:val="22"/>
          <w:lang w:val="hu-HU"/>
        </w:rPr>
        <w:t>, a megjelenő listából kiválasztható az adatmezőre vonatkozó megfelelő opció</w:t>
      </w:r>
    </w:p>
    <w:p w14:paraId="5F2DB358" w14:textId="77777777" w:rsidR="00B7138A" w:rsidRDefault="00B7138A" w:rsidP="00270638">
      <w:pPr>
        <w:numPr>
          <w:ilvl w:val="2"/>
          <w:numId w:val="16"/>
        </w:numPr>
        <w:ind w:left="1714" w:right="-3139"/>
        <w:textAlignment w:val="center"/>
        <w:rPr>
          <w:rFonts w:eastAsia="Times New Roman" w:cstheme="minorHAnsi"/>
          <w:sz w:val="22"/>
          <w:lang w:val="hu-HU"/>
        </w:rPr>
      </w:pPr>
      <w:r w:rsidRPr="00B7138A">
        <w:rPr>
          <w:rFonts w:eastAsia="Times New Roman" w:cstheme="minorHAnsi"/>
          <w:sz w:val="22"/>
          <w:lang w:val="hu-HU"/>
        </w:rPr>
        <w:t xml:space="preserve">Ha a mező típusa alfanumerikus, az adatmezőbe </w:t>
      </w:r>
      <w:r w:rsidR="00BB41B8">
        <w:rPr>
          <w:rFonts w:eastAsia="Times New Roman" w:cstheme="minorHAnsi"/>
          <w:sz w:val="22"/>
          <w:lang w:val="hu-HU"/>
        </w:rPr>
        <w:t>betű</w:t>
      </w:r>
      <w:r w:rsidR="001546B0">
        <w:rPr>
          <w:rFonts w:eastAsia="Times New Roman" w:cstheme="minorHAnsi"/>
          <w:sz w:val="22"/>
          <w:lang w:val="hu-HU"/>
        </w:rPr>
        <w:t>-</w:t>
      </w:r>
      <w:r w:rsidR="00BB41B8">
        <w:rPr>
          <w:rFonts w:eastAsia="Times New Roman" w:cstheme="minorHAnsi"/>
          <w:sz w:val="22"/>
          <w:lang w:val="hu-HU"/>
        </w:rPr>
        <w:t xml:space="preserve"> és szám karakterek írandók </w:t>
      </w:r>
      <w:r w:rsidRPr="00B7138A">
        <w:rPr>
          <w:rFonts w:eastAsia="Times New Roman" w:cstheme="minorHAnsi"/>
          <w:sz w:val="22"/>
          <w:lang w:val="hu-HU"/>
        </w:rPr>
        <w:t>be</w:t>
      </w:r>
      <w:r w:rsidR="006B1D7B">
        <w:rPr>
          <w:rFonts w:eastAsia="Times New Roman" w:cstheme="minorHAnsi"/>
          <w:sz w:val="22"/>
          <w:lang w:val="hu-HU"/>
        </w:rPr>
        <w:t xml:space="preserve"> (</w:t>
      </w:r>
      <w:r w:rsidR="000D0919">
        <w:rPr>
          <w:rFonts w:eastAsia="Times New Roman" w:cstheme="minorHAnsi"/>
          <w:sz w:val="22"/>
          <w:lang w:val="hu-HU"/>
        </w:rPr>
        <w:t>az angol abc betűinek, valamint az a</w:t>
      </w:r>
      <w:r w:rsidR="008C3846">
        <w:rPr>
          <w:rFonts w:eastAsia="Times New Roman" w:cstheme="minorHAnsi"/>
          <w:sz w:val="22"/>
          <w:lang w:val="hu-HU"/>
        </w:rPr>
        <w:t>rab számok, 0-9 kombinációja)</w:t>
      </w:r>
    </w:p>
    <w:p w14:paraId="7746288F" w14:textId="77777777" w:rsidR="00BD158D" w:rsidRPr="00B7138A" w:rsidRDefault="00BD158D" w:rsidP="00270638">
      <w:pPr>
        <w:numPr>
          <w:ilvl w:val="2"/>
          <w:numId w:val="16"/>
        </w:numPr>
        <w:ind w:left="1714" w:right="-3139"/>
        <w:textAlignment w:val="center"/>
        <w:rPr>
          <w:rFonts w:eastAsia="Times New Roman" w:cstheme="minorHAnsi"/>
          <w:sz w:val="22"/>
          <w:lang w:val="hu-HU"/>
        </w:rPr>
      </w:pPr>
      <w:r>
        <w:rPr>
          <w:rFonts w:eastAsia="Times New Roman" w:cstheme="minorHAnsi"/>
          <w:sz w:val="22"/>
          <w:lang w:val="hu-HU"/>
        </w:rPr>
        <w:t>Ha a mező t</w:t>
      </w:r>
      <w:r w:rsidR="00E11813">
        <w:rPr>
          <w:rFonts w:eastAsia="Times New Roman" w:cstheme="minorHAnsi"/>
          <w:sz w:val="22"/>
          <w:lang w:val="hu-HU"/>
        </w:rPr>
        <w:t xml:space="preserve">ípusa alfabetikus, a </w:t>
      </w:r>
      <w:r w:rsidR="00946EF0">
        <w:rPr>
          <w:rFonts w:eastAsia="Times New Roman" w:cstheme="minorHAnsi"/>
          <w:sz w:val="22"/>
          <w:lang w:val="hu-HU"/>
        </w:rPr>
        <w:t>magyar</w:t>
      </w:r>
      <w:r w:rsidR="00E11813">
        <w:rPr>
          <w:rFonts w:eastAsia="Times New Roman" w:cstheme="minorHAnsi"/>
          <w:sz w:val="22"/>
          <w:lang w:val="hu-HU"/>
        </w:rPr>
        <w:t xml:space="preserve"> abc </w:t>
      </w:r>
      <w:r w:rsidR="00AA24F2">
        <w:rPr>
          <w:rFonts w:eastAsia="Times New Roman" w:cstheme="minorHAnsi"/>
          <w:sz w:val="22"/>
          <w:lang w:val="hu-HU"/>
        </w:rPr>
        <w:t>betűivel</w:t>
      </w:r>
      <w:r w:rsidR="00E11813">
        <w:rPr>
          <w:rFonts w:eastAsia="Times New Roman" w:cstheme="minorHAnsi"/>
          <w:sz w:val="22"/>
          <w:lang w:val="hu-HU"/>
        </w:rPr>
        <w:t xml:space="preserve"> / szabad szöveggel szükséges kitölteni az adatmezőt</w:t>
      </w:r>
    </w:p>
    <w:p w14:paraId="598EDDE0" w14:textId="77777777" w:rsidR="00B7138A" w:rsidRPr="00B7138A" w:rsidRDefault="00B7138A" w:rsidP="00270638">
      <w:pPr>
        <w:numPr>
          <w:ilvl w:val="2"/>
          <w:numId w:val="16"/>
        </w:numPr>
        <w:ind w:left="1714" w:right="-3139"/>
        <w:textAlignment w:val="center"/>
        <w:rPr>
          <w:rFonts w:eastAsia="Times New Roman" w:cstheme="minorHAnsi"/>
          <w:sz w:val="22"/>
          <w:lang w:val="hu-HU"/>
        </w:rPr>
      </w:pPr>
      <w:r w:rsidRPr="00B7138A">
        <w:rPr>
          <w:rFonts w:eastAsia="Times New Roman" w:cstheme="minorHAnsi"/>
          <w:sz w:val="22"/>
          <w:lang w:val="hu-HU"/>
        </w:rPr>
        <w:t>Ha a mező típusa numerikus, két tizedesjegyig kifejezett számmal kitöltendő</w:t>
      </w:r>
    </w:p>
    <w:p w14:paraId="58E2B1D1" w14:textId="77777777" w:rsidR="00B7138A" w:rsidRPr="00B7138A" w:rsidRDefault="00B7138A" w:rsidP="00270638">
      <w:pPr>
        <w:numPr>
          <w:ilvl w:val="2"/>
          <w:numId w:val="16"/>
        </w:numPr>
        <w:ind w:left="1714" w:right="-3139"/>
        <w:textAlignment w:val="center"/>
        <w:rPr>
          <w:rFonts w:eastAsia="Times New Roman" w:cstheme="minorHAnsi"/>
          <w:sz w:val="22"/>
          <w:lang w:val="hu-HU"/>
        </w:rPr>
      </w:pPr>
      <w:r w:rsidRPr="00B7138A">
        <w:rPr>
          <w:rFonts w:eastAsia="Times New Roman" w:cstheme="minorHAnsi"/>
          <w:sz w:val="22"/>
          <w:lang w:val="hu-HU"/>
        </w:rPr>
        <w:t>Ha a mező típusa százalék, két tizedesjegyig kifejezett százalékkal kitöltendő</w:t>
      </w:r>
    </w:p>
    <w:p w14:paraId="0BCC77CB" w14:textId="77777777" w:rsidR="00B7138A" w:rsidRPr="00B7138A" w:rsidRDefault="00B7138A" w:rsidP="00270638">
      <w:pPr>
        <w:numPr>
          <w:ilvl w:val="2"/>
          <w:numId w:val="16"/>
        </w:numPr>
        <w:ind w:left="1714" w:right="-3139"/>
        <w:textAlignment w:val="center"/>
        <w:rPr>
          <w:rFonts w:eastAsia="Times New Roman" w:cstheme="minorHAnsi"/>
          <w:sz w:val="22"/>
          <w:lang w:val="hu-HU"/>
        </w:rPr>
      </w:pPr>
      <w:r w:rsidRPr="00B7138A">
        <w:rPr>
          <w:rFonts w:eastAsia="Times New Roman" w:cstheme="minorHAnsi"/>
          <w:sz w:val="22"/>
          <w:lang w:val="hu-HU"/>
        </w:rPr>
        <w:t xml:space="preserve">Ha a mező típusa dátum, a </w:t>
      </w:r>
      <w:r w:rsidR="00A53E25" w:rsidRPr="00B7138A">
        <w:rPr>
          <w:rFonts w:eastAsia="Times New Roman" w:cstheme="minorHAnsi"/>
          <w:sz w:val="22"/>
          <w:lang w:val="hu-HU"/>
        </w:rPr>
        <w:t>[</w:t>
      </w:r>
      <w:proofErr w:type="spellStart"/>
      <w:r w:rsidR="00A53E25" w:rsidRPr="00B7138A">
        <w:rPr>
          <w:rFonts w:eastAsia="Times New Roman" w:cstheme="minorHAnsi"/>
          <w:sz w:val="22"/>
          <w:lang w:val="hu-HU"/>
        </w:rPr>
        <w:t>DD</w:t>
      </w:r>
      <w:proofErr w:type="spellEnd"/>
      <w:r w:rsidR="00A53E25">
        <w:rPr>
          <w:rFonts w:eastAsia="Times New Roman" w:cstheme="minorHAnsi"/>
          <w:sz w:val="22"/>
          <w:lang w:val="hu-HU"/>
        </w:rPr>
        <w:t>/MM/</w:t>
      </w:r>
      <w:proofErr w:type="spellStart"/>
      <w:r w:rsidR="00A53E25">
        <w:rPr>
          <w:rFonts w:eastAsia="Times New Roman" w:cstheme="minorHAnsi"/>
          <w:sz w:val="22"/>
          <w:lang w:val="hu-HU"/>
        </w:rPr>
        <w:t>YY</w:t>
      </w:r>
      <w:proofErr w:type="spellEnd"/>
      <w:r w:rsidR="00A53E25" w:rsidRPr="00B7138A">
        <w:rPr>
          <w:rFonts w:eastAsia="Times New Roman" w:cstheme="minorHAnsi"/>
          <w:sz w:val="22"/>
          <w:lang w:val="hu-HU"/>
        </w:rPr>
        <w:t>]</w:t>
      </w:r>
      <w:r w:rsidRPr="00B7138A">
        <w:rPr>
          <w:rFonts w:eastAsia="Times New Roman" w:cstheme="minorHAnsi"/>
          <w:sz w:val="22"/>
          <w:lang w:val="hu-HU"/>
        </w:rPr>
        <w:t xml:space="preserve"> formátum használandó</w:t>
      </w:r>
    </w:p>
    <w:p w14:paraId="3E1C6A8F" w14:textId="77777777" w:rsidR="00B7138A" w:rsidRPr="00B7138A" w:rsidRDefault="00B7138A" w:rsidP="00270638">
      <w:pPr>
        <w:numPr>
          <w:ilvl w:val="2"/>
          <w:numId w:val="16"/>
        </w:numPr>
        <w:ind w:left="1714" w:right="-3139"/>
        <w:textAlignment w:val="center"/>
        <w:rPr>
          <w:rFonts w:eastAsia="Times New Roman" w:cstheme="minorHAnsi"/>
          <w:sz w:val="22"/>
          <w:lang w:val="hu-HU"/>
        </w:rPr>
      </w:pPr>
      <w:r w:rsidRPr="00B7138A">
        <w:rPr>
          <w:rFonts w:eastAsia="Times New Roman" w:cstheme="minorHAnsi"/>
          <w:sz w:val="22"/>
          <w:lang w:val="hu-HU"/>
        </w:rPr>
        <w:t>Ha a mező típusa évszám, a [</w:t>
      </w:r>
      <w:proofErr w:type="spellStart"/>
      <w:r w:rsidRPr="00B7138A">
        <w:rPr>
          <w:rFonts w:eastAsia="Times New Roman" w:cstheme="minorHAnsi"/>
          <w:sz w:val="22"/>
          <w:lang w:val="hu-HU"/>
        </w:rPr>
        <w:t>YYYY</w:t>
      </w:r>
      <w:proofErr w:type="spellEnd"/>
      <w:r w:rsidRPr="00B7138A">
        <w:rPr>
          <w:rFonts w:eastAsia="Times New Roman" w:cstheme="minorHAnsi"/>
          <w:sz w:val="22"/>
          <w:lang w:val="hu-HU"/>
        </w:rPr>
        <w:t>] formátum használandó</w:t>
      </w:r>
    </w:p>
    <w:p w14:paraId="6330B22F" w14:textId="77777777" w:rsidR="00B7138A" w:rsidRDefault="00B7138A" w:rsidP="00270638">
      <w:pPr>
        <w:numPr>
          <w:ilvl w:val="2"/>
          <w:numId w:val="16"/>
        </w:numPr>
        <w:ind w:left="1710" w:right="-3139"/>
        <w:textAlignment w:val="center"/>
        <w:rPr>
          <w:rFonts w:eastAsia="Times New Roman" w:cstheme="minorHAnsi"/>
          <w:sz w:val="22"/>
          <w:lang w:val="hu-HU"/>
        </w:rPr>
      </w:pPr>
      <w:r w:rsidRPr="00B7138A">
        <w:rPr>
          <w:rFonts w:eastAsia="Times New Roman" w:cstheme="minorHAnsi"/>
          <w:sz w:val="22"/>
          <w:lang w:val="hu-HU"/>
        </w:rPr>
        <w:t xml:space="preserve">Ahol a mező típusa </w:t>
      </w:r>
      <w:proofErr w:type="spellStart"/>
      <w:r w:rsidR="00F50D5D">
        <w:rPr>
          <w:rFonts w:eastAsia="Times New Roman" w:cstheme="minorHAnsi"/>
          <w:sz w:val="22"/>
          <w:lang w:val="hu-HU"/>
        </w:rPr>
        <w:t>marzs</w:t>
      </w:r>
      <w:proofErr w:type="spellEnd"/>
      <w:r w:rsidRPr="00B7138A">
        <w:rPr>
          <w:rFonts w:eastAsia="Times New Roman" w:cstheme="minorHAnsi"/>
          <w:sz w:val="22"/>
          <w:lang w:val="hu-HU"/>
        </w:rPr>
        <w:t xml:space="preserve"> vagy felár, bázispontokban kifejezett értékeket szükséges megadni</w:t>
      </w:r>
    </w:p>
    <w:p w14:paraId="5E30A4CA" w14:textId="77777777" w:rsidR="000374B4" w:rsidRDefault="000374B4" w:rsidP="00270638">
      <w:pPr>
        <w:pStyle w:val="ListParagraph"/>
        <w:numPr>
          <w:ilvl w:val="0"/>
          <w:numId w:val="20"/>
        </w:numPr>
        <w:ind w:left="1170" w:right="-3139"/>
        <w:contextualSpacing w:val="0"/>
        <w:textAlignment w:val="center"/>
        <w:rPr>
          <w:rFonts w:eastAsia="Times New Roman" w:cstheme="minorHAnsi"/>
          <w:sz w:val="22"/>
          <w:lang w:val="hu-HU"/>
        </w:rPr>
      </w:pPr>
      <w:r w:rsidRPr="002633E4">
        <w:rPr>
          <w:rFonts w:eastAsia="Times New Roman" w:cstheme="minorHAnsi"/>
          <w:sz w:val="22"/>
          <w:lang w:val="hu-HU"/>
        </w:rPr>
        <w:t>Hiányzó adatok esetében a következő</w:t>
      </w:r>
      <w:r w:rsidR="000F46E4">
        <w:rPr>
          <w:rFonts w:eastAsia="Times New Roman" w:cstheme="minorHAnsi"/>
          <w:sz w:val="22"/>
          <w:lang w:val="hu-HU"/>
        </w:rPr>
        <w:t xml:space="preserve"> „nin</w:t>
      </w:r>
      <w:r w:rsidR="00794C21">
        <w:rPr>
          <w:rFonts w:eastAsia="Times New Roman" w:cstheme="minorHAnsi"/>
          <w:sz w:val="22"/>
          <w:lang w:val="hu-HU"/>
        </w:rPr>
        <w:t>cs adat” („NA”)</w:t>
      </w:r>
      <w:r w:rsidRPr="002633E4">
        <w:rPr>
          <w:rFonts w:eastAsia="Times New Roman" w:cstheme="minorHAnsi"/>
          <w:sz w:val="22"/>
          <w:lang w:val="hu-HU"/>
        </w:rPr>
        <w:t xml:space="preserve"> opciók </w:t>
      </w:r>
      <w:r w:rsidR="00794C21">
        <w:rPr>
          <w:rFonts w:eastAsia="Times New Roman" w:cstheme="minorHAnsi"/>
          <w:sz w:val="22"/>
          <w:lang w:val="hu-HU"/>
        </w:rPr>
        <w:t>közül szükséges kiválasztani a legmegfelelőbbet</w:t>
      </w:r>
      <w:r>
        <w:rPr>
          <w:rFonts w:eastAsia="Times New Roman" w:cstheme="minorHAnsi"/>
          <w:sz w:val="22"/>
          <w:lang w:val="hu-HU"/>
        </w:rPr>
        <w:t>:</w:t>
      </w:r>
    </w:p>
    <w:p w14:paraId="0B2ED2EC" w14:textId="77777777" w:rsidR="000374B4" w:rsidRDefault="000374B4" w:rsidP="00270638">
      <w:pPr>
        <w:pStyle w:val="ListParagraph"/>
        <w:numPr>
          <w:ilvl w:val="2"/>
          <w:numId w:val="16"/>
        </w:numPr>
        <w:ind w:left="1710" w:right="-3139"/>
        <w:contextualSpacing w:val="0"/>
        <w:textAlignment w:val="center"/>
        <w:rPr>
          <w:rFonts w:eastAsia="Times New Roman" w:cstheme="minorHAnsi"/>
          <w:sz w:val="22"/>
          <w:lang w:val="hu-HU"/>
        </w:rPr>
      </w:pPr>
      <w:r>
        <w:rPr>
          <w:rFonts w:eastAsia="Times New Roman" w:cstheme="minorHAnsi"/>
          <w:sz w:val="22"/>
          <w:lang w:val="hu-HU"/>
        </w:rPr>
        <w:t>N</w:t>
      </w:r>
      <w:r w:rsidR="00794C21">
        <w:rPr>
          <w:rFonts w:eastAsia="Times New Roman" w:cstheme="minorHAnsi"/>
          <w:sz w:val="22"/>
          <w:lang w:val="hu-HU"/>
        </w:rPr>
        <w:t>A</w:t>
      </w:r>
      <w:r>
        <w:rPr>
          <w:rFonts w:eastAsia="Times New Roman" w:cstheme="minorHAnsi"/>
          <w:sz w:val="22"/>
          <w:lang w:val="hu-HU"/>
        </w:rPr>
        <w:t>1: az adat nem áll rendelkezésre, mert a mögöttes</w:t>
      </w:r>
      <w:r w:rsidR="00DA6998">
        <w:rPr>
          <w:rFonts w:eastAsia="Times New Roman" w:cstheme="minorHAnsi"/>
          <w:sz w:val="22"/>
          <w:lang w:val="hu-HU"/>
        </w:rPr>
        <w:t xml:space="preserve"> szerződéskötési és egyéb</w:t>
      </w:r>
      <w:r>
        <w:rPr>
          <w:rFonts w:eastAsia="Times New Roman" w:cstheme="minorHAnsi"/>
          <w:sz w:val="22"/>
          <w:lang w:val="hu-HU"/>
        </w:rPr>
        <w:t xml:space="preserve"> kritériumok </w:t>
      </w:r>
      <w:r w:rsidR="00DA6998">
        <w:rPr>
          <w:rFonts w:eastAsia="Times New Roman" w:cstheme="minorHAnsi"/>
          <w:sz w:val="22"/>
          <w:lang w:val="hu-HU"/>
        </w:rPr>
        <w:t xml:space="preserve">nem írják elő a </w:t>
      </w:r>
      <w:r>
        <w:rPr>
          <w:rFonts w:eastAsia="Times New Roman" w:cstheme="minorHAnsi"/>
          <w:sz w:val="22"/>
          <w:lang w:val="hu-HU"/>
        </w:rPr>
        <w:t>gyűjt</w:t>
      </w:r>
      <w:r w:rsidR="00DA6998">
        <w:rPr>
          <w:rFonts w:eastAsia="Times New Roman" w:cstheme="minorHAnsi"/>
          <w:sz w:val="22"/>
          <w:lang w:val="hu-HU"/>
        </w:rPr>
        <w:t>ését</w:t>
      </w:r>
    </w:p>
    <w:p w14:paraId="1E5E4CAD" w14:textId="77777777" w:rsidR="000374B4" w:rsidRDefault="000374B4" w:rsidP="00270638">
      <w:pPr>
        <w:pStyle w:val="ListParagraph"/>
        <w:numPr>
          <w:ilvl w:val="2"/>
          <w:numId w:val="16"/>
        </w:numPr>
        <w:ind w:left="1710" w:right="-3139"/>
        <w:contextualSpacing w:val="0"/>
        <w:textAlignment w:val="center"/>
        <w:rPr>
          <w:rFonts w:eastAsia="Times New Roman" w:cstheme="minorHAnsi"/>
          <w:sz w:val="22"/>
          <w:lang w:val="hu-HU"/>
        </w:rPr>
      </w:pPr>
      <w:r>
        <w:rPr>
          <w:rFonts w:eastAsia="Times New Roman" w:cstheme="minorHAnsi"/>
          <w:sz w:val="22"/>
          <w:lang w:val="hu-HU"/>
        </w:rPr>
        <w:t>N</w:t>
      </w:r>
      <w:r w:rsidR="00794C21">
        <w:rPr>
          <w:rFonts w:eastAsia="Times New Roman" w:cstheme="minorHAnsi"/>
          <w:sz w:val="22"/>
          <w:lang w:val="hu-HU"/>
        </w:rPr>
        <w:t>A</w:t>
      </w:r>
      <w:r>
        <w:rPr>
          <w:rFonts w:eastAsia="Times New Roman" w:cstheme="minorHAnsi"/>
          <w:sz w:val="22"/>
          <w:lang w:val="hu-HU"/>
        </w:rPr>
        <w:t xml:space="preserve">2: az adat rendelkezésre áll, de nem kerül </w:t>
      </w:r>
      <w:r w:rsidR="00512013">
        <w:rPr>
          <w:rFonts w:eastAsia="Times New Roman" w:cstheme="minorHAnsi"/>
          <w:sz w:val="22"/>
          <w:lang w:val="hu-HU"/>
        </w:rPr>
        <w:t>feltöltésre a</w:t>
      </w:r>
      <w:r w:rsidR="009B7A1F">
        <w:rPr>
          <w:rFonts w:eastAsia="Times New Roman" w:cstheme="minorHAnsi"/>
          <w:sz w:val="22"/>
          <w:lang w:val="hu-HU"/>
        </w:rPr>
        <w:t>z</w:t>
      </w:r>
      <w:r w:rsidR="00512013">
        <w:rPr>
          <w:rFonts w:eastAsia="Times New Roman" w:cstheme="minorHAnsi"/>
          <w:sz w:val="22"/>
          <w:lang w:val="hu-HU"/>
        </w:rPr>
        <w:t xml:space="preserve"> </w:t>
      </w:r>
      <w:r w:rsidR="009B7A1F">
        <w:rPr>
          <w:rFonts w:eastAsia="Times New Roman" w:cstheme="minorHAnsi"/>
          <w:sz w:val="22"/>
          <w:lang w:val="hu-HU"/>
        </w:rPr>
        <w:t xml:space="preserve">intézmény </w:t>
      </w:r>
      <w:r w:rsidR="00512013">
        <w:rPr>
          <w:rFonts w:eastAsia="Times New Roman" w:cstheme="minorHAnsi"/>
          <w:sz w:val="22"/>
          <w:lang w:val="hu-HU"/>
        </w:rPr>
        <w:t>rendszere</w:t>
      </w:r>
      <w:r w:rsidR="009B7A1F">
        <w:rPr>
          <w:rFonts w:eastAsia="Times New Roman" w:cstheme="minorHAnsi"/>
          <w:sz w:val="22"/>
          <w:lang w:val="hu-HU"/>
        </w:rPr>
        <w:t>i</w:t>
      </w:r>
      <w:r w:rsidR="00512013">
        <w:rPr>
          <w:rFonts w:eastAsia="Times New Roman" w:cstheme="minorHAnsi"/>
          <w:sz w:val="22"/>
          <w:lang w:val="hu-HU"/>
        </w:rPr>
        <w:t>be</w:t>
      </w:r>
    </w:p>
    <w:p w14:paraId="22B05161" w14:textId="77777777" w:rsidR="000374B4" w:rsidRDefault="000374B4" w:rsidP="00270638">
      <w:pPr>
        <w:pStyle w:val="ListParagraph"/>
        <w:numPr>
          <w:ilvl w:val="2"/>
          <w:numId w:val="16"/>
        </w:numPr>
        <w:ind w:left="1710" w:right="-3139"/>
        <w:contextualSpacing w:val="0"/>
        <w:textAlignment w:val="center"/>
        <w:rPr>
          <w:rFonts w:eastAsia="Times New Roman" w:cstheme="minorHAnsi"/>
          <w:sz w:val="22"/>
          <w:lang w:val="hu-HU"/>
        </w:rPr>
      </w:pPr>
      <w:r>
        <w:rPr>
          <w:rFonts w:eastAsia="Times New Roman" w:cstheme="minorHAnsi"/>
          <w:sz w:val="22"/>
          <w:lang w:val="hu-HU"/>
        </w:rPr>
        <w:t>N</w:t>
      </w:r>
      <w:r w:rsidR="00794C21">
        <w:rPr>
          <w:rFonts w:eastAsia="Times New Roman" w:cstheme="minorHAnsi"/>
          <w:sz w:val="22"/>
          <w:lang w:val="hu-HU"/>
        </w:rPr>
        <w:t>A</w:t>
      </w:r>
      <w:r>
        <w:rPr>
          <w:rFonts w:eastAsia="Times New Roman" w:cstheme="minorHAnsi"/>
          <w:sz w:val="22"/>
          <w:lang w:val="hu-HU"/>
        </w:rPr>
        <w:t>3: az adat</w:t>
      </w:r>
      <w:r w:rsidR="008F52DB">
        <w:rPr>
          <w:rFonts w:eastAsia="Times New Roman" w:cstheme="minorHAnsi"/>
          <w:sz w:val="22"/>
          <w:lang w:val="hu-HU"/>
        </w:rPr>
        <w:t xml:space="preserve"> nem áll</w:t>
      </w:r>
      <w:r>
        <w:rPr>
          <w:rFonts w:eastAsia="Times New Roman" w:cstheme="minorHAnsi"/>
          <w:sz w:val="22"/>
          <w:lang w:val="hu-HU"/>
        </w:rPr>
        <w:t xml:space="preserve"> rendelkezésre, </w:t>
      </w:r>
      <w:r w:rsidR="006D6B47">
        <w:rPr>
          <w:rFonts w:eastAsia="Times New Roman" w:cstheme="minorHAnsi"/>
          <w:sz w:val="22"/>
          <w:lang w:val="hu-HU"/>
        </w:rPr>
        <w:t>hiányzó adat</w:t>
      </w:r>
    </w:p>
    <w:p w14:paraId="612EC97B" w14:textId="77777777" w:rsidR="000374B4" w:rsidRDefault="000374B4" w:rsidP="00270638">
      <w:pPr>
        <w:pStyle w:val="ListParagraph"/>
        <w:numPr>
          <w:ilvl w:val="2"/>
          <w:numId w:val="16"/>
        </w:numPr>
        <w:ind w:left="1710" w:right="-3139"/>
        <w:contextualSpacing w:val="0"/>
        <w:textAlignment w:val="center"/>
        <w:rPr>
          <w:rFonts w:eastAsia="Times New Roman" w:cstheme="minorHAnsi"/>
          <w:sz w:val="22"/>
          <w:lang w:val="hu-HU"/>
        </w:rPr>
      </w:pPr>
      <w:r>
        <w:rPr>
          <w:rFonts w:eastAsia="Times New Roman" w:cstheme="minorHAnsi"/>
          <w:sz w:val="22"/>
          <w:lang w:val="hu-HU"/>
        </w:rPr>
        <w:t>N</w:t>
      </w:r>
      <w:r w:rsidR="00794C21">
        <w:rPr>
          <w:rFonts w:eastAsia="Times New Roman" w:cstheme="minorHAnsi"/>
          <w:sz w:val="22"/>
          <w:lang w:val="hu-HU"/>
        </w:rPr>
        <w:t>A</w:t>
      </w:r>
      <w:r>
        <w:rPr>
          <w:rFonts w:eastAsia="Times New Roman" w:cstheme="minorHAnsi"/>
          <w:sz w:val="22"/>
          <w:lang w:val="hu-HU"/>
        </w:rPr>
        <w:t>4-</w:t>
      </w:r>
      <w:r w:rsidR="003D0F12">
        <w:rPr>
          <w:rFonts w:eastAsia="Times New Roman" w:cstheme="minorHAnsi"/>
          <w:sz w:val="22"/>
          <w:lang w:val="hu-HU"/>
        </w:rPr>
        <w:t>DD-</w:t>
      </w:r>
      <w:r>
        <w:rPr>
          <w:rFonts w:eastAsia="Times New Roman" w:cstheme="minorHAnsi"/>
          <w:sz w:val="22"/>
          <w:lang w:val="hu-HU"/>
        </w:rPr>
        <w:t>MM-</w:t>
      </w:r>
      <w:r w:rsidR="003D0F12">
        <w:rPr>
          <w:rFonts w:eastAsia="Times New Roman" w:cstheme="minorHAnsi"/>
          <w:sz w:val="22"/>
          <w:lang w:val="hu-HU"/>
        </w:rPr>
        <w:t>YY</w:t>
      </w:r>
      <w:r>
        <w:rPr>
          <w:rFonts w:eastAsia="Times New Roman" w:cstheme="minorHAnsi"/>
          <w:sz w:val="22"/>
          <w:lang w:val="hu-HU"/>
        </w:rPr>
        <w:t xml:space="preserve">: az adat rendelkezésre áll, de csak </w:t>
      </w:r>
      <w:proofErr w:type="spellStart"/>
      <w:r w:rsidR="00A53E25">
        <w:rPr>
          <w:rFonts w:eastAsia="Times New Roman" w:cstheme="minorHAnsi"/>
          <w:sz w:val="22"/>
          <w:lang w:val="hu-HU"/>
        </w:rPr>
        <w:t>DD</w:t>
      </w:r>
      <w:proofErr w:type="spellEnd"/>
      <w:r w:rsidR="00A53E25">
        <w:rPr>
          <w:rFonts w:eastAsia="Times New Roman" w:cstheme="minorHAnsi"/>
          <w:sz w:val="22"/>
          <w:lang w:val="hu-HU"/>
        </w:rPr>
        <w:t>-MM-</w:t>
      </w:r>
      <w:proofErr w:type="spellStart"/>
      <w:r w:rsidR="00A53E25">
        <w:rPr>
          <w:rFonts w:eastAsia="Times New Roman" w:cstheme="minorHAnsi"/>
          <w:sz w:val="22"/>
          <w:lang w:val="hu-HU"/>
        </w:rPr>
        <w:t>YY</w:t>
      </w:r>
      <w:proofErr w:type="spellEnd"/>
      <w:r w:rsidR="00A53E25">
        <w:rPr>
          <w:rFonts w:eastAsia="Times New Roman" w:cstheme="minorHAnsi"/>
          <w:sz w:val="22"/>
          <w:lang w:val="hu-HU"/>
        </w:rPr>
        <w:t xml:space="preserve"> </w:t>
      </w:r>
      <w:r w:rsidR="00646D60">
        <w:rPr>
          <w:rFonts w:eastAsia="Times New Roman" w:cstheme="minorHAnsi"/>
          <w:sz w:val="22"/>
          <w:lang w:val="hu-HU"/>
        </w:rPr>
        <w:t>időponttól</w:t>
      </w:r>
      <w:r>
        <w:rPr>
          <w:rFonts w:eastAsia="Times New Roman" w:cstheme="minorHAnsi"/>
          <w:sz w:val="22"/>
          <w:lang w:val="hu-HU"/>
        </w:rPr>
        <w:t xml:space="preserve"> (</w:t>
      </w:r>
      <w:proofErr w:type="spellStart"/>
      <w:r w:rsidR="00A53E25">
        <w:rPr>
          <w:rFonts w:eastAsia="Times New Roman" w:cstheme="minorHAnsi"/>
          <w:sz w:val="22"/>
          <w:lang w:val="hu-HU"/>
        </w:rPr>
        <w:t>DD</w:t>
      </w:r>
      <w:proofErr w:type="spellEnd"/>
      <w:r w:rsidR="00A53E25">
        <w:rPr>
          <w:rFonts w:eastAsia="Times New Roman" w:cstheme="minorHAnsi"/>
          <w:sz w:val="22"/>
          <w:lang w:val="hu-HU"/>
        </w:rPr>
        <w:t>-MM-</w:t>
      </w:r>
      <w:proofErr w:type="spellStart"/>
      <w:r w:rsidR="00A53E25">
        <w:rPr>
          <w:rFonts w:eastAsia="Times New Roman" w:cstheme="minorHAnsi"/>
          <w:sz w:val="22"/>
          <w:lang w:val="hu-HU"/>
        </w:rPr>
        <w:t>YY</w:t>
      </w:r>
      <w:proofErr w:type="spellEnd"/>
      <w:r w:rsidR="00A53E25">
        <w:rPr>
          <w:rFonts w:eastAsia="Times New Roman" w:cstheme="minorHAnsi"/>
          <w:sz w:val="22"/>
          <w:lang w:val="hu-HU"/>
        </w:rPr>
        <w:t xml:space="preserve"> </w:t>
      </w:r>
      <w:r>
        <w:rPr>
          <w:rFonts w:eastAsia="Times New Roman" w:cstheme="minorHAnsi"/>
          <w:sz w:val="22"/>
          <w:lang w:val="hu-HU"/>
        </w:rPr>
        <w:t>dátumot szükséges megadni)</w:t>
      </w:r>
    </w:p>
    <w:p w14:paraId="5AF46C51" w14:textId="77777777" w:rsidR="000374B4" w:rsidRDefault="000374B4" w:rsidP="00270638">
      <w:pPr>
        <w:pStyle w:val="ListParagraph"/>
        <w:numPr>
          <w:ilvl w:val="2"/>
          <w:numId w:val="16"/>
        </w:numPr>
        <w:ind w:left="1710" w:right="-3139"/>
        <w:contextualSpacing w:val="0"/>
        <w:textAlignment w:val="center"/>
        <w:rPr>
          <w:rFonts w:eastAsia="Times New Roman" w:cstheme="minorHAnsi"/>
          <w:sz w:val="22"/>
          <w:lang w:val="hu-HU"/>
        </w:rPr>
      </w:pPr>
      <w:r>
        <w:rPr>
          <w:rFonts w:eastAsia="Times New Roman" w:cstheme="minorHAnsi"/>
          <w:sz w:val="22"/>
          <w:lang w:val="hu-HU"/>
        </w:rPr>
        <w:lastRenderedPageBreak/>
        <w:t>N</w:t>
      </w:r>
      <w:r w:rsidR="00794C21">
        <w:rPr>
          <w:rFonts w:eastAsia="Times New Roman" w:cstheme="minorHAnsi"/>
          <w:sz w:val="22"/>
          <w:lang w:val="hu-HU"/>
        </w:rPr>
        <w:t>A</w:t>
      </w:r>
      <w:r>
        <w:rPr>
          <w:rFonts w:eastAsia="Times New Roman" w:cstheme="minorHAnsi"/>
          <w:sz w:val="22"/>
          <w:lang w:val="hu-HU"/>
        </w:rPr>
        <w:t xml:space="preserve">5: </w:t>
      </w:r>
      <w:r w:rsidR="000E547C">
        <w:rPr>
          <w:rFonts w:eastAsia="Times New Roman" w:cstheme="minorHAnsi"/>
          <w:sz w:val="22"/>
          <w:lang w:val="hu-HU"/>
        </w:rPr>
        <w:t>adot</w:t>
      </w:r>
      <w:r w:rsidR="00946EF0">
        <w:rPr>
          <w:rFonts w:eastAsia="Times New Roman" w:cstheme="minorHAnsi"/>
          <w:sz w:val="22"/>
          <w:lang w:val="hu-HU"/>
        </w:rPr>
        <w:t>t</w:t>
      </w:r>
      <w:r w:rsidR="000E547C">
        <w:rPr>
          <w:rFonts w:eastAsia="Times New Roman" w:cstheme="minorHAnsi"/>
          <w:sz w:val="22"/>
          <w:lang w:val="hu-HU"/>
        </w:rPr>
        <w:t xml:space="preserve"> kontextusban az adat </w:t>
      </w:r>
      <w:r>
        <w:rPr>
          <w:rFonts w:eastAsia="Times New Roman" w:cstheme="minorHAnsi"/>
          <w:sz w:val="22"/>
          <w:lang w:val="hu-HU"/>
        </w:rPr>
        <w:t>nem releváns</w:t>
      </w:r>
      <w:r w:rsidR="000E547C">
        <w:rPr>
          <w:rFonts w:eastAsia="Times New Roman" w:cstheme="minorHAnsi"/>
          <w:sz w:val="22"/>
          <w:lang w:val="hu-HU"/>
        </w:rPr>
        <w:t>, az adatmező kitöltése nem szükséges</w:t>
      </w:r>
      <w:r w:rsidR="00C90268">
        <w:rPr>
          <w:rFonts w:eastAsia="Times New Roman" w:cstheme="minorHAnsi"/>
          <w:sz w:val="22"/>
          <w:lang w:val="hu-HU"/>
        </w:rPr>
        <w:t xml:space="preserve"> (például fix kamatozású hitel esetében a </w:t>
      </w:r>
      <w:r w:rsidR="007C55B2">
        <w:rPr>
          <w:rFonts w:eastAsia="Times New Roman" w:cstheme="minorHAnsi"/>
          <w:sz w:val="22"/>
          <w:lang w:val="hu-HU"/>
        </w:rPr>
        <w:t>referencia kamat megnevezése)</w:t>
      </w:r>
    </w:p>
    <w:p w14:paraId="6DEC4A32" w14:textId="77777777" w:rsidR="000374B4" w:rsidRPr="00657900" w:rsidRDefault="00C054AC" w:rsidP="00270638">
      <w:pPr>
        <w:pStyle w:val="ListParagraph"/>
        <w:numPr>
          <w:ilvl w:val="0"/>
          <w:numId w:val="20"/>
        </w:numPr>
        <w:ind w:left="1170" w:right="-3139"/>
        <w:contextualSpacing w:val="0"/>
        <w:textAlignment w:val="center"/>
        <w:rPr>
          <w:rFonts w:eastAsia="Times New Roman" w:cstheme="minorHAnsi"/>
          <w:sz w:val="22"/>
          <w:lang w:val="hu-HU"/>
        </w:rPr>
      </w:pPr>
      <w:r>
        <w:rPr>
          <w:rFonts w:eastAsia="Times New Roman" w:cstheme="minorHAnsi"/>
          <w:sz w:val="22"/>
          <w:lang w:val="hu-HU"/>
        </w:rPr>
        <w:t xml:space="preserve">Amennyiben a szolgáltatott érték </w:t>
      </w:r>
      <w:r w:rsidR="00241BFA">
        <w:rPr>
          <w:rFonts w:eastAsia="Times New Roman" w:cstheme="minorHAnsi"/>
          <w:sz w:val="22"/>
          <w:lang w:val="hu-HU"/>
        </w:rPr>
        <w:t xml:space="preserve">nyilvántartása </w:t>
      </w:r>
      <w:r w:rsidR="00A4798C">
        <w:rPr>
          <w:rFonts w:eastAsia="Times New Roman" w:cstheme="minorHAnsi"/>
          <w:sz w:val="22"/>
          <w:lang w:val="hu-HU"/>
        </w:rPr>
        <w:t>külföldi devizában történik, a megfelelő forint összeget</w:t>
      </w:r>
      <w:r w:rsidR="002E0E83">
        <w:rPr>
          <w:rFonts w:eastAsia="Times New Roman" w:cstheme="minorHAnsi"/>
          <w:sz w:val="22"/>
          <w:lang w:val="hu-HU"/>
        </w:rPr>
        <w:t xml:space="preserve"> </w:t>
      </w:r>
      <w:r w:rsidR="002D2D97">
        <w:rPr>
          <w:rFonts w:eastAsia="Times New Roman" w:cstheme="minorHAnsi"/>
          <w:sz w:val="22"/>
          <w:lang w:val="hu-HU"/>
        </w:rPr>
        <w:t xml:space="preserve">szükséges az adattáblákban feltüntetni, külön adatmezőkben </w:t>
      </w:r>
      <w:r w:rsidR="000D76BA">
        <w:rPr>
          <w:rFonts w:eastAsia="Times New Roman" w:cstheme="minorHAnsi"/>
          <w:sz w:val="22"/>
          <w:lang w:val="hu-HU"/>
        </w:rPr>
        <w:t>a devizanemet és az átváltáskori árfolyamot</w:t>
      </w:r>
      <w:r w:rsidR="003E2707">
        <w:rPr>
          <w:rFonts w:eastAsia="Times New Roman" w:cstheme="minorHAnsi"/>
          <w:sz w:val="22"/>
          <w:lang w:val="hu-HU"/>
        </w:rPr>
        <w:t xml:space="preserve">, amely a </w:t>
      </w:r>
      <w:r w:rsidR="00F91996">
        <w:rPr>
          <w:rFonts w:eastAsia="Times New Roman" w:cstheme="minorHAnsi"/>
          <w:sz w:val="22"/>
          <w:lang w:val="hu-HU"/>
        </w:rPr>
        <w:t xml:space="preserve">bank által használt </w:t>
      </w:r>
      <w:r w:rsidR="00955CAE">
        <w:rPr>
          <w:rFonts w:eastAsia="Times New Roman" w:cstheme="minorHAnsi"/>
          <w:sz w:val="22"/>
          <w:lang w:val="hu-HU"/>
        </w:rPr>
        <w:t>deviza</w:t>
      </w:r>
      <w:r w:rsidR="00095B17">
        <w:rPr>
          <w:rFonts w:eastAsia="Times New Roman" w:cstheme="minorHAnsi"/>
          <w:sz w:val="22"/>
          <w:lang w:val="hu-HU"/>
        </w:rPr>
        <w:t>-árfolyam.</w:t>
      </w:r>
    </w:p>
    <w:p w14:paraId="1CE75A26" w14:textId="77777777" w:rsidR="00B07BC3" w:rsidRPr="00B07BC3" w:rsidRDefault="00B07BC3" w:rsidP="00270638">
      <w:pPr>
        <w:pStyle w:val="Heading1"/>
        <w:ind w:left="360" w:hanging="360"/>
      </w:pPr>
      <w:bookmarkStart w:id="19" w:name="_Toc153188949"/>
      <w:r w:rsidRPr="00B07BC3">
        <w:t>Általános elvek és elvárások a jelentési kötelezettség alá tartozó intézményekkel szemben</w:t>
      </w:r>
      <w:bookmarkEnd w:id="19"/>
    </w:p>
    <w:p w14:paraId="727A328D" w14:textId="77777777" w:rsidR="00933DAB" w:rsidRPr="00933DAB" w:rsidRDefault="00933DAB" w:rsidP="00270638">
      <w:pPr>
        <w:pStyle w:val="Heading2"/>
        <w:ind w:left="360" w:hanging="360"/>
      </w:pPr>
      <w:bookmarkStart w:id="20" w:name="_Ref118992838"/>
      <w:bookmarkStart w:id="21" w:name="_Toc153188950"/>
      <w:r w:rsidRPr="00933DAB">
        <w:t>Vezetői információs rendszerekkel szemben támasztott követelmények</w:t>
      </w:r>
      <w:bookmarkEnd w:id="20"/>
      <w:bookmarkEnd w:id="21"/>
    </w:p>
    <w:p w14:paraId="54F247C1" w14:textId="537E1A96" w:rsidR="00C63DA3" w:rsidRDefault="00B22EFC" w:rsidP="00270638">
      <w:pPr>
        <w:ind w:right="-3135"/>
        <w:textAlignment w:val="center"/>
        <w:rPr>
          <w:rFonts w:eastAsia="Times New Roman" w:cstheme="minorHAnsi"/>
          <w:sz w:val="22"/>
          <w:lang w:val="hu-HU"/>
        </w:rPr>
      </w:pPr>
      <w:r>
        <w:rPr>
          <w:rFonts w:eastAsia="Times New Roman" w:cstheme="minorHAnsi"/>
          <w:sz w:val="22"/>
          <w:lang w:val="hu-HU"/>
        </w:rPr>
        <w:t>A</w:t>
      </w:r>
      <w:r w:rsidR="006B5568">
        <w:rPr>
          <w:rFonts w:eastAsia="Times New Roman" w:cstheme="minorHAnsi"/>
          <w:sz w:val="22"/>
          <w:lang w:val="hu-HU"/>
        </w:rPr>
        <w:t xml:space="preserve">z intézményeknek </w:t>
      </w:r>
      <w:r w:rsidR="00FF1234">
        <w:rPr>
          <w:rFonts w:eastAsia="Times New Roman" w:cstheme="minorHAnsi"/>
          <w:sz w:val="22"/>
          <w:lang w:val="hu-HU"/>
        </w:rPr>
        <w:t>t</w:t>
      </w:r>
      <w:r w:rsidR="005C6BE7">
        <w:rPr>
          <w:rFonts w:eastAsia="Times New Roman" w:cstheme="minorHAnsi"/>
          <w:sz w:val="22"/>
          <w:lang w:val="hu-HU"/>
        </w:rPr>
        <w:t>echnikailag is fel kell készülniük a</w:t>
      </w:r>
      <w:r w:rsidR="00FF1234">
        <w:rPr>
          <w:rFonts w:eastAsia="Times New Roman" w:cstheme="minorHAnsi"/>
          <w:sz w:val="22"/>
          <w:lang w:val="hu-HU"/>
        </w:rPr>
        <w:t xml:space="preserve">z értékelés szempontjából </w:t>
      </w:r>
      <w:r w:rsidR="005C6BE7">
        <w:rPr>
          <w:rFonts w:eastAsia="Times New Roman" w:cstheme="minorHAnsi"/>
          <w:sz w:val="22"/>
          <w:lang w:val="hu-HU"/>
        </w:rPr>
        <w:t>releváns adatok szolgáltatására</w:t>
      </w:r>
      <w:r w:rsidR="00FF1234">
        <w:rPr>
          <w:rFonts w:eastAsia="Times New Roman" w:cstheme="minorHAnsi"/>
          <w:sz w:val="22"/>
          <w:lang w:val="hu-HU"/>
        </w:rPr>
        <w:t xml:space="preserve"> a s</w:t>
      </w:r>
      <w:r w:rsidR="004A12D0">
        <w:rPr>
          <w:rFonts w:eastAsia="Times New Roman" w:cstheme="minorHAnsi"/>
          <w:sz w:val="22"/>
          <w:lang w:val="hu-HU"/>
        </w:rPr>
        <w:t>zanálási tervezési időszak</w:t>
      </w:r>
      <w:r w:rsidR="00FF1234">
        <w:rPr>
          <w:rFonts w:eastAsia="Times New Roman" w:cstheme="minorHAnsi"/>
          <w:sz w:val="22"/>
          <w:lang w:val="hu-HU"/>
        </w:rPr>
        <w:t>ban.</w:t>
      </w:r>
      <w:r w:rsidR="008523BA">
        <w:rPr>
          <w:rFonts w:eastAsia="Times New Roman" w:cstheme="minorHAnsi"/>
          <w:sz w:val="22"/>
          <w:lang w:val="hu-HU"/>
        </w:rPr>
        <w:t xml:space="preserve"> A </w:t>
      </w:r>
      <w:proofErr w:type="spellStart"/>
      <w:r w:rsidR="004550F5">
        <w:rPr>
          <w:rFonts w:eastAsia="Times New Roman" w:cstheme="minorHAnsi"/>
          <w:sz w:val="22"/>
          <w:lang w:val="hu-HU"/>
        </w:rPr>
        <w:t>Szantv</w:t>
      </w:r>
      <w:proofErr w:type="spellEnd"/>
      <w:r w:rsidR="004550F5">
        <w:rPr>
          <w:rFonts w:eastAsia="Times New Roman" w:cstheme="minorHAnsi"/>
          <w:sz w:val="22"/>
          <w:lang w:val="hu-HU"/>
        </w:rPr>
        <w:t>. 2. melléklet 8. és 9. pontjai /</w:t>
      </w:r>
      <w:proofErr w:type="spellStart"/>
      <w:r w:rsidR="00924DA4">
        <w:rPr>
          <w:rFonts w:eastAsia="Times New Roman" w:cstheme="minorHAnsi"/>
          <w:sz w:val="22"/>
          <w:lang w:val="hu-HU"/>
        </w:rPr>
        <w:t>BRRD</w:t>
      </w:r>
      <w:proofErr w:type="spellEnd"/>
      <w:r w:rsidR="00FF25AF">
        <w:rPr>
          <w:rFonts w:eastAsia="Times New Roman" w:cstheme="minorHAnsi"/>
          <w:sz w:val="22"/>
          <w:lang w:val="hu-HU"/>
        </w:rPr>
        <w:t xml:space="preserve"> (</w:t>
      </w:r>
      <w:r w:rsidR="006E3856">
        <w:rPr>
          <w:rFonts w:eastAsia="Times New Roman" w:cstheme="minorHAnsi"/>
          <w:sz w:val="22"/>
          <w:lang w:val="hu-HU"/>
        </w:rPr>
        <w:t>M</w:t>
      </w:r>
      <w:r w:rsidR="005D6679">
        <w:rPr>
          <w:rFonts w:eastAsia="Times New Roman" w:cstheme="minorHAnsi"/>
          <w:sz w:val="22"/>
          <w:lang w:val="hu-HU"/>
        </w:rPr>
        <w:t xml:space="preserve">elléklet </w:t>
      </w:r>
      <w:r w:rsidR="006E3856">
        <w:rPr>
          <w:rFonts w:eastAsia="Times New Roman" w:cstheme="minorHAnsi"/>
          <w:sz w:val="22"/>
          <w:lang w:val="hu-HU"/>
        </w:rPr>
        <w:t>C.</w:t>
      </w:r>
      <w:r w:rsidR="005D6679">
        <w:rPr>
          <w:rFonts w:eastAsia="Times New Roman" w:cstheme="minorHAnsi"/>
          <w:sz w:val="22"/>
          <w:lang w:val="hu-HU"/>
        </w:rPr>
        <w:t xml:space="preserve"> sz</w:t>
      </w:r>
      <w:r w:rsidR="006E3856">
        <w:rPr>
          <w:rFonts w:eastAsia="Times New Roman" w:cstheme="minorHAnsi"/>
          <w:sz w:val="22"/>
          <w:lang w:val="hu-HU"/>
        </w:rPr>
        <w:t>akasz</w:t>
      </w:r>
      <w:r w:rsidR="005D6679">
        <w:rPr>
          <w:rFonts w:eastAsia="Times New Roman" w:cstheme="minorHAnsi"/>
          <w:sz w:val="22"/>
          <w:lang w:val="hu-HU"/>
        </w:rPr>
        <w:t>, 9. és 10. bekezdés)</w:t>
      </w:r>
      <w:r w:rsidR="00924DA4">
        <w:rPr>
          <w:rFonts w:eastAsia="Times New Roman" w:cstheme="minorHAnsi"/>
          <w:sz w:val="22"/>
          <w:lang w:val="hu-HU"/>
        </w:rPr>
        <w:t xml:space="preserve"> alapján a szanálási hatóságoknak értékelniük kell az intézmények vezetői információs rendszereit a </w:t>
      </w:r>
      <w:r w:rsidR="007A73F0">
        <w:rPr>
          <w:rFonts w:eastAsia="Times New Roman" w:cstheme="minorHAnsi"/>
          <w:sz w:val="22"/>
          <w:lang w:val="hu-HU"/>
        </w:rPr>
        <w:t>szanálhatósági értékelések keretében</w:t>
      </w:r>
      <w:r w:rsidR="00924DA4">
        <w:rPr>
          <w:rFonts w:eastAsia="Times New Roman" w:cstheme="minorHAnsi"/>
          <w:sz w:val="22"/>
          <w:lang w:val="hu-HU"/>
        </w:rPr>
        <w:t>.</w:t>
      </w:r>
    </w:p>
    <w:p w14:paraId="6DB78CC1" w14:textId="426D7E9F" w:rsidR="00772CDD" w:rsidRDefault="004550F5" w:rsidP="00270638">
      <w:pPr>
        <w:ind w:right="-3139"/>
        <w:textAlignment w:val="center"/>
        <w:rPr>
          <w:rFonts w:eastAsia="Times New Roman" w:cstheme="minorHAnsi"/>
          <w:color w:val="000000" w:themeColor="text1"/>
          <w:sz w:val="22"/>
          <w:lang w:val="hu-HU"/>
        </w:rPr>
      </w:pPr>
      <w:r>
        <w:rPr>
          <w:rFonts w:eastAsia="Times New Roman"/>
          <w:sz w:val="22"/>
          <w:lang w:val="hu-HU"/>
        </w:rPr>
        <w:t>Ennek</w:t>
      </w:r>
      <w:r w:rsidR="0059695F" w:rsidRPr="5DF747FD">
        <w:rPr>
          <w:rFonts w:eastAsia="Times New Roman"/>
          <w:sz w:val="22"/>
          <w:lang w:val="hu-HU"/>
        </w:rPr>
        <w:t xml:space="preserve"> keretében a szanálási feladatkörében eljáró </w:t>
      </w:r>
      <w:r w:rsidR="00DE3CE3">
        <w:rPr>
          <w:rFonts w:eastAsia="Times New Roman"/>
          <w:sz w:val="22"/>
          <w:lang w:val="hu-HU"/>
        </w:rPr>
        <w:t>MNB</w:t>
      </w:r>
      <w:r w:rsidR="00B22EFC">
        <w:rPr>
          <w:rFonts w:eastAsia="Times New Roman"/>
          <w:sz w:val="22"/>
          <w:lang w:val="hu-HU"/>
        </w:rPr>
        <w:t xml:space="preserve"> </w:t>
      </w:r>
      <w:r w:rsidR="0059695F" w:rsidRPr="5DF747FD">
        <w:rPr>
          <w:rFonts w:eastAsia="Times New Roman"/>
          <w:sz w:val="22"/>
          <w:lang w:val="hu-HU"/>
        </w:rPr>
        <w:t xml:space="preserve">értékeli a vezetői információs rendszerek </w:t>
      </w:r>
      <w:r w:rsidR="00D43859" w:rsidRPr="5DF747FD">
        <w:rPr>
          <w:rFonts w:eastAsia="Times New Roman"/>
          <w:sz w:val="22"/>
          <w:lang w:val="hu-HU"/>
        </w:rPr>
        <w:t>arra vonatkozó</w:t>
      </w:r>
      <w:r w:rsidR="0059695F" w:rsidRPr="5DF747FD">
        <w:rPr>
          <w:rFonts w:eastAsia="Times New Roman"/>
          <w:sz w:val="22"/>
          <w:lang w:val="hu-HU"/>
        </w:rPr>
        <w:t xml:space="preserve"> </w:t>
      </w:r>
      <w:r w:rsidR="007C368A" w:rsidRPr="5DF747FD">
        <w:rPr>
          <w:rFonts w:eastAsia="Times New Roman"/>
          <w:sz w:val="22"/>
          <w:lang w:val="hu-HU"/>
        </w:rPr>
        <w:t>kapacitását</w:t>
      </w:r>
      <w:r w:rsidR="0059695F" w:rsidRPr="5DF747FD">
        <w:rPr>
          <w:rFonts w:eastAsia="Times New Roman"/>
          <w:sz w:val="22"/>
          <w:lang w:val="hu-HU"/>
        </w:rPr>
        <w:t>, hogy a</w:t>
      </w:r>
      <w:r w:rsidR="00D43859" w:rsidRPr="5DF747FD">
        <w:rPr>
          <w:rFonts w:eastAsia="Times New Roman"/>
          <w:sz w:val="22"/>
          <w:lang w:val="hu-HU"/>
        </w:rPr>
        <w:t>z intézmény eredményes</w:t>
      </w:r>
      <w:r w:rsidR="0059695F" w:rsidRPr="5DF747FD">
        <w:rPr>
          <w:rFonts w:eastAsia="Times New Roman"/>
          <w:sz w:val="22"/>
          <w:lang w:val="hu-HU"/>
        </w:rPr>
        <w:t xml:space="preserve"> szanálás</w:t>
      </w:r>
      <w:r w:rsidR="00D43859" w:rsidRPr="5DF747FD">
        <w:rPr>
          <w:rFonts w:eastAsia="Times New Roman"/>
          <w:sz w:val="22"/>
          <w:lang w:val="hu-HU"/>
        </w:rPr>
        <w:t>ához</w:t>
      </w:r>
      <w:r w:rsidR="0059695F" w:rsidRPr="5DF747FD">
        <w:rPr>
          <w:rFonts w:eastAsia="Times New Roman"/>
          <w:sz w:val="22"/>
          <w:lang w:val="hu-HU"/>
        </w:rPr>
        <w:t xml:space="preserve"> </w:t>
      </w:r>
      <w:r w:rsidR="00E037D2" w:rsidRPr="5DF747FD">
        <w:rPr>
          <w:rFonts w:eastAsia="Times New Roman"/>
          <w:sz w:val="22"/>
          <w:lang w:val="hu-HU"/>
        </w:rPr>
        <w:t>elengedhetetlen</w:t>
      </w:r>
      <w:r w:rsidR="0059695F" w:rsidRPr="5DF747FD">
        <w:rPr>
          <w:rFonts w:eastAsia="Times New Roman"/>
          <w:sz w:val="22"/>
          <w:lang w:val="hu-HU"/>
        </w:rPr>
        <w:t xml:space="preserve"> információkat mindenkor</w:t>
      </w:r>
      <w:r w:rsidR="00E037D2" w:rsidRPr="5DF747FD">
        <w:rPr>
          <w:rFonts w:eastAsia="Times New Roman"/>
          <w:sz w:val="22"/>
          <w:lang w:val="hu-HU"/>
        </w:rPr>
        <w:t>, akár gyorsan változó körülmények között</w:t>
      </w:r>
      <w:r w:rsidR="00937EFB" w:rsidRPr="5DF747FD">
        <w:rPr>
          <w:rFonts w:eastAsia="Times New Roman"/>
          <w:sz w:val="22"/>
          <w:lang w:val="hu-HU"/>
        </w:rPr>
        <w:t xml:space="preserve"> is</w:t>
      </w:r>
      <w:r w:rsidR="0059695F" w:rsidRPr="5DF747FD">
        <w:rPr>
          <w:rFonts w:eastAsia="Times New Roman"/>
          <w:sz w:val="22"/>
          <w:lang w:val="hu-HU"/>
        </w:rPr>
        <w:t xml:space="preserve"> rendelkezésre tudja bocsátani</w:t>
      </w:r>
      <w:r w:rsidR="00E975C0" w:rsidRPr="5DF747FD">
        <w:rPr>
          <w:rFonts w:eastAsia="Times New Roman"/>
          <w:sz w:val="22"/>
          <w:lang w:val="hu-HU"/>
        </w:rPr>
        <w:t xml:space="preserve"> </w:t>
      </w:r>
      <w:r>
        <w:rPr>
          <w:rFonts w:eastAsia="Times New Roman"/>
          <w:sz w:val="22"/>
          <w:lang w:val="hu-HU"/>
        </w:rPr>
        <w:t>/</w:t>
      </w:r>
      <w:proofErr w:type="spellStart"/>
      <w:r>
        <w:rPr>
          <w:rFonts w:eastAsia="Times New Roman"/>
          <w:sz w:val="22"/>
          <w:lang w:val="hu-HU"/>
        </w:rPr>
        <w:t>Szantv</w:t>
      </w:r>
      <w:proofErr w:type="spellEnd"/>
      <w:r>
        <w:rPr>
          <w:rFonts w:eastAsia="Times New Roman"/>
          <w:sz w:val="22"/>
          <w:lang w:val="hu-HU"/>
        </w:rPr>
        <w:t>. 2. melléklet 9. pont</w:t>
      </w:r>
      <w:r w:rsidR="008524D5">
        <w:rPr>
          <w:rFonts w:eastAsia="Times New Roman"/>
          <w:sz w:val="22"/>
          <w:lang w:val="hu-HU"/>
        </w:rPr>
        <w:t xml:space="preserve"> </w:t>
      </w:r>
      <w:r w:rsidR="00E975C0" w:rsidRPr="5DF747FD">
        <w:rPr>
          <w:rFonts w:eastAsia="Times New Roman"/>
          <w:sz w:val="22"/>
          <w:lang w:val="hu-HU"/>
        </w:rPr>
        <w:t>(</w:t>
      </w:r>
      <w:proofErr w:type="spellStart"/>
      <w:r w:rsidR="00E975C0" w:rsidRPr="5DF747FD">
        <w:rPr>
          <w:rFonts w:eastAsia="Times New Roman"/>
          <w:sz w:val="22"/>
          <w:lang w:val="hu-HU"/>
        </w:rPr>
        <w:t>BRRD</w:t>
      </w:r>
      <w:proofErr w:type="spellEnd"/>
      <w:r w:rsidR="00E975C0" w:rsidRPr="5DF747FD">
        <w:rPr>
          <w:rFonts w:eastAsia="Times New Roman"/>
          <w:sz w:val="22"/>
          <w:lang w:val="hu-HU"/>
        </w:rPr>
        <w:t xml:space="preserve">, Melléklet C. szakasz, 9. </w:t>
      </w:r>
      <w:proofErr w:type="gramStart"/>
      <w:r w:rsidR="00E975C0" w:rsidRPr="5DF747FD">
        <w:rPr>
          <w:rFonts w:eastAsia="Times New Roman"/>
          <w:sz w:val="22"/>
          <w:lang w:val="hu-HU"/>
        </w:rPr>
        <w:t>bekezdés</w:t>
      </w:r>
      <w:r w:rsidR="00E975C0" w:rsidRPr="00DD06D4">
        <w:rPr>
          <w:rFonts w:eastAsia="Times New Roman"/>
          <w:sz w:val="22"/>
          <w:lang w:val="hu-HU"/>
        </w:rPr>
        <w:t>)</w:t>
      </w:r>
      <w:r>
        <w:rPr>
          <w:rFonts w:eastAsia="Times New Roman"/>
          <w:sz w:val="22"/>
          <w:lang w:val="hu-HU"/>
        </w:rPr>
        <w:t>/</w:t>
      </w:r>
      <w:proofErr w:type="gramEnd"/>
      <w:r w:rsidR="0059695F" w:rsidRPr="00DD06D4">
        <w:rPr>
          <w:rFonts w:eastAsia="Times New Roman"/>
          <w:sz w:val="22"/>
          <w:lang w:val="hu-HU"/>
        </w:rPr>
        <w:t>.</w:t>
      </w:r>
      <w:r w:rsidR="000009EA" w:rsidRPr="00DD06D4">
        <w:rPr>
          <w:rFonts w:eastAsia="Times New Roman"/>
          <w:sz w:val="22"/>
          <w:lang w:val="hu-HU"/>
        </w:rPr>
        <w:t xml:space="preserve"> </w:t>
      </w:r>
      <w:bookmarkStart w:id="22" w:name="_Hlk124158783"/>
      <w:r w:rsidR="000009EA" w:rsidRPr="00DD06D4">
        <w:rPr>
          <w:rFonts w:eastAsia="Times New Roman"/>
          <w:sz w:val="22"/>
          <w:lang w:val="hu-HU"/>
        </w:rPr>
        <w:t xml:space="preserve">A szanálási hatóság továbbá azt is </w:t>
      </w:r>
      <w:r w:rsidR="000A2DFC" w:rsidRPr="00DD06D4">
        <w:rPr>
          <w:rFonts w:eastAsia="Times New Roman"/>
          <w:sz w:val="22"/>
          <w:lang w:val="hu-HU"/>
        </w:rPr>
        <w:t>vizsgál</w:t>
      </w:r>
      <w:r w:rsidR="00F70A5E" w:rsidRPr="00DD06D4">
        <w:rPr>
          <w:rFonts w:eastAsia="Times New Roman"/>
          <w:sz w:val="22"/>
          <w:lang w:val="hu-HU"/>
        </w:rPr>
        <w:t>j</w:t>
      </w:r>
      <w:r w:rsidR="000A2DFC" w:rsidRPr="00DD06D4">
        <w:rPr>
          <w:rFonts w:eastAsia="Times New Roman"/>
          <w:sz w:val="22"/>
          <w:lang w:val="hu-HU"/>
        </w:rPr>
        <w:t xml:space="preserve">a, hogy </w:t>
      </w:r>
      <w:r w:rsidR="00147FB1" w:rsidRPr="00DD06D4">
        <w:rPr>
          <w:rFonts w:eastAsia="Times New Roman"/>
          <w:sz w:val="22"/>
          <w:lang w:val="hu-HU"/>
        </w:rPr>
        <w:t xml:space="preserve">milyen mértékig </w:t>
      </w:r>
      <w:r w:rsidR="00CA6D33" w:rsidRPr="00DD06D4">
        <w:rPr>
          <w:rFonts w:eastAsia="Times New Roman"/>
          <w:sz w:val="22"/>
          <w:lang w:val="hu-HU"/>
        </w:rPr>
        <w:t xml:space="preserve">tesztelte az intézmény </w:t>
      </w:r>
      <w:r w:rsidR="002864EB" w:rsidRPr="00DD06D4">
        <w:rPr>
          <w:rFonts w:eastAsia="Times New Roman"/>
          <w:sz w:val="22"/>
          <w:lang w:val="hu-HU"/>
        </w:rPr>
        <w:t>a vezetői információs rendszereit</w:t>
      </w:r>
      <w:r w:rsidR="006C6C79" w:rsidRPr="00DD06D4">
        <w:rPr>
          <w:rFonts w:eastAsia="Times New Roman"/>
          <w:sz w:val="22"/>
          <w:lang w:val="hu-HU"/>
        </w:rPr>
        <w:t xml:space="preserve"> a szanálási </w:t>
      </w:r>
      <w:r w:rsidR="0022021D" w:rsidRPr="00DD06D4">
        <w:rPr>
          <w:rFonts w:eastAsia="Times New Roman"/>
          <w:sz w:val="22"/>
          <w:lang w:val="hu-HU"/>
        </w:rPr>
        <w:t>hatóság által meghatározott</w:t>
      </w:r>
      <w:r w:rsidR="002B3A53" w:rsidRPr="00DD06D4">
        <w:rPr>
          <w:rFonts w:eastAsia="Times New Roman"/>
          <w:sz w:val="22"/>
          <w:lang w:val="hu-HU"/>
        </w:rPr>
        <w:t xml:space="preserve"> stress</w:t>
      </w:r>
      <w:r w:rsidR="006A1E69" w:rsidRPr="00DD06D4">
        <w:rPr>
          <w:rFonts w:eastAsia="Times New Roman"/>
          <w:sz w:val="22"/>
          <w:lang w:val="hu-HU"/>
        </w:rPr>
        <w:t>z</w:t>
      </w:r>
      <w:r w:rsidR="002B3A53" w:rsidRPr="00DD06D4">
        <w:rPr>
          <w:rFonts w:eastAsia="Times New Roman"/>
          <w:sz w:val="22"/>
          <w:lang w:val="hu-HU"/>
        </w:rPr>
        <w:t xml:space="preserve">-forgatókönyvek </w:t>
      </w:r>
      <w:r w:rsidR="0022021D" w:rsidRPr="00DD06D4">
        <w:rPr>
          <w:rFonts w:eastAsia="Times New Roman"/>
          <w:sz w:val="22"/>
          <w:lang w:val="hu-HU"/>
        </w:rPr>
        <w:t>alapján</w:t>
      </w:r>
      <w:bookmarkEnd w:id="22"/>
      <w:r w:rsidR="00CF4093" w:rsidRPr="5DF747FD">
        <w:rPr>
          <w:rFonts w:eastAsia="Times New Roman"/>
          <w:sz w:val="22"/>
          <w:lang w:val="hu-HU"/>
        </w:rPr>
        <w:t>.</w:t>
      </w:r>
      <w:r w:rsidR="00194F1C">
        <w:rPr>
          <w:rFonts w:eastAsia="Times New Roman"/>
          <w:sz w:val="22"/>
          <w:lang w:val="hu-HU"/>
        </w:rPr>
        <w:t xml:space="preserve"> </w:t>
      </w:r>
      <w:r w:rsidR="006750A8" w:rsidRPr="004B61C4">
        <w:rPr>
          <w:rFonts w:eastAsia="Times New Roman" w:cstheme="minorHAnsi"/>
          <w:color w:val="000000" w:themeColor="text1"/>
          <w:sz w:val="22"/>
          <w:lang w:val="hu-HU"/>
        </w:rPr>
        <w:t xml:space="preserve">A </w:t>
      </w:r>
      <w:r w:rsidR="00191C4E" w:rsidRPr="004B61C4">
        <w:rPr>
          <w:rFonts w:eastAsia="Times New Roman" w:cstheme="minorHAnsi"/>
          <w:color w:val="000000" w:themeColor="text1"/>
          <w:sz w:val="22"/>
          <w:lang w:val="hu-HU"/>
        </w:rPr>
        <w:t xml:space="preserve">Bizottság </w:t>
      </w:r>
      <w:r w:rsidR="00BE0715" w:rsidRPr="004B61C4">
        <w:rPr>
          <w:rFonts w:eastAsia="Times New Roman" w:cstheme="minorHAnsi"/>
          <w:color w:val="000000" w:themeColor="text1"/>
          <w:sz w:val="22"/>
          <w:lang w:val="hu-HU"/>
        </w:rPr>
        <w:t>(EU) 2016/1075 felhatalmazáson alapuló rendeletének</w:t>
      </w:r>
      <w:r w:rsidR="006750A8" w:rsidRPr="004B61C4">
        <w:rPr>
          <w:rFonts w:eastAsia="Times New Roman" w:cstheme="minorHAnsi"/>
          <w:color w:val="000000" w:themeColor="text1"/>
          <w:sz w:val="22"/>
          <w:lang w:val="hu-HU"/>
        </w:rPr>
        <w:t xml:space="preserve"> 22</w:t>
      </w:r>
      <w:r w:rsidR="00F505CB">
        <w:rPr>
          <w:rFonts w:eastAsia="Times New Roman" w:cstheme="minorHAnsi"/>
          <w:color w:val="000000" w:themeColor="text1"/>
          <w:sz w:val="22"/>
          <w:lang w:val="hu-HU"/>
        </w:rPr>
        <w:t xml:space="preserve">. cikk </w:t>
      </w:r>
      <w:r w:rsidR="006750A8" w:rsidRPr="004B61C4">
        <w:rPr>
          <w:rFonts w:eastAsia="Times New Roman" w:cstheme="minorHAnsi"/>
          <w:color w:val="000000" w:themeColor="text1"/>
          <w:sz w:val="22"/>
          <w:lang w:val="hu-HU"/>
        </w:rPr>
        <w:t>(3)</w:t>
      </w:r>
      <w:r w:rsidR="00F505CB">
        <w:rPr>
          <w:rFonts w:eastAsia="Times New Roman" w:cstheme="minorHAnsi"/>
          <w:color w:val="000000" w:themeColor="text1"/>
          <w:sz w:val="22"/>
          <w:lang w:val="hu-HU"/>
        </w:rPr>
        <w:t xml:space="preserve"> bekezdés </w:t>
      </w:r>
      <w:r w:rsidR="006750A8" w:rsidRPr="004B61C4">
        <w:rPr>
          <w:rFonts w:eastAsia="Times New Roman" w:cstheme="minorHAnsi"/>
          <w:color w:val="000000" w:themeColor="text1"/>
          <w:sz w:val="22"/>
          <w:lang w:val="hu-HU"/>
        </w:rPr>
        <w:t xml:space="preserve">a) </w:t>
      </w:r>
      <w:r w:rsidR="00F505CB">
        <w:rPr>
          <w:rFonts w:eastAsia="Times New Roman" w:cstheme="minorHAnsi"/>
          <w:color w:val="000000" w:themeColor="text1"/>
          <w:sz w:val="22"/>
          <w:lang w:val="hu-HU"/>
        </w:rPr>
        <w:t>pontja</w:t>
      </w:r>
      <w:r w:rsidR="006750A8" w:rsidRPr="004B61C4">
        <w:rPr>
          <w:rFonts w:eastAsia="Times New Roman" w:cstheme="minorHAnsi"/>
          <w:color w:val="000000" w:themeColor="text1"/>
          <w:sz w:val="22"/>
          <w:lang w:val="hu-HU"/>
        </w:rPr>
        <w:t xml:space="preserve"> előírja, hogy a szanálási terv</w:t>
      </w:r>
      <w:r w:rsidR="007F4EFD" w:rsidRPr="004B61C4">
        <w:rPr>
          <w:rFonts w:eastAsia="Times New Roman" w:cstheme="minorHAnsi"/>
          <w:color w:val="000000" w:themeColor="text1"/>
          <w:sz w:val="22"/>
          <w:lang w:val="hu-HU"/>
        </w:rPr>
        <w:t>nek</w:t>
      </w:r>
      <w:r w:rsidR="006750A8" w:rsidRPr="004B61C4">
        <w:rPr>
          <w:rFonts w:eastAsia="Times New Roman" w:cstheme="minorHAnsi"/>
          <w:color w:val="000000" w:themeColor="text1"/>
          <w:sz w:val="22"/>
          <w:lang w:val="hu-HU"/>
        </w:rPr>
        <w:t xml:space="preserve"> </w:t>
      </w:r>
      <w:r w:rsidR="00E05563" w:rsidRPr="004B61C4">
        <w:rPr>
          <w:rFonts w:eastAsia="Times New Roman" w:cstheme="minorHAnsi"/>
          <w:color w:val="000000" w:themeColor="text1"/>
          <w:sz w:val="22"/>
          <w:lang w:val="hu-HU"/>
        </w:rPr>
        <w:t xml:space="preserve">szükséges </w:t>
      </w:r>
      <w:r w:rsidR="006750A8" w:rsidRPr="004B61C4">
        <w:rPr>
          <w:rFonts w:eastAsia="Times New Roman" w:cstheme="minorHAnsi"/>
          <w:color w:val="000000" w:themeColor="text1"/>
          <w:sz w:val="22"/>
          <w:lang w:val="hu-HU"/>
        </w:rPr>
        <w:t>tartalmaz</w:t>
      </w:r>
      <w:r w:rsidR="004E12DC" w:rsidRPr="004B61C4">
        <w:rPr>
          <w:rFonts w:eastAsia="Times New Roman" w:cstheme="minorHAnsi"/>
          <w:color w:val="000000" w:themeColor="text1"/>
          <w:sz w:val="22"/>
          <w:lang w:val="hu-HU"/>
        </w:rPr>
        <w:t>nia</w:t>
      </w:r>
      <w:r w:rsidR="006750A8" w:rsidRPr="004B61C4">
        <w:rPr>
          <w:rFonts w:eastAsia="Times New Roman" w:cstheme="minorHAnsi"/>
          <w:color w:val="000000" w:themeColor="text1"/>
          <w:sz w:val="22"/>
          <w:lang w:val="hu-HU"/>
        </w:rPr>
        <w:t xml:space="preserve"> legalább “egy magyarázatot az értékeléshez szükséges információk időbeli elérhetőségét biztosító adatok</w:t>
      </w:r>
      <w:r w:rsidR="008E64F5" w:rsidRPr="004B61C4">
        <w:rPr>
          <w:rFonts w:eastAsia="Times New Roman" w:cstheme="minorHAnsi"/>
          <w:color w:val="000000" w:themeColor="text1"/>
          <w:sz w:val="22"/>
          <w:lang w:val="hu-HU"/>
        </w:rPr>
        <w:t>ró</w:t>
      </w:r>
      <w:r w:rsidR="00165681" w:rsidRPr="004B61C4">
        <w:rPr>
          <w:rFonts w:eastAsia="Times New Roman" w:cstheme="minorHAnsi"/>
          <w:color w:val="000000" w:themeColor="text1"/>
          <w:sz w:val="22"/>
          <w:lang w:val="hu-HU"/>
        </w:rPr>
        <w:t>l</w:t>
      </w:r>
      <w:r w:rsidR="008E64F5" w:rsidRPr="004B61C4">
        <w:rPr>
          <w:rFonts w:eastAsia="Times New Roman" w:cstheme="minorHAnsi"/>
          <w:color w:val="000000" w:themeColor="text1"/>
          <w:sz w:val="22"/>
          <w:lang w:val="hu-HU"/>
        </w:rPr>
        <w:t>, információkról</w:t>
      </w:r>
      <w:r w:rsidR="006750A8" w:rsidRPr="004B61C4">
        <w:rPr>
          <w:rFonts w:eastAsia="Times New Roman" w:cstheme="minorHAnsi"/>
          <w:color w:val="000000" w:themeColor="text1"/>
          <w:sz w:val="22"/>
          <w:lang w:val="hu-HU"/>
        </w:rPr>
        <w:t xml:space="preserve"> és folyamatokról, </w:t>
      </w:r>
      <w:r w:rsidR="00165681" w:rsidRPr="004B61C4">
        <w:rPr>
          <w:rFonts w:eastAsia="Times New Roman" w:cstheme="minorHAnsi"/>
          <w:color w:val="000000" w:themeColor="text1"/>
          <w:sz w:val="22"/>
          <w:lang w:val="hu-HU"/>
        </w:rPr>
        <w:t>különösképpen</w:t>
      </w:r>
      <w:r w:rsidR="009E3138" w:rsidRPr="004B61C4">
        <w:rPr>
          <w:rFonts w:eastAsia="Times New Roman" w:cstheme="minorHAnsi"/>
          <w:color w:val="000000" w:themeColor="text1"/>
          <w:sz w:val="22"/>
          <w:lang w:val="hu-HU"/>
        </w:rPr>
        <w:t xml:space="preserve"> </w:t>
      </w:r>
      <w:r w:rsidR="006750A8" w:rsidRPr="004B61C4">
        <w:rPr>
          <w:rFonts w:eastAsia="Times New Roman" w:cstheme="minorHAnsi"/>
          <w:color w:val="000000" w:themeColor="text1"/>
          <w:sz w:val="22"/>
          <w:lang w:val="hu-HU"/>
        </w:rPr>
        <w:t xml:space="preserve">a </w:t>
      </w:r>
      <w:proofErr w:type="spellStart"/>
      <w:r w:rsidR="00B22EFC">
        <w:rPr>
          <w:rFonts w:eastAsia="Times New Roman" w:cstheme="minorHAnsi"/>
          <w:color w:val="000000" w:themeColor="text1"/>
          <w:sz w:val="22"/>
          <w:lang w:val="hu-HU"/>
        </w:rPr>
        <w:t>BRRD</w:t>
      </w:r>
      <w:proofErr w:type="spellEnd"/>
      <w:r w:rsidR="006750A8" w:rsidRPr="004B61C4">
        <w:rPr>
          <w:rFonts w:eastAsia="Times New Roman" w:cstheme="minorHAnsi"/>
          <w:color w:val="000000" w:themeColor="text1"/>
          <w:sz w:val="22"/>
          <w:lang w:val="hu-HU"/>
        </w:rPr>
        <w:t xml:space="preserve"> 36</w:t>
      </w:r>
      <w:r w:rsidR="00235D51" w:rsidRPr="004B61C4">
        <w:rPr>
          <w:rFonts w:eastAsia="Times New Roman" w:cstheme="minorHAnsi"/>
          <w:color w:val="000000" w:themeColor="text1"/>
          <w:sz w:val="22"/>
          <w:lang w:val="hu-HU"/>
        </w:rPr>
        <w:t>.</w:t>
      </w:r>
      <w:r w:rsidR="006750A8" w:rsidRPr="004B61C4">
        <w:rPr>
          <w:rFonts w:eastAsia="Times New Roman" w:cstheme="minorHAnsi"/>
          <w:color w:val="000000" w:themeColor="text1"/>
          <w:sz w:val="22"/>
          <w:lang w:val="hu-HU"/>
        </w:rPr>
        <w:t xml:space="preserve"> és 49</w:t>
      </w:r>
      <w:r w:rsidR="00235D51" w:rsidRPr="004B61C4">
        <w:rPr>
          <w:rFonts w:eastAsia="Times New Roman" w:cstheme="minorHAnsi"/>
          <w:color w:val="000000" w:themeColor="text1"/>
          <w:sz w:val="22"/>
          <w:lang w:val="hu-HU"/>
        </w:rPr>
        <w:t>.</w:t>
      </w:r>
      <w:r w:rsidR="006750A8" w:rsidRPr="004B61C4">
        <w:rPr>
          <w:rFonts w:eastAsia="Times New Roman" w:cstheme="minorHAnsi"/>
          <w:color w:val="000000" w:themeColor="text1"/>
          <w:sz w:val="22"/>
          <w:lang w:val="hu-HU"/>
        </w:rPr>
        <w:t xml:space="preserve"> cikke értelmében</w:t>
      </w:r>
      <w:r w:rsidR="006750A8" w:rsidRPr="004B61C4">
        <w:rPr>
          <w:rFonts w:eastAsia="Times New Roman" w:cstheme="minorHAnsi"/>
          <w:color w:val="000000" w:themeColor="text1"/>
          <w:szCs w:val="20"/>
          <w:lang w:val="hu-HU"/>
        </w:rPr>
        <w:t xml:space="preserve">”. </w:t>
      </w:r>
      <w:r w:rsidR="006750A8" w:rsidRPr="004B61C4">
        <w:rPr>
          <w:rFonts w:eastAsia="Times New Roman" w:cstheme="minorHAnsi"/>
          <w:color w:val="000000" w:themeColor="text1"/>
          <w:sz w:val="22"/>
          <w:lang w:val="hu-HU"/>
        </w:rPr>
        <w:t xml:space="preserve">A </w:t>
      </w:r>
      <w:r w:rsidR="005C2C41" w:rsidRPr="004B61C4">
        <w:rPr>
          <w:rFonts w:eastAsia="Times New Roman" w:cstheme="minorHAnsi"/>
          <w:color w:val="000000" w:themeColor="text1"/>
          <w:sz w:val="22"/>
          <w:lang w:val="hu-HU"/>
        </w:rPr>
        <w:t xml:space="preserve">Bizottság (EU) </w:t>
      </w:r>
      <w:r w:rsidR="00FC15F7" w:rsidRPr="004B61C4">
        <w:rPr>
          <w:rFonts w:eastAsia="Times New Roman" w:cstheme="minorHAnsi"/>
          <w:color w:val="000000" w:themeColor="text1"/>
          <w:sz w:val="22"/>
          <w:lang w:val="hu-HU"/>
        </w:rPr>
        <w:t>2016</w:t>
      </w:r>
      <w:r w:rsidR="003E0613" w:rsidRPr="004B61C4">
        <w:rPr>
          <w:rFonts w:eastAsia="Times New Roman" w:cstheme="minorHAnsi"/>
          <w:color w:val="000000" w:themeColor="text1"/>
          <w:sz w:val="22"/>
          <w:lang w:val="hu-HU"/>
        </w:rPr>
        <w:t>/1075 felhatalmazáson alapuló rendeletének</w:t>
      </w:r>
      <w:r w:rsidR="006750A8" w:rsidRPr="004B61C4">
        <w:rPr>
          <w:rFonts w:eastAsia="Times New Roman" w:cstheme="minorHAnsi"/>
          <w:color w:val="000000" w:themeColor="text1"/>
          <w:sz w:val="22"/>
          <w:lang w:val="hu-HU"/>
        </w:rPr>
        <w:t xml:space="preserve"> 29</w:t>
      </w:r>
      <w:r w:rsidR="00E91B3D" w:rsidRPr="004B61C4">
        <w:rPr>
          <w:rFonts w:eastAsia="Times New Roman" w:cstheme="minorHAnsi"/>
          <w:color w:val="000000" w:themeColor="text1"/>
          <w:sz w:val="22"/>
          <w:lang w:val="hu-HU"/>
        </w:rPr>
        <w:t xml:space="preserve">. </w:t>
      </w:r>
      <w:r w:rsidR="002C33EF" w:rsidRPr="004B61C4">
        <w:rPr>
          <w:rFonts w:eastAsia="Times New Roman" w:cstheme="minorHAnsi"/>
          <w:color w:val="000000" w:themeColor="text1"/>
          <w:sz w:val="22"/>
          <w:lang w:val="hu-HU"/>
        </w:rPr>
        <w:t>c</w:t>
      </w:r>
      <w:r w:rsidR="00E91B3D" w:rsidRPr="004B61C4">
        <w:rPr>
          <w:rFonts w:eastAsia="Times New Roman" w:cstheme="minorHAnsi"/>
          <w:color w:val="000000" w:themeColor="text1"/>
          <w:sz w:val="22"/>
          <w:lang w:val="hu-HU"/>
        </w:rPr>
        <w:t xml:space="preserve">ikk </w:t>
      </w:r>
      <w:r w:rsidR="006750A8" w:rsidRPr="004B61C4">
        <w:rPr>
          <w:rFonts w:eastAsia="Times New Roman" w:cstheme="minorHAnsi"/>
          <w:color w:val="000000" w:themeColor="text1"/>
          <w:sz w:val="22"/>
          <w:lang w:val="hu-HU"/>
        </w:rPr>
        <w:t>(</w:t>
      </w:r>
      <w:r w:rsidR="00A74300" w:rsidRPr="004B61C4">
        <w:rPr>
          <w:rFonts w:eastAsia="Times New Roman" w:cstheme="minorHAnsi"/>
          <w:color w:val="000000" w:themeColor="text1"/>
          <w:sz w:val="22"/>
          <w:lang w:val="hu-HU"/>
        </w:rPr>
        <w:t>3</w:t>
      </w:r>
      <w:r w:rsidR="006750A8" w:rsidRPr="004B61C4">
        <w:rPr>
          <w:rFonts w:eastAsia="Times New Roman" w:cstheme="minorHAnsi"/>
          <w:color w:val="000000" w:themeColor="text1"/>
          <w:sz w:val="22"/>
          <w:lang w:val="hu-HU"/>
        </w:rPr>
        <w:t xml:space="preserve">) </w:t>
      </w:r>
      <w:r w:rsidR="002C33EF" w:rsidRPr="004B61C4">
        <w:rPr>
          <w:rFonts w:eastAsia="Times New Roman" w:cstheme="minorHAnsi"/>
          <w:color w:val="000000" w:themeColor="text1"/>
          <w:sz w:val="22"/>
          <w:lang w:val="hu-HU"/>
        </w:rPr>
        <w:t>bekezdése</w:t>
      </w:r>
      <w:r w:rsidR="006750A8" w:rsidRPr="004B61C4">
        <w:rPr>
          <w:rFonts w:eastAsia="Times New Roman" w:cstheme="minorHAnsi"/>
          <w:color w:val="000000" w:themeColor="text1"/>
          <w:sz w:val="22"/>
          <w:lang w:val="hu-HU"/>
        </w:rPr>
        <w:t xml:space="preserve"> értel</w:t>
      </w:r>
      <w:r w:rsidR="00307521" w:rsidRPr="004B61C4">
        <w:rPr>
          <w:rFonts w:eastAsia="Times New Roman" w:cstheme="minorHAnsi"/>
          <w:color w:val="000000" w:themeColor="text1"/>
          <w:sz w:val="22"/>
          <w:lang w:val="hu-HU"/>
        </w:rPr>
        <w:t>m</w:t>
      </w:r>
      <w:r w:rsidR="006750A8" w:rsidRPr="004B61C4">
        <w:rPr>
          <w:rFonts w:eastAsia="Times New Roman" w:cstheme="minorHAnsi"/>
          <w:color w:val="000000" w:themeColor="text1"/>
          <w:sz w:val="22"/>
          <w:lang w:val="hu-HU"/>
        </w:rPr>
        <w:t>ében</w:t>
      </w:r>
      <w:r w:rsidR="003555A2" w:rsidRPr="004B61C4">
        <w:rPr>
          <w:rFonts w:eastAsia="Times New Roman" w:cstheme="minorHAnsi"/>
          <w:color w:val="000000" w:themeColor="text1"/>
          <w:sz w:val="22"/>
          <w:lang w:val="hu-HU"/>
        </w:rPr>
        <w:t xml:space="preserve"> a szanálási hatóságnak mérlegelnie </w:t>
      </w:r>
      <w:r w:rsidR="003D4AC8" w:rsidRPr="004B61C4">
        <w:rPr>
          <w:rFonts w:eastAsia="Times New Roman" w:cstheme="minorHAnsi"/>
          <w:color w:val="000000" w:themeColor="text1"/>
          <w:sz w:val="22"/>
          <w:lang w:val="hu-HU"/>
        </w:rPr>
        <w:t>kell annak értékelése során, hogy vanna</w:t>
      </w:r>
      <w:r w:rsidR="00627024" w:rsidRPr="004B61C4">
        <w:rPr>
          <w:rFonts w:eastAsia="Times New Roman" w:cstheme="minorHAnsi"/>
          <w:color w:val="000000" w:themeColor="text1"/>
          <w:sz w:val="22"/>
          <w:lang w:val="hu-HU"/>
        </w:rPr>
        <w:t>k</w:t>
      </w:r>
      <w:r w:rsidR="003D4AC8" w:rsidRPr="004B61C4">
        <w:rPr>
          <w:rFonts w:eastAsia="Times New Roman" w:cstheme="minorHAnsi"/>
          <w:color w:val="000000" w:themeColor="text1"/>
          <w:sz w:val="22"/>
          <w:lang w:val="hu-HU"/>
        </w:rPr>
        <w:t xml:space="preserve">-e a szanálásnak a tájékoztatáshoz kapcsolódó potenciális akadályai: </w:t>
      </w:r>
      <w:r w:rsidR="00487C07" w:rsidRPr="004B61C4">
        <w:rPr>
          <w:rFonts w:eastAsia="Times New Roman" w:cstheme="minorHAnsi"/>
          <w:color w:val="000000" w:themeColor="text1"/>
          <w:sz w:val="22"/>
          <w:lang w:val="hu-HU"/>
        </w:rPr>
        <w:t>az intézmény vagy csoport képességét arra, hogy információt nyújtson</w:t>
      </w:r>
      <w:r w:rsidR="00F71F37" w:rsidRPr="004B61C4">
        <w:rPr>
          <w:rFonts w:eastAsia="Times New Roman" w:cstheme="minorHAnsi"/>
          <w:color w:val="000000" w:themeColor="text1"/>
          <w:sz w:val="22"/>
          <w:lang w:val="hu-HU"/>
        </w:rPr>
        <w:t xml:space="preserve"> a szükséges leírás vagy </w:t>
      </w:r>
      <w:r w:rsidR="00F505CB">
        <w:rPr>
          <w:rFonts w:eastAsia="Times New Roman" w:cstheme="minorHAnsi"/>
          <w:color w:val="000000" w:themeColor="text1"/>
          <w:sz w:val="22"/>
          <w:lang w:val="hu-HU"/>
        </w:rPr>
        <w:t>átalakítás</w:t>
      </w:r>
      <w:r w:rsidR="00F505CB" w:rsidRPr="004B61C4">
        <w:rPr>
          <w:rFonts w:eastAsia="Times New Roman" w:cstheme="minorHAnsi"/>
          <w:color w:val="000000" w:themeColor="text1"/>
          <w:sz w:val="22"/>
          <w:lang w:val="hu-HU"/>
        </w:rPr>
        <w:t xml:space="preserve"> </w:t>
      </w:r>
      <w:r w:rsidR="00F71F37" w:rsidRPr="004B61C4">
        <w:rPr>
          <w:rFonts w:eastAsia="Times New Roman" w:cstheme="minorHAnsi"/>
          <w:color w:val="000000" w:themeColor="text1"/>
          <w:sz w:val="22"/>
          <w:lang w:val="hu-HU"/>
        </w:rPr>
        <w:t>összegének megh</w:t>
      </w:r>
      <w:r w:rsidR="0099253D">
        <w:rPr>
          <w:rFonts w:eastAsia="Times New Roman" w:cstheme="minorHAnsi"/>
          <w:color w:val="000000" w:themeColor="text1"/>
          <w:sz w:val="22"/>
          <w:lang w:val="hu-HU"/>
        </w:rPr>
        <w:t>a</w:t>
      </w:r>
      <w:r w:rsidR="00F71F37" w:rsidRPr="004B61C4">
        <w:rPr>
          <w:rFonts w:eastAsia="Times New Roman" w:cstheme="minorHAnsi"/>
          <w:color w:val="000000" w:themeColor="text1"/>
          <w:sz w:val="22"/>
          <w:lang w:val="hu-HU"/>
        </w:rPr>
        <w:t>tározása céljából végzendő értékeléshez.</w:t>
      </w:r>
      <w:r w:rsidR="003E60AE" w:rsidRPr="004B61C4">
        <w:rPr>
          <w:rFonts w:eastAsia="Times New Roman" w:cstheme="minorHAnsi"/>
          <w:color w:val="000000" w:themeColor="text1"/>
          <w:sz w:val="22"/>
          <w:lang w:val="hu-HU"/>
        </w:rPr>
        <w:t xml:space="preserve"> </w:t>
      </w:r>
      <w:r w:rsidR="00692ABD" w:rsidRPr="004B61C4">
        <w:rPr>
          <w:rFonts w:eastAsia="Times New Roman" w:cstheme="minorHAnsi"/>
          <w:color w:val="000000" w:themeColor="text1"/>
          <w:sz w:val="22"/>
          <w:lang w:val="hu-HU"/>
        </w:rPr>
        <w:t>Az előzőek értelmében e</w:t>
      </w:r>
      <w:r w:rsidR="00E8240F" w:rsidRPr="004B61C4">
        <w:rPr>
          <w:rFonts w:eastAsia="Times New Roman" w:cstheme="minorHAnsi"/>
          <w:color w:val="000000" w:themeColor="text1"/>
          <w:sz w:val="22"/>
          <w:lang w:val="hu-HU"/>
        </w:rPr>
        <w:t>lvárás a vezetői információs rendszerrel szemben, hogy olyan folyamatokon alapuljon</w:t>
      </w:r>
      <w:r w:rsidR="00E72CD7" w:rsidRPr="004B61C4">
        <w:rPr>
          <w:rFonts w:eastAsia="Times New Roman" w:cstheme="minorHAnsi"/>
          <w:color w:val="000000" w:themeColor="text1"/>
          <w:sz w:val="22"/>
          <w:lang w:val="hu-HU"/>
        </w:rPr>
        <w:t xml:space="preserve">, amelyek lehetővé teszik </w:t>
      </w:r>
      <w:r w:rsidR="007F3205" w:rsidRPr="004B61C4">
        <w:rPr>
          <w:rFonts w:eastAsia="Times New Roman" w:cstheme="minorHAnsi"/>
          <w:color w:val="000000" w:themeColor="text1"/>
          <w:sz w:val="22"/>
          <w:lang w:val="hu-HU"/>
        </w:rPr>
        <w:t>magas minőségű adato</w:t>
      </w:r>
      <w:r w:rsidR="00606344" w:rsidRPr="004B61C4">
        <w:rPr>
          <w:rFonts w:eastAsia="Times New Roman" w:cstheme="minorHAnsi"/>
          <w:color w:val="000000" w:themeColor="text1"/>
          <w:sz w:val="22"/>
          <w:lang w:val="hu-HU"/>
        </w:rPr>
        <w:t>k</w:t>
      </w:r>
      <w:r w:rsidR="007F3205" w:rsidRPr="004B61C4">
        <w:rPr>
          <w:rFonts w:eastAsia="Times New Roman" w:cstheme="minorHAnsi"/>
          <w:color w:val="000000" w:themeColor="text1"/>
          <w:sz w:val="22"/>
          <w:lang w:val="hu-HU"/>
        </w:rPr>
        <w:t xml:space="preserve"> és információ</w:t>
      </w:r>
      <w:r w:rsidR="00606344" w:rsidRPr="004B61C4">
        <w:rPr>
          <w:rFonts w:eastAsia="Times New Roman" w:cstheme="minorHAnsi"/>
          <w:color w:val="000000" w:themeColor="text1"/>
          <w:sz w:val="22"/>
          <w:lang w:val="hu-HU"/>
        </w:rPr>
        <w:t>k</w:t>
      </w:r>
      <w:r w:rsidR="00685355" w:rsidRPr="004B61C4">
        <w:rPr>
          <w:rFonts w:eastAsia="Times New Roman" w:cstheme="minorHAnsi"/>
          <w:color w:val="000000" w:themeColor="text1"/>
          <w:sz w:val="22"/>
          <w:lang w:val="hu-HU"/>
        </w:rPr>
        <w:t xml:space="preserve"> </w:t>
      </w:r>
      <w:r w:rsidR="00606344" w:rsidRPr="004B61C4">
        <w:rPr>
          <w:rFonts w:eastAsia="Times New Roman" w:cstheme="minorHAnsi"/>
          <w:color w:val="000000" w:themeColor="text1"/>
          <w:sz w:val="22"/>
          <w:lang w:val="hu-HU"/>
        </w:rPr>
        <w:t>rendelkezésre bocsátását</w:t>
      </w:r>
      <w:r w:rsidR="00515C94" w:rsidRPr="004B61C4">
        <w:rPr>
          <w:rFonts w:eastAsia="Times New Roman" w:cstheme="minorHAnsi"/>
          <w:color w:val="000000" w:themeColor="text1"/>
          <w:sz w:val="22"/>
          <w:lang w:val="hu-HU"/>
        </w:rPr>
        <w:t xml:space="preserve"> az értékelő és/vagy </w:t>
      </w:r>
      <w:r w:rsidR="00606344" w:rsidRPr="004B61C4">
        <w:rPr>
          <w:rFonts w:eastAsia="Times New Roman" w:cstheme="minorHAnsi"/>
          <w:color w:val="000000" w:themeColor="text1"/>
          <w:sz w:val="22"/>
          <w:lang w:val="hu-HU"/>
        </w:rPr>
        <w:t xml:space="preserve">a </w:t>
      </w:r>
      <w:r w:rsidR="00515C94" w:rsidRPr="004B61C4">
        <w:rPr>
          <w:rFonts w:eastAsia="Times New Roman" w:cstheme="minorHAnsi"/>
          <w:color w:val="000000" w:themeColor="text1"/>
          <w:sz w:val="22"/>
          <w:lang w:val="hu-HU"/>
        </w:rPr>
        <w:t>szanálási hatóság számára</w:t>
      </w:r>
      <w:r w:rsidR="00C127F1" w:rsidRPr="004B61C4">
        <w:rPr>
          <w:rFonts w:eastAsia="Times New Roman" w:cstheme="minorHAnsi"/>
          <w:color w:val="000000" w:themeColor="text1"/>
          <w:sz w:val="22"/>
          <w:lang w:val="hu-HU"/>
        </w:rPr>
        <w:t xml:space="preserve"> a szanálási értékelés elvégzéséhez.</w:t>
      </w:r>
      <w:r w:rsidR="001D2136">
        <w:rPr>
          <w:rFonts w:eastAsia="Times New Roman" w:cstheme="minorHAnsi"/>
          <w:color w:val="000000" w:themeColor="text1"/>
          <w:sz w:val="22"/>
          <w:lang w:val="hu-HU"/>
        </w:rPr>
        <w:t xml:space="preserve"> </w:t>
      </w:r>
    </w:p>
    <w:p w14:paraId="70489F9F" w14:textId="67738004" w:rsidR="001D2136" w:rsidRPr="00A46D15" w:rsidRDefault="001D2136" w:rsidP="00270638">
      <w:pPr>
        <w:ind w:right="-3139"/>
        <w:textAlignment w:val="center"/>
        <w:rPr>
          <w:rFonts w:eastAsia="Times New Roman"/>
          <w:sz w:val="22"/>
          <w:lang w:val="hu-HU"/>
        </w:rPr>
      </w:pPr>
      <w:r>
        <w:rPr>
          <w:rFonts w:eastAsia="Times New Roman" w:cstheme="minorHAnsi"/>
          <w:sz w:val="22"/>
          <w:lang w:val="hu-HU"/>
        </w:rPr>
        <w:t>A vezetői információs rendszer fejlesztése kapcsán a szanálási hatóság az arányosság elvét szem előtt tartva és tekintetbe véve az intézmények felkészüléssel kapcsolatos költségeit, egy olyan kiegyensúlyozott megoldásra törekszik, amely támogatja a megalapozott értékelést és megfelel a szanálási céloknak.</w:t>
      </w:r>
      <w:r w:rsidR="003D443D">
        <w:rPr>
          <w:rFonts w:eastAsia="Times New Roman" w:cstheme="minorHAnsi"/>
          <w:sz w:val="22"/>
          <w:lang w:val="hu-HU"/>
        </w:rPr>
        <w:t xml:space="preserve"> </w:t>
      </w:r>
      <w:r w:rsidR="00AC1F17">
        <w:rPr>
          <w:rFonts w:eastAsia="Times New Roman" w:cstheme="minorHAnsi"/>
          <w:sz w:val="22"/>
          <w:lang w:val="hu-HU"/>
        </w:rPr>
        <w:t>A szanálás elrendelésére és a szanálási intézkedés alkalmazására gyakran korlátozottan rendelkezésre álló idő miatt a vezetői információs rendszerrel kapcsolatban a legfontosabb elvárás, hogy összesítse és összekapcsolja az intézmény különböző adatforrásaiban megtalálható adatokat és információkat a gyors adatszolgáltatás érdekében.</w:t>
      </w:r>
    </w:p>
    <w:p w14:paraId="034A7426" w14:textId="77777777" w:rsidR="001D2136" w:rsidRPr="001D2136" w:rsidRDefault="007C458D" w:rsidP="00270638">
      <w:pPr>
        <w:ind w:left="360" w:right="-3139"/>
        <w:textAlignment w:val="center"/>
        <w:rPr>
          <w:rFonts w:eastAsia="Times New Roman" w:cstheme="minorHAnsi"/>
          <w:color w:val="000000" w:themeColor="text1"/>
          <w:sz w:val="22"/>
          <w:lang w:val="hu-HU"/>
        </w:rPr>
      </w:pPr>
      <w:r w:rsidRPr="004B61C4">
        <w:rPr>
          <w:rFonts w:eastAsia="Times New Roman" w:cstheme="minorHAnsi"/>
          <w:color w:val="000000" w:themeColor="text1"/>
          <w:sz w:val="22"/>
          <w:lang w:val="hu-HU"/>
        </w:rPr>
        <w:lastRenderedPageBreak/>
        <w:t>A</w:t>
      </w:r>
      <w:r w:rsidR="00873C0B" w:rsidRPr="004B61C4">
        <w:rPr>
          <w:rFonts w:eastAsia="Times New Roman" w:cstheme="minorHAnsi"/>
          <w:color w:val="000000" w:themeColor="text1"/>
          <w:sz w:val="22"/>
          <w:lang w:val="hu-HU"/>
        </w:rPr>
        <w:t>z</w:t>
      </w:r>
      <w:r w:rsidRPr="004B61C4">
        <w:rPr>
          <w:rFonts w:eastAsia="Times New Roman" w:cstheme="minorHAnsi"/>
          <w:color w:val="000000" w:themeColor="text1"/>
          <w:sz w:val="22"/>
          <w:lang w:val="hu-HU"/>
        </w:rPr>
        <w:t xml:space="preserve"> </w:t>
      </w:r>
      <w:r w:rsidR="00F043DA" w:rsidRPr="004B61C4">
        <w:rPr>
          <w:rFonts w:eastAsia="Times New Roman" w:cstheme="minorHAnsi"/>
          <w:color w:val="000000" w:themeColor="text1"/>
          <w:sz w:val="22"/>
          <w:lang w:val="hu-HU"/>
        </w:rPr>
        <w:t xml:space="preserve">intézménynek képesnek kell lennie az eszközök és kötelezettségek </w:t>
      </w:r>
      <w:r w:rsidR="008B0EDB" w:rsidRPr="004B61C4">
        <w:rPr>
          <w:rFonts w:eastAsia="Times New Roman" w:cstheme="minorHAnsi"/>
          <w:color w:val="000000" w:themeColor="text1"/>
          <w:sz w:val="22"/>
          <w:lang w:val="hu-HU"/>
        </w:rPr>
        <w:t xml:space="preserve">értékeléséhez alkalmazott </w:t>
      </w:r>
      <w:r w:rsidR="006154A1" w:rsidRPr="004B61C4">
        <w:rPr>
          <w:rFonts w:eastAsia="Times New Roman" w:cstheme="minorHAnsi"/>
          <w:color w:val="000000" w:themeColor="text1"/>
          <w:sz w:val="22"/>
          <w:lang w:val="hu-HU"/>
        </w:rPr>
        <w:t>belső értékelő modell</w:t>
      </w:r>
      <w:r w:rsidR="008B0EDB" w:rsidRPr="004B61C4">
        <w:rPr>
          <w:rFonts w:eastAsia="Times New Roman" w:cstheme="minorHAnsi"/>
          <w:color w:val="000000" w:themeColor="text1"/>
          <w:sz w:val="22"/>
          <w:lang w:val="hu-HU"/>
        </w:rPr>
        <w:t>ek</w:t>
      </w:r>
      <w:r w:rsidR="00BE2908" w:rsidRPr="004B61C4">
        <w:rPr>
          <w:rFonts w:eastAsia="Times New Roman" w:cstheme="minorHAnsi"/>
          <w:color w:val="000000" w:themeColor="text1"/>
          <w:sz w:val="22"/>
          <w:lang w:val="hu-HU"/>
        </w:rPr>
        <w:t>, a kapcsolódó dokumentumok és kézikönyvek</w:t>
      </w:r>
      <w:r w:rsidR="006154A1" w:rsidRPr="004B61C4">
        <w:rPr>
          <w:rFonts w:eastAsia="Times New Roman" w:cstheme="minorHAnsi"/>
          <w:color w:val="000000" w:themeColor="text1"/>
          <w:sz w:val="22"/>
          <w:lang w:val="hu-HU"/>
        </w:rPr>
        <w:t xml:space="preserve"> </w:t>
      </w:r>
      <w:r w:rsidR="00873C0B" w:rsidRPr="004B61C4">
        <w:rPr>
          <w:rFonts w:eastAsia="Times New Roman" w:cstheme="minorHAnsi"/>
          <w:color w:val="000000" w:themeColor="text1"/>
          <w:sz w:val="22"/>
          <w:lang w:val="hu-HU"/>
        </w:rPr>
        <w:t>átadására</w:t>
      </w:r>
      <w:r w:rsidR="00F56601" w:rsidRPr="004B61C4">
        <w:rPr>
          <w:rFonts w:eastAsia="Times New Roman" w:cstheme="minorHAnsi"/>
          <w:color w:val="000000" w:themeColor="text1"/>
          <w:sz w:val="22"/>
          <w:lang w:val="hu-HU"/>
        </w:rPr>
        <w:t xml:space="preserve"> is, amelyek tartalmazzák többek között a kritériumok</w:t>
      </w:r>
      <w:r w:rsidR="00ED1771" w:rsidRPr="004B61C4">
        <w:rPr>
          <w:rFonts w:eastAsia="Times New Roman" w:cstheme="minorHAnsi"/>
          <w:color w:val="000000" w:themeColor="text1"/>
          <w:sz w:val="22"/>
          <w:lang w:val="hu-HU"/>
        </w:rPr>
        <w:t>at</w:t>
      </w:r>
      <w:r w:rsidR="0019127E" w:rsidRPr="004B61C4">
        <w:rPr>
          <w:rFonts w:eastAsia="Times New Roman" w:cstheme="minorHAnsi"/>
          <w:color w:val="000000" w:themeColor="text1"/>
          <w:sz w:val="22"/>
          <w:lang w:val="hu-HU"/>
        </w:rPr>
        <w:t>, módszertanok</w:t>
      </w:r>
      <w:r w:rsidR="00ED1771" w:rsidRPr="004B61C4">
        <w:rPr>
          <w:rFonts w:eastAsia="Times New Roman" w:cstheme="minorHAnsi"/>
          <w:color w:val="000000" w:themeColor="text1"/>
          <w:sz w:val="22"/>
          <w:lang w:val="hu-HU"/>
        </w:rPr>
        <w:t>at</w:t>
      </w:r>
      <w:r w:rsidR="0019127E" w:rsidRPr="004B61C4">
        <w:rPr>
          <w:rFonts w:eastAsia="Times New Roman" w:cstheme="minorHAnsi"/>
          <w:color w:val="000000" w:themeColor="text1"/>
          <w:sz w:val="22"/>
          <w:lang w:val="hu-HU"/>
        </w:rPr>
        <w:t>, feltételezések</w:t>
      </w:r>
      <w:r w:rsidR="00ED1771" w:rsidRPr="004B61C4">
        <w:rPr>
          <w:rFonts w:eastAsia="Times New Roman" w:cstheme="minorHAnsi"/>
          <w:color w:val="000000" w:themeColor="text1"/>
          <w:sz w:val="22"/>
          <w:lang w:val="hu-HU"/>
        </w:rPr>
        <w:t>et</w:t>
      </w:r>
      <w:r w:rsidR="0019127E" w:rsidRPr="004B61C4">
        <w:rPr>
          <w:rFonts w:eastAsia="Times New Roman" w:cstheme="minorHAnsi"/>
          <w:color w:val="000000" w:themeColor="text1"/>
          <w:sz w:val="22"/>
          <w:lang w:val="hu-HU"/>
        </w:rPr>
        <w:t xml:space="preserve">, </w:t>
      </w:r>
      <w:r w:rsidR="00CD180D" w:rsidRPr="004B61C4">
        <w:rPr>
          <w:rFonts w:eastAsia="Times New Roman" w:cstheme="minorHAnsi"/>
          <w:color w:val="000000" w:themeColor="text1"/>
          <w:sz w:val="22"/>
          <w:lang w:val="hu-HU"/>
        </w:rPr>
        <w:t>külső input paraméterek</w:t>
      </w:r>
      <w:r w:rsidR="00ED1771" w:rsidRPr="004B61C4">
        <w:rPr>
          <w:rFonts w:eastAsia="Times New Roman" w:cstheme="minorHAnsi"/>
          <w:color w:val="000000" w:themeColor="text1"/>
          <w:sz w:val="22"/>
          <w:lang w:val="hu-HU"/>
        </w:rPr>
        <w:t>et</w:t>
      </w:r>
      <w:r w:rsidR="00CD180D" w:rsidRPr="004B61C4">
        <w:rPr>
          <w:rFonts w:eastAsia="Times New Roman" w:cstheme="minorHAnsi"/>
          <w:color w:val="000000" w:themeColor="text1"/>
          <w:sz w:val="22"/>
          <w:lang w:val="hu-HU"/>
        </w:rPr>
        <w:t xml:space="preserve"> (és azok forrását)</w:t>
      </w:r>
      <w:r w:rsidR="00ED1771" w:rsidRPr="004B61C4">
        <w:rPr>
          <w:rFonts w:eastAsia="Times New Roman" w:cstheme="minorHAnsi"/>
          <w:color w:val="000000" w:themeColor="text1"/>
          <w:sz w:val="22"/>
          <w:lang w:val="hu-HU"/>
        </w:rPr>
        <w:t>, valamint a szcenáriókat</w:t>
      </w:r>
      <w:r w:rsidR="00ED1771" w:rsidRPr="00F87621">
        <w:rPr>
          <w:rFonts w:eastAsia="Times New Roman" w:cstheme="minorHAnsi"/>
          <w:color w:val="000000" w:themeColor="text1"/>
          <w:sz w:val="22"/>
          <w:lang w:val="hu-HU"/>
        </w:rPr>
        <w:t>.</w:t>
      </w:r>
      <w:r w:rsidR="001D2136">
        <w:rPr>
          <w:rFonts w:eastAsia="Times New Roman" w:cstheme="minorHAnsi"/>
          <w:color w:val="000000" w:themeColor="text1"/>
          <w:sz w:val="22"/>
          <w:lang w:val="hu-HU"/>
        </w:rPr>
        <w:t xml:space="preserve"> </w:t>
      </w:r>
      <w:r w:rsidR="001D2136" w:rsidRPr="001D2136">
        <w:rPr>
          <w:rFonts w:eastAsia="Times New Roman" w:cstheme="minorHAnsi"/>
          <w:color w:val="000000" w:themeColor="text1"/>
          <w:sz w:val="22"/>
          <w:lang w:val="hu-HU"/>
        </w:rPr>
        <w:t>Az intézmény belső értékelő modelljeivel</w:t>
      </w:r>
      <w:r w:rsidR="001D2136" w:rsidRPr="001D2136">
        <w:rPr>
          <w:rFonts w:eastAsia="Times New Roman" w:cstheme="minorHAnsi"/>
          <w:color w:val="000000" w:themeColor="text1"/>
          <w:sz w:val="22"/>
          <w:vertAlign w:val="superscript"/>
          <w:lang w:val="hu-HU"/>
        </w:rPr>
        <w:footnoteReference w:id="6"/>
      </w:r>
      <w:r w:rsidR="001D2136" w:rsidRPr="001D2136">
        <w:rPr>
          <w:rFonts w:eastAsia="Times New Roman" w:cstheme="minorHAnsi"/>
          <w:color w:val="000000" w:themeColor="text1"/>
          <w:sz w:val="22"/>
          <w:lang w:val="hu-HU"/>
        </w:rPr>
        <w:t xml:space="preserve"> szemben támasztott követelmény, hogy a jövőbeni értékelőnek legyen lehetősége a modellek módszertanának áttekintésére és az input paraméterek és feltételezések alapos megértésére. Az értékelő számára továbbá biztosítani kell, hogy lehetősége legyen az értékelő modellek input paramétereinek megváltoztatására és a modellek lefuttatására a módosított paraméterek mentén. Ezenkívül az értékelő számára lehetővé kell tenni bizonyos modell tesztek elvégzését is, hogy megbizonyosodjon a modell eredmények helyességéről. </w:t>
      </w:r>
    </w:p>
    <w:p w14:paraId="5A569352" w14:textId="04CEEB96" w:rsidR="001D2136" w:rsidRPr="001D2136" w:rsidRDefault="00DB03E5" w:rsidP="00270638">
      <w:pPr>
        <w:ind w:left="360" w:right="-3139"/>
        <w:textAlignment w:val="center"/>
        <w:rPr>
          <w:rFonts w:eastAsia="Times New Roman" w:cstheme="minorHAnsi"/>
          <w:color w:val="000000" w:themeColor="text1"/>
          <w:sz w:val="22"/>
          <w:lang w:val="hu-HU"/>
        </w:rPr>
      </w:pPr>
      <w:r>
        <w:rPr>
          <w:rFonts w:eastAsia="Times New Roman" w:cstheme="minorHAnsi"/>
          <w:color w:val="000000" w:themeColor="text1"/>
          <w:sz w:val="22"/>
          <w:lang w:val="hu-HU"/>
        </w:rPr>
        <w:t>Fentiek érdekében</w:t>
      </w:r>
      <w:r w:rsidR="001D2136" w:rsidRPr="001D2136">
        <w:rPr>
          <w:rFonts w:eastAsia="Times New Roman" w:cstheme="minorHAnsi"/>
          <w:color w:val="000000" w:themeColor="text1"/>
          <w:sz w:val="22"/>
          <w:lang w:val="hu-HU"/>
        </w:rPr>
        <w:t xml:space="preserve"> az MNB elvárja egy intézményszintű modell</w:t>
      </w:r>
      <w:r w:rsidR="009A4C3A">
        <w:rPr>
          <w:rFonts w:eastAsia="Times New Roman" w:cstheme="minorHAnsi"/>
          <w:color w:val="000000" w:themeColor="text1"/>
          <w:sz w:val="22"/>
          <w:lang w:val="hu-HU"/>
        </w:rPr>
        <w:t>-</w:t>
      </w:r>
      <w:r w:rsidR="001D2136" w:rsidRPr="001D2136">
        <w:rPr>
          <w:rFonts w:eastAsia="Times New Roman" w:cstheme="minorHAnsi"/>
          <w:color w:val="000000" w:themeColor="text1"/>
          <w:sz w:val="22"/>
          <w:lang w:val="hu-HU"/>
        </w:rPr>
        <w:t xml:space="preserve">leltár kialakítását, mely </w:t>
      </w:r>
      <w:proofErr w:type="spellStart"/>
      <w:r w:rsidR="001D2136" w:rsidRPr="001D2136">
        <w:rPr>
          <w:rFonts w:eastAsia="Times New Roman" w:cstheme="minorHAnsi"/>
          <w:color w:val="000000" w:themeColor="text1"/>
          <w:sz w:val="22"/>
          <w:lang w:val="hu-HU"/>
        </w:rPr>
        <w:t>teljeskörűen</w:t>
      </w:r>
      <w:proofErr w:type="spellEnd"/>
      <w:r w:rsidR="001D2136" w:rsidRPr="001D2136">
        <w:rPr>
          <w:rFonts w:eastAsia="Times New Roman" w:cstheme="minorHAnsi"/>
          <w:color w:val="000000" w:themeColor="text1"/>
          <w:sz w:val="22"/>
          <w:lang w:val="hu-HU"/>
        </w:rPr>
        <w:t xml:space="preserve"> azonosítja </w:t>
      </w:r>
      <w:bookmarkStart w:id="23" w:name="_Hlk147104669"/>
      <w:r w:rsidR="001D2136" w:rsidRPr="001D2136">
        <w:rPr>
          <w:rFonts w:eastAsia="Times New Roman" w:cstheme="minorHAnsi"/>
          <w:color w:val="000000" w:themeColor="text1"/>
          <w:sz w:val="22"/>
          <w:lang w:val="hu-HU"/>
        </w:rPr>
        <w:t>a kitettségek, eszközök, források és pozíciók értékeléséhez szükséges számviteli és kockázati modelleket</w:t>
      </w:r>
      <w:bookmarkEnd w:id="23"/>
      <w:r w:rsidR="001D2136" w:rsidRPr="001D2136">
        <w:rPr>
          <w:rFonts w:eastAsia="Times New Roman" w:cstheme="minorHAnsi"/>
          <w:color w:val="000000" w:themeColor="text1"/>
          <w:sz w:val="22"/>
          <w:lang w:val="hu-HU"/>
        </w:rPr>
        <w:t xml:space="preserve">, azonosítja az egyes modellek alkalmazására vonatkozó szabályzatokat. A </w:t>
      </w:r>
      <w:r w:rsidR="001D2136" w:rsidRPr="001D2136">
        <w:rPr>
          <w:rFonts w:eastAsia="Times New Roman" w:cstheme="minorHAnsi"/>
          <w:b/>
          <w:bCs/>
          <w:color w:val="000000" w:themeColor="text1"/>
          <w:sz w:val="22"/>
          <w:lang w:val="hu-HU"/>
        </w:rPr>
        <w:t>modell</w:t>
      </w:r>
      <w:r w:rsidR="009A4C3A">
        <w:rPr>
          <w:rFonts w:eastAsia="Times New Roman" w:cstheme="minorHAnsi"/>
          <w:b/>
          <w:bCs/>
          <w:color w:val="000000" w:themeColor="text1"/>
          <w:sz w:val="22"/>
          <w:lang w:val="hu-HU"/>
        </w:rPr>
        <w:t>-</w:t>
      </w:r>
      <w:r w:rsidR="001D2136" w:rsidRPr="001D2136">
        <w:rPr>
          <w:rFonts w:eastAsia="Times New Roman" w:cstheme="minorHAnsi"/>
          <w:b/>
          <w:bCs/>
          <w:color w:val="000000" w:themeColor="text1"/>
          <w:sz w:val="22"/>
          <w:lang w:val="hu-HU"/>
        </w:rPr>
        <w:t>leltár</w:t>
      </w:r>
      <w:r w:rsidR="001D2136" w:rsidRPr="001D2136">
        <w:rPr>
          <w:rFonts w:eastAsia="Times New Roman" w:cstheme="minorHAnsi"/>
          <w:color w:val="000000" w:themeColor="text1"/>
          <w:sz w:val="22"/>
          <w:lang w:val="hu-HU"/>
        </w:rPr>
        <w:t xml:space="preserve"> legalább az alábbi információkat tartalmazza:</w:t>
      </w:r>
    </w:p>
    <w:p w14:paraId="465E8F80"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modell azonosítása (megnevezés, verziószám),</w:t>
      </w:r>
    </w:p>
    <w:p w14:paraId="34B402C2"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 xml:space="preserve">modell célja és jelenlegi, illetve tervezett alkalmazási területe (modell output és alkalmazás céljának rövid bemutatása, üzletág vagy kontrollterület, termék/eszközcsoport vagy portfólió megjelölése, esetleges kivételek), </w:t>
      </w:r>
    </w:p>
    <w:p w14:paraId="78DA9D79"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modell alkalmazásának esetleges korlátjai (pl. figyelmen kívül hagyott kockázati tényezők, adatok elérhetőségének, minőségének korlátjai),</w:t>
      </w:r>
    </w:p>
    <w:p w14:paraId="75D8125B"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modell megbízhatóságának áttekintő értékeléséhez szükséges információk (validáció eredménye, külső/belső auditok során felmerült esetleges észrevételek, azok kezelésére tett/tervezett intézkedések),</w:t>
      </w:r>
    </w:p>
    <w:p w14:paraId="7D45205F"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 xml:space="preserve">modell </w:t>
      </w:r>
      <w:proofErr w:type="spellStart"/>
      <w:r w:rsidRPr="001D2136">
        <w:rPr>
          <w:rFonts w:eastAsia="Times New Roman" w:cstheme="minorHAnsi"/>
          <w:color w:val="000000" w:themeColor="text1"/>
          <w:sz w:val="22"/>
          <w:lang w:val="hu-HU"/>
        </w:rPr>
        <w:t>materialitásának</w:t>
      </w:r>
      <w:proofErr w:type="spellEnd"/>
      <w:r w:rsidRPr="001D2136">
        <w:rPr>
          <w:rFonts w:eastAsia="Times New Roman" w:cstheme="minorHAnsi"/>
          <w:color w:val="000000" w:themeColor="text1"/>
          <w:sz w:val="22"/>
          <w:lang w:val="hu-HU"/>
        </w:rPr>
        <w:t>, komplexitásának és kockázatának értékelése,</w:t>
      </w:r>
    </w:p>
    <w:p w14:paraId="5FF7CB54"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 xml:space="preserve">modell </w:t>
      </w:r>
      <w:proofErr w:type="spellStart"/>
      <w:r w:rsidRPr="001D2136">
        <w:rPr>
          <w:rFonts w:eastAsia="Times New Roman" w:cstheme="minorHAnsi"/>
          <w:color w:val="000000" w:themeColor="text1"/>
          <w:sz w:val="22"/>
          <w:lang w:val="hu-HU"/>
        </w:rPr>
        <w:t>governance</w:t>
      </w:r>
      <w:proofErr w:type="spellEnd"/>
      <w:r w:rsidRPr="001D2136">
        <w:rPr>
          <w:rFonts w:eastAsia="Times New Roman" w:cstheme="minorHAnsi"/>
          <w:color w:val="000000" w:themeColor="text1"/>
          <w:sz w:val="22"/>
          <w:lang w:val="hu-HU"/>
        </w:rPr>
        <w:t xml:space="preserve"> információk (tulajdonos/felelős/fejlesztő/üzemeltető, tulajdonos/felelős/fejlesztő/üzemeltető szervezeti egysége, felhasználó szervezeti egységek, validáció végzője, validáció végzőjének szervezeti egysége, jóváhagyás dátuma, jóváhagyó, implementáció dátuma, utolsó validáció dátuma, következő validáció dátuma, rendszeres kontrollok léte, gyakorisága, utolsó dátuma, esetlegesen kapcsolódó felügyeleti/audit megjegyzés),</w:t>
      </w:r>
    </w:p>
    <w:p w14:paraId="4040483B" w14:textId="77777777" w:rsidR="001D2136" w:rsidRPr="001D2136" w:rsidRDefault="001D2136" w:rsidP="00270638">
      <w:pPr>
        <w:numPr>
          <w:ilvl w:val="0"/>
          <w:numId w:val="35"/>
        </w:numPr>
        <w:ind w:right="-3139"/>
        <w:textAlignment w:val="center"/>
        <w:rPr>
          <w:rFonts w:eastAsia="Times New Roman" w:cstheme="minorHAnsi"/>
          <w:color w:val="000000" w:themeColor="text1"/>
          <w:sz w:val="22"/>
          <w:lang w:val="hu-HU"/>
        </w:rPr>
      </w:pPr>
      <w:r w:rsidRPr="001D2136">
        <w:rPr>
          <w:rFonts w:eastAsia="Times New Roman" w:cstheme="minorHAnsi"/>
          <w:color w:val="000000" w:themeColor="text1"/>
          <w:sz w:val="22"/>
          <w:lang w:val="hu-HU"/>
        </w:rPr>
        <w:t>kapcsolódó dokumentáció és szabályzatok (modelldokumentáció (fejlesztési, validációs), összefoglaló dokumentum, monitoring és audit információk, szabályzatok).</w:t>
      </w:r>
    </w:p>
    <w:p w14:paraId="359FB98E" w14:textId="7D1FDCCA" w:rsidR="006E4C7E" w:rsidRPr="00F87621" w:rsidRDefault="006E4C7E" w:rsidP="00270638">
      <w:pPr>
        <w:ind w:right="-3139"/>
        <w:textAlignment w:val="center"/>
        <w:rPr>
          <w:rFonts w:eastAsia="Times New Roman" w:cstheme="minorHAnsi"/>
          <w:color w:val="000000" w:themeColor="text1"/>
          <w:sz w:val="22"/>
          <w:lang w:val="hu-HU"/>
        </w:rPr>
      </w:pPr>
    </w:p>
    <w:p w14:paraId="535C5865" w14:textId="5E38629C" w:rsidR="00E52120" w:rsidRDefault="00E20357" w:rsidP="00270638">
      <w:pPr>
        <w:ind w:left="360" w:right="-3139"/>
        <w:textAlignment w:val="center"/>
        <w:rPr>
          <w:rFonts w:eastAsia="Times New Roman" w:cstheme="minorHAnsi"/>
          <w:sz w:val="22"/>
          <w:lang w:val="hu-HU"/>
        </w:rPr>
      </w:pPr>
      <w:r w:rsidRPr="00E20357">
        <w:rPr>
          <w:rFonts w:eastAsia="Times New Roman" w:cstheme="minorHAnsi"/>
          <w:sz w:val="22"/>
          <w:lang w:val="hu-HU"/>
        </w:rPr>
        <w:t xml:space="preserve">Emellett – figyelembe véve egy esetleges </w:t>
      </w:r>
      <w:r w:rsidR="00D908F1">
        <w:rPr>
          <w:rFonts w:eastAsia="Times New Roman" w:cstheme="minorHAnsi"/>
          <w:sz w:val="22"/>
          <w:lang w:val="hu-HU"/>
        </w:rPr>
        <w:t>szanálási</w:t>
      </w:r>
      <w:r w:rsidRPr="00E20357">
        <w:rPr>
          <w:rFonts w:eastAsia="Times New Roman" w:cstheme="minorHAnsi"/>
          <w:sz w:val="22"/>
          <w:lang w:val="hu-HU"/>
        </w:rPr>
        <w:t xml:space="preserve"> értékeléskor a rendkívüli időnyomást –</w:t>
      </w:r>
      <w:r w:rsidR="00FC108C">
        <w:rPr>
          <w:rFonts w:eastAsia="Times New Roman" w:cstheme="minorHAnsi"/>
          <w:sz w:val="22"/>
          <w:lang w:val="hu-HU"/>
        </w:rPr>
        <w:t xml:space="preserve"> </w:t>
      </w:r>
      <w:r w:rsidRPr="00E20357">
        <w:rPr>
          <w:rFonts w:eastAsia="Times New Roman" w:cstheme="minorHAnsi"/>
          <w:sz w:val="22"/>
          <w:lang w:val="hu-HU"/>
        </w:rPr>
        <w:t xml:space="preserve">szükséges annak biztosítása, hogy </w:t>
      </w:r>
      <w:r w:rsidR="00220CF8">
        <w:rPr>
          <w:rFonts w:eastAsia="Times New Roman" w:cstheme="minorHAnsi"/>
          <w:sz w:val="22"/>
          <w:lang w:val="hu-HU"/>
        </w:rPr>
        <w:t xml:space="preserve">az </w:t>
      </w:r>
      <w:r w:rsidRPr="00E20357">
        <w:rPr>
          <w:rFonts w:eastAsia="Times New Roman" w:cstheme="minorHAnsi"/>
          <w:sz w:val="22"/>
          <w:lang w:val="hu-HU"/>
        </w:rPr>
        <w:t xml:space="preserve"> értékelő számára rendelkezésre álljon minden lényeges modellről annak alkalmazhatóságának, megbízhatóságának megítélését segítő </w:t>
      </w:r>
      <w:r w:rsidRPr="00F87621">
        <w:rPr>
          <w:rFonts w:eastAsia="Times New Roman" w:cstheme="minorHAnsi"/>
          <w:b/>
          <w:bCs/>
          <w:sz w:val="22"/>
          <w:lang w:val="hu-HU"/>
        </w:rPr>
        <w:t>összefoglaló dokumentum</w:t>
      </w:r>
      <w:r w:rsidRPr="00E20357">
        <w:rPr>
          <w:rFonts w:eastAsia="Times New Roman" w:cstheme="minorHAnsi"/>
          <w:sz w:val="22"/>
          <w:lang w:val="hu-HU"/>
        </w:rPr>
        <w:t>, mely a modell alkalmazási körének, működési mechanizmusának,</w:t>
      </w:r>
      <w:r>
        <w:rPr>
          <w:rFonts w:eastAsia="Times New Roman" w:cstheme="minorHAnsi"/>
          <w:sz w:val="22"/>
          <w:lang w:val="hu-HU"/>
        </w:rPr>
        <w:t xml:space="preserve"> logikájának,</w:t>
      </w:r>
      <w:r w:rsidRPr="00E20357">
        <w:rPr>
          <w:rFonts w:eastAsia="Times New Roman" w:cstheme="minorHAnsi"/>
          <w:sz w:val="22"/>
          <w:lang w:val="hu-HU"/>
        </w:rPr>
        <w:t xml:space="preserve"> módszertani hátterének magas szintű áttekintése mellett azonosítja a kulcsfontosságú feltételezéseket, </w:t>
      </w:r>
      <w:r>
        <w:rPr>
          <w:rFonts w:eastAsia="Times New Roman" w:cstheme="minorHAnsi"/>
          <w:sz w:val="22"/>
          <w:lang w:val="hu-HU"/>
        </w:rPr>
        <w:t xml:space="preserve">input adatokat és paramétereket, </w:t>
      </w:r>
      <w:r w:rsidR="000E4673">
        <w:rPr>
          <w:rFonts w:eastAsia="Times New Roman" w:cstheme="minorHAnsi"/>
          <w:sz w:val="22"/>
          <w:lang w:val="hu-HU"/>
        </w:rPr>
        <w:t xml:space="preserve">kapcsolódó IT rendszereket, </w:t>
      </w:r>
      <w:r w:rsidRPr="00E20357">
        <w:rPr>
          <w:rFonts w:eastAsia="Times New Roman" w:cstheme="minorHAnsi"/>
          <w:sz w:val="22"/>
          <w:lang w:val="hu-HU"/>
        </w:rPr>
        <w:t xml:space="preserve">illetve értékeli az alternatív feltételezések vagy paraméterek beillesztésének lehetőségét, azok időigényét is. </w:t>
      </w:r>
    </w:p>
    <w:p w14:paraId="18B80FCF" w14:textId="77777777" w:rsidR="00555EAF" w:rsidRDefault="0069755E" w:rsidP="00270638">
      <w:pPr>
        <w:ind w:left="360" w:right="-3139"/>
        <w:textAlignment w:val="center"/>
        <w:rPr>
          <w:rFonts w:eastAsia="Times New Roman" w:cstheme="minorHAnsi"/>
          <w:sz w:val="22"/>
          <w:lang w:val="hu-HU"/>
        </w:rPr>
      </w:pPr>
      <w:r>
        <w:rPr>
          <w:rFonts w:eastAsia="Times New Roman" w:cstheme="minorHAnsi"/>
          <w:sz w:val="22"/>
          <w:lang w:val="hu-HU"/>
        </w:rPr>
        <w:t xml:space="preserve">Az értékeléssel kapcsolatos vezetői </w:t>
      </w:r>
      <w:r w:rsidR="00B02F20">
        <w:rPr>
          <w:rFonts w:eastAsia="Times New Roman" w:cstheme="minorHAnsi"/>
          <w:sz w:val="22"/>
          <w:lang w:val="hu-HU"/>
        </w:rPr>
        <w:t xml:space="preserve">információs </w:t>
      </w:r>
      <w:r w:rsidR="0046428D">
        <w:rPr>
          <w:rFonts w:eastAsia="Times New Roman" w:cstheme="minorHAnsi"/>
          <w:sz w:val="22"/>
          <w:lang w:val="hu-HU"/>
        </w:rPr>
        <w:t>rendszerek</w:t>
      </w:r>
      <w:r w:rsidR="00243996">
        <w:rPr>
          <w:rFonts w:eastAsia="Times New Roman" w:cstheme="minorHAnsi"/>
          <w:sz w:val="22"/>
          <w:lang w:val="hu-HU"/>
        </w:rPr>
        <w:t xml:space="preserve">et megfelelő </w:t>
      </w:r>
      <w:r w:rsidR="00C71E74">
        <w:rPr>
          <w:rFonts w:eastAsia="Times New Roman" w:cstheme="minorHAnsi"/>
          <w:sz w:val="22"/>
          <w:lang w:val="hu-HU"/>
        </w:rPr>
        <w:t xml:space="preserve">belső irányítási rendszerekkel szükséges támogatni, </w:t>
      </w:r>
      <w:r w:rsidR="00215546">
        <w:rPr>
          <w:rFonts w:eastAsia="Times New Roman" w:cstheme="minorHAnsi"/>
          <w:sz w:val="22"/>
          <w:lang w:val="hu-HU"/>
        </w:rPr>
        <w:t>amelyek meghatározzák a</w:t>
      </w:r>
      <w:r w:rsidR="00860815">
        <w:rPr>
          <w:rFonts w:eastAsia="Times New Roman" w:cstheme="minorHAnsi"/>
          <w:sz w:val="22"/>
          <w:lang w:val="hu-HU"/>
        </w:rPr>
        <w:t>z adatok gyűjtésére</w:t>
      </w:r>
      <w:r w:rsidR="00D31961">
        <w:rPr>
          <w:rFonts w:eastAsia="Times New Roman" w:cstheme="minorHAnsi"/>
          <w:sz w:val="22"/>
          <w:lang w:val="hu-HU"/>
        </w:rPr>
        <w:t xml:space="preserve">, továbbítására, </w:t>
      </w:r>
      <w:r w:rsidR="00860815">
        <w:rPr>
          <w:rFonts w:eastAsia="Times New Roman" w:cstheme="minorHAnsi"/>
          <w:sz w:val="22"/>
          <w:lang w:val="hu-HU"/>
        </w:rPr>
        <w:t>összesítésére</w:t>
      </w:r>
      <w:r w:rsidR="00D31961">
        <w:rPr>
          <w:rFonts w:eastAsia="Times New Roman" w:cstheme="minorHAnsi"/>
          <w:sz w:val="22"/>
          <w:lang w:val="hu-HU"/>
        </w:rPr>
        <w:t xml:space="preserve"> és konzisztenciájára</w:t>
      </w:r>
      <w:r w:rsidR="00860815">
        <w:rPr>
          <w:rFonts w:eastAsia="Times New Roman" w:cstheme="minorHAnsi"/>
          <w:sz w:val="22"/>
          <w:lang w:val="hu-HU"/>
        </w:rPr>
        <w:t xml:space="preserve"> vonatkozó</w:t>
      </w:r>
      <w:r w:rsidR="00215546">
        <w:rPr>
          <w:rFonts w:eastAsia="Times New Roman" w:cstheme="minorHAnsi"/>
          <w:sz w:val="22"/>
          <w:lang w:val="hu-HU"/>
        </w:rPr>
        <w:t xml:space="preserve"> </w:t>
      </w:r>
      <w:r w:rsidR="00B12123">
        <w:rPr>
          <w:rFonts w:eastAsia="Times New Roman" w:cstheme="minorHAnsi"/>
          <w:sz w:val="22"/>
          <w:lang w:val="hu-HU"/>
        </w:rPr>
        <w:t xml:space="preserve">szabályozásokat </w:t>
      </w:r>
      <w:r w:rsidR="00860815">
        <w:rPr>
          <w:rFonts w:eastAsia="Times New Roman" w:cstheme="minorHAnsi"/>
          <w:sz w:val="22"/>
          <w:lang w:val="hu-HU"/>
        </w:rPr>
        <w:t xml:space="preserve">és folyamatokat </w:t>
      </w:r>
      <w:r w:rsidR="00840AEF">
        <w:rPr>
          <w:rFonts w:eastAsia="Times New Roman" w:cstheme="minorHAnsi"/>
          <w:sz w:val="22"/>
          <w:lang w:val="hu-HU"/>
        </w:rPr>
        <w:t xml:space="preserve">az intézmény különböző területei és a csoport </w:t>
      </w:r>
      <w:r w:rsidR="00B02F20">
        <w:rPr>
          <w:rFonts w:eastAsia="Times New Roman" w:cstheme="minorHAnsi"/>
          <w:sz w:val="22"/>
          <w:lang w:val="hu-HU"/>
        </w:rPr>
        <w:t xml:space="preserve">különböző </w:t>
      </w:r>
      <w:r w:rsidR="00840AEF">
        <w:rPr>
          <w:rFonts w:eastAsia="Times New Roman" w:cstheme="minorHAnsi"/>
          <w:sz w:val="22"/>
          <w:lang w:val="hu-HU"/>
        </w:rPr>
        <w:t>tagjai között.</w:t>
      </w:r>
      <w:r w:rsidR="00B77C97">
        <w:rPr>
          <w:rFonts w:eastAsia="Times New Roman" w:cstheme="minorHAnsi"/>
          <w:sz w:val="22"/>
          <w:lang w:val="hu-HU"/>
        </w:rPr>
        <w:t xml:space="preserve"> A szanálási hatóság </w:t>
      </w:r>
      <w:r w:rsidR="005B1569">
        <w:rPr>
          <w:rFonts w:eastAsia="Times New Roman" w:cstheme="minorHAnsi"/>
          <w:sz w:val="22"/>
          <w:lang w:val="hu-HU"/>
        </w:rPr>
        <w:t xml:space="preserve">értékeli </w:t>
      </w:r>
      <w:r w:rsidR="0027530B">
        <w:rPr>
          <w:rFonts w:eastAsia="Times New Roman" w:cstheme="minorHAnsi"/>
          <w:sz w:val="22"/>
          <w:lang w:val="hu-HU"/>
        </w:rPr>
        <w:t xml:space="preserve">az intézmények </w:t>
      </w:r>
      <w:r w:rsidR="00A83E35">
        <w:rPr>
          <w:rFonts w:eastAsia="Times New Roman" w:cstheme="minorHAnsi"/>
          <w:sz w:val="22"/>
          <w:lang w:val="hu-HU"/>
        </w:rPr>
        <w:t xml:space="preserve">belső irányítási rendszereinek </w:t>
      </w:r>
      <w:r w:rsidR="00FD793E">
        <w:rPr>
          <w:rFonts w:eastAsia="Times New Roman" w:cstheme="minorHAnsi"/>
          <w:sz w:val="22"/>
          <w:lang w:val="hu-HU"/>
        </w:rPr>
        <w:t xml:space="preserve">és folyamatainak </w:t>
      </w:r>
      <w:r w:rsidR="00A83E35">
        <w:rPr>
          <w:rFonts w:eastAsia="Times New Roman" w:cstheme="minorHAnsi"/>
          <w:sz w:val="22"/>
          <w:lang w:val="hu-HU"/>
        </w:rPr>
        <w:t>felkészültségét</w:t>
      </w:r>
      <w:r w:rsidR="003E3C72">
        <w:rPr>
          <w:rFonts w:eastAsia="Times New Roman" w:cstheme="minorHAnsi"/>
          <w:sz w:val="22"/>
          <w:lang w:val="hu-HU"/>
        </w:rPr>
        <w:t xml:space="preserve">, hogy megfelel-e annak az elvárásnak, hogy biztosítja </w:t>
      </w:r>
      <w:r w:rsidR="00F0446A">
        <w:rPr>
          <w:rFonts w:eastAsia="Times New Roman" w:cstheme="minorHAnsi"/>
          <w:sz w:val="22"/>
          <w:lang w:val="hu-HU"/>
        </w:rPr>
        <w:t>a vezetői információs rendszerek magas minőségű adatok és információk előállítására vonatkozó képességét.</w:t>
      </w:r>
      <w:r w:rsidR="00443916">
        <w:rPr>
          <w:rFonts w:eastAsia="Times New Roman" w:cstheme="minorHAnsi"/>
          <w:sz w:val="22"/>
          <w:lang w:val="hu-HU"/>
        </w:rPr>
        <w:t xml:space="preserve"> Ennek keretében vizsgálja többek között:</w:t>
      </w:r>
    </w:p>
    <w:p w14:paraId="68432800" w14:textId="77777777" w:rsidR="00443916" w:rsidRDefault="00967B5E" w:rsidP="00270638">
      <w:pPr>
        <w:pStyle w:val="ListParagraph"/>
        <w:numPr>
          <w:ilvl w:val="0"/>
          <w:numId w:val="12"/>
        </w:numPr>
        <w:ind w:right="-3139"/>
        <w:contextualSpacing w:val="0"/>
        <w:textAlignment w:val="center"/>
        <w:rPr>
          <w:rFonts w:eastAsia="Times New Roman" w:cstheme="minorHAnsi"/>
          <w:sz w:val="22"/>
          <w:lang w:val="hu-HU"/>
        </w:rPr>
      </w:pPr>
      <w:r>
        <w:rPr>
          <w:rFonts w:eastAsia="Times New Roman" w:cstheme="minorHAnsi"/>
          <w:sz w:val="22"/>
          <w:lang w:val="hu-HU"/>
        </w:rPr>
        <w:t xml:space="preserve">A belső </w:t>
      </w:r>
      <w:r w:rsidR="00B559D8">
        <w:rPr>
          <w:rFonts w:eastAsia="Times New Roman" w:cstheme="minorHAnsi"/>
          <w:sz w:val="22"/>
          <w:lang w:val="hu-HU"/>
        </w:rPr>
        <w:t xml:space="preserve">felelősségek egyértelmű </w:t>
      </w:r>
      <w:r w:rsidR="00464FA9">
        <w:rPr>
          <w:rFonts w:eastAsia="Times New Roman" w:cstheme="minorHAnsi"/>
          <w:sz w:val="22"/>
          <w:lang w:val="hu-HU"/>
        </w:rPr>
        <w:t>meg</w:t>
      </w:r>
      <w:r w:rsidR="00F97B3C">
        <w:rPr>
          <w:rFonts w:eastAsia="Times New Roman" w:cstheme="minorHAnsi"/>
          <w:sz w:val="22"/>
          <w:lang w:val="hu-HU"/>
        </w:rPr>
        <w:t>határozás</w:t>
      </w:r>
      <w:r w:rsidR="0083143F">
        <w:rPr>
          <w:rFonts w:eastAsia="Times New Roman" w:cstheme="minorHAnsi"/>
          <w:sz w:val="22"/>
          <w:lang w:val="hu-HU"/>
        </w:rPr>
        <w:t>át</w:t>
      </w:r>
      <w:r w:rsidR="00B559D8">
        <w:rPr>
          <w:rFonts w:eastAsia="Times New Roman" w:cstheme="minorHAnsi"/>
          <w:sz w:val="22"/>
          <w:lang w:val="hu-HU"/>
        </w:rPr>
        <w:t xml:space="preserve"> az intézményben</w:t>
      </w:r>
      <w:r w:rsidR="00F469DD">
        <w:rPr>
          <w:rFonts w:eastAsia="Times New Roman" w:cstheme="minorHAnsi"/>
          <w:sz w:val="22"/>
          <w:lang w:val="hu-HU"/>
        </w:rPr>
        <w:t xml:space="preserve"> a belső szabályzatokban és folyamatokban </w:t>
      </w:r>
      <w:proofErr w:type="spellStart"/>
      <w:r w:rsidR="00F469DD">
        <w:rPr>
          <w:rFonts w:eastAsia="Times New Roman" w:cstheme="minorHAnsi"/>
          <w:sz w:val="22"/>
          <w:lang w:val="hu-HU"/>
        </w:rPr>
        <w:t>dokumentáltaknak</w:t>
      </w:r>
      <w:proofErr w:type="spellEnd"/>
      <w:r w:rsidR="00F469DD">
        <w:rPr>
          <w:rFonts w:eastAsia="Times New Roman" w:cstheme="minorHAnsi"/>
          <w:sz w:val="22"/>
          <w:lang w:val="hu-HU"/>
        </w:rPr>
        <w:t xml:space="preserve"> megfelelően</w:t>
      </w:r>
      <w:r w:rsidR="00F97B3C">
        <w:rPr>
          <w:rFonts w:eastAsia="Times New Roman" w:cstheme="minorHAnsi"/>
          <w:sz w:val="22"/>
          <w:lang w:val="hu-HU"/>
        </w:rPr>
        <w:t xml:space="preserve">, valamint a </w:t>
      </w:r>
      <w:r w:rsidR="006F1D4E">
        <w:rPr>
          <w:rFonts w:eastAsia="Times New Roman" w:cstheme="minorHAnsi"/>
          <w:sz w:val="22"/>
          <w:lang w:val="hu-HU"/>
        </w:rPr>
        <w:t xml:space="preserve">megfelelő folyamatok és rendszerek </w:t>
      </w:r>
      <w:r w:rsidR="0083143F">
        <w:rPr>
          <w:rFonts w:eastAsia="Times New Roman" w:cstheme="minorHAnsi"/>
          <w:sz w:val="22"/>
          <w:lang w:val="hu-HU"/>
        </w:rPr>
        <w:t>meglétét</w:t>
      </w:r>
      <w:r w:rsidR="006F1D4E">
        <w:rPr>
          <w:rFonts w:eastAsia="Times New Roman" w:cstheme="minorHAnsi"/>
          <w:sz w:val="22"/>
          <w:lang w:val="hu-HU"/>
        </w:rPr>
        <w:t>.</w:t>
      </w:r>
    </w:p>
    <w:p w14:paraId="736283DB" w14:textId="77777777" w:rsidR="0083143F" w:rsidRDefault="00332B64" w:rsidP="00270638">
      <w:pPr>
        <w:pStyle w:val="ListParagraph"/>
        <w:numPr>
          <w:ilvl w:val="0"/>
          <w:numId w:val="12"/>
        </w:numPr>
        <w:ind w:right="-3139"/>
        <w:contextualSpacing w:val="0"/>
        <w:textAlignment w:val="center"/>
        <w:rPr>
          <w:rFonts w:eastAsia="Times New Roman" w:cstheme="minorHAnsi"/>
          <w:sz w:val="22"/>
          <w:lang w:val="hu-HU"/>
        </w:rPr>
      </w:pPr>
      <w:r>
        <w:rPr>
          <w:rFonts w:eastAsia="Times New Roman" w:cstheme="minorHAnsi"/>
          <w:sz w:val="22"/>
          <w:lang w:val="hu-HU"/>
        </w:rPr>
        <w:t xml:space="preserve">A </w:t>
      </w:r>
      <w:r w:rsidR="009335E2">
        <w:rPr>
          <w:rFonts w:eastAsia="Times New Roman" w:cstheme="minorHAnsi"/>
          <w:sz w:val="22"/>
          <w:lang w:val="hu-HU"/>
        </w:rPr>
        <w:t>belső értékelési modellek</w:t>
      </w:r>
      <w:r w:rsidR="00FE21BB">
        <w:rPr>
          <w:rFonts w:eastAsia="Times New Roman" w:cstheme="minorHAnsi"/>
          <w:sz w:val="22"/>
          <w:lang w:val="hu-HU"/>
        </w:rPr>
        <w:t xml:space="preserve">hez kapcsolódó </w:t>
      </w:r>
      <w:r>
        <w:rPr>
          <w:rFonts w:eastAsia="Times New Roman" w:cstheme="minorHAnsi"/>
          <w:sz w:val="22"/>
          <w:lang w:val="hu-HU"/>
        </w:rPr>
        <w:t>teljes</w:t>
      </w:r>
      <w:r w:rsidR="009335E2">
        <w:rPr>
          <w:rFonts w:eastAsia="Times New Roman" w:cstheme="minorHAnsi"/>
          <w:sz w:val="22"/>
          <w:lang w:val="hu-HU"/>
        </w:rPr>
        <w:t xml:space="preserve"> és napra kész </w:t>
      </w:r>
      <w:r w:rsidR="00FE21BB">
        <w:rPr>
          <w:rFonts w:eastAsia="Times New Roman" w:cstheme="minorHAnsi"/>
          <w:sz w:val="22"/>
          <w:lang w:val="hu-HU"/>
        </w:rPr>
        <w:t xml:space="preserve">dokumentációt és </w:t>
      </w:r>
      <w:r w:rsidR="00634F6A">
        <w:rPr>
          <w:rFonts w:eastAsia="Times New Roman" w:cstheme="minorHAnsi"/>
          <w:sz w:val="22"/>
          <w:lang w:val="hu-HU"/>
        </w:rPr>
        <w:t xml:space="preserve">használati </w:t>
      </w:r>
      <w:r w:rsidR="00FE21BB">
        <w:rPr>
          <w:rFonts w:eastAsia="Times New Roman" w:cstheme="minorHAnsi"/>
          <w:sz w:val="22"/>
          <w:lang w:val="hu-HU"/>
        </w:rPr>
        <w:t>kézikönyveket.</w:t>
      </w:r>
    </w:p>
    <w:p w14:paraId="25694C11" w14:textId="77777777" w:rsidR="00022367" w:rsidRDefault="008E63B9" w:rsidP="00270638">
      <w:pPr>
        <w:pStyle w:val="ListParagraph"/>
        <w:numPr>
          <w:ilvl w:val="0"/>
          <w:numId w:val="12"/>
        </w:numPr>
        <w:ind w:right="-3139"/>
        <w:contextualSpacing w:val="0"/>
        <w:textAlignment w:val="center"/>
        <w:rPr>
          <w:rFonts w:eastAsia="Times New Roman" w:cstheme="minorHAnsi"/>
          <w:sz w:val="22"/>
          <w:lang w:val="hu-HU"/>
        </w:rPr>
      </w:pPr>
      <w:r>
        <w:rPr>
          <w:rFonts w:eastAsia="Times New Roman" w:cstheme="minorHAnsi"/>
          <w:sz w:val="22"/>
          <w:lang w:val="hu-HU"/>
        </w:rPr>
        <w:t>Az adatminőség ellenőrzésére</w:t>
      </w:r>
      <w:r w:rsidR="004C68C4">
        <w:rPr>
          <w:rFonts w:eastAsia="Times New Roman" w:cstheme="minorHAnsi"/>
          <w:sz w:val="22"/>
          <w:lang w:val="hu-HU"/>
        </w:rPr>
        <w:t>, validációjára</w:t>
      </w:r>
      <w:r w:rsidR="00605071">
        <w:rPr>
          <w:rFonts w:eastAsia="Times New Roman" w:cstheme="minorHAnsi"/>
          <w:sz w:val="22"/>
          <w:lang w:val="hu-HU"/>
        </w:rPr>
        <w:t xml:space="preserve"> és esetleges helyreállítására</w:t>
      </w:r>
      <w:r w:rsidR="004D4DBF">
        <w:rPr>
          <w:rFonts w:eastAsia="Times New Roman" w:cstheme="minorHAnsi"/>
          <w:sz w:val="22"/>
          <w:lang w:val="hu-HU"/>
        </w:rPr>
        <w:t xml:space="preserve"> </w:t>
      </w:r>
      <w:r>
        <w:rPr>
          <w:rFonts w:eastAsia="Times New Roman" w:cstheme="minorHAnsi"/>
          <w:sz w:val="22"/>
          <w:lang w:val="hu-HU"/>
        </w:rPr>
        <w:t>v</w:t>
      </w:r>
      <w:r w:rsidR="00D77DBF">
        <w:rPr>
          <w:rFonts w:eastAsia="Times New Roman" w:cstheme="minorHAnsi"/>
          <w:sz w:val="22"/>
          <w:lang w:val="hu-HU"/>
        </w:rPr>
        <w:t>onatkozó e</w:t>
      </w:r>
      <w:r w:rsidR="00022367">
        <w:rPr>
          <w:rFonts w:eastAsia="Times New Roman" w:cstheme="minorHAnsi"/>
          <w:sz w:val="22"/>
          <w:lang w:val="hu-HU"/>
        </w:rPr>
        <w:t>ljárások megfele</w:t>
      </w:r>
      <w:r w:rsidR="004F43C7">
        <w:rPr>
          <w:rFonts w:eastAsia="Times New Roman" w:cstheme="minorHAnsi"/>
          <w:sz w:val="22"/>
          <w:lang w:val="hu-HU"/>
        </w:rPr>
        <w:t>lőségét.</w:t>
      </w:r>
    </w:p>
    <w:p w14:paraId="5397E40B" w14:textId="77777777" w:rsidR="00550874" w:rsidRDefault="00550874" w:rsidP="00270638">
      <w:pPr>
        <w:pStyle w:val="ListParagraph"/>
        <w:numPr>
          <w:ilvl w:val="0"/>
          <w:numId w:val="12"/>
        </w:numPr>
        <w:ind w:right="-3139"/>
        <w:contextualSpacing w:val="0"/>
        <w:textAlignment w:val="center"/>
        <w:rPr>
          <w:rFonts w:eastAsia="Times New Roman" w:cstheme="minorHAnsi"/>
          <w:sz w:val="22"/>
          <w:lang w:val="hu-HU"/>
        </w:rPr>
      </w:pPr>
      <w:r>
        <w:rPr>
          <w:rFonts w:eastAsia="Times New Roman" w:cstheme="minorHAnsi"/>
          <w:sz w:val="22"/>
          <w:lang w:val="hu-HU"/>
        </w:rPr>
        <w:t>Az adatok és információk előállításá</w:t>
      </w:r>
      <w:r w:rsidR="00FC5785">
        <w:rPr>
          <w:rFonts w:eastAsia="Times New Roman" w:cstheme="minorHAnsi"/>
          <w:sz w:val="22"/>
          <w:lang w:val="hu-HU"/>
        </w:rPr>
        <w:t>nak és külső féllel (értékelő és/vagy szanálási hatóság)</w:t>
      </w:r>
      <w:r w:rsidR="00B221A4">
        <w:rPr>
          <w:rFonts w:eastAsia="Times New Roman" w:cstheme="minorHAnsi"/>
          <w:sz w:val="22"/>
          <w:lang w:val="hu-HU"/>
        </w:rPr>
        <w:t xml:space="preserve"> történő megosztásának időtartamát.</w:t>
      </w:r>
    </w:p>
    <w:p w14:paraId="051458DC" w14:textId="77777777" w:rsidR="00556AF7" w:rsidRDefault="00F1099E" w:rsidP="00270638">
      <w:pPr>
        <w:ind w:left="360" w:right="-3139"/>
        <w:textAlignment w:val="center"/>
        <w:rPr>
          <w:rFonts w:eastAsia="Times New Roman" w:cstheme="minorHAnsi"/>
          <w:sz w:val="22"/>
          <w:lang w:val="hu-HU"/>
        </w:rPr>
      </w:pPr>
      <w:r>
        <w:rPr>
          <w:rFonts w:eastAsia="Times New Roman" w:cstheme="minorHAnsi"/>
          <w:sz w:val="22"/>
          <w:lang w:val="hu-HU"/>
        </w:rPr>
        <w:t>A szanálási hatóság a</w:t>
      </w:r>
      <w:r w:rsidR="00556AF7">
        <w:rPr>
          <w:rFonts w:eastAsia="Times New Roman" w:cstheme="minorHAnsi"/>
          <w:sz w:val="22"/>
          <w:lang w:val="hu-HU"/>
        </w:rPr>
        <w:t xml:space="preserve"> felügyeleti </w:t>
      </w:r>
      <w:r w:rsidR="00F8449C">
        <w:rPr>
          <w:rFonts w:eastAsia="Times New Roman" w:cstheme="minorHAnsi"/>
          <w:sz w:val="22"/>
          <w:lang w:val="hu-HU"/>
        </w:rPr>
        <w:t>felül</w:t>
      </w:r>
      <w:r>
        <w:rPr>
          <w:rFonts w:eastAsia="Times New Roman" w:cstheme="minorHAnsi"/>
          <w:sz w:val="22"/>
          <w:lang w:val="hu-HU"/>
        </w:rPr>
        <w:t>vizsgálatok</w:t>
      </w:r>
      <w:r w:rsidR="00050CC7">
        <w:rPr>
          <w:rFonts w:eastAsia="Times New Roman" w:cstheme="minorHAnsi"/>
          <w:sz w:val="22"/>
          <w:lang w:val="hu-HU"/>
        </w:rPr>
        <w:t xml:space="preserve"> (</w:t>
      </w:r>
      <w:r w:rsidR="00C43360">
        <w:rPr>
          <w:rFonts w:eastAsia="Times New Roman" w:cstheme="minorHAnsi"/>
          <w:sz w:val="22"/>
          <w:lang w:val="hu-HU"/>
        </w:rPr>
        <w:t xml:space="preserve">átfogó és témavizsgálatok, </w:t>
      </w:r>
      <w:r w:rsidR="00050CC7">
        <w:rPr>
          <w:rFonts w:eastAsia="Times New Roman" w:cstheme="minorHAnsi"/>
          <w:sz w:val="22"/>
          <w:lang w:val="hu-HU"/>
        </w:rPr>
        <w:t>„</w:t>
      </w:r>
      <w:proofErr w:type="spellStart"/>
      <w:r w:rsidR="00050CC7">
        <w:rPr>
          <w:rFonts w:eastAsia="Times New Roman" w:cstheme="minorHAnsi"/>
          <w:sz w:val="22"/>
          <w:lang w:val="hu-HU"/>
        </w:rPr>
        <w:t>SREP</w:t>
      </w:r>
      <w:proofErr w:type="spellEnd"/>
      <w:r w:rsidR="00050CC7">
        <w:rPr>
          <w:rFonts w:eastAsia="Times New Roman" w:cstheme="minorHAnsi"/>
          <w:sz w:val="22"/>
          <w:lang w:val="hu-HU"/>
        </w:rPr>
        <w:t>”)</w:t>
      </w:r>
      <w:r>
        <w:rPr>
          <w:rFonts w:eastAsia="Times New Roman" w:cstheme="minorHAnsi"/>
          <w:sz w:val="22"/>
          <w:lang w:val="hu-HU"/>
        </w:rPr>
        <w:t xml:space="preserve"> eredményeit és megállapításait is </w:t>
      </w:r>
      <w:r w:rsidR="00C6107D">
        <w:rPr>
          <w:rFonts w:eastAsia="Times New Roman" w:cstheme="minorHAnsi"/>
          <w:sz w:val="22"/>
          <w:lang w:val="hu-HU"/>
        </w:rPr>
        <w:t>tekintetbe veheti.</w:t>
      </w:r>
    </w:p>
    <w:p w14:paraId="78A1A1BF" w14:textId="77777777" w:rsidR="00B53EBD" w:rsidRDefault="00B53EBD" w:rsidP="00270638">
      <w:pPr>
        <w:pStyle w:val="Heading2"/>
        <w:ind w:left="360" w:hanging="360"/>
      </w:pPr>
      <w:bookmarkStart w:id="24" w:name="_Toc153188951"/>
      <w:r>
        <w:t>Elvárások teljesítésének határideje</w:t>
      </w:r>
      <w:bookmarkEnd w:id="24"/>
    </w:p>
    <w:p w14:paraId="6BC71492" w14:textId="5F345D63" w:rsidR="00B53EBD" w:rsidRPr="00920E0F" w:rsidRDefault="00B53EBD" w:rsidP="00270638">
      <w:pPr>
        <w:ind w:right="-3110"/>
        <w:rPr>
          <w:b/>
          <w:bCs/>
          <w:sz w:val="22"/>
          <w:szCs w:val="24"/>
          <w:lang w:val="hu-HU"/>
        </w:rPr>
      </w:pPr>
      <w:r w:rsidRPr="00920E0F">
        <w:rPr>
          <w:sz w:val="22"/>
          <w:szCs w:val="24"/>
          <w:lang w:val="hu-HU"/>
        </w:rPr>
        <w:t xml:space="preserve">A jelen dokumentumban bemutatott elvárásoknak való </w:t>
      </w:r>
      <w:r w:rsidRPr="00920E0F">
        <w:rPr>
          <w:b/>
          <w:bCs/>
          <w:sz w:val="22"/>
          <w:szCs w:val="24"/>
          <w:lang w:val="hu-HU"/>
        </w:rPr>
        <w:t>teljes megfelelést az MNB</w:t>
      </w:r>
      <w:r w:rsidR="0054304F">
        <w:rPr>
          <w:b/>
          <w:bCs/>
          <w:sz w:val="22"/>
          <w:szCs w:val="24"/>
          <w:lang w:val="hu-HU"/>
        </w:rPr>
        <w:t xml:space="preserve"> – főszabály szerint </w:t>
      </w:r>
      <w:proofErr w:type="gramStart"/>
      <w:r w:rsidR="0054304F">
        <w:rPr>
          <w:b/>
          <w:bCs/>
          <w:sz w:val="22"/>
          <w:szCs w:val="24"/>
          <w:lang w:val="hu-HU"/>
        </w:rPr>
        <w:t xml:space="preserve">– </w:t>
      </w:r>
      <w:r w:rsidRPr="00920E0F">
        <w:rPr>
          <w:b/>
          <w:bCs/>
          <w:sz w:val="22"/>
          <w:szCs w:val="24"/>
          <w:lang w:val="hu-HU"/>
        </w:rPr>
        <w:t xml:space="preserve"> legkésőbb</w:t>
      </w:r>
      <w:proofErr w:type="gramEnd"/>
      <w:r w:rsidRPr="00920E0F">
        <w:rPr>
          <w:b/>
          <w:bCs/>
          <w:sz w:val="22"/>
          <w:szCs w:val="24"/>
          <w:lang w:val="hu-HU"/>
        </w:rPr>
        <w:t xml:space="preserve"> 202</w:t>
      </w:r>
      <w:r w:rsidR="00920E0F" w:rsidRPr="00920E0F">
        <w:rPr>
          <w:b/>
          <w:bCs/>
          <w:sz w:val="22"/>
          <w:szCs w:val="24"/>
          <w:lang w:val="hu-HU"/>
        </w:rPr>
        <w:t>5</w:t>
      </w:r>
      <w:r w:rsidRPr="00920E0F">
        <w:rPr>
          <w:b/>
          <w:bCs/>
          <w:sz w:val="22"/>
          <w:szCs w:val="24"/>
          <w:lang w:val="hu-HU"/>
        </w:rPr>
        <w:t>. december 31-re várja el</w:t>
      </w:r>
      <w:r w:rsidRPr="00920E0F">
        <w:rPr>
          <w:sz w:val="22"/>
          <w:szCs w:val="24"/>
          <w:lang w:val="hu-HU"/>
        </w:rPr>
        <w:t xml:space="preserve">. </w:t>
      </w:r>
      <w:r w:rsidR="00620E65">
        <w:rPr>
          <w:sz w:val="22"/>
          <w:szCs w:val="24"/>
          <w:lang w:val="hu-HU"/>
        </w:rPr>
        <w:t xml:space="preserve">E </w:t>
      </w:r>
      <w:r w:rsidRPr="00920E0F">
        <w:rPr>
          <w:sz w:val="22"/>
          <w:szCs w:val="24"/>
          <w:lang w:val="hu-HU"/>
        </w:rPr>
        <w:t>határidőre az érintett intézmény</w:t>
      </w:r>
      <w:r w:rsidR="00620E65">
        <w:rPr>
          <w:sz w:val="22"/>
          <w:szCs w:val="24"/>
          <w:lang w:val="hu-HU"/>
        </w:rPr>
        <w:t>eknek</w:t>
      </w:r>
      <w:r w:rsidRPr="00920E0F">
        <w:rPr>
          <w:sz w:val="22"/>
          <w:szCs w:val="24"/>
          <w:lang w:val="hu-HU"/>
        </w:rPr>
        <w:t xml:space="preserve"> a belső ellenőrzés</w:t>
      </w:r>
      <w:r w:rsidR="00620E65">
        <w:rPr>
          <w:sz w:val="22"/>
          <w:szCs w:val="24"/>
          <w:lang w:val="hu-HU"/>
        </w:rPr>
        <w:t xml:space="preserve">e </w:t>
      </w:r>
      <w:r w:rsidRPr="00920E0F">
        <w:rPr>
          <w:sz w:val="22"/>
          <w:szCs w:val="24"/>
          <w:lang w:val="hu-HU"/>
        </w:rPr>
        <w:t>által elvégzett vizsgálat</w:t>
      </w:r>
      <w:r w:rsidR="00620E65">
        <w:rPr>
          <w:sz w:val="22"/>
          <w:szCs w:val="24"/>
          <w:lang w:val="hu-HU"/>
        </w:rPr>
        <w:t>ról készült</w:t>
      </w:r>
      <w:r w:rsidRPr="00920E0F">
        <w:rPr>
          <w:sz w:val="22"/>
          <w:szCs w:val="24"/>
          <w:lang w:val="hu-HU"/>
        </w:rPr>
        <w:t xml:space="preserve"> jelentésének bemutatásával igazolja az elvárások teljesítését.</w:t>
      </w:r>
    </w:p>
    <w:p w14:paraId="4F6D0C5D" w14:textId="5D198CE1" w:rsidR="00B53EBD" w:rsidRPr="00EA2255" w:rsidRDefault="00B53EBD" w:rsidP="00270638">
      <w:pPr>
        <w:ind w:right="-3107"/>
        <w:rPr>
          <w:b/>
          <w:bCs/>
          <w:sz w:val="22"/>
          <w:szCs w:val="24"/>
          <w:lang w:val="hu-HU"/>
        </w:rPr>
      </w:pPr>
      <w:r w:rsidRPr="00920E0F">
        <w:rPr>
          <w:sz w:val="22"/>
          <w:szCs w:val="24"/>
          <w:lang w:val="hu-HU"/>
        </w:rPr>
        <w:t xml:space="preserve">A szanálási értékelésekhez szükséges </w:t>
      </w:r>
      <w:r w:rsidRPr="00920E0F">
        <w:rPr>
          <w:b/>
          <w:bCs/>
          <w:sz w:val="22"/>
          <w:szCs w:val="24"/>
          <w:lang w:val="hu-HU"/>
        </w:rPr>
        <w:t>adatszolgáltatási képesség kialakítása</w:t>
      </w:r>
      <w:r w:rsidRPr="00920E0F">
        <w:rPr>
          <w:sz w:val="22"/>
          <w:szCs w:val="24"/>
          <w:lang w:val="hu-HU"/>
        </w:rPr>
        <w:t xml:space="preserve"> esetében, figyelemmel egyrészt az elvárásoknak való megfeleléshez szükséges IT fejlesztések idő- és erőforrásigényére, a kapcsolódó vállalatirányítási és adatszolgáltatási és kontroll folyamatok fejlesztésének szükségességére, másrészt az intézményi adottságok </w:t>
      </w:r>
      <w:r w:rsidRPr="00920E0F">
        <w:rPr>
          <w:sz w:val="22"/>
          <w:szCs w:val="24"/>
          <w:lang w:val="hu-HU"/>
        </w:rPr>
        <w:lastRenderedPageBreak/>
        <w:t xml:space="preserve">eltéréseire, az </w:t>
      </w:r>
      <w:r w:rsidRPr="00920E0F">
        <w:rPr>
          <w:b/>
          <w:bCs/>
          <w:sz w:val="22"/>
          <w:szCs w:val="24"/>
          <w:lang w:val="hu-HU"/>
        </w:rPr>
        <w:t xml:space="preserve">MNB </w:t>
      </w:r>
      <w:r w:rsidR="00EA2255" w:rsidRPr="00270638">
        <w:rPr>
          <w:sz w:val="24"/>
          <w:szCs w:val="24"/>
        </w:rPr>
        <w:t xml:space="preserve">2023. </w:t>
      </w:r>
      <w:proofErr w:type="spellStart"/>
      <w:r w:rsidR="00EA2255" w:rsidRPr="00270638">
        <w:rPr>
          <w:sz w:val="24"/>
          <w:szCs w:val="24"/>
        </w:rPr>
        <w:t>december</w:t>
      </w:r>
      <w:proofErr w:type="spellEnd"/>
      <w:r w:rsidR="00EA2255" w:rsidRPr="00270638">
        <w:rPr>
          <w:sz w:val="24"/>
          <w:szCs w:val="24"/>
        </w:rPr>
        <w:t xml:space="preserve"> 31-ig </w:t>
      </w:r>
      <w:proofErr w:type="spellStart"/>
      <w:r w:rsidR="00EA2255" w:rsidRPr="00270638">
        <w:rPr>
          <w:sz w:val="24"/>
          <w:szCs w:val="24"/>
        </w:rPr>
        <w:t>előzetes</w:t>
      </w:r>
      <w:proofErr w:type="spellEnd"/>
      <w:r w:rsidR="00EA2255" w:rsidRPr="00270638">
        <w:rPr>
          <w:sz w:val="24"/>
          <w:szCs w:val="24"/>
        </w:rPr>
        <w:t xml:space="preserve"> </w:t>
      </w:r>
      <w:proofErr w:type="spellStart"/>
      <w:r w:rsidR="00EA2255" w:rsidRPr="00270638">
        <w:rPr>
          <w:b/>
          <w:bCs/>
          <w:sz w:val="24"/>
          <w:szCs w:val="24"/>
        </w:rPr>
        <w:t>egyedi</w:t>
      </w:r>
      <w:proofErr w:type="spellEnd"/>
      <w:r w:rsidR="00EA2255" w:rsidRPr="00270638">
        <w:rPr>
          <w:b/>
          <w:bCs/>
          <w:sz w:val="24"/>
          <w:szCs w:val="24"/>
        </w:rPr>
        <w:t xml:space="preserve"> </w:t>
      </w:r>
      <w:proofErr w:type="spellStart"/>
      <w:r w:rsidR="00EA2255" w:rsidRPr="00270638">
        <w:rPr>
          <w:b/>
          <w:bCs/>
          <w:sz w:val="24"/>
          <w:szCs w:val="24"/>
        </w:rPr>
        <w:t>megfelelési</w:t>
      </w:r>
      <w:proofErr w:type="spellEnd"/>
      <w:r w:rsidR="00EA2255" w:rsidRPr="00270638">
        <w:rPr>
          <w:b/>
          <w:bCs/>
          <w:sz w:val="24"/>
          <w:szCs w:val="24"/>
        </w:rPr>
        <w:t xml:space="preserve"> </w:t>
      </w:r>
      <w:proofErr w:type="spellStart"/>
      <w:r w:rsidR="00EA2255" w:rsidRPr="00270638">
        <w:rPr>
          <w:b/>
          <w:bCs/>
          <w:sz w:val="24"/>
          <w:szCs w:val="24"/>
        </w:rPr>
        <w:t>összefoglalót</w:t>
      </w:r>
      <w:proofErr w:type="spellEnd"/>
      <w:r w:rsidR="00EA2255" w:rsidRPr="00270638">
        <w:rPr>
          <w:b/>
          <w:bCs/>
          <w:sz w:val="24"/>
          <w:szCs w:val="24"/>
        </w:rPr>
        <w:t xml:space="preserve">, </w:t>
      </w:r>
      <w:proofErr w:type="spellStart"/>
      <w:r w:rsidR="00EA2255" w:rsidRPr="00270638">
        <w:rPr>
          <w:b/>
          <w:bCs/>
          <w:sz w:val="24"/>
          <w:szCs w:val="24"/>
        </w:rPr>
        <w:t>majd</w:t>
      </w:r>
      <w:proofErr w:type="spellEnd"/>
      <w:r w:rsidR="00EA2255" w:rsidRPr="00270638">
        <w:rPr>
          <w:b/>
          <w:bCs/>
          <w:sz w:val="24"/>
          <w:szCs w:val="24"/>
        </w:rPr>
        <w:t xml:space="preserve"> 2024. </w:t>
      </w:r>
      <w:proofErr w:type="spellStart"/>
      <w:r w:rsidR="00EA2255" w:rsidRPr="00270638">
        <w:rPr>
          <w:b/>
          <w:bCs/>
          <w:sz w:val="24"/>
          <w:szCs w:val="24"/>
        </w:rPr>
        <w:t>március</w:t>
      </w:r>
      <w:proofErr w:type="spellEnd"/>
      <w:r w:rsidR="00EA2255" w:rsidRPr="00270638">
        <w:rPr>
          <w:b/>
          <w:bCs/>
          <w:sz w:val="24"/>
          <w:szCs w:val="24"/>
        </w:rPr>
        <w:t xml:space="preserve"> 31-ig </w:t>
      </w:r>
      <w:proofErr w:type="spellStart"/>
      <w:r w:rsidR="00EA2255" w:rsidRPr="00270638">
        <w:rPr>
          <w:b/>
          <w:bCs/>
          <w:sz w:val="24"/>
          <w:szCs w:val="24"/>
        </w:rPr>
        <w:t>részletes</w:t>
      </w:r>
      <w:proofErr w:type="spellEnd"/>
      <w:r w:rsidR="00EA2255" w:rsidRPr="00270638">
        <w:rPr>
          <w:b/>
          <w:bCs/>
          <w:sz w:val="24"/>
          <w:szCs w:val="24"/>
        </w:rPr>
        <w:t xml:space="preserve"> </w:t>
      </w:r>
      <w:proofErr w:type="spellStart"/>
      <w:r w:rsidR="00EA2255" w:rsidRPr="00270638">
        <w:rPr>
          <w:b/>
          <w:bCs/>
          <w:sz w:val="24"/>
          <w:szCs w:val="24"/>
        </w:rPr>
        <w:t>egyedi</w:t>
      </w:r>
      <w:proofErr w:type="spellEnd"/>
      <w:r w:rsidR="00EA2255" w:rsidRPr="00270638">
        <w:rPr>
          <w:b/>
          <w:bCs/>
          <w:sz w:val="24"/>
          <w:szCs w:val="24"/>
        </w:rPr>
        <w:t xml:space="preserve"> </w:t>
      </w:r>
      <w:proofErr w:type="spellStart"/>
      <w:r w:rsidR="00EA2255" w:rsidRPr="00270638">
        <w:rPr>
          <w:b/>
          <w:bCs/>
          <w:sz w:val="24"/>
          <w:szCs w:val="24"/>
        </w:rPr>
        <w:t>projekt</w:t>
      </w:r>
      <w:proofErr w:type="spellEnd"/>
      <w:r w:rsidR="00EA2255" w:rsidRPr="00270638">
        <w:rPr>
          <w:b/>
          <w:bCs/>
          <w:sz w:val="24"/>
          <w:szCs w:val="24"/>
        </w:rPr>
        <w:t xml:space="preserve"> </w:t>
      </w:r>
      <w:proofErr w:type="spellStart"/>
      <w:r w:rsidR="00EA2255" w:rsidRPr="00270638">
        <w:rPr>
          <w:b/>
          <w:bCs/>
          <w:sz w:val="24"/>
          <w:szCs w:val="24"/>
        </w:rPr>
        <w:t>ütemtervet</w:t>
      </w:r>
      <w:proofErr w:type="spellEnd"/>
      <w:r w:rsidR="00EA2255" w:rsidRPr="00270638">
        <w:rPr>
          <w:b/>
          <w:bCs/>
          <w:sz w:val="24"/>
          <w:szCs w:val="24"/>
        </w:rPr>
        <w:t xml:space="preserve"> </w:t>
      </w:r>
      <w:proofErr w:type="spellStart"/>
      <w:r w:rsidR="00EA2255" w:rsidRPr="00270638">
        <w:rPr>
          <w:b/>
          <w:bCs/>
          <w:sz w:val="24"/>
          <w:szCs w:val="24"/>
        </w:rPr>
        <w:t>kell</w:t>
      </w:r>
      <w:proofErr w:type="spellEnd"/>
      <w:r w:rsidR="00EA2255" w:rsidRPr="00270638">
        <w:rPr>
          <w:b/>
          <w:bCs/>
          <w:sz w:val="24"/>
          <w:szCs w:val="24"/>
        </w:rPr>
        <w:t xml:space="preserve"> </w:t>
      </w:r>
      <w:proofErr w:type="spellStart"/>
      <w:r w:rsidR="00EA2255" w:rsidRPr="00270638">
        <w:rPr>
          <w:b/>
          <w:bCs/>
          <w:sz w:val="24"/>
          <w:szCs w:val="24"/>
        </w:rPr>
        <w:t>kialakítaniuk</w:t>
      </w:r>
      <w:proofErr w:type="spellEnd"/>
      <w:r w:rsidR="00620E65" w:rsidRPr="00EA2255">
        <w:rPr>
          <w:b/>
          <w:bCs/>
          <w:sz w:val="22"/>
          <w:szCs w:val="24"/>
          <w:lang w:val="hu-HU"/>
        </w:rPr>
        <w:t>.</w:t>
      </w:r>
    </w:p>
    <w:p w14:paraId="69CFCC62" w14:textId="087CA263" w:rsidR="00B53EBD" w:rsidRPr="00AD778A" w:rsidRDefault="00B53EBD" w:rsidP="00270638">
      <w:pPr>
        <w:ind w:right="-3107"/>
        <w:rPr>
          <w:b/>
          <w:bCs/>
          <w:sz w:val="22"/>
          <w:lang w:val="hu-HU"/>
        </w:rPr>
      </w:pPr>
      <w:r w:rsidRPr="00EA2255">
        <w:rPr>
          <w:sz w:val="22"/>
          <w:szCs w:val="24"/>
          <w:lang w:val="hu-HU"/>
        </w:rPr>
        <w:t xml:space="preserve">Az </w:t>
      </w:r>
      <w:proofErr w:type="spellStart"/>
      <w:r w:rsidR="00EA2255" w:rsidRPr="00270638">
        <w:rPr>
          <w:b/>
          <w:bCs/>
          <w:sz w:val="24"/>
          <w:szCs w:val="24"/>
        </w:rPr>
        <w:t>részletes</w:t>
      </w:r>
      <w:proofErr w:type="spellEnd"/>
      <w:r w:rsidR="00EA2255" w:rsidRPr="00270638">
        <w:rPr>
          <w:b/>
          <w:bCs/>
          <w:sz w:val="24"/>
          <w:szCs w:val="24"/>
        </w:rPr>
        <w:t xml:space="preserve"> </w:t>
      </w:r>
      <w:proofErr w:type="spellStart"/>
      <w:r w:rsidR="00EA2255" w:rsidRPr="00270638">
        <w:rPr>
          <w:b/>
          <w:bCs/>
          <w:sz w:val="24"/>
          <w:szCs w:val="24"/>
        </w:rPr>
        <w:t>egyedi</w:t>
      </w:r>
      <w:proofErr w:type="spellEnd"/>
      <w:r w:rsidR="00EA2255" w:rsidRPr="00270638">
        <w:rPr>
          <w:b/>
          <w:bCs/>
          <w:sz w:val="24"/>
          <w:szCs w:val="24"/>
        </w:rPr>
        <w:t xml:space="preserve"> </w:t>
      </w:r>
      <w:proofErr w:type="spellStart"/>
      <w:r w:rsidR="00EA2255" w:rsidRPr="00270638">
        <w:rPr>
          <w:b/>
          <w:bCs/>
          <w:sz w:val="24"/>
          <w:szCs w:val="24"/>
        </w:rPr>
        <w:t>projekt</w:t>
      </w:r>
      <w:proofErr w:type="spellEnd"/>
      <w:r w:rsidR="00EA2255" w:rsidRPr="00270638">
        <w:rPr>
          <w:b/>
          <w:bCs/>
          <w:sz w:val="24"/>
          <w:szCs w:val="24"/>
        </w:rPr>
        <w:t xml:space="preserve"> </w:t>
      </w:r>
      <w:r w:rsidRPr="009329DF">
        <w:rPr>
          <w:sz w:val="22"/>
          <w:szCs w:val="24"/>
          <w:lang w:val="hu-HU"/>
        </w:rPr>
        <w:t xml:space="preserve">ütemterveknek részletesen szükséges tartalmaznia legalább a megvalósítandó célállapot leírását, a projektszervezet és projektirányítás bemutatását, a feladatokat, azok </w:t>
      </w:r>
      <w:r w:rsidRPr="00AD778A">
        <w:rPr>
          <w:sz w:val="22"/>
          <w:lang w:val="hu-HU"/>
        </w:rPr>
        <w:t>ütemezését, az egyes (rész)feladatok felelőseit, határidejét, a lehetséges kockázatokat és a kockázatok kezelésének tervét, valamint a projekt minőségbiztosítási tervét.</w:t>
      </w:r>
    </w:p>
    <w:p w14:paraId="3CE709D6" w14:textId="35006264" w:rsidR="00B53EBD" w:rsidRPr="00AD778A" w:rsidRDefault="00B53EBD" w:rsidP="00270638">
      <w:pPr>
        <w:pStyle w:val="ListParagraph"/>
        <w:numPr>
          <w:ilvl w:val="0"/>
          <w:numId w:val="42"/>
        </w:numPr>
        <w:ind w:right="-3110"/>
        <w:rPr>
          <w:b/>
          <w:bCs/>
          <w:sz w:val="22"/>
          <w:lang w:val="hu-HU"/>
        </w:rPr>
      </w:pPr>
      <w:r w:rsidRPr="00AD778A">
        <w:rPr>
          <w:sz w:val="22"/>
          <w:lang w:val="hu-HU"/>
        </w:rPr>
        <w:t xml:space="preserve">A </w:t>
      </w:r>
      <w:r w:rsidRPr="002F72AF">
        <w:rPr>
          <w:b/>
          <w:bCs/>
          <w:sz w:val="22"/>
        </w:rPr>
        <w:fldChar w:fldCharType="begin"/>
      </w:r>
      <w:r w:rsidRPr="002F72AF">
        <w:rPr>
          <w:sz w:val="22"/>
          <w:lang w:val="hu-HU"/>
        </w:rPr>
        <w:instrText xml:space="preserve"> REF _Ref118992838 \r \h </w:instrText>
      </w:r>
      <w:r w:rsidR="001A77EC" w:rsidRPr="002F72AF">
        <w:rPr>
          <w:b/>
          <w:bCs/>
          <w:sz w:val="22"/>
          <w:lang w:val="hu-HU"/>
        </w:rPr>
        <w:instrText xml:space="preserve"> \* MERGEFORMAT </w:instrText>
      </w:r>
      <w:r w:rsidRPr="002F72AF">
        <w:rPr>
          <w:b/>
          <w:bCs/>
          <w:sz w:val="22"/>
        </w:rPr>
      </w:r>
      <w:r w:rsidRPr="002F72AF">
        <w:rPr>
          <w:b/>
          <w:bCs/>
          <w:sz w:val="22"/>
        </w:rPr>
        <w:fldChar w:fldCharType="separate"/>
      </w:r>
      <w:r w:rsidR="00ED79E3" w:rsidRPr="002F72AF">
        <w:rPr>
          <w:sz w:val="22"/>
          <w:lang w:val="hu-HU"/>
        </w:rPr>
        <w:t>6.1</w:t>
      </w:r>
      <w:r w:rsidRPr="002F72AF">
        <w:rPr>
          <w:b/>
          <w:bCs/>
          <w:sz w:val="22"/>
        </w:rPr>
        <w:fldChar w:fldCharType="end"/>
      </w:r>
      <w:r w:rsidRPr="002F72AF">
        <w:rPr>
          <w:sz w:val="22"/>
          <w:lang w:val="hu-HU"/>
        </w:rPr>
        <w:t>.</w:t>
      </w:r>
      <w:r w:rsidRPr="00AD778A">
        <w:rPr>
          <w:sz w:val="22"/>
          <w:lang w:val="hu-HU"/>
        </w:rPr>
        <w:t xml:space="preserve"> pontban megfogalmazott elvárásoknak megfelelő </w:t>
      </w:r>
      <w:r w:rsidRPr="00AD778A">
        <w:rPr>
          <w:b/>
          <w:bCs/>
          <w:sz w:val="22"/>
          <w:lang w:val="hu-HU"/>
        </w:rPr>
        <w:t>modellkatalógus kialakítását az MNB 2023. december 31-ig várja el.</w:t>
      </w:r>
      <w:r w:rsidRPr="00AD778A">
        <w:rPr>
          <w:sz w:val="22"/>
          <w:lang w:val="hu-HU"/>
        </w:rPr>
        <w:t xml:space="preserve"> Az MNB elvárja, hogy ezen határidőre az érintett intézmény a modellkatalógus átadásával és a belső ellenőrzési funkciója által elvégzett, a modellkatalógus teljességét is értékelő vizsgálat jelentésének bemutatásával igazolja az elvárások teljesítését. </w:t>
      </w:r>
    </w:p>
    <w:p w14:paraId="06711AEE" w14:textId="77777777" w:rsidR="00B53EBD" w:rsidRPr="00270638" w:rsidRDefault="00B53EBD" w:rsidP="00270638">
      <w:pPr>
        <w:pStyle w:val="ListParagraph"/>
        <w:numPr>
          <w:ilvl w:val="0"/>
          <w:numId w:val="42"/>
        </w:numPr>
        <w:ind w:right="-3110"/>
        <w:rPr>
          <w:b/>
          <w:bCs/>
          <w:sz w:val="22"/>
          <w:lang w:val="hu-HU"/>
        </w:rPr>
      </w:pPr>
      <w:r w:rsidRPr="00AD778A">
        <w:rPr>
          <w:sz w:val="22"/>
          <w:lang w:val="hu-HU"/>
        </w:rPr>
        <w:t>A modellkatalógus alapján a lényeges modellek körének meghatározására, az összefoglaló dokumentum tartalmára, illetve az elkészítés ütemezésének kialakítására vonatkozóan a későbbi tervezési ciklusokban az MNB egyeztet az intézményekkel.</w:t>
      </w:r>
    </w:p>
    <w:p w14:paraId="6E205CC4" w14:textId="6ACB5FFB" w:rsidR="004E5805" w:rsidRPr="00270638" w:rsidRDefault="004E5805" w:rsidP="00270638">
      <w:pPr>
        <w:ind w:left="360" w:right="-3110"/>
        <w:rPr>
          <w:sz w:val="22"/>
          <w:lang w:val="hu-HU"/>
        </w:rPr>
      </w:pPr>
      <w:r w:rsidRPr="00270638">
        <w:rPr>
          <w:sz w:val="22"/>
          <w:lang w:val="hu-HU"/>
        </w:rPr>
        <w:t xml:space="preserve">Fentieken túl, összhangban az </w:t>
      </w:r>
      <w:proofErr w:type="spellStart"/>
      <w:r w:rsidRPr="00270638">
        <w:rPr>
          <w:sz w:val="22"/>
          <w:lang w:val="hu-HU"/>
        </w:rPr>
        <w:t>EBA</w:t>
      </w:r>
      <w:proofErr w:type="spellEnd"/>
      <w:r w:rsidRPr="00270638">
        <w:rPr>
          <w:sz w:val="22"/>
          <w:lang w:val="hu-HU"/>
        </w:rPr>
        <w:t xml:space="preserve"> vonatkozó iránymutatásaival</w:t>
      </w:r>
      <w:r w:rsidR="00350108" w:rsidRPr="00270638">
        <w:rPr>
          <w:rStyle w:val="FootnoteReference"/>
          <w:sz w:val="22"/>
        </w:rPr>
        <w:footnoteReference w:id="7"/>
      </w:r>
      <w:r w:rsidRPr="00270638">
        <w:rPr>
          <w:sz w:val="22"/>
          <w:lang w:val="hu-HU"/>
        </w:rPr>
        <w:t xml:space="preserve">, az érintett intézményeknek első alkalommal 2024. december 31-ig, majd azt követően kétévente önértékelési jelentést kell készíteniük a </w:t>
      </w:r>
      <w:proofErr w:type="spellStart"/>
      <w:r w:rsidRPr="00270638">
        <w:rPr>
          <w:sz w:val="22"/>
          <w:lang w:val="hu-HU"/>
        </w:rPr>
        <w:t>szanálhatóságukkal</w:t>
      </w:r>
      <w:proofErr w:type="spellEnd"/>
      <w:r w:rsidRPr="00270638">
        <w:rPr>
          <w:sz w:val="22"/>
          <w:lang w:val="hu-HU"/>
        </w:rPr>
        <w:t xml:space="preserve"> szemben támasztott egyes elvárásoknak való megfelelésről, ideértve a vezetői információs rendszereknek a jelen előterjesztés szerinti adatszolgáltatási képességét is. Az önértékelési jelentés alapján, a szanálási feladatkörében eljáró MNB többéves szanálhatósági tesztelési programot fog elfogadni az intézmények vonatkozásában, amelynek része lesz a fenti képesség megfelelőségének tesztelése érdekében.     </w:t>
      </w:r>
    </w:p>
    <w:p w14:paraId="1A3DD070" w14:textId="7F6C6F8E" w:rsidR="00652DF2" w:rsidRPr="00270638" w:rsidRDefault="00652DF2" w:rsidP="00270638">
      <w:pPr>
        <w:ind w:left="360" w:right="-3110"/>
        <w:rPr>
          <w:b/>
          <w:bCs/>
          <w:sz w:val="22"/>
          <w:lang w:val="hu-HU"/>
        </w:rPr>
      </w:pPr>
      <w:r w:rsidRPr="00270638">
        <w:rPr>
          <w:b/>
          <w:bCs/>
          <w:sz w:val="22"/>
          <w:lang w:val="hu-HU"/>
        </w:rPr>
        <w:t>Kiemelendő, hogy a célhoz kötöttség és az arányosság követelményeire való tekintettel az intézményeknek azon adatok szolgáltatására irányuló képességüket kell kiépíteni, amely a szanálási tervük szerinti szanálási stratégia végrehajtásához szükséges. Amennyiben a szanálási terv felülvizsgálata a szanálási stratégia megváltoztatását indokolja, a megváltozott szanálási stratégiához kapcsolódó adatok szolgáltatására irányuló elvárásnak a szanálási stratégia megváltozásának az érintett intézménnyel való MNB általi közlésétől számított 3 éven belül kell megfelelni.</w:t>
      </w:r>
    </w:p>
    <w:p w14:paraId="3C22DB2D" w14:textId="77777777" w:rsidR="00B53EBD" w:rsidRPr="00AD778A" w:rsidRDefault="00B53EBD" w:rsidP="00270638">
      <w:pPr>
        <w:pStyle w:val="Heading2"/>
      </w:pPr>
      <w:bookmarkStart w:id="25" w:name="_Toc153188952"/>
      <w:r w:rsidRPr="00AD778A">
        <w:t>Elvárások teljesítésének ellenőrzése, meg nem felelés következményei</w:t>
      </w:r>
      <w:bookmarkEnd w:id="25"/>
    </w:p>
    <w:p w14:paraId="203F2876" w14:textId="2281F2AB" w:rsidR="00B53EBD" w:rsidRPr="00AD778A" w:rsidRDefault="00B53EBD" w:rsidP="00270638">
      <w:pPr>
        <w:ind w:right="-3110"/>
        <w:rPr>
          <w:b/>
          <w:bCs/>
          <w:sz w:val="22"/>
          <w:lang w:val="hu-HU"/>
        </w:rPr>
      </w:pPr>
      <w:r w:rsidRPr="00AD778A">
        <w:rPr>
          <w:sz w:val="22"/>
          <w:lang w:val="hu-HU"/>
        </w:rPr>
        <w:lastRenderedPageBreak/>
        <w:t xml:space="preserve">Az MNB az </w:t>
      </w:r>
      <w:proofErr w:type="spellStart"/>
      <w:r w:rsidRPr="00AD778A">
        <w:rPr>
          <w:sz w:val="22"/>
          <w:lang w:val="hu-HU"/>
        </w:rPr>
        <w:t>EBA</w:t>
      </w:r>
      <w:proofErr w:type="spellEnd"/>
      <w:r w:rsidRPr="00AD778A">
        <w:rPr>
          <w:sz w:val="22"/>
          <w:lang w:val="hu-HU"/>
        </w:rPr>
        <w:t xml:space="preserve"> </w:t>
      </w:r>
      <w:proofErr w:type="spellStart"/>
      <w:r w:rsidRPr="00AD778A">
        <w:rPr>
          <w:sz w:val="22"/>
          <w:lang w:val="hu-HU"/>
        </w:rPr>
        <w:t>Resolvability</w:t>
      </w:r>
      <w:proofErr w:type="spellEnd"/>
      <w:r w:rsidRPr="00AD778A">
        <w:rPr>
          <w:sz w:val="22"/>
          <w:lang w:val="hu-HU"/>
        </w:rPr>
        <w:t xml:space="preserve"> </w:t>
      </w:r>
      <w:proofErr w:type="spellStart"/>
      <w:r w:rsidRPr="00AD778A">
        <w:rPr>
          <w:sz w:val="22"/>
          <w:lang w:val="hu-HU"/>
        </w:rPr>
        <w:t>Guidelines</w:t>
      </w:r>
      <w:proofErr w:type="spellEnd"/>
      <w:r w:rsidRPr="00AD778A">
        <w:rPr>
          <w:rStyle w:val="FootnoteReference"/>
          <w:sz w:val="22"/>
          <w:lang w:val="hu-HU"/>
        </w:rPr>
        <w:footnoteReference w:id="8"/>
      </w:r>
      <w:r w:rsidRPr="00AD778A">
        <w:rPr>
          <w:sz w:val="22"/>
          <w:lang w:val="hu-HU"/>
        </w:rPr>
        <w:t xml:space="preserve">  vezetői információs rendszerekre és </w:t>
      </w:r>
      <w:r w:rsidR="00D908F1" w:rsidRPr="00AD778A">
        <w:rPr>
          <w:sz w:val="22"/>
          <w:lang w:val="hu-HU"/>
        </w:rPr>
        <w:t>szanálási</w:t>
      </w:r>
      <w:r w:rsidRPr="00AD778A">
        <w:rPr>
          <w:sz w:val="22"/>
          <w:lang w:val="hu-HU"/>
        </w:rPr>
        <w:t xml:space="preserve"> értékeléshez szükséges adatszolgáltatási képességre vonatkozó elvárásainak teljesítését 2024. január 1-</w:t>
      </w:r>
      <w:r w:rsidR="00B234C6" w:rsidRPr="00AD778A">
        <w:rPr>
          <w:sz w:val="22"/>
          <w:lang w:val="hu-HU"/>
        </w:rPr>
        <w:t>jé</w:t>
      </w:r>
      <w:r w:rsidRPr="00AD778A">
        <w:rPr>
          <w:sz w:val="22"/>
          <w:lang w:val="hu-HU"/>
        </w:rPr>
        <w:t xml:space="preserve">től </w:t>
      </w:r>
      <w:r w:rsidR="009A4C3A" w:rsidRPr="00AD778A">
        <w:rPr>
          <w:sz w:val="22"/>
          <w:lang w:val="hu-HU"/>
        </w:rPr>
        <w:t xml:space="preserve">megfelelőnek </w:t>
      </w:r>
      <w:r w:rsidRPr="00AD778A">
        <w:rPr>
          <w:sz w:val="22"/>
          <w:lang w:val="hu-HU"/>
        </w:rPr>
        <w:t xml:space="preserve">értékeli, amennyiben az intézmény az MNB által megfelelőnek tartott </w:t>
      </w:r>
      <w:proofErr w:type="spellStart"/>
      <w:r w:rsidR="00AB246E" w:rsidRPr="000C308A">
        <w:rPr>
          <w:sz w:val="24"/>
          <w:szCs w:val="24"/>
        </w:rPr>
        <w:t>előzetes</w:t>
      </w:r>
      <w:proofErr w:type="spellEnd"/>
      <w:r w:rsidR="00AB246E" w:rsidRPr="000C308A">
        <w:rPr>
          <w:sz w:val="24"/>
          <w:szCs w:val="24"/>
        </w:rPr>
        <w:t xml:space="preserve"> </w:t>
      </w:r>
      <w:proofErr w:type="spellStart"/>
      <w:r w:rsidR="00AB246E" w:rsidRPr="000C308A">
        <w:rPr>
          <w:b/>
          <w:bCs/>
          <w:sz w:val="24"/>
          <w:szCs w:val="24"/>
        </w:rPr>
        <w:t>egyedi</w:t>
      </w:r>
      <w:proofErr w:type="spellEnd"/>
      <w:r w:rsidR="00AB246E" w:rsidRPr="000C308A">
        <w:rPr>
          <w:b/>
          <w:bCs/>
          <w:sz w:val="24"/>
          <w:szCs w:val="24"/>
        </w:rPr>
        <w:t xml:space="preserve"> </w:t>
      </w:r>
      <w:proofErr w:type="spellStart"/>
      <w:r w:rsidR="00AB246E" w:rsidRPr="000C308A">
        <w:rPr>
          <w:b/>
          <w:bCs/>
          <w:sz w:val="24"/>
          <w:szCs w:val="24"/>
        </w:rPr>
        <w:t>megfelelési</w:t>
      </w:r>
      <w:proofErr w:type="spellEnd"/>
      <w:r w:rsidR="00AB246E" w:rsidRPr="000C308A">
        <w:rPr>
          <w:b/>
          <w:bCs/>
          <w:sz w:val="24"/>
          <w:szCs w:val="24"/>
        </w:rPr>
        <w:t xml:space="preserve"> </w:t>
      </w:r>
      <w:proofErr w:type="spellStart"/>
      <w:r w:rsidR="00AB246E" w:rsidRPr="000C308A">
        <w:rPr>
          <w:b/>
          <w:bCs/>
          <w:sz w:val="24"/>
          <w:szCs w:val="24"/>
        </w:rPr>
        <w:t>összefoglaló</w:t>
      </w:r>
      <w:r w:rsidR="00AB246E">
        <w:rPr>
          <w:b/>
          <w:bCs/>
          <w:sz w:val="24"/>
          <w:szCs w:val="24"/>
        </w:rPr>
        <w:t>val</w:t>
      </w:r>
      <w:proofErr w:type="spellEnd"/>
      <w:r w:rsidR="00AB246E" w:rsidRPr="00AD778A" w:rsidDel="00AB246E">
        <w:rPr>
          <w:sz w:val="22"/>
          <w:lang w:val="hu-HU"/>
        </w:rPr>
        <w:t xml:space="preserve"> </w:t>
      </w:r>
      <w:r w:rsidRPr="00AD778A">
        <w:rPr>
          <w:sz w:val="22"/>
          <w:lang w:val="hu-HU"/>
        </w:rPr>
        <w:t xml:space="preserve">rendelkezik, és annak </w:t>
      </w:r>
      <w:r w:rsidR="00D57501" w:rsidRPr="00AD778A">
        <w:rPr>
          <w:sz w:val="22"/>
          <w:lang w:val="hu-HU"/>
        </w:rPr>
        <w:t>előrehaladásában nincs az ütemtervhez képest elmaradás</w:t>
      </w:r>
      <w:r w:rsidRPr="00AD778A">
        <w:rPr>
          <w:sz w:val="22"/>
          <w:lang w:val="hu-HU"/>
        </w:rPr>
        <w:t>.</w:t>
      </w:r>
    </w:p>
    <w:p w14:paraId="32000BE9" w14:textId="6E474097" w:rsidR="00B53EBD" w:rsidRPr="009329DF" w:rsidRDefault="00B53EBD" w:rsidP="00270638">
      <w:pPr>
        <w:ind w:right="-3110"/>
        <w:rPr>
          <w:b/>
          <w:bCs/>
          <w:sz w:val="22"/>
          <w:szCs w:val="24"/>
          <w:lang w:val="hu-HU"/>
        </w:rPr>
      </w:pPr>
      <w:r w:rsidRPr="00AD778A">
        <w:rPr>
          <w:sz w:val="22"/>
          <w:lang w:val="hu-HU"/>
        </w:rPr>
        <w:t xml:space="preserve">Az intézmények </w:t>
      </w:r>
      <w:proofErr w:type="spellStart"/>
      <w:r w:rsidR="00AB246E" w:rsidRPr="000C308A">
        <w:rPr>
          <w:b/>
          <w:bCs/>
          <w:sz w:val="24"/>
          <w:szCs w:val="24"/>
        </w:rPr>
        <w:t>részletes</w:t>
      </w:r>
      <w:proofErr w:type="spellEnd"/>
      <w:r w:rsidR="00AB246E" w:rsidRPr="000C308A">
        <w:rPr>
          <w:b/>
          <w:bCs/>
          <w:sz w:val="24"/>
          <w:szCs w:val="24"/>
        </w:rPr>
        <w:t xml:space="preserve"> </w:t>
      </w:r>
      <w:proofErr w:type="spellStart"/>
      <w:r w:rsidR="00AB246E" w:rsidRPr="000C308A">
        <w:rPr>
          <w:b/>
          <w:bCs/>
          <w:sz w:val="24"/>
          <w:szCs w:val="24"/>
        </w:rPr>
        <w:t>egyedi</w:t>
      </w:r>
      <w:proofErr w:type="spellEnd"/>
      <w:r w:rsidR="00AB246E" w:rsidRPr="000C308A">
        <w:rPr>
          <w:b/>
          <w:bCs/>
          <w:sz w:val="24"/>
          <w:szCs w:val="24"/>
        </w:rPr>
        <w:t xml:space="preserve"> </w:t>
      </w:r>
      <w:proofErr w:type="spellStart"/>
      <w:r w:rsidR="00AB246E" w:rsidRPr="000C308A">
        <w:rPr>
          <w:b/>
          <w:bCs/>
          <w:sz w:val="24"/>
          <w:szCs w:val="24"/>
        </w:rPr>
        <w:t>projekt</w:t>
      </w:r>
      <w:proofErr w:type="spellEnd"/>
      <w:r w:rsidR="00AB246E" w:rsidRPr="000C308A">
        <w:rPr>
          <w:b/>
          <w:bCs/>
          <w:sz w:val="24"/>
          <w:szCs w:val="24"/>
        </w:rPr>
        <w:t xml:space="preserve"> </w:t>
      </w:r>
      <w:r w:rsidRPr="00AD778A">
        <w:rPr>
          <w:sz w:val="22"/>
          <w:lang w:val="hu-HU"/>
        </w:rPr>
        <w:t>ütemterveinek megvalósítását</w:t>
      </w:r>
      <w:r w:rsidRPr="00920E0F">
        <w:rPr>
          <w:sz w:val="22"/>
          <w:szCs w:val="24"/>
          <w:lang w:val="hu-HU"/>
        </w:rPr>
        <w:t>, a megfelelés biztosítása érdekében tett előrelépést az MNB rendszeresen nyomon követi, és legalább az éves szanálhatósági vizsgálat eljárás során ellenőrzi.</w:t>
      </w:r>
      <w:r w:rsidRPr="009329DF">
        <w:rPr>
          <w:sz w:val="22"/>
          <w:szCs w:val="24"/>
          <w:lang w:val="hu-HU"/>
        </w:rPr>
        <w:t xml:space="preserve"> Az elvárások teljesítésének végső határidejét követően az MNB </w:t>
      </w:r>
      <w:r w:rsidR="00D57501">
        <w:rPr>
          <w:sz w:val="22"/>
          <w:szCs w:val="24"/>
          <w:lang w:val="hu-HU"/>
        </w:rPr>
        <w:t>továbbra is ellenőrizni fogja az adatszolgáltatási képesség megfelelőségét.</w:t>
      </w:r>
    </w:p>
    <w:p w14:paraId="46D5C9B4" w14:textId="541D6C50" w:rsidR="00B53EBD" w:rsidRPr="00C970BB" w:rsidRDefault="00B53EBD" w:rsidP="00270638">
      <w:pPr>
        <w:ind w:right="-3107"/>
        <w:rPr>
          <w:b/>
          <w:bCs/>
          <w:sz w:val="22"/>
          <w:lang w:val="hu-HU"/>
        </w:rPr>
      </w:pPr>
      <w:r w:rsidRPr="009329DF">
        <w:rPr>
          <w:sz w:val="22"/>
          <w:szCs w:val="24"/>
          <w:lang w:val="hu-HU"/>
        </w:rPr>
        <w:t xml:space="preserve">A </w:t>
      </w:r>
      <w:proofErr w:type="spellStart"/>
      <w:r w:rsidR="00AB246E" w:rsidRPr="000C308A">
        <w:rPr>
          <w:b/>
          <w:bCs/>
          <w:sz w:val="24"/>
          <w:szCs w:val="24"/>
        </w:rPr>
        <w:t>részletes</w:t>
      </w:r>
      <w:proofErr w:type="spellEnd"/>
      <w:r w:rsidR="00AB246E" w:rsidRPr="000C308A">
        <w:rPr>
          <w:b/>
          <w:bCs/>
          <w:sz w:val="24"/>
          <w:szCs w:val="24"/>
        </w:rPr>
        <w:t xml:space="preserve"> </w:t>
      </w:r>
      <w:proofErr w:type="spellStart"/>
      <w:r w:rsidR="00AB246E" w:rsidRPr="000C308A">
        <w:rPr>
          <w:b/>
          <w:bCs/>
          <w:sz w:val="24"/>
          <w:szCs w:val="24"/>
        </w:rPr>
        <w:t>egyedi</w:t>
      </w:r>
      <w:proofErr w:type="spellEnd"/>
      <w:r w:rsidR="00AB246E" w:rsidRPr="000C308A">
        <w:rPr>
          <w:b/>
          <w:bCs/>
          <w:sz w:val="24"/>
          <w:szCs w:val="24"/>
        </w:rPr>
        <w:t xml:space="preserve"> </w:t>
      </w:r>
      <w:proofErr w:type="spellStart"/>
      <w:r w:rsidR="00AB246E" w:rsidRPr="000C308A">
        <w:rPr>
          <w:b/>
          <w:bCs/>
          <w:sz w:val="24"/>
          <w:szCs w:val="24"/>
        </w:rPr>
        <w:t>projekt</w:t>
      </w:r>
      <w:proofErr w:type="spellEnd"/>
      <w:r w:rsidRPr="009329DF">
        <w:rPr>
          <w:sz w:val="22"/>
          <w:szCs w:val="24"/>
          <w:lang w:val="hu-HU"/>
        </w:rPr>
        <w:t xml:space="preserve"> ütemterv végrehajtásának nem megfelelő előrehaladását, illetve 202</w:t>
      </w:r>
      <w:r w:rsidR="00920E0F" w:rsidRPr="009329DF">
        <w:rPr>
          <w:sz w:val="22"/>
          <w:szCs w:val="24"/>
          <w:lang w:val="hu-HU"/>
        </w:rPr>
        <w:t>6</w:t>
      </w:r>
      <w:r w:rsidRPr="009329DF">
        <w:rPr>
          <w:sz w:val="22"/>
          <w:szCs w:val="24"/>
          <w:lang w:val="hu-HU"/>
        </w:rPr>
        <w:t>. január 1-</w:t>
      </w:r>
      <w:r w:rsidR="00B234C6">
        <w:rPr>
          <w:sz w:val="22"/>
          <w:szCs w:val="24"/>
          <w:lang w:val="hu-HU"/>
        </w:rPr>
        <w:t>j</w:t>
      </w:r>
      <w:r w:rsidRPr="009329DF">
        <w:rPr>
          <w:sz w:val="22"/>
          <w:szCs w:val="24"/>
          <w:lang w:val="hu-HU"/>
        </w:rPr>
        <w:t xml:space="preserve">ét követően a jelen dokumentumban részletezett elvárásoknak való meg nem felelést az MNB </w:t>
      </w:r>
      <w:r w:rsidR="00DB347E">
        <w:rPr>
          <w:sz w:val="22"/>
          <w:szCs w:val="24"/>
          <w:lang w:val="hu-HU"/>
        </w:rPr>
        <w:t xml:space="preserve">legalább </w:t>
      </w:r>
      <w:r w:rsidRPr="009329DF">
        <w:rPr>
          <w:sz w:val="22"/>
          <w:szCs w:val="24"/>
          <w:lang w:val="hu-HU"/>
        </w:rPr>
        <w:t xml:space="preserve">potenciálisszanálhatósági akadályként tekinti, </w:t>
      </w:r>
      <w:r w:rsidR="00DB347E">
        <w:rPr>
          <w:sz w:val="22"/>
          <w:szCs w:val="24"/>
          <w:lang w:val="hu-HU"/>
        </w:rPr>
        <w:t>de a körülmények</w:t>
      </w:r>
      <w:r w:rsidRPr="009329DF">
        <w:rPr>
          <w:sz w:val="22"/>
          <w:szCs w:val="24"/>
          <w:lang w:val="hu-HU"/>
        </w:rPr>
        <w:t xml:space="preserve"> egyedi értékelése</w:t>
      </w:r>
      <w:r w:rsidR="00DB347E">
        <w:rPr>
          <w:sz w:val="22"/>
          <w:szCs w:val="24"/>
          <w:lang w:val="hu-HU"/>
        </w:rPr>
        <w:t xml:space="preserve"> alapján</w:t>
      </w:r>
      <w:r w:rsidRPr="009329DF">
        <w:rPr>
          <w:sz w:val="22"/>
          <w:szCs w:val="24"/>
          <w:lang w:val="hu-HU"/>
        </w:rPr>
        <w:t xml:space="preserve">, </w:t>
      </w:r>
      <w:r w:rsidR="00DB347E" w:rsidRPr="00DB347E">
        <w:rPr>
          <w:sz w:val="22"/>
          <w:szCs w:val="24"/>
          <w:lang w:val="hu-HU"/>
        </w:rPr>
        <w:t xml:space="preserve">a hiányosság </w:t>
      </w:r>
      <w:r w:rsidR="00DB347E" w:rsidRPr="00C970BB">
        <w:rPr>
          <w:sz w:val="22"/>
          <w:lang w:val="hu-HU"/>
        </w:rPr>
        <w:t>súlyától függően, akár</w:t>
      </w:r>
      <w:r w:rsidRPr="00C970BB">
        <w:rPr>
          <w:sz w:val="22"/>
          <w:lang w:val="hu-HU"/>
        </w:rPr>
        <w:t xml:space="preserve"> jelentős szanálhatósági akadályk</w:t>
      </w:r>
      <w:r w:rsidR="00DB347E" w:rsidRPr="00C970BB">
        <w:rPr>
          <w:sz w:val="22"/>
          <w:lang w:val="hu-HU"/>
        </w:rPr>
        <w:t>ént is azonosíthatja</w:t>
      </w:r>
      <w:r w:rsidR="00AB246E" w:rsidRPr="00C970BB">
        <w:rPr>
          <w:sz w:val="22"/>
          <w:lang w:val="hu-HU"/>
        </w:rPr>
        <w:t>,</w:t>
      </w:r>
      <w:r w:rsidR="00D57501" w:rsidRPr="00C970BB">
        <w:rPr>
          <w:sz w:val="22"/>
          <w:lang w:val="hu-HU"/>
        </w:rPr>
        <w:t xml:space="preserve"> amely esetben a </w:t>
      </w:r>
      <w:proofErr w:type="spellStart"/>
      <w:r w:rsidR="00D57501" w:rsidRPr="00C970BB">
        <w:rPr>
          <w:sz w:val="22"/>
          <w:lang w:val="hu-HU"/>
        </w:rPr>
        <w:t>Szantv</w:t>
      </w:r>
      <w:proofErr w:type="spellEnd"/>
      <w:r w:rsidR="00D57501" w:rsidRPr="00C970BB">
        <w:rPr>
          <w:sz w:val="22"/>
          <w:lang w:val="hu-HU"/>
        </w:rPr>
        <w:t>. szerinti jogkövetkezményeket alkalmazza.</w:t>
      </w:r>
    </w:p>
    <w:p w14:paraId="297C2658" w14:textId="77777777" w:rsidR="00140E18" w:rsidRPr="00270638" w:rsidRDefault="004D2FA2" w:rsidP="00270638">
      <w:pPr>
        <w:pStyle w:val="Heading1"/>
        <w:ind w:left="360" w:hanging="360"/>
      </w:pPr>
      <w:bookmarkStart w:id="26" w:name="_Toc153188953"/>
      <w:r w:rsidRPr="00C970BB">
        <w:t>Figyelemfelhívás</w:t>
      </w:r>
      <w:bookmarkEnd w:id="26"/>
      <w:r w:rsidR="00FE5D2A" w:rsidRPr="00270638">
        <w:rPr>
          <w:b w:val="0"/>
        </w:rPr>
        <w:t xml:space="preserve"> </w:t>
      </w:r>
    </w:p>
    <w:p w14:paraId="6A259E8E" w14:textId="38BBB2BE" w:rsidR="003B2A4B" w:rsidRPr="00270638" w:rsidRDefault="00B07BC3" w:rsidP="00270638">
      <w:pPr>
        <w:ind w:right="-3141"/>
        <w:textAlignment w:val="center"/>
        <w:rPr>
          <w:sz w:val="22"/>
          <w:szCs w:val="24"/>
          <w:lang w:val="hu-HU"/>
        </w:rPr>
      </w:pPr>
      <w:r w:rsidRPr="00270638">
        <w:rPr>
          <w:sz w:val="22"/>
          <w:szCs w:val="24"/>
          <w:lang w:val="hu-HU"/>
        </w:rPr>
        <w:t xml:space="preserve">Jelen dokumentum előzetes, tájékoztató jellegű és az intézmények </w:t>
      </w:r>
      <w:r w:rsidR="0054304F" w:rsidRPr="00270638">
        <w:rPr>
          <w:sz w:val="22"/>
          <w:szCs w:val="24"/>
          <w:lang w:val="hu-HU"/>
        </w:rPr>
        <w:t xml:space="preserve">kötelezettségei teljesítésének elősegítését </w:t>
      </w:r>
      <w:r w:rsidRPr="00270638">
        <w:rPr>
          <w:sz w:val="22"/>
          <w:szCs w:val="24"/>
          <w:lang w:val="hu-HU"/>
        </w:rPr>
        <w:t>szolgálja a</w:t>
      </w:r>
      <w:r w:rsidR="0054304F" w:rsidRPr="00270638">
        <w:rPr>
          <w:sz w:val="22"/>
          <w:szCs w:val="24"/>
          <w:lang w:val="hu-HU"/>
        </w:rPr>
        <w:t xml:space="preserve"> szanálással összefüggő</w:t>
      </w:r>
      <w:r w:rsidRPr="00270638">
        <w:rPr>
          <w:sz w:val="22"/>
          <w:szCs w:val="24"/>
          <w:lang w:val="hu-HU"/>
        </w:rPr>
        <w:t xml:space="preserve"> adatszolgáltatás</w:t>
      </w:r>
      <w:r w:rsidR="0054304F" w:rsidRPr="00270638">
        <w:rPr>
          <w:sz w:val="22"/>
          <w:szCs w:val="24"/>
          <w:lang w:val="hu-HU"/>
        </w:rPr>
        <w:t>okka</w:t>
      </w:r>
      <w:r w:rsidRPr="00270638">
        <w:rPr>
          <w:sz w:val="22"/>
          <w:szCs w:val="24"/>
          <w:lang w:val="hu-HU"/>
        </w:rPr>
        <w:t xml:space="preserve">l kapcsolatos elvárások terén. </w:t>
      </w:r>
      <w:r w:rsidR="00B53EBD" w:rsidRPr="00270638">
        <w:rPr>
          <w:sz w:val="22"/>
          <w:szCs w:val="24"/>
          <w:lang w:val="hu-HU"/>
        </w:rPr>
        <w:t>Az MNB folyamatosan nyomon követi a vonatkozó jogszabályok</w:t>
      </w:r>
      <w:r w:rsidR="00330377" w:rsidRPr="00270638">
        <w:rPr>
          <w:sz w:val="22"/>
          <w:szCs w:val="24"/>
          <w:lang w:val="hu-HU"/>
        </w:rPr>
        <w:t xml:space="preserve"> </w:t>
      </w:r>
      <w:r w:rsidR="00B53EBD" w:rsidRPr="00270638">
        <w:rPr>
          <w:sz w:val="22"/>
          <w:szCs w:val="24"/>
          <w:lang w:val="hu-HU"/>
        </w:rPr>
        <w:t>esetleges változásait, az intézmények felkészülését és a nemzetközi gyakorlatokat, és szükség esetén felülvizsgálja</w:t>
      </w:r>
      <w:r w:rsidR="004D2FA2" w:rsidRPr="00270638">
        <w:rPr>
          <w:sz w:val="22"/>
          <w:szCs w:val="24"/>
          <w:lang w:val="hu-HU"/>
        </w:rPr>
        <w:t>, illetve</w:t>
      </w:r>
      <w:r w:rsidR="00B53EBD" w:rsidRPr="00270638">
        <w:rPr>
          <w:sz w:val="22"/>
          <w:szCs w:val="24"/>
          <w:lang w:val="hu-HU"/>
        </w:rPr>
        <w:t xml:space="preserve"> kiegészíti jelen dokumentumban megfogalmazott elvárásait</w:t>
      </w:r>
      <w:r w:rsidR="004D2FA2" w:rsidRPr="00270638">
        <w:rPr>
          <w:sz w:val="22"/>
          <w:szCs w:val="24"/>
          <w:lang w:val="hu-HU"/>
        </w:rPr>
        <w:t>. A</w:t>
      </w:r>
      <w:r w:rsidR="00140E18" w:rsidRPr="00270638">
        <w:rPr>
          <w:sz w:val="22"/>
          <w:szCs w:val="24"/>
          <w:lang w:val="hu-HU"/>
        </w:rPr>
        <w:t xml:space="preserve"> </w:t>
      </w:r>
      <w:r w:rsidR="0054304F" w:rsidRPr="00270638">
        <w:rPr>
          <w:sz w:val="22"/>
          <w:szCs w:val="24"/>
          <w:lang w:val="hu-HU"/>
        </w:rPr>
        <w:t xml:space="preserve">jelen dokumentum és </w:t>
      </w:r>
      <w:r w:rsidR="004D2FA2" w:rsidRPr="00270638">
        <w:rPr>
          <w:sz w:val="22"/>
          <w:szCs w:val="24"/>
          <w:lang w:val="hu-HU"/>
        </w:rPr>
        <w:t>az</w:t>
      </w:r>
      <w:r w:rsidR="0054304F" w:rsidRPr="00270638">
        <w:rPr>
          <w:sz w:val="22"/>
          <w:szCs w:val="24"/>
          <w:lang w:val="hu-HU"/>
        </w:rPr>
        <w:t xml:space="preserve"> irányadó jogszabály</w:t>
      </w:r>
      <w:r w:rsidR="004D2FA2" w:rsidRPr="00270638">
        <w:rPr>
          <w:sz w:val="22"/>
          <w:szCs w:val="24"/>
          <w:lang w:val="hu-HU"/>
        </w:rPr>
        <w:t xml:space="preserve">ok </w:t>
      </w:r>
      <w:r w:rsidR="0054304F" w:rsidRPr="00270638">
        <w:rPr>
          <w:sz w:val="22"/>
          <w:szCs w:val="24"/>
          <w:lang w:val="hu-HU"/>
        </w:rPr>
        <w:t>közötti eltérés esetén a mindenkor hatályos jogszabályok rendelkezései az irányadók.</w:t>
      </w:r>
      <w:r w:rsidR="00B53EBD" w:rsidRPr="00270638">
        <w:rPr>
          <w:sz w:val="22"/>
          <w:szCs w:val="24"/>
          <w:lang w:val="hu-HU"/>
        </w:rPr>
        <w:t xml:space="preserve"> </w:t>
      </w:r>
      <w:r w:rsidR="0054304F" w:rsidRPr="00270638">
        <w:rPr>
          <w:sz w:val="22"/>
          <w:szCs w:val="24"/>
          <w:lang w:val="hu-HU"/>
        </w:rPr>
        <w:t xml:space="preserve"> A szanálási feladatkörében eljáró MNB egyedi esetben a fenti dokumentumban foglaltaktól eltérhet.</w:t>
      </w:r>
    </w:p>
    <w:p w14:paraId="4040B009" w14:textId="0B36D0B4" w:rsidR="00C905CE" w:rsidRPr="00270638" w:rsidRDefault="009824E1" w:rsidP="00270638">
      <w:pPr>
        <w:ind w:right="-3141"/>
        <w:textAlignment w:val="center"/>
        <w:rPr>
          <w:sz w:val="22"/>
          <w:szCs w:val="24"/>
          <w:lang w:val="hu-HU"/>
        </w:rPr>
      </w:pPr>
      <w:r w:rsidRPr="00270638">
        <w:rPr>
          <w:sz w:val="22"/>
          <w:szCs w:val="24"/>
          <w:lang w:val="hu-HU"/>
        </w:rPr>
        <w:t xml:space="preserve">A </w:t>
      </w:r>
      <w:r w:rsidR="00947EFB" w:rsidRPr="00270638">
        <w:rPr>
          <w:sz w:val="22"/>
          <w:szCs w:val="24"/>
          <w:lang w:val="hu-HU"/>
        </w:rPr>
        <w:t>jelen</w:t>
      </w:r>
      <w:r w:rsidRPr="00270638">
        <w:rPr>
          <w:sz w:val="22"/>
          <w:szCs w:val="24"/>
          <w:lang w:val="hu-HU"/>
        </w:rPr>
        <w:t xml:space="preserve"> dokumentumban található </w:t>
      </w:r>
      <w:r w:rsidR="00D232DC" w:rsidRPr="00270638">
        <w:rPr>
          <w:sz w:val="22"/>
          <w:szCs w:val="24"/>
          <w:lang w:val="hu-HU"/>
        </w:rPr>
        <w:t>információk</w:t>
      </w:r>
      <w:r w:rsidR="00DA7AAA" w:rsidRPr="00270638">
        <w:rPr>
          <w:sz w:val="22"/>
          <w:szCs w:val="24"/>
          <w:lang w:val="hu-HU"/>
        </w:rPr>
        <w:t xml:space="preserve"> és megállapítások</w:t>
      </w:r>
      <w:r w:rsidR="00D232DC" w:rsidRPr="00270638">
        <w:rPr>
          <w:sz w:val="22"/>
          <w:szCs w:val="24"/>
          <w:lang w:val="hu-HU"/>
        </w:rPr>
        <w:t xml:space="preserve"> </w:t>
      </w:r>
      <w:r w:rsidR="00DA7AAA" w:rsidRPr="00270638">
        <w:rPr>
          <w:sz w:val="22"/>
          <w:szCs w:val="24"/>
          <w:lang w:val="hu-HU"/>
        </w:rPr>
        <w:t>kizárólag</w:t>
      </w:r>
      <w:r w:rsidR="00CA3CD3" w:rsidRPr="00270638">
        <w:rPr>
          <w:sz w:val="22"/>
          <w:szCs w:val="24"/>
          <w:lang w:val="hu-HU"/>
        </w:rPr>
        <w:t xml:space="preserve"> általános jellegűek</w:t>
      </w:r>
      <w:r w:rsidR="00AA7179" w:rsidRPr="00270638">
        <w:rPr>
          <w:sz w:val="22"/>
          <w:szCs w:val="24"/>
          <w:lang w:val="hu-HU"/>
        </w:rPr>
        <w:t xml:space="preserve"> és nem </w:t>
      </w:r>
      <w:r w:rsidR="001343AE" w:rsidRPr="00270638">
        <w:rPr>
          <w:sz w:val="22"/>
          <w:szCs w:val="24"/>
          <w:lang w:val="hu-HU"/>
        </w:rPr>
        <w:t>célj</w:t>
      </w:r>
      <w:r w:rsidR="00E9695A" w:rsidRPr="00270638">
        <w:rPr>
          <w:sz w:val="22"/>
          <w:szCs w:val="24"/>
          <w:lang w:val="hu-HU"/>
        </w:rPr>
        <w:t>uk</w:t>
      </w:r>
      <w:r w:rsidR="004C7F9C" w:rsidRPr="00270638">
        <w:rPr>
          <w:sz w:val="22"/>
          <w:szCs w:val="24"/>
          <w:lang w:val="hu-HU"/>
        </w:rPr>
        <w:t>, hogy</w:t>
      </w:r>
      <w:r w:rsidR="00DA7AAA" w:rsidRPr="00270638">
        <w:rPr>
          <w:sz w:val="22"/>
          <w:szCs w:val="24"/>
          <w:lang w:val="hu-HU"/>
        </w:rPr>
        <w:t xml:space="preserve"> </w:t>
      </w:r>
      <w:r w:rsidR="00EB4550" w:rsidRPr="00270638">
        <w:rPr>
          <w:sz w:val="22"/>
          <w:szCs w:val="24"/>
          <w:lang w:val="hu-HU"/>
        </w:rPr>
        <w:t xml:space="preserve">adott intézmény vagy szanálási </w:t>
      </w:r>
      <w:r w:rsidR="00A628CA" w:rsidRPr="00270638">
        <w:rPr>
          <w:sz w:val="22"/>
          <w:szCs w:val="24"/>
          <w:lang w:val="hu-HU"/>
        </w:rPr>
        <w:t>ügy</w:t>
      </w:r>
      <w:r w:rsidR="00A01F8A" w:rsidRPr="00270638">
        <w:rPr>
          <w:sz w:val="22"/>
          <w:szCs w:val="24"/>
          <w:lang w:val="hu-HU"/>
        </w:rPr>
        <w:t xml:space="preserve"> </w:t>
      </w:r>
      <w:r w:rsidR="00E63D8B" w:rsidRPr="00270638">
        <w:rPr>
          <w:sz w:val="22"/>
          <w:szCs w:val="24"/>
          <w:lang w:val="hu-HU"/>
        </w:rPr>
        <w:t xml:space="preserve">konkrét </w:t>
      </w:r>
      <w:r w:rsidR="00AD4DF3" w:rsidRPr="00270638">
        <w:rPr>
          <w:sz w:val="22"/>
          <w:szCs w:val="24"/>
          <w:lang w:val="hu-HU"/>
        </w:rPr>
        <w:t>körülményeire megoldást nyújtson</w:t>
      </w:r>
      <w:r w:rsidR="0054304F" w:rsidRPr="00270638">
        <w:rPr>
          <w:sz w:val="22"/>
          <w:szCs w:val="24"/>
          <w:lang w:val="hu-HU"/>
        </w:rPr>
        <w:t>, így az abban foglalt információk és megállapítások semmilyen körülmények között nem tekinthetők szakmai vagy jogi tanácsadásnak</w:t>
      </w:r>
      <w:r w:rsidR="00330377" w:rsidRPr="00270638">
        <w:rPr>
          <w:sz w:val="22"/>
          <w:szCs w:val="24"/>
          <w:lang w:val="hu-HU"/>
        </w:rPr>
        <w:t>.</w:t>
      </w:r>
    </w:p>
    <w:p w14:paraId="0CAE2C2E" w14:textId="77777777" w:rsidR="001A1BF5" w:rsidRPr="00270638" w:rsidRDefault="00986374" w:rsidP="00270638">
      <w:pPr>
        <w:ind w:right="-3141"/>
        <w:textAlignment w:val="center"/>
        <w:rPr>
          <w:sz w:val="22"/>
          <w:szCs w:val="24"/>
          <w:lang w:val="hu-HU"/>
        </w:rPr>
      </w:pPr>
      <w:r w:rsidRPr="00270638">
        <w:rPr>
          <w:sz w:val="22"/>
          <w:szCs w:val="24"/>
          <w:lang w:val="hu-HU"/>
        </w:rPr>
        <w:t xml:space="preserve">A </w:t>
      </w:r>
      <w:r w:rsidR="00EB631F" w:rsidRPr="00270638">
        <w:rPr>
          <w:sz w:val="22"/>
          <w:szCs w:val="24"/>
          <w:lang w:val="hu-HU"/>
        </w:rPr>
        <w:t xml:space="preserve">jelen dokumentumban </w:t>
      </w:r>
      <w:r w:rsidR="00515AAD" w:rsidRPr="00270638">
        <w:rPr>
          <w:sz w:val="22"/>
          <w:szCs w:val="24"/>
          <w:lang w:val="hu-HU"/>
        </w:rPr>
        <w:t>megfogalmazott információk és megállapítások</w:t>
      </w:r>
      <w:r w:rsidRPr="00270638">
        <w:rPr>
          <w:sz w:val="22"/>
          <w:szCs w:val="24"/>
          <w:lang w:val="hu-HU"/>
        </w:rPr>
        <w:t xml:space="preserve"> nem </w:t>
      </w:r>
      <w:r w:rsidR="002A4CEB" w:rsidRPr="00270638">
        <w:rPr>
          <w:sz w:val="22"/>
          <w:szCs w:val="24"/>
          <w:lang w:val="hu-HU"/>
        </w:rPr>
        <w:t>korlátozz</w:t>
      </w:r>
      <w:r w:rsidR="00515AAD" w:rsidRPr="00270638">
        <w:rPr>
          <w:sz w:val="22"/>
          <w:szCs w:val="24"/>
          <w:lang w:val="hu-HU"/>
        </w:rPr>
        <w:t>ák</w:t>
      </w:r>
      <w:r w:rsidR="002A4CEB" w:rsidRPr="00270638">
        <w:rPr>
          <w:sz w:val="22"/>
          <w:szCs w:val="24"/>
          <w:lang w:val="hu-HU"/>
        </w:rPr>
        <w:t xml:space="preserve"> a</w:t>
      </w:r>
      <w:r w:rsidR="009208D4" w:rsidRPr="00270638">
        <w:rPr>
          <w:sz w:val="22"/>
          <w:szCs w:val="24"/>
          <w:lang w:val="hu-HU"/>
        </w:rPr>
        <w:t>z érték</w:t>
      </w:r>
      <w:r w:rsidR="00515AAD" w:rsidRPr="00270638">
        <w:rPr>
          <w:sz w:val="22"/>
          <w:szCs w:val="24"/>
          <w:lang w:val="hu-HU"/>
        </w:rPr>
        <w:t>elő</w:t>
      </w:r>
      <w:r w:rsidR="009208D4" w:rsidRPr="00270638">
        <w:rPr>
          <w:sz w:val="22"/>
          <w:szCs w:val="24"/>
          <w:lang w:val="hu-HU"/>
        </w:rPr>
        <w:t xml:space="preserve"> </w:t>
      </w:r>
      <w:r w:rsidR="006D1FCD" w:rsidRPr="00270638">
        <w:rPr>
          <w:sz w:val="22"/>
          <w:szCs w:val="24"/>
          <w:lang w:val="hu-HU"/>
        </w:rPr>
        <w:t xml:space="preserve">függetlenségét és </w:t>
      </w:r>
      <w:r w:rsidR="000C74B0" w:rsidRPr="00270638">
        <w:rPr>
          <w:sz w:val="22"/>
          <w:szCs w:val="24"/>
          <w:lang w:val="hu-HU"/>
        </w:rPr>
        <w:t xml:space="preserve">szakmai </w:t>
      </w:r>
      <w:r w:rsidR="00515AAD" w:rsidRPr="00270638">
        <w:rPr>
          <w:sz w:val="22"/>
          <w:szCs w:val="24"/>
          <w:lang w:val="hu-HU"/>
        </w:rPr>
        <w:t>megítélésének</w:t>
      </w:r>
      <w:r w:rsidR="00211287" w:rsidRPr="00270638">
        <w:rPr>
          <w:sz w:val="22"/>
          <w:szCs w:val="24"/>
          <w:lang w:val="hu-HU"/>
        </w:rPr>
        <w:t>, meggyőződésének</w:t>
      </w:r>
      <w:r w:rsidR="000C74B0" w:rsidRPr="00270638">
        <w:rPr>
          <w:sz w:val="22"/>
          <w:szCs w:val="24"/>
          <w:lang w:val="hu-HU"/>
        </w:rPr>
        <w:t xml:space="preserve"> gyakorlását</w:t>
      </w:r>
      <w:r w:rsidR="001B6767" w:rsidRPr="00270638">
        <w:rPr>
          <w:sz w:val="22"/>
          <w:szCs w:val="24"/>
          <w:lang w:val="hu-HU"/>
        </w:rPr>
        <w:t xml:space="preserve"> </w:t>
      </w:r>
      <w:r w:rsidR="00211287" w:rsidRPr="00270638">
        <w:rPr>
          <w:sz w:val="22"/>
          <w:szCs w:val="24"/>
          <w:lang w:val="hu-HU"/>
        </w:rPr>
        <w:t>egy adott</w:t>
      </w:r>
      <w:r w:rsidR="00492C72" w:rsidRPr="00270638">
        <w:rPr>
          <w:sz w:val="22"/>
          <w:szCs w:val="24"/>
          <w:lang w:val="hu-HU"/>
        </w:rPr>
        <w:t xml:space="preserve"> szanálási ügy értékelése során.</w:t>
      </w:r>
    </w:p>
    <w:p w14:paraId="10E18B33" w14:textId="001BDB0B" w:rsidR="003853C9" w:rsidRPr="00B135F8" w:rsidRDefault="00A92E70" w:rsidP="00270638">
      <w:pPr>
        <w:ind w:right="-3141"/>
        <w:textAlignment w:val="center"/>
        <w:rPr>
          <w:sz w:val="22"/>
          <w:szCs w:val="24"/>
          <w:lang w:val="hu-HU"/>
        </w:rPr>
      </w:pPr>
      <w:r w:rsidRPr="00270638">
        <w:rPr>
          <w:sz w:val="22"/>
          <w:szCs w:val="24"/>
          <w:lang w:val="hu-HU"/>
        </w:rPr>
        <w:t xml:space="preserve">Az adatszótárban </w:t>
      </w:r>
      <w:r w:rsidR="006B587C" w:rsidRPr="00270638">
        <w:rPr>
          <w:sz w:val="22"/>
          <w:szCs w:val="24"/>
          <w:lang w:val="hu-HU"/>
        </w:rPr>
        <w:t xml:space="preserve">megtalálható adatok és információk </w:t>
      </w:r>
      <w:r w:rsidR="00AE11AE" w:rsidRPr="00270638">
        <w:rPr>
          <w:sz w:val="22"/>
          <w:szCs w:val="24"/>
          <w:lang w:val="hu-HU"/>
        </w:rPr>
        <w:t xml:space="preserve">nem kizárólagosak és </w:t>
      </w:r>
      <w:r w:rsidR="00D93A8B" w:rsidRPr="00270638">
        <w:rPr>
          <w:sz w:val="22"/>
          <w:szCs w:val="24"/>
          <w:lang w:val="hu-HU"/>
        </w:rPr>
        <w:t xml:space="preserve">nem </w:t>
      </w:r>
      <w:r w:rsidR="003B283C" w:rsidRPr="00270638">
        <w:rPr>
          <w:sz w:val="22"/>
          <w:szCs w:val="24"/>
          <w:lang w:val="hu-HU"/>
        </w:rPr>
        <w:t xml:space="preserve">teljeskörűek, </w:t>
      </w:r>
      <w:r w:rsidR="00E14216" w:rsidRPr="00270638">
        <w:rPr>
          <w:sz w:val="22"/>
          <w:szCs w:val="24"/>
          <w:lang w:val="hu-HU"/>
        </w:rPr>
        <w:t>a</w:t>
      </w:r>
      <w:r w:rsidR="005E73AF" w:rsidRPr="00270638">
        <w:rPr>
          <w:sz w:val="22"/>
          <w:szCs w:val="24"/>
          <w:lang w:val="hu-HU"/>
        </w:rPr>
        <w:t>z</w:t>
      </w:r>
      <w:r w:rsidR="00E14216" w:rsidRPr="00270638">
        <w:rPr>
          <w:sz w:val="22"/>
          <w:szCs w:val="24"/>
          <w:lang w:val="hu-HU"/>
        </w:rPr>
        <w:t xml:space="preserve"> </w:t>
      </w:r>
      <w:r w:rsidR="005E73AF" w:rsidRPr="00270638">
        <w:rPr>
          <w:sz w:val="22"/>
          <w:szCs w:val="24"/>
          <w:lang w:val="hu-HU"/>
        </w:rPr>
        <w:t>értékelő és/vagy szanálási hatóság</w:t>
      </w:r>
      <w:r w:rsidR="00D12613" w:rsidRPr="00270638">
        <w:rPr>
          <w:sz w:val="22"/>
          <w:szCs w:val="24"/>
          <w:lang w:val="hu-HU"/>
        </w:rPr>
        <w:t xml:space="preserve"> további </w:t>
      </w:r>
      <w:r w:rsidR="00FA0531" w:rsidRPr="00270638">
        <w:rPr>
          <w:sz w:val="22"/>
          <w:szCs w:val="24"/>
          <w:lang w:val="hu-HU"/>
        </w:rPr>
        <w:t xml:space="preserve">olyan </w:t>
      </w:r>
      <w:r w:rsidR="00D12613" w:rsidRPr="00270638">
        <w:rPr>
          <w:sz w:val="22"/>
          <w:szCs w:val="24"/>
          <w:lang w:val="hu-HU"/>
        </w:rPr>
        <w:t xml:space="preserve">adatok és információk </w:t>
      </w:r>
      <w:r w:rsidR="00FA0531" w:rsidRPr="00270638">
        <w:rPr>
          <w:sz w:val="22"/>
          <w:szCs w:val="24"/>
          <w:lang w:val="hu-HU"/>
        </w:rPr>
        <w:t xml:space="preserve">szolgáltatására kötelezheti az intézményeket, amelyek </w:t>
      </w:r>
      <w:r w:rsidR="00F34FF0" w:rsidRPr="00270638">
        <w:rPr>
          <w:sz w:val="22"/>
          <w:szCs w:val="24"/>
          <w:lang w:val="hu-HU"/>
        </w:rPr>
        <w:t xml:space="preserve">az értékelés elvégzése céljából relevánsnak </w:t>
      </w:r>
      <w:r w:rsidR="00693490" w:rsidRPr="00270638">
        <w:rPr>
          <w:sz w:val="22"/>
          <w:szCs w:val="24"/>
          <w:lang w:val="hu-HU"/>
        </w:rPr>
        <w:t xml:space="preserve">tekinthetők. </w:t>
      </w:r>
      <w:r w:rsidR="005E73AF" w:rsidRPr="00270638">
        <w:rPr>
          <w:sz w:val="22"/>
          <w:szCs w:val="24"/>
          <w:lang w:val="hu-HU"/>
        </w:rPr>
        <w:t>Ezzel párhuzamosan az értékelő és/vagy szanálási hatóság</w:t>
      </w:r>
      <w:r w:rsidR="00382317" w:rsidRPr="00270638">
        <w:rPr>
          <w:sz w:val="22"/>
          <w:szCs w:val="24"/>
          <w:lang w:val="hu-HU"/>
        </w:rPr>
        <w:t xml:space="preserve"> </w:t>
      </w:r>
      <w:r w:rsidR="00382317" w:rsidRPr="00270638">
        <w:rPr>
          <w:sz w:val="22"/>
          <w:szCs w:val="24"/>
          <w:lang w:val="hu-HU"/>
        </w:rPr>
        <w:lastRenderedPageBreak/>
        <w:t>figyelmen kívül hagyhat olyan adatszótárban megtalálható adatokat és információkat, amelyek az adott körülmények</w:t>
      </w:r>
      <w:r w:rsidR="00897B56" w:rsidRPr="00270638">
        <w:rPr>
          <w:sz w:val="22"/>
          <w:szCs w:val="24"/>
          <w:lang w:val="hu-HU"/>
        </w:rPr>
        <w:t xml:space="preserve"> és intézmény értékelése szempontjából nem releváns.</w:t>
      </w:r>
      <w:r w:rsidR="00E52BDF" w:rsidRPr="00270638">
        <w:rPr>
          <w:sz w:val="22"/>
          <w:szCs w:val="24"/>
          <w:lang w:val="hu-HU"/>
        </w:rPr>
        <w:t xml:space="preserve"> Az értékelő és/vagy a szanálási hatóság mérlegelési jog</w:t>
      </w:r>
      <w:r w:rsidR="004D2FA2" w:rsidRPr="00270638">
        <w:rPr>
          <w:sz w:val="22"/>
          <w:szCs w:val="24"/>
          <w:lang w:val="hu-HU"/>
        </w:rPr>
        <w:t>körébe tartozik</w:t>
      </w:r>
      <w:r w:rsidR="00E52BDF" w:rsidRPr="00270638">
        <w:rPr>
          <w:sz w:val="22"/>
          <w:szCs w:val="24"/>
          <w:lang w:val="hu-HU"/>
        </w:rPr>
        <w:t xml:space="preserve">, hogy </w:t>
      </w:r>
      <w:r w:rsidR="004D2FA2" w:rsidRPr="00270638">
        <w:rPr>
          <w:sz w:val="22"/>
          <w:szCs w:val="24"/>
          <w:lang w:val="hu-HU"/>
        </w:rPr>
        <w:t xml:space="preserve">a </w:t>
      </w:r>
      <w:proofErr w:type="spellStart"/>
      <w:r w:rsidR="004D2FA2" w:rsidRPr="00270638">
        <w:rPr>
          <w:sz w:val="22"/>
          <w:szCs w:val="24"/>
          <w:lang w:val="hu-HU"/>
        </w:rPr>
        <w:t>WDCCI</w:t>
      </w:r>
      <w:proofErr w:type="spellEnd"/>
      <w:r w:rsidR="004D2FA2" w:rsidRPr="00270638">
        <w:rPr>
          <w:sz w:val="22"/>
          <w:szCs w:val="24"/>
          <w:lang w:val="hu-HU"/>
        </w:rPr>
        <w:t>-hatáskör önálló gyakorlásakor</w:t>
      </w:r>
      <w:r w:rsidR="00330377" w:rsidRPr="00270638">
        <w:rPr>
          <w:sz w:val="22"/>
          <w:szCs w:val="24"/>
          <w:lang w:val="hu-HU"/>
        </w:rPr>
        <w:t>,</w:t>
      </w:r>
      <w:r w:rsidR="004D2FA2" w:rsidRPr="00270638">
        <w:rPr>
          <w:sz w:val="22"/>
          <w:szCs w:val="24"/>
          <w:lang w:val="hu-HU"/>
        </w:rPr>
        <w:t xml:space="preserve"> vagy </w:t>
      </w:r>
      <w:r w:rsidR="00E52BDF" w:rsidRPr="00270638">
        <w:rPr>
          <w:sz w:val="22"/>
          <w:szCs w:val="24"/>
          <w:lang w:val="hu-HU"/>
        </w:rPr>
        <w:t xml:space="preserve">egy </w:t>
      </w:r>
      <w:r w:rsidR="00D908F1" w:rsidRPr="00270638">
        <w:rPr>
          <w:sz w:val="22"/>
          <w:szCs w:val="24"/>
          <w:lang w:val="hu-HU"/>
        </w:rPr>
        <w:t>szanálási</w:t>
      </w:r>
      <w:r w:rsidR="00E52BDF" w:rsidRPr="00270638">
        <w:rPr>
          <w:sz w:val="22"/>
          <w:szCs w:val="24"/>
          <w:lang w:val="hu-HU"/>
        </w:rPr>
        <w:t xml:space="preserve"> eljáráskor az előre definiált információkon felül további adatok rendelkezésre bocsátását kérje az intézményektől, amennyiben azt szükségesnek ítéli az értékelés teljességének biztosítása érdekében. Az értékelő szabadon állapíthatja meg, hogy mely információk relevánsak és melyek azok, amelyeket figyelmen kívül hagy az értékelés elvégzése során.</w:t>
      </w:r>
    </w:p>
    <w:sectPr w:rsidR="003853C9" w:rsidRPr="00B135F8" w:rsidSect="004B61C4">
      <w:headerReference w:type="default" r:id="rId19"/>
      <w:footerReference w:type="default" r:id="rId20"/>
      <w:headerReference w:type="first" r:id="rId21"/>
      <w:pgSz w:w="11906" w:h="16838" w:code="9"/>
      <w:pgMar w:top="1985" w:right="4166" w:bottom="1134" w:left="680" w:header="680" w:footer="56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9FF26" w14:textId="77777777" w:rsidR="003810AB" w:rsidRDefault="003810AB" w:rsidP="00C702C7">
      <w:pPr>
        <w:spacing w:after="0" w:line="240" w:lineRule="auto"/>
      </w:pPr>
      <w:r>
        <w:separator/>
      </w:r>
    </w:p>
  </w:endnote>
  <w:endnote w:type="continuationSeparator" w:id="0">
    <w:p w14:paraId="6B241C24" w14:textId="77777777" w:rsidR="003810AB" w:rsidRDefault="003810AB" w:rsidP="00C702C7">
      <w:pPr>
        <w:spacing w:after="0" w:line="240" w:lineRule="auto"/>
      </w:pPr>
      <w:r>
        <w:continuationSeparator/>
      </w:r>
    </w:p>
  </w:endnote>
  <w:endnote w:type="continuationNotice" w:id="1">
    <w:p w14:paraId="5318BEF6" w14:textId="77777777" w:rsidR="003810AB" w:rsidRDefault="00381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12980"/>
      <w:docPartObj>
        <w:docPartGallery w:val="Page Numbers (Bottom of Page)"/>
        <w:docPartUnique/>
      </w:docPartObj>
    </w:sdtPr>
    <w:sdtEndPr>
      <w:rPr>
        <w:noProof/>
      </w:rPr>
    </w:sdtEndPr>
    <w:sdtContent>
      <w:p w14:paraId="6403521C" w14:textId="77777777" w:rsidR="00DD6E3B" w:rsidRDefault="00DD6E3B">
        <w:pPr>
          <w:pStyle w:val="Footer"/>
        </w:pPr>
        <w:r>
          <w:fldChar w:fldCharType="begin"/>
        </w:r>
        <w:r>
          <w:instrText xml:space="preserve"> PAGE   \* MERGEFORMAT </w:instrText>
        </w:r>
        <w:r>
          <w:fldChar w:fldCharType="separate"/>
        </w:r>
        <w:r>
          <w:rPr>
            <w:noProof/>
          </w:rPr>
          <w:t>2</w:t>
        </w:r>
        <w:r>
          <w:rPr>
            <w:noProof/>
          </w:rPr>
          <w:fldChar w:fldCharType="end"/>
        </w:r>
      </w:p>
    </w:sdtContent>
  </w:sdt>
  <w:p w14:paraId="6E71E13F" w14:textId="77777777" w:rsidR="00DD6E3B" w:rsidRDefault="00DD6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38BA" w14:textId="77777777" w:rsidR="00DD6E3B" w:rsidRDefault="00DD6E3B">
    <w:pPr>
      <w:pStyle w:val="Footer"/>
    </w:pPr>
  </w:p>
  <w:p w14:paraId="25BCFCC5" w14:textId="77777777" w:rsidR="003061AE" w:rsidRDefault="00306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42606"/>
      <w:docPartObj>
        <w:docPartGallery w:val="Page Numbers (Bottom of Page)"/>
        <w:docPartUnique/>
      </w:docPartObj>
    </w:sdtPr>
    <w:sdtEndPr>
      <w:rPr>
        <w:noProof/>
      </w:rPr>
    </w:sdtEndPr>
    <w:sdtContent>
      <w:p w14:paraId="30833E8F" w14:textId="77777777" w:rsidR="00412918" w:rsidRDefault="00412918">
        <w:pPr>
          <w:pStyle w:val="Footer"/>
        </w:pPr>
        <w:r>
          <w:fldChar w:fldCharType="begin"/>
        </w:r>
        <w:r>
          <w:instrText xml:space="preserve"> PAGE   \* MERGEFORMAT </w:instrText>
        </w:r>
        <w:r>
          <w:fldChar w:fldCharType="separate"/>
        </w:r>
        <w:r>
          <w:rPr>
            <w:noProof/>
          </w:rPr>
          <w:t>2</w:t>
        </w:r>
        <w:r>
          <w:rPr>
            <w:noProof/>
          </w:rPr>
          <w:fldChar w:fldCharType="end"/>
        </w:r>
      </w:p>
    </w:sdtContent>
  </w:sdt>
  <w:p w14:paraId="3603B5B3" w14:textId="77777777" w:rsidR="00F15F5C" w:rsidRPr="003061AE" w:rsidRDefault="00F15F5C" w:rsidP="0030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5726" w14:textId="77777777" w:rsidR="003810AB" w:rsidRDefault="003810AB" w:rsidP="00C702C7">
      <w:pPr>
        <w:spacing w:after="0" w:line="240" w:lineRule="auto"/>
      </w:pPr>
      <w:r>
        <w:separator/>
      </w:r>
    </w:p>
  </w:footnote>
  <w:footnote w:type="continuationSeparator" w:id="0">
    <w:p w14:paraId="326BC562" w14:textId="77777777" w:rsidR="003810AB" w:rsidRDefault="003810AB" w:rsidP="00C702C7">
      <w:pPr>
        <w:spacing w:after="0" w:line="240" w:lineRule="auto"/>
      </w:pPr>
      <w:r>
        <w:continuationSeparator/>
      </w:r>
    </w:p>
  </w:footnote>
  <w:footnote w:type="continuationNotice" w:id="1">
    <w:p w14:paraId="2B27625F" w14:textId="77777777" w:rsidR="003810AB" w:rsidRDefault="003810AB">
      <w:pPr>
        <w:spacing w:after="0" w:line="240" w:lineRule="auto"/>
      </w:pPr>
    </w:p>
  </w:footnote>
  <w:footnote w:id="2">
    <w:p w14:paraId="16564BEE" w14:textId="3A31D96C" w:rsidR="009329DF" w:rsidRPr="00065F8C" w:rsidRDefault="009329DF" w:rsidP="009329DF">
      <w:pPr>
        <w:pStyle w:val="FootnoteText"/>
        <w:rPr>
          <w:lang w:val="hu-HU"/>
        </w:rPr>
      </w:pPr>
      <w:r>
        <w:rPr>
          <w:rStyle w:val="FootnoteReference"/>
        </w:rPr>
        <w:footnoteRef/>
      </w:r>
      <w:r>
        <w:t xml:space="preserve"> </w:t>
      </w:r>
      <w:r w:rsidRPr="00065F8C">
        <w:rPr>
          <w:sz w:val="12"/>
          <w:szCs w:val="16"/>
          <w:lang w:val="hu-HU"/>
        </w:rPr>
        <w:t xml:space="preserve">2014. évi XXXVII. </w:t>
      </w:r>
      <w:r w:rsidR="00D65D99">
        <w:rPr>
          <w:sz w:val="12"/>
          <w:szCs w:val="16"/>
          <w:lang w:val="hu-HU"/>
        </w:rPr>
        <w:t>t</w:t>
      </w:r>
      <w:r w:rsidRPr="00065F8C">
        <w:rPr>
          <w:sz w:val="12"/>
          <w:szCs w:val="16"/>
          <w:lang w:val="hu-HU"/>
        </w:rPr>
        <w:t>örvény a pénzügyi közvetítőrendszer egyes szereplőinek biztonságát erősítő intézményrendszer továbbfejlesztéséről</w:t>
      </w:r>
    </w:p>
  </w:footnote>
  <w:footnote w:id="3">
    <w:p w14:paraId="04BBC896" w14:textId="77777777" w:rsidR="00EF08AB" w:rsidRPr="00B24773" w:rsidRDefault="00EF08AB" w:rsidP="00EF08AB">
      <w:pPr>
        <w:pStyle w:val="FootnoteText"/>
        <w:rPr>
          <w:lang w:val="hu-HU"/>
        </w:rPr>
      </w:pPr>
      <w:r>
        <w:rPr>
          <w:rStyle w:val="FootnoteReference"/>
        </w:rPr>
        <w:footnoteRef/>
      </w:r>
      <w:r w:rsidRPr="00B24773">
        <w:rPr>
          <w:lang w:val="hu-HU"/>
        </w:rPr>
        <w:t xml:space="preserve"> Szantv. 22. § (1) bekezdés</w:t>
      </w:r>
    </w:p>
  </w:footnote>
  <w:footnote w:id="4">
    <w:p w14:paraId="07031D45" w14:textId="77777777" w:rsidR="00E3155F" w:rsidRPr="007012F1" w:rsidRDefault="00E3155F" w:rsidP="00E3155F">
      <w:pPr>
        <w:pStyle w:val="FootnoteText"/>
        <w:rPr>
          <w:lang w:val="hu-HU"/>
        </w:rPr>
      </w:pPr>
      <w:r>
        <w:rPr>
          <w:rStyle w:val="FootnoteReference"/>
        </w:rPr>
        <w:footnoteRef/>
      </w:r>
      <w:r w:rsidRPr="007012F1">
        <w:rPr>
          <w:lang w:val="hu-HU"/>
        </w:rPr>
        <w:t xml:space="preserve"> EBA/GL/2022/01 Iránymutatások az intézmények és szanálási hatóságok</w:t>
      </w:r>
    </w:p>
    <w:p w14:paraId="1D869950" w14:textId="77777777" w:rsidR="00E3155F" w:rsidRPr="007012F1" w:rsidRDefault="00E3155F" w:rsidP="00E3155F">
      <w:pPr>
        <w:pStyle w:val="FootnoteText"/>
        <w:rPr>
          <w:lang w:val="hu-HU"/>
        </w:rPr>
      </w:pPr>
      <w:r w:rsidRPr="007012F1">
        <w:rPr>
          <w:lang w:val="hu-HU"/>
        </w:rPr>
        <w:t>számára a szanálhatóság javításáró</w:t>
      </w:r>
      <w:r>
        <w:rPr>
          <w:lang w:val="hu-HU"/>
        </w:rPr>
        <w:t xml:space="preserve">l: </w:t>
      </w:r>
      <w:hyperlink r:id="rId1" w:history="1">
        <w:r>
          <w:rPr>
            <w:rStyle w:val="Hyperlink"/>
          </w:rPr>
          <w:t>Microsoft Word - GL on improving resolvability for institutions and resolution authorities_HU_COR (europa.eu)</w:t>
        </w:r>
      </w:hyperlink>
      <w:r>
        <w:t xml:space="preserve"> 77. bekezdés</w:t>
      </w:r>
    </w:p>
  </w:footnote>
  <w:footnote w:id="5">
    <w:p w14:paraId="3F913655" w14:textId="50282CA7" w:rsidR="009F4CD8" w:rsidRPr="009F4CD8" w:rsidRDefault="009F4CD8" w:rsidP="009F4CD8">
      <w:pPr>
        <w:pStyle w:val="FootnoteText"/>
        <w:rPr>
          <w:lang w:val="hu-HU"/>
        </w:rPr>
      </w:pPr>
      <w:r>
        <w:rPr>
          <w:rStyle w:val="FootnoteReference"/>
        </w:rPr>
        <w:footnoteRef/>
      </w:r>
      <w:r>
        <w:rPr>
          <w:lang w:val="hu-HU"/>
        </w:rPr>
        <w:t xml:space="preserve"> A Szantv. 3. § 56b. pontja alapján</w:t>
      </w:r>
      <w:r w:rsidRPr="00A46D15">
        <w:rPr>
          <w:lang w:val="hu-HU"/>
        </w:rPr>
        <w:t xml:space="preserve"> </w:t>
      </w:r>
      <w:r>
        <w:rPr>
          <w:lang w:val="hu-HU"/>
        </w:rPr>
        <w:t>s</w:t>
      </w:r>
      <w:r w:rsidRPr="009F4CD8">
        <w:rPr>
          <w:lang w:val="hu-HU"/>
        </w:rPr>
        <w:t>zanálás alá vonható szervezet:</w:t>
      </w:r>
    </w:p>
    <w:p w14:paraId="40DE42E1" w14:textId="4558986F" w:rsidR="009F4CD8" w:rsidRPr="009F4CD8" w:rsidRDefault="009F4CD8" w:rsidP="009F4CD8">
      <w:pPr>
        <w:pStyle w:val="FootnoteText"/>
        <w:rPr>
          <w:lang w:val="hu-HU"/>
        </w:rPr>
      </w:pPr>
      <w:r w:rsidRPr="009F4CD8">
        <w:rPr>
          <w:lang w:val="hu-HU"/>
        </w:rPr>
        <w:t>a) EGT-államban letelepedett olyan jogi személy, amelyet szanálási hatóság olyan szervezetként azonosít,</w:t>
      </w:r>
      <w:r>
        <w:rPr>
          <w:lang w:val="hu-HU"/>
        </w:rPr>
        <w:t xml:space="preserve"> </w:t>
      </w:r>
      <w:r w:rsidRPr="009F4CD8">
        <w:rPr>
          <w:lang w:val="hu-HU"/>
        </w:rPr>
        <w:t>amellyel kapcsolatban szanálási terv szanálási intézkedésről rendelkezik, vagy</w:t>
      </w:r>
    </w:p>
    <w:p w14:paraId="280B6976" w14:textId="29B89013" w:rsidR="009F4CD8" w:rsidRPr="00A46D15" w:rsidRDefault="009F4CD8" w:rsidP="009F4CD8">
      <w:pPr>
        <w:pStyle w:val="FootnoteText"/>
        <w:rPr>
          <w:lang w:val="hu-HU"/>
        </w:rPr>
      </w:pPr>
      <w:r w:rsidRPr="009F4CD8">
        <w:rPr>
          <w:lang w:val="hu-HU"/>
        </w:rPr>
        <w:t>b) összevont alapú felügyelet alá nem tartozó olyan intézmény, amelynek vonatkozásában szanálási terv szanálási intézkedésről rendelkezik;</w:t>
      </w:r>
    </w:p>
  </w:footnote>
  <w:footnote w:id="6">
    <w:p w14:paraId="4A663E06" w14:textId="77777777" w:rsidR="001D2136" w:rsidRPr="00065F8C" w:rsidRDefault="001D2136" w:rsidP="001D2136">
      <w:pPr>
        <w:pStyle w:val="FootnoteText"/>
        <w:rPr>
          <w:lang w:val="hu-HU"/>
        </w:rPr>
      </w:pPr>
      <w:r>
        <w:rPr>
          <w:rStyle w:val="FootnoteReference"/>
        </w:rPr>
        <w:footnoteRef/>
      </w:r>
      <w:r w:rsidRPr="00F87621">
        <w:rPr>
          <w:lang w:val="hu-HU"/>
        </w:rPr>
        <w:t xml:space="preserve"> </w:t>
      </w:r>
      <w:r>
        <w:rPr>
          <w:lang w:val="hu-HU"/>
        </w:rPr>
        <w:t>Belső értékelő modell minden olyan rendszer, amely képes a kockázatok (és kockázati paraméterek), a számviteli és gazdasági érték becslésére bizonyos mérlegen lévő és mérlegen kívüli kitettségek, eszközök, források és pozíciók vonatkozásában és amely értékek felhasználhatók a szanálási gazdasasági értékelés támogatására.</w:t>
      </w:r>
    </w:p>
  </w:footnote>
  <w:footnote w:id="7">
    <w:p w14:paraId="249DEB38" w14:textId="6854D57F" w:rsidR="00350108" w:rsidRDefault="00350108" w:rsidP="00350108">
      <w:pPr>
        <w:pStyle w:val="FootnoteText"/>
      </w:pPr>
      <w:r>
        <w:rPr>
          <w:rStyle w:val="FootnoteReference"/>
        </w:rPr>
        <w:footnoteRef/>
      </w:r>
      <w:r>
        <w:t xml:space="preserve"> Guidelines amending Guidelines EBA/GL/2022/01 on improving resolvability for institutions and resolution authorities under articles 15 and 16 of Directive 2014/59/EU (Resolvability Guidelines) to introduce a new section on resolvability testing: </w:t>
      </w:r>
      <w:hyperlink r:id="rId2" w:history="1">
        <w:r w:rsidR="00DB1AFE" w:rsidRPr="00DB1AFE">
          <w:rPr>
            <w:rStyle w:val="Hyperlink"/>
          </w:rPr>
          <w:t>https://www.eba.europa.eu/sites/default/documents/files/document_library/Publications/Guidelines/2023/1056369/Guidelines%20amending%20Guidelines%20on%20improving%20resolvability%20for%20institutions%20and%20resolution%20authorities.pdf</w:t>
        </w:r>
      </w:hyperlink>
      <w:r>
        <w:t xml:space="preserve"> 4.6 és 4.7. fejezetek</w:t>
      </w:r>
    </w:p>
  </w:footnote>
  <w:footnote w:id="8">
    <w:p w14:paraId="59E419FC" w14:textId="77777777" w:rsidR="00B53EBD" w:rsidRPr="0092681D" w:rsidRDefault="00B53EBD" w:rsidP="00B53EBD">
      <w:pPr>
        <w:pStyle w:val="FootnoteText"/>
        <w:rPr>
          <w:lang w:val="hu-HU"/>
        </w:rPr>
      </w:pPr>
      <w:r>
        <w:rPr>
          <w:rStyle w:val="FootnoteReference"/>
        </w:rPr>
        <w:footnoteRef/>
      </w:r>
      <w:r w:rsidRPr="00F87621">
        <w:rPr>
          <w:lang w:val="hu-HU"/>
        </w:rPr>
        <w:t xml:space="preserve"> Európai Bankhatóság EBA/GL/2022/01 Iránymutatások az intézmények és szanálási hatóságok számára a szanálhatóság javításáról: https://www.eba.europa.eu/sites/default/documents/files/document_library/Publications/Guidelines/2022/EBA-GL-2022-01%20Guidelines%20on%20resolvability/Translations/1030034/GL%20on%20improving%20resolvability%20for%20institutions%20and%20resolution%20authorities_HU_COR.pdf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0"/>
      <w:gridCol w:w="2350"/>
      <w:gridCol w:w="2350"/>
    </w:tblGrid>
    <w:tr w:rsidR="7A49EDBC" w14:paraId="3114F905" w14:textId="77777777" w:rsidTr="00835C51">
      <w:trPr>
        <w:trHeight w:val="300"/>
      </w:trPr>
      <w:tc>
        <w:tcPr>
          <w:tcW w:w="2350" w:type="dxa"/>
        </w:tcPr>
        <w:p w14:paraId="416196E5" w14:textId="77777777" w:rsidR="7A49EDBC" w:rsidRDefault="7A49EDBC" w:rsidP="00835C51">
          <w:pPr>
            <w:pStyle w:val="Header"/>
            <w:ind w:left="-115"/>
          </w:pPr>
        </w:p>
      </w:tc>
      <w:tc>
        <w:tcPr>
          <w:tcW w:w="2350" w:type="dxa"/>
        </w:tcPr>
        <w:p w14:paraId="57E69540" w14:textId="77777777" w:rsidR="7A49EDBC" w:rsidRDefault="7A49EDBC" w:rsidP="00835C51">
          <w:pPr>
            <w:pStyle w:val="Header"/>
            <w:jc w:val="center"/>
          </w:pPr>
        </w:p>
      </w:tc>
      <w:tc>
        <w:tcPr>
          <w:tcW w:w="2350" w:type="dxa"/>
        </w:tcPr>
        <w:p w14:paraId="43F88BB8" w14:textId="77777777" w:rsidR="7A49EDBC" w:rsidRDefault="7A49EDBC" w:rsidP="00835C51">
          <w:pPr>
            <w:pStyle w:val="Header"/>
            <w:ind w:right="-115"/>
            <w:jc w:val="right"/>
          </w:pPr>
        </w:p>
      </w:tc>
    </w:tr>
  </w:tbl>
  <w:p w14:paraId="0CA2133B" w14:textId="77777777" w:rsidR="7A49EDBC" w:rsidRDefault="7A49EDBC" w:rsidP="00835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0"/>
      <w:gridCol w:w="2350"/>
      <w:gridCol w:w="2350"/>
    </w:tblGrid>
    <w:tr w:rsidR="7A49EDBC" w14:paraId="5AE43D7D" w14:textId="77777777" w:rsidTr="00835C51">
      <w:trPr>
        <w:trHeight w:val="300"/>
      </w:trPr>
      <w:tc>
        <w:tcPr>
          <w:tcW w:w="2350" w:type="dxa"/>
        </w:tcPr>
        <w:p w14:paraId="70B4D7D3" w14:textId="77777777" w:rsidR="7A49EDBC" w:rsidRDefault="7A49EDBC" w:rsidP="00835C51">
          <w:pPr>
            <w:pStyle w:val="Header"/>
            <w:ind w:left="-115"/>
          </w:pPr>
        </w:p>
      </w:tc>
      <w:tc>
        <w:tcPr>
          <w:tcW w:w="2350" w:type="dxa"/>
        </w:tcPr>
        <w:p w14:paraId="64C8C012" w14:textId="77777777" w:rsidR="7A49EDBC" w:rsidRDefault="7A49EDBC" w:rsidP="00835C51">
          <w:pPr>
            <w:pStyle w:val="Header"/>
            <w:jc w:val="center"/>
          </w:pPr>
        </w:p>
      </w:tc>
      <w:tc>
        <w:tcPr>
          <w:tcW w:w="2350" w:type="dxa"/>
        </w:tcPr>
        <w:p w14:paraId="047D6DA6" w14:textId="77777777" w:rsidR="7A49EDBC" w:rsidRDefault="7A49EDBC" w:rsidP="00835C51">
          <w:pPr>
            <w:pStyle w:val="Header"/>
            <w:ind w:right="-115"/>
            <w:jc w:val="right"/>
          </w:pPr>
        </w:p>
      </w:tc>
    </w:tr>
  </w:tbl>
  <w:p w14:paraId="0117C97E" w14:textId="77777777" w:rsidR="7A49EDBC" w:rsidRDefault="7A49EDBC" w:rsidP="00835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70"/>
      <w:gridCol w:w="4570"/>
      <w:gridCol w:w="4570"/>
    </w:tblGrid>
    <w:tr w:rsidR="7A49EDBC" w14:paraId="035BF98C" w14:textId="77777777" w:rsidTr="00835C51">
      <w:trPr>
        <w:trHeight w:val="300"/>
      </w:trPr>
      <w:tc>
        <w:tcPr>
          <w:tcW w:w="4570" w:type="dxa"/>
        </w:tcPr>
        <w:p w14:paraId="6AB1C86F" w14:textId="77777777" w:rsidR="7A49EDBC" w:rsidRDefault="7A49EDBC" w:rsidP="00835C51">
          <w:pPr>
            <w:pStyle w:val="Header"/>
            <w:ind w:left="-115"/>
          </w:pPr>
        </w:p>
      </w:tc>
      <w:tc>
        <w:tcPr>
          <w:tcW w:w="4570" w:type="dxa"/>
        </w:tcPr>
        <w:p w14:paraId="41634AC0" w14:textId="77777777" w:rsidR="7A49EDBC" w:rsidRDefault="7A49EDBC" w:rsidP="00835C51">
          <w:pPr>
            <w:pStyle w:val="Header"/>
            <w:jc w:val="center"/>
          </w:pPr>
        </w:p>
      </w:tc>
      <w:tc>
        <w:tcPr>
          <w:tcW w:w="4570" w:type="dxa"/>
        </w:tcPr>
        <w:p w14:paraId="19378E54" w14:textId="77777777" w:rsidR="7A49EDBC" w:rsidRDefault="7A49EDBC" w:rsidP="00835C51">
          <w:pPr>
            <w:pStyle w:val="Header"/>
            <w:ind w:right="-115"/>
            <w:jc w:val="right"/>
          </w:pPr>
        </w:p>
      </w:tc>
    </w:tr>
  </w:tbl>
  <w:p w14:paraId="7A8118D8" w14:textId="77777777" w:rsidR="7A49EDBC" w:rsidRDefault="7A49EDBC" w:rsidP="00835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70"/>
      <w:gridCol w:w="4570"/>
      <w:gridCol w:w="4570"/>
    </w:tblGrid>
    <w:tr w:rsidR="7A49EDBC" w14:paraId="65FCDD33" w14:textId="77777777" w:rsidTr="00835C51">
      <w:trPr>
        <w:trHeight w:val="300"/>
      </w:trPr>
      <w:tc>
        <w:tcPr>
          <w:tcW w:w="4570" w:type="dxa"/>
        </w:tcPr>
        <w:p w14:paraId="18F7E0DB" w14:textId="77777777" w:rsidR="7A49EDBC" w:rsidRDefault="7A49EDBC" w:rsidP="00835C51">
          <w:pPr>
            <w:pStyle w:val="Header"/>
            <w:ind w:left="-115"/>
          </w:pPr>
        </w:p>
      </w:tc>
      <w:tc>
        <w:tcPr>
          <w:tcW w:w="4570" w:type="dxa"/>
        </w:tcPr>
        <w:p w14:paraId="7879FFA1" w14:textId="77777777" w:rsidR="7A49EDBC" w:rsidRDefault="7A49EDBC" w:rsidP="00835C51">
          <w:pPr>
            <w:pStyle w:val="Header"/>
            <w:jc w:val="center"/>
          </w:pPr>
        </w:p>
      </w:tc>
      <w:tc>
        <w:tcPr>
          <w:tcW w:w="4570" w:type="dxa"/>
        </w:tcPr>
        <w:p w14:paraId="7B50CE07" w14:textId="77777777" w:rsidR="7A49EDBC" w:rsidRDefault="7A49EDBC" w:rsidP="00835C51">
          <w:pPr>
            <w:pStyle w:val="Header"/>
            <w:ind w:right="-115"/>
            <w:jc w:val="right"/>
          </w:pPr>
        </w:p>
      </w:tc>
    </w:tr>
  </w:tbl>
  <w:p w14:paraId="30BED4B4" w14:textId="77777777" w:rsidR="7A49EDBC" w:rsidRDefault="7A49EDBC" w:rsidP="00835C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0"/>
      <w:gridCol w:w="2350"/>
      <w:gridCol w:w="2350"/>
    </w:tblGrid>
    <w:tr w:rsidR="7A49EDBC" w14:paraId="4F621460" w14:textId="77777777" w:rsidTr="00835C51">
      <w:trPr>
        <w:trHeight w:val="300"/>
      </w:trPr>
      <w:tc>
        <w:tcPr>
          <w:tcW w:w="2350" w:type="dxa"/>
        </w:tcPr>
        <w:p w14:paraId="36E71C38" w14:textId="77777777" w:rsidR="7A49EDBC" w:rsidRDefault="7A49EDBC" w:rsidP="00835C51">
          <w:pPr>
            <w:pStyle w:val="Header"/>
            <w:ind w:left="-115"/>
          </w:pPr>
        </w:p>
      </w:tc>
      <w:tc>
        <w:tcPr>
          <w:tcW w:w="2350" w:type="dxa"/>
        </w:tcPr>
        <w:p w14:paraId="5B325487" w14:textId="77777777" w:rsidR="7A49EDBC" w:rsidRDefault="7A49EDBC" w:rsidP="00835C51">
          <w:pPr>
            <w:pStyle w:val="Header"/>
            <w:jc w:val="center"/>
          </w:pPr>
        </w:p>
      </w:tc>
      <w:tc>
        <w:tcPr>
          <w:tcW w:w="2350" w:type="dxa"/>
        </w:tcPr>
        <w:p w14:paraId="34E1A41F" w14:textId="77777777" w:rsidR="7A49EDBC" w:rsidRDefault="7A49EDBC" w:rsidP="00835C51">
          <w:pPr>
            <w:pStyle w:val="Header"/>
            <w:ind w:right="-115"/>
            <w:jc w:val="right"/>
          </w:pPr>
        </w:p>
      </w:tc>
    </w:tr>
  </w:tbl>
  <w:p w14:paraId="00B47BEC" w14:textId="77777777" w:rsidR="7A49EDBC" w:rsidRDefault="7A49EDBC" w:rsidP="00835C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50"/>
      <w:gridCol w:w="2350"/>
      <w:gridCol w:w="2350"/>
    </w:tblGrid>
    <w:tr w:rsidR="7A49EDBC" w14:paraId="2886F2B2" w14:textId="77777777" w:rsidTr="00835C51">
      <w:trPr>
        <w:trHeight w:val="300"/>
      </w:trPr>
      <w:tc>
        <w:tcPr>
          <w:tcW w:w="2350" w:type="dxa"/>
        </w:tcPr>
        <w:p w14:paraId="0C0746AB" w14:textId="77777777" w:rsidR="7A49EDBC" w:rsidRDefault="7A49EDBC" w:rsidP="00835C51">
          <w:pPr>
            <w:pStyle w:val="Header"/>
            <w:ind w:left="-115"/>
          </w:pPr>
        </w:p>
      </w:tc>
      <w:tc>
        <w:tcPr>
          <w:tcW w:w="2350" w:type="dxa"/>
        </w:tcPr>
        <w:p w14:paraId="0E2EC74B" w14:textId="77777777" w:rsidR="7A49EDBC" w:rsidRDefault="7A49EDBC" w:rsidP="00835C51">
          <w:pPr>
            <w:pStyle w:val="Header"/>
            <w:jc w:val="center"/>
          </w:pPr>
        </w:p>
      </w:tc>
      <w:tc>
        <w:tcPr>
          <w:tcW w:w="2350" w:type="dxa"/>
        </w:tcPr>
        <w:p w14:paraId="33A0526D" w14:textId="77777777" w:rsidR="7A49EDBC" w:rsidRDefault="7A49EDBC" w:rsidP="00835C51">
          <w:pPr>
            <w:pStyle w:val="Header"/>
            <w:ind w:right="-115"/>
            <w:jc w:val="right"/>
          </w:pPr>
        </w:p>
      </w:tc>
    </w:tr>
  </w:tbl>
  <w:p w14:paraId="5C195AFF" w14:textId="77777777" w:rsidR="7A49EDBC" w:rsidRDefault="7A49EDBC" w:rsidP="00835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DA8222E"/>
    <w:lvl w:ilvl="0">
      <w:start w:val="1"/>
      <w:numFmt w:val="lowerLetter"/>
      <w:pStyle w:val="ListNumber2"/>
      <w:lvlText w:val="%1."/>
      <w:lvlJc w:val="left"/>
      <w:pPr>
        <w:ind w:left="273"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3459AB"/>
    <w:multiLevelType w:val="hybridMultilevel"/>
    <w:tmpl w:val="6574A6A2"/>
    <w:lvl w:ilvl="0" w:tplc="D0CA4B2A">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7C1991"/>
    <w:multiLevelType w:val="multilevel"/>
    <w:tmpl w:val="198C68CA"/>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5525864"/>
    <w:multiLevelType w:val="hybridMultilevel"/>
    <w:tmpl w:val="79320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46A11"/>
    <w:multiLevelType w:val="hybridMultilevel"/>
    <w:tmpl w:val="49BAB9AE"/>
    <w:lvl w:ilvl="0" w:tplc="EE7E09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9D9052F"/>
    <w:multiLevelType w:val="multilevel"/>
    <w:tmpl w:val="093A30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F91360"/>
    <w:multiLevelType w:val="multilevel"/>
    <w:tmpl w:val="FBB6254C"/>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0FD4628D"/>
    <w:multiLevelType w:val="hybridMultilevel"/>
    <w:tmpl w:val="E7EA78AA"/>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0960F42"/>
    <w:multiLevelType w:val="hybridMultilevel"/>
    <w:tmpl w:val="17D4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277CD"/>
    <w:multiLevelType w:val="hybridMultilevel"/>
    <w:tmpl w:val="AD063E8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2280476C"/>
    <w:multiLevelType w:val="hybridMultilevel"/>
    <w:tmpl w:val="D65AB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D4E08"/>
    <w:multiLevelType w:val="hybridMultilevel"/>
    <w:tmpl w:val="A468B2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6358C7"/>
    <w:multiLevelType w:val="hybridMultilevel"/>
    <w:tmpl w:val="36EAFE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28CA03C0"/>
    <w:multiLevelType w:val="multilevel"/>
    <w:tmpl w:val="4E3E2B9A"/>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9A72481"/>
    <w:multiLevelType w:val="hybridMultilevel"/>
    <w:tmpl w:val="4E8E236C"/>
    <w:lvl w:ilvl="0" w:tplc="21DC5BCE">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2B3830D9"/>
    <w:multiLevelType w:val="hybridMultilevel"/>
    <w:tmpl w:val="6412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4D55"/>
    <w:multiLevelType w:val="multilevel"/>
    <w:tmpl w:val="FBB6254C"/>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4FE2DDD"/>
    <w:multiLevelType w:val="hybridMultilevel"/>
    <w:tmpl w:val="CA628A0A"/>
    <w:lvl w:ilvl="0" w:tplc="0BAC49B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215E8"/>
    <w:multiLevelType w:val="hybridMultilevel"/>
    <w:tmpl w:val="293AE85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663291B"/>
    <w:multiLevelType w:val="hybridMultilevel"/>
    <w:tmpl w:val="D75464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C6499E"/>
    <w:multiLevelType w:val="hybridMultilevel"/>
    <w:tmpl w:val="E7C8A90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CF1232E"/>
    <w:multiLevelType w:val="hybridMultilevel"/>
    <w:tmpl w:val="9CB4330A"/>
    <w:lvl w:ilvl="0" w:tplc="6060ABC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D8436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DEE0720"/>
    <w:multiLevelType w:val="hybridMultilevel"/>
    <w:tmpl w:val="2996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7626C"/>
    <w:multiLevelType w:val="multilevel"/>
    <w:tmpl w:val="FBB6254C"/>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4D881AA7"/>
    <w:multiLevelType w:val="hybridMultilevel"/>
    <w:tmpl w:val="AF2A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A0568"/>
    <w:multiLevelType w:val="multilevel"/>
    <w:tmpl w:val="98E2A3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5C417DB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D3F7FB4"/>
    <w:multiLevelType w:val="hybridMultilevel"/>
    <w:tmpl w:val="8EE21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A0A02"/>
    <w:multiLevelType w:val="hybridMultilevel"/>
    <w:tmpl w:val="643E03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F9B7530"/>
    <w:multiLevelType w:val="multilevel"/>
    <w:tmpl w:val="2FD460EC"/>
    <w:lvl w:ilvl="0">
      <w:start w:val="1"/>
      <w:numFmt w:val="upperRoman"/>
      <w:pStyle w:val="Header-Sajt"/>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lowerLetter"/>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4" w15:restartNumberingAfterBreak="0">
    <w:nsid w:val="623F5AB9"/>
    <w:multiLevelType w:val="multilevel"/>
    <w:tmpl w:val="26BC542C"/>
    <w:lvl w:ilvl="0">
      <w:start w:val="1"/>
      <w:numFmt w:val="upperRoman"/>
      <w:lvlText w:val="%1."/>
      <w:lvlJc w:val="righ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70886DF3"/>
    <w:multiLevelType w:val="multilevel"/>
    <w:tmpl w:val="A01E4F38"/>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74D3168C"/>
    <w:multiLevelType w:val="multilevel"/>
    <w:tmpl w:val="A01E4F38"/>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79CF5983"/>
    <w:multiLevelType w:val="multilevel"/>
    <w:tmpl w:val="2D7EBE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9D235EB"/>
    <w:multiLevelType w:val="hybridMultilevel"/>
    <w:tmpl w:val="21AAD026"/>
    <w:lvl w:ilvl="0" w:tplc="04090019">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num w:numId="1" w16cid:durableId="1901821563">
    <w:abstractNumId w:val="3"/>
  </w:num>
  <w:num w:numId="2" w16cid:durableId="195390572">
    <w:abstractNumId w:val="1"/>
  </w:num>
  <w:num w:numId="3" w16cid:durableId="2027975132">
    <w:abstractNumId w:val="2"/>
  </w:num>
  <w:num w:numId="4" w16cid:durableId="2086218590">
    <w:abstractNumId w:val="0"/>
  </w:num>
  <w:num w:numId="5" w16cid:durableId="927353287">
    <w:abstractNumId w:val="20"/>
  </w:num>
  <w:num w:numId="6" w16cid:durableId="1166090842">
    <w:abstractNumId w:val="4"/>
  </w:num>
  <w:num w:numId="7" w16cid:durableId="1957984120">
    <w:abstractNumId w:val="33"/>
    <w:lvlOverride w:ilvl="0">
      <w:startOverride w:val="1"/>
    </w:lvlOverride>
  </w:num>
  <w:num w:numId="8" w16cid:durableId="873267793">
    <w:abstractNumId w:val="33"/>
  </w:num>
  <w:num w:numId="9" w16cid:durableId="1648627749">
    <w:abstractNumId w:val="5"/>
    <w:lvlOverride w:ilvl="0">
      <w:startOverride w:val="8"/>
    </w:lvlOverride>
  </w:num>
  <w:num w:numId="10" w16cid:durableId="465394681">
    <w:abstractNumId w:val="14"/>
  </w:num>
  <w:num w:numId="11" w16cid:durableId="528445990">
    <w:abstractNumId w:val="7"/>
  </w:num>
  <w:num w:numId="12" w16cid:durableId="1773936179">
    <w:abstractNumId w:val="26"/>
  </w:num>
  <w:num w:numId="13" w16cid:durableId="1515413591">
    <w:abstractNumId w:val="10"/>
  </w:num>
  <w:num w:numId="14" w16cid:durableId="1174302795">
    <w:abstractNumId w:val="27"/>
  </w:num>
  <w:num w:numId="15" w16cid:durableId="1449473894">
    <w:abstractNumId w:val="19"/>
  </w:num>
  <w:num w:numId="16" w16cid:durableId="313871140">
    <w:abstractNumId w:val="36"/>
  </w:num>
  <w:num w:numId="17" w16cid:durableId="1111899449">
    <w:abstractNumId w:val="9"/>
  </w:num>
  <w:num w:numId="18" w16cid:durableId="592587254">
    <w:abstractNumId w:val="35"/>
  </w:num>
  <w:num w:numId="19" w16cid:durableId="167869276">
    <w:abstractNumId w:val="34"/>
  </w:num>
  <w:num w:numId="20" w16cid:durableId="1632127526">
    <w:abstractNumId w:val="38"/>
  </w:num>
  <w:num w:numId="21" w16cid:durableId="1366952594">
    <w:abstractNumId w:val="13"/>
  </w:num>
  <w:num w:numId="22" w16cid:durableId="22678589">
    <w:abstractNumId w:val="23"/>
  </w:num>
  <w:num w:numId="23" w16cid:durableId="115492029">
    <w:abstractNumId w:val="21"/>
  </w:num>
  <w:num w:numId="24" w16cid:durableId="1975475954">
    <w:abstractNumId w:val="24"/>
  </w:num>
  <w:num w:numId="25" w16cid:durableId="539779365">
    <w:abstractNumId w:val="8"/>
  </w:num>
  <w:num w:numId="26" w16cid:durableId="937761744">
    <w:abstractNumId w:val="25"/>
  </w:num>
  <w:num w:numId="27" w16cid:durableId="175076278">
    <w:abstractNumId w:val="30"/>
  </w:num>
  <w:num w:numId="28" w16cid:durableId="1393237016">
    <w:abstractNumId w:val="37"/>
  </w:num>
  <w:num w:numId="29" w16cid:durableId="1487892616">
    <w:abstractNumId w:val="29"/>
  </w:num>
  <w:num w:numId="30" w16cid:durableId="16143637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9924561">
    <w:abstractNumId w:val="32"/>
  </w:num>
  <w:num w:numId="32" w16cid:durableId="1095055722">
    <w:abstractNumId w:val="31"/>
  </w:num>
  <w:num w:numId="33" w16cid:durableId="1446653192">
    <w:abstractNumId w:val="29"/>
  </w:num>
  <w:num w:numId="34" w16cid:durableId="935795136">
    <w:abstractNumId w:val="6"/>
  </w:num>
  <w:num w:numId="35" w16cid:durableId="561402901">
    <w:abstractNumId w:val="22"/>
  </w:num>
  <w:num w:numId="36" w16cid:durableId="232007209">
    <w:abstractNumId w:val="29"/>
  </w:num>
  <w:num w:numId="37" w16cid:durableId="1329751671">
    <w:abstractNumId w:val="29"/>
  </w:num>
  <w:num w:numId="38" w16cid:durableId="2085715175">
    <w:abstractNumId w:val="11"/>
  </w:num>
  <w:num w:numId="39" w16cid:durableId="756946756">
    <w:abstractNumId w:val="29"/>
  </w:num>
  <w:num w:numId="40" w16cid:durableId="605776683">
    <w:abstractNumId w:val="29"/>
  </w:num>
  <w:num w:numId="41" w16cid:durableId="1887134023">
    <w:abstractNumId w:val="18"/>
  </w:num>
  <w:num w:numId="42" w16cid:durableId="413740723">
    <w:abstractNumId w:val="28"/>
  </w:num>
  <w:num w:numId="43" w16cid:durableId="1199048180">
    <w:abstractNumId w:val="17"/>
  </w:num>
  <w:num w:numId="44" w16cid:durableId="1850289085">
    <w:abstractNumId w:val="12"/>
  </w:num>
  <w:num w:numId="45" w16cid:durableId="1419444748">
    <w:abstractNumId w:val="15"/>
  </w:num>
  <w:num w:numId="46" w16cid:durableId="432172639">
    <w:abstractNumId w:val="29"/>
  </w:num>
  <w:num w:numId="47" w16cid:durableId="838540487">
    <w:abstractNumId w:val="29"/>
  </w:num>
  <w:num w:numId="48" w16cid:durableId="1162936562">
    <w:abstractNumId w:val="29"/>
  </w:num>
  <w:num w:numId="49" w16cid:durableId="1863861158">
    <w:abstractNumId w:val="29"/>
  </w:num>
  <w:num w:numId="50" w16cid:durableId="630281510">
    <w:abstractNumId w:val="29"/>
  </w:num>
  <w:num w:numId="51" w16cid:durableId="61948193">
    <w:abstractNumId w:val="29"/>
  </w:num>
  <w:num w:numId="52" w16cid:durableId="34382396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7C"/>
    <w:rsid w:val="00000362"/>
    <w:rsid w:val="000005FE"/>
    <w:rsid w:val="000009EA"/>
    <w:rsid w:val="000016DB"/>
    <w:rsid w:val="000024C8"/>
    <w:rsid w:val="00002AA3"/>
    <w:rsid w:val="00002BA5"/>
    <w:rsid w:val="0000393E"/>
    <w:rsid w:val="00003A1A"/>
    <w:rsid w:val="00003F99"/>
    <w:rsid w:val="00006F67"/>
    <w:rsid w:val="000072E9"/>
    <w:rsid w:val="00007877"/>
    <w:rsid w:val="00011B5C"/>
    <w:rsid w:val="00011C88"/>
    <w:rsid w:val="000126A9"/>
    <w:rsid w:val="000127F5"/>
    <w:rsid w:val="000129E7"/>
    <w:rsid w:val="00012FFD"/>
    <w:rsid w:val="000131A3"/>
    <w:rsid w:val="000135A7"/>
    <w:rsid w:val="00013678"/>
    <w:rsid w:val="0001371B"/>
    <w:rsid w:val="00014B89"/>
    <w:rsid w:val="0001642C"/>
    <w:rsid w:val="000171F5"/>
    <w:rsid w:val="000173A5"/>
    <w:rsid w:val="000173B3"/>
    <w:rsid w:val="0001794F"/>
    <w:rsid w:val="00020081"/>
    <w:rsid w:val="00020D44"/>
    <w:rsid w:val="00020F2E"/>
    <w:rsid w:val="00021A39"/>
    <w:rsid w:val="00021C79"/>
    <w:rsid w:val="00021EFF"/>
    <w:rsid w:val="000221BA"/>
    <w:rsid w:val="00022367"/>
    <w:rsid w:val="000226A8"/>
    <w:rsid w:val="000226EC"/>
    <w:rsid w:val="000228E9"/>
    <w:rsid w:val="00022AC7"/>
    <w:rsid w:val="000233A1"/>
    <w:rsid w:val="0002396B"/>
    <w:rsid w:val="0002505B"/>
    <w:rsid w:val="00025E7D"/>
    <w:rsid w:val="0002608B"/>
    <w:rsid w:val="000268A6"/>
    <w:rsid w:val="000279D0"/>
    <w:rsid w:val="000306E2"/>
    <w:rsid w:val="0003098E"/>
    <w:rsid w:val="00030F8F"/>
    <w:rsid w:val="000314E9"/>
    <w:rsid w:val="00031749"/>
    <w:rsid w:val="0003288A"/>
    <w:rsid w:val="0003289E"/>
    <w:rsid w:val="00032C8E"/>
    <w:rsid w:val="00033210"/>
    <w:rsid w:val="000339C8"/>
    <w:rsid w:val="00033E40"/>
    <w:rsid w:val="000341A0"/>
    <w:rsid w:val="00035DBA"/>
    <w:rsid w:val="000364EF"/>
    <w:rsid w:val="0003667A"/>
    <w:rsid w:val="000368A7"/>
    <w:rsid w:val="000371D6"/>
    <w:rsid w:val="000374B4"/>
    <w:rsid w:val="00037C17"/>
    <w:rsid w:val="00040B08"/>
    <w:rsid w:val="00040B67"/>
    <w:rsid w:val="00041C41"/>
    <w:rsid w:val="00041DB4"/>
    <w:rsid w:val="00041DBB"/>
    <w:rsid w:val="000429AC"/>
    <w:rsid w:val="00042B6A"/>
    <w:rsid w:val="00042B99"/>
    <w:rsid w:val="00045412"/>
    <w:rsid w:val="0004571B"/>
    <w:rsid w:val="00046E44"/>
    <w:rsid w:val="000470BB"/>
    <w:rsid w:val="00047B29"/>
    <w:rsid w:val="00050CC7"/>
    <w:rsid w:val="000516C4"/>
    <w:rsid w:val="000517C0"/>
    <w:rsid w:val="000536BB"/>
    <w:rsid w:val="0005392E"/>
    <w:rsid w:val="00053CF1"/>
    <w:rsid w:val="00054544"/>
    <w:rsid w:val="00055B2E"/>
    <w:rsid w:val="00055F40"/>
    <w:rsid w:val="00056C7E"/>
    <w:rsid w:val="0005788C"/>
    <w:rsid w:val="00057955"/>
    <w:rsid w:val="00060B29"/>
    <w:rsid w:val="00061444"/>
    <w:rsid w:val="00061860"/>
    <w:rsid w:val="00061BDC"/>
    <w:rsid w:val="000637A1"/>
    <w:rsid w:val="000637A6"/>
    <w:rsid w:val="0006381F"/>
    <w:rsid w:val="000641A1"/>
    <w:rsid w:val="0006561E"/>
    <w:rsid w:val="00065F8C"/>
    <w:rsid w:val="00066BBA"/>
    <w:rsid w:val="00066FAA"/>
    <w:rsid w:val="00067C1E"/>
    <w:rsid w:val="00067F43"/>
    <w:rsid w:val="000701A4"/>
    <w:rsid w:val="000707A6"/>
    <w:rsid w:val="000713C6"/>
    <w:rsid w:val="00071509"/>
    <w:rsid w:val="000726E9"/>
    <w:rsid w:val="00072FCB"/>
    <w:rsid w:val="00073215"/>
    <w:rsid w:val="00073221"/>
    <w:rsid w:val="000732F2"/>
    <w:rsid w:val="00073A82"/>
    <w:rsid w:val="00074011"/>
    <w:rsid w:val="00074035"/>
    <w:rsid w:val="00074065"/>
    <w:rsid w:val="00074436"/>
    <w:rsid w:val="0007567C"/>
    <w:rsid w:val="00075A66"/>
    <w:rsid w:val="00077CD8"/>
    <w:rsid w:val="00080148"/>
    <w:rsid w:val="000806A1"/>
    <w:rsid w:val="00080E61"/>
    <w:rsid w:val="0008135C"/>
    <w:rsid w:val="00081BEE"/>
    <w:rsid w:val="00082539"/>
    <w:rsid w:val="00083267"/>
    <w:rsid w:val="00083449"/>
    <w:rsid w:val="00083A2B"/>
    <w:rsid w:val="00083D42"/>
    <w:rsid w:val="00083DD5"/>
    <w:rsid w:val="00084832"/>
    <w:rsid w:val="00085A85"/>
    <w:rsid w:val="00085D17"/>
    <w:rsid w:val="00086FB7"/>
    <w:rsid w:val="00087A29"/>
    <w:rsid w:val="00087C36"/>
    <w:rsid w:val="000906D8"/>
    <w:rsid w:val="000906E0"/>
    <w:rsid w:val="00090F6B"/>
    <w:rsid w:val="0009137F"/>
    <w:rsid w:val="00092341"/>
    <w:rsid w:val="00092564"/>
    <w:rsid w:val="00092F87"/>
    <w:rsid w:val="00093614"/>
    <w:rsid w:val="00094824"/>
    <w:rsid w:val="00094A3F"/>
    <w:rsid w:val="000954DB"/>
    <w:rsid w:val="00095B17"/>
    <w:rsid w:val="0009620A"/>
    <w:rsid w:val="00096E27"/>
    <w:rsid w:val="000970E1"/>
    <w:rsid w:val="000A0626"/>
    <w:rsid w:val="000A0650"/>
    <w:rsid w:val="000A0EC5"/>
    <w:rsid w:val="000A0FBC"/>
    <w:rsid w:val="000A1352"/>
    <w:rsid w:val="000A2DFC"/>
    <w:rsid w:val="000A35AC"/>
    <w:rsid w:val="000A368C"/>
    <w:rsid w:val="000A36B7"/>
    <w:rsid w:val="000A38EF"/>
    <w:rsid w:val="000A41EE"/>
    <w:rsid w:val="000A4834"/>
    <w:rsid w:val="000A4EA4"/>
    <w:rsid w:val="000A5437"/>
    <w:rsid w:val="000A6275"/>
    <w:rsid w:val="000A6B12"/>
    <w:rsid w:val="000A6E44"/>
    <w:rsid w:val="000A7F05"/>
    <w:rsid w:val="000B0A3D"/>
    <w:rsid w:val="000B1032"/>
    <w:rsid w:val="000B1490"/>
    <w:rsid w:val="000B17BD"/>
    <w:rsid w:val="000B1BCC"/>
    <w:rsid w:val="000B3C24"/>
    <w:rsid w:val="000B482F"/>
    <w:rsid w:val="000B4F3B"/>
    <w:rsid w:val="000B51CA"/>
    <w:rsid w:val="000B5596"/>
    <w:rsid w:val="000B5ABE"/>
    <w:rsid w:val="000B5C5F"/>
    <w:rsid w:val="000B5D4E"/>
    <w:rsid w:val="000B6C05"/>
    <w:rsid w:val="000B6F88"/>
    <w:rsid w:val="000B70D4"/>
    <w:rsid w:val="000B7342"/>
    <w:rsid w:val="000C1917"/>
    <w:rsid w:val="000C20BD"/>
    <w:rsid w:val="000C2611"/>
    <w:rsid w:val="000C2B24"/>
    <w:rsid w:val="000C4ABB"/>
    <w:rsid w:val="000C5057"/>
    <w:rsid w:val="000C5835"/>
    <w:rsid w:val="000C5EA5"/>
    <w:rsid w:val="000C6884"/>
    <w:rsid w:val="000C6A13"/>
    <w:rsid w:val="000C6F55"/>
    <w:rsid w:val="000C74B0"/>
    <w:rsid w:val="000C7F05"/>
    <w:rsid w:val="000D04E0"/>
    <w:rsid w:val="000D07EA"/>
    <w:rsid w:val="000D0919"/>
    <w:rsid w:val="000D0B5D"/>
    <w:rsid w:val="000D1063"/>
    <w:rsid w:val="000D17BE"/>
    <w:rsid w:val="000D24C0"/>
    <w:rsid w:val="000D27E2"/>
    <w:rsid w:val="000D2DE0"/>
    <w:rsid w:val="000D380E"/>
    <w:rsid w:val="000D3ADD"/>
    <w:rsid w:val="000D444E"/>
    <w:rsid w:val="000D4960"/>
    <w:rsid w:val="000D4C33"/>
    <w:rsid w:val="000D51D9"/>
    <w:rsid w:val="000D54DB"/>
    <w:rsid w:val="000D76BA"/>
    <w:rsid w:val="000E061D"/>
    <w:rsid w:val="000E0C15"/>
    <w:rsid w:val="000E1894"/>
    <w:rsid w:val="000E1938"/>
    <w:rsid w:val="000E1C66"/>
    <w:rsid w:val="000E2C19"/>
    <w:rsid w:val="000E2C94"/>
    <w:rsid w:val="000E31D2"/>
    <w:rsid w:val="000E32CC"/>
    <w:rsid w:val="000E4673"/>
    <w:rsid w:val="000E49B3"/>
    <w:rsid w:val="000E4AA4"/>
    <w:rsid w:val="000E4AB4"/>
    <w:rsid w:val="000E4FA7"/>
    <w:rsid w:val="000E547C"/>
    <w:rsid w:val="000E65AC"/>
    <w:rsid w:val="000E6EC1"/>
    <w:rsid w:val="000E71D4"/>
    <w:rsid w:val="000E73E3"/>
    <w:rsid w:val="000E77CC"/>
    <w:rsid w:val="000F0A3E"/>
    <w:rsid w:val="000F0E72"/>
    <w:rsid w:val="000F109A"/>
    <w:rsid w:val="000F14BB"/>
    <w:rsid w:val="000F226D"/>
    <w:rsid w:val="000F2DC3"/>
    <w:rsid w:val="000F38E4"/>
    <w:rsid w:val="000F44B6"/>
    <w:rsid w:val="000F46E4"/>
    <w:rsid w:val="000F47C4"/>
    <w:rsid w:val="000F4D08"/>
    <w:rsid w:val="000F5C22"/>
    <w:rsid w:val="000F6ABA"/>
    <w:rsid w:val="000F7A50"/>
    <w:rsid w:val="001006A7"/>
    <w:rsid w:val="001007CF"/>
    <w:rsid w:val="00100BF9"/>
    <w:rsid w:val="00100D80"/>
    <w:rsid w:val="00100E0E"/>
    <w:rsid w:val="0010113D"/>
    <w:rsid w:val="00101D4F"/>
    <w:rsid w:val="00102737"/>
    <w:rsid w:val="0010462B"/>
    <w:rsid w:val="00104A31"/>
    <w:rsid w:val="001050FA"/>
    <w:rsid w:val="0010599C"/>
    <w:rsid w:val="00105B39"/>
    <w:rsid w:val="00105E28"/>
    <w:rsid w:val="0010723B"/>
    <w:rsid w:val="00107D09"/>
    <w:rsid w:val="00110325"/>
    <w:rsid w:val="00111011"/>
    <w:rsid w:val="001123E6"/>
    <w:rsid w:val="00112C76"/>
    <w:rsid w:val="00112F5E"/>
    <w:rsid w:val="00113635"/>
    <w:rsid w:val="001137B7"/>
    <w:rsid w:val="001152D9"/>
    <w:rsid w:val="0011553E"/>
    <w:rsid w:val="00116831"/>
    <w:rsid w:val="00117478"/>
    <w:rsid w:val="00117C0A"/>
    <w:rsid w:val="0012050C"/>
    <w:rsid w:val="00120581"/>
    <w:rsid w:val="00120769"/>
    <w:rsid w:val="00120AA8"/>
    <w:rsid w:val="001218ED"/>
    <w:rsid w:val="00121C20"/>
    <w:rsid w:val="00122C8C"/>
    <w:rsid w:val="00123AD3"/>
    <w:rsid w:val="00124BAA"/>
    <w:rsid w:val="00124EF6"/>
    <w:rsid w:val="001256A7"/>
    <w:rsid w:val="001258EC"/>
    <w:rsid w:val="00125AF9"/>
    <w:rsid w:val="0012610A"/>
    <w:rsid w:val="00126524"/>
    <w:rsid w:val="001265CF"/>
    <w:rsid w:val="00127284"/>
    <w:rsid w:val="001276F6"/>
    <w:rsid w:val="00127989"/>
    <w:rsid w:val="00127F30"/>
    <w:rsid w:val="00130191"/>
    <w:rsid w:val="00130841"/>
    <w:rsid w:val="00130F84"/>
    <w:rsid w:val="001319F4"/>
    <w:rsid w:val="00131EB6"/>
    <w:rsid w:val="001328A0"/>
    <w:rsid w:val="0013326F"/>
    <w:rsid w:val="001337BB"/>
    <w:rsid w:val="0013392E"/>
    <w:rsid w:val="00133F2E"/>
    <w:rsid w:val="001343AE"/>
    <w:rsid w:val="00135069"/>
    <w:rsid w:val="00135844"/>
    <w:rsid w:val="0013599A"/>
    <w:rsid w:val="00135BCC"/>
    <w:rsid w:val="00136182"/>
    <w:rsid w:val="00136274"/>
    <w:rsid w:val="00136294"/>
    <w:rsid w:val="00136D30"/>
    <w:rsid w:val="00136D35"/>
    <w:rsid w:val="00137DD2"/>
    <w:rsid w:val="00140805"/>
    <w:rsid w:val="00140E18"/>
    <w:rsid w:val="00141583"/>
    <w:rsid w:val="00143BB2"/>
    <w:rsid w:val="00143FD6"/>
    <w:rsid w:val="001449CD"/>
    <w:rsid w:val="00144CF7"/>
    <w:rsid w:val="00145538"/>
    <w:rsid w:val="001457BC"/>
    <w:rsid w:val="00146995"/>
    <w:rsid w:val="001470F9"/>
    <w:rsid w:val="00147FB1"/>
    <w:rsid w:val="001502DB"/>
    <w:rsid w:val="00150E5B"/>
    <w:rsid w:val="00151467"/>
    <w:rsid w:val="00151BFD"/>
    <w:rsid w:val="00151E67"/>
    <w:rsid w:val="00153CE5"/>
    <w:rsid w:val="00153EC0"/>
    <w:rsid w:val="001540F5"/>
    <w:rsid w:val="00154238"/>
    <w:rsid w:val="001546B0"/>
    <w:rsid w:val="00154CD4"/>
    <w:rsid w:val="00154D5B"/>
    <w:rsid w:val="00155381"/>
    <w:rsid w:val="001559FC"/>
    <w:rsid w:val="00155CF3"/>
    <w:rsid w:val="00156B8B"/>
    <w:rsid w:val="00156D6A"/>
    <w:rsid w:val="00156F39"/>
    <w:rsid w:val="00157227"/>
    <w:rsid w:val="0015727C"/>
    <w:rsid w:val="001575B0"/>
    <w:rsid w:val="00157BA1"/>
    <w:rsid w:val="00157BD7"/>
    <w:rsid w:val="0016096A"/>
    <w:rsid w:val="001622CC"/>
    <w:rsid w:val="00162B53"/>
    <w:rsid w:val="00162B5C"/>
    <w:rsid w:val="00162C00"/>
    <w:rsid w:val="00163881"/>
    <w:rsid w:val="001641C3"/>
    <w:rsid w:val="00164FFF"/>
    <w:rsid w:val="0016513F"/>
    <w:rsid w:val="00165681"/>
    <w:rsid w:val="001659E4"/>
    <w:rsid w:val="0016634F"/>
    <w:rsid w:val="00170304"/>
    <w:rsid w:val="001708B9"/>
    <w:rsid w:val="001709B4"/>
    <w:rsid w:val="00170AE8"/>
    <w:rsid w:val="0017280D"/>
    <w:rsid w:val="001731C8"/>
    <w:rsid w:val="00174842"/>
    <w:rsid w:val="001757CE"/>
    <w:rsid w:val="00175DBF"/>
    <w:rsid w:val="0017657B"/>
    <w:rsid w:val="001769A5"/>
    <w:rsid w:val="001775D1"/>
    <w:rsid w:val="0017763F"/>
    <w:rsid w:val="001808AF"/>
    <w:rsid w:val="0018098B"/>
    <w:rsid w:val="00180BDA"/>
    <w:rsid w:val="0018108F"/>
    <w:rsid w:val="001810FE"/>
    <w:rsid w:val="001822E5"/>
    <w:rsid w:val="001825E1"/>
    <w:rsid w:val="00182A6B"/>
    <w:rsid w:val="00183786"/>
    <w:rsid w:val="0018392B"/>
    <w:rsid w:val="00184A7A"/>
    <w:rsid w:val="00184C26"/>
    <w:rsid w:val="00184D26"/>
    <w:rsid w:val="00184E6E"/>
    <w:rsid w:val="001853D2"/>
    <w:rsid w:val="001856F9"/>
    <w:rsid w:val="00186EF8"/>
    <w:rsid w:val="00186FC8"/>
    <w:rsid w:val="001877B5"/>
    <w:rsid w:val="00187808"/>
    <w:rsid w:val="00187C43"/>
    <w:rsid w:val="001901BE"/>
    <w:rsid w:val="00190261"/>
    <w:rsid w:val="0019127E"/>
    <w:rsid w:val="00191B8B"/>
    <w:rsid w:val="00191C4E"/>
    <w:rsid w:val="00191CB4"/>
    <w:rsid w:val="00192255"/>
    <w:rsid w:val="0019401B"/>
    <w:rsid w:val="00194F1C"/>
    <w:rsid w:val="001953A0"/>
    <w:rsid w:val="00196577"/>
    <w:rsid w:val="00196D9B"/>
    <w:rsid w:val="0019723F"/>
    <w:rsid w:val="001975EF"/>
    <w:rsid w:val="0019765A"/>
    <w:rsid w:val="00197BA9"/>
    <w:rsid w:val="00197EB1"/>
    <w:rsid w:val="00197FBB"/>
    <w:rsid w:val="001A04FC"/>
    <w:rsid w:val="001A1BF5"/>
    <w:rsid w:val="001A1D22"/>
    <w:rsid w:val="001A3645"/>
    <w:rsid w:val="001A3D24"/>
    <w:rsid w:val="001A45CF"/>
    <w:rsid w:val="001A4F65"/>
    <w:rsid w:val="001A5AAB"/>
    <w:rsid w:val="001A6B3C"/>
    <w:rsid w:val="001A701A"/>
    <w:rsid w:val="001A7098"/>
    <w:rsid w:val="001A77EC"/>
    <w:rsid w:val="001A788B"/>
    <w:rsid w:val="001A7C1B"/>
    <w:rsid w:val="001A7C27"/>
    <w:rsid w:val="001B04C9"/>
    <w:rsid w:val="001B0BFE"/>
    <w:rsid w:val="001B0F0F"/>
    <w:rsid w:val="001B0F94"/>
    <w:rsid w:val="001B2B10"/>
    <w:rsid w:val="001B2FB5"/>
    <w:rsid w:val="001B35F5"/>
    <w:rsid w:val="001B3CB6"/>
    <w:rsid w:val="001B4211"/>
    <w:rsid w:val="001B4936"/>
    <w:rsid w:val="001B5180"/>
    <w:rsid w:val="001B5C19"/>
    <w:rsid w:val="001B6767"/>
    <w:rsid w:val="001C23E8"/>
    <w:rsid w:val="001C251D"/>
    <w:rsid w:val="001C2F68"/>
    <w:rsid w:val="001C3DE1"/>
    <w:rsid w:val="001C4C6D"/>
    <w:rsid w:val="001C4DD1"/>
    <w:rsid w:val="001C5416"/>
    <w:rsid w:val="001C666F"/>
    <w:rsid w:val="001C71E9"/>
    <w:rsid w:val="001D01FD"/>
    <w:rsid w:val="001D03A7"/>
    <w:rsid w:val="001D0CE3"/>
    <w:rsid w:val="001D1D18"/>
    <w:rsid w:val="001D2136"/>
    <w:rsid w:val="001D30BF"/>
    <w:rsid w:val="001D30CA"/>
    <w:rsid w:val="001D3765"/>
    <w:rsid w:val="001D447C"/>
    <w:rsid w:val="001D4EA5"/>
    <w:rsid w:val="001D5300"/>
    <w:rsid w:val="001E016B"/>
    <w:rsid w:val="001E0579"/>
    <w:rsid w:val="001E0637"/>
    <w:rsid w:val="001E08FC"/>
    <w:rsid w:val="001E0CDD"/>
    <w:rsid w:val="001E1D95"/>
    <w:rsid w:val="001E2383"/>
    <w:rsid w:val="001E275F"/>
    <w:rsid w:val="001E4078"/>
    <w:rsid w:val="001E460D"/>
    <w:rsid w:val="001E4959"/>
    <w:rsid w:val="001E49BC"/>
    <w:rsid w:val="001E4CF6"/>
    <w:rsid w:val="001E720D"/>
    <w:rsid w:val="001E7D3E"/>
    <w:rsid w:val="001F0A3B"/>
    <w:rsid w:val="001F10E5"/>
    <w:rsid w:val="001F15F7"/>
    <w:rsid w:val="001F1785"/>
    <w:rsid w:val="001F1DD8"/>
    <w:rsid w:val="001F23AB"/>
    <w:rsid w:val="001F2724"/>
    <w:rsid w:val="001F38BE"/>
    <w:rsid w:val="001F50B6"/>
    <w:rsid w:val="001F53C9"/>
    <w:rsid w:val="001F61B8"/>
    <w:rsid w:val="001F6839"/>
    <w:rsid w:val="001F6E87"/>
    <w:rsid w:val="001F79EE"/>
    <w:rsid w:val="001F7B29"/>
    <w:rsid w:val="00200703"/>
    <w:rsid w:val="00202B0C"/>
    <w:rsid w:val="0020370D"/>
    <w:rsid w:val="00203D99"/>
    <w:rsid w:val="002049BB"/>
    <w:rsid w:val="00204CBA"/>
    <w:rsid w:val="002054D4"/>
    <w:rsid w:val="0020597D"/>
    <w:rsid w:val="00205DEA"/>
    <w:rsid w:val="0020761B"/>
    <w:rsid w:val="00207B31"/>
    <w:rsid w:val="0021000F"/>
    <w:rsid w:val="00210895"/>
    <w:rsid w:val="00210D78"/>
    <w:rsid w:val="00211287"/>
    <w:rsid w:val="002115DF"/>
    <w:rsid w:val="00211AB1"/>
    <w:rsid w:val="00212852"/>
    <w:rsid w:val="00212B73"/>
    <w:rsid w:val="0021309A"/>
    <w:rsid w:val="0021425E"/>
    <w:rsid w:val="002142F6"/>
    <w:rsid w:val="0021456B"/>
    <w:rsid w:val="00214C2B"/>
    <w:rsid w:val="00214C9B"/>
    <w:rsid w:val="00214FDB"/>
    <w:rsid w:val="00215546"/>
    <w:rsid w:val="00215728"/>
    <w:rsid w:val="00215E5F"/>
    <w:rsid w:val="00216CF6"/>
    <w:rsid w:val="002171B3"/>
    <w:rsid w:val="0021772D"/>
    <w:rsid w:val="0022021D"/>
    <w:rsid w:val="00220AE5"/>
    <w:rsid w:val="00220C8C"/>
    <w:rsid w:val="00220CCF"/>
    <w:rsid w:val="00220CF8"/>
    <w:rsid w:val="002215A7"/>
    <w:rsid w:val="00221E78"/>
    <w:rsid w:val="002244E9"/>
    <w:rsid w:val="00224638"/>
    <w:rsid w:val="00224F5C"/>
    <w:rsid w:val="00225F9D"/>
    <w:rsid w:val="00227242"/>
    <w:rsid w:val="00227D91"/>
    <w:rsid w:val="00227F1F"/>
    <w:rsid w:val="0022BA96"/>
    <w:rsid w:val="00231059"/>
    <w:rsid w:val="00231B44"/>
    <w:rsid w:val="00232F51"/>
    <w:rsid w:val="00232FE1"/>
    <w:rsid w:val="002340B6"/>
    <w:rsid w:val="002341FE"/>
    <w:rsid w:val="00234518"/>
    <w:rsid w:val="00234BA2"/>
    <w:rsid w:val="00234DC1"/>
    <w:rsid w:val="00235475"/>
    <w:rsid w:val="00235495"/>
    <w:rsid w:val="00235582"/>
    <w:rsid w:val="00235D51"/>
    <w:rsid w:val="0023646A"/>
    <w:rsid w:val="00236607"/>
    <w:rsid w:val="00236E69"/>
    <w:rsid w:val="002370AB"/>
    <w:rsid w:val="002373C4"/>
    <w:rsid w:val="00237872"/>
    <w:rsid w:val="00240C61"/>
    <w:rsid w:val="00241442"/>
    <w:rsid w:val="00241BFA"/>
    <w:rsid w:val="00243996"/>
    <w:rsid w:val="00244010"/>
    <w:rsid w:val="002451BA"/>
    <w:rsid w:val="00245F07"/>
    <w:rsid w:val="00245F42"/>
    <w:rsid w:val="00246371"/>
    <w:rsid w:val="0025002D"/>
    <w:rsid w:val="0025065E"/>
    <w:rsid w:val="002511DD"/>
    <w:rsid w:val="00251CA0"/>
    <w:rsid w:val="002520EA"/>
    <w:rsid w:val="00252E1D"/>
    <w:rsid w:val="00253053"/>
    <w:rsid w:val="00253B5F"/>
    <w:rsid w:val="00253D2A"/>
    <w:rsid w:val="0025427B"/>
    <w:rsid w:val="0025547A"/>
    <w:rsid w:val="00255835"/>
    <w:rsid w:val="00255D53"/>
    <w:rsid w:val="0025640F"/>
    <w:rsid w:val="002565E4"/>
    <w:rsid w:val="00256967"/>
    <w:rsid w:val="00257074"/>
    <w:rsid w:val="002576D1"/>
    <w:rsid w:val="00257912"/>
    <w:rsid w:val="00257C07"/>
    <w:rsid w:val="002603BD"/>
    <w:rsid w:val="0026066B"/>
    <w:rsid w:val="002614CC"/>
    <w:rsid w:val="00261EA3"/>
    <w:rsid w:val="0026263D"/>
    <w:rsid w:val="00264155"/>
    <w:rsid w:val="00264F02"/>
    <w:rsid w:val="00265387"/>
    <w:rsid w:val="00265F5D"/>
    <w:rsid w:val="00266935"/>
    <w:rsid w:val="00266E49"/>
    <w:rsid w:val="00267D7D"/>
    <w:rsid w:val="00270638"/>
    <w:rsid w:val="00272A2E"/>
    <w:rsid w:val="00274298"/>
    <w:rsid w:val="00274335"/>
    <w:rsid w:val="0027440B"/>
    <w:rsid w:val="002745AE"/>
    <w:rsid w:val="00274E4A"/>
    <w:rsid w:val="0027530B"/>
    <w:rsid w:val="00280DDB"/>
    <w:rsid w:val="002816B8"/>
    <w:rsid w:val="00281979"/>
    <w:rsid w:val="00281DDC"/>
    <w:rsid w:val="00281E78"/>
    <w:rsid w:val="00283459"/>
    <w:rsid w:val="00284028"/>
    <w:rsid w:val="0028454F"/>
    <w:rsid w:val="00284AE9"/>
    <w:rsid w:val="00284D31"/>
    <w:rsid w:val="002854C1"/>
    <w:rsid w:val="002864EB"/>
    <w:rsid w:val="002866A8"/>
    <w:rsid w:val="002868A9"/>
    <w:rsid w:val="00290701"/>
    <w:rsid w:val="0029079D"/>
    <w:rsid w:val="0029091A"/>
    <w:rsid w:val="00291044"/>
    <w:rsid w:val="00291F3F"/>
    <w:rsid w:val="002930B2"/>
    <w:rsid w:val="00293250"/>
    <w:rsid w:val="00293689"/>
    <w:rsid w:val="00293B02"/>
    <w:rsid w:val="00293D1D"/>
    <w:rsid w:val="00294B07"/>
    <w:rsid w:val="00294BBA"/>
    <w:rsid w:val="00294CC5"/>
    <w:rsid w:val="002951BF"/>
    <w:rsid w:val="00295B52"/>
    <w:rsid w:val="00295BAF"/>
    <w:rsid w:val="00295E28"/>
    <w:rsid w:val="00295F03"/>
    <w:rsid w:val="00296322"/>
    <w:rsid w:val="00296FF9"/>
    <w:rsid w:val="0029702E"/>
    <w:rsid w:val="00297214"/>
    <w:rsid w:val="002A1950"/>
    <w:rsid w:val="002A3449"/>
    <w:rsid w:val="002A4314"/>
    <w:rsid w:val="002A4476"/>
    <w:rsid w:val="002A4580"/>
    <w:rsid w:val="002A4CEB"/>
    <w:rsid w:val="002A5E7B"/>
    <w:rsid w:val="002A6CFE"/>
    <w:rsid w:val="002A7A34"/>
    <w:rsid w:val="002A7B4D"/>
    <w:rsid w:val="002A7B7D"/>
    <w:rsid w:val="002A7C43"/>
    <w:rsid w:val="002A7EC4"/>
    <w:rsid w:val="002B03E2"/>
    <w:rsid w:val="002B1BA0"/>
    <w:rsid w:val="002B1CA6"/>
    <w:rsid w:val="002B2376"/>
    <w:rsid w:val="002B24B8"/>
    <w:rsid w:val="002B2532"/>
    <w:rsid w:val="002B3307"/>
    <w:rsid w:val="002B34E7"/>
    <w:rsid w:val="002B3A53"/>
    <w:rsid w:val="002B4054"/>
    <w:rsid w:val="002B40D9"/>
    <w:rsid w:val="002B4D02"/>
    <w:rsid w:val="002B5324"/>
    <w:rsid w:val="002B56CB"/>
    <w:rsid w:val="002B603A"/>
    <w:rsid w:val="002B6899"/>
    <w:rsid w:val="002B6D2E"/>
    <w:rsid w:val="002B6F0F"/>
    <w:rsid w:val="002B7AA4"/>
    <w:rsid w:val="002B7DCC"/>
    <w:rsid w:val="002C03BF"/>
    <w:rsid w:val="002C060A"/>
    <w:rsid w:val="002C0DBA"/>
    <w:rsid w:val="002C1A3B"/>
    <w:rsid w:val="002C1BF8"/>
    <w:rsid w:val="002C33EF"/>
    <w:rsid w:val="002C36DB"/>
    <w:rsid w:val="002C4026"/>
    <w:rsid w:val="002C4475"/>
    <w:rsid w:val="002C5496"/>
    <w:rsid w:val="002C56F7"/>
    <w:rsid w:val="002C5C01"/>
    <w:rsid w:val="002C5FEA"/>
    <w:rsid w:val="002C618C"/>
    <w:rsid w:val="002C61F3"/>
    <w:rsid w:val="002C690A"/>
    <w:rsid w:val="002C6F50"/>
    <w:rsid w:val="002D01BC"/>
    <w:rsid w:val="002D1EAC"/>
    <w:rsid w:val="002D2D97"/>
    <w:rsid w:val="002D30FB"/>
    <w:rsid w:val="002D3B7C"/>
    <w:rsid w:val="002D41F7"/>
    <w:rsid w:val="002D42A2"/>
    <w:rsid w:val="002D4564"/>
    <w:rsid w:val="002D5EA8"/>
    <w:rsid w:val="002D5EE1"/>
    <w:rsid w:val="002D601B"/>
    <w:rsid w:val="002D6B70"/>
    <w:rsid w:val="002D7F91"/>
    <w:rsid w:val="002E0E83"/>
    <w:rsid w:val="002E1C00"/>
    <w:rsid w:val="002E5458"/>
    <w:rsid w:val="002E54BB"/>
    <w:rsid w:val="002E6D85"/>
    <w:rsid w:val="002E7099"/>
    <w:rsid w:val="002F1813"/>
    <w:rsid w:val="002F2771"/>
    <w:rsid w:val="002F396A"/>
    <w:rsid w:val="002F3C31"/>
    <w:rsid w:val="002F42C8"/>
    <w:rsid w:val="002F4755"/>
    <w:rsid w:val="002F4BAE"/>
    <w:rsid w:val="002F62A2"/>
    <w:rsid w:val="002F6822"/>
    <w:rsid w:val="002F72AF"/>
    <w:rsid w:val="002F73E8"/>
    <w:rsid w:val="002F7493"/>
    <w:rsid w:val="002F7F4C"/>
    <w:rsid w:val="002F7FF3"/>
    <w:rsid w:val="00300B2A"/>
    <w:rsid w:val="00300C8A"/>
    <w:rsid w:val="00302099"/>
    <w:rsid w:val="0030265F"/>
    <w:rsid w:val="00302673"/>
    <w:rsid w:val="003029D6"/>
    <w:rsid w:val="00302F67"/>
    <w:rsid w:val="00303F57"/>
    <w:rsid w:val="0030432D"/>
    <w:rsid w:val="003044AF"/>
    <w:rsid w:val="0030477C"/>
    <w:rsid w:val="003049DF"/>
    <w:rsid w:val="00304D83"/>
    <w:rsid w:val="003056F4"/>
    <w:rsid w:val="003061AE"/>
    <w:rsid w:val="00306561"/>
    <w:rsid w:val="003067EA"/>
    <w:rsid w:val="00306806"/>
    <w:rsid w:val="00306948"/>
    <w:rsid w:val="00306C2C"/>
    <w:rsid w:val="003073E9"/>
    <w:rsid w:val="00307417"/>
    <w:rsid w:val="00307521"/>
    <w:rsid w:val="00307BDD"/>
    <w:rsid w:val="00307C6D"/>
    <w:rsid w:val="00310FCB"/>
    <w:rsid w:val="0031126D"/>
    <w:rsid w:val="003121C1"/>
    <w:rsid w:val="00312479"/>
    <w:rsid w:val="00312544"/>
    <w:rsid w:val="00315B55"/>
    <w:rsid w:val="00315C5A"/>
    <w:rsid w:val="0031608C"/>
    <w:rsid w:val="00320118"/>
    <w:rsid w:val="003202A3"/>
    <w:rsid w:val="0032068D"/>
    <w:rsid w:val="003215CA"/>
    <w:rsid w:val="0032226A"/>
    <w:rsid w:val="00322727"/>
    <w:rsid w:val="00322EFF"/>
    <w:rsid w:val="003234FE"/>
    <w:rsid w:val="0032373B"/>
    <w:rsid w:val="00323C4C"/>
    <w:rsid w:val="00324180"/>
    <w:rsid w:val="0032485A"/>
    <w:rsid w:val="0032494C"/>
    <w:rsid w:val="00324F70"/>
    <w:rsid w:val="00326A8D"/>
    <w:rsid w:val="00326BD7"/>
    <w:rsid w:val="003271F2"/>
    <w:rsid w:val="00330377"/>
    <w:rsid w:val="003304E1"/>
    <w:rsid w:val="00330E14"/>
    <w:rsid w:val="00331073"/>
    <w:rsid w:val="00331D1F"/>
    <w:rsid w:val="00332832"/>
    <w:rsid w:val="00332B64"/>
    <w:rsid w:val="003339E3"/>
    <w:rsid w:val="00333CDB"/>
    <w:rsid w:val="00333EA1"/>
    <w:rsid w:val="00334847"/>
    <w:rsid w:val="003349EC"/>
    <w:rsid w:val="00335631"/>
    <w:rsid w:val="00335B93"/>
    <w:rsid w:val="00335D47"/>
    <w:rsid w:val="00336697"/>
    <w:rsid w:val="00337680"/>
    <w:rsid w:val="00337E22"/>
    <w:rsid w:val="00337F8A"/>
    <w:rsid w:val="0034006C"/>
    <w:rsid w:val="0034255D"/>
    <w:rsid w:val="003426D3"/>
    <w:rsid w:val="003429BD"/>
    <w:rsid w:val="00343346"/>
    <w:rsid w:val="0034345F"/>
    <w:rsid w:val="003434A4"/>
    <w:rsid w:val="003437B8"/>
    <w:rsid w:val="00344285"/>
    <w:rsid w:val="00344788"/>
    <w:rsid w:val="00345A00"/>
    <w:rsid w:val="00347A96"/>
    <w:rsid w:val="00347D40"/>
    <w:rsid w:val="00347DDE"/>
    <w:rsid w:val="00347FC4"/>
    <w:rsid w:val="00350045"/>
    <w:rsid w:val="00350108"/>
    <w:rsid w:val="003504F6"/>
    <w:rsid w:val="0035138D"/>
    <w:rsid w:val="00351CC2"/>
    <w:rsid w:val="003525CB"/>
    <w:rsid w:val="00353143"/>
    <w:rsid w:val="003531A0"/>
    <w:rsid w:val="0035364A"/>
    <w:rsid w:val="00353743"/>
    <w:rsid w:val="003555A2"/>
    <w:rsid w:val="00356453"/>
    <w:rsid w:val="00357716"/>
    <w:rsid w:val="00357ADA"/>
    <w:rsid w:val="00357E22"/>
    <w:rsid w:val="00357E4F"/>
    <w:rsid w:val="003616CF"/>
    <w:rsid w:val="00362B63"/>
    <w:rsid w:val="003630C7"/>
    <w:rsid w:val="003636A5"/>
    <w:rsid w:val="00363D13"/>
    <w:rsid w:val="003645CA"/>
    <w:rsid w:val="003646AB"/>
    <w:rsid w:val="003647EA"/>
    <w:rsid w:val="003649E5"/>
    <w:rsid w:val="00364D7D"/>
    <w:rsid w:val="00365B3A"/>
    <w:rsid w:val="003675C2"/>
    <w:rsid w:val="00367B7D"/>
    <w:rsid w:val="00367C81"/>
    <w:rsid w:val="00367ED4"/>
    <w:rsid w:val="003703E1"/>
    <w:rsid w:val="00370CF7"/>
    <w:rsid w:val="00371208"/>
    <w:rsid w:val="00371E75"/>
    <w:rsid w:val="0037225B"/>
    <w:rsid w:val="003734D5"/>
    <w:rsid w:val="00373622"/>
    <w:rsid w:val="00373F07"/>
    <w:rsid w:val="003744D8"/>
    <w:rsid w:val="003749AD"/>
    <w:rsid w:val="00375659"/>
    <w:rsid w:val="003757F2"/>
    <w:rsid w:val="00375EB8"/>
    <w:rsid w:val="00375F9B"/>
    <w:rsid w:val="00376103"/>
    <w:rsid w:val="003763C4"/>
    <w:rsid w:val="003764AD"/>
    <w:rsid w:val="003765DD"/>
    <w:rsid w:val="00376613"/>
    <w:rsid w:val="00376B30"/>
    <w:rsid w:val="00376D63"/>
    <w:rsid w:val="00377AE4"/>
    <w:rsid w:val="00380136"/>
    <w:rsid w:val="00380721"/>
    <w:rsid w:val="0038104C"/>
    <w:rsid w:val="003810AB"/>
    <w:rsid w:val="003817F5"/>
    <w:rsid w:val="00381F73"/>
    <w:rsid w:val="00382317"/>
    <w:rsid w:val="0038235B"/>
    <w:rsid w:val="003824AC"/>
    <w:rsid w:val="003827B6"/>
    <w:rsid w:val="00384583"/>
    <w:rsid w:val="00384689"/>
    <w:rsid w:val="003850F9"/>
    <w:rsid w:val="00385387"/>
    <w:rsid w:val="003853C9"/>
    <w:rsid w:val="003863C7"/>
    <w:rsid w:val="003875B1"/>
    <w:rsid w:val="00387F99"/>
    <w:rsid w:val="0039011D"/>
    <w:rsid w:val="0039181B"/>
    <w:rsid w:val="003923FD"/>
    <w:rsid w:val="00392612"/>
    <w:rsid w:val="00392D4B"/>
    <w:rsid w:val="00393AE2"/>
    <w:rsid w:val="00394BD8"/>
    <w:rsid w:val="00394EF6"/>
    <w:rsid w:val="00395136"/>
    <w:rsid w:val="0039525B"/>
    <w:rsid w:val="00395B7C"/>
    <w:rsid w:val="00395BCE"/>
    <w:rsid w:val="00395DA3"/>
    <w:rsid w:val="00397396"/>
    <w:rsid w:val="003A0247"/>
    <w:rsid w:val="003A0D92"/>
    <w:rsid w:val="003A26B8"/>
    <w:rsid w:val="003A372B"/>
    <w:rsid w:val="003A3ED1"/>
    <w:rsid w:val="003A494E"/>
    <w:rsid w:val="003A547E"/>
    <w:rsid w:val="003B166D"/>
    <w:rsid w:val="003B1AA4"/>
    <w:rsid w:val="003B283C"/>
    <w:rsid w:val="003B2A4B"/>
    <w:rsid w:val="003B2E5F"/>
    <w:rsid w:val="003B3214"/>
    <w:rsid w:val="003B3379"/>
    <w:rsid w:val="003B34CB"/>
    <w:rsid w:val="003B3797"/>
    <w:rsid w:val="003B3C47"/>
    <w:rsid w:val="003B3C67"/>
    <w:rsid w:val="003B3F96"/>
    <w:rsid w:val="003B5DB8"/>
    <w:rsid w:val="003B7DFD"/>
    <w:rsid w:val="003B7FB8"/>
    <w:rsid w:val="003C12AF"/>
    <w:rsid w:val="003C2D6E"/>
    <w:rsid w:val="003C30CC"/>
    <w:rsid w:val="003C3A76"/>
    <w:rsid w:val="003C4BE4"/>
    <w:rsid w:val="003C4DE4"/>
    <w:rsid w:val="003C52DD"/>
    <w:rsid w:val="003C5A6A"/>
    <w:rsid w:val="003C6A8D"/>
    <w:rsid w:val="003C6FB3"/>
    <w:rsid w:val="003C72A8"/>
    <w:rsid w:val="003C7B46"/>
    <w:rsid w:val="003C7B7F"/>
    <w:rsid w:val="003C7F5B"/>
    <w:rsid w:val="003D062E"/>
    <w:rsid w:val="003D0F12"/>
    <w:rsid w:val="003D117D"/>
    <w:rsid w:val="003D1A80"/>
    <w:rsid w:val="003D2061"/>
    <w:rsid w:val="003D3919"/>
    <w:rsid w:val="003D443D"/>
    <w:rsid w:val="003D46E7"/>
    <w:rsid w:val="003D4AC8"/>
    <w:rsid w:val="003D5486"/>
    <w:rsid w:val="003D5613"/>
    <w:rsid w:val="003D5AEE"/>
    <w:rsid w:val="003D62E2"/>
    <w:rsid w:val="003D6667"/>
    <w:rsid w:val="003D68B7"/>
    <w:rsid w:val="003D69C1"/>
    <w:rsid w:val="003D7067"/>
    <w:rsid w:val="003D7C25"/>
    <w:rsid w:val="003E029F"/>
    <w:rsid w:val="003E0613"/>
    <w:rsid w:val="003E138D"/>
    <w:rsid w:val="003E1820"/>
    <w:rsid w:val="003E2707"/>
    <w:rsid w:val="003E2C77"/>
    <w:rsid w:val="003E31E9"/>
    <w:rsid w:val="003E34CF"/>
    <w:rsid w:val="003E3C72"/>
    <w:rsid w:val="003E455E"/>
    <w:rsid w:val="003E4946"/>
    <w:rsid w:val="003E49BA"/>
    <w:rsid w:val="003E4C0A"/>
    <w:rsid w:val="003E4F6D"/>
    <w:rsid w:val="003E5991"/>
    <w:rsid w:val="003E60AE"/>
    <w:rsid w:val="003E62CF"/>
    <w:rsid w:val="003E6AE4"/>
    <w:rsid w:val="003E72B5"/>
    <w:rsid w:val="003E7544"/>
    <w:rsid w:val="003E766A"/>
    <w:rsid w:val="003E7B2A"/>
    <w:rsid w:val="003E7D09"/>
    <w:rsid w:val="003F032C"/>
    <w:rsid w:val="003F0585"/>
    <w:rsid w:val="003F17AC"/>
    <w:rsid w:val="003F1C7F"/>
    <w:rsid w:val="003F2224"/>
    <w:rsid w:val="003F3E53"/>
    <w:rsid w:val="003F4610"/>
    <w:rsid w:val="003F480B"/>
    <w:rsid w:val="003F515E"/>
    <w:rsid w:val="003F697B"/>
    <w:rsid w:val="003F7907"/>
    <w:rsid w:val="003F7A85"/>
    <w:rsid w:val="0040038D"/>
    <w:rsid w:val="0040042E"/>
    <w:rsid w:val="004005BC"/>
    <w:rsid w:val="004006A9"/>
    <w:rsid w:val="00400AA4"/>
    <w:rsid w:val="00401AC7"/>
    <w:rsid w:val="0040204A"/>
    <w:rsid w:val="00403818"/>
    <w:rsid w:val="00403DB7"/>
    <w:rsid w:val="00403E56"/>
    <w:rsid w:val="004041A6"/>
    <w:rsid w:val="00404297"/>
    <w:rsid w:val="00404808"/>
    <w:rsid w:val="00405115"/>
    <w:rsid w:val="0040516D"/>
    <w:rsid w:val="004052BC"/>
    <w:rsid w:val="004063DE"/>
    <w:rsid w:val="004066C3"/>
    <w:rsid w:val="00407AB5"/>
    <w:rsid w:val="00407DD2"/>
    <w:rsid w:val="004103EA"/>
    <w:rsid w:val="004105A7"/>
    <w:rsid w:val="00410B4A"/>
    <w:rsid w:val="00410F5B"/>
    <w:rsid w:val="004119B0"/>
    <w:rsid w:val="004120AB"/>
    <w:rsid w:val="004121FF"/>
    <w:rsid w:val="004124F6"/>
    <w:rsid w:val="00412918"/>
    <w:rsid w:val="00412EA0"/>
    <w:rsid w:val="00414253"/>
    <w:rsid w:val="004145F6"/>
    <w:rsid w:val="004148DE"/>
    <w:rsid w:val="00414E14"/>
    <w:rsid w:val="00415AF4"/>
    <w:rsid w:val="004163C6"/>
    <w:rsid w:val="004170EB"/>
    <w:rsid w:val="004172FC"/>
    <w:rsid w:val="00421583"/>
    <w:rsid w:val="0042183F"/>
    <w:rsid w:val="00421C2D"/>
    <w:rsid w:val="0042203D"/>
    <w:rsid w:val="004231B2"/>
    <w:rsid w:val="00423B13"/>
    <w:rsid w:val="00423C81"/>
    <w:rsid w:val="00424499"/>
    <w:rsid w:val="00425585"/>
    <w:rsid w:val="00425A59"/>
    <w:rsid w:val="00427EE8"/>
    <w:rsid w:val="00431031"/>
    <w:rsid w:val="004314E1"/>
    <w:rsid w:val="00431F4E"/>
    <w:rsid w:val="00432002"/>
    <w:rsid w:val="00432333"/>
    <w:rsid w:val="004334C9"/>
    <w:rsid w:val="004335E3"/>
    <w:rsid w:val="004338A6"/>
    <w:rsid w:val="004340AE"/>
    <w:rsid w:val="00434420"/>
    <w:rsid w:val="00434664"/>
    <w:rsid w:val="0043498F"/>
    <w:rsid w:val="00435220"/>
    <w:rsid w:val="00435D85"/>
    <w:rsid w:val="0043638B"/>
    <w:rsid w:val="00436A05"/>
    <w:rsid w:val="00437052"/>
    <w:rsid w:val="004370F4"/>
    <w:rsid w:val="0044117C"/>
    <w:rsid w:val="0044162F"/>
    <w:rsid w:val="0044181C"/>
    <w:rsid w:val="0044198A"/>
    <w:rsid w:val="00442732"/>
    <w:rsid w:val="00443457"/>
    <w:rsid w:val="00443854"/>
    <w:rsid w:val="004438B0"/>
    <w:rsid w:val="00443916"/>
    <w:rsid w:val="00444D5F"/>
    <w:rsid w:val="0044506A"/>
    <w:rsid w:val="0044558B"/>
    <w:rsid w:val="004474CD"/>
    <w:rsid w:val="004509E3"/>
    <w:rsid w:val="00450DD8"/>
    <w:rsid w:val="00451A2E"/>
    <w:rsid w:val="00451AD9"/>
    <w:rsid w:val="00451AE9"/>
    <w:rsid w:val="00451C77"/>
    <w:rsid w:val="00452357"/>
    <w:rsid w:val="00452581"/>
    <w:rsid w:val="00453547"/>
    <w:rsid w:val="00453AA6"/>
    <w:rsid w:val="00453FCE"/>
    <w:rsid w:val="004550F5"/>
    <w:rsid w:val="0045530D"/>
    <w:rsid w:val="00455537"/>
    <w:rsid w:val="00455CC4"/>
    <w:rsid w:val="00456354"/>
    <w:rsid w:val="0045664F"/>
    <w:rsid w:val="00456910"/>
    <w:rsid w:val="004569F0"/>
    <w:rsid w:val="00457449"/>
    <w:rsid w:val="0045751D"/>
    <w:rsid w:val="00457527"/>
    <w:rsid w:val="00457990"/>
    <w:rsid w:val="00457B7B"/>
    <w:rsid w:val="0046428D"/>
    <w:rsid w:val="00464592"/>
    <w:rsid w:val="00464B0C"/>
    <w:rsid w:val="00464FA9"/>
    <w:rsid w:val="0046582B"/>
    <w:rsid w:val="004664AD"/>
    <w:rsid w:val="004665D3"/>
    <w:rsid w:val="00466617"/>
    <w:rsid w:val="00466AB5"/>
    <w:rsid w:val="00467746"/>
    <w:rsid w:val="0047026B"/>
    <w:rsid w:val="004708DF"/>
    <w:rsid w:val="0047104D"/>
    <w:rsid w:val="004716D7"/>
    <w:rsid w:val="004724D9"/>
    <w:rsid w:val="00472D42"/>
    <w:rsid w:val="00473614"/>
    <w:rsid w:val="00473C65"/>
    <w:rsid w:val="00473DD8"/>
    <w:rsid w:val="0047475F"/>
    <w:rsid w:val="00475966"/>
    <w:rsid w:val="00477144"/>
    <w:rsid w:val="004774E9"/>
    <w:rsid w:val="00480217"/>
    <w:rsid w:val="00480E3F"/>
    <w:rsid w:val="00483C24"/>
    <w:rsid w:val="0048408D"/>
    <w:rsid w:val="00484569"/>
    <w:rsid w:val="00484EBE"/>
    <w:rsid w:val="004851BF"/>
    <w:rsid w:val="004860A3"/>
    <w:rsid w:val="004861C8"/>
    <w:rsid w:val="00486736"/>
    <w:rsid w:val="004867FD"/>
    <w:rsid w:val="004868E2"/>
    <w:rsid w:val="00487B01"/>
    <w:rsid w:val="00487C07"/>
    <w:rsid w:val="004901C7"/>
    <w:rsid w:val="004904F8"/>
    <w:rsid w:val="00490656"/>
    <w:rsid w:val="00490F70"/>
    <w:rsid w:val="00491E9E"/>
    <w:rsid w:val="004925E3"/>
    <w:rsid w:val="00492A5E"/>
    <w:rsid w:val="00492C72"/>
    <w:rsid w:val="00492E16"/>
    <w:rsid w:val="00494103"/>
    <w:rsid w:val="00495628"/>
    <w:rsid w:val="00495AFE"/>
    <w:rsid w:val="00497C42"/>
    <w:rsid w:val="004A0290"/>
    <w:rsid w:val="004A0DCC"/>
    <w:rsid w:val="004A12D0"/>
    <w:rsid w:val="004A1F51"/>
    <w:rsid w:val="004A2467"/>
    <w:rsid w:val="004A2735"/>
    <w:rsid w:val="004A30C2"/>
    <w:rsid w:val="004A52C8"/>
    <w:rsid w:val="004A5F5C"/>
    <w:rsid w:val="004A6C6D"/>
    <w:rsid w:val="004A712C"/>
    <w:rsid w:val="004A77E8"/>
    <w:rsid w:val="004A784F"/>
    <w:rsid w:val="004A7F54"/>
    <w:rsid w:val="004B00C2"/>
    <w:rsid w:val="004B0291"/>
    <w:rsid w:val="004B0C26"/>
    <w:rsid w:val="004B1351"/>
    <w:rsid w:val="004B3884"/>
    <w:rsid w:val="004B4F2C"/>
    <w:rsid w:val="004B5730"/>
    <w:rsid w:val="004B5DED"/>
    <w:rsid w:val="004B61C4"/>
    <w:rsid w:val="004B7668"/>
    <w:rsid w:val="004C024B"/>
    <w:rsid w:val="004C063A"/>
    <w:rsid w:val="004C07E3"/>
    <w:rsid w:val="004C0849"/>
    <w:rsid w:val="004C19E0"/>
    <w:rsid w:val="004C2616"/>
    <w:rsid w:val="004C26A1"/>
    <w:rsid w:val="004C306F"/>
    <w:rsid w:val="004C33C0"/>
    <w:rsid w:val="004C3868"/>
    <w:rsid w:val="004C5E7C"/>
    <w:rsid w:val="004C60E7"/>
    <w:rsid w:val="004C68C4"/>
    <w:rsid w:val="004C6D15"/>
    <w:rsid w:val="004C6DEA"/>
    <w:rsid w:val="004C73F0"/>
    <w:rsid w:val="004C78B3"/>
    <w:rsid w:val="004C7F9C"/>
    <w:rsid w:val="004D0406"/>
    <w:rsid w:val="004D0539"/>
    <w:rsid w:val="004D05A7"/>
    <w:rsid w:val="004D07A3"/>
    <w:rsid w:val="004D08E7"/>
    <w:rsid w:val="004D0D25"/>
    <w:rsid w:val="004D0D42"/>
    <w:rsid w:val="004D159E"/>
    <w:rsid w:val="004D17C3"/>
    <w:rsid w:val="004D1F57"/>
    <w:rsid w:val="004D25D5"/>
    <w:rsid w:val="004D2725"/>
    <w:rsid w:val="004D2FA2"/>
    <w:rsid w:val="004D3B48"/>
    <w:rsid w:val="004D426A"/>
    <w:rsid w:val="004D49FC"/>
    <w:rsid w:val="004D4DBF"/>
    <w:rsid w:val="004D4DC6"/>
    <w:rsid w:val="004D4DD0"/>
    <w:rsid w:val="004D56DB"/>
    <w:rsid w:val="004D59B6"/>
    <w:rsid w:val="004D71B9"/>
    <w:rsid w:val="004D71FA"/>
    <w:rsid w:val="004D78A2"/>
    <w:rsid w:val="004E12DC"/>
    <w:rsid w:val="004E1B46"/>
    <w:rsid w:val="004E3FF9"/>
    <w:rsid w:val="004E48AD"/>
    <w:rsid w:val="004E5805"/>
    <w:rsid w:val="004E67E2"/>
    <w:rsid w:val="004E6CF0"/>
    <w:rsid w:val="004E6E7E"/>
    <w:rsid w:val="004E758E"/>
    <w:rsid w:val="004F14D9"/>
    <w:rsid w:val="004F18AB"/>
    <w:rsid w:val="004F1B3C"/>
    <w:rsid w:val="004F2185"/>
    <w:rsid w:val="004F41C4"/>
    <w:rsid w:val="004F43C7"/>
    <w:rsid w:val="004F47B4"/>
    <w:rsid w:val="004F4A4B"/>
    <w:rsid w:val="004F511D"/>
    <w:rsid w:val="004F5B07"/>
    <w:rsid w:val="004F5D74"/>
    <w:rsid w:val="004F6647"/>
    <w:rsid w:val="004F7AAC"/>
    <w:rsid w:val="004F7E26"/>
    <w:rsid w:val="0050199D"/>
    <w:rsid w:val="00501EFF"/>
    <w:rsid w:val="005021EC"/>
    <w:rsid w:val="00502666"/>
    <w:rsid w:val="00502BB0"/>
    <w:rsid w:val="00502DA1"/>
    <w:rsid w:val="005038E6"/>
    <w:rsid w:val="00504842"/>
    <w:rsid w:val="00504F4D"/>
    <w:rsid w:val="00506313"/>
    <w:rsid w:val="005067B4"/>
    <w:rsid w:val="00506CD6"/>
    <w:rsid w:val="00510327"/>
    <w:rsid w:val="00510A7F"/>
    <w:rsid w:val="00512013"/>
    <w:rsid w:val="005134F4"/>
    <w:rsid w:val="00513B01"/>
    <w:rsid w:val="00514990"/>
    <w:rsid w:val="005152EC"/>
    <w:rsid w:val="00515AAD"/>
    <w:rsid w:val="00515C94"/>
    <w:rsid w:val="0051677E"/>
    <w:rsid w:val="005170A0"/>
    <w:rsid w:val="00517325"/>
    <w:rsid w:val="0051737D"/>
    <w:rsid w:val="005174C0"/>
    <w:rsid w:val="00521EB3"/>
    <w:rsid w:val="00522BEE"/>
    <w:rsid w:val="00522DEF"/>
    <w:rsid w:val="00523E16"/>
    <w:rsid w:val="00524D0F"/>
    <w:rsid w:val="00525222"/>
    <w:rsid w:val="00526380"/>
    <w:rsid w:val="005263C8"/>
    <w:rsid w:val="00526863"/>
    <w:rsid w:val="00526929"/>
    <w:rsid w:val="00526BD0"/>
    <w:rsid w:val="005270F9"/>
    <w:rsid w:val="00527354"/>
    <w:rsid w:val="005274C5"/>
    <w:rsid w:val="00530FF5"/>
    <w:rsid w:val="00531660"/>
    <w:rsid w:val="00531900"/>
    <w:rsid w:val="00531A25"/>
    <w:rsid w:val="00531E15"/>
    <w:rsid w:val="00532630"/>
    <w:rsid w:val="00532654"/>
    <w:rsid w:val="00533586"/>
    <w:rsid w:val="00533AB0"/>
    <w:rsid w:val="00534076"/>
    <w:rsid w:val="0053589B"/>
    <w:rsid w:val="0053596A"/>
    <w:rsid w:val="005364A6"/>
    <w:rsid w:val="005365AB"/>
    <w:rsid w:val="0053663D"/>
    <w:rsid w:val="00537C04"/>
    <w:rsid w:val="0054069B"/>
    <w:rsid w:val="00540E2E"/>
    <w:rsid w:val="00541029"/>
    <w:rsid w:val="00541D36"/>
    <w:rsid w:val="00542505"/>
    <w:rsid w:val="00542A21"/>
    <w:rsid w:val="0054304F"/>
    <w:rsid w:val="005434BD"/>
    <w:rsid w:val="00543BA8"/>
    <w:rsid w:val="00543EC4"/>
    <w:rsid w:val="00544D24"/>
    <w:rsid w:val="00545058"/>
    <w:rsid w:val="00545F68"/>
    <w:rsid w:val="005477D8"/>
    <w:rsid w:val="0055016B"/>
    <w:rsid w:val="00550874"/>
    <w:rsid w:val="00550FA3"/>
    <w:rsid w:val="00551ACF"/>
    <w:rsid w:val="00551D63"/>
    <w:rsid w:val="005523A3"/>
    <w:rsid w:val="00552E98"/>
    <w:rsid w:val="00553A7D"/>
    <w:rsid w:val="00554A87"/>
    <w:rsid w:val="00554DB6"/>
    <w:rsid w:val="00554E47"/>
    <w:rsid w:val="00555D23"/>
    <w:rsid w:val="00555EAF"/>
    <w:rsid w:val="00556AF7"/>
    <w:rsid w:val="00556FB8"/>
    <w:rsid w:val="00557B50"/>
    <w:rsid w:val="00561F44"/>
    <w:rsid w:val="00563C6F"/>
    <w:rsid w:val="00564F21"/>
    <w:rsid w:val="0056580C"/>
    <w:rsid w:val="00565BA0"/>
    <w:rsid w:val="00565FD2"/>
    <w:rsid w:val="00567B12"/>
    <w:rsid w:val="00567D6E"/>
    <w:rsid w:val="00567E67"/>
    <w:rsid w:val="0057228A"/>
    <w:rsid w:val="00572FDF"/>
    <w:rsid w:val="00573556"/>
    <w:rsid w:val="005739C0"/>
    <w:rsid w:val="00573CBC"/>
    <w:rsid w:val="00573D2F"/>
    <w:rsid w:val="0057410C"/>
    <w:rsid w:val="005753A2"/>
    <w:rsid w:val="005756FF"/>
    <w:rsid w:val="0057574C"/>
    <w:rsid w:val="00575F5C"/>
    <w:rsid w:val="005760A6"/>
    <w:rsid w:val="005762C3"/>
    <w:rsid w:val="005762E3"/>
    <w:rsid w:val="005775E5"/>
    <w:rsid w:val="005837F4"/>
    <w:rsid w:val="00584390"/>
    <w:rsid w:val="005843DE"/>
    <w:rsid w:val="0058463A"/>
    <w:rsid w:val="00584DFC"/>
    <w:rsid w:val="00584E3E"/>
    <w:rsid w:val="005855E3"/>
    <w:rsid w:val="00586508"/>
    <w:rsid w:val="00586524"/>
    <w:rsid w:val="0058713B"/>
    <w:rsid w:val="00587B02"/>
    <w:rsid w:val="00591227"/>
    <w:rsid w:val="005916D9"/>
    <w:rsid w:val="00592700"/>
    <w:rsid w:val="00592E63"/>
    <w:rsid w:val="00593758"/>
    <w:rsid w:val="00593BF7"/>
    <w:rsid w:val="005940BE"/>
    <w:rsid w:val="00594951"/>
    <w:rsid w:val="00594DAA"/>
    <w:rsid w:val="00595F45"/>
    <w:rsid w:val="00596075"/>
    <w:rsid w:val="005967D7"/>
    <w:rsid w:val="0059682F"/>
    <w:rsid w:val="0059695F"/>
    <w:rsid w:val="005969FB"/>
    <w:rsid w:val="005970ED"/>
    <w:rsid w:val="005977BA"/>
    <w:rsid w:val="00597CC2"/>
    <w:rsid w:val="005A04B4"/>
    <w:rsid w:val="005A1690"/>
    <w:rsid w:val="005A16E6"/>
    <w:rsid w:val="005A18CD"/>
    <w:rsid w:val="005A367B"/>
    <w:rsid w:val="005A3825"/>
    <w:rsid w:val="005A3A2A"/>
    <w:rsid w:val="005A47D1"/>
    <w:rsid w:val="005A49B6"/>
    <w:rsid w:val="005A4A72"/>
    <w:rsid w:val="005A61F1"/>
    <w:rsid w:val="005A63B7"/>
    <w:rsid w:val="005B064D"/>
    <w:rsid w:val="005B1232"/>
    <w:rsid w:val="005B143C"/>
    <w:rsid w:val="005B1569"/>
    <w:rsid w:val="005B1CE1"/>
    <w:rsid w:val="005B1DA8"/>
    <w:rsid w:val="005B2940"/>
    <w:rsid w:val="005B3769"/>
    <w:rsid w:val="005B3F6C"/>
    <w:rsid w:val="005B412A"/>
    <w:rsid w:val="005B4230"/>
    <w:rsid w:val="005B47F1"/>
    <w:rsid w:val="005B6B53"/>
    <w:rsid w:val="005B7021"/>
    <w:rsid w:val="005B76CE"/>
    <w:rsid w:val="005B7F69"/>
    <w:rsid w:val="005C1AF4"/>
    <w:rsid w:val="005C1F09"/>
    <w:rsid w:val="005C23D2"/>
    <w:rsid w:val="005C25C0"/>
    <w:rsid w:val="005C2BFB"/>
    <w:rsid w:val="005C2C41"/>
    <w:rsid w:val="005C387B"/>
    <w:rsid w:val="005C3880"/>
    <w:rsid w:val="005C38C1"/>
    <w:rsid w:val="005C42A3"/>
    <w:rsid w:val="005C608D"/>
    <w:rsid w:val="005C653A"/>
    <w:rsid w:val="005C66A6"/>
    <w:rsid w:val="005C6BE7"/>
    <w:rsid w:val="005D018B"/>
    <w:rsid w:val="005D0BB0"/>
    <w:rsid w:val="005D0E2C"/>
    <w:rsid w:val="005D0EAC"/>
    <w:rsid w:val="005D1092"/>
    <w:rsid w:val="005D1941"/>
    <w:rsid w:val="005D5512"/>
    <w:rsid w:val="005D63B5"/>
    <w:rsid w:val="005D6467"/>
    <w:rsid w:val="005D6679"/>
    <w:rsid w:val="005D7CA2"/>
    <w:rsid w:val="005E14A0"/>
    <w:rsid w:val="005E1CCF"/>
    <w:rsid w:val="005E1E05"/>
    <w:rsid w:val="005E213A"/>
    <w:rsid w:val="005E28F3"/>
    <w:rsid w:val="005E3501"/>
    <w:rsid w:val="005E4300"/>
    <w:rsid w:val="005E4715"/>
    <w:rsid w:val="005E4DE9"/>
    <w:rsid w:val="005E58A2"/>
    <w:rsid w:val="005E62E6"/>
    <w:rsid w:val="005E648D"/>
    <w:rsid w:val="005E65E6"/>
    <w:rsid w:val="005E7018"/>
    <w:rsid w:val="005E73AF"/>
    <w:rsid w:val="005E7C7F"/>
    <w:rsid w:val="005F12D5"/>
    <w:rsid w:val="005F15FE"/>
    <w:rsid w:val="005F2516"/>
    <w:rsid w:val="005F2ACE"/>
    <w:rsid w:val="005F34E1"/>
    <w:rsid w:val="005F3D7B"/>
    <w:rsid w:val="005F4004"/>
    <w:rsid w:val="005F438B"/>
    <w:rsid w:val="005F458E"/>
    <w:rsid w:val="005F4FF5"/>
    <w:rsid w:val="005F5039"/>
    <w:rsid w:val="005F525A"/>
    <w:rsid w:val="005F54F5"/>
    <w:rsid w:val="005F5536"/>
    <w:rsid w:val="005F55B3"/>
    <w:rsid w:val="005F6312"/>
    <w:rsid w:val="005F68FD"/>
    <w:rsid w:val="005F6A0F"/>
    <w:rsid w:val="005F6B31"/>
    <w:rsid w:val="005F6B99"/>
    <w:rsid w:val="005F727B"/>
    <w:rsid w:val="005F74C0"/>
    <w:rsid w:val="00601B99"/>
    <w:rsid w:val="00602DB5"/>
    <w:rsid w:val="00603369"/>
    <w:rsid w:val="006041DB"/>
    <w:rsid w:val="00604B73"/>
    <w:rsid w:val="00604CF8"/>
    <w:rsid w:val="00604E5F"/>
    <w:rsid w:val="00605071"/>
    <w:rsid w:val="00605199"/>
    <w:rsid w:val="00605B18"/>
    <w:rsid w:val="00606344"/>
    <w:rsid w:val="006067A4"/>
    <w:rsid w:val="00606A2B"/>
    <w:rsid w:val="0061028A"/>
    <w:rsid w:val="0061075F"/>
    <w:rsid w:val="00610AD6"/>
    <w:rsid w:val="006118A1"/>
    <w:rsid w:val="00613151"/>
    <w:rsid w:val="00613366"/>
    <w:rsid w:val="00614334"/>
    <w:rsid w:val="00614485"/>
    <w:rsid w:val="0061508B"/>
    <w:rsid w:val="00615290"/>
    <w:rsid w:val="00615337"/>
    <w:rsid w:val="006154A1"/>
    <w:rsid w:val="00616A30"/>
    <w:rsid w:val="00617489"/>
    <w:rsid w:val="0062061A"/>
    <w:rsid w:val="00620801"/>
    <w:rsid w:val="00620A28"/>
    <w:rsid w:val="00620E65"/>
    <w:rsid w:val="00620F63"/>
    <w:rsid w:val="00621326"/>
    <w:rsid w:val="006216FC"/>
    <w:rsid w:val="0062269C"/>
    <w:rsid w:val="00624C5E"/>
    <w:rsid w:val="0062516D"/>
    <w:rsid w:val="00625807"/>
    <w:rsid w:val="006261B8"/>
    <w:rsid w:val="00626AA2"/>
    <w:rsid w:val="00626FD8"/>
    <w:rsid w:val="00627024"/>
    <w:rsid w:val="00631F4C"/>
    <w:rsid w:val="0063205D"/>
    <w:rsid w:val="00633A95"/>
    <w:rsid w:val="00633E50"/>
    <w:rsid w:val="00633EE3"/>
    <w:rsid w:val="00634E88"/>
    <w:rsid w:val="00634F6A"/>
    <w:rsid w:val="00636513"/>
    <w:rsid w:val="00637DCF"/>
    <w:rsid w:val="00640249"/>
    <w:rsid w:val="006409E5"/>
    <w:rsid w:val="00640E96"/>
    <w:rsid w:val="00641A02"/>
    <w:rsid w:val="00642065"/>
    <w:rsid w:val="00644A58"/>
    <w:rsid w:val="00644EC8"/>
    <w:rsid w:val="00645067"/>
    <w:rsid w:val="006464CD"/>
    <w:rsid w:val="00646D60"/>
    <w:rsid w:val="006472A2"/>
    <w:rsid w:val="00647393"/>
    <w:rsid w:val="006479FB"/>
    <w:rsid w:val="0065084A"/>
    <w:rsid w:val="00650D85"/>
    <w:rsid w:val="006516EB"/>
    <w:rsid w:val="00651CCB"/>
    <w:rsid w:val="00651D5A"/>
    <w:rsid w:val="006528C9"/>
    <w:rsid w:val="00652DF2"/>
    <w:rsid w:val="00653749"/>
    <w:rsid w:val="0065556F"/>
    <w:rsid w:val="00657900"/>
    <w:rsid w:val="00657927"/>
    <w:rsid w:val="006610FA"/>
    <w:rsid w:val="006611BB"/>
    <w:rsid w:val="0066184C"/>
    <w:rsid w:val="006622B2"/>
    <w:rsid w:val="0066335F"/>
    <w:rsid w:val="006673E8"/>
    <w:rsid w:val="0067019A"/>
    <w:rsid w:val="006714B8"/>
    <w:rsid w:val="00671992"/>
    <w:rsid w:val="00671EC0"/>
    <w:rsid w:val="0067265A"/>
    <w:rsid w:val="00672ECC"/>
    <w:rsid w:val="0067313A"/>
    <w:rsid w:val="0067314C"/>
    <w:rsid w:val="006734A3"/>
    <w:rsid w:val="006746EB"/>
    <w:rsid w:val="00674C09"/>
    <w:rsid w:val="006750A8"/>
    <w:rsid w:val="00675312"/>
    <w:rsid w:val="006763E3"/>
    <w:rsid w:val="00676F48"/>
    <w:rsid w:val="0067724B"/>
    <w:rsid w:val="0067770B"/>
    <w:rsid w:val="00677E5F"/>
    <w:rsid w:val="0068056F"/>
    <w:rsid w:val="00680B36"/>
    <w:rsid w:val="00680B65"/>
    <w:rsid w:val="0068112B"/>
    <w:rsid w:val="00681EB4"/>
    <w:rsid w:val="00682F9C"/>
    <w:rsid w:val="006846A7"/>
    <w:rsid w:val="00685355"/>
    <w:rsid w:val="00685535"/>
    <w:rsid w:val="00686056"/>
    <w:rsid w:val="00686954"/>
    <w:rsid w:val="0068781F"/>
    <w:rsid w:val="00687EA2"/>
    <w:rsid w:val="0069000E"/>
    <w:rsid w:val="00690A98"/>
    <w:rsid w:val="006916EB"/>
    <w:rsid w:val="006916F0"/>
    <w:rsid w:val="00691C32"/>
    <w:rsid w:val="00691E48"/>
    <w:rsid w:val="00692ABD"/>
    <w:rsid w:val="00692C29"/>
    <w:rsid w:val="00693490"/>
    <w:rsid w:val="00693CFF"/>
    <w:rsid w:val="00694B77"/>
    <w:rsid w:val="00694BD9"/>
    <w:rsid w:val="006951C1"/>
    <w:rsid w:val="00695D5C"/>
    <w:rsid w:val="00695E4A"/>
    <w:rsid w:val="00696CD1"/>
    <w:rsid w:val="00696D86"/>
    <w:rsid w:val="0069755E"/>
    <w:rsid w:val="006A08A8"/>
    <w:rsid w:val="006A151B"/>
    <w:rsid w:val="006A15A2"/>
    <w:rsid w:val="006A1611"/>
    <w:rsid w:val="006A1B14"/>
    <w:rsid w:val="006A1E69"/>
    <w:rsid w:val="006A28FE"/>
    <w:rsid w:val="006A36AB"/>
    <w:rsid w:val="006A38A0"/>
    <w:rsid w:val="006A3A70"/>
    <w:rsid w:val="006A3A7F"/>
    <w:rsid w:val="006A3B72"/>
    <w:rsid w:val="006A473D"/>
    <w:rsid w:val="006A49A3"/>
    <w:rsid w:val="006A5769"/>
    <w:rsid w:val="006A57F9"/>
    <w:rsid w:val="006A5D94"/>
    <w:rsid w:val="006A7862"/>
    <w:rsid w:val="006B0513"/>
    <w:rsid w:val="006B0B4C"/>
    <w:rsid w:val="006B104E"/>
    <w:rsid w:val="006B1184"/>
    <w:rsid w:val="006B136D"/>
    <w:rsid w:val="006B16E0"/>
    <w:rsid w:val="006B18C6"/>
    <w:rsid w:val="006B18D2"/>
    <w:rsid w:val="006B1D7B"/>
    <w:rsid w:val="006B2410"/>
    <w:rsid w:val="006B24BB"/>
    <w:rsid w:val="006B30D1"/>
    <w:rsid w:val="006B4816"/>
    <w:rsid w:val="006B4BC2"/>
    <w:rsid w:val="006B51C2"/>
    <w:rsid w:val="006B52AF"/>
    <w:rsid w:val="006B5568"/>
    <w:rsid w:val="006B587C"/>
    <w:rsid w:val="006B5A10"/>
    <w:rsid w:val="006B64E6"/>
    <w:rsid w:val="006B6C3C"/>
    <w:rsid w:val="006B761D"/>
    <w:rsid w:val="006C0B50"/>
    <w:rsid w:val="006C0B89"/>
    <w:rsid w:val="006C1B8B"/>
    <w:rsid w:val="006C1D73"/>
    <w:rsid w:val="006C20E8"/>
    <w:rsid w:val="006C21B3"/>
    <w:rsid w:val="006C3008"/>
    <w:rsid w:val="006C3238"/>
    <w:rsid w:val="006C338F"/>
    <w:rsid w:val="006C3C61"/>
    <w:rsid w:val="006C43DC"/>
    <w:rsid w:val="006C4526"/>
    <w:rsid w:val="006C478E"/>
    <w:rsid w:val="006C4994"/>
    <w:rsid w:val="006C578D"/>
    <w:rsid w:val="006C5AD3"/>
    <w:rsid w:val="006C5B83"/>
    <w:rsid w:val="006C5BF4"/>
    <w:rsid w:val="006C617F"/>
    <w:rsid w:val="006C6C79"/>
    <w:rsid w:val="006C71DF"/>
    <w:rsid w:val="006D0FAB"/>
    <w:rsid w:val="006D1155"/>
    <w:rsid w:val="006D1374"/>
    <w:rsid w:val="006D15BF"/>
    <w:rsid w:val="006D1C5E"/>
    <w:rsid w:val="006D1FCD"/>
    <w:rsid w:val="006D2CA0"/>
    <w:rsid w:val="006D301A"/>
    <w:rsid w:val="006D33DE"/>
    <w:rsid w:val="006D36C6"/>
    <w:rsid w:val="006D3B0E"/>
    <w:rsid w:val="006D41AD"/>
    <w:rsid w:val="006D437F"/>
    <w:rsid w:val="006D45BF"/>
    <w:rsid w:val="006D48E1"/>
    <w:rsid w:val="006D5C0A"/>
    <w:rsid w:val="006D6473"/>
    <w:rsid w:val="006D6A17"/>
    <w:rsid w:val="006D6B47"/>
    <w:rsid w:val="006D6FE7"/>
    <w:rsid w:val="006D78B1"/>
    <w:rsid w:val="006E0350"/>
    <w:rsid w:val="006E05CF"/>
    <w:rsid w:val="006E1D71"/>
    <w:rsid w:val="006E3856"/>
    <w:rsid w:val="006E3E42"/>
    <w:rsid w:val="006E42C4"/>
    <w:rsid w:val="006E4C7E"/>
    <w:rsid w:val="006E61F9"/>
    <w:rsid w:val="006E71BB"/>
    <w:rsid w:val="006E7456"/>
    <w:rsid w:val="006E7A7F"/>
    <w:rsid w:val="006F0041"/>
    <w:rsid w:val="006F1D41"/>
    <w:rsid w:val="006F1D4E"/>
    <w:rsid w:val="006F1E30"/>
    <w:rsid w:val="006F1E7C"/>
    <w:rsid w:val="006F237C"/>
    <w:rsid w:val="006F26B3"/>
    <w:rsid w:val="006F32F8"/>
    <w:rsid w:val="006F482D"/>
    <w:rsid w:val="006F4C98"/>
    <w:rsid w:val="006F4F95"/>
    <w:rsid w:val="006F5DA6"/>
    <w:rsid w:val="006F5E59"/>
    <w:rsid w:val="006F62B2"/>
    <w:rsid w:val="00700659"/>
    <w:rsid w:val="0070073D"/>
    <w:rsid w:val="0070116F"/>
    <w:rsid w:val="007023D0"/>
    <w:rsid w:val="007028AB"/>
    <w:rsid w:val="00704D46"/>
    <w:rsid w:val="007054F9"/>
    <w:rsid w:val="00705576"/>
    <w:rsid w:val="00705766"/>
    <w:rsid w:val="00705E91"/>
    <w:rsid w:val="00706718"/>
    <w:rsid w:val="007073E2"/>
    <w:rsid w:val="00707511"/>
    <w:rsid w:val="00707BB3"/>
    <w:rsid w:val="00707F25"/>
    <w:rsid w:val="00710356"/>
    <w:rsid w:val="007104E3"/>
    <w:rsid w:val="00710738"/>
    <w:rsid w:val="0071145F"/>
    <w:rsid w:val="00711B42"/>
    <w:rsid w:val="00711D2E"/>
    <w:rsid w:val="00712200"/>
    <w:rsid w:val="00713065"/>
    <w:rsid w:val="007145C0"/>
    <w:rsid w:val="007147DE"/>
    <w:rsid w:val="0071684B"/>
    <w:rsid w:val="007172D9"/>
    <w:rsid w:val="007173F0"/>
    <w:rsid w:val="007200CB"/>
    <w:rsid w:val="00720216"/>
    <w:rsid w:val="007204B5"/>
    <w:rsid w:val="00720888"/>
    <w:rsid w:val="00720DC9"/>
    <w:rsid w:val="00720E22"/>
    <w:rsid w:val="0072130B"/>
    <w:rsid w:val="0072138D"/>
    <w:rsid w:val="007214DE"/>
    <w:rsid w:val="0072166E"/>
    <w:rsid w:val="007231A2"/>
    <w:rsid w:val="007234F3"/>
    <w:rsid w:val="007241F5"/>
    <w:rsid w:val="00724888"/>
    <w:rsid w:val="007255DA"/>
    <w:rsid w:val="00726D22"/>
    <w:rsid w:val="00726D8E"/>
    <w:rsid w:val="0072746D"/>
    <w:rsid w:val="00730004"/>
    <w:rsid w:val="0073058D"/>
    <w:rsid w:val="0073092A"/>
    <w:rsid w:val="007312AA"/>
    <w:rsid w:val="007332E1"/>
    <w:rsid w:val="00733BC7"/>
    <w:rsid w:val="00733E1E"/>
    <w:rsid w:val="007342AA"/>
    <w:rsid w:val="00734C1B"/>
    <w:rsid w:val="00735808"/>
    <w:rsid w:val="007363C7"/>
    <w:rsid w:val="00736702"/>
    <w:rsid w:val="00736B16"/>
    <w:rsid w:val="00736CEA"/>
    <w:rsid w:val="0073759D"/>
    <w:rsid w:val="0073780F"/>
    <w:rsid w:val="007378B1"/>
    <w:rsid w:val="0073792F"/>
    <w:rsid w:val="00740204"/>
    <w:rsid w:val="0074024F"/>
    <w:rsid w:val="00741065"/>
    <w:rsid w:val="00741504"/>
    <w:rsid w:val="00742101"/>
    <w:rsid w:val="00742E09"/>
    <w:rsid w:val="00742E80"/>
    <w:rsid w:val="007432C6"/>
    <w:rsid w:val="00743B70"/>
    <w:rsid w:val="00744154"/>
    <w:rsid w:val="00744B4E"/>
    <w:rsid w:val="007450C0"/>
    <w:rsid w:val="0074599E"/>
    <w:rsid w:val="007460A4"/>
    <w:rsid w:val="007477CF"/>
    <w:rsid w:val="00747BFA"/>
    <w:rsid w:val="00747D51"/>
    <w:rsid w:val="007509B7"/>
    <w:rsid w:val="00750D3B"/>
    <w:rsid w:val="007516F0"/>
    <w:rsid w:val="00751C72"/>
    <w:rsid w:val="00753A99"/>
    <w:rsid w:val="00754C05"/>
    <w:rsid w:val="007550AB"/>
    <w:rsid w:val="007555AA"/>
    <w:rsid w:val="00755A1A"/>
    <w:rsid w:val="0075624F"/>
    <w:rsid w:val="00756BCA"/>
    <w:rsid w:val="00757AC0"/>
    <w:rsid w:val="00757CCF"/>
    <w:rsid w:val="00757F1E"/>
    <w:rsid w:val="007604FB"/>
    <w:rsid w:val="00760529"/>
    <w:rsid w:val="00761191"/>
    <w:rsid w:val="007611E6"/>
    <w:rsid w:val="007616E1"/>
    <w:rsid w:val="00763722"/>
    <w:rsid w:val="00763A86"/>
    <w:rsid w:val="0076418B"/>
    <w:rsid w:val="007653DA"/>
    <w:rsid w:val="00765F91"/>
    <w:rsid w:val="0076614E"/>
    <w:rsid w:val="00766550"/>
    <w:rsid w:val="00766C3E"/>
    <w:rsid w:val="00767552"/>
    <w:rsid w:val="00767A3E"/>
    <w:rsid w:val="00770144"/>
    <w:rsid w:val="00770248"/>
    <w:rsid w:val="00770E3B"/>
    <w:rsid w:val="0077140A"/>
    <w:rsid w:val="007716D2"/>
    <w:rsid w:val="00771778"/>
    <w:rsid w:val="00771783"/>
    <w:rsid w:val="00771AEF"/>
    <w:rsid w:val="00771B46"/>
    <w:rsid w:val="00771E2C"/>
    <w:rsid w:val="00772CDD"/>
    <w:rsid w:val="00773725"/>
    <w:rsid w:val="00773D3E"/>
    <w:rsid w:val="007740D5"/>
    <w:rsid w:val="00774140"/>
    <w:rsid w:val="007746C9"/>
    <w:rsid w:val="00774A02"/>
    <w:rsid w:val="00774A79"/>
    <w:rsid w:val="00774AAF"/>
    <w:rsid w:val="00774C3A"/>
    <w:rsid w:val="00774CBD"/>
    <w:rsid w:val="00774E8F"/>
    <w:rsid w:val="00774F8F"/>
    <w:rsid w:val="00775672"/>
    <w:rsid w:val="00775777"/>
    <w:rsid w:val="00775EC2"/>
    <w:rsid w:val="00776125"/>
    <w:rsid w:val="007762DA"/>
    <w:rsid w:val="007762EF"/>
    <w:rsid w:val="00776BA6"/>
    <w:rsid w:val="0078035D"/>
    <w:rsid w:val="007805E5"/>
    <w:rsid w:val="007807F4"/>
    <w:rsid w:val="00780AC4"/>
    <w:rsid w:val="0078299E"/>
    <w:rsid w:val="00784015"/>
    <w:rsid w:val="00784D4B"/>
    <w:rsid w:val="00784EB7"/>
    <w:rsid w:val="0078521B"/>
    <w:rsid w:val="0078607B"/>
    <w:rsid w:val="00786841"/>
    <w:rsid w:val="007874BC"/>
    <w:rsid w:val="007914C6"/>
    <w:rsid w:val="007915E3"/>
    <w:rsid w:val="0079305A"/>
    <w:rsid w:val="007932C9"/>
    <w:rsid w:val="007948A7"/>
    <w:rsid w:val="00794C21"/>
    <w:rsid w:val="007952D4"/>
    <w:rsid w:val="00795C27"/>
    <w:rsid w:val="007962F3"/>
    <w:rsid w:val="0079674C"/>
    <w:rsid w:val="00796D9E"/>
    <w:rsid w:val="007970E2"/>
    <w:rsid w:val="00797A03"/>
    <w:rsid w:val="00797DA8"/>
    <w:rsid w:val="007A096C"/>
    <w:rsid w:val="007A0BBD"/>
    <w:rsid w:val="007A1421"/>
    <w:rsid w:val="007A227D"/>
    <w:rsid w:val="007A2910"/>
    <w:rsid w:val="007A3747"/>
    <w:rsid w:val="007A4580"/>
    <w:rsid w:val="007A4842"/>
    <w:rsid w:val="007A4CF1"/>
    <w:rsid w:val="007A543F"/>
    <w:rsid w:val="007A5B3F"/>
    <w:rsid w:val="007A6E54"/>
    <w:rsid w:val="007A73F0"/>
    <w:rsid w:val="007A7F03"/>
    <w:rsid w:val="007B0869"/>
    <w:rsid w:val="007B11E3"/>
    <w:rsid w:val="007B1281"/>
    <w:rsid w:val="007B1846"/>
    <w:rsid w:val="007B1CD5"/>
    <w:rsid w:val="007B29C4"/>
    <w:rsid w:val="007B2FB1"/>
    <w:rsid w:val="007B3DEE"/>
    <w:rsid w:val="007B65A5"/>
    <w:rsid w:val="007B672F"/>
    <w:rsid w:val="007B689E"/>
    <w:rsid w:val="007B7355"/>
    <w:rsid w:val="007C008A"/>
    <w:rsid w:val="007C02A1"/>
    <w:rsid w:val="007C0C20"/>
    <w:rsid w:val="007C1B14"/>
    <w:rsid w:val="007C2B16"/>
    <w:rsid w:val="007C368A"/>
    <w:rsid w:val="007C40EB"/>
    <w:rsid w:val="007C458D"/>
    <w:rsid w:val="007C4A78"/>
    <w:rsid w:val="007C4CCD"/>
    <w:rsid w:val="007C55B2"/>
    <w:rsid w:val="007C55B7"/>
    <w:rsid w:val="007C5A07"/>
    <w:rsid w:val="007C696E"/>
    <w:rsid w:val="007C7683"/>
    <w:rsid w:val="007C7944"/>
    <w:rsid w:val="007C79EB"/>
    <w:rsid w:val="007C7BAF"/>
    <w:rsid w:val="007C7C55"/>
    <w:rsid w:val="007D0841"/>
    <w:rsid w:val="007D1943"/>
    <w:rsid w:val="007D2722"/>
    <w:rsid w:val="007D324E"/>
    <w:rsid w:val="007D3806"/>
    <w:rsid w:val="007D41B3"/>
    <w:rsid w:val="007D4272"/>
    <w:rsid w:val="007D5144"/>
    <w:rsid w:val="007D5E0A"/>
    <w:rsid w:val="007D649B"/>
    <w:rsid w:val="007D6A0B"/>
    <w:rsid w:val="007D700F"/>
    <w:rsid w:val="007E03C0"/>
    <w:rsid w:val="007E101C"/>
    <w:rsid w:val="007E16E2"/>
    <w:rsid w:val="007E2034"/>
    <w:rsid w:val="007E2836"/>
    <w:rsid w:val="007E3044"/>
    <w:rsid w:val="007E4D07"/>
    <w:rsid w:val="007E55D2"/>
    <w:rsid w:val="007E568A"/>
    <w:rsid w:val="007E6459"/>
    <w:rsid w:val="007E6497"/>
    <w:rsid w:val="007E6BCF"/>
    <w:rsid w:val="007E6FC5"/>
    <w:rsid w:val="007F08A2"/>
    <w:rsid w:val="007F0CB1"/>
    <w:rsid w:val="007F0D03"/>
    <w:rsid w:val="007F2E57"/>
    <w:rsid w:val="007F2EE2"/>
    <w:rsid w:val="007F3205"/>
    <w:rsid w:val="007F34DB"/>
    <w:rsid w:val="007F3679"/>
    <w:rsid w:val="007F41EE"/>
    <w:rsid w:val="007F4828"/>
    <w:rsid w:val="007F4EFD"/>
    <w:rsid w:val="007F5B88"/>
    <w:rsid w:val="007F60EA"/>
    <w:rsid w:val="007F6DEE"/>
    <w:rsid w:val="007F753D"/>
    <w:rsid w:val="008005C8"/>
    <w:rsid w:val="008006BE"/>
    <w:rsid w:val="00800A3B"/>
    <w:rsid w:val="008014B6"/>
    <w:rsid w:val="00802217"/>
    <w:rsid w:val="00802289"/>
    <w:rsid w:val="00803623"/>
    <w:rsid w:val="0080397A"/>
    <w:rsid w:val="0080406B"/>
    <w:rsid w:val="00805050"/>
    <w:rsid w:val="0080627C"/>
    <w:rsid w:val="00807054"/>
    <w:rsid w:val="0080728A"/>
    <w:rsid w:val="008117B0"/>
    <w:rsid w:val="00811F7F"/>
    <w:rsid w:val="00812A37"/>
    <w:rsid w:val="00813DBC"/>
    <w:rsid w:val="00813F7A"/>
    <w:rsid w:val="008142CD"/>
    <w:rsid w:val="008145C8"/>
    <w:rsid w:val="008158FB"/>
    <w:rsid w:val="00815A91"/>
    <w:rsid w:val="00815C61"/>
    <w:rsid w:val="0081668A"/>
    <w:rsid w:val="008167B0"/>
    <w:rsid w:val="00817F11"/>
    <w:rsid w:val="0082105B"/>
    <w:rsid w:val="00821F18"/>
    <w:rsid w:val="00822995"/>
    <w:rsid w:val="00822EC3"/>
    <w:rsid w:val="00822FC7"/>
    <w:rsid w:val="008231E0"/>
    <w:rsid w:val="008240D9"/>
    <w:rsid w:val="0082494F"/>
    <w:rsid w:val="00824B30"/>
    <w:rsid w:val="008255A2"/>
    <w:rsid w:val="00825CB7"/>
    <w:rsid w:val="00826F69"/>
    <w:rsid w:val="00827FFA"/>
    <w:rsid w:val="00831195"/>
    <w:rsid w:val="0083143F"/>
    <w:rsid w:val="00831AB5"/>
    <w:rsid w:val="00831BB7"/>
    <w:rsid w:val="00831F75"/>
    <w:rsid w:val="00832E1D"/>
    <w:rsid w:val="00833865"/>
    <w:rsid w:val="00833F93"/>
    <w:rsid w:val="00835118"/>
    <w:rsid w:val="00835804"/>
    <w:rsid w:val="00835886"/>
    <w:rsid w:val="00835C51"/>
    <w:rsid w:val="0084065D"/>
    <w:rsid w:val="00840AEF"/>
    <w:rsid w:val="00840D23"/>
    <w:rsid w:val="00841096"/>
    <w:rsid w:val="00841A29"/>
    <w:rsid w:val="00841E60"/>
    <w:rsid w:val="00841E8F"/>
    <w:rsid w:val="008433A3"/>
    <w:rsid w:val="00843B13"/>
    <w:rsid w:val="00844117"/>
    <w:rsid w:val="00844ABD"/>
    <w:rsid w:val="008452A5"/>
    <w:rsid w:val="0084555A"/>
    <w:rsid w:val="00846423"/>
    <w:rsid w:val="008472E8"/>
    <w:rsid w:val="008501AC"/>
    <w:rsid w:val="00850A9A"/>
    <w:rsid w:val="00850B5E"/>
    <w:rsid w:val="008522D6"/>
    <w:rsid w:val="008523BA"/>
    <w:rsid w:val="008524D5"/>
    <w:rsid w:val="008535C6"/>
    <w:rsid w:val="00854427"/>
    <w:rsid w:val="00854BCE"/>
    <w:rsid w:val="00854C99"/>
    <w:rsid w:val="00855A9A"/>
    <w:rsid w:val="00855F17"/>
    <w:rsid w:val="0085648F"/>
    <w:rsid w:val="00856A0E"/>
    <w:rsid w:val="00856B0E"/>
    <w:rsid w:val="0086016C"/>
    <w:rsid w:val="0086044E"/>
    <w:rsid w:val="00860769"/>
    <w:rsid w:val="00860815"/>
    <w:rsid w:val="00860952"/>
    <w:rsid w:val="008609A2"/>
    <w:rsid w:val="00861F2B"/>
    <w:rsid w:val="008624F7"/>
    <w:rsid w:val="00862744"/>
    <w:rsid w:val="008631CE"/>
    <w:rsid w:val="008635CC"/>
    <w:rsid w:val="0086387C"/>
    <w:rsid w:val="00863C4B"/>
    <w:rsid w:val="0086423E"/>
    <w:rsid w:val="00864264"/>
    <w:rsid w:val="0086443E"/>
    <w:rsid w:val="00866D7E"/>
    <w:rsid w:val="00866E48"/>
    <w:rsid w:val="00866EA3"/>
    <w:rsid w:val="00871788"/>
    <w:rsid w:val="008727AB"/>
    <w:rsid w:val="00872FD2"/>
    <w:rsid w:val="00873308"/>
    <w:rsid w:val="008738EA"/>
    <w:rsid w:val="00873BF0"/>
    <w:rsid w:val="00873C0B"/>
    <w:rsid w:val="00873D35"/>
    <w:rsid w:val="00873F23"/>
    <w:rsid w:val="00874593"/>
    <w:rsid w:val="00874E23"/>
    <w:rsid w:val="00875673"/>
    <w:rsid w:val="0087574B"/>
    <w:rsid w:val="0087610E"/>
    <w:rsid w:val="00876869"/>
    <w:rsid w:val="00876924"/>
    <w:rsid w:val="0087722B"/>
    <w:rsid w:val="008773E6"/>
    <w:rsid w:val="00877768"/>
    <w:rsid w:val="00877DEB"/>
    <w:rsid w:val="00877EB8"/>
    <w:rsid w:val="008813D2"/>
    <w:rsid w:val="008815D3"/>
    <w:rsid w:val="00881A30"/>
    <w:rsid w:val="008821F0"/>
    <w:rsid w:val="00882A0A"/>
    <w:rsid w:val="00882F1D"/>
    <w:rsid w:val="00883B5D"/>
    <w:rsid w:val="00883C2D"/>
    <w:rsid w:val="00884045"/>
    <w:rsid w:val="008849CF"/>
    <w:rsid w:val="00886ADB"/>
    <w:rsid w:val="00886CEA"/>
    <w:rsid w:val="00887300"/>
    <w:rsid w:val="008877F1"/>
    <w:rsid w:val="00890916"/>
    <w:rsid w:val="0089091E"/>
    <w:rsid w:val="00890D6C"/>
    <w:rsid w:val="00893CBF"/>
    <w:rsid w:val="00894310"/>
    <w:rsid w:val="00894A54"/>
    <w:rsid w:val="00894AF6"/>
    <w:rsid w:val="00894F9A"/>
    <w:rsid w:val="00895573"/>
    <w:rsid w:val="00895A5D"/>
    <w:rsid w:val="0089654F"/>
    <w:rsid w:val="00896BD0"/>
    <w:rsid w:val="00896DAC"/>
    <w:rsid w:val="00897B56"/>
    <w:rsid w:val="00897BE1"/>
    <w:rsid w:val="008A0918"/>
    <w:rsid w:val="008A0C88"/>
    <w:rsid w:val="008A129B"/>
    <w:rsid w:val="008A1948"/>
    <w:rsid w:val="008A2ECA"/>
    <w:rsid w:val="008A349E"/>
    <w:rsid w:val="008A3E45"/>
    <w:rsid w:val="008A6158"/>
    <w:rsid w:val="008A6A56"/>
    <w:rsid w:val="008A6F69"/>
    <w:rsid w:val="008A7C7F"/>
    <w:rsid w:val="008B0A58"/>
    <w:rsid w:val="008B0EDB"/>
    <w:rsid w:val="008B1760"/>
    <w:rsid w:val="008B26FD"/>
    <w:rsid w:val="008B2E86"/>
    <w:rsid w:val="008B5A8C"/>
    <w:rsid w:val="008B631C"/>
    <w:rsid w:val="008B6435"/>
    <w:rsid w:val="008B6461"/>
    <w:rsid w:val="008B6E56"/>
    <w:rsid w:val="008B7398"/>
    <w:rsid w:val="008B7CDE"/>
    <w:rsid w:val="008C035F"/>
    <w:rsid w:val="008C03F7"/>
    <w:rsid w:val="008C0EAA"/>
    <w:rsid w:val="008C3846"/>
    <w:rsid w:val="008C3E4D"/>
    <w:rsid w:val="008C552F"/>
    <w:rsid w:val="008C5A91"/>
    <w:rsid w:val="008C5AE5"/>
    <w:rsid w:val="008C5B78"/>
    <w:rsid w:val="008C6326"/>
    <w:rsid w:val="008C6AEA"/>
    <w:rsid w:val="008C6F49"/>
    <w:rsid w:val="008D0105"/>
    <w:rsid w:val="008D1166"/>
    <w:rsid w:val="008D14F9"/>
    <w:rsid w:val="008D1508"/>
    <w:rsid w:val="008D19E2"/>
    <w:rsid w:val="008D1DE4"/>
    <w:rsid w:val="008D24BB"/>
    <w:rsid w:val="008D24E4"/>
    <w:rsid w:val="008D356B"/>
    <w:rsid w:val="008D3FBB"/>
    <w:rsid w:val="008D619E"/>
    <w:rsid w:val="008D714F"/>
    <w:rsid w:val="008D754D"/>
    <w:rsid w:val="008E08FE"/>
    <w:rsid w:val="008E151D"/>
    <w:rsid w:val="008E1D19"/>
    <w:rsid w:val="008E202E"/>
    <w:rsid w:val="008E20A2"/>
    <w:rsid w:val="008E2830"/>
    <w:rsid w:val="008E2D36"/>
    <w:rsid w:val="008E3008"/>
    <w:rsid w:val="008E4C6A"/>
    <w:rsid w:val="008E4F0C"/>
    <w:rsid w:val="008E5968"/>
    <w:rsid w:val="008E63B9"/>
    <w:rsid w:val="008E64F5"/>
    <w:rsid w:val="008E6549"/>
    <w:rsid w:val="008E696B"/>
    <w:rsid w:val="008E6D78"/>
    <w:rsid w:val="008E746E"/>
    <w:rsid w:val="008E7B8E"/>
    <w:rsid w:val="008E7ED3"/>
    <w:rsid w:val="008F0503"/>
    <w:rsid w:val="008F0B19"/>
    <w:rsid w:val="008F10B8"/>
    <w:rsid w:val="008F13C8"/>
    <w:rsid w:val="008F1726"/>
    <w:rsid w:val="008F2AAD"/>
    <w:rsid w:val="008F31BA"/>
    <w:rsid w:val="008F3DBD"/>
    <w:rsid w:val="008F52DB"/>
    <w:rsid w:val="008F57E4"/>
    <w:rsid w:val="008F5804"/>
    <w:rsid w:val="008F59AF"/>
    <w:rsid w:val="008F5B30"/>
    <w:rsid w:val="008F5E1E"/>
    <w:rsid w:val="008F60E9"/>
    <w:rsid w:val="008F68CC"/>
    <w:rsid w:val="008F7840"/>
    <w:rsid w:val="008F798F"/>
    <w:rsid w:val="008F7AC6"/>
    <w:rsid w:val="008F7EBF"/>
    <w:rsid w:val="00900025"/>
    <w:rsid w:val="00900442"/>
    <w:rsid w:val="00900D7C"/>
    <w:rsid w:val="00901D4D"/>
    <w:rsid w:val="0090400F"/>
    <w:rsid w:val="00904097"/>
    <w:rsid w:val="00904AD3"/>
    <w:rsid w:val="009053F7"/>
    <w:rsid w:val="00905422"/>
    <w:rsid w:val="00905461"/>
    <w:rsid w:val="009055CB"/>
    <w:rsid w:val="009055CF"/>
    <w:rsid w:val="009058A5"/>
    <w:rsid w:val="00905F71"/>
    <w:rsid w:val="00906765"/>
    <w:rsid w:val="009078AF"/>
    <w:rsid w:val="009100E2"/>
    <w:rsid w:val="009113A0"/>
    <w:rsid w:val="00911827"/>
    <w:rsid w:val="009122C7"/>
    <w:rsid w:val="00913577"/>
    <w:rsid w:val="00913FCF"/>
    <w:rsid w:val="00914174"/>
    <w:rsid w:val="009150C0"/>
    <w:rsid w:val="00915986"/>
    <w:rsid w:val="009159CA"/>
    <w:rsid w:val="0091652D"/>
    <w:rsid w:val="009166EA"/>
    <w:rsid w:val="00917A43"/>
    <w:rsid w:val="009208D4"/>
    <w:rsid w:val="00920E0F"/>
    <w:rsid w:val="009219BE"/>
    <w:rsid w:val="0092244F"/>
    <w:rsid w:val="0092422F"/>
    <w:rsid w:val="0092455B"/>
    <w:rsid w:val="00924DA4"/>
    <w:rsid w:val="009255AC"/>
    <w:rsid w:val="00925CA0"/>
    <w:rsid w:val="00926626"/>
    <w:rsid w:val="0092681D"/>
    <w:rsid w:val="00926BFC"/>
    <w:rsid w:val="00927DEF"/>
    <w:rsid w:val="00930258"/>
    <w:rsid w:val="00930A39"/>
    <w:rsid w:val="0093174C"/>
    <w:rsid w:val="00931FD2"/>
    <w:rsid w:val="00932942"/>
    <w:rsid w:val="009329DF"/>
    <w:rsid w:val="009335E2"/>
    <w:rsid w:val="00933DAB"/>
    <w:rsid w:val="009350F0"/>
    <w:rsid w:val="009360DC"/>
    <w:rsid w:val="00936D41"/>
    <w:rsid w:val="00936E18"/>
    <w:rsid w:val="0093727E"/>
    <w:rsid w:val="00937EFB"/>
    <w:rsid w:val="0094035E"/>
    <w:rsid w:val="00940FD6"/>
    <w:rsid w:val="009419A4"/>
    <w:rsid w:val="00943FC3"/>
    <w:rsid w:val="00944190"/>
    <w:rsid w:val="0094443F"/>
    <w:rsid w:val="00944A71"/>
    <w:rsid w:val="00944F8D"/>
    <w:rsid w:val="009450D1"/>
    <w:rsid w:val="00946EF0"/>
    <w:rsid w:val="00947EFB"/>
    <w:rsid w:val="00950F8A"/>
    <w:rsid w:val="009512A1"/>
    <w:rsid w:val="0095198D"/>
    <w:rsid w:val="00952406"/>
    <w:rsid w:val="0095279E"/>
    <w:rsid w:val="00952D32"/>
    <w:rsid w:val="00955CAE"/>
    <w:rsid w:val="009560B6"/>
    <w:rsid w:val="00956666"/>
    <w:rsid w:val="00957BA0"/>
    <w:rsid w:val="0096248B"/>
    <w:rsid w:val="009635EC"/>
    <w:rsid w:val="00963B6B"/>
    <w:rsid w:val="009648DD"/>
    <w:rsid w:val="00965EC6"/>
    <w:rsid w:val="0096624C"/>
    <w:rsid w:val="00966271"/>
    <w:rsid w:val="00966404"/>
    <w:rsid w:val="00966D42"/>
    <w:rsid w:val="00966D5E"/>
    <w:rsid w:val="00966EF8"/>
    <w:rsid w:val="0096710C"/>
    <w:rsid w:val="00967B5E"/>
    <w:rsid w:val="00971D57"/>
    <w:rsid w:val="00971DD4"/>
    <w:rsid w:val="00972D45"/>
    <w:rsid w:val="00973196"/>
    <w:rsid w:val="00973221"/>
    <w:rsid w:val="00973B42"/>
    <w:rsid w:val="00975489"/>
    <w:rsid w:val="009756BA"/>
    <w:rsid w:val="00975F53"/>
    <w:rsid w:val="009763A3"/>
    <w:rsid w:val="00977BEA"/>
    <w:rsid w:val="00977CF0"/>
    <w:rsid w:val="00980869"/>
    <w:rsid w:val="00980D7F"/>
    <w:rsid w:val="00981849"/>
    <w:rsid w:val="009824E1"/>
    <w:rsid w:val="009829A0"/>
    <w:rsid w:val="00982D24"/>
    <w:rsid w:val="009846E8"/>
    <w:rsid w:val="00985482"/>
    <w:rsid w:val="00985890"/>
    <w:rsid w:val="00985C89"/>
    <w:rsid w:val="00986374"/>
    <w:rsid w:val="0098645D"/>
    <w:rsid w:val="00986C5C"/>
    <w:rsid w:val="00987205"/>
    <w:rsid w:val="0099040B"/>
    <w:rsid w:val="009905FF"/>
    <w:rsid w:val="00990625"/>
    <w:rsid w:val="00991538"/>
    <w:rsid w:val="0099160B"/>
    <w:rsid w:val="00991694"/>
    <w:rsid w:val="00991FA9"/>
    <w:rsid w:val="0099211A"/>
    <w:rsid w:val="00992418"/>
    <w:rsid w:val="0099253D"/>
    <w:rsid w:val="00992D8C"/>
    <w:rsid w:val="0099372E"/>
    <w:rsid w:val="00993A04"/>
    <w:rsid w:val="00994C96"/>
    <w:rsid w:val="00995104"/>
    <w:rsid w:val="00995342"/>
    <w:rsid w:val="00995541"/>
    <w:rsid w:val="00995D7D"/>
    <w:rsid w:val="009A00DA"/>
    <w:rsid w:val="009A0464"/>
    <w:rsid w:val="009A23DE"/>
    <w:rsid w:val="009A397A"/>
    <w:rsid w:val="009A4224"/>
    <w:rsid w:val="009A44A5"/>
    <w:rsid w:val="009A4C3A"/>
    <w:rsid w:val="009A4E6C"/>
    <w:rsid w:val="009A5D03"/>
    <w:rsid w:val="009A6141"/>
    <w:rsid w:val="009A6DA4"/>
    <w:rsid w:val="009B02FC"/>
    <w:rsid w:val="009B058D"/>
    <w:rsid w:val="009B0C71"/>
    <w:rsid w:val="009B139F"/>
    <w:rsid w:val="009B23BD"/>
    <w:rsid w:val="009B240B"/>
    <w:rsid w:val="009B286D"/>
    <w:rsid w:val="009B2D95"/>
    <w:rsid w:val="009B3DCC"/>
    <w:rsid w:val="009B540E"/>
    <w:rsid w:val="009B5DCB"/>
    <w:rsid w:val="009B60B8"/>
    <w:rsid w:val="009B6941"/>
    <w:rsid w:val="009B6AC9"/>
    <w:rsid w:val="009B744E"/>
    <w:rsid w:val="009B752F"/>
    <w:rsid w:val="009B757E"/>
    <w:rsid w:val="009B79CD"/>
    <w:rsid w:val="009B7A1F"/>
    <w:rsid w:val="009C00B9"/>
    <w:rsid w:val="009C0BB3"/>
    <w:rsid w:val="009C0CE3"/>
    <w:rsid w:val="009C1F0A"/>
    <w:rsid w:val="009C209D"/>
    <w:rsid w:val="009C328A"/>
    <w:rsid w:val="009C3AB2"/>
    <w:rsid w:val="009C403B"/>
    <w:rsid w:val="009C50EA"/>
    <w:rsid w:val="009C5297"/>
    <w:rsid w:val="009C5CB7"/>
    <w:rsid w:val="009C6532"/>
    <w:rsid w:val="009C65EC"/>
    <w:rsid w:val="009C799D"/>
    <w:rsid w:val="009D0288"/>
    <w:rsid w:val="009D124A"/>
    <w:rsid w:val="009D2A1F"/>
    <w:rsid w:val="009D3564"/>
    <w:rsid w:val="009D5174"/>
    <w:rsid w:val="009D57E3"/>
    <w:rsid w:val="009D623A"/>
    <w:rsid w:val="009E006D"/>
    <w:rsid w:val="009E0A65"/>
    <w:rsid w:val="009E1910"/>
    <w:rsid w:val="009E29E1"/>
    <w:rsid w:val="009E2E55"/>
    <w:rsid w:val="009E2EC5"/>
    <w:rsid w:val="009E3138"/>
    <w:rsid w:val="009E3265"/>
    <w:rsid w:val="009E3E4B"/>
    <w:rsid w:val="009E46B1"/>
    <w:rsid w:val="009E4900"/>
    <w:rsid w:val="009E4AD2"/>
    <w:rsid w:val="009E4C28"/>
    <w:rsid w:val="009E5122"/>
    <w:rsid w:val="009E6733"/>
    <w:rsid w:val="009E68DF"/>
    <w:rsid w:val="009E6D28"/>
    <w:rsid w:val="009E6E88"/>
    <w:rsid w:val="009F1F63"/>
    <w:rsid w:val="009F2AB6"/>
    <w:rsid w:val="009F2F8F"/>
    <w:rsid w:val="009F4CD8"/>
    <w:rsid w:val="009F6E82"/>
    <w:rsid w:val="009F7604"/>
    <w:rsid w:val="009F7F61"/>
    <w:rsid w:val="00A00CA3"/>
    <w:rsid w:val="00A01CEC"/>
    <w:rsid w:val="00A01EB5"/>
    <w:rsid w:val="00A01F8A"/>
    <w:rsid w:val="00A030EA"/>
    <w:rsid w:val="00A03B14"/>
    <w:rsid w:val="00A03D32"/>
    <w:rsid w:val="00A043D3"/>
    <w:rsid w:val="00A0455D"/>
    <w:rsid w:val="00A05169"/>
    <w:rsid w:val="00A0516A"/>
    <w:rsid w:val="00A05DA8"/>
    <w:rsid w:val="00A0625F"/>
    <w:rsid w:val="00A063EE"/>
    <w:rsid w:val="00A10C35"/>
    <w:rsid w:val="00A11A74"/>
    <w:rsid w:val="00A139AE"/>
    <w:rsid w:val="00A15F8E"/>
    <w:rsid w:val="00A161A4"/>
    <w:rsid w:val="00A17957"/>
    <w:rsid w:val="00A17EA5"/>
    <w:rsid w:val="00A2048E"/>
    <w:rsid w:val="00A21004"/>
    <w:rsid w:val="00A21EF3"/>
    <w:rsid w:val="00A22793"/>
    <w:rsid w:val="00A22C63"/>
    <w:rsid w:val="00A2358F"/>
    <w:rsid w:val="00A24FCF"/>
    <w:rsid w:val="00A2613E"/>
    <w:rsid w:val="00A26B13"/>
    <w:rsid w:val="00A27045"/>
    <w:rsid w:val="00A27BA1"/>
    <w:rsid w:val="00A27C9C"/>
    <w:rsid w:val="00A30031"/>
    <w:rsid w:val="00A30F65"/>
    <w:rsid w:val="00A310BB"/>
    <w:rsid w:val="00A316E6"/>
    <w:rsid w:val="00A32258"/>
    <w:rsid w:val="00A32F1F"/>
    <w:rsid w:val="00A33333"/>
    <w:rsid w:val="00A3381B"/>
    <w:rsid w:val="00A33D50"/>
    <w:rsid w:val="00A3429F"/>
    <w:rsid w:val="00A35213"/>
    <w:rsid w:val="00A352F2"/>
    <w:rsid w:val="00A3595A"/>
    <w:rsid w:val="00A35F6A"/>
    <w:rsid w:val="00A36FE6"/>
    <w:rsid w:val="00A37554"/>
    <w:rsid w:val="00A37EAD"/>
    <w:rsid w:val="00A405A2"/>
    <w:rsid w:val="00A408E6"/>
    <w:rsid w:val="00A4248B"/>
    <w:rsid w:val="00A43B3E"/>
    <w:rsid w:val="00A44F66"/>
    <w:rsid w:val="00A455D2"/>
    <w:rsid w:val="00A45E91"/>
    <w:rsid w:val="00A466AB"/>
    <w:rsid w:val="00A4692F"/>
    <w:rsid w:val="00A46D15"/>
    <w:rsid w:val="00A47136"/>
    <w:rsid w:val="00A47485"/>
    <w:rsid w:val="00A4798C"/>
    <w:rsid w:val="00A47C0F"/>
    <w:rsid w:val="00A5009F"/>
    <w:rsid w:val="00A50259"/>
    <w:rsid w:val="00A50BA5"/>
    <w:rsid w:val="00A50C1F"/>
    <w:rsid w:val="00A518F4"/>
    <w:rsid w:val="00A52B7F"/>
    <w:rsid w:val="00A534DF"/>
    <w:rsid w:val="00A53AE0"/>
    <w:rsid w:val="00A53E25"/>
    <w:rsid w:val="00A54B98"/>
    <w:rsid w:val="00A55393"/>
    <w:rsid w:val="00A554F3"/>
    <w:rsid w:val="00A56741"/>
    <w:rsid w:val="00A5735D"/>
    <w:rsid w:val="00A60086"/>
    <w:rsid w:val="00A60D40"/>
    <w:rsid w:val="00A61246"/>
    <w:rsid w:val="00A617FA"/>
    <w:rsid w:val="00A619FB"/>
    <w:rsid w:val="00A61A0A"/>
    <w:rsid w:val="00A62109"/>
    <w:rsid w:val="00A628CA"/>
    <w:rsid w:val="00A62990"/>
    <w:rsid w:val="00A62BBC"/>
    <w:rsid w:val="00A62C3F"/>
    <w:rsid w:val="00A63181"/>
    <w:rsid w:val="00A64603"/>
    <w:rsid w:val="00A64805"/>
    <w:rsid w:val="00A648B4"/>
    <w:rsid w:val="00A64BC9"/>
    <w:rsid w:val="00A659E1"/>
    <w:rsid w:val="00A65B29"/>
    <w:rsid w:val="00A65B9A"/>
    <w:rsid w:val="00A65E97"/>
    <w:rsid w:val="00A664BE"/>
    <w:rsid w:val="00A66569"/>
    <w:rsid w:val="00A66C10"/>
    <w:rsid w:val="00A67E4D"/>
    <w:rsid w:val="00A70017"/>
    <w:rsid w:val="00A700C3"/>
    <w:rsid w:val="00A707A2"/>
    <w:rsid w:val="00A70C9A"/>
    <w:rsid w:val="00A7281A"/>
    <w:rsid w:val="00A72E69"/>
    <w:rsid w:val="00A74300"/>
    <w:rsid w:val="00A7466A"/>
    <w:rsid w:val="00A75057"/>
    <w:rsid w:val="00A75368"/>
    <w:rsid w:val="00A76980"/>
    <w:rsid w:val="00A77DA4"/>
    <w:rsid w:val="00A80E26"/>
    <w:rsid w:val="00A82113"/>
    <w:rsid w:val="00A831CD"/>
    <w:rsid w:val="00A83DC5"/>
    <w:rsid w:val="00A83E35"/>
    <w:rsid w:val="00A84891"/>
    <w:rsid w:val="00A8499A"/>
    <w:rsid w:val="00A84B23"/>
    <w:rsid w:val="00A84F9C"/>
    <w:rsid w:val="00A85445"/>
    <w:rsid w:val="00A85924"/>
    <w:rsid w:val="00A8654B"/>
    <w:rsid w:val="00A869CA"/>
    <w:rsid w:val="00A8707F"/>
    <w:rsid w:val="00A900CC"/>
    <w:rsid w:val="00A90650"/>
    <w:rsid w:val="00A9095F"/>
    <w:rsid w:val="00A92E70"/>
    <w:rsid w:val="00A940DB"/>
    <w:rsid w:val="00A94311"/>
    <w:rsid w:val="00A9470E"/>
    <w:rsid w:val="00A94958"/>
    <w:rsid w:val="00A95323"/>
    <w:rsid w:val="00A95380"/>
    <w:rsid w:val="00A95600"/>
    <w:rsid w:val="00A95D4D"/>
    <w:rsid w:val="00A977C0"/>
    <w:rsid w:val="00A97A8D"/>
    <w:rsid w:val="00A97DBB"/>
    <w:rsid w:val="00A97EDE"/>
    <w:rsid w:val="00AA089E"/>
    <w:rsid w:val="00AA0A84"/>
    <w:rsid w:val="00AA213B"/>
    <w:rsid w:val="00AA24F2"/>
    <w:rsid w:val="00AA2C7F"/>
    <w:rsid w:val="00AA34E3"/>
    <w:rsid w:val="00AA35EE"/>
    <w:rsid w:val="00AA3F7F"/>
    <w:rsid w:val="00AA3FE3"/>
    <w:rsid w:val="00AA4905"/>
    <w:rsid w:val="00AA4D2A"/>
    <w:rsid w:val="00AA5650"/>
    <w:rsid w:val="00AA584F"/>
    <w:rsid w:val="00AA6B66"/>
    <w:rsid w:val="00AA7174"/>
    <w:rsid w:val="00AA7179"/>
    <w:rsid w:val="00AB0F8B"/>
    <w:rsid w:val="00AB1C83"/>
    <w:rsid w:val="00AB246E"/>
    <w:rsid w:val="00AB32A9"/>
    <w:rsid w:val="00AB3DD5"/>
    <w:rsid w:val="00AB47CA"/>
    <w:rsid w:val="00AB51C5"/>
    <w:rsid w:val="00AB5D57"/>
    <w:rsid w:val="00AB6BC9"/>
    <w:rsid w:val="00AB6DFD"/>
    <w:rsid w:val="00AC02AA"/>
    <w:rsid w:val="00AC0DF2"/>
    <w:rsid w:val="00AC1D94"/>
    <w:rsid w:val="00AC1F17"/>
    <w:rsid w:val="00AC2081"/>
    <w:rsid w:val="00AC27C6"/>
    <w:rsid w:val="00AC2FA5"/>
    <w:rsid w:val="00AC3A24"/>
    <w:rsid w:val="00AC3DC1"/>
    <w:rsid w:val="00AC633D"/>
    <w:rsid w:val="00AC68EE"/>
    <w:rsid w:val="00AC7010"/>
    <w:rsid w:val="00AC7513"/>
    <w:rsid w:val="00AD0C84"/>
    <w:rsid w:val="00AD13BC"/>
    <w:rsid w:val="00AD169A"/>
    <w:rsid w:val="00AD1A27"/>
    <w:rsid w:val="00AD1B36"/>
    <w:rsid w:val="00AD1D93"/>
    <w:rsid w:val="00AD1DC2"/>
    <w:rsid w:val="00AD319F"/>
    <w:rsid w:val="00AD48F7"/>
    <w:rsid w:val="00AD4DF3"/>
    <w:rsid w:val="00AD546E"/>
    <w:rsid w:val="00AD561B"/>
    <w:rsid w:val="00AD573A"/>
    <w:rsid w:val="00AD5824"/>
    <w:rsid w:val="00AD644F"/>
    <w:rsid w:val="00AD6475"/>
    <w:rsid w:val="00AD6503"/>
    <w:rsid w:val="00AD6BC5"/>
    <w:rsid w:val="00AD6FE3"/>
    <w:rsid w:val="00AD721D"/>
    <w:rsid w:val="00AD778A"/>
    <w:rsid w:val="00AD7F9C"/>
    <w:rsid w:val="00AE02A2"/>
    <w:rsid w:val="00AE04E7"/>
    <w:rsid w:val="00AE0FC7"/>
    <w:rsid w:val="00AE11AE"/>
    <w:rsid w:val="00AE21C3"/>
    <w:rsid w:val="00AE2B5A"/>
    <w:rsid w:val="00AE4857"/>
    <w:rsid w:val="00AE5728"/>
    <w:rsid w:val="00AE66B1"/>
    <w:rsid w:val="00AE6C40"/>
    <w:rsid w:val="00AE7038"/>
    <w:rsid w:val="00AE710A"/>
    <w:rsid w:val="00AE72B5"/>
    <w:rsid w:val="00AE7A92"/>
    <w:rsid w:val="00AF04B3"/>
    <w:rsid w:val="00AF12C8"/>
    <w:rsid w:val="00AF1B4A"/>
    <w:rsid w:val="00AF2F40"/>
    <w:rsid w:val="00AF3CD5"/>
    <w:rsid w:val="00AF5455"/>
    <w:rsid w:val="00AF553B"/>
    <w:rsid w:val="00AF5729"/>
    <w:rsid w:val="00AF6077"/>
    <w:rsid w:val="00AF6C67"/>
    <w:rsid w:val="00AF6EAA"/>
    <w:rsid w:val="00AF72D6"/>
    <w:rsid w:val="00AF7701"/>
    <w:rsid w:val="00AF7734"/>
    <w:rsid w:val="00AF7909"/>
    <w:rsid w:val="00B01A4B"/>
    <w:rsid w:val="00B020E4"/>
    <w:rsid w:val="00B02F20"/>
    <w:rsid w:val="00B04CC4"/>
    <w:rsid w:val="00B052CD"/>
    <w:rsid w:val="00B055B1"/>
    <w:rsid w:val="00B0660D"/>
    <w:rsid w:val="00B06697"/>
    <w:rsid w:val="00B067E7"/>
    <w:rsid w:val="00B071C1"/>
    <w:rsid w:val="00B07BC3"/>
    <w:rsid w:val="00B07E47"/>
    <w:rsid w:val="00B10C72"/>
    <w:rsid w:val="00B11BEA"/>
    <w:rsid w:val="00B12123"/>
    <w:rsid w:val="00B12C79"/>
    <w:rsid w:val="00B131FF"/>
    <w:rsid w:val="00B13554"/>
    <w:rsid w:val="00B135F8"/>
    <w:rsid w:val="00B1366D"/>
    <w:rsid w:val="00B13870"/>
    <w:rsid w:val="00B13E72"/>
    <w:rsid w:val="00B1466F"/>
    <w:rsid w:val="00B148A1"/>
    <w:rsid w:val="00B14FF0"/>
    <w:rsid w:val="00B176C3"/>
    <w:rsid w:val="00B17F99"/>
    <w:rsid w:val="00B20913"/>
    <w:rsid w:val="00B20B56"/>
    <w:rsid w:val="00B20C98"/>
    <w:rsid w:val="00B20E03"/>
    <w:rsid w:val="00B21A30"/>
    <w:rsid w:val="00B21BCC"/>
    <w:rsid w:val="00B21F73"/>
    <w:rsid w:val="00B221A4"/>
    <w:rsid w:val="00B22EFC"/>
    <w:rsid w:val="00B234C6"/>
    <w:rsid w:val="00B23B71"/>
    <w:rsid w:val="00B247F1"/>
    <w:rsid w:val="00B24B79"/>
    <w:rsid w:val="00B253A1"/>
    <w:rsid w:val="00B262AB"/>
    <w:rsid w:val="00B26341"/>
    <w:rsid w:val="00B26646"/>
    <w:rsid w:val="00B26A84"/>
    <w:rsid w:val="00B27C0E"/>
    <w:rsid w:val="00B30935"/>
    <w:rsid w:val="00B30FA0"/>
    <w:rsid w:val="00B316D3"/>
    <w:rsid w:val="00B316F6"/>
    <w:rsid w:val="00B31855"/>
    <w:rsid w:val="00B32303"/>
    <w:rsid w:val="00B329D1"/>
    <w:rsid w:val="00B33CB7"/>
    <w:rsid w:val="00B33DEB"/>
    <w:rsid w:val="00B33EB1"/>
    <w:rsid w:val="00B345F7"/>
    <w:rsid w:val="00B34D97"/>
    <w:rsid w:val="00B352FA"/>
    <w:rsid w:val="00B366AD"/>
    <w:rsid w:val="00B36B5C"/>
    <w:rsid w:val="00B36D31"/>
    <w:rsid w:val="00B37254"/>
    <w:rsid w:val="00B37407"/>
    <w:rsid w:val="00B376A3"/>
    <w:rsid w:val="00B37A92"/>
    <w:rsid w:val="00B404E8"/>
    <w:rsid w:val="00B40884"/>
    <w:rsid w:val="00B417A7"/>
    <w:rsid w:val="00B41AFA"/>
    <w:rsid w:val="00B41C15"/>
    <w:rsid w:val="00B41D46"/>
    <w:rsid w:val="00B42646"/>
    <w:rsid w:val="00B43146"/>
    <w:rsid w:val="00B43342"/>
    <w:rsid w:val="00B44811"/>
    <w:rsid w:val="00B44A0B"/>
    <w:rsid w:val="00B45BCF"/>
    <w:rsid w:val="00B46969"/>
    <w:rsid w:val="00B471F2"/>
    <w:rsid w:val="00B47288"/>
    <w:rsid w:val="00B472B8"/>
    <w:rsid w:val="00B47341"/>
    <w:rsid w:val="00B47A1D"/>
    <w:rsid w:val="00B47A87"/>
    <w:rsid w:val="00B51AAB"/>
    <w:rsid w:val="00B51BBC"/>
    <w:rsid w:val="00B51C38"/>
    <w:rsid w:val="00B51E2F"/>
    <w:rsid w:val="00B520C7"/>
    <w:rsid w:val="00B53EBD"/>
    <w:rsid w:val="00B54161"/>
    <w:rsid w:val="00B542C2"/>
    <w:rsid w:val="00B543A8"/>
    <w:rsid w:val="00B54CE3"/>
    <w:rsid w:val="00B5587D"/>
    <w:rsid w:val="00B559D8"/>
    <w:rsid w:val="00B55B37"/>
    <w:rsid w:val="00B55CB6"/>
    <w:rsid w:val="00B565EB"/>
    <w:rsid w:val="00B5683F"/>
    <w:rsid w:val="00B56C27"/>
    <w:rsid w:val="00B56D72"/>
    <w:rsid w:val="00B606DE"/>
    <w:rsid w:val="00B60DC6"/>
    <w:rsid w:val="00B612FD"/>
    <w:rsid w:val="00B617CD"/>
    <w:rsid w:val="00B61E34"/>
    <w:rsid w:val="00B626CA"/>
    <w:rsid w:val="00B637D5"/>
    <w:rsid w:val="00B64570"/>
    <w:rsid w:val="00B64E63"/>
    <w:rsid w:val="00B654FD"/>
    <w:rsid w:val="00B666EF"/>
    <w:rsid w:val="00B669B7"/>
    <w:rsid w:val="00B66D52"/>
    <w:rsid w:val="00B66FC9"/>
    <w:rsid w:val="00B67341"/>
    <w:rsid w:val="00B674E1"/>
    <w:rsid w:val="00B67EB7"/>
    <w:rsid w:val="00B703B8"/>
    <w:rsid w:val="00B70B89"/>
    <w:rsid w:val="00B7138A"/>
    <w:rsid w:val="00B71C49"/>
    <w:rsid w:val="00B7208D"/>
    <w:rsid w:val="00B7298E"/>
    <w:rsid w:val="00B73ACE"/>
    <w:rsid w:val="00B74572"/>
    <w:rsid w:val="00B74793"/>
    <w:rsid w:val="00B74F17"/>
    <w:rsid w:val="00B7585E"/>
    <w:rsid w:val="00B75F50"/>
    <w:rsid w:val="00B76AF5"/>
    <w:rsid w:val="00B77148"/>
    <w:rsid w:val="00B77C97"/>
    <w:rsid w:val="00B77CCF"/>
    <w:rsid w:val="00B805E0"/>
    <w:rsid w:val="00B8085D"/>
    <w:rsid w:val="00B82B1C"/>
    <w:rsid w:val="00B82E6B"/>
    <w:rsid w:val="00B83A07"/>
    <w:rsid w:val="00B84061"/>
    <w:rsid w:val="00B84A60"/>
    <w:rsid w:val="00B84EEC"/>
    <w:rsid w:val="00B85313"/>
    <w:rsid w:val="00B85AAB"/>
    <w:rsid w:val="00B85B02"/>
    <w:rsid w:val="00B85B12"/>
    <w:rsid w:val="00B8615A"/>
    <w:rsid w:val="00B87DD9"/>
    <w:rsid w:val="00B906DB"/>
    <w:rsid w:val="00B90D24"/>
    <w:rsid w:val="00B91769"/>
    <w:rsid w:val="00B91DEA"/>
    <w:rsid w:val="00B921B9"/>
    <w:rsid w:val="00B9356C"/>
    <w:rsid w:val="00B939F8"/>
    <w:rsid w:val="00B949D6"/>
    <w:rsid w:val="00B94A7D"/>
    <w:rsid w:val="00B94E38"/>
    <w:rsid w:val="00B94F91"/>
    <w:rsid w:val="00B95216"/>
    <w:rsid w:val="00B95578"/>
    <w:rsid w:val="00B955FF"/>
    <w:rsid w:val="00B9610D"/>
    <w:rsid w:val="00B96287"/>
    <w:rsid w:val="00B962CB"/>
    <w:rsid w:val="00B96705"/>
    <w:rsid w:val="00B96D57"/>
    <w:rsid w:val="00B96DFD"/>
    <w:rsid w:val="00B972AF"/>
    <w:rsid w:val="00B97DAC"/>
    <w:rsid w:val="00BA1686"/>
    <w:rsid w:val="00BA2069"/>
    <w:rsid w:val="00BA20E5"/>
    <w:rsid w:val="00BA2158"/>
    <w:rsid w:val="00BA2D8D"/>
    <w:rsid w:val="00BA32D6"/>
    <w:rsid w:val="00BA5A54"/>
    <w:rsid w:val="00BA5CA1"/>
    <w:rsid w:val="00BA7ED9"/>
    <w:rsid w:val="00BB1B3F"/>
    <w:rsid w:val="00BB2430"/>
    <w:rsid w:val="00BB26E1"/>
    <w:rsid w:val="00BB2A00"/>
    <w:rsid w:val="00BB30B6"/>
    <w:rsid w:val="00BB41B8"/>
    <w:rsid w:val="00BB4A7A"/>
    <w:rsid w:val="00BB4DE9"/>
    <w:rsid w:val="00BB5B4E"/>
    <w:rsid w:val="00BB607E"/>
    <w:rsid w:val="00BB683E"/>
    <w:rsid w:val="00BB6CB3"/>
    <w:rsid w:val="00BB6DEF"/>
    <w:rsid w:val="00BB6E2D"/>
    <w:rsid w:val="00BB6FE0"/>
    <w:rsid w:val="00BB79D4"/>
    <w:rsid w:val="00BB7BA6"/>
    <w:rsid w:val="00BC0047"/>
    <w:rsid w:val="00BC08AE"/>
    <w:rsid w:val="00BC1B1E"/>
    <w:rsid w:val="00BC266F"/>
    <w:rsid w:val="00BC4DBC"/>
    <w:rsid w:val="00BC546E"/>
    <w:rsid w:val="00BC56F1"/>
    <w:rsid w:val="00BC5835"/>
    <w:rsid w:val="00BC60CE"/>
    <w:rsid w:val="00BC63B4"/>
    <w:rsid w:val="00BC6BCE"/>
    <w:rsid w:val="00BC7141"/>
    <w:rsid w:val="00BC7345"/>
    <w:rsid w:val="00BC75E6"/>
    <w:rsid w:val="00BC7BBC"/>
    <w:rsid w:val="00BD019E"/>
    <w:rsid w:val="00BD0A1D"/>
    <w:rsid w:val="00BD0BD3"/>
    <w:rsid w:val="00BD158D"/>
    <w:rsid w:val="00BD18B5"/>
    <w:rsid w:val="00BD1A96"/>
    <w:rsid w:val="00BD245D"/>
    <w:rsid w:val="00BD2599"/>
    <w:rsid w:val="00BD2773"/>
    <w:rsid w:val="00BD67B7"/>
    <w:rsid w:val="00BD6E14"/>
    <w:rsid w:val="00BD7399"/>
    <w:rsid w:val="00BD79A2"/>
    <w:rsid w:val="00BE0145"/>
    <w:rsid w:val="00BE0715"/>
    <w:rsid w:val="00BE08EE"/>
    <w:rsid w:val="00BE18C2"/>
    <w:rsid w:val="00BE1DF8"/>
    <w:rsid w:val="00BE282D"/>
    <w:rsid w:val="00BE2908"/>
    <w:rsid w:val="00BE3150"/>
    <w:rsid w:val="00BE38AF"/>
    <w:rsid w:val="00BE39A8"/>
    <w:rsid w:val="00BE48D2"/>
    <w:rsid w:val="00BE56FF"/>
    <w:rsid w:val="00BE589E"/>
    <w:rsid w:val="00BE5B6E"/>
    <w:rsid w:val="00BE5E71"/>
    <w:rsid w:val="00BE62A2"/>
    <w:rsid w:val="00BE71D6"/>
    <w:rsid w:val="00BE742C"/>
    <w:rsid w:val="00BE74F0"/>
    <w:rsid w:val="00BE77B1"/>
    <w:rsid w:val="00BE7C79"/>
    <w:rsid w:val="00BE7F7C"/>
    <w:rsid w:val="00BF0857"/>
    <w:rsid w:val="00BF0D38"/>
    <w:rsid w:val="00BF0D8B"/>
    <w:rsid w:val="00BF0F21"/>
    <w:rsid w:val="00BF10BA"/>
    <w:rsid w:val="00BF1865"/>
    <w:rsid w:val="00BF2E00"/>
    <w:rsid w:val="00BF3AAE"/>
    <w:rsid w:val="00BF4D79"/>
    <w:rsid w:val="00BF4F9B"/>
    <w:rsid w:val="00BF4FF7"/>
    <w:rsid w:val="00BF643D"/>
    <w:rsid w:val="00BF67EE"/>
    <w:rsid w:val="00BF6F8B"/>
    <w:rsid w:val="00BF74DF"/>
    <w:rsid w:val="00BF7DB8"/>
    <w:rsid w:val="00BF7F20"/>
    <w:rsid w:val="00C000FD"/>
    <w:rsid w:val="00C00414"/>
    <w:rsid w:val="00C00F5D"/>
    <w:rsid w:val="00C00FCC"/>
    <w:rsid w:val="00C01608"/>
    <w:rsid w:val="00C01C03"/>
    <w:rsid w:val="00C01C3F"/>
    <w:rsid w:val="00C044C7"/>
    <w:rsid w:val="00C046CE"/>
    <w:rsid w:val="00C04DCF"/>
    <w:rsid w:val="00C04F0F"/>
    <w:rsid w:val="00C054AC"/>
    <w:rsid w:val="00C06177"/>
    <w:rsid w:val="00C06333"/>
    <w:rsid w:val="00C06822"/>
    <w:rsid w:val="00C075EA"/>
    <w:rsid w:val="00C07853"/>
    <w:rsid w:val="00C079BD"/>
    <w:rsid w:val="00C07D0E"/>
    <w:rsid w:val="00C1079F"/>
    <w:rsid w:val="00C10DD3"/>
    <w:rsid w:val="00C11835"/>
    <w:rsid w:val="00C127F1"/>
    <w:rsid w:val="00C12A8B"/>
    <w:rsid w:val="00C138F8"/>
    <w:rsid w:val="00C1452D"/>
    <w:rsid w:val="00C14B16"/>
    <w:rsid w:val="00C14CB8"/>
    <w:rsid w:val="00C14CF2"/>
    <w:rsid w:val="00C151D6"/>
    <w:rsid w:val="00C158DA"/>
    <w:rsid w:val="00C15A8E"/>
    <w:rsid w:val="00C15EF2"/>
    <w:rsid w:val="00C17884"/>
    <w:rsid w:val="00C17F6C"/>
    <w:rsid w:val="00C2036A"/>
    <w:rsid w:val="00C206BD"/>
    <w:rsid w:val="00C2086D"/>
    <w:rsid w:val="00C20B1F"/>
    <w:rsid w:val="00C21133"/>
    <w:rsid w:val="00C2245B"/>
    <w:rsid w:val="00C237FE"/>
    <w:rsid w:val="00C23990"/>
    <w:rsid w:val="00C23F58"/>
    <w:rsid w:val="00C241BC"/>
    <w:rsid w:val="00C24D2C"/>
    <w:rsid w:val="00C25DF9"/>
    <w:rsid w:val="00C25EC1"/>
    <w:rsid w:val="00C26854"/>
    <w:rsid w:val="00C26916"/>
    <w:rsid w:val="00C27205"/>
    <w:rsid w:val="00C2740E"/>
    <w:rsid w:val="00C27723"/>
    <w:rsid w:val="00C27D9F"/>
    <w:rsid w:val="00C30BDC"/>
    <w:rsid w:val="00C32B8B"/>
    <w:rsid w:val="00C32F33"/>
    <w:rsid w:val="00C34321"/>
    <w:rsid w:val="00C344F0"/>
    <w:rsid w:val="00C34500"/>
    <w:rsid w:val="00C34C43"/>
    <w:rsid w:val="00C36A42"/>
    <w:rsid w:val="00C36CD9"/>
    <w:rsid w:val="00C3731D"/>
    <w:rsid w:val="00C375CE"/>
    <w:rsid w:val="00C37F00"/>
    <w:rsid w:val="00C37F27"/>
    <w:rsid w:val="00C40D22"/>
    <w:rsid w:val="00C40D54"/>
    <w:rsid w:val="00C40DF0"/>
    <w:rsid w:val="00C41518"/>
    <w:rsid w:val="00C415A1"/>
    <w:rsid w:val="00C41BEB"/>
    <w:rsid w:val="00C42B6E"/>
    <w:rsid w:val="00C42DAB"/>
    <w:rsid w:val="00C4318E"/>
    <w:rsid w:val="00C43360"/>
    <w:rsid w:val="00C4433D"/>
    <w:rsid w:val="00C44349"/>
    <w:rsid w:val="00C449D5"/>
    <w:rsid w:val="00C45042"/>
    <w:rsid w:val="00C45910"/>
    <w:rsid w:val="00C45931"/>
    <w:rsid w:val="00C4688E"/>
    <w:rsid w:val="00C46B46"/>
    <w:rsid w:val="00C5006B"/>
    <w:rsid w:val="00C500CC"/>
    <w:rsid w:val="00C50A26"/>
    <w:rsid w:val="00C517D8"/>
    <w:rsid w:val="00C519DC"/>
    <w:rsid w:val="00C51EC5"/>
    <w:rsid w:val="00C52278"/>
    <w:rsid w:val="00C53090"/>
    <w:rsid w:val="00C53603"/>
    <w:rsid w:val="00C53818"/>
    <w:rsid w:val="00C539CF"/>
    <w:rsid w:val="00C5471B"/>
    <w:rsid w:val="00C5643C"/>
    <w:rsid w:val="00C6107D"/>
    <w:rsid w:val="00C61085"/>
    <w:rsid w:val="00C61AC6"/>
    <w:rsid w:val="00C6226A"/>
    <w:rsid w:val="00C625BF"/>
    <w:rsid w:val="00C62936"/>
    <w:rsid w:val="00C636A7"/>
    <w:rsid w:val="00C63DA3"/>
    <w:rsid w:val="00C6400C"/>
    <w:rsid w:val="00C6470D"/>
    <w:rsid w:val="00C650F3"/>
    <w:rsid w:val="00C6671B"/>
    <w:rsid w:val="00C67CD1"/>
    <w:rsid w:val="00C702C7"/>
    <w:rsid w:val="00C7116F"/>
    <w:rsid w:val="00C71900"/>
    <w:rsid w:val="00C71993"/>
    <w:rsid w:val="00C71C84"/>
    <w:rsid w:val="00C71E74"/>
    <w:rsid w:val="00C71E97"/>
    <w:rsid w:val="00C7429C"/>
    <w:rsid w:val="00C74534"/>
    <w:rsid w:val="00C74554"/>
    <w:rsid w:val="00C74CA8"/>
    <w:rsid w:val="00C75FE7"/>
    <w:rsid w:val="00C762EB"/>
    <w:rsid w:val="00C7633D"/>
    <w:rsid w:val="00C7670A"/>
    <w:rsid w:val="00C76AF6"/>
    <w:rsid w:val="00C76BEB"/>
    <w:rsid w:val="00C76EBC"/>
    <w:rsid w:val="00C77089"/>
    <w:rsid w:val="00C772CC"/>
    <w:rsid w:val="00C775FE"/>
    <w:rsid w:val="00C81BB1"/>
    <w:rsid w:val="00C81F55"/>
    <w:rsid w:val="00C8554B"/>
    <w:rsid w:val="00C8703B"/>
    <w:rsid w:val="00C90268"/>
    <w:rsid w:val="00C902CA"/>
    <w:rsid w:val="00C905CE"/>
    <w:rsid w:val="00C9092A"/>
    <w:rsid w:val="00C91CD4"/>
    <w:rsid w:val="00C933D3"/>
    <w:rsid w:val="00C93F00"/>
    <w:rsid w:val="00C95E80"/>
    <w:rsid w:val="00C963AF"/>
    <w:rsid w:val="00C96566"/>
    <w:rsid w:val="00C970BB"/>
    <w:rsid w:val="00C97B30"/>
    <w:rsid w:val="00CA07DF"/>
    <w:rsid w:val="00CA0DE7"/>
    <w:rsid w:val="00CA267F"/>
    <w:rsid w:val="00CA2CE8"/>
    <w:rsid w:val="00CA2E27"/>
    <w:rsid w:val="00CA34DF"/>
    <w:rsid w:val="00CA3CD3"/>
    <w:rsid w:val="00CA40F2"/>
    <w:rsid w:val="00CA4462"/>
    <w:rsid w:val="00CA4C6D"/>
    <w:rsid w:val="00CA4E63"/>
    <w:rsid w:val="00CA5B05"/>
    <w:rsid w:val="00CA69D7"/>
    <w:rsid w:val="00CA6D33"/>
    <w:rsid w:val="00CA7AA8"/>
    <w:rsid w:val="00CA7F11"/>
    <w:rsid w:val="00CB054E"/>
    <w:rsid w:val="00CB14CD"/>
    <w:rsid w:val="00CB1595"/>
    <w:rsid w:val="00CB241E"/>
    <w:rsid w:val="00CB2801"/>
    <w:rsid w:val="00CB2F38"/>
    <w:rsid w:val="00CB4868"/>
    <w:rsid w:val="00CB4ADC"/>
    <w:rsid w:val="00CB4FB5"/>
    <w:rsid w:val="00CB56CB"/>
    <w:rsid w:val="00CB63D8"/>
    <w:rsid w:val="00CB6B0B"/>
    <w:rsid w:val="00CB6D91"/>
    <w:rsid w:val="00CB6DE0"/>
    <w:rsid w:val="00CB755D"/>
    <w:rsid w:val="00CB7D82"/>
    <w:rsid w:val="00CC070A"/>
    <w:rsid w:val="00CC0AC8"/>
    <w:rsid w:val="00CC0E09"/>
    <w:rsid w:val="00CC1737"/>
    <w:rsid w:val="00CC2A1A"/>
    <w:rsid w:val="00CC2B7C"/>
    <w:rsid w:val="00CC3218"/>
    <w:rsid w:val="00CC428D"/>
    <w:rsid w:val="00CC5E8F"/>
    <w:rsid w:val="00CC7104"/>
    <w:rsid w:val="00CC73AA"/>
    <w:rsid w:val="00CC76D7"/>
    <w:rsid w:val="00CD0037"/>
    <w:rsid w:val="00CD041E"/>
    <w:rsid w:val="00CD09DD"/>
    <w:rsid w:val="00CD180D"/>
    <w:rsid w:val="00CD1CC6"/>
    <w:rsid w:val="00CD1E88"/>
    <w:rsid w:val="00CD1F1B"/>
    <w:rsid w:val="00CD27F7"/>
    <w:rsid w:val="00CD32E7"/>
    <w:rsid w:val="00CD3DB9"/>
    <w:rsid w:val="00CD44F2"/>
    <w:rsid w:val="00CD5842"/>
    <w:rsid w:val="00CD5932"/>
    <w:rsid w:val="00CD67B8"/>
    <w:rsid w:val="00CD6EBC"/>
    <w:rsid w:val="00CD7FC5"/>
    <w:rsid w:val="00CE0A4F"/>
    <w:rsid w:val="00CE1393"/>
    <w:rsid w:val="00CE1966"/>
    <w:rsid w:val="00CE1D9F"/>
    <w:rsid w:val="00CE250F"/>
    <w:rsid w:val="00CE2D13"/>
    <w:rsid w:val="00CE4EE4"/>
    <w:rsid w:val="00CE5C65"/>
    <w:rsid w:val="00CE7129"/>
    <w:rsid w:val="00CE71DF"/>
    <w:rsid w:val="00CE7746"/>
    <w:rsid w:val="00CE7BF1"/>
    <w:rsid w:val="00CF0D00"/>
    <w:rsid w:val="00CF2691"/>
    <w:rsid w:val="00CF30F7"/>
    <w:rsid w:val="00CF3CA4"/>
    <w:rsid w:val="00CF4093"/>
    <w:rsid w:val="00CF42D1"/>
    <w:rsid w:val="00CF45E9"/>
    <w:rsid w:val="00CF480F"/>
    <w:rsid w:val="00CF5214"/>
    <w:rsid w:val="00CF546E"/>
    <w:rsid w:val="00CF59D3"/>
    <w:rsid w:val="00CF65BC"/>
    <w:rsid w:val="00CF7220"/>
    <w:rsid w:val="00CF7F7F"/>
    <w:rsid w:val="00D00003"/>
    <w:rsid w:val="00D0023B"/>
    <w:rsid w:val="00D00A2D"/>
    <w:rsid w:val="00D01239"/>
    <w:rsid w:val="00D03AA2"/>
    <w:rsid w:val="00D04470"/>
    <w:rsid w:val="00D0457F"/>
    <w:rsid w:val="00D04AA3"/>
    <w:rsid w:val="00D04BC3"/>
    <w:rsid w:val="00D05A98"/>
    <w:rsid w:val="00D06359"/>
    <w:rsid w:val="00D06534"/>
    <w:rsid w:val="00D06E89"/>
    <w:rsid w:val="00D07487"/>
    <w:rsid w:val="00D07FB8"/>
    <w:rsid w:val="00D112C4"/>
    <w:rsid w:val="00D12613"/>
    <w:rsid w:val="00D12E8B"/>
    <w:rsid w:val="00D12EC5"/>
    <w:rsid w:val="00D13899"/>
    <w:rsid w:val="00D1394B"/>
    <w:rsid w:val="00D147A1"/>
    <w:rsid w:val="00D1624B"/>
    <w:rsid w:val="00D208FF"/>
    <w:rsid w:val="00D224B4"/>
    <w:rsid w:val="00D226E3"/>
    <w:rsid w:val="00D232DC"/>
    <w:rsid w:val="00D236E8"/>
    <w:rsid w:val="00D241B9"/>
    <w:rsid w:val="00D24FC9"/>
    <w:rsid w:val="00D25D63"/>
    <w:rsid w:val="00D25F7D"/>
    <w:rsid w:val="00D26640"/>
    <w:rsid w:val="00D26EB1"/>
    <w:rsid w:val="00D27493"/>
    <w:rsid w:val="00D2778C"/>
    <w:rsid w:val="00D2794C"/>
    <w:rsid w:val="00D27B73"/>
    <w:rsid w:val="00D30C80"/>
    <w:rsid w:val="00D30E75"/>
    <w:rsid w:val="00D31961"/>
    <w:rsid w:val="00D329DF"/>
    <w:rsid w:val="00D32F1F"/>
    <w:rsid w:val="00D33A2B"/>
    <w:rsid w:val="00D34DCA"/>
    <w:rsid w:val="00D35A37"/>
    <w:rsid w:val="00D35C72"/>
    <w:rsid w:val="00D35CF7"/>
    <w:rsid w:val="00D361EB"/>
    <w:rsid w:val="00D36E73"/>
    <w:rsid w:val="00D37A14"/>
    <w:rsid w:val="00D407E1"/>
    <w:rsid w:val="00D40F54"/>
    <w:rsid w:val="00D4166E"/>
    <w:rsid w:val="00D41CE0"/>
    <w:rsid w:val="00D41D78"/>
    <w:rsid w:val="00D4280C"/>
    <w:rsid w:val="00D42A76"/>
    <w:rsid w:val="00D4307C"/>
    <w:rsid w:val="00D43859"/>
    <w:rsid w:val="00D44108"/>
    <w:rsid w:val="00D446AB"/>
    <w:rsid w:val="00D4478A"/>
    <w:rsid w:val="00D45197"/>
    <w:rsid w:val="00D45A19"/>
    <w:rsid w:val="00D45A9D"/>
    <w:rsid w:val="00D4762A"/>
    <w:rsid w:val="00D47932"/>
    <w:rsid w:val="00D50138"/>
    <w:rsid w:val="00D507B6"/>
    <w:rsid w:val="00D50F44"/>
    <w:rsid w:val="00D51885"/>
    <w:rsid w:val="00D52581"/>
    <w:rsid w:val="00D5297D"/>
    <w:rsid w:val="00D52A6A"/>
    <w:rsid w:val="00D52EAD"/>
    <w:rsid w:val="00D55C1F"/>
    <w:rsid w:val="00D56BF1"/>
    <w:rsid w:val="00D56CAB"/>
    <w:rsid w:val="00D56F23"/>
    <w:rsid w:val="00D57501"/>
    <w:rsid w:val="00D57A75"/>
    <w:rsid w:val="00D60A58"/>
    <w:rsid w:val="00D616A5"/>
    <w:rsid w:val="00D61DFC"/>
    <w:rsid w:val="00D62027"/>
    <w:rsid w:val="00D648CE"/>
    <w:rsid w:val="00D648CF"/>
    <w:rsid w:val="00D65D99"/>
    <w:rsid w:val="00D65F7A"/>
    <w:rsid w:val="00D70D3F"/>
    <w:rsid w:val="00D7134D"/>
    <w:rsid w:val="00D718CA"/>
    <w:rsid w:val="00D72219"/>
    <w:rsid w:val="00D74025"/>
    <w:rsid w:val="00D746F9"/>
    <w:rsid w:val="00D74843"/>
    <w:rsid w:val="00D7598B"/>
    <w:rsid w:val="00D762C3"/>
    <w:rsid w:val="00D768FD"/>
    <w:rsid w:val="00D7732D"/>
    <w:rsid w:val="00D77979"/>
    <w:rsid w:val="00D77DBF"/>
    <w:rsid w:val="00D8063F"/>
    <w:rsid w:val="00D80825"/>
    <w:rsid w:val="00D8146F"/>
    <w:rsid w:val="00D815D0"/>
    <w:rsid w:val="00D825C2"/>
    <w:rsid w:val="00D826AB"/>
    <w:rsid w:val="00D83477"/>
    <w:rsid w:val="00D84B98"/>
    <w:rsid w:val="00D84CC9"/>
    <w:rsid w:val="00D84E89"/>
    <w:rsid w:val="00D84FB2"/>
    <w:rsid w:val="00D8592A"/>
    <w:rsid w:val="00D86333"/>
    <w:rsid w:val="00D86A28"/>
    <w:rsid w:val="00D8721E"/>
    <w:rsid w:val="00D90572"/>
    <w:rsid w:val="00D908F1"/>
    <w:rsid w:val="00D90D1B"/>
    <w:rsid w:val="00D9208D"/>
    <w:rsid w:val="00D92243"/>
    <w:rsid w:val="00D92464"/>
    <w:rsid w:val="00D92594"/>
    <w:rsid w:val="00D93A8B"/>
    <w:rsid w:val="00D93CBD"/>
    <w:rsid w:val="00D93E13"/>
    <w:rsid w:val="00D94A05"/>
    <w:rsid w:val="00D956AF"/>
    <w:rsid w:val="00D96760"/>
    <w:rsid w:val="00D97914"/>
    <w:rsid w:val="00DA048D"/>
    <w:rsid w:val="00DA1962"/>
    <w:rsid w:val="00DA27C2"/>
    <w:rsid w:val="00DA2A7C"/>
    <w:rsid w:val="00DA35B3"/>
    <w:rsid w:val="00DA3EB3"/>
    <w:rsid w:val="00DA55EB"/>
    <w:rsid w:val="00DA58BE"/>
    <w:rsid w:val="00DA5AAC"/>
    <w:rsid w:val="00DA6998"/>
    <w:rsid w:val="00DA6E9C"/>
    <w:rsid w:val="00DA74B1"/>
    <w:rsid w:val="00DA7AA5"/>
    <w:rsid w:val="00DA7AAA"/>
    <w:rsid w:val="00DB03E5"/>
    <w:rsid w:val="00DB0CB1"/>
    <w:rsid w:val="00DB1AFE"/>
    <w:rsid w:val="00DB1DDB"/>
    <w:rsid w:val="00DB248A"/>
    <w:rsid w:val="00DB27C5"/>
    <w:rsid w:val="00DB347E"/>
    <w:rsid w:val="00DB38CF"/>
    <w:rsid w:val="00DB4DED"/>
    <w:rsid w:val="00DB5A31"/>
    <w:rsid w:val="00DB5D79"/>
    <w:rsid w:val="00DB5F38"/>
    <w:rsid w:val="00DB6684"/>
    <w:rsid w:val="00DB6CE2"/>
    <w:rsid w:val="00DB7D16"/>
    <w:rsid w:val="00DB7FFA"/>
    <w:rsid w:val="00DC0004"/>
    <w:rsid w:val="00DC0887"/>
    <w:rsid w:val="00DC0F6D"/>
    <w:rsid w:val="00DC2A4D"/>
    <w:rsid w:val="00DC2AD4"/>
    <w:rsid w:val="00DC30C1"/>
    <w:rsid w:val="00DC35E2"/>
    <w:rsid w:val="00DC3668"/>
    <w:rsid w:val="00DC39D0"/>
    <w:rsid w:val="00DC4D91"/>
    <w:rsid w:val="00DC55F4"/>
    <w:rsid w:val="00DC5650"/>
    <w:rsid w:val="00DC65D0"/>
    <w:rsid w:val="00DC7096"/>
    <w:rsid w:val="00DC7C98"/>
    <w:rsid w:val="00DD009B"/>
    <w:rsid w:val="00DD05D8"/>
    <w:rsid w:val="00DD06D4"/>
    <w:rsid w:val="00DD1EA4"/>
    <w:rsid w:val="00DD3566"/>
    <w:rsid w:val="00DD35D7"/>
    <w:rsid w:val="00DD4424"/>
    <w:rsid w:val="00DD5A1B"/>
    <w:rsid w:val="00DD6E3B"/>
    <w:rsid w:val="00DD715C"/>
    <w:rsid w:val="00DD7583"/>
    <w:rsid w:val="00DD7CB4"/>
    <w:rsid w:val="00DE049D"/>
    <w:rsid w:val="00DE18BC"/>
    <w:rsid w:val="00DE1F4E"/>
    <w:rsid w:val="00DE246C"/>
    <w:rsid w:val="00DE38F8"/>
    <w:rsid w:val="00DE3CE3"/>
    <w:rsid w:val="00DE4732"/>
    <w:rsid w:val="00DE4A23"/>
    <w:rsid w:val="00DE55BF"/>
    <w:rsid w:val="00DE5655"/>
    <w:rsid w:val="00DE57AA"/>
    <w:rsid w:val="00DE5832"/>
    <w:rsid w:val="00DE5FCA"/>
    <w:rsid w:val="00DE6786"/>
    <w:rsid w:val="00DE7582"/>
    <w:rsid w:val="00DE7820"/>
    <w:rsid w:val="00DF0A57"/>
    <w:rsid w:val="00DF13D9"/>
    <w:rsid w:val="00DF1602"/>
    <w:rsid w:val="00DF2DCE"/>
    <w:rsid w:val="00DF3392"/>
    <w:rsid w:val="00DF37FD"/>
    <w:rsid w:val="00DF4109"/>
    <w:rsid w:val="00DF4AD1"/>
    <w:rsid w:val="00DF4B62"/>
    <w:rsid w:val="00DF4CF7"/>
    <w:rsid w:val="00DF4F16"/>
    <w:rsid w:val="00DF58BF"/>
    <w:rsid w:val="00DF7952"/>
    <w:rsid w:val="00E010E5"/>
    <w:rsid w:val="00E022A1"/>
    <w:rsid w:val="00E0261D"/>
    <w:rsid w:val="00E02B2B"/>
    <w:rsid w:val="00E03159"/>
    <w:rsid w:val="00E031CC"/>
    <w:rsid w:val="00E037D2"/>
    <w:rsid w:val="00E03DD8"/>
    <w:rsid w:val="00E041CC"/>
    <w:rsid w:val="00E04443"/>
    <w:rsid w:val="00E04503"/>
    <w:rsid w:val="00E0517E"/>
    <w:rsid w:val="00E05563"/>
    <w:rsid w:val="00E1015B"/>
    <w:rsid w:val="00E10573"/>
    <w:rsid w:val="00E1177F"/>
    <w:rsid w:val="00E11813"/>
    <w:rsid w:val="00E1210E"/>
    <w:rsid w:val="00E127BA"/>
    <w:rsid w:val="00E13678"/>
    <w:rsid w:val="00E13A79"/>
    <w:rsid w:val="00E14092"/>
    <w:rsid w:val="00E14216"/>
    <w:rsid w:val="00E14B90"/>
    <w:rsid w:val="00E14C36"/>
    <w:rsid w:val="00E15C45"/>
    <w:rsid w:val="00E15DEF"/>
    <w:rsid w:val="00E15E9E"/>
    <w:rsid w:val="00E1623B"/>
    <w:rsid w:val="00E17011"/>
    <w:rsid w:val="00E174B3"/>
    <w:rsid w:val="00E177F2"/>
    <w:rsid w:val="00E17D29"/>
    <w:rsid w:val="00E20190"/>
    <w:rsid w:val="00E20357"/>
    <w:rsid w:val="00E20D42"/>
    <w:rsid w:val="00E20F87"/>
    <w:rsid w:val="00E20FA6"/>
    <w:rsid w:val="00E218F1"/>
    <w:rsid w:val="00E21E20"/>
    <w:rsid w:val="00E2298B"/>
    <w:rsid w:val="00E22A0C"/>
    <w:rsid w:val="00E236D2"/>
    <w:rsid w:val="00E239CE"/>
    <w:rsid w:val="00E25CDB"/>
    <w:rsid w:val="00E26113"/>
    <w:rsid w:val="00E266A4"/>
    <w:rsid w:val="00E26B30"/>
    <w:rsid w:val="00E27B6A"/>
    <w:rsid w:val="00E304F8"/>
    <w:rsid w:val="00E310E5"/>
    <w:rsid w:val="00E3155F"/>
    <w:rsid w:val="00E31A0A"/>
    <w:rsid w:val="00E33579"/>
    <w:rsid w:val="00E33E52"/>
    <w:rsid w:val="00E34711"/>
    <w:rsid w:val="00E35306"/>
    <w:rsid w:val="00E35847"/>
    <w:rsid w:val="00E36C7A"/>
    <w:rsid w:val="00E36F1B"/>
    <w:rsid w:val="00E36F38"/>
    <w:rsid w:val="00E378D8"/>
    <w:rsid w:val="00E40279"/>
    <w:rsid w:val="00E40B04"/>
    <w:rsid w:val="00E40CFA"/>
    <w:rsid w:val="00E414D8"/>
    <w:rsid w:val="00E41CF6"/>
    <w:rsid w:val="00E4211E"/>
    <w:rsid w:val="00E42B76"/>
    <w:rsid w:val="00E42D02"/>
    <w:rsid w:val="00E42EF6"/>
    <w:rsid w:val="00E43346"/>
    <w:rsid w:val="00E4362E"/>
    <w:rsid w:val="00E43A15"/>
    <w:rsid w:val="00E43D4C"/>
    <w:rsid w:val="00E44404"/>
    <w:rsid w:val="00E44D12"/>
    <w:rsid w:val="00E4562C"/>
    <w:rsid w:val="00E46F2C"/>
    <w:rsid w:val="00E475F9"/>
    <w:rsid w:val="00E47D61"/>
    <w:rsid w:val="00E500CC"/>
    <w:rsid w:val="00E501E2"/>
    <w:rsid w:val="00E50F53"/>
    <w:rsid w:val="00E51605"/>
    <w:rsid w:val="00E518B4"/>
    <w:rsid w:val="00E51E31"/>
    <w:rsid w:val="00E52120"/>
    <w:rsid w:val="00E521CC"/>
    <w:rsid w:val="00E5236E"/>
    <w:rsid w:val="00E52BDF"/>
    <w:rsid w:val="00E5358F"/>
    <w:rsid w:val="00E538F1"/>
    <w:rsid w:val="00E53B0C"/>
    <w:rsid w:val="00E548A6"/>
    <w:rsid w:val="00E54B5A"/>
    <w:rsid w:val="00E54BEF"/>
    <w:rsid w:val="00E56993"/>
    <w:rsid w:val="00E56F4A"/>
    <w:rsid w:val="00E571FB"/>
    <w:rsid w:val="00E57276"/>
    <w:rsid w:val="00E60324"/>
    <w:rsid w:val="00E61653"/>
    <w:rsid w:val="00E61B72"/>
    <w:rsid w:val="00E62623"/>
    <w:rsid w:val="00E62EEF"/>
    <w:rsid w:val="00E63D8B"/>
    <w:rsid w:val="00E64C21"/>
    <w:rsid w:val="00E65B40"/>
    <w:rsid w:val="00E65C97"/>
    <w:rsid w:val="00E66391"/>
    <w:rsid w:val="00E6672C"/>
    <w:rsid w:val="00E66D85"/>
    <w:rsid w:val="00E675BD"/>
    <w:rsid w:val="00E70084"/>
    <w:rsid w:val="00E70B1E"/>
    <w:rsid w:val="00E71D94"/>
    <w:rsid w:val="00E72CD7"/>
    <w:rsid w:val="00E73F70"/>
    <w:rsid w:val="00E74721"/>
    <w:rsid w:val="00E74AB4"/>
    <w:rsid w:val="00E74ECA"/>
    <w:rsid w:val="00E74F41"/>
    <w:rsid w:val="00E750CA"/>
    <w:rsid w:val="00E75542"/>
    <w:rsid w:val="00E75983"/>
    <w:rsid w:val="00E75A56"/>
    <w:rsid w:val="00E7797E"/>
    <w:rsid w:val="00E80926"/>
    <w:rsid w:val="00E8131F"/>
    <w:rsid w:val="00E814ED"/>
    <w:rsid w:val="00E821A2"/>
    <w:rsid w:val="00E8240F"/>
    <w:rsid w:val="00E82807"/>
    <w:rsid w:val="00E83462"/>
    <w:rsid w:val="00E846EA"/>
    <w:rsid w:val="00E85407"/>
    <w:rsid w:val="00E8585C"/>
    <w:rsid w:val="00E859D3"/>
    <w:rsid w:val="00E860D1"/>
    <w:rsid w:val="00E86A35"/>
    <w:rsid w:val="00E87432"/>
    <w:rsid w:val="00E875CD"/>
    <w:rsid w:val="00E87881"/>
    <w:rsid w:val="00E90583"/>
    <w:rsid w:val="00E90DCD"/>
    <w:rsid w:val="00E91010"/>
    <w:rsid w:val="00E91639"/>
    <w:rsid w:val="00E91AD2"/>
    <w:rsid w:val="00E91B3D"/>
    <w:rsid w:val="00E92C7A"/>
    <w:rsid w:val="00E939DF"/>
    <w:rsid w:val="00E943B8"/>
    <w:rsid w:val="00E94C20"/>
    <w:rsid w:val="00E94D1B"/>
    <w:rsid w:val="00E94ED2"/>
    <w:rsid w:val="00E95289"/>
    <w:rsid w:val="00E95AD8"/>
    <w:rsid w:val="00E95E6E"/>
    <w:rsid w:val="00E9654F"/>
    <w:rsid w:val="00E9695A"/>
    <w:rsid w:val="00E96ACF"/>
    <w:rsid w:val="00E96B21"/>
    <w:rsid w:val="00E96D16"/>
    <w:rsid w:val="00E975C0"/>
    <w:rsid w:val="00E97850"/>
    <w:rsid w:val="00E97E1F"/>
    <w:rsid w:val="00E97F0B"/>
    <w:rsid w:val="00EA2255"/>
    <w:rsid w:val="00EA2361"/>
    <w:rsid w:val="00EA3A7B"/>
    <w:rsid w:val="00EA42D8"/>
    <w:rsid w:val="00EA52DC"/>
    <w:rsid w:val="00EA5C8A"/>
    <w:rsid w:val="00EA5E79"/>
    <w:rsid w:val="00EA6941"/>
    <w:rsid w:val="00EA7295"/>
    <w:rsid w:val="00EA7D4B"/>
    <w:rsid w:val="00EB0BFF"/>
    <w:rsid w:val="00EB1B10"/>
    <w:rsid w:val="00EB1CA3"/>
    <w:rsid w:val="00EB209E"/>
    <w:rsid w:val="00EB3509"/>
    <w:rsid w:val="00EB3C4C"/>
    <w:rsid w:val="00EB3C52"/>
    <w:rsid w:val="00EB425C"/>
    <w:rsid w:val="00EB4550"/>
    <w:rsid w:val="00EB4A76"/>
    <w:rsid w:val="00EB5877"/>
    <w:rsid w:val="00EB5BB2"/>
    <w:rsid w:val="00EB5CD1"/>
    <w:rsid w:val="00EB5E85"/>
    <w:rsid w:val="00EB631F"/>
    <w:rsid w:val="00EB73B1"/>
    <w:rsid w:val="00EB7DDA"/>
    <w:rsid w:val="00EC0D30"/>
    <w:rsid w:val="00EC15A7"/>
    <w:rsid w:val="00EC1DF8"/>
    <w:rsid w:val="00EC2060"/>
    <w:rsid w:val="00EC2062"/>
    <w:rsid w:val="00EC222E"/>
    <w:rsid w:val="00EC2851"/>
    <w:rsid w:val="00EC2C3D"/>
    <w:rsid w:val="00EC4A6A"/>
    <w:rsid w:val="00EC5498"/>
    <w:rsid w:val="00EC559B"/>
    <w:rsid w:val="00EC57A4"/>
    <w:rsid w:val="00EC65D7"/>
    <w:rsid w:val="00EC691F"/>
    <w:rsid w:val="00EC6AD0"/>
    <w:rsid w:val="00EC6CC9"/>
    <w:rsid w:val="00ED0644"/>
    <w:rsid w:val="00ED0C9D"/>
    <w:rsid w:val="00ED10F2"/>
    <w:rsid w:val="00ED1771"/>
    <w:rsid w:val="00ED17EB"/>
    <w:rsid w:val="00ED2448"/>
    <w:rsid w:val="00ED2D91"/>
    <w:rsid w:val="00ED2F9B"/>
    <w:rsid w:val="00ED3DE7"/>
    <w:rsid w:val="00ED4755"/>
    <w:rsid w:val="00ED5DBC"/>
    <w:rsid w:val="00ED60CF"/>
    <w:rsid w:val="00ED61D9"/>
    <w:rsid w:val="00ED6837"/>
    <w:rsid w:val="00ED686F"/>
    <w:rsid w:val="00ED79E3"/>
    <w:rsid w:val="00ED7D12"/>
    <w:rsid w:val="00EE0E32"/>
    <w:rsid w:val="00EE16D4"/>
    <w:rsid w:val="00EE1AA6"/>
    <w:rsid w:val="00EE1E55"/>
    <w:rsid w:val="00EE2C87"/>
    <w:rsid w:val="00EE3560"/>
    <w:rsid w:val="00EE386F"/>
    <w:rsid w:val="00EE3B6C"/>
    <w:rsid w:val="00EE3F0C"/>
    <w:rsid w:val="00EE44E4"/>
    <w:rsid w:val="00EE4D41"/>
    <w:rsid w:val="00EE5201"/>
    <w:rsid w:val="00EE54A6"/>
    <w:rsid w:val="00EE5A5C"/>
    <w:rsid w:val="00EE5B7C"/>
    <w:rsid w:val="00EE5BE2"/>
    <w:rsid w:val="00EE6003"/>
    <w:rsid w:val="00EE61A2"/>
    <w:rsid w:val="00EE6EA3"/>
    <w:rsid w:val="00EE7015"/>
    <w:rsid w:val="00EE70BB"/>
    <w:rsid w:val="00EE7285"/>
    <w:rsid w:val="00EF027A"/>
    <w:rsid w:val="00EF0492"/>
    <w:rsid w:val="00EF08AB"/>
    <w:rsid w:val="00EF0925"/>
    <w:rsid w:val="00EF2897"/>
    <w:rsid w:val="00EF2C17"/>
    <w:rsid w:val="00EF2EC5"/>
    <w:rsid w:val="00EF3843"/>
    <w:rsid w:val="00EF4086"/>
    <w:rsid w:val="00EF4658"/>
    <w:rsid w:val="00EF5E25"/>
    <w:rsid w:val="00EF640C"/>
    <w:rsid w:val="00EF7B24"/>
    <w:rsid w:val="00F0077E"/>
    <w:rsid w:val="00F00786"/>
    <w:rsid w:val="00F00CB3"/>
    <w:rsid w:val="00F0151D"/>
    <w:rsid w:val="00F0163F"/>
    <w:rsid w:val="00F03A4F"/>
    <w:rsid w:val="00F043DA"/>
    <w:rsid w:val="00F0446A"/>
    <w:rsid w:val="00F045B9"/>
    <w:rsid w:val="00F05189"/>
    <w:rsid w:val="00F05E8E"/>
    <w:rsid w:val="00F10620"/>
    <w:rsid w:val="00F1099E"/>
    <w:rsid w:val="00F12089"/>
    <w:rsid w:val="00F12518"/>
    <w:rsid w:val="00F12980"/>
    <w:rsid w:val="00F12D7B"/>
    <w:rsid w:val="00F12DC5"/>
    <w:rsid w:val="00F13791"/>
    <w:rsid w:val="00F1465D"/>
    <w:rsid w:val="00F1518C"/>
    <w:rsid w:val="00F152FD"/>
    <w:rsid w:val="00F15F5C"/>
    <w:rsid w:val="00F16C0F"/>
    <w:rsid w:val="00F1704D"/>
    <w:rsid w:val="00F174A5"/>
    <w:rsid w:val="00F205E3"/>
    <w:rsid w:val="00F20FAA"/>
    <w:rsid w:val="00F21A5C"/>
    <w:rsid w:val="00F22042"/>
    <w:rsid w:val="00F23266"/>
    <w:rsid w:val="00F23C0E"/>
    <w:rsid w:val="00F247D2"/>
    <w:rsid w:val="00F26D54"/>
    <w:rsid w:val="00F2731D"/>
    <w:rsid w:val="00F27AA6"/>
    <w:rsid w:val="00F3081C"/>
    <w:rsid w:val="00F32D5C"/>
    <w:rsid w:val="00F34446"/>
    <w:rsid w:val="00F34FF0"/>
    <w:rsid w:val="00F366F7"/>
    <w:rsid w:val="00F40368"/>
    <w:rsid w:val="00F40974"/>
    <w:rsid w:val="00F415C7"/>
    <w:rsid w:val="00F42B64"/>
    <w:rsid w:val="00F4301B"/>
    <w:rsid w:val="00F430FB"/>
    <w:rsid w:val="00F43105"/>
    <w:rsid w:val="00F4469B"/>
    <w:rsid w:val="00F448EC"/>
    <w:rsid w:val="00F44939"/>
    <w:rsid w:val="00F4657B"/>
    <w:rsid w:val="00F468F9"/>
    <w:rsid w:val="00F469DD"/>
    <w:rsid w:val="00F46C9A"/>
    <w:rsid w:val="00F47D82"/>
    <w:rsid w:val="00F47DA1"/>
    <w:rsid w:val="00F50102"/>
    <w:rsid w:val="00F50107"/>
    <w:rsid w:val="00F505CB"/>
    <w:rsid w:val="00F506EF"/>
    <w:rsid w:val="00F506FD"/>
    <w:rsid w:val="00F50C41"/>
    <w:rsid w:val="00F50D5D"/>
    <w:rsid w:val="00F50DD4"/>
    <w:rsid w:val="00F50E3A"/>
    <w:rsid w:val="00F51269"/>
    <w:rsid w:val="00F513D3"/>
    <w:rsid w:val="00F5140D"/>
    <w:rsid w:val="00F530C6"/>
    <w:rsid w:val="00F53288"/>
    <w:rsid w:val="00F535AB"/>
    <w:rsid w:val="00F53B68"/>
    <w:rsid w:val="00F53DC4"/>
    <w:rsid w:val="00F55340"/>
    <w:rsid w:val="00F55E33"/>
    <w:rsid w:val="00F565A3"/>
    <w:rsid w:val="00F56601"/>
    <w:rsid w:val="00F5743D"/>
    <w:rsid w:val="00F5758D"/>
    <w:rsid w:val="00F57A50"/>
    <w:rsid w:val="00F57A70"/>
    <w:rsid w:val="00F57A81"/>
    <w:rsid w:val="00F57F6C"/>
    <w:rsid w:val="00F60173"/>
    <w:rsid w:val="00F61A64"/>
    <w:rsid w:val="00F6291C"/>
    <w:rsid w:val="00F62956"/>
    <w:rsid w:val="00F6317E"/>
    <w:rsid w:val="00F63275"/>
    <w:rsid w:val="00F637D5"/>
    <w:rsid w:val="00F63C15"/>
    <w:rsid w:val="00F64334"/>
    <w:rsid w:val="00F64BA6"/>
    <w:rsid w:val="00F64C5C"/>
    <w:rsid w:val="00F65155"/>
    <w:rsid w:val="00F65B1B"/>
    <w:rsid w:val="00F66207"/>
    <w:rsid w:val="00F66C80"/>
    <w:rsid w:val="00F677CF"/>
    <w:rsid w:val="00F67A4C"/>
    <w:rsid w:val="00F70A5E"/>
    <w:rsid w:val="00F70E23"/>
    <w:rsid w:val="00F7191E"/>
    <w:rsid w:val="00F7194A"/>
    <w:rsid w:val="00F71B03"/>
    <w:rsid w:val="00F71F37"/>
    <w:rsid w:val="00F72809"/>
    <w:rsid w:val="00F72C15"/>
    <w:rsid w:val="00F7308B"/>
    <w:rsid w:val="00F73544"/>
    <w:rsid w:val="00F73A3C"/>
    <w:rsid w:val="00F7435C"/>
    <w:rsid w:val="00F74A5C"/>
    <w:rsid w:val="00F7513E"/>
    <w:rsid w:val="00F75EF0"/>
    <w:rsid w:val="00F76033"/>
    <w:rsid w:val="00F76296"/>
    <w:rsid w:val="00F762D1"/>
    <w:rsid w:val="00F76AA1"/>
    <w:rsid w:val="00F77885"/>
    <w:rsid w:val="00F77AF3"/>
    <w:rsid w:val="00F802AF"/>
    <w:rsid w:val="00F83204"/>
    <w:rsid w:val="00F833C7"/>
    <w:rsid w:val="00F83755"/>
    <w:rsid w:val="00F8376B"/>
    <w:rsid w:val="00F8449C"/>
    <w:rsid w:val="00F8459F"/>
    <w:rsid w:val="00F84870"/>
    <w:rsid w:val="00F86524"/>
    <w:rsid w:val="00F87093"/>
    <w:rsid w:val="00F8712E"/>
    <w:rsid w:val="00F8714F"/>
    <w:rsid w:val="00F871C6"/>
    <w:rsid w:val="00F8752C"/>
    <w:rsid w:val="00F87541"/>
    <w:rsid w:val="00F87621"/>
    <w:rsid w:val="00F87CDB"/>
    <w:rsid w:val="00F90588"/>
    <w:rsid w:val="00F90ED6"/>
    <w:rsid w:val="00F9119D"/>
    <w:rsid w:val="00F91996"/>
    <w:rsid w:val="00F91B9C"/>
    <w:rsid w:val="00F928BC"/>
    <w:rsid w:val="00F93495"/>
    <w:rsid w:val="00F94FC1"/>
    <w:rsid w:val="00F968CA"/>
    <w:rsid w:val="00F96AE6"/>
    <w:rsid w:val="00F973D7"/>
    <w:rsid w:val="00F9775A"/>
    <w:rsid w:val="00F97B3C"/>
    <w:rsid w:val="00FA010F"/>
    <w:rsid w:val="00FA0531"/>
    <w:rsid w:val="00FA060A"/>
    <w:rsid w:val="00FA1A6E"/>
    <w:rsid w:val="00FA2F57"/>
    <w:rsid w:val="00FA34E6"/>
    <w:rsid w:val="00FA48B1"/>
    <w:rsid w:val="00FA5DA0"/>
    <w:rsid w:val="00FA609F"/>
    <w:rsid w:val="00FA659C"/>
    <w:rsid w:val="00FA6EC4"/>
    <w:rsid w:val="00FA7E13"/>
    <w:rsid w:val="00FB0CB7"/>
    <w:rsid w:val="00FB16F0"/>
    <w:rsid w:val="00FB1D28"/>
    <w:rsid w:val="00FB23DE"/>
    <w:rsid w:val="00FB243A"/>
    <w:rsid w:val="00FB25C1"/>
    <w:rsid w:val="00FB432D"/>
    <w:rsid w:val="00FB4C0E"/>
    <w:rsid w:val="00FB6B52"/>
    <w:rsid w:val="00FB6C38"/>
    <w:rsid w:val="00FB7E6A"/>
    <w:rsid w:val="00FC0097"/>
    <w:rsid w:val="00FC108C"/>
    <w:rsid w:val="00FC15F7"/>
    <w:rsid w:val="00FC15F8"/>
    <w:rsid w:val="00FC20B3"/>
    <w:rsid w:val="00FC2104"/>
    <w:rsid w:val="00FC2B0D"/>
    <w:rsid w:val="00FC3A87"/>
    <w:rsid w:val="00FC483A"/>
    <w:rsid w:val="00FC4E24"/>
    <w:rsid w:val="00FC5616"/>
    <w:rsid w:val="00FC5785"/>
    <w:rsid w:val="00FC5C06"/>
    <w:rsid w:val="00FC5D07"/>
    <w:rsid w:val="00FC753F"/>
    <w:rsid w:val="00FC7816"/>
    <w:rsid w:val="00FD0828"/>
    <w:rsid w:val="00FD2363"/>
    <w:rsid w:val="00FD24B3"/>
    <w:rsid w:val="00FD31F7"/>
    <w:rsid w:val="00FD39BE"/>
    <w:rsid w:val="00FD4E07"/>
    <w:rsid w:val="00FD505C"/>
    <w:rsid w:val="00FD5421"/>
    <w:rsid w:val="00FD6284"/>
    <w:rsid w:val="00FD729C"/>
    <w:rsid w:val="00FD77B0"/>
    <w:rsid w:val="00FD7938"/>
    <w:rsid w:val="00FD793E"/>
    <w:rsid w:val="00FD7C8E"/>
    <w:rsid w:val="00FE0635"/>
    <w:rsid w:val="00FE0698"/>
    <w:rsid w:val="00FE06B9"/>
    <w:rsid w:val="00FE1596"/>
    <w:rsid w:val="00FE21BB"/>
    <w:rsid w:val="00FE232A"/>
    <w:rsid w:val="00FE2B43"/>
    <w:rsid w:val="00FE3351"/>
    <w:rsid w:val="00FE37A4"/>
    <w:rsid w:val="00FE5801"/>
    <w:rsid w:val="00FE5D2A"/>
    <w:rsid w:val="00FE62B1"/>
    <w:rsid w:val="00FE646D"/>
    <w:rsid w:val="00FE65B3"/>
    <w:rsid w:val="00FE6829"/>
    <w:rsid w:val="00FE6BB7"/>
    <w:rsid w:val="00FE7E4D"/>
    <w:rsid w:val="00FE7E6F"/>
    <w:rsid w:val="00FF0F52"/>
    <w:rsid w:val="00FF1234"/>
    <w:rsid w:val="00FF1359"/>
    <w:rsid w:val="00FF1811"/>
    <w:rsid w:val="00FF1E8D"/>
    <w:rsid w:val="00FF25AF"/>
    <w:rsid w:val="00FF295B"/>
    <w:rsid w:val="00FF50FC"/>
    <w:rsid w:val="00FF51E1"/>
    <w:rsid w:val="00FF6855"/>
    <w:rsid w:val="00FF6C33"/>
    <w:rsid w:val="00FF6FCC"/>
    <w:rsid w:val="00FF72EB"/>
    <w:rsid w:val="0A33D66E"/>
    <w:rsid w:val="1B1CAB9A"/>
    <w:rsid w:val="243E5929"/>
    <w:rsid w:val="31133D9F"/>
    <w:rsid w:val="3606F605"/>
    <w:rsid w:val="399BF08C"/>
    <w:rsid w:val="3BFA7586"/>
    <w:rsid w:val="3FBCE1DA"/>
    <w:rsid w:val="46217930"/>
    <w:rsid w:val="4EC569B1"/>
    <w:rsid w:val="4F5EFA32"/>
    <w:rsid w:val="548F7483"/>
    <w:rsid w:val="5DF747FD"/>
    <w:rsid w:val="5F8600A9"/>
    <w:rsid w:val="61FE8BC3"/>
    <w:rsid w:val="635BC7D8"/>
    <w:rsid w:val="63ABB011"/>
    <w:rsid w:val="6CAADFDA"/>
    <w:rsid w:val="6D652D60"/>
    <w:rsid w:val="6DE544DF"/>
    <w:rsid w:val="732BF911"/>
    <w:rsid w:val="7A49EDBC"/>
    <w:rsid w:val="7D82303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0C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ind w:right="-313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qFormat="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5D"/>
    <w:rPr>
      <w:sz w:val="20"/>
      <w:lang w:val="en-US"/>
    </w:rPr>
  </w:style>
  <w:style w:type="paragraph" w:styleId="Heading1">
    <w:name w:val="heading 1"/>
    <w:basedOn w:val="Header-Sajt"/>
    <w:next w:val="Normal"/>
    <w:link w:val="Heading1Char"/>
    <w:uiPriority w:val="9"/>
    <w:qFormat/>
    <w:rsid w:val="00DE6786"/>
    <w:pPr>
      <w:numPr>
        <w:numId w:val="29"/>
      </w:numPr>
      <w:outlineLvl w:val="0"/>
    </w:pPr>
  </w:style>
  <w:style w:type="paragraph" w:styleId="Heading2">
    <w:name w:val="heading 2"/>
    <w:basedOn w:val="Heading1"/>
    <w:next w:val="Normal"/>
    <w:link w:val="Heading2Char"/>
    <w:uiPriority w:val="9"/>
    <w:qFormat/>
    <w:rsid w:val="00AC633D"/>
    <w:pPr>
      <w:numPr>
        <w:ilvl w:val="1"/>
      </w:numPr>
      <w:outlineLvl w:val="1"/>
    </w:pPr>
  </w:style>
  <w:style w:type="paragraph" w:styleId="Heading3">
    <w:name w:val="heading 3"/>
    <w:basedOn w:val="Normal"/>
    <w:next w:val="Normal"/>
    <w:link w:val="Heading3Char"/>
    <w:uiPriority w:val="9"/>
    <w:qFormat/>
    <w:rsid w:val="00BA2D8D"/>
    <w:pPr>
      <w:keepNext/>
      <w:keepLines/>
      <w:numPr>
        <w:ilvl w:val="2"/>
        <w:numId w:val="29"/>
      </w:numPr>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numPr>
        <w:ilvl w:val="3"/>
        <w:numId w:val="29"/>
      </w:numPr>
      <w:tabs>
        <w:tab w:val="left" w:pos="340"/>
      </w:tabs>
      <w:spacing w:after="0"/>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semiHidden/>
    <w:qFormat/>
    <w:rsid w:val="00AC633D"/>
    <w:pPr>
      <w:keepNext/>
      <w:keepLines/>
      <w:numPr>
        <w:ilvl w:val="4"/>
        <w:numId w:val="29"/>
      </w:numPr>
      <w:spacing w:before="40" w:after="0"/>
      <w:outlineLvl w:val="4"/>
    </w:pPr>
    <w:rPr>
      <w:rFonts w:asciiTheme="majorHAnsi" w:eastAsiaTheme="majorEastAsia" w:hAnsiTheme="majorHAnsi" w:cstheme="majorBidi"/>
      <w:color w:val="638C1B" w:themeColor="accent1" w:themeShade="BF"/>
    </w:rPr>
  </w:style>
  <w:style w:type="paragraph" w:styleId="Heading6">
    <w:name w:val="heading 6"/>
    <w:basedOn w:val="Normal"/>
    <w:next w:val="Normal"/>
    <w:link w:val="Heading6Char"/>
    <w:uiPriority w:val="9"/>
    <w:semiHidden/>
    <w:qFormat/>
    <w:rsid w:val="00AC633D"/>
    <w:pPr>
      <w:keepNext/>
      <w:keepLines/>
      <w:numPr>
        <w:ilvl w:val="5"/>
        <w:numId w:val="29"/>
      </w:numPr>
      <w:spacing w:before="40" w:after="0"/>
      <w:outlineLvl w:val="5"/>
    </w:pPr>
    <w:rPr>
      <w:rFonts w:asciiTheme="majorHAnsi" w:eastAsiaTheme="majorEastAsia" w:hAnsiTheme="majorHAnsi" w:cstheme="majorBidi"/>
      <w:color w:val="425D12" w:themeColor="accent1" w:themeShade="7F"/>
    </w:rPr>
  </w:style>
  <w:style w:type="paragraph" w:styleId="Heading7">
    <w:name w:val="heading 7"/>
    <w:basedOn w:val="Normal"/>
    <w:next w:val="Normal"/>
    <w:link w:val="Heading7Char"/>
    <w:uiPriority w:val="9"/>
    <w:semiHidden/>
    <w:qFormat/>
    <w:rsid w:val="00AC633D"/>
    <w:pPr>
      <w:keepNext/>
      <w:keepLines/>
      <w:numPr>
        <w:ilvl w:val="6"/>
        <w:numId w:val="29"/>
      </w:numPr>
      <w:spacing w:before="40" w:after="0"/>
      <w:outlineLvl w:val="6"/>
    </w:pPr>
    <w:rPr>
      <w:rFonts w:asciiTheme="majorHAnsi" w:eastAsiaTheme="majorEastAsia" w:hAnsiTheme="majorHAnsi" w:cstheme="majorBidi"/>
      <w:i/>
      <w:iCs/>
      <w:color w:val="425D12" w:themeColor="accent1" w:themeShade="7F"/>
    </w:rPr>
  </w:style>
  <w:style w:type="paragraph" w:styleId="Heading8">
    <w:name w:val="heading 8"/>
    <w:basedOn w:val="Normal"/>
    <w:next w:val="Normal"/>
    <w:link w:val="Heading8Char"/>
    <w:uiPriority w:val="9"/>
    <w:semiHidden/>
    <w:qFormat/>
    <w:rsid w:val="00AC633D"/>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AC633D"/>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786"/>
    <w:rPr>
      <w:rFonts w:eastAsia="Times New Roman" w:cstheme="minorHAnsi"/>
      <w:b/>
      <w:bCs/>
      <w:lang w:val="hu-HU"/>
    </w:rPr>
  </w:style>
  <w:style w:type="character" w:customStyle="1" w:styleId="Heading2Char">
    <w:name w:val="Heading 2 Char"/>
    <w:basedOn w:val="DefaultParagraphFont"/>
    <w:link w:val="Heading2"/>
    <w:uiPriority w:val="9"/>
    <w:rsid w:val="00AC633D"/>
    <w:rPr>
      <w:rFonts w:eastAsia="Times New Roman" w:cstheme="minorHAnsi"/>
      <w:b/>
      <w:bCs/>
      <w:lang w:val="hu-HU"/>
    </w:rPr>
  </w:style>
  <w:style w:type="table" w:styleId="TableGrid">
    <w:name w:val="Table Grid"/>
    <w:basedOn w:val="TableNormal"/>
    <w:uiPriority w:val="59"/>
    <w:rsid w:val="001E016B"/>
    <w:pPr>
      <w:spacing w:after="0"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BA2D8D"/>
    <w:pPr>
      <w:numPr>
        <w:numId w:val="1"/>
      </w:numPr>
      <w:tabs>
        <w:tab w:val="clear" w:pos="360"/>
      </w:tabs>
      <w:spacing w:after="0"/>
      <w:contextualSpacing/>
    </w:pPr>
    <w:rPr>
      <w:rFonts w:asciiTheme="majorHAnsi" w:hAnsiTheme="majorHAnsi"/>
    </w:rPr>
  </w:style>
  <w:style w:type="paragraph" w:styleId="ListBullet2">
    <w:name w:val="List Bullet 2"/>
    <w:basedOn w:val="Normal"/>
    <w:uiPriority w:val="99"/>
    <w:qFormat/>
    <w:rsid w:val="00BA2D8D"/>
    <w:pPr>
      <w:numPr>
        <w:numId w:val="2"/>
      </w:numPr>
      <w:contextualSpacing/>
    </w:pPr>
    <w:rPr>
      <w:rFonts w:asciiTheme="majorHAnsi" w:hAnsiTheme="majorHAnsi"/>
    </w:rPr>
  </w:style>
  <w:style w:type="paragraph" w:styleId="ListNumber">
    <w:name w:val="List Number"/>
    <w:basedOn w:val="Normal"/>
    <w:uiPriority w:val="99"/>
    <w:qFormat/>
    <w:rsid w:val="00BA2D8D"/>
    <w:pPr>
      <w:numPr>
        <w:numId w:val="3"/>
      </w:numPr>
      <w:tabs>
        <w:tab w:val="clear" w:pos="360"/>
      </w:tabs>
      <w:spacing w:after="0"/>
      <w:contextualSpacing/>
    </w:pPr>
    <w:rPr>
      <w:rFonts w:asciiTheme="majorHAnsi" w:hAnsiTheme="majorHAnsi"/>
    </w:rPr>
  </w:style>
  <w:style w:type="paragraph" w:styleId="ListNumber2">
    <w:name w:val="List Number 2"/>
    <w:basedOn w:val="Normal"/>
    <w:uiPriority w:val="99"/>
    <w:qFormat/>
    <w:rsid w:val="00BA2D8D"/>
    <w:pPr>
      <w:numPr>
        <w:numId w:val="4"/>
      </w:numPr>
      <w:contextualSpacing/>
    </w:pPr>
    <w:rPr>
      <w:rFonts w:asciiTheme="majorHAnsi" w:hAnsiTheme="majorHAnsi"/>
    </w:rPr>
  </w:style>
  <w:style w:type="character" w:customStyle="1" w:styleId="Heading3Char">
    <w:name w:val="Heading 3 Char"/>
    <w:basedOn w:val="DefaultParagraphFont"/>
    <w:link w:val="Heading3"/>
    <w:uiPriority w:val="9"/>
    <w:rsid w:val="00BA2D8D"/>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qFormat/>
    <w:rsid w:val="00F3081C"/>
    <w:pPr>
      <w:spacing w:after="0" w:line="240" w:lineRule="auto"/>
    </w:pPr>
    <w:rPr>
      <w:sz w:val="16"/>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C7670A"/>
    <w:pPr>
      <w:spacing w:after="0" w:line="44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qFormat/>
    <w:rsid w:val="00412EA0"/>
    <w:rPr>
      <w:vertAlign w:val="superscript"/>
    </w:rPr>
  </w:style>
  <w:style w:type="paragraph" w:customStyle="1" w:styleId="Sectionintro">
    <w:name w:val="Section intro"/>
    <w:basedOn w:val="Normal"/>
    <w:next w:val="Normal"/>
    <w:qFormat/>
    <w:rsid w:val="00BA2D8D"/>
    <w:pPr>
      <w:spacing w:line="360" w:lineRule="atLeast"/>
    </w:pPr>
    <w:rPr>
      <w:sz w:val="32"/>
    </w:rPr>
  </w:style>
  <w:style w:type="paragraph" w:customStyle="1" w:styleId="Documentdate">
    <w:name w:val="Document date"/>
    <w:qFormat/>
    <w:rsid w:val="00BA2D8D"/>
    <w:pPr>
      <w:spacing w:after="0" w:line="240" w:lineRule="atLeast"/>
    </w:pPr>
    <w:rPr>
      <w:sz w:val="32"/>
      <w:lang w:val="en-US"/>
    </w:rPr>
  </w:style>
  <w:style w:type="paragraph" w:customStyle="1" w:styleId="Sectiontitle">
    <w:name w:val="Section title"/>
    <w:basedOn w:val="Normal"/>
    <w:next w:val="Normal"/>
    <w:qFormat/>
    <w:rsid w:val="00BA2D8D"/>
    <w:pPr>
      <w:spacing w:after="480" w:line="720" w:lineRule="atLeast"/>
    </w:pPr>
    <w:rPr>
      <w:sz w:val="72"/>
    </w:rPr>
  </w:style>
  <w:style w:type="paragraph" w:customStyle="1" w:styleId="PulloutBlue">
    <w:name w:val="Pullout Blue"/>
    <w:basedOn w:val="Normal"/>
    <w:next w:val="Normal"/>
    <w:qFormat/>
    <w:rsid w:val="00BA2D8D"/>
    <w:pPr>
      <w:spacing w:line="360" w:lineRule="atLeast"/>
    </w:pPr>
    <w:rPr>
      <w:color w:val="00A3E0"/>
      <w:sz w:val="32"/>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BA2D8D"/>
    <w:pPr>
      <w:keepNext/>
      <w:spacing w:line="240" w:lineRule="auto"/>
    </w:pPr>
    <w:rPr>
      <w:iCs/>
      <w:color w:val="53565A" w:themeColor="background2"/>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BA2D8D"/>
    <w:rPr>
      <w:color w:val="86BC25" w:themeColor="accent1"/>
    </w:rPr>
  </w:style>
  <w:style w:type="paragraph" w:customStyle="1" w:styleId="QuotesourceBlue">
    <w:name w:val="Quote source Blue"/>
    <w:basedOn w:val="Normal"/>
    <w:next w:val="Normal"/>
    <w:qFormat/>
    <w:rsid w:val="00BA2D8D"/>
    <w:pPr>
      <w:spacing w:line="200" w:lineRule="atLeast"/>
      <w:contextualSpacing/>
    </w:pPr>
    <w:rPr>
      <w:b/>
      <w:color w:val="00A3E0"/>
      <w:sz w:val="17"/>
    </w:rPr>
  </w:style>
  <w:style w:type="paragraph" w:customStyle="1" w:styleId="QuotesourceGreen">
    <w:name w:val="Quote source Green"/>
    <w:basedOn w:val="QuotesourceBlue"/>
    <w:next w:val="Normal"/>
    <w:qFormat/>
    <w:rsid w:val="00BA2D8D"/>
    <w:rPr>
      <w:color w:val="86BC25" w:themeColor="accent1"/>
      <w:sz w:val="18"/>
    </w:rPr>
  </w:style>
  <w:style w:type="paragraph" w:customStyle="1" w:styleId="Paneltext">
    <w:name w:val="Panel text"/>
    <w:basedOn w:val="Normal"/>
    <w:qFormat/>
    <w:rsid w:val="00BA2D8D"/>
    <w:rPr>
      <w:color w:val="FFFFFF" w:themeColor="background1"/>
    </w:rPr>
  </w:style>
  <w:style w:type="paragraph" w:customStyle="1" w:styleId="Paneltitle">
    <w:name w:val="Panel title"/>
    <w:basedOn w:val="Paneltext"/>
    <w:next w:val="Paneltext"/>
    <w:qFormat/>
    <w:rsid w:val="00BA2D8D"/>
    <w:pPr>
      <w:spacing w:line="360" w:lineRule="atLeast"/>
    </w:pPr>
    <w:rPr>
      <w:rFonts w:asciiTheme="majorHAnsi" w:hAnsiTheme="majorHAnsi"/>
      <w:b/>
      <w:sz w:val="42"/>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BA2D8D"/>
    <w:pPr>
      <w:spacing w:line="440" w:lineRule="atLeast"/>
    </w:pPr>
    <w:rPr>
      <w:sz w:val="42"/>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2F72AF"/>
    <w:pPr>
      <w:tabs>
        <w:tab w:val="left" w:pos="440"/>
      </w:tabs>
      <w:spacing w:line="360" w:lineRule="atLeast"/>
      <w:ind w:right="-3290"/>
    </w:pPr>
    <w:rPr>
      <w:b/>
      <w:bCs/>
      <w:noProof/>
      <w:sz w:val="22"/>
    </w:rPr>
  </w:style>
  <w:style w:type="paragraph" w:customStyle="1" w:styleId="Quotetext">
    <w:name w:val="Quote text"/>
    <w:basedOn w:val="PulloutBlue"/>
    <w:qFormat/>
    <w:rsid w:val="00BA2D8D"/>
    <w:pPr>
      <w:spacing w:after="0" w:line="720" w:lineRule="atLeast"/>
    </w:pPr>
    <w:rPr>
      <w:color w:val="FFFFFF" w:themeColor="background1"/>
      <w:sz w:val="72"/>
    </w:rPr>
  </w:style>
  <w:style w:type="paragraph" w:customStyle="1" w:styleId="Legaltext">
    <w:name w:val="Legal text"/>
    <w:basedOn w:val="Normal"/>
    <w:qFormat/>
    <w:rsid w:val="00BF6F8B"/>
    <w:pPr>
      <w:spacing w:after="0" w:line="180" w:lineRule="atLeast"/>
      <w:ind w:right="5387"/>
    </w:pPr>
    <w:rPr>
      <w:sz w:val="14"/>
    </w:rPr>
  </w:style>
  <w:style w:type="table" w:customStyle="1" w:styleId="Deloittetable">
    <w:name w:val="Deloitte table"/>
    <w:basedOn w:val="TableNormal"/>
    <w:uiPriority w:val="99"/>
    <w:rsid w:val="003B3379"/>
    <w:pPr>
      <w:spacing w:after="0" w:line="240" w:lineRule="auto"/>
    </w:pPr>
    <w:rPr>
      <w:sz w:val="17"/>
    </w:rPr>
    <w:tblPr>
      <w:tblBorders>
        <w:top w:val="single" w:sz="4" w:space="0" w:color="26890D"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26890D" w:themeColor="accent3"/>
        </w:tcBorders>
      </w:tcPr>
    </w:tblStylePr>
  </w:style>
  <w:style w:type="paragraph" w:customStyle="1" w:styleId="Tabletext">
    <w:name w:val="Table text"/>
    <w:basedOn w:val="Normal"/>
    <w:qFormat/>
    <w:rsid w:val="004D1F57"/>
    <w:pPr>
      <w:spacing w:after="0" w:line="200" w:lineRule="atLeast"/>
    </w:pPr>
    <w:rPr>
      <w:sz w:val="17"/>
    </w:rPr>
  </w:style>
  <w:style w:type="paragraph" w:customStyle="1" w:styleId="Tabletitle">
    <w:name w:val="Table title"/>
    <w:basedOn w:val="Tabletext"/>
    <w:qFormat/>
    <w:rsid w:val="004D1F57"/>
    <w:rPr>
      <w:b/>
      <w:color w:val="26890D" w:themeColor="accent3"/>
    </w:rPr>
  </w:style>
  <w:style w:type="paragraph" w:customStyle="1" w:styleId="SourcetextTableorChart">
    <w:name w:val="Source text Table or Chart"/>
    <w:basedOn w:val="Caption"/>
    <w:next w:val="Normal"/>
    <w:qFormat/>
    <w:rsid w:val="003B3379"/>
    <w:pPr>
      <w:spacing w:before="120"/>
    </w:pPr>
    <w:rPr>
      <w:sz w:val="14"/>
    </w:rPr>
  </w:style>
  <w:style w:type="paragraph" w:customStyle="1" w:styleId="Tablebullets">
    <w:name w:val="Table bullets"/>
    <w:basedOn w:val="Tabletext"/>
    <w:qFormat/>
    <w:rsid w:val="00AD6475"/>
    <w:pPr>
      <w:numPr>
        <w:numId w:val="5"/>
      </w:numPr>
    </w:pPr>
  </w:style>
  <w:style w:type="paragraph" w:customStyle="1" w:styleId="Tablenumbered">
    <w:name w:val="Table numbered"/>
    <w:basedOn w:val="Tablebullets"/>
    <w:qFormat/>
    <w:rsid w:val="00AD6475"/>
    <w:pPr>
      <w:numPr>
        <w:numId w:val="6"/>
      </w:numPr>
    </w:pPr>
  </w:style>
  <w:style w:type="paragraph" w:customStyle="1" w:styleId="Charttitle">
    <w:name w:val="Chart title"/>
    <w:basedOn w:val="Heading2"/>
    <w:qFormat/>
    <w:rsid w:val="00B66FC9"/>
  </w:style>
  <w:style w:type="paragraph" w:styleId="NormalWeb">
    <w:name w:val="Normal (Web)"/>
    <w:basedOn w:val="Normal"/>
    <w:uiPriority w:val="99"/>
    <w:semiHidden/>
    <w:unhideWhenUsed/>
    <w:rsid w:val="00BE7F7C"/>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Revision">
    <w:name w:val="Revision"/>
    <w:hidden/>
    <w:uiPriority w:val="99"/>
    <w:semiHidden/>
    <w:rsid w:val="00451C77"/>
    <w:pPr>
      <w:spacing w:after="0" w:line="240" w:lineRule="auto"/>
    </w:pPr>
    <w:rPr>
      <w:sz w:val="20"/>
      <w:lang w:val="en-US"/>
    </w:rPr>
  </w:style>
  <w:style w:type="paragraph" w:styleId="ListParagraph">
    <w:name w:val="List Paragraph"/>
    <w:basedOn w:val="Normal"/>
    <w:uiPriority w:val="34"/>
    <w:qFormat/>
    <w:rsid w:val="00D74025"/>
    <w:pPr>
      <w:ind w:left="720"/>
      <w:contextualSpacing/>
    </w:pPr>
  </w:style>
  <w:style w:type="character" w:styleId="CommentReference">
    <w:name w:val="annotation reference"/>
    <w:basedOn w:val="DefaultParagraphFont"/>
    <w:uiPriority w:val="99"/>
    <w:rsid w:val="00B7138A"/>
    <w:rPr>
      <w:sz w:val="16"/>
      <w:szCs w:val="16"/>
    </w:rPr>
  </w:style>
  <w:style w:type="paragraph" w:styleId="CommentText">
    <w:name w:val="annotation text"/>
    <w:basedOn w:val="Normal"/>
    <w:link w:val="CommentTextChar"/>
    <w:uiPriority w:val="99"/>
    <w:semiHidden/>
    <w:rsid w:val="00B7138A"/>
    <w:pPr>
      <w:spacing w:line="240" w:lineRule="auto"/>
    </w:pPr>
    <w:rPr>
      <w:szCs w:val="20"/>
    </w:rPr>
  </w:style>
  <w:style w:type="character" w:customStyle="1" w:styleId="CommentTextChar">
    <w:name w:val="Comment Text Char"/>
    <w:basedOn w:val="DefaultParagraphFont"/>
    <w:link w:val="CommentText"/>
    <w:uiPriority w:val="99"/>
    <w:semiHidden/>
    <w:rsid w:val="00B7138A"/>
    <w:rPr>
      <w:sz w:val="20"/>
      <w:szCs w:val="20"/>
      <w:lang w:val="en-US"/>
    </w:rPr>
  </w:style>
  <w:style w:type="paragraph" w:styleId="CommentSubject">
    <w:name w:val="annotation subject"/>
    <w:basedOn w:val="CommentText"/>
    <w:next w:val="CommentText"/>
    <w:link w:val="CommentSubjectChar"/>
    <w:uiPriority w:val="99"/>
    <w:semiHidden/>
    <w:unhideWhenUsed/>
    <w:rsid w:val="00B7138A"/>
    <w:rPr>
      <w:b/>
      <w:bCs/>
    </w:rPr>
  </w:style>
  <w:style w:type="character" w:customStyle="1" w:styleId="CommentSubjectChar">
    <w:name w:val="Comment Subject Char"/>
    <w:basedOn w:val="CommentTextChar"/>
    <w:link w:val="CommentSubject"/>
    <w:uiPriority w:val="99"/>
    <w:semiHidden/>
    <w:rsid w:val="00B7138A"/>
    <w:rPr>
      <w:b/>
      <w:bCs/>
      <w:sz w:val="20"/>
      <w:szCs w:val="20"/>
      <w:lang w:val="en-US"/>
    </w:rPr>
  </w:style>
  <w:style w:type="paragraph" w:customStyle="1" w:styleId="Header-Sajt">
    <w:name w:val="Header - Saját"/>
    <w:basedOn w:val="Normal"/>
    <w:link w:val="Header-SajtChar"/>
    <w:qFormat/>
    <w:rsid w:val="00DE6786"/>
    <w:pPr>
      <w:numPr>
        <w:numId w:val="8"/>
      </w:numPr>
      <w:spacing w:before="240"/>
      <w:ind w:right="-3139"/>
      <w:textAlignment w:val="center"/>
    </w:pPr>
    <w:rPr>
      <w:rFonts w:eastAsia="Times New Roman" w:cstheme="minorHAnsi"/>
      <w:b/>
      <w:bCs/>
      <w:sz w:val="22"/>
      <w:lang w:val="hu-HU"/>
    </w:rPr>
  </w:style>
  <w:style w:type="character" w:customStyle="1" w:styleId="Heading5Char">
    <w:name w:val="Heading 5 Char"/>
    <w:basedOn w:val="DefaultParagraphFont"/>
    <w:link w:val="Heading5"/>
    <w:uiPriority w:val="9"/>
    <w:semiHidden/>
    <w:rsid w:val="00AC633D"/>
    <w:rPr>
      <w:rFonts w:asciiTheme="majorHAnsi" w:eastAsiaTheme="majorEastAsia" w:hAnsiTheme="majorHAnsi" w:cstheme="majorBidi"/>
      <w:color w:val="638C1B" w:themeColor="accent1" w:themeShade="BF"/>
      <w:sz w:val="20"/>
      <w:lang w:val="en-US"/>
    </w:rPr>
  </w:style>
  <w:style w:type="character" w:customStyle="1" w:styleId="Header-SajtChar">
    <w:name w:val="Header - Saját Char"/>
    <w:basedOn w:val="DefaultParagraphFont"/>
    <w:link w:val="Header-Sajt"/>
    <w:rsid w:val="00DE6786"/>
    <w:rPr>
      <w:rFonts w:eastAsia="Times New Roman" w:cstheme="minorHAnsi"/>
      <w:b/>
      <w:bCs/>
      <w:lang w:val="hu-HU"/>
    </w:rPr>
  </w:style>
  <w:style w:type="character" w:customStyle="1" w:styleId="Heading6Char">
    <w:name w:val="Heading 6 Char"/>
    <w:basedOn w:val="DefaultParagraphFont"/>
    <w:link w:val="Heading6"/>
    <w:uiPriority w:val="9"/>
    <w:semiHidden/>
    <w:rsid w:val="00AC633D"/>
    <w:rPr>
      <w:rFonts w:asciiTheme="majorHAnsi" w:eastAsiaTheme="majorEastAsia" w:hAnsiTheme="majorHAnsi" w:cstheme="majorBidi"/>
      <w:color w:val="425D12" w:themeColor="accent1" w:themeShade="7F"/>
      <w:sz w:val="20"/>
      <w:lang w:val="en-US"/>
    </w:rPr>
  </w:style>
  <w:style w:type="character" w:customStyle="1" w:styleId="Heading7Char">
    <w:name w:val="Heading 7 Char"/>
    <w:basedOn w:val="DefaultParagraphFont"/>
    <w:link w:val="Heading7"/>
    <w:uiPriority w:val="9"/>
    <w:semiHidden/>
    <w:rsid w:val="00AC633D"/>
    <w:rPr>
      <w:rFonts w:asciiTheme="majorHAnsi" w:eastAsiaTheme="majorEastAsia" w:hAnsiTheme="majorHAnsi" w:cstheme="majorBidi"/>
      <w:i/>
      <w:iCs/>
      <w:color w:val="425D12" w:themeColor="accent1" w:themeShade="7F"/>
      <w:sz w:val="20"/>
      <w:lang w:val="en-US"/>
    </w:rPr>
  </w:style>
  <w:style w:type="character" w:customStyle="1" w:styleId="Heading8Char">
    <w:name w:val="Heading 8 Char"/>
    <w:basedOn w:val="DefaultParagraphFont"/>
    <w:link w:val="Heading8"/>
    <w:uiPriority w:val="9"/>
    <w:semiHidden/>
    <w:rsid w:val="00AC633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C633D"/>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CF45E9"/>
    <w:pPr>
      <w:keepNext/>
      <w:keepLines/>
      <w:numPr>
        <w:numId w:val="0"/>
      </w:numPr>
      <w:spacing w:after="0" w:line="259" w:lineRule="auto"/>
      <w:ind w:right="0"/>
      <w:jc w:val="left"/>
      <w:textAlignment w:val="auto"/>
      <w:outlineLvl w:val="9"/>
    </w:pPr>
    <w:rPr>
      <w:rFonts w:asciiTheme="majorHAnsi" w:eastAsiaTheme="majorEastAsia" w:hAnsiTheme="majorHAnsi" w:cstheme="majorBidi"/>
      <w:b w:val="0"/>
      <w:bCs w:val="0"/>
      <w:color w:val="638C1B" w:themeColor="accent1" w:themeShade="BF"/>
      <w:sz w:val="32"/>
      <w:szCs w:val="32"/>
      <w:lang w:val="en-US"/>
    </w:rPr>
  </w:style>
  <w:style w:type="paragraph" w:styleId="TOC2">
    <w:name w:val="toc 2"/>
    <w:basedOn w:val="Normal"/>
    <w:next w:val="Normal"/>
    <w:autoRedefine/>
    <w:uiPriority w:val="39"/>
    <w:rsid w:val="00BA32D6"/>
    <w:pPr>
      <w:tabs>
        <w:tab w:val="left" w:pos="880"/>
      </w:tabs>
      <w:spacing w:after="100"/>
      <w:ind w:left="200" w:right="-3290"/>
    </w:pPr>
    <w:rPr>
      <w:sz w:val="22"/>
    </w:rPr>
  </w:style>
  <w:style w:type="character" w:styleId="UnresolvedMention">
    <w:name w:val="Unresolved Mention"/>
    <w:basedOn w:val="DefaultParagraphFont"/>
    <w:uiPriority w:val="99"/>
    <w:semiHidden/>
    <w:unhideWhenUsed/>
    <w:rsid w:val="004A7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18251907">
      <w:bodyDiv w:val="1"/>
      <w:marLeft w:val="0"/>
      <w:marRight w:val="0"/>
      <w:marTop w:val="0"/>
      <w:marBottom w:val="0"/>
      <w:divBdr>
        <w:top w:val="none" w:sz="0" w:space="0" w:color="auto"/>
        <w:left w:val="none" w:sz="0" w:space="0" w:color="auto"/>
        <w:bottom w:val="none" w:sz="0" w:space="0" w:color="auto"/>
        <w:right w:val="none" w:sz="0" w:space="0" w:color="auto"/>
      </w:divBdr>
    </w:div>
    <w:div w:id="225190693">
      <w:bodyDiv w:val="1"/>
      <w:marLeft w:val="0"/>
      <w:marRight w:val="0"/>
      <w:marTop w:val="0"/>
      <w:marBottom w:val="0"/>
      <w:divBdr>
        <w:top w:val="none" w:sz="0" w:space="0" w:color="auto"/>
        <w:left w:val="none" w:sz="0" w:space="0" w:color="auto"/>
        <w:bottom w:val="none" w:sz="0" w:space="0" w:color="auto"/>
        <w:right w:val="none" w:sz="0" w:space="0" w:color="auto"/>
      </w:divBdr>
    </w:div>
    <w:div w:id="634142713">
      <w:bodyDiv w:val="1"/>
      <w:marLeft w:val="0"/>
      <w:marRight w:val="0"/>
      <w:marTop w:val="0"/>
      <w:marBottom w:val="0"/>
      <w:divBdr>
        <w:top w:val="none" w:sz="0" w:space="0" w:color="auto"/>
        <w:left w:val="none" w:sz="0" w:space="0" w:color="auto"/>
        <w:bottom w:val="none" w:sz="0" w:space="0" w:color="auto"/>
        <w:right w:val="none" w:sz="0" w:space="0" w:color="auto"/>
      </w:divBdr>
    </w:div>
    <w:div w:id="1160579778">
      <w:bodyDiv w:val="1"/>
      <w:marLeft w:val="0"/>
      <w:marRight w:val="0"/>
      <w:marTop w:val="0"/>
      <w:marBottom w:val="0"/>
      <w:divBdr>
        <w:top w:val="none" w:sz="0" w:space="0" w:color="auto"/>
        <w:left w:val="none" w:sz="0" w:space="0" w:color="auto"/>
        <w:bottom w:val="none" w:sz="0" w:space="0" w:color="auto"/>
        <w:right w:val="none" w:sz="0" w:space="0" w:color="auto"/>
      </w:divBdr>
    </w:div>
    <w:div w:id="1272782658">
      <w:bodyDiv w:val="1"/>
      <w:marLeft w:val="0"/>
      <w:marRight w:val="0"/>
      <w:marTop w:val="0"/>
      <w:marBottom w:val="0"/>
      <w:divBdr>
        <w:top w:val="none" w:sz="0" w:space="0" w:color="auto"/>
        <w:left w:val="none" w:sz="0" w:space="0" w:color="auto"/>
        <w:bottom w:val="none" w:sz="0" w:space="0" w:color="auto"/>
        <w:right w:val="none" w:sz="0" w:space="0" w:color="auto"/>
      </w:divBdr>
    </w:div>
    <w:div w:id="1594120911">
      <w:bodyDiv w:val="1"/>
      <w:marLeft w:val="0"/>
      <w:marRight w:val="0"/>
      <w:marTop w:val="0"/>
      <w:marBottom w:val="0"/>
      <w:divBdr>
        <w:top w:val="none" w:sz="0" w:space="0" w:color="auto"/>
        <w:left w:val="none" w:sz="0" w:space="0" w:color="auto"/>
        <w:bottom w:val="none" w:sz="0" w:space="0" w:color="auto"/>
        <w:right w:val="none" w:sz="0" w:space="0" w:color="auto"/>
      </w:divBdr>
    </w:div>
    <w:div w:id="1776364504">
      <w:bodyDiv w:val="1"/>
      <w:marLeft w:val="0"/>
      <w:marRight w:val="0"/>
      <w:marTop w:val="0"/>
      <w:marBottom w:val="0"/>
      <w:divBdr>
        <w:top w:val="none" w:sz="0" w:space="0" w:color="auto"/>
        <w:left w:val="none" w:sz="0" w:space="0" w:color="auto"/>
        <w:bottom w:val="none" w:sz="0" w:space="0" w:color="auto"/>
        <w:right w:val="none" w:sz="0" w:space="0" w:color="auto"/>
      </w:divBdr>
    </w:div>
    <w:div w:id="18027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svg"/><Relationship Id="rId18" Type="http://schemas.openxmlformats.org/officeDocument/2006/relationships/image" Target="media/image5.sv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ba.europa.eu/sites/default/documents/files/document_library/Publications/Guidelines/2023/1056369/Guidelines%20amending%20Guidelines%20on%20improving%20resolvability%20for%20institutions%20and%20resolution%20authorities.pdf" TargetMode="External"/><Relationship Id="rId1" Type="http://schemas.openxmlformats.org/officeDocument/2006/relationships/hyperlink" Target="https://www.eba.europa.eu/sites/default/documents/files/document_library/Publications/Guidelines/2022/EBA-GL-2022-01%20Guidelines%20on%20resolvability/Translations/1030034/GL%20on%20improving%20resolvability%20for%20institutions%20and%20resolution%20authorities_HU_COR.pdf"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4B79-B077-405B-AB9C-34FBF5BC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8940</Words>
  <Characters>50964</Characters>
  <Application>Microsoft Office Word</Application>
  <DocSecurity>4</DocSecurity>
  <Lines>424</Lines>
  <Paragraphs>119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2024-01-17T09:09:00Z</dcterms:created>
  <dcterms:modified xsi:type="dcterms:W3CDTF">2024-01-17T09:09:00Z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2028-03-13T12:32:41Z</vt:filetime>
  </property>
  <property fmtid="{D5CDD505-2E9C-101B-9397-08002B2CF9AE}" pid="3" name="Érvényességet beállító">
    <vt:lpwstr>pinterk</vt:lpwstr>
  </property>
  <property fmtid="{D5CDD505-2E9C-101B-9397-08002B2CF9AE}" pid="4" name="Érvényességi idő első beállítása">
    <vt:filetime>2023-03-13T12:32:41Z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pinterk@mnb.hu</vt:lpwstr>
  </property>
  <property fmtid="{D5CDD505-2E9C-101B-9397-08002B2CF9AE}" pid="8" name="MSIP_Label_b0d11092-50c9-4e74-84b5-b1af078dc3d0_SetDate">
    <vt:lpwstr>2023-03-13T12:32:55.4778275Z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c2ccd57c-fe69-4fa8-80ce-44e3eb1bece9</vt:lpwstr>
  </property>
  <property fmtid="{D5CDD505-2E9C-101B-9397-08002B2CF9AE}" pid="12" name="MSIP_Label_b0d11092-50c9-4e74-84b5-b1af078dc3d0_Extended_MSFT_Method">
    <vt:lpwstr>Automatic</vt:lpwstr>
  </property>
  <property fmtid="{D5CDD505-2E9C-101B-9397-08002B2CF9AE}" pid="13" name="MSIP_Label_ea60d57e-af5b-4752-ac57-3e4f28ca11dc_Enabled">
    <vt:lpwstr>True</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SetDate">
    <vt:lpwstr>2023-02-03T17:30:30Z</vt:lpwstr>
  </property>
  <property fmtid="{D5CDD505-2E9C-101B-9397-08002B2CF9AE}" pid="16" name="MSIP_Label_ea60d57e-af5b-4752-ac57-3e4f28ca11dc_Name">
    <vt:lpwstr>ea60d57e-af5b-4752-ac57-3e4f28ca11dc</vt:lpwstr>
  </property>
  <property fmtid="{D5CDD505-2E9C-101B-9397-08002B2CF9AE}" pid="17" name="MSIP_Label_ea60d57e-af5b-4752-ac57-3e4f28ca11dc_ActionId">
    <vt:lpwstr>11638cfa-f643-4b17-9a04-28d875776f14</vt:lpwstr>
  </property>
  <property fmtid="{D5CDD505-2E9C-101B-9397-08002B2CF9AE}" pid="18" name="MSIP_Label_ea60d57e-af5b-4752-ac57-3e4f28ca11dc_Extended_MSFT_Method">
    <vt:lpwstr>Automatic</vt:lpwstr>
  </property>
  <property fmtid="{D5CDD505-2E9C-101B-9397-08002B2CF9AE}" pid="19" name="Sensitivity">
    <vt:lpwstr>Protected ea60d57e-af5b-4752-ac57-3e4f28ca11dc</vt:lpwstr>
  </property>
</Properties>
</file>