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4F9" w:rsidRPr="00F874F9" w:rsidRDefault="00F874F9" w:rsidP="00A15D28">
      <w:pPr>
        <w:jc w:val="center"/>
        <w:rPr>
          <w:rFonts w:ascii="Times New Roman" w:hAnsi="Times New Roman"/>
          <w:b/>
          <w:color w:val="auto"/>
          <w:sz w:val="28"/>
          <w:szCs w:val="28"/>
        </w:rPr>
      </w:pPr>
      <w:bookmarkStart w:id="0" w:name="_GoBack"/>
      <w:bookmarkEnd w:id="0"/>
      <w:r>
        <w:rPr>
          <w:rFonts w:ascii="Times New Roman" w:hAnsi="Times New Roman"/>
          <w:b/>
          <w:color w:val="auto"/>
          <w:sz w:val="28"/>
        </w:rPr>
        <w:t>HU</w:t>
      </w:r>
    </w:p>
    <w:p w:rsidR="00F874F9" w:rsidRPr="00F874F9" w:rsidRDefault="00F874F9" w:rsidP="00A15D28">
      <w:pPr>
        <w:jc w:val="center"/>
        <w:rPr>
          <w:rFonts w:ascii="Times New Roman" w:hAnsi="Times New Roman"/>
          <w:b/>
          <w:color w:val="auto"/>
          <w:sz w:val="28"/>
          <w:szCs w:val="28"/>
        </w:rPr>
      </w:pPr>
      <w:r>
        <w:rPr>
          <w:rFonts w:ascii="Times New Roman" w:hAnsi="Times New Roman"/>
          <w:b/>
          <w:color w:val="auto"/>
          <w:sz w:val="28"/>
        </w:rPr>
        <w:t>XII. MELLÉKLET</w:t>
      </w:r>
    </w:p>
    <w:p w:rsidR="00F874F9" w:rsidRDefault="00F874F9" w:rsidP="00A15D28">
      <w:pPr>
        <w:jc w:val="center"/>
        <w:rPr>
          <w:rFonts w:ascii="Times New Roman" w:hAnsi="Times New Roman"/>
          <w:color w:val="00AEEF" w:themeColor="background2"/>
          <w:sz w:val="28"/>
          <w:szCs w:val="28"/>
        </w:rPr>
      </w:pPr>
    </w:p>
    <w:p w:rsidR="00A15D28" w:rsidRPr="00617F95" w:rsidRDefault="00A15D28" w:rsidP="00A15D28">
      <w:pPr>
        <w:jc w:val="center"/>
        <w:rPr>
          <w:rFonts w:ascii="Times New Roman" w:hAnsi="Times New Roman"/>
          <w:color w:val="00AEEF" w:themeColor="background2"/>
          <w:sz w:val="28"/>
          <w:szCs w:val="28"/>
        </w:rPr>
      </w:pPr>
      <w:r>
        <w:rPr>
          <w:rFonts w:ascii="Times New Roman" w:hAnsi="Times New Roman"/>
          <w:color w:val="00AEEF" w:themeColor="background2"/>
          <w:sz w:val="28"/>
        </w:rPr>
        <w:t>XXIII. MELLÉKLET</w:t>
      </w:r>
    </w:p>
    <w:p w:rsidR="00A15D28" w:rsidRPr="00FE002E" w:rsidRDefault="003A5275" w:rsidP="00A15D28">
      <w:pPr>
        <w:jc w:val="center"/>
        <w:rPr>
          <w:rFonts w:ascii="Times New Roman" w:hAnsi="Times New Roman"/>
        </w:rPr>
      </w:pPr>
      <w:r>
        <w:rPr>
          <w:rFonts w:ascii="Times New Roman" w:hAnsi="Times New Roman"/>
          <w:b/>
          <w:sz w:val="24"/>
        </w:rPr>
        <w:t>ÚTMUTATÓ A XXII. MELLÉKLET LEJÁRATI ÖSSZHANG TÁBLÁRA VONATKOZÓ TÁBLÁJÁNAK KITÖLTÉSÉHEZ</w:t>
      </w:r>
    </w:p>
    <w:p w:rsidR="00F4754B" w:rsidRPr="00FE002E" w:rsidRDefault="00F4754B" w:rsidP="00F4754B">
      <w:pPr>
        <w:pStyle w:val="BodyText1"/>
        <w:rPr>
          <w:rFonts w:ascii="Times New Roman" w:hAnsi="Times New Roman"/>
        </w:rPr>
      </w:pPr>
    </w:p>
    <w:p w:rsidR="00A15D28" w:rsidRPr="00FE002E" w:rsidRDefault="00A15D28" w:rsidP="00F4754B">
      <w:pPr>
        <w:pStyle w:val="BodyText1"/>
        <w:rPr>
          <w:rFonts w:ascii="Times New Roman" w:hAnsi="Times New Roman"/>
        </w:rPr>
      </w:pPr>
    </w:p>
    <w:p w:rsidR="00F4754B" w:rsidRPr="00FE002E" w:rsidRDefault="00F4754B" w:rsidP="00F4754B">
      <w:pPr>
        <w:pStyle w:val="BodyText1"/>
        <w:rPr>
          <w:rFonts w:ascii="Times New Roman" w:hAnsi="Times New Roman"/>
        </w:rPr>
      </w:pPr>
    </w:p>
    <w:p w:rsidR="009112BB" w:rsidRPr="00FE002E" w:rsidRDefault="009112BB" w:rsidP="009112BB">
      <w:pPr>
        <w:pStyle w:val="BodyText1"/>
        <w:ind w:left="720"/>
        <w:rPr>
          <w:rFonts w:ascii="Times New Roman" w:hAnsi="Times New Roman"/>
        </w:rPr>
      </w:pPr>
    </w:p>
    <w:p w:rsidR="0011472E" w:rsidRDefault="00391EF9">
      <w:pPr>
        <w:pStyle w:val="TJ1"/>
        <w:rPr>
          <w:rFonts w:asciiTheme="minorHAnsi" w:eastAsiaTheme="minorEastAsia" w:hAnsiTheme="minorHAnsi" w:cstheme="minorBidi"/>
          <w:color w:val="auto"/>
          <w:sz w:val="22"/>
          <w:szCs w:val="22"/>
          <w:lang w:bidi="ar-SA"/>
        </w:rPr>
      </w:pPr>
      <w:r>
        <w:rPr>
          <w:rFonts w:ascii="Times New Roman" w:hAnsi="Times New Roman"/>
          <w:b/>
        </w:rPr>
        <w:fldChar w:fldCharType="begin"/>
      </w:r>
      <w:r>
        <w:rPr>
          <w:rFonts w:ascii="Times New Roman" w:hAnsi="Times New Roman"/>
          <w:b/>
        </w:rPr>
        <w:instrText xml:space="preserve"> TOC \o "1-3" \h \z \u </w:instrText>
      </w:r>
      <w:r>
        <w:rPr>
          <w:rFonts w:ascii="Times New Roman" w:hAnsi="Times New Roman"/>
          <w:b/>
        </w:rPr>
        <w:fldChar w:fldCharType="separate"/>
      </w:r>
      <w:hyperlink w:anchor="_Toc495651719" w:history="1">
        <w:r w:rsidR="0011472E" w:rsidRPr="00F743E8">
          <w:rPr>
            <w:rStyle w:val="Hiperhivatkozs"/>
            <w:rFonts w:ascii="Times New Roman" w:hAnsi="Times New Roman"/>
            <w:b/>
          </w:rPr>
          <w:t>I. RÉSZ: ÁLTALÁNOS ÚTMUTATÓ</w:t>
        </w:r>
        <w:r w:rsidR="0011472E">
          <w:rPr>
            <w:webHidden/>
          </w:rPr>
          <w:tab/>
        </w:r>
        <w:r w:rsidR="0011472E">
          <w:rPr>
            <w:webHidden/>
          </w:rPr>
          <w:fldChar w:fldCharType="begin"/>
        </w:r>
        <w:r w:rsidR="0011472E">
          <w:rPr>
            <w:webHidden/>
          </w:rPr>
          <w:instrText xml:space="preserve"> PAGEREF _Toc495651719 \h </w:instrText>
        </w:r>
        <w:r w:rsidR="0011472E">
          <w:rPr>
            <w:webHidden/>
          </w:rPr>
        </w:r>
        <w:r w:rsidR="0011472E">
          <w:rPr>
            <w:webHidden/>
          </w:rPr>
          <w:fldChar w:fldCharType="separate"/>
        </w:r>
        <w:r w:rsidR="0011472E">
          <w:rPr>
            <w:webHidden/>
          </w:rPr>
          <w:t>2</w:t>
        </w:r>
        <w:r w:rsidR="0011472E">
          <w:rPr>
            <w:webHidden/>
          </w:rPr>
          <w:fldChar w:fldCharType="end"/>
        </w:r>
      </w:hyperlink>
    </w:p>
    <w:p w:rsidR="0011472E" w:rsidRDefault="00DE2F25">
      <w:pPr>
        <w:pStyle w:val="TJ1"/>
        <w:rPr>
          <w:rFonts w:asciiTheme="minorHAnsi" w:eastAsiaTheme="minorEastAsia" w:hAnsiTheme="minorHAnsi" w:cstheme="minorBidi"/>
          <w:color w:val="auto"/>
          <w:sz w:val="22"/>
          <w:szCs w:val="22"/>
          <w:lang w:bidi="ar-SA"/>
        </w:rPr>
      </w:pPr>
      <w:hyperlink w:anchor="_Toc495651720" w:history="1">
        <w:r w:rsidR="0011472E" w:rsidRPr="00F743E8">
          <w:rPr>
            <w:rStyle w:val="Hiperhivatkozs"/>
            <w:rFonts w:ascii="Times New Roman" w:hAnsi="Times New Roman"/>
            <w:b/>
          </w:rPr>
          <w:t>II. RÉSZ: A TÁBLA EGYES SORAIRA VONATKOZÓ ÚTMUTATÓ</w:t>
        </w:r>
        <w:r w:rsidR="0011472E">
          <w:rPr>
            <w:webHidden/>
          </w:rPr>
          <w:tab/>
        </w:r>
        <w:r w:rsidR="0011472E">
          <w:rPr>
            <w:webHidden/>
          </w:rPr>
          <w:fldChar w:fldCharType="begin"/>
        </w:r>
        <w:r w:rsidR="0011472E">
          <w:rPr>
            <w:webHidden/>
          </w:rPr>
          <w:instrText xml:space="preserve"> PAGEREF _Toc495651720 \h </w:instrText>
        </w:r>
        <w:r w:rsidR="0011472E">
          <w:rPr>
            <w:webHidden/>
          </w:rPr>
        </w:r>
        <w:r w:rsidR="0011472E">
          <w:rPr>
            <w:webHidden/>
          </w:rPr>
          <w:fldChar w:fldCharType="separate"/>
        </w:r>
        <w:r w:rsidR="0011472E">
          <w:rPr>
            <w:webHidden/>
          </w:rPr>
          <w:t>4</w:t>
        </w:r>
        <w:r w:rsidR="0011472E">
          <w:rPr>
            <w:webHidden/>
          </w:rPr>
          <w:fldChar w:fldCharType="end"/>
        </w:r>
      </w:hyperlink>
    </w:p>
    <w:p w:rsidR="00907416" w:rsidRDefault="00391EF9">
      <w:pPr>
        <w:pStyle w:val="TJ1"/>
        <w:rPr>
          <w:rFonts w:asciiTheme="minorHAnsi" w:eastAsiaTheme="minorEastAsia" w:hAnsiTheme="minorHAnsi" w:cstheme="minorBidi"/>
          <w:color w:val="auto"/>
          <w:sz w:val="22"/>
          <w:szCs w:val="22"/>
        </w:rPr>
      </w:pPr>
      <w:r>
        <w:rPr>
          <w:rFonts w:ascii="Times New Roman" w:hAnsi="Times New Roman"/>
          <w:noProof w:val="0"/>
        </w:rPr>
        <w:fldChar w:fldCharType="end"/>
      </w:r>
    </w:p>
    <w:p w:rsidR="000D338D" w:rsidRDefault="000D338D">
      <w:pPr>
        <w:rPr>
          <w:rFonts w:ascii="Times New Roman" w:hAnsi="Times New Roman"/>
          <w:sz w:val="20"/>
        </w:rPr>
      </w:pPr>
      <w:r>
        <w:br w:type="page"/>
      </w:r>
    </w:p>
    <w:p w:rsidR="00F4754B" w:rsidRPr="00FE002E" w:rsidRDefault="00F4754B" w:rsidP="00F4754B">
      <w:pPr>
        <w:pStyle w:val="BodyText1"/>
        <w:rPr>
          <w:rFonts w:ascii="Times New Roman" w:hAnsi="Times New Roman"/>
        </w:rPr>
      </w:pPr>
    </w:p>
    <w:p w:rsidR="00217D1F" w:rsidRPr="00FE002E" w:rsidRDefault="00F4754B" w:rsidP="00217D1F">
      <w:pPr>
        <w:pStyle w:val="BodyText1"/>
        <w:outlineLvl w:val="0"/>
        <w:rPr>
          <w:rFonts w:ascii="Times New Roman" w:hAnsi="Times New Roman"/>
          <w:b/>
          <w:sz w:val="24"/>
          <w:szCs w:val="24"/>
        </w:rPr>
      </w:pPr>
      <w:bookmarkStart w:id="1" w:name="_Toc264038394"/>
      <w:bookmarkStart w:id="2" w:name="_Toc322687864"/>
      <w:bookmarkStart w:id="3" w:name="_Toc351048499"/>
      <w:bookmarkStart w:id="4" w:name="_Toc359414273"/>
      <w:bookmarkStart w:id="5" w:name="_Toc475440398"/>
      <w:bookmarkStart w:id="6" w:name="_Toc495651719"/>
      <w:r>
        <w:rPr>
          <w:rFonts w:ascii="Times New Roman" w:hAnsi="Times New Roman"/>
          <w:b/>
          <w:sz w:val="24"/>
        </w:rPr>
        <w:t>I. RÉSZ:</w:t>
      </w:r>
      <w:bookmarkEnd w:id="1"/>
      <w:r>
        <w:rPr>
          <w:rFonts w:ascii="Times New Roman" w:hAnsi="Times New Roman"/>
          <w:b/>
          <w:sz w:val="24"/>
        </w:rPr>
        <w:t xml:space="preserve"> ÁLTALÁNOS ÚTMUTATÓ</w:t>
      </w:r>
      <w:bookmarkEnd w:id="2"/>
      <w:bookmarkEnd w:id="3"/>
      <w:bookmarkEnd w:id="4"/>
      <w:bookmarkEnd w:id="5"/>
      <w:bookmarkEnd w:id="6"/>
    </w:p>
    <w:p w:rsidR="00FF2091" w:rsidRPr="00CF306A" w:rsidRDefault="00FF2091" w:rsidP="00A860E1">
      <w:pPr>
        <w:pStyle w:val="BodyText1"/>
      </w:pPr>
      <w:bookmarkStart w:id="7" w:name="_Toc351048500"/>
    </w:p>
    <w:p w:rsidR="003A5275" w:rsidRPr="003A5275" w:rsidRDefault="003A5275" w:rsidP="003A5275">
      <w:pPr>
        <w:pStyle w:val="InstructionsText2"/>
        <w:ind w:left="720" w:hanging="360"/>
        <w:rPr>
          <w:rFonts w:eastAsia="Times New Roman"/>
          <w:bCs/>
          <w:szCs w:val="17"/>
        </w:rPr>
      </w:pPr>
      <w:bookmarkStart w:id="8" w:name="_Toc264038399"/>
      <w:bookmarkStart w:id="9" w:name="_Toc294018834"/>
      <w:bookmarkEnd w:id="7"/>
      <w:r>
        <w:t>1.</w:t>
      </w:r>
      <w:r>
        <w:tab/>
        <w:t>Az intézmények tevékenységében mutatkozó lejárati eltérések („lejárati tábla”) XXII. mellékletben történő bemutatása érdekében az intézmények az e mellékletben meghatározott útmutatót alkalmazzák.</w:t>
      </w:r>
    </w:p>
    <w:p w:rsidR="003A5275" w:rsidRPr="003A5275" w:rsidRDefault="003A5275" w:rsidP="003A5275">
      <w:pPr>
        <w:pStyle w:val="InstructionsText2"/>
        <w:ind w:left="720" w:hanging="360"/>
        <w:rPr>
          <w:rFonts w:eastAsia="Times New Roman"/>
          <w:bCs/>
          <w:szCs w:val="17"/>
        </w:rPr>
      </w:pPr>
      <w:r>
        <w:t>2.</w:t>
      </w:r>
      <w:r>
        <w:tab/>
        <w:t>A lejárati tábla monitorozási eszköz, amely a szerződéses áramlásokat és a függő kiáramlásokat tartalmazza. A jogilag kötelező erejű megállapodásokból eredő szerződéses áramlásokról és az adatszolgáltatás időpontjától számított hátralévő futamidőről az adott megállapodások rendelkezéseinek megfelelően kell adatot szolgáltatni.</w:t>
      </w:r>
    </w:p>
    <w:p w:rsidR="003A5275" w:rsidRPr="003A5275" w:rsidRDefault="003A5275" w:rsidP="003A5275">
      <w:pPr>
        <w:pStyle w:val="InstructionsText2"/>
        <w:ind w:left="720" w:hanging="360"/>
        <w:rPr>
          <w:rFonts w:eastAsia="Times New Roman"/>
          <w:bCs/>
          <w:szCs w:val="17"/>
        </w:rPr>
      </w:pPr>
      <w:r>
        <w:t>3.</w:t>
      </w:r>
      <w:r>
        <w:tab/>
        <w:t>Az intézmények a beáramlásokat nem vehetik többszörösen figyelembe.</w:t>
      </w:r>
    </w:p>
    <w:p w:rsidR="003A5275" w:rsidRPr="003A5275" w:rsidRDefault="003A5275" w:rsidP="003A5275">
      <w:pPr>
        <w:pStyle w:val="InstructionsText2"/>
        <w:ind w:left="720" w:hanging="360"/>
        <w:rPr>
          <w:rFonts w:eastAsia="Times New Roman"/>
          <w:bCs/>
          <w:szCs w:val="17"/>
        </w:rPr>
      </w:pPr>
      <w:r>
        <w:t>4.</w:t>
      </w:r>
      <w:r>
        <w:tab/>
        <w:t>A „Nyitó állomány” oszlopban az adatszolgáltatás időpontjában meglévő állományt kell feltüntetni.</w:t>
      </w:r>
    </w:p>
    <w:p w:rsidR="003A5275" w:rsidRPr="003A5275" w:rsidRDefault="003A5275" w:rsidP="003A5275">
      <w:pPr>
        <w:pStyle w:val="InstructionsText2"/>
        <w:ind w:left="720" w:hanging="360"/>
        <w:rPr>
          <w:rFonts w:eastAsia="Times New Roman"/>
          <w:bCs/>
          <w:szCs w:val="17"/>
        </w:rPr>
      </w:pPr>
      <w:r>
        <w:t>5.</w:t>
      </w:r>
      <w:r>
        <w:tab/>
        <w:t>A XXII. mellékletben található táblában kizárólag az üres fehér mezőket kell kitölteni.</w:t>
      </w:r>
    </w:p>
    <w:p w:rsidR="003A5275" w:rsidRPr="003A5275" w:rsidRDefault="003A5275" w:rsidP="003A5275">
      <w:pPr>
        <w:pStyle w:val="InstructionsText2"/>
        <w:ind w:left="720" w:hanging="360"/>
        <w:rPr>
          <w:rFonts w:eastAsia="Times New Roman"/>
          <w:bCs/>
          <w:szCs w:val="17"/>
        </w:rPr>
      </w:pPr>
      <w:r>
        <w:t>6.</w:t>
      </w:r>
      <w:r>
        <w:tab/>
        <w:t>A lejárati tábla „Kiáramlások” és „Beáramlások” szakasza tartalmazza valamennyi mérlegen belüli és mérlegen kívüli tételből származó jövőbeli szerződéses pénzáramlásokat. Csak az adatszolgáltatás időpontjában érvényes szerződések szerinti kiáramlásokat és beáramlásokat kell feltüntetni.</w:t>
      </w:r>
    </w:p>
    <w:p w:rsidR="003A5275" w:rsidRPr="003A5275" w:rsidRDefault="003A5275" w:rsidP="003A5275">
      <w:pPr>
        <w:pStyle w:val="InstructionsText2"/>
        <w:ind w:left="720" w:hanging="360"/>
        <w:rPr>
          <w:rFonts w:eastAsia="Times New Roman"/>
          <w:bCs/>
          <w:szCs w:val="17"/>
        </w:rPr>
      </w:pPr>
      <w:r>
        <w:t>7.</w:t>
      </w:r>
      <w:r>
        <w:tab/>
        <w:t>A lejárati tábla „Kiegyensúlyozó kapacitás” című szakaszában azon meg nem terhelt eszközállományt vagy egyéb finanszírozási forrást kell megjeleníteni, amely az adatszolgáltatás időpontjában jogilag és gyakorlatilag az intézmény rendelkezésére áll a potenciális finanszírozási hiányok fedezésére. Csak az adatszolgáltatás időpontjában létező szerződések szerinti kiáramlásokat és beáramlásokat kell feltüntetni.</w:t>
      </w:r>
    </w:p>
    <w:p w:rsidR="003A5275" w:rsidRPr="003A5275" w:rsidRDefault="003A5275" w:rsidP="003A5275">
      <w:pPr>
        <w:pStyle w:val="InstructionsText2"/>
        <w:ind w:left="720" w:hanging="360"/>
        <w:rPr>
          <w:rFonts w:eastAsia="Times New Roman"/>
          <w:bCs/>
          <w:szCs w:val="17"/>
        </w:rPr>
      </w:pPr>
      <w:r>
        <w:t>8.</w:t>
      </w:r>
      <w:r>
        <w:tab/>
        <w:t>A pénzeszköz-kiáramlásokat és -beáramlásokat a megfelelő „Kiáramlások”, illetve „Beáramlások” szakaszban bruttó értéken, pozitív előjellel kell szerepeltetni. A kifizetendő és jóváírandó összegeket a „Kiáramlások”, illetve „Beáramlások” szakaszban kell feltüntetni.</w:t>
      </w:r>
    </w:p>
    <w:p w:rsidR="003A5275" w:rsidRPr="003A5275" w:rsidRDefault="003A5275" w:rsidP="00C54FC2">
      <w:pPr>
        <w:pStyle w:val="InstructionsText2"/>
        <w:ind w:left="720" w:hanging="360"/>
        <w:rPr>
          <w:rFonts w:eastAsia="Times New Roman"/>
          <w:bCs/>
          <w:szCs w:val="17"/>
        </w:rPr>
      </w:pPr>
      <w:r>
        <w:t>9.</w:t>
      </w:r>
      <w:r>
        <w:tab/>
        <w:t>A lejárati tábla „Kiegyensúlyozó kapacitás” című szakaszában a kiáramlásokat negatív, a beáramlásokat pozitív előjellel, mindkét esetben nettó értéken kell szerepeltetni. A pénzáramlások esetében az esedékes összeget kell feltüntetni. Az értékpapír-áramlásokat aktuális piaci értéken kell szerepeltetni. A hitel- és likviditási keretekben történő áramlásokat a szerződés szerint rendelkezésre álló összeggel kell szerepeltetni.</w:t>
      </w:r>
    </w:p>
    <w:p w:rsidR="003A5275" w:rsidRPr="003A5275" w:rsidRDefault="003A5275" w:rsidP="003A5275">
      <w:pPr>
        <w:pStyle w:val="InstructionsText2"/>
        <w:ind w:left="720" w:hanging="360"/>
        <w:rPr>
          <w:rFonts w:eastAsia="Times New Roman"/>
          <w:bCs/>
          <w:szCs w:val="17"/>
        </w:rPr>
      </w:pPr>
      <w:r>
        <w:t>10.</w:t>
      </w:r>
      <w:r>
        <w:tab/>
        <w:t>A szerződéses áramlásokat hátralévő futamidejük szerint kell megosztani a huszonkét lejárati sáv között; a napok naptári napokat jelentenek.</w:t>
      </w:r>
    </w:p>
    <w:p w:rsidR="003A5275" w:rsidRPr="003A5275" w:rsidRDefault="003A5275" w:rsidP="003A5275">
      <w:pPr>
        <w:pStyle w:val="InstructionsText2"/>
        <w:ind w:left="720" w:hanging="360"/>
        <w:rPr>
          <w:rFonts w:eastAsia="Times New Roman"/>
          <w:bCs/>
          <w:szCs w:val="17"/>
        </w:rPr>
      </w:pPr>
      <w:r>
        <w:t>11.</w:t>
      </w:r>
      <w:r>
        <w:tab/>
        <w:t>Adatot kell szolgáltatni valamennyi szerződéses áramlásról, ezen belül valamennyi nem pénzügyi tevékenységből származó, lényeges pénzáramlásról (adóról, bónuszról, osztalékról és járadékról).</w:t>
      </w:r>
    </w:p>
    <w:p w:rsidR="003A5275" w:rsidRPr="003A5275" w:rsidRDefault="003A5275" w:rsidP="003A5275">
      <w:pPr>
        <w:pStyle w:val="InstructionsText2"/>
        <w:ind w:left="720" w:hanging="360"/>
        <w:rPr>
          <w:rFonts w:eastAsia="Times New Roman"/>
          <w:bCs/>
          <w:szCs w:val="17"/>
        </w:rPr>
      </w:pPr>
      <w:r>
        <w:t>12.</w:t>
      </w:r>
      <w:r>
        <w:tab/>
        <w:t>Az áramlások szerződéses lejáratainak meghatározása során érvényesítendő konzervatív megközelítés érdekében, az intézmények biztosítják a következőket:</w:t>
      </w:r>
    </w:p>
    <w:p w:rsidR="003A5275" w:rsidRPr="003A5275" w:rsidRDefault="003A5275" w:rsidP="003A5275">
      <w:pPr>
        <w:pStyle w:val="BodyText1"/>
        <w:ind w:left="720"/>
        <w:rPr>
          <w:rFonts w:ascii="Times New Roman" w:hAnsi="Times New Roman"/>
        </w:rPr>
      </w:pPr>
    </w:p>
    <w:p w:rsidR="003A5275" w:rsidRPr="003A5275" w:rsidRDefault="003A5275" w:rsidP="003A5275">
      <w:pPr>
        <w:pStyle w:val="InstructionsText2"/>
        <w:ind w:left="1440" w:hanging="360"/>
        <w:rPr>
          <w:rFonts w:eastAsia="Times New Roman"/>
          <w:bCs/>
          <w:szCs w:val="17"/>
        </w:rPr>
      </w:pPr>
      <w:r>
        <w:t>a)</w:t>
      </w:r>
      <w:r>
        <w:tab/>
        <w:t>fizetési halasztásra vagy bejövő előlegkifizetésre vonatkozó opció esetében azt kell feltételezni, hogy az opciót lehívják, amennyiben ez az intézményből történő kiáramlások előrehozásához vagy az intézménybe történő beáramlások halasztásához vezet;</w:t>
      </w:r>
    </w:p>
    <w:p w:rsidR="003A5275" w:rsidRPr="003A5275" w:rsidRDefault="003A5275" w:rsidP="003A5275">
      <w:pPr>
        <w:pStyle w:val="InstructionsText2"/>
        <w:ind w:left="1440" w:hanging="360"/>
        <w:rPr>
          <w:rFonts w:eastAsia="Times New Roman"/>
          <w:bCs/>
          <w:szCs w:val="17"/>
        </w:rPr>
      </w:pPr>
      <w:r>
        <w:t>b)</w:t>
      </w:r>
      <w:r>
        <w:tab/>
        <w:t xml:space="preserve">amennyiben az intézményből történő kiáramlások előrehozására vonatkozó opció gyakorlása kizárólag az intézmény mérlegelési jogkörébe tartozik, csak akkor feltételezhető, hogy az opciót lehívják, ha ez megfelel az intézménnyel kapcsolatos piaci várakozásnak. Nem feltételezhető, hogy az opciót lehívják, amennyiben ez az intézménybe történő beáramlások előrehozásához vagy az intézményből történő kiáramlások halasztásához vezet. A beáramlással </w:t>
      </w:r>
      <w:r>
        <w:lastRenderedPageBreak/>
        <w:t>azonos napon kell szerepeltetni az olyan pénzeszköz-kiáramlást, amelyet szerződés alapján a beáramlás idéz elő (pl. közvetítő finanszírozás esetében);</w:t>
      </w:r>
    </w:p>
    <w:p w:rsidR="003A5275" w:rsidRPr="003A5275" w:rsidRDefault="003A5275" w:rsidP="003A5275">
      <w:pPr>
        <w:pStyle w:val="InstructionsText2"/>
        <w:ind w:left="1440" w:hanging="360"/>
        <w:rPr>
          <w:rFonts w:eastAsia="Times New Roman"/>
          <w:bCs/>
          <w:szCs w:val="17"/>
        </w:rPr>
      </w:pPr>
      <w:r>
        <w:t>c)</w:t>
      </w:r>
      <w:r>
        <w:tab/>
        <w:t>valamennyi látra szóló és lejárat nélküli betétet egynaposként, a 020-as oszlopban kell szerepeltetni;</w:t>
      </w:r>
    </w:p>
    <w:p w:rsidR="003A5275" w:rsidRPr="003A5275" w:rsidRDefault="003A5275" w:rsidP="003A5275">
      <w:pPr>
        <w:pStyle w:val="InstructionsText2"/>
        <w:ind w:left="1440" w:hanging="360"/>
        <w:rPr>
          <w:rFonts w:eastAsia="Times New Roman"/>
          <w:bCs/>
          <w:szCs w:val="17"/>
        </w:rPr>
      </w:pPr>
      <w:r>
        <w:t>d)</w:t>
      </w:r>
      <w:r>
        <w:tab/>
        <w:t>a nyitott repókat, a fordított repókat és a hasonló, bármely fél által bármely napon lezárható ügyleteket egynapos lejáratúnak kell tekinteni, kivéve akkor, ha a felmondási idő egy napnál hosszabb; ebben az esetben a felmondási időnek megfelelő lejárati sávban kell őket feltüntetni;</w:t>
      </w:r>
    </w:p>
    <w:p w:rsidR="003A5275" w:rsidRPr="003A5275" w:rsidRDefault="003A5275" w:rsidP="003A5275">
      <w:pPr>
        <w:pStyle w:val="InstructionsText2"/>
        <w:ind w:left="1440" w:hanging="360"/>
        <w:rPr>
          <w:rFonts w:eastAsia="Times New Roman"/>
          <w:bCs/>
          <w:szCs w:val="17"/>
        </w:rPr>
      </w:pPr>
      <w:r>
        <w:t>e)</w:t>
      </w:r>
      <w:r>
        <w:tab/>
        <w:t xml:space="preserve">feltételezni kell, hogy a lejárat előtti felmondási opcióval rendelkező lekötött lakossági betétek abban az időszakban járnak le, amikor a lejárat előtti felmondás nem jár az (EU) 2015/61 rendelet 25. cikke (4) bekezdésének b) pontja szerinti büntetéssel; </w:t>
      </w:r>
    </w:p>
    <w:p w:rsidR="003A5275" w:rsidRPr="003A5275" w:rsidRDefault="003A5275" w:rsidP="003A5275">
      <w:pPr>
        <w:pStyle w:val="InstructionsText2"/>
        <w:ind w:left="1440" w:hanging="360"/>
        <w:rPr>
          <w:rFonts w:eastAsia="Times New Roman"/>
          <w:bCs/>
          <w:szCs w:val="17"/>
        </w:rPr>
      </w:pPr>
      <w:r>
        <w:t>f)</w:t>
      </w:r>
      <w:r>
        <w:tab/>
        <w:t>amennyiben az intézmény az e bekezdésben meghatározott szabályok alapján nem képes megállapítani valamely adott tétel vagy annak egy része vonatkozásában a szerződéses kifizetési ütemezés egy minimális menetrendjét, úgy a tételt vagy annak adott részét öt évnél hosszabb lejáratú tételként a 220-as oszlopban tünteti fel.</w:t>
      </w:r>
    </w:p>
    <w:p w:rsidR="003A5275" w:rsidRPr="003A5275" w:rsidRDefault="003A5275" w:rsidP="003A5275">
      <w:pPr>
        <w:pStyle w:val="BodyText1"/>
        <w:ind w:left="720"/>
        <w:rPr>
          <w:rFonts w:ascii="Times New Roman" w:hAnsi="Times New Roman"/>
        </w:rPr>
      </w:pPr>
    </w:p>
    <w:p w:rsidR="003A5275" w:rsidRPr="003A5275" w:rsidRDefault="003A5275" w:rsidP="003A5275">
      <w:pPr>
        <w:pStyle w:val="InstructionsText2"/>
        <w:ind w:left="720" w:hanging="360"/>
        <w:rPr>
          <w:rFonts w:eastAsia="Times New Roman"/>
          <w:bCs/>
          <w:szCs w:val="17"/>
        </w:rPr>
      </w:pPr>
      <w:r>
        <w:t>13.</w:t>
      </w:r>
      <w:r>
        <w:tab/>
        <w:t>A kamatok minden mérlegen belüli és mérlegen kívüli instrumentumból származó ki- és -beáramlását szerepeltetni kell a „kiáramlások” és a „beáramlások” szakasz valamennyi megfelelő tételében.</w:t>
      </w:r>
    </w:p>
    <w:p w:rsidR="003A5275" w:rsidRPr="003A5275" w:rsidRDefault="003A5275" w:rsidP="003A5275">
      <w:pPr>
        <w:pStyle w:val="InstructionsText2"/>
        <w:ind w:left="720" w:hanging="360"/>
        <w:rPr>
          <w:rFonts w:eastAsia="Times New Roman"/>
          <w:bCs/>
          <w:szCs w:val="17"/>
        </w:rPr>
      </w:pPr>
      <w:r>
        <w:t>14.</w:t>
      </w:r>
      <w:r>
        <w:tab/>
        <w:t>A lejáró devizacsere-ügyleteknél a keresztdevizás csereügyletek, a határidős devizaügyletek és a ki nem egyenlített azonnali devizamegállapodások lejáratkori névértékét a tábla vonatkozó lejárati sávjában kell feltüntetni.</w:t>
      </w:r>
    </w:p>
    <w:p w:rsidR="003A5275" w:rsidRPr="003A5275" w:rsidRDefault="003A5275" w:rsidP="003A5275">
      <w:pPr>
        <w:pStyle w:val="InstructionsText2"/>
        <w:ind w:left="720" w:hanging="360"/>
        <w:rPr>
          <w:rFonts w:eastAsia="Times New Roman"/>
          <w:bCs/>
          <w:szCs w:val="17"/>
        </w:rPr>
      </w:pPr>
      <w:r>
        <w:t>15.</w:t>
      </w:r>
      <w:r>
        <w:tab/>
        <w:t>A ki nem egyenlített ügyletekből származó pénzáramlásokat a kiegyenlítésüket megelőző rövid időszakban a megfelelő sorokban és lejárati sávokban kell szerepeltetni.</w:t>
      </w:r>
    </w:p>
    <w:p w:rsidR="003A5275" w:rsidRPr="003A5275" w:rsidRDefault="003A5275" w:rsidP="003A5275">
      <w:pPr>
        <w:pStyle w:val="InstructionsText2"/>
        <w:ind w:left="720" w:hanging="360"/>
        <w:rPr>
          <w:rFonts w:eastAsia="Times New Roman"/>
          <w:bCs/>
          <w:szCs w:val="17"/>
        </w:rPr>
      </w:pPr>
      <w:r>
        <w:t>16.</w:t>
      </w:r>
      <w:r>
        <w:tab/>
        <w:t>Üresen kell hagyni azokat a tételeket, amelyeknél az intézmény nem végez alapul szolgáló üzleti tevékenységet, például egy adott kategóriában nem rendelkezik betéttel.</w:t>
      </w:r>
    </w:p>
    <w:p w:rsidR="003A5275" w:rsidRPr="003A5275" w:rsidRDefault="003A5275" w:rsidP="003A5275">
      <w:pPr>
        <w:pStyle w:val="InstructionsText2"/>
        <w:ind w:left="720" w:hanging="360"/>
        <w:rPr>
          <w:rFonts w:eastAsia="Times New Roman"/>
          <w:bCs/>
          <w:szCs w:val="17"/>
        </w:rPr>
      </w:pPr>
      <w:r>
        <w:t>17.</w:t>
      </w:r>
      <w:r>
        <w:tab/>
        <w:t>Nem kell jelenteni a késedelmes tételeket és azokat a tételeket, amelyek esetében az intézménynek oka van nemteljesítést feltételezni.</w:t>
      </w:r>
    </w:p>
    <w:p w:rsidR="003A5275" w:rsidRPr="003A5275" w:rsidRDefault="003A5275" w:rsidP="003A5275">
      <w:pPr>
        <w:pStyle w:val="InstructionsText2"/>
        <w:ind w:left="720" w:hanging="360"/>
        <w:rPr>
          <w:rFonts w:eastAsia="Times New Roman"/>
          <w:bCs/>
          <w:szCs w:val="17"/>
        </w:rPr>
      </w:pPr>
      <w:r>
        <w:t>18.</w:t>
      </w:r>
      <w:r>
        <w:tab/>
        <w:t>Amennyiben a kapott biztosítékot olyan ügyletben zálogosítják újra el, amelynek lejárata későbbi, mint azé az ügyleté, amelyben az intézmény megkapta a biztosítékot, a kapott biztosíték valós értékének összegével megegyező értékpapír-kiáramlást kell feltüntetni a biztosíték fogadásához vezető ügylet lejáratának megfelelő lejárati sáv kiegyensúlyozó kapacitásra vonatkozó szakaszában.</w:t>
      </w:r>
    </w:p>
    <w:p w:rsidR="00E22856" w:rsidRPr="003A5275" w:rsidRDefault="003A5275" w:rsidP="003A5275">
      <w:pPr>
        <w:pStyle w:val="InstructionsText2"/>
        <w:ind w:left="720" w:hanging="360"/>
        <w:rPr>
          <w:rFonts w:eastAsia="Times New Roman"/>
          <w:bCs/>
          <w:szCs w:val="17"/>
        </w:rPr>
      </w:pPr>
      <w:r>
        <w:t>19.</w:t>
      </w:r>
      <w:r>
        <w:tab/>
        <w:t>A csoporton belüli tételek nem érintik a konszolidált alapon történő adatszolgáltatást.</w:t>
      </w:r>
    </w:p>
    <w:p w:rsidR="003A5275" w:rsidRPr="00FE002E" w:rsidRDefault="003A5275" w:rsidP="003A5275">
      <w:pPr>
        <w:pStyle w:val="BodyText1"/>
        <w:ind w:left="720"/>
        <w:rPr>
          <w:rFonts w:ascii="Times New Roman" w:hAnsi="Times New Roman"/>
        </w:rPr>
      </w:pPr>
    </w:p>
    <w:p w:rsidR="00FC2664" w:rsidRPr="00FE002E" w:rsidRDefault="00FC2664" w:rsidP="007E2A41">
      <w:pPr>
        <w:pStyle w:val="BodyText1"/>
        <w:spacing w:line="240" w:lineRule="auto"/>
        <w:ind w:left="720"/>
        <w:rPr>
          <w:rFonts w:ascii="Times New Roman" w:hAnsi="Times New Roman"/>
        </w:rPr>
      </w:pPr>
    </w:p>
    <w:p w:rsidR="00217D1F" w:rsidRPr="00FE002E" w:rsidRDefault="00F4754B" w:rsidP="00217D1F">
      <w:pPr>
        <w:pStyle w:val="BodyText1"/>
        <w:outlineLvl w:val="0"/>
        <w:rPr>
          <w:rFonts w:ascii="Times New Roman" w:hAnsi="Times New Roman"/>
          <w:b/>
          <w:sz w:val="24"/>
          <w:szCs w:val="24"/>
        </w:rPr>
      </w:pPr>
      <w:bookmarkStart w:id="10" w:name="_Toc359414277"/>
      <w:bookmarkStart w:id="11" w:name="_Toc322687869"/>
      <w:bookmarkEnd w:id="8"/>
      <w:bookmarkEnd w:id="9"/>
      <w:bookmarkEnd w:id="10"/>
      <w:r>
        <w:br w:type="page"/>
      </w:r>
      <w:bookmarkStart w:id="12" w:name="_Toc351048504"/>
      <w:bookmarkStart w:id="13" w:name="_Toc359414281"/>
      <w:bookmarkStart w:id="14" w:name="_Toc475440399"/>
      <w:bookmarkStart w:id="15" w:name="_Toc495651720"/>
      <w:r>
        <w:rPr>
          <w:rFonts w:ascii="Times New Roman" w:hAnsi="Times New Roman"/>
          <w:b/>
          <w:sz w:val="24"/>
        </w:rPr>
        <w:lastRenderedPageBreak/>
        <w:t>II. RÉSZ: A TÁBLA EGYES SORAIRA VONATKOZÓ ÚTMUTATÓ</w:t>
      </w:r>
      <w:bookmarkEnd w:id="11"/>
      <w:bookmarkEnd w:id="12"/>
      <w:bookmarkEnd w:id="13"/>
      <w:bookmarkEnd w:id="14"/>
      <w:bookmarkEnd w:id="15"/>
    </w:p>
    <w:p w:rsidR="00D91BC3" w:rsidRPr="00CF306A" w:rsidRDefault="00D91BC3" w:rsidP="00217B44">
      <w:pPr>
        <w:pStyle w:val="BodyText1"/>
      </w:pPr>
    </w:p>
    <w:p w:rsidR="00720503" w:rsidRPr="00FE002E" w:rsidRDefault="00720503" w:rsidP="00FD2C06">
      <w:pPr>
        <w:pStyle w:val="BodyText1"/>
        <w:spacing w:line="240" w:lineRule="auto"/>
        <w:ind w:left="720"/>
        <w:rPr>
          <w:rFonts w:ascii="Times New Roman" w:hAnsi="Times New Roman"/>
        </w:rPr>
      </w:pPr>
      <w:bookmarkStart w:id="16" w:name="_Toc322687879"/>
      <w:bookmarkStart w:id="17" w:name="_Toc315961853"/>
    </w:p>
    <w:p w:rsidR="00AE2798" w:rsidRPr="00FE002E" w:rsidRDefault="00AE2798" w:rsidP="00AE2798">
      <w:pPr>
        <w:pStyle w:val="BodyText1"/>
        <w:rPr>
          <w:rFonts w:ascii="Times New Roman" w:hAnsi="Times New Roman"/>
        </w:rPr>
      </w:pPr>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AE2798" w:rsidRPr="00FE002E" w:rsidTr="00C54FC2">
        <w:trPr>
          <w:trHeight w:val="304"/>
        </w:trPr>
        <w:tc>
          <w:tcPr>
            <w:tcW w:w="1418" w:type="dxa"/>
            <w:shd w:val="clear" w:color="auto" w:fill="E5E5E6" w:themeFill="accent2" w:themeFillTint="33"/>
          </w:tcPr>
          <w:p w:rsidR="00AE2798" w:rsidRPr="00FE002E" w:rsidRDefault="003A5275" w:rsidP="00FE0FF1">
            <w:pPr>
              <w:pStyle w:val="BodyText1"/>
              <w:rPr>
                <w:rFonts w:ascii="Times New Roman" w:hAnsi="Times New Roman"/>
              </w:rPr>
            </w:pPr>
            <w:r>
              <w:rPr>
                <w:rFonts w:ascii="Times New Roman" w:hAnsi="Times New Roman"/>
              </w:rPr>
              <w:t>Sor</w:t>
            </w:r>
          </w:p>
        </w:tc>
        <w:tc>
          <w:tcPr>
            <w:tcW w:w="7590" w:type="dxa"/>
            <w:shd w:val="clear" w:color="auto" w:fill="E5E5E6" w:themeFill="accent2" w:themeFillTint="33"/>
          </w:tcPr>
          <w:p w:rsidR="00AE2798" w:rsidRPr="0011472E" w:rsidRDefault="00AE2798" w:rsidP="00FE0FF1">
            <w:pPr>
              <w:pStyle w:val="BodyText1"/>
              <w:rPr>
                <w:rFonts w:ascii="Times New Roman" w:hAnsi="Times New Roman"/>
                <w:bCs/>
                <w:u w:val="single"/>
              </w:rPr>
            </w:pPr>
            <w:r w:rsidRPr="0011472E">
              <w:rPr>
                <w:rFonts w:ascii="Times New Roman" w:hAnsi="Times New Roman"/>
              </w:rPr>
              <w:t>Jogszabályi hivatkozások és útmutató</w:t>
            </w:r>
          </w:p>
        </w:tc>
      </w:tr>
      <w:tr w:rsidR="00AE2798" w:rsidRPr="00FE002E" w:rsidTr="00C54FC2">
        <w:trPr>
          <w:trHeight w:val="304"/>
        </w:trPr>
        <w:tc>
          <w:tcPr>
            <w:tcW w:w="1418" w:type="dxa"/>
            <w:shd w:val="clear" w:color="auto" w:fill="E5E5E6" w:themeFill="accent2" w:themeFillTint="33"/>
          </w:tcPr>
          <w:p w:rsidR="00AE2798" w:rsidRPr="00FE002E" w:rsidRDefault="003A5275" w:rsidP="001A3E77">
            <w:pPr>
              <w:pStyle w:val="BodyText1"/>
              <w:rPr>
                <w:rFonts w:ascii="Times New Roman" w:hAnsi="Times New Roman"/>
                <w:b/>
              </w:rPr>
            </w:pPr>
            <w:r>
              <w:rPr>
                <w:rFonts w:ascii="Times New Roman" w:hAnsi="Times New Roman"/>
                <w:b/>
              </w:rPr>
              <w:t>010–380</w:t>
            </w:r>
          </w:p>
        </w:tc>
        <w:tc>
          <w:tcPr>
            <w:tcW w:w="7590" w:type="dxa"/>
            <w:shd w:val="clear" w:color="auto" w:fill="E5E5E6" w:themeFill="accent2" w:themeFillTint="33"/>
          </w:tcPr>
          <w:p w:rsidR="003A5275" w:rsidRPr="0011472E" w:rsidRDefault="003A5275" w:rsidP="003A5275">
            <w:pPr>
              <w:pStyle w:val="BodyText1"/>
              <w:rPr>
                <w:rFonts w:ascii="Times New Roman" w:hAnsi="Times New Roman"/>
                <w:b/>
                <w:bCs/>
              </w:rPr>
            </w:pPr>
            <w:r w:rsidRPr="0011472E">
              <w:rPr>
                <w:rFonts w:ascii="Times New Roman" w:hAnsi="Times New Roman"/>
                <w:b/>
              </w:rPr>
              <w:t>1</w:t>
            </w:r>
            <w:r w:rsidR="007A4772">
              <w:rPr>
                <w:rFonts w:ascii="Times New Roman" w:hAnsi="Times New Roman"/>
                <w:b/>
              </w:rPr>
              <w:t>.</w:t>
            </w:r>
            <w:r w:rsidRPr="0011472E">
              <w:rPr>
                <w:rFonts w:ascii="Times New Roman" w:hAnsi="Times New Roman"/>
              </w:rPr>
              <w:tab/>
            </w:r>
            <w:r w:rsidRPr="0011472E">
              <w:rPr>
                <w:rFonts w:ascii="Times New Roman" w:hAnsi="Times New Roman"/>
                <w:b/>
              </w:rPr>
              <w:t>KIÁRAMLÁSOK</w:t>
            </w:r>
          </w:p>
          <w:p w:rsidR="00AE2798" w:rsidRPr="0011472E" w:rsidRDefault="003A5275" w:rsidP="003A5275">
            <w:pPr>
              <w:pStyle w:val="BodyText1"/>
              <w:rPr>
                <w:rFonts w:ascii="Times New Roman" w:hAnsi="Times New Roman"/>
                <w:bCs/>
              </w:rPr>
            </w:pPr>
            <w:r w:rsidRPr="0011472E">
              <w:rPr>
                <w:rFonts w:ascii="Times New Roman" w:hAnsi="Times New Roman"/>
              </w:rPr>
              <w:t>A pénzeszköz-kiáramlások teljes összegét az alábbi alkategóriákban kell feltüntetni:</w:t>
            </w:r>
          </w:p>
          <w:p w:rsidR="003A5275" w:rsidRPr="0011472E" w:rsidRDefault="003A5275" w:rsidP="003A5275">
            <w:pPr>
              <w:pStyle w:val="BodyText1"/>
              <w:rPr>
                <w:rFonts w:ascii="Times New Roman" w:hAnsi="Times New Roman"/>
                <w:bCs/>
              </w:rPr>
            </w:pP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175"/>
              <w:ind w:left="102"/>
              <w:rPr>
                <w:rFonts w:ascii="Times New Roman" w:eastAsia="Times New Roman" w:hAnsi="Times New Roman" w:cs="Times New Roman"/>
                <w:sz w:val="24"/>
                <w:szCs w:val="24"/>
              </w:rPr>
            </w:pPr>
            <w:r>
              <w:rPr>
                <w:rFonts w:ascii="Times New Roman"/>
                <w:sz w:val="24"/>
              </w:rPr>
              <w:t>010</w:t>
            </w:r>
          </w:p>
        </w:tc>
        <w:tc>
          <w:tcPr>
            <w:tcW w:w="7590" w:type="dxa"/>
          </w:tcPr>
          <w:p w:rsidR="003A5275" w:rsidRPr="0011472E" w:rsidRDefault="003A5275" w:rsidP="003A5275">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1.1</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Kibocsátott értékpapírokból eredő kötelezettségek</w:t>
            </w:r>
          </w:p>
          <w:p w:rsidR="003A5275" w:rsidRPr="0011472E" w:rsidRDefault="003A5275" w:rsidP="003A5275">
            <w:pPr>
              <w:pStyle w:val="TableParagraph"/>
              <w:spacing w:before="117"/>
              <w:ind w:left="102"/>
              <w:rPr>
                <w:rFonts w:ascii="Times New Roman" w:eastAsia="Times New Roman" w:hAnsi="Times New Roman" w:cs="Times New Roman"/>
                <w:sz w:val="24"/>
                <w:szCs w:val="24"/>
              </w:rPr>
            </w:pPr>
            <w:r w:rsidRPr="0011472E">
              <w:rPr>
                <w:rFonts w:ascii="Times New Roman" w:hAnsi="Times New Roman" w:cs="Times New Roman"/>
                <w:spacing w:val="-1"/>
                <w:sz w:val="24"/>
              </w:rPr>
              <w:t>Az adatot szolgáltató intézmény által kibocsátott, hitelviszonyt megtestesítő értékpapírokból</w:t>
            </w:r>
          </w:p>
          <w:p w:rsidR="003A5275" w:rsidRPr="0011472E" w:rsidRDefault="003A5275" w:rsidP="003A5275">
            <w:pPr>
              <w:pStyle w:val="TableParagraph"/>
              <w:ind w:left="102"/>
              <w:rPr>
                <w:rFonts w:ascii="Times New Roman" w:eastAsia="Times New Roman" w:hAnsi="Times New Roman" w:cs="Times New Roman"/>
                <w:sz w:val="24"/>
                <w:szCs w:val="24"/>
              </w:rPr>
            </w:pPr>
            <w:r w:rsidRPr="0011472E">
              <w:rPr>
                <w:rFonts w:ascii="Times New Roman" w:hAnsi="Times New Roman" w:cs="Times New Roman"/>
                <w:sz w:val="24"/>
              </w:rPr>
              <w:t>(saját kibocsátásból) származó pénzeszköz-kiáramlások.</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149"/>
              <w:ind w:left="102"/>
              <w:rPr>
                <w:rFonts w:ascii="Times New Roman" w:eastAsia="Times New Roman" w:hAnsi="Times New Roman" w:cs="Times New Roman"/>
                <w:sz w:val="24"/>
                <w:szCs w:val="24"/>
              </w:rPr>
            </w:pPr>
            <w:r>
              <w:rPr>
                <w:rFonts w:ascii="Times New Roman"/>
                <w:sz w:val="24"/>
              </w:rPr>
              <w:t>020</w:t>
            </w:r>
          </w:p>
        </w:tc>
        <w:tc>
          <w:tcPr>
            <w:tcW w:w="7590" w:type="dxa"/>
          </w:tcPr>
          <w:p w:rsidR="003A5275" w:rsidRPr="0011472E" w:rsidRDefault="003A5275" w:rsidP="003A5275">
            <w:pPr>
              <w:pStyle w:val="TableParagraph"/>
              <w:spacing w:before="119"/>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1.1.1</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lejáró fedezetlen kötvények</w:t>
            </w:r>
          </w:p>
          <w:p w:rsidR="003A5275" w:rsidRPr="0011472E" w:rsidRDefault="003A5275" w:rsidP="003A5275">
            <w:pPr>
              <w:pStyle w:val="TableParagraph"/>
              <w:spacing w:before="117"/>
              <w:ind w:left="102" w:right="99"/>
              <w:rPr>
                <w:rFonts w:ascii="Times New Roman" w:eastAsia="Times New Roman" w:hAnsi="Times New Roman" w:cs="Times New Roman"/>
                <w:sz w:val="24"/>
                <w:szCs w:val="24"/>
              </w:rPr>
            </w:pPr>
            <w:r w:rsidRPr="0011472E">
              <w:rPr>
                <w:rFonts w:ascii="Times New Roman" w:hAnsi="Times New Roman" w:cs="Times New Roman"/>
                <w:spacing w:val="-1"/>
                <w:sz w:val="24"/>
              </w:rPr>
              <w:t>Az 1.1. sorban feltüntetett, olyan kibocsátott értékpapírokból származó pénzeszköz-kiáramlások összege, amely értékpapírok az adatot szolgáltató intézmény által harmadik fél részére kibocsátott fedezetlen adósságinstrumentumok.</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3"/>
              <w:rPr>
                <w:rFonts w:ascii="Times New Roman" w:eastAsia="Times New Roman" w:hAnsi="Times New Roman" w:cs="Times New Roman"/>
                <w:sz w:val="27"/>
                <w:szCs w:val="27"/>
              </w:rPr>
            </w:pPr>
          </w:p>
          <w:p w:rsidR="003A5275" w:rsidRDefault="003A5275" w:rsidP="003A5275">
            <w:pPr>
              <w:pStyle w:val="TableParagraph"/>
              <w:ind w:left="102"/>
              <w:rPr>
                <w:rFonts w:ascii="Times New Roman" w:eastAsia="Times New Roman" w:hAnsi="Times New Roman" w:cs="Times New Roman"/>
                <w:sz w:val="24"/>
                <w:szCs w:val="24"/>
              </w:rPr>
            </w:pPr>
            <w:r>
              <w:rPr>
                <w:rFonts w:ascii="Times New Roman"/>
                <w:sz w:val="24"/>
              </w:rPr>
              <w:t>030</w:t>
            </w:r>
          </w:p>
        </w:tc>
        <w:tc>
          <w:tcPr>
            <w:tcW w:w="7590" w:type="dxa"/>
          </w:tcPr>
          <w:p w:rsidR="003A5275" w:rsidRPr="0011472E" w:rsidRDefault="003A5275" w:rsidP="003A5275">
            <w:pPr>
              <w:pStyle w:val="TableParagraph"/>
              <w:spacing w:before="118"/>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1.1.2</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szabályozott fedezett kötvények</w:t>
            </w:r>
          </w:p>
          <w:p w:rsidR="003A5275" w:rsidRPr="0011472E" w:rsidRDefault="003A5275" w:rsidP="003A5275">
            <w:pPr>
              <w:pStyle w:val="TableParagraph"/>
              <w:spacing w:before="117"/>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Az 1.1. sorban feltüntetett, olyan kibocsátott értékpapírokból származó pénzeszköz-kiáramlások összege, amely értékpapírok az 575/2013/EU rendelet 129. cikkének (4) vagy (5) bekezdése vagy a 2009/65/EK irányelv 52. cikkének (4) bekezdése szerint kezelhető kötvények.</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3"/>
              <w:rPr>
                <w:rFonts w:ascii="Times New Roman" w:eastAsia="Times New Roman" w:hAnsi="Times New Roman" w:cs="Times New Roman"/>
                <w:sz w:val="27"/>
                <w:szCs w:val="27"/>
              </w:rPr>
            </w:pPr>
          </w:p>
          <w:p w:rsidR="003A5275" w:rsidRDefault="003A5275" w:rsidP="003A5275">
            <w:pPr>
              <w:pStyle w:val="TableParagraph"/>
              <w:ind w:left="102"/>
              <w:rPr>
                <w:rFonts w:ascii="Times New Roman" w:eastAsia="Times New Roman" w:hAnsi="Times New Roman" w:cs="Times New Roman"/>
                <w:sz w:val="24"/>
                <w:szCs w:val="24"/>
              </w:rPr>
            </w:pPr>
            <w:r>
              <w:rPr>
                <w:rFonts w:ascii="Times New Roman"/>
                <w:sz w:val="24"/>
              </w:rPr>
              <w:t>040</w:t>
            </w:r>
          </w:p>
        </w:tc>
        <w:tc>
          <w:tcPr>
            <w:tcW w:w="7590" w:type="dxa"/>
          </w:tcPr>
          <w:p w:rsidR="003A5275" w:rsidRPr="0011472E" w:rsidRDefault="003A5275" w:rsidP="003A5275">
            <w:pPr>
              <w:pStyle w:val="TableParagraph"/>
              <w:spacing w:before="118"/>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1.1.3</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lejáró értékpapírosítások</w:t>
            </w:r>
          </w:p>
          <w:p w:rsidR="003A5275" w:rsidRPr="0011472E" w:rsidRDefault="003A5275" w:rsidP="003A5275">
            <w:pPr>
              <w:pStyle w:val="TableParagraph"/>
              <w:spacing w:before="117"/>
              <w:ind w:left="102" w:right="99"/>
              <w:jc w:val="both"/>
              <w:rPr>
                <w:rFonts w:ascii="Times New Roman" w:eastAsia="Times New Roman" w:hAnsi="Times New Roman" w:cs="Times New Roman"/>
                <w:sz w:val="24"/>
                <w:szCs w:val="24"/>
              </w:rPr>
            </w:pPr>
            <w:r w:rsidRPr="0011472E">
              <w:rPr>
                <w:rFonts w:ascii="Times New Roman" w:hAnsi="Times New Roman" w:cs="Times New Roman"/>
                <w:spacing w:val="-1"/>
                <w:sz w:val="24"/>
              </w:rPr>
              <w:t>Az 1.1. sorban feltüntetett, olyan kibocsátott értékpapírokból származó pénzeszköz-kiáramlások összege, amely értékpapírok harmadik féllel végrehajtott, az 575/2013/EU rendelet 4. cikke (1) bekezdésének 61. pontja szerinti értékpapírosítások.</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175"/>
              <w:ind w:left="102"/>
              <w:rPr>
                <w:rFonts w:ascii="Times New Roman" w:eastAsia="Times New Roman" w:hAnsi="Times New Roman" w:cs="Times New Roman"/>
                <w:sz w:val="24"/>
                <w:szCs w:val="24"/>
              </w:rPr>
            </w:pPr>
            <w:r>
              <w:rPr>
                <w:rFonts w:ascii="Times New Roman"/>
                <w:sz w:val="24"/>
              </w:rPr>
              <w:t>050</w:t>
            </w:r>
          </w:p>
        </w:tc>
        <w:tc>
          <w:tcPr>
            <w:tcW w:w="7590" w:type="dxa"/>
          </w:tcPr>
          <w:p w:rsidR="003A5275" w:rsidRPr="0011472E" w:rsidRDefault="003A5275" w:rsidP="003A5275">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1.1.4</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egyéb</w:t>
            </w:r>
          </w:p>
          <w:p w:rsidR="003A5275" w:rsidRPr="0011472E" w:rsidRDefault="003A5275" w:rsidP="003A5275">
            <w:pPr>
              <w:pStyle w:val="TableParagraph"/>
              <w:spacing w:before="117"/>
              <w:ind w:left="102" w:right="99"/>
              <w:rPr>
                <w:rFonts w:ascii="Times New Roman" w:eastAsia="Times New Roman" w:hAnsi="Times New Roman" w:cs="Times New Roman"/>
                <w:sz w:val="24"/>
                <w:szCs w:val="24"/>
              </w:rPr>
            </w:pPr>
            <w:r w:rsidRPr="0011472E">
              <w:rPr>
                <w:rFonts w:ascii="Times New Roman" w:hAnsi="Times New Roman" w:cs="Times New Roman"/>
                <w:spacing w:val="-1"/>
                <w:sz w:val="24"/>
              </w:rPr>
              <w:t>Az 1.1. sorban feltüntetett, olyan kibocsátott értékpapírokból származó pénzeszköz-kiáramlások összege, amely értékpapírok nem sorolhatók a fenti alkategóriák egyikébe sem.</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6"/>
              <w:rPr>
                <w:rFonts w:ascii="Times New Roman" w:eastAsia="Times New Roman" w:hAnsi="Times New Roman" w:cs="Times New Roman"/>
                <w:sz w:val="20"/>
                <w:szCs w:val="20"/>
              </w:rPr>
            </w:pPr>
          </w:p>
          <w:p w:rsidR="003A5275" w:rsidRDefault="003A5275" w:rsidP="003A5275">
            <w:pPr>
              <w:pStyle w:val="TableParagraph"/>
              <w:ind w:left="102"/>
              <w:rPr>
                <w:rFonts w:ascii="Times New Roman" w:eastAsia="Times New Roman" w:hAnsi="Times New Roman" w:cs="Times New Roman"/>
                <w:sz w:val="24"/>
                <w:szCs w:val="24"/>
              </w:rPr>
            </w:pPr>
            <w:r>
              <w:rPr>
                <w:rFonts w:ascii="Times New Roman"/>
                <w:sz w:val="24"/>
              </w:rPr>
              <w:t>060</w:t>
            </w:r>
          </w:p>
        </w:tc>
        <w:tc>
          <w:tcPr>
            <w:tcW w:w="7590" w:type="dxa"/>
          </w:tcPr>
          <w:p w:rsidR="003A5275" w:rsidRPr="0011472E" w:rsidRDefault="003A5275" w:rsidP="003A5275">
            <w:pPr>
              <w:pStyle w:val="TableParagraph"/>
              <w:spacing w:before="118"/>
              <w:ind w:left="102" w:right="101"/>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1.2</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Fedezett kölcsönügyletekből és tőkepiac-vezérelt ügyletekből eredő kötelezettségek, a következőkkel fedezve:</w:t>
            </w:r>
          </w:p>
          <w:p w:rsidR="003A5275" w:rsidRPr="0011472E" w:rsidRDefault="003A5275" w:rsidP="003A5275">
            <w:pPr>
              <w:pStyle w:val="TableParagraph"/>
              <w:spacing w:before="117"/>
              <w:ind w:left="102" w:right="98"/>
              <w:jc w:val="both"/>
              <w:rPr>
                <w:rFonts w:ascii="Times New Roman" w:eastAsia="Times New Roman" w:hAnsi="Times New Roman" w:cs="Times New Roman"/>
                <w:sz w:val="24"/>
                <w:szCs w:val="24"/>
              </w:rPr>
            </w:pPr>
            <w:r w:rsidRPr="0011472E">
              <w:rPr>
                <w:rFonts w:ascii="Times New Roman" w:hAnsi="Times New Roman" w:cs="Times New Roman"/>
                <w:spacing w:val="-1"/>
                <w:sz w:val="24"/>
              </w:rPr>
              <w:t>Az 575/2013/EU rendelet 192. cikkében meghatározott fedezett kölcsönügyletből és tőkepiac-vezérelt ügyletből származó összes pénzeszköz-kiáramlás teljes összege.</w:t>
            </w:r>
          </w:p>
          <w:p w:rsidR="003A5275" w:rsidRPr="0011472E" w:rsidRDefault="003A5275" w:rsidP="003A5275">
            <w:pPr>
              <w:pStyle w:val="TableParagraph"/>
              <w:spacing w:before="120"/>
              <w:ind w:left="102" w:right="98"/>
              <w:jc w:val="both"/>
              <w:rPr>
                <w:rFonts w:ascii="Times New Roman" w:eastAsia="Times New Roman" w:hAnsi="Times New Roman" w:cs="Times New Roman"/>
                <w:sz w:val="24"/>
                <w:szCs w:val="24"/>
              </w:rPr>
            </w:pPr>
            <w:r w:rsidRPr="0011472E">
              <w:rPr>
                <w:rFonts w:ascii="Times New Roman" w:hAnsi="Times New Roman" w:cs="Times New Roman"/>
                <w:spacing w:val="-1"/>
                <w:sz w:val="24"/>
              </w:rPr>
              <w:t>Megjegyzés: Itt kizárólag a pénzáramlásokat kell feltüntetni, a fedezett kölcsönügylethez és a tőkepiac-vezérelt ügylethez kapcsolódó értékpapír-áramlásokat a „kiegyensúlyozó kapacitás” szakaszban kell szerepeltetni.</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7"/>
              <w:rPr>
                <w:rFonts w:ascii="Times New Roman" w:eastAsia="Times New Roman" w:hAnsi="Times New Roman" w:cs="Times New Roman"/>
                <w:sz w:val="32"/>
                <w:szCs w:val="32"/>
              </w:rPr>
            </w:pPr>
          </w:p>
          <w:p w:rsidR="003A5275" w:rsidRDefault="003A5275" w:rsidP="003A5275">
            <w:pPr>
              <w:pStyle w:val="TableParagraph"/>
              <w:ind w:left="102"/>
              <w:rPr>
                <w:rFonts w:ascii="Times New Roman" w:eastAsia="Times New Roman" w:hAnsi="Times New Roman" w:cs="Times New Roman"/>
                <w:sz w:val="24"/>
                <w:szCs w:val="24"/>
              </w:rPr>
            </w:pPr>
            <w:r>
              <w:rPr>
                <w:rFonts w:ascii="Times New Roman"/>
                <w:sz w:val="24"/>
              </w:rPr>
              <w:t>070</w:t>
            </w:r>
          </w:p>
        </w:tc>
        <w:tc>
          <w:tcPr>
            <w:tcW w:w="7590" w:type="dxa"/>
          </w:tcPr>
          <w:p w:rsidR="003A5275" w:rsidRPr="0011472E" w:rsidRDefault="003A5275" w:rsidP="003A5275">
            <w:pPr>
              <w:pStyle w:val="TableParagraph"/>
              <w:spacing w:before="119"/>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lastRenderedPageBreak/>
              <w:t>1.2.1</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1. szintű forgalomképes eszközök</w:t>
            </w:r>
          </w:p>
          <w:p w:rsidR="003A5275" w:rsidRPr="0011472E" w:rsidRDefault="003A5275" w:rsidP="003A5275">
            <w:pPr>
              <w:pStyle w:val="TableParagraph"/>
              <w:spacing w:before="117"/>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lastRenderedPageBreak/>
              <w:t>Az 1.2. pontban feltüntetett olyan pénzeszköz-kiáramlások összege, amelyet olyan forgalomképes eszköz fedez, amely megfelelne az (EU) 2015/61 rendelet 7., 8. és 10. cikkében meghatározott követelményeknek, ha nem az adott ügyletet fedezné.</w:t>
            </w:r>
          </w:p>
          <w:p w:rsidR="003A5275" w:rsidRPr="0011472E" w:rsidRDefault="003A5275" w:rsidP="003A5275">
            <w:pPr>
              <w:pStyle w:val="TableParagraph"/>
              <w:spacing w:before="119"/>
              <w:ind w:left="102" w:right="99"/>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KBF-ek az (EU) 2015/61 rendelet 15. cikkének megfelelő, 1. szintű eszköznek minősülő részvényeit vagy befektetési jegyeit az alábbi alkategóriákban, az alapterméküknek megfelelően kell feltüntetni.</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177"/>
              <w:ind w:left="102"/>
              <w:rPr>
                <w:rFonts w:ascii="Times New Roman" w:eastAsia="Times New Roman" w:hAnsi="Times New Roman" w:cs="Times New Roman"/>
                <w:sz w:val="24"/>
                <w:szCs w:val="24"/>
              </w:rPr>
            </w:pPr>
            <w:r>
              <w:rPr>
                <w:rFonts w:ascii="Times New Roman"/>
                <w:sz w:val="24"/>
              </w:rPr>
              <w:t>080</w:t>
            </w:r>
          </w:p>
        </w:tc>
        <w:tc>
          <w:tcPr>
            <w:tcW w:w="7590" w:type="dxa"/>
          </w:tcPr>
          <w:p w:rsidR="003A5275" w:rsidRPr="0011472E" w:rsidRDefault="003A5275" w:rsidP="003A5275">
            <w:pPr>
              <w:pStyle w:val="TableParagraph"/>
              <w:spacing w:before="119"/>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1.2.1.1</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1. szintű a fedezett kötvények kivételével</w:t>
            </w:r>
          </w:p>
          <w:p w:rsidR="003A5275" w:rsidRPr="0011472E" w:rsidRDefault="003A5275" w:rsidP="003A5275">
            <w:pPr>
              <w:pStyle w:val="TableParagraph"/>
              <w:spacing w:before="117"/>
              <w:ind w:left="102" w:right="100"/>
              <w:rPr>
                <w:rFonts w:ascii="Times New Roman" w:eastAsia="Times New Roman" w:hAnsi="Times New Roman" w:cs="Times New Roman"/>
                <w:sz w:val="24"/>
                <w:szCs w:val="24"/>
              </w:rPr>
            </w:pPr>
            <w:r w:rsidRPr="0011472E">
              <w:rPr>
                <w:rFonts w:ascii="Times New Roman" w:hAnsi="Times New Roman" w:cs="Times New Roman"/>
                <w:spacing w:val="-1"/>
                <w:sz w:val="24"/>
              </w:rPr>
              <w:t>Az 1.2.1. pontban feltüntetett olyan pénzeszköz-kiáramlások összege, amelyet nem fedezett kötvény fedez.</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175"/>
              <w:ind w:left="102"/>
              <w:rPr>
                <w:rFonts w:ascii="Times New Roman" w:eastAsia="Times New Roman" w:hAnsi="Times New Roman" w:cs="Times New Roman"/>
                <w:sz w:val="24"/>
                <w:szCs w:val="24"/>
              </w:rPr>
            </w:pPr>
            <w:r>
              <w:rPr>
                <w:rFonts w:ascii="Times New Roman"/>
                <w:sz w:val="24"/>
              </w:rPr>
              <w:t>090</w:t>
            </w:r>
          </w:p>
        </w:tc>
        <w:tc>
          <w:tcPr>
            <w:tcW w:w="7590" w:type="dxa"/>
          </w:tcPr>
          <w:p w:rsidR="003A5275" w:rsidRPr="0011472E" w:rsidRDefault="003A5275" w:rsidP="003A5275">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1.2.1.1.1</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1. szintű központi banki eszközök</w:t>
            </w:r>
          </w:p>
          <w:p w:rsidR="003A5275" w:rsidRPr="0011472E" w:rsidRDefault="003A5275" w:rsidP="003A5275">
            <w:pPr>
              <w:pStyle w:val="TableParagraph"/>
              <w:spacing w:before="117"/>
              <w:ind w:left="102" w:right="101"/>
              <w:rPr>
                <w:rFonts w:ascii="Times New Roman" w:eastAsia="Times New Roman" w:hAnsi="Times New Roman" w:cs="Times New Roman"/>
                <w:sz w:val="24"/>
                <w:szCs w:val="24"/>
              </w:rPr>
            </w:pPr>
            <w:r w:rsidRPr="0011472E">
              <w:rPr>
                <w:rFonts w:ascii="Times New Roman" w:hAnsi="Times New Roman" w:cs="Times New Roman"/>
                <w:spacing w:val="-1"/>
                <w:sz w:val="24"/>
              </w:rPr>
              <w:t>Az 1.2.1.1. pontban feltüntetett olyan pénzeszköz-kiáramlások összege, amelyet központi bankokkal szembeni vagy általuk garantált követeléseket képviselő eszköz fedez.</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175"/>
              <w:ind w:left="102"/>
              <w:rPr>
                <w:rFonts w:ascii="Times New Roman" w:eastAsia="Times New Roman" w:hAnsi="Times New Roman" w:cs="Times New Roman"/>
                <w:sz w:val="24"/>
                <w:szCs w:val="24"/>
              </w:rPr>
            </w:pPr>
            <w:r>
              <w:rPr>
                <w:rFonts w:ascii="Times New Roman"/>
                <w:sz w:val="24"/>
              </w:rPr>
              <w:t>100</w:t>
            </w:r>
          </w:p>
        </w:tc>
        <w:tc>
          <w:tcPr>
            <w:tcW w:w="7590" w:type="dxa"/>
          </w:tcPr>
          <w:p w:rsidR="003A5275" w:rsidRPr="0011472E" w:rsidRDefault="003A5275" w:rsidP="003A5275">
            <w:pPr>
              <w:pStyle w:val="TableParagraph"/>
              <w:spacing w:before="118"/>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1.2.1.1.2</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1. szintű eszközök (CQS1)</w:t>
            </w:r>
          </w:p>
          <w:p w:rsidR="003A5275" w:rsidRPr="0011472E" w:rsidRDefault="003A5275" w:rsidP="003A5275">
            <w:pPr>
              <w:pStyle w:val="TableParagraph"/>
              <w:spacing w:before="117"/>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Az 1.2.1.1. pontban feltüntetett, az 1.2.1.1.1. pontban feltüntetetteken kívüli olyan pénzeszköz-kiáramlások összege, amelyet kijelölt külső hitelminősítő intézettől 1-es hitelminőségi besorolást kapott kibocsátóval vagy garantőrrel szembeni vagy általa garantált követeléseket képviselő eszköz fedez.</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177"/>
              <w:ind w:left="102"/>
              <w:rPr>
                <w:rFonts w:ascii="Times New Roman" w:eastAsia="Times New Roman" w:hAnsi="Times New Roman" w:cs="Times New Roman"/>
                <w:sz w:val="24"/>
                <w:szCs w:val="24"/>
              </w:rPr>
            </w:pPr>
            <w:r>
              <w:rPr>
                <w:rFonts w:ascii="Times New Roman"/>
                <w:sz w:val="24"/>
              </w:rPr>
              <w:t>110</w:t>
            </w:r>
          </w:p>
        </w:tc>
        <w:tc>
          <w:tcPr>
            <w:tcW w:w="7590" w:type="dxa"/>
          </w:tcPr>
          <w:p w:rsidR="003A5275" w:rsidRPr="0011472E" w:rsidRDefault="003A5275" w:rsidP="003A5275">
            <w:pPr>
              <w:pStyle w:val="TableParagraph"/>
              <w:spacing w:before="119"/>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1.2.1.1.3</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1. szintű eszközök (CQS2, CQS3)</w:t>
            </w:r>
          </w:p>
          <w:p w:rsidR="003A5275" w:rsidRPr="0011472E" w:rsidRDefault="003A5275" w:rsidP="003A5275">
            <w:pPr>
              <w:pStyle w:val="TableParagraph"/>
              <w:spacing w:before="117"/>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Az 1.2.1.1. pontban feltüntetett, az 1.2.1.1.1. pontban feltüntetetteken kívüli olyan pénzeszköz-kiáramlások összege, amelyet kijelölt külső hitelminősítő intézettől 2-es vagy 3-as hitelminőségi besorolást kapott kibocsátóval vagy garantőrrel szembeni vagy általa garantált követeléseket képviselő eszköz fedez.</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177"/>
              <w:ind w:left="102"/>
              <w:rPr>
                <w:rFonts w:ascii="Times New Roman" w:eastAsia="Times New Roman" w:hAnsi="Times New Roman" w:cs="Times New Roman"/>
                <w:sz w:val="24"/>
                <w:szCs w:val="24"/>
              </w:rPr>
            </w:pPr>
            <w:r>
              <w:rPr>
                <w:rFonts w:ascii="Times New Roman"/>
                <w:sz w:val="24"/>
              </w:rPr>
              <w:t>120</w:t>
            </w:r>
          </w:p>
        </w:tc>
        <w:tc>
          <w:tcPr>
            <w:tcW w:w="7590" w:type="dxa"/>
          </w:tcPr>
          <w:p w:rsidR="003A5275" w:rsidRPr="0011472E" w:rsidRDefault="003A5275" w:rsidP="003A5275">
            <w:pPr>
              <w:pStyle w:val="TableParagraph"/>
              <w:spacing w:before="119"/>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1.2.1.1.4</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1. szintű eszközök (CQS4+)</w:t>
            </w:r>
          </w:p>
          <w:p w:rsidR="003A5275" w:rsidRPr="0011472E" w:rsidRDefault="003A5275" w:rsidP="003A5275">
            <w:pPr>
              <w:pStyle w:val="TableParagraph"/>
              <w:spacing w:before="117"/>
              <w:ind w:left="102" w:right="99"/>
              <w:jc w:val="both"/>
              <w:rPr>
                <w:rFonts w:ascii="Times New Roman" w:eastAsia="Times New Roman" w:hAnsi="Times New Roman" w:cs="Times New Roman"/>
                <w:sz w:val="24"/>
                <w:szCs w:val="24"/>
              </w:rPr>
            </w:pPr>
            <w:r w:rsidRPr="0011472E">
              <w:rPr>
                <w:rFonts w:ascii="Times New Roman" w:hAnsi="Times New Roman" w:cs="Times New Roman"/>
                <w:spacing w:val="-1"/>
                <w:sz w:val="24"/>
              </w:rPr>
              <w:t>Az 1.2.1.1. pontban feltüntetett, az 1.2.1.1.1. pontban feltüntetetteken kívüli olyan pénzeszköz-kiáramlások összege, amelyet kijelölt külső hitelminősítő intézettől 4-es vagy rosszabb hitelminőségi besorolást kapott kibocsátóval vagy garantőrrel szembeni vagy általa garantált követeléseket képviselő eszköz fedez.</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175"/>
              <w:ind w:left="102"/>
              <w:rPr>
                <w:rFonts w:ascii="Times New Roman" w:eastAsia="Times New Roman" w:hAnsi="Times New Roman" w:cs="Times New Roman"/>
                <w:sz w:val="24"/>
                <w:szCs w:val="24"/>
              </w:rPr>
            </w:pPr>
            <w:r>
              <w:rPr>
                <w:rFonts w:ascii="Times New Roman"/>
                <w:sz w:val="24"/>
              </w:rPr>
              <w:t>130</w:t>
            </w:r>
          </w:p>
        </w:tc>
        <w:tc>
          <w:tcPr>
            <w:tcW w:w="7590" w:type="dxa"/>
          </w:tcPr>
          <w:p w:rsidR="003A5275" w:rsidRPr="0011472E" w:rsidRDefault="003A5275" w:rsidP="003A5275">
            <w:pPr>
              <w:pStyle w:val="TableParagraph"/>
              <w:spacing w:before="118"/>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1.2.1.2</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1. szintű fedezett kötvények (CQS1)</w:t>
            </w:r>
          </w:p>
          <w:p w:rsidR="003A5275" w:rsidRPr="0011472E" w:rsidRDefault="003A5275" w:rsidP="003A5275">
            <w:pPr>
              <w:pStyle w:val="TableParagraph"/>
              <w:spacing w:before="117"/>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Az 1.2.1. pontban feltüntetett olyan pénzeszköz-kiáramlások összege, amelyet fedezett kötvény fedez. Az (EU) 2015/61 rendelet 10. cikke (1) bekezdése f) pontjának megfelelően csak az 1-es hitelminőségi besorolással rendelkező fedezett kötvények minősülhetnek 1. szintű eszköznek.</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7"/>
              <w:rPr>
                <w:rFonts w:ascii="Times New Roman" w:eastAsia="Times New Roman" w:hAnsi="Times New Roman" w:cs="Times New Roman"/>
                <w:sz w:val="32"/>
                <w:szCs w:val="32"/>
              </w:rPr>
            </w:pPr>
          </w:p>
          <w:p w:rsidR="003A5275" w:rsidRDefault="003A5275" w:rsidP="003A5275">
            <w:pPr>
              <w:pStyle w:val="TableParagraph"/>
              <w:ind w:left="102"/>
              <w:rPr>
                <w:rFonts w:ascii="Times New Roman" w:eastAsia="Times New Roman" w:hAnsi="Times New Roman" w:cs="Times New Roman"/>
                <w:sz w:val="24"/>
                <w:szCs w:val="24"/>
              </w:rPr>
            </w:pPr>
            <w:r>
              <w:rPr>
                <w:rFonts w:ascii="Times New Roman"/>
                <w:sz w:val="24"/>
              </w:rPr>
              <w:t>140</w:t>
            </w:r>
          </w:p>
        </w:tc>
        <w:tc>
          <w:tcPr>
            <w:tcW w:w="7590" w:type="dxa"/>
          </w:tcPr>
          <w:p w:rsidR="003A5275" w:rsidRPr="0011472E" w:rsidRDefault="003A5275" w:rsidP="003A5275">
            <w:pPr>
              <w:pStyle w:val="TableParagraph"/>
              <w:spacing w:before="119"/>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lastRenderedPageBreak/>
              <w:t>1.2.2</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2A. szintű forgalomképes eszközök</w:t>
            </w:r>
          </w:p>
          <w:p w:rsidR="003A5275" w:rsidRPr="0011472E" w:rsidRDefault="003A5275" w:rsidP="003A5275">
            <w:pPr>
              <w:pStyle w:val="TableParagraph"/>
              <w:spacing w:before="117"/>
              <w:ind w:left="102" w:right="99"/>
              <w:jc w:val="both"/>
              <w:rPr>
                <w:rFonts w:ascii="Times New Roman" w:eastAsia="Times New Roman" w:hAnsi="Times New Roman" w:cs="Times New Roman"/>
                <w:sz w:val="24"/>
                <w:szCs w:val="24"/>
              </w:rPr>
            </w:pPr>
            <w:r w:rsidRPr="0011472E">
              <w:rPr>
                <w:rFonts w:ascii="Times New Roman" w:hAnsi="Times New Roman" w:cs="Times New Roman"/>
                <w:spacing w:val="-1"/>
                <w:sz w:val="24"/>
              </w:rPr>
              <w:t xml:space="preserve">Az 1.2. pontban feltüntetett olyan pénzeszköz-kiáramlások összege, amelyet olyan forgalomképes eszköz fedez, amely megfelelne az (EU) </w:t>
            </w:r>
            <w:r w:rsidRPr="0011472E">
              <w:rPr>
                <w:rFonts w:ascii="Times New Roman" w:hAnsi="Times New Roman" w:cs="Times New Roman"/>
                <w:spacing w:val="-1"/>
                <w:sz w:val="24"/>
              </w:rPr>
              <w:lastRenderedPageBreak/>
              <w:t>2015/61 rendelet 7., 8. és 11. cikkében meghatározott követelményeknek, ha nem az adott ügyletet fedezné.</w:t>
            </w:r>
          </w:p>
          <w:p w:rsidR="003A5275" w:rsidRPr="0011472E" w:rsidRDefault="003A5275" w:rsidP="003A5275">
            <w:pPr>
              <w:pStyle w:val="TableParagraph"/>
              <w:spacing w:before="120"/>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KBF-ek az (EU) 2015/61 rendelet 15. cikkének megfelelő, 2A. szintű eszköznek minősülő részvényeit vagy befektetési jegyeit az alábbi alkategóriákban, az alapterméküknek megfelelően kell feltüntetni.</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177"/>
              <w:ind w:left="102"/>
              <w:rPr>
                <w:rFonts w:ascii="Times New Roman" w:eastAsia="Times New Roman" w:hAnsi="Times New Roman" w:cs="Times New Roman"/>
                <w:sz w:val="24"/>
                <w:szCs w:val="24"/>
              </w:rPr>
            </w:pPr>
            <w:r>
              <w:rPr>
                <w:rFonts w:ascii="Times New Roman"/>
                <w:sz w:val="24"/>
              </w:rPr>
              <w:t>150</w:t>
            </w:r>
          </w:p>
        </w:tc>
        <w:tc>
          <w:tcPr>
            <w:tcW w:w="7590" w:type="dxa"/>
          </w:tcPr>
          <w:p w:rsidR="003A5275" w:rsidRPr="0011472E" w:rsidRDefault="003A5275" w:rsidP="003A5275">
            <w:pPr>
              <w:pStyle w:val="TableParagraph"/>
              <w:spacing w:before="119"/>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1.2.2.1</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2A. szintű vállalati kötvények (CQS1)</w:t>
            </w:r>
          </w:p>
          <w:p w:rsidR="003A5275" w:rsidRPr="0011472E" w:rsidRDefault="003A5275" w:rsidP="003A5275">
            <w:pPr>
              <w:pStyle w:val="TableParagraph"/>
              <w:spacing w:before="117"/>
              <w:ind w:left="102" w:right="100"/>
              <w:rPr>
                <w:rFonts w:ascii="Times New Roman" w:eastAsia="Times New Roman" w:hAnsi="Times New Roman" w:cs="Times New Roman"/>
                <w:sz w:val="24"/>
                <w:szCs w:val="24"/>
              </w:rPr>
            </w:pPr>
            <w:r w:rsidRPr="0011472E">
              <w:rPr>
                <w:rFonts w:ascii="Times New Roman" w:hAnsi="Times New Roman" w:cs="Times New Roman"/>
                <w:spacing w:val="-1"/>
                <w:sz w:val="24"/>
              </w:rPr>
              <w:t>Az 1.2.2. pontban feltüntetett olyan pénzeszköz-kiáramlások összege, amelyet kijelölt külső hitelminősítő intézettől 1-es hitelminőségi besorolást kapott vállalati kötvény fedez.</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3"/>
              <w:rPr>
                <w:rFonts w:ascii="Times New Roman" w:eastAsia="Times New Roman" w:hAnsi="Times New Roman" w:cs="Times New Roman"/>
                <w:sz w:val="27"/>
                <w:szCs w:val="27"/>
              </w:rPr>
            </w:pPr>
          </w:p>
          <w:p w:rsidR="003A5275" w:rsidRDefault="003A5275" w:rsidP="003A5275">
            <w:pPr>
              <w:pStyle w:val="TableParagraph"/>
              <w:ind w:left="102"/>
              <w:rPr>
                <w:rFonts w:ascii="Times New Roman" w:eastAsia="Times New Roman" w:hAnsi="Times New Roman" w:cs="Times New Roman"/>
                <w:sz w:val="24"/>
                <w:szCs w:val="24"/>
              </w:rPr>
            </w:pPr>
            <w:r>
              <w:rPr>
                <w:rFonts w:ascii="Times New Roman"/>
                <w:sz w:val="24"/>
              </w:rPr>
              <w:t>160</w:t>
            </w:r>
          </w:p>
        </w:tc>
        <w:tc>
          <w:tcPr>
            <w:tcW w:w="7590" w:type="dxa"/>
          </w:tcPr>
          <w:p w:rsidR="003A5275" w:rsidRPr="0011472E" w:rsidRDefault="003A5275" w:rsidP="003A5275">
            <w:pPr>
              <w:pStyle w:val="TableParagraph"/>
              <w:spacing w:before="118"/>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1.2.2.2</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2A. szintű fedezett kötvények (CQS1, CQS2)</w:t>
            </w:r>
          </w:p>
          <w:p w:rsidR="003A5275" w:rsidRPr="0011472E" w:rsidRDefault="003A5275" w:rsidP="003A5275">
            <w:pPr>
              <w:pStyle w:val="TableParagraph"/>
              <w:spacing w:before="117"/>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Az 1.2.2. pontban feltüntetett olyan pénzeszköz-kiáramlások összege, amelyet kijelölt külső hitelminősítő intézettől 1-es vagy 2-es hitelminőségi besorolást kapott fedezett kötvény fedez.</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176"/>
              <w:ind w:left="102"/>
              <w:rPr>
                <w:rFonts w:ascii="Times New Roman" w:eastAsia="Times New Roman" w:hAnsi="Times New Roman" w:cs="Times New Roman"/>
                <w:sz w:val="24"/>
                <w:szCs w:val="24"/>
              </w:rPr>
            </w:pPr>
            <w:r>
              <w:rPr>
                <w:rFonts w:ascii="Times New Roman"/>
                <w:sz w:val="24"/>
              </w:rPr>
              <w:t>170</w:t>
            </w:r>
          </w:p>
        </w:tc>
        <w:tc>
          <w:tcPr>
            <w:tcW w:w="7590" w:type="dxa"/>
          </w:tcPr>
          <w:p w:rsidR="003A5275" w:rsidRPr="0011472E" w:rsidRDefault="003A5275" w:rsidP="003A5275">
            <w:pPr>
              <w:pStyle w:val="TableParagraph"/>
              <w:spacing w:before="118"/>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1.2.2.3</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2A. szintű közszektorbeli intézményi eszközök (CQS1, CQS2)</w:t>
            </w:r>
          </w:p>
          <w:p w:rsidR="003A5275" w:rsidRPr="0011472E" w:rsidRDefault="003A5275" w:rsidP="003A5275">
            <w:pPr>
              <w:pStyle w:val="TableParagraph"/>
              <w:spacing w:before="117"/>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Az 1.2.2. pontban feltüntetett olyan pénzeszköz-kiáramlások összege, amelyet központi kormányzatokkal, központi bankokkal, regionális kormányzatokkal, helyi hatóságokkal vagy közszektorbeli intézményekkel szembeni vagy általuk garantált követeléseket képviselő eszköz fedez. Az (EU) 2015/61 rendelet 11. cikke (1) bekezdése a) és b) pontjának megfelelően csak az 1-es és 2-es hitelminőségi besorolással rendelkező közszektorbeli eszközök minősülhetnek 2A. szintű eszköznek.</w:t>
            </w:r>
          </w:p>
        </w:tc>
      </w:tr>
      <w:tr w:rsidR="003A5275" w:rsidRPr="00FE002E" w:rsidTr="00FE0FF1">
        <w:trPr>
          <w:trHeight w:val="304"/>
        </w:trPr>
        <w:tc>
          <w:tcPr>
            <w:tcW w:w="1418" w:type="dxa"/>
          </w:tcPr>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rPr>
                <w:rFonts w:ascii="Times New Roman" w:eastAsia="Times New Roman" w:hAnsi="Times New Roman" w:cs="Times New Roman"/>
                <w:sz w:val="24"/>
                <w:szCs w:val="24"/>
              </w:rPr>
            </w:pPr>
          </w:p>
          <w:p w:rsidR="003A5275" w:rsidRDefault="003A5275" w:rsidP="003A5275">
            <w:pPr>
              <w:pStyle w:val="TableParagraph"/>
              <w:spacing w:before="6"/>
              <w:rPr>
                <w:rFonts w:ascii="Times New Roman" w:eastAsia="Times New Roman" w:hAnsi="Times New Roman" w:cs="Times New Roman"/>
                <w:sz w:val="32"/>
                <w:szCs w:val="32"/>
              </w:rPr>
            </w:pPr>
          </w:p>
          <w:p w:rsidR="003A5275" w:rsidRDefault="003A5275" w:rsidP="003A5275">
            <w:pPr>
              <w:pStyle w:val="TableParagraph"/>
              <w:ind w:left="102"/>
              <w:rPr>
                <w:rFonts w:ascii="Times New Roman" w:eastAsia="Times New Roman" w:hAnsi="Times New Roman" w:cs="Times New Roman"/>
                <w:sz w:val="24"/>
                <w:szCs w:val="24"/>
              </w:rPr>
            </w:pPr>
            <w:r>
              <w:rPr>
                <w:rFonts w:ascii="Times New Roman"/>
                <w:sz w:val="24"/>
              </w:rPr>
              <w:t>180</w:t>
            </w:r>
          </w:p>
        </w:tc>
        <w:tc>
          <w:tcPr>
            <w:tcW w:w="7590" w:type="dxa"/>
          </w:tcPr>
          <w:p w:rsidR="003A5275" w:rsidRPr="0011472E" w:rsidRDefault="003A5275" w:rsidP="003A5275">
            <w:pPr>
              <w:widowControl w:val="0"/>
              <w:spacing w:before="119"/>
              <w:ind w:left="102"/>
              <w:jc w:val="both"/>
              <w:rPr>
                <w:rFonts w:ascii="Times New Roman" w:hAnsi="Times New Roman"/>
                <w:color w:val="auto"/>
                <w:sz w:val="24"/>
                <w:szCs w:val="24"/>
              </w:rPr>
            </w:pPr>
            <w:r w:rsidRPr="0011472E">
              <w:rPr>
                <w:rFonts w:ascii="Times New Roman" w:hAnsi="Times New Roman"/>
                <w:b/>
                <w:color w:val="auto"/>
                <w:sz w:val="24"/>
                <w:u w:val="thick" w:color="000000"/>
              </w:rPr>
              <w:t>1.2.3</w:t>
            </w:r>
            <w:r w:rsidR="0064488F">
              <w:rPr>
                <w:rFonts w:ascii="Times New Roman" w:hAnsi="Times New Roman"/>
                <w:b/>
                <w:spacing w:val="-1"/>
                <w:sz w:val="24"/>
                <w:u w:val="thick" w:color="000000"/>
              </w:rPr>
              <w:t xml:space="preserve"> </w:t>
            </w:r>
            <w:r w:rsidRPr="0011472E">
              <w:rPr>
                <w:rFonts w:ascii="Times New Roman" w:hAnsi="Times New Roman"/>
                <w:b/>
                <w:color w:val="auto"/>
                <w:spacing w:val="-1"/>
                <w:sz w:val="24"/>
                <w:u w:val="thick" w:color="000000"/>
              </w:rPr>
              <w:t>2B. szintű forgalomképes eszközök</w:t>
            </w:r>
          </w:p>
          <w:p w:rsidR="003A5275" w:rsidRPr="0011472E" w:rsidRDefault="003A5275" w:rsidP="003A5275">
            <w:pPr>
              <w:widowControl w:val="0"/>
              <w:spacing w:before="117"/>
              <w:ind w:left="102" w:right="100"/>
              <w:jc w:val="both"/>
              <w:rPr>
                <w:rFonts w:ascii="Times New Roman" w:hAnsi="Times New Roman"/>
                <w:color w:val="auto"/>
                <w:sz w:val="24"/>
                <w:szCs w:val="24"/>
              </w:rPr>
            </w:pPr>
            <w:r w:rsidRPr="0011472E">
              <w:rPr>
                <w:rFonts w:ascii="Times New Roman" w:hAnsi="Times New Roman"/>
                <w:color w:val="auto"/>
                <w:spacing w:val="-1"/>
                <w:sz w:val="24"/>
              </w:rPr>
              <w:t>Az 1.2. pontban feltüntetett olyan pénzeszköz-kiáramlások összege, amelyet olyan forgalomképes eszköz fedez, amely megfelelne az (EU) 2015/61 rendelet 7., 8. és 12. vagy 13. cikkében meghatározott követelményeknek, ha nem az adott ügyletet fedezné.</w:t>
            </w:r>
          </w:p>
          <w:p w:rsidR="003A5275" w:rsidRPr="0011472E" w:rsidRDefault="003A5275" w:rsidP="003A5275">
            <w:pPr>
              <w:pStyle w:val="TableParagraph"/>
              <w:spacing w:before="118"/>
              <w:ind w:left="102"/>
              <w:jc w:val="both"/>
              <w:rPr>
                <w:rFonts w:ascii="Times New Roman" w:hAnsi="Times New Roman" w:cs="Times New Roman"/>
                <w:b/>
                <w:sz w:val="24"/>
                <w:u w:val="thick" w:color="000000"/>
              </w:rPr>
            </w:pPr>
            <w:r w:rsidRPr="0011472E">
              <w:rPr>
                <w:rFonts w:ascii="Times New Roman" w:hAnsi="Times New Roman" w:cs="Times New Roman"/>
                <w:spacing w:val="-1"/>
                <w:sz w:val="24"/>
              </w:rPr>
              <w:t>A KBF-ek az (EU) 2015/61 rendelet 15. cikkének megfelelő, 2B. szintű eszköznek minősülő részvényeit vagy befektetési jegyeit az alábbi alkategóriákban, az alapterméküknek megfelelően kell feltüntetni.</w:t>
            </w:r>
          </w:p>
        </w:tc>
      </w:tr>
      <w:tr w:rsidR="003A5275" w:rsidRPr="00FE002E" w:rsidTr="00FE0FF1">
        <w:trPr>
          <w:trHeight w:val="304"/>
        </w:trPr>
        <w:tc>
          <w:tcPr>
            <w:tcW w:w="1418" w:type="dxa"/>
          </w:tcPr>
          <w:p w:rsidR="003A5275" w:rsidRDefault="003A5275" w:rsidP="003A5275">
            <w:pPr>
              <w:pStyle w:val="TableParagraph"/>
              <w:spacing w:before="2"/>
              <w:rPr>
                <w:rFonts w:ascii="Times New Roman" w:eastAsia="Times New Roman" w:hAnsi="Times New Roman" w:cs="Times New Roman"/>
              </w:rPr>
            </w:pPr>
          </w:p>
          <w:p w:rsidR="003A5275" w:rsidRDefault="003A5275" w:rsidP="003A5275">
            <w:pPr>
              <w:pStyle w:val="TableParagraph"/>
              <w:ind w:left="102"/>
              <w:rPr>
                <w:rFonts w:ascii="Times New Roman" w:eastAsia="Times New Roman" w:hAnsi="Times New Roman" w:cs="Times New Roman"/>
                <w:sz w:val="24"/>
                <w:szCs w:val="24"/>
              </w:rPr>
            </w:pPr>
            <w:r>
              <w:rPr>
                <w:rFonts w:ascii="Times New Roman"/>
                <w:sz w:val="24"/>
              </w:rPr>
              <w:t>190</w:t>
            </w:r>
          </w:p>
        </w:tc>
        <w:tc>
          <w:tcPr>
            <w:tcW w:w="7590" w:type="dxa"/>
          </w:tcPr>
          <w:p w:rsidR="003A5275" w:rsidRPr="0011472E" w:rsidRDefault="003A5275" w:rsidP="003A5275">
            <w:pPr>
              <w:widowControl w:val="0"/>
              <w:spacing w:before="119"/>
              <w:ind w:left="102"/>
              <w:rPr>
                <w:rFonts w:ascii="Times New Roman" w:hAnsi="Times New Roman"/>
                <w:color w:val="auto"/>
                <w:sz w:val="24"/>
                <w:szCs w:val="24"/>
              </w:rPr>
            </w:pPr>
            <w:r w:rsidRPr="0011472E">
              <w:rPr>
                <w:rFonts w:ascii="Times New Roman" w:hAnsi="Times New Roman"/>
                <w:b/>
                <w:color w:val="auto"/>
                <w:sz w:val="24"/>
                <w:u w:val="thick" w:color="000000"/>
              </w:rPr>
              <w:t>1.2.3.1</w:t>
            </w:r>
            <w:r w:rsidR="0064488F">
              <w:rPr>
                <w:rFonts w:ascii="Times New Roman" w:hAnsi="Times New Roman"/>
                <w:b/>
                <w:spacing w:val="-1"/>
                <w:sz w:val="24"/>
                <w:u w:val="thick" w:color="000000"/>
              </w:rPr>
              <w:t xml:space="preserve"> </w:t>
            </w:r>
            <w:r w:rsidRPr="0011472E">
              <w:rPr>
                <w:rFonts w:ascii="Times New Roman" w:hAnsi="Times New Roman"/>
                <w:b/>
                <w:color w:val="auto"/>
                <w:spacing w:val="-1"/>
                <w:sz w:val="24"/>
                <w:u w:val="thick" w:color="000000"/>
              </w:rPr>
              <w:t>2B. szintű eszközfedezetű értékpapírok (ABS) (CQS1)</w:t>
            </w:r>
          </w:p>
          <w:p w:rsidR="003A5275" w:rsidRPr="0011472E" w:rsidRDefault="003A5275" w:rsidP="003A5275">
            <w:pPr>
              <w:pStyle w:val="TableParagraph"/>
              <w:spacing w:before="118"/>
              <w:ind w:left="102"/>
              <w:jc w:val="both"/>
              <w:rPr>
                <w:rFonts w:ascii="Times New Roman" w:hAnsi="Times New Roman" w:cs="Times New Roman"/>
                <w:b/>
                <w:sz w:val="24"/>
                <w:u w:val="thick" w:color="000000"/>
              </w:rPr>
            </w:pPr>
            <w:r w:rsidRPr="0011472E">
              <w:rPr>
                <w:rFonts w:ascii="Times New Roman" w:hAnsi="Times New Roman" w:cs="Times New Roman"/>
                <w:spacing w:val="-1"/>
                <w:sz w:val="24"/>
              </w:rPr>
              <w:t>Az 1.2.3. pontban feltüntetett olyan pénzeszköz-kiáramlások összege, amelyet eszközfedezetű értékpapír fedez, utóbbiak közé értve a lakóingatlannal fedezett értékpapírokat is.</w:t>
            </w:r>
            <w:r w:rsidRPr="0011472E">
              <w:rPr>
                <w:rFonts w:ascii="Times New Roman" w:hAnsi="Times New Roman" w:cs="Times New Roman"/>
                <w:sz w:val="24"/>
              </w:rPr>
              <w:t xml:space="preserve"> Az (EU) 2015/61 rendelet 13. cikke (2) bekezdése a) pontjának megfelelően csak az 1-es hitelminőségi besorolással rendelkező eszközfedezetű értékpapírok minősülhetnek 2B. szintű eszköznek.</w:t>
            </w:r>
          </w:p>
        </w:tc>
      </w:tr>
      <w:tr w:rsidR="001820FB" w:rsidRPr="00FE002E" w:rsidTr="00FE0FF1">
        <w:trPr>
          <w:trHeight w:val="304"/>
        </w:trPr>
        <w:tc>
          <w:tcPr>
            <w:tcW w:w="1418" w:type="dxa"/>
          </w:tcPr>
          <w:p w:rsidR="001820FB" w:rsidRDefault="001820FB" w:rsidP="003A5275">
            <w:pPr>
              <w:pStyle w:val="TableParagraph"/>
              <w:rPr>
                <w:rFonts w:ascii="Times New Roman" w:eastAsia="Times New Roman" w:hAnsi="Times New Roman" w:cs="Times New Roman"/>
                <w:sz w:val="24"/>
                <w:szCs w:val="24"/>
              </w:rPr>
            </w:pPr>
          </w:p>
          <w:p w:rsidR="001820FB" w:rsidRDefault="001820FB" w:rsidP="003A5275">
            <w:pPr>
              <w:pStyle w:val="TableParagraph"/>
              <w:spacing w:before="177"/>
              <w:ind w:left="102"/>
              <w:rPr>
                <w:rFonts w:ascii="Times New Roman" w:eastAsia="Times New Roman" w:hAnsi="Times New Roman" w:cs="Times New Roman"/>
                <w:sz w:val="24"/>
                <w:szCs w:val="24"/>
              </w:rPr>
            </w:pPr>
            <w:r>
              <w:rPr>
                <w:rFonts w:ascii="Times New Roman"/>
                <w:sz w:val="24"/>
              </w:rPr>
              <w:t>200</w:t>
            </w:r>
          </w:p>
        </w:tc>
        <w:tc>
          <w:tcPr>
            <w:tcW w:w="7590" w:type="dxa"/>
          </w:tcPr>
          <w:p w:rsidR="001820FB" w:rsidRPr="0011472E" w:rsidRDefault="001820FB" w:rsidP="007A4772">
            <w:pPr>
              <w:pStyle w:val="TableParagraph"/>
              <w:spacing w:before="119"/>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1.2.3.2</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2B. szintű fedezett kötvények (CQS 1-6)</w:t>
            </w:r>
          </w:p>
          <w:p w:rsidR="001820FB" w:rsidRPr="0011472E" w:rsidRDefault="001820FB" w:rsidP="007A4772">
            <w:pPr>
              <w:pStyle w:val="TableParagraph"/>
              <w:spacing w:before="117"/>
              <w:ind w:left="102" w:right="100"/>
              <w:rPr>
                <w:rFonts w:ascii="Times New Roman" w:eastAsia="Times New Roman" w:hAnsi="Times New Roman" w:cs="Times New Roman"/>
                <w:sz w:val="24"/>
                <w:szCs w:val="24"/>
              </w:rPr>
            </w:pPr>
            <w:r w:rsidRPr="0011472E">
              <w:rPr>
                <w:rFonts w:ascii="Times New Roman" w:hAnsi="Times New Roman" w:cs="Times New Roman"/>
                <w:spacing w:val="-1"/>
                <w:sz w:val="24"/>
              </w:rPr>
              <w:t>Az 1.2.3. pontban feltüntetett olyan pénzeszköz-kiáramlások összege, amelyet fedezett kötvény fedez.</w:t>
            </w:r>
          </w:p>
        </w:tc>
      </w:tr>
      <w:tr w:rsidR="001820FB" w:rsidRPr="00FE002E" w:rsidTr="00FE0FF1">
        <w:trPr>
          <w:trHeight w:val="304"/>
        </w:trPr>
        <w:tc>
          <w:tcPr>
            <w:tcW w:w="1418" w:type="dxa"/>
          </w:tcPr>
          <w:p w:rsidR="001820FB" w:rsidRDefault="001820FB" w:rsidP="003A5275">
            <w:pPr>
              <w:pStyle w:val="TableParagraph"/>
              <w:rPr>
                <w:rFonts w:ascii="Times New Roman" w:eastAsia="Times New Roman" w:hAnsi="Times New Roman" w:cs="Times New Roman"/>
                <w:sz w:val="24"/>
                <w:szCs w:val="24"/>
              </w:rPr>
            </w:pPr>
          </w:p>
          <w:p w:rsidR="001820FB" w:rsidRDefault="001820FB" w:rsidP="003A5275">
            <w:pPr>
              <w:pStyle w:val="TableParagraph"/>
              <w:spacing w:before="175"/>
              <w:ind w:left="102"/>
              <w:rPr>
                <w:rFonts w:ascii="Times New Roman" w:eastAsia="Times New Roman" w:hAnsi="Times New Roman" w:cs="Times New Roman"/>
                <w:sz w:val="24"/>
                <w:szCs w:val="24"/>
              </w:rPr>
            </w:pPr>
            <w:r>
              <w:rPr>
                <w:rFonts w:ascii="Times New Roman"/>
                <w:sz w:val="24"/>
              </w:rPr>
              <w:t>210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1.2.3.3</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2B. szintű vállalati kötvények (CQS 1-3)</w:t>
            </w:r>
          </w:p>
          <w:p w:rsidR="001820FB" w:rsidRPr="0011472E" w:rsidRDefault="001820FB" w:rsidP="007A4772">
            <w:pPr>
              <w:pStyle w:val="TableParagraph"/>
              <w:spacing w:before="117"/>
              <w:ind w:left="102" w:right="100"/>
              <w:rPr>
                <w:rFonts w:ascii="Times New Roman" w:eastAsia="Times New Roman" w:hAnsi="Times New Roman" w:cs="Times New Roman"/>
                <w:sz w:val="24"/>
                <w:szCs w:val="24"/>
              </w:rPr>
            </w:pPr>
            <w:r w:rsidRPr="0011472E">
              <w:rPr>
                <w:rFonts w:ascii="Times New Roman" w:hAnsi="Times New Roman" w:cs="Times New Roman"/>
                <w:spacing w:val="-1"/>
                <w:sz w:val="24"/>
              </w:rPr>
              <w:t xml:space="preserve">Az 1.2.3. pontban feltüntetett olyan pénzeszköz-kiáramlások összege, </w:t>
            </w:r>
            <w:r w:rsidRPr="0011472E">
              <w:rPr>
                <w:rFonts w:ascii="Times New Roman" w:hAnsi="Times New Roman" w:cs="Times New Roman"/>
                <w:spacing w:val="-1"/>
                <w:sz w:val="24"/>
              </w:rPr>
              <w:lastRenderedPageBreak/>
              <w:t>amelyet hitelviszonyt megtestesítő vállalati értékpapír fedez.</w:t>
            </w:r>
          </w:p>
        </w:tc>
      </w:tr>
      <w:tr w:rsidR="001820FB" w:rsidRPr="00FE002E" w:rsidTr="00FE0FF1">
        <w:trPr>
          <w:trHeight w:val="304"/>
        </w:trPr>
        <w:tc>
          <w:tcPr>
            <w:tcW w:w="1418" w:type="dxa"/>
          </w:tcPr>
          <w:p w:rsidR="001820FB" w:rsidRDefault="001820FB" w:rsidP="003A5275">
            <w:pPr>
              <w:pStyle w:val="TableParagraph"/>
              <w:spacing w:before="3"/>
              <w:rPr>
                <w:rFonts w:ascii="Times New Roman" w:eastAsia="Times New Roman" w:hAnsi="Times New Roman" w:cs="Times New Roman"/>
                <w:sz w:val="27"/>
                <w:szCs w:val="27"/>
              </w:rPr>
            </w:pPr>
          </w:p>
          <w:p w:rsidR="001820FB" w:rsidRDefault="001820FB" w:rsidP="003A5275">
            <w:pPr>
              <w:pStyle w:val="TableParagraph"/>
              <w:ind w:left="102"/>
              <w:rPr>
                <w:rFonts w:ascii="Times New Roman" w:eastAsia="Times New Roman" w:hAnsi="Times New Roman" w:cs="Times New Roman"/>
                <w:sz w:val="24"/>
                <w:szCs w:val="24"/>
              </w:rPr>
            </w:pPr>
            <w:r>
              <w:rPr>
                <w:rFonts w:ascii="Times New Roman"/>
                <w:sz w:val="24"/>
              </w:rPr>
              <w:t>220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1.2.3.4</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2B. szintű részvények</w:t>
            </w:r>
          </w:p>
          <w:p w:rsidR="001820FB" w:rsidRPr="0011472E" w:rsidRDefault="001820FB" w:rsidP="007A4772">
            <w:pPr>
              <w:pStyle w:val="TableParagraph"/>
              <w:spacing w:before="117"/>
              <w:ind w:left="102"/>
              <w:rPr>
                <w:rFonts w:ascii="Times New Roman" w:eastAsia="Times New Roman" w:hAnsi="Times New Roman" w:cs="Times New Roman"/>
                <w:sz w:val="24"/>
                <w:szCs w:val="24"/>
              </w:rPr>
            </w:pPr>
            <w:r w:rsidRPr="0011472E">
              <w:rPr>
                <w:rFonts w:ascii="Times New Roman" w:hAnsi="Times New Roman" w:cs="Times New Roman"/>
                <w:spacing w:val="-1"/>
                <w:sz w:val="24"/>
              </w:rPr>
              <w:t>Az 1.2.3. pontban feltüntetett olyan pénzeszköz-kiáramlások összege, amely</w:t>
            </w:r>
            <w:r w:rsidR="00D35E23">
              <w:rPr>
                <w:rFonts w:ascii="Times New Roman" w:hAnsi="Times New Roman" w:cs="Times New Roman"/>
                <w:spacing w:val="-1"/>
                <w:sz w:val="24"/>
              </w:rPr>
              <w:t>et</w:t>
            </w:r>
            <w:r w:rsidRPr="0011472E">
              <w:rPr>
                <w:rFonts w:ascii="Times New Roman" w:hAnsi="Times New Roman" w:cs="Times New Roman"/>
                <w:spacing w:val="-1"/>
                <w:sz w:val="24"/>
              </w:rPr>
              <w:t xml:space="preserve"> részvény</w:t>
            </w:r>
            <w:r w:rsidR="00D35E23">
              <w:rPr>
                <w:rFonts w:ascii="Times New Roman" w:hAnsi="Times New Roman" w:cs="Times New Roman"/>
                <w:spacing w:val="-1"/>
                <w:sz w:val="24"/>
              </w:rPr>
              <w:t xml:space="preserve"> fedez</w:t>
            </w:r>
            <w:r w:rsidRPr="0011472E">
              <w:rPr>
                <w:rFonts w:ascii="Times New Roman" w:hAnsi="Times New Roman" w:cs="Times New Roman"/>
                <w:spacing w:val="-1"/>
                <w:sz w:val="24"/>
              </w:rPr>
              <w:t>.</w:t>
            </w:r>
          </w:p>
        </w:tc>
      </w:tr>
      <w:tr w:rsidR="001820FB" w:rsidRPr="00FE002E" w:rsidTr="00FE0FF1">
        <w:trPr>
          <w:trHeight w:val="304"/>
        </w:trPr>
        <w:tc>
          <w:tcPr>
            <w:tcW w:w="1418" w:type="dxa"/>
          </w:tcPr>
          <w:p w:rsidR="001820FB" w:rsidRDefault="001820FB" w:rsidP="003A5275">
            <w:pPr>
              <w:pStyle w:val="TableParagraph"/>
              <w:rPr>
                <w:rFonts w:ascii="Times New Roman" w:eastAsia="Times New Roman" w:hAnsi="Times New Roman" w:cs="Times New Roman"/>
                <w:sz w:val="24"/>
                <w:szCs w:val="24"/>
              </w:rPr>
            </w:pPr>
          </w:p>
          <w:p w:rsidR="001820FB" w:rsidRDefault="001820FB" w:rsidP="003A5275">
            <w:pPr>
              <w:pStyle w:val="TableParagraph"/>
              <w:spacing w:before="175"/>
              <w:ind w:left="102"/>
              <w:rPr>
                <w:rFonts w:ascii="Times New Roman" w:eastAsia="Times New Roman" w:hAnsi="Times New Roman" w:cs="Times New Roman"/>
                <w:sz w:val="24"/>
                <w:szCs w:val="24"/>
              </w:rPr>
            </w:pPr>
            <w:r>
              <w:rPr>
                <w:rFonts w:ascii="Times New Roman"/>
                <w:sz w:val="24"/>
              </w:rPr>
              <w:t>230</w:t>
            </w:r>
          </w:p>
        </w:tc>
        <w:tc>
          <w:tcPr>
            <w:tcW w:w="7590" w:type="dxa"/>
          </w:tcPr>
          <w:p w:rsidR="001820FB" w:rsidRPr="0011472E" w:rsidRDefault="001820FB" w:rsidP="007A4772">
            <w:pPr>
              <w:pStyle w:val="TableParagraph"/>
              <w:spacing w:before="119"/>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1.2.3.5</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2B. szintű közszektorbeli intézményi eszközök (CQS 3-5)</w:t>
            </w:r>
          </w:p>
          <w:p w:rsidR="001820FB" w:rsidRPr="0011472E" w:rsidRDefault="001820FB" w:rsidP="007A4772">
            <w:pPr>
              <w:pStyle w:val="TableParagraph"/>
              <w:spacing w:before="116"/>
              <w:ind w:left="102" w:right="99"/>
              <w:rPr>
                <w:rFonts w:ascii="Times New Roman" w:eastAsia="Times New Roman" w:hAnsi="Times New Roman" w:cs="Times New Roman"/>
                <w:sz w:val="24"/>
                <w:szCs w:val="24"/>
              </w:rPr>
            </w:pPr>
            <w:r w:rsidRPr="0011472E">
              <w:rPr>
                <w:rFonts w:ascii="Times New Roman" w:hAnsi="Times New Roman" w:cs="Times New Roman"/>
                <w:spacing w:val="-1"/>
                <w:sz w:val="24"/>
              </w:rPr>
              <w:t>Az 1.2.3. pontban feltüntetett olyan pénzeszköz-kiáramlások összege, amely</w:t>
            </w:r>
            <w:r w:rsidR="00D35E23">
              <w:rPr>
                <w:rFonts w:ascii="Times New Roman" w:hAnsi="Times New Roman" w:cs="Times New Roman"/>
                <w:spacing w:val="-1"/>
                <w:sz w:val="24"/>
              </w:rPr>
              <w:t>et</w:t>
            </w:r>
            <w:r w:rsidRPr="0011472E">
              <w:rPr>
                <w:rFonts w:ascii="Times New Roman" w:hAnsi="Times New Roman" w:cs="Times New Roman"/>
                <w:spacing w:val="-1"/>
                <w:sz w:val="24"/>
              </w:rPr>
              <w:t xml:space="preserve"> nem az 1.2.3.1–1.2.3.4. pontban feltüntetett 2B. szintű eszköz</w:t>
            </w:r>
            <w:r w:rsidR="00D35E23">
              <w:rPr>
                <w:rFonts w:ascii="Times New Roman" w:hAnsi="Times New Roman" w:cs="Times New Roman"/>
                <w:spacing w:val="-1"/>
                <w:sz w:val="24"/>
              </w:rPr>
              <w:t xml:space="preserve"> fedez</w:t>
            </w:r>
            <w:r w:rsidRPr="0011472E">
              <w:rPr>
                <w:rFonts w:ascii="Times New Roman" w:hAnsi="Times New Roman" w:cs="Times New Roman"/>
                <w:spacing w:val="-1"/>
                <w:sz w:val="24"/>
              </w:rPr>
              <w:t>.</w:t>
            </w:r>
          </w:p>
        </w:tc>
      </w:tr>
      <w:tr w:rsidR="001820FB" w:rsidRPr="00FE002E" w:rsidTr="00FE0FF1">
        <w:trPr>
          <w:trHeight w:val="304"/>
        </w:trPr>
        <w:tc>
          <w:tcPr>
            <w:tcW w:w="1418" w:type="dxa"/>
          </w:tcPr>
          <w:p w:rsidR="001820FB" w:rsidRDefault="001820FB" w:rsidP="003A5275">
            <w:pPr>
              <w:pStyle w:val="TableParagraph"/>
              <w:rPr>
                <w:rFonts w:ascii="Times New Roman" w:eastAsia="Times New Roman" w:hAnsi="Times New Roman" w:cs="Times New Roman"/>
                <w:sz w:val="24"/>
                <w:szCs w:val="24"/>
              </w:rPr>
            </w:pPr>
          </w:p>
          <w:p w:rsidR="001820FB" w:rsidRDefault="001820FB" w:rsidP="003A5275">
            <w:pPr>
              <w:pStyle w:val="TableParagraph"/>
              <w:spacing w:before="177"/>
              <w:ind w:left="102"/>
              <w:rPr>
                <w:rFonts w:ascii="Times New Roman" w:eastAsia="Times New Roman" w:hAnsi="Times New Roman" w:cs="Times New Roman"/>
                <w:sz w:val="24"/>
                <w:szCs w:val="24"/>
              </w:rPr>
            </w:pPr>
            <w:r>
              <w:rPr>
                <w:rFonts w:ascii="Times New Roman"/>
                <w:sz w:val="24"/>
              </w:rPr>
              <w:t>240</w:t>
            </w:r>
          </w:p>
        </w:tc>
        <w:tc>
          <w:tcPr>
            <w:tcW w:w="7590" w:type="dxa"/>
          </w:tcPr>
          <w:p w:rsidR="001820FB" w:rsidRPr="0011472E" w:rsidRDefault="001820FB" w:rsidP="007A4772">
            <w:pPr>
              <w:pStyle w:val="TableParagraph"/>
              <w:spacing w:before="119"/>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1.2.4</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egyéb forgalomképes eszköz</w:t>
            </w:r>
          </w:p>
          <w:p w:rsidR="001820FB" w:rsidRPr="0011472E" w:rsidRDefault="001820FB" w:rsidP="007A4772">
            <w:pPr>
              <w:pStyle w:val="TableParagraph"/>
              <w:spacing w:before="117"/>
              <w:ind w:left="102" w:right="101"/>
              <w:rPr>
                <w:rFonts w:ascii="Times New Roman" w:eastAsia="Times New Roman" w:hAnsi="Times New Roman" w:cs="Times New Roman"/>
                <w:sz w:val="24"/>
                <w:szCs w:val="24"/>
              </w:rPr>
            </w:pPr>
            <w:r w:rsidRPr="0011472E">
              <w:rPr>
                <w:rFonts w:ascii="Times New Roman" w:hAnsi="Times New Roman" w:cs="Times New Roman"/>
                <w:spacing w:val="-1"/>
                <w:sz w:val="24"/>
              </w:rPr>
              <w:t>Az 1.2. pontban feltüntetett pénzeszköz-kiáramlások összege, amelyet nem az 1.2.1., 1.2.2. vagy 1.2.3. pontban feltüntetett forgalomképes eszközök fedeznek.</w:t>
            </w:r>
          </w:p>
        </w:tc>
      </w:tr>
      <w:tr w:rsidR="001820FB" w:rsidRPr="00FE002E" w:rsidTr="00FE0FF1">
        <w:trPr>
          <w:trHeight w:val="304"/>
        </w:trPr>
        <w:tc>
          <w:tcPr>
            <w:tcW w:w="1418" w:type="dxa"/>
          </w:tcPr>
          <w:p w:rsidR="001820FB" w:rsidRDefault="001820FB" w:rsidP="003A5275">
            <w:pPr>
              <w:pStyle w:val="TableParagraph"/>
              <w:rPr>
                <w:rFonts w:ascii="Times New Roman" w:eastAsia="Times New Roman" w:hAnsi="Times New Roman" w:cs="Times New Roman"/>
                <w:sz w:val="24"/>
                <w:szCs w:val="24"/>
              </w:rPr>
            </w:pPr>
          </w:p>
          <w:p w:rsidR="001820FB" w:rsidRDefault="001820FB" w:rsidP="003A5275">
            <w:pPr>
              <w:pStyle w:val="TableParagraph"/>
              <w:spacing w:before="175"/>
              <w:ind w:left="102"/>
              <w:rPr>
                <w:rFonts w:ascii="Times New Roman" w:eastAsia="Times New Roman" w:hAnsi="Times New Roman" w:cs="Times New Roman"/>
                <w:sz w:val="24"/>
                <w:szCs w:val="24"/>
              </w:rPr>
            </w:pPr>
            <w:r>
              <w:rPr>
                <w:rFonts w:ascii="Times New Roman"/>
                <w:sz w:val="24"/>
              </w:rPr>
              <w:t>250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1.2.5</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egyéb eszközök</w:t>
            </w:r>
          </w:p>
          <w:p w:rsidR="001820FB" w:rsidRPr="0011472E" w:rsidRDefault="001820FB" w:rsidP="007A4772">
            <w:pPr>
              <w:pStyle w:val="TableParagraph"/>
              <w:spacing w:before="117"/>
              <w:ind w:left="102" w:right="101"/>
              <w:rPr>
                <w:rFonts w:ascii="Times New Roman" w:eastAsia="Times New Roman" w:hAnsi="Times New Roman" w:cs="Times New Roman"/>
                <w:sz w:val="24"/>
                <w:szCs w:val="24"/>
              </w:rPr>
            </w:pPr>
            <w:r w:rsidRPr="0011472E">
              <w:rPr>
                <w:rFonts w:ascii="Times New Roman" w:hAnsi="Times New Roman" w:cs="Times New Roman"/>
                <w:spacing w:val="-1"/>
                <w:sz w:val="24"/>
              </w:rPr>
              <w:t>Az 1.2. pontban feltüntetett pénzeszköz-kiáramlások összege, amelyet nem az 1.2.1., 1.2.2., 1.2.3. vagy 1.2.4. pontban feltüntetett eszközök fedeznek.</w:t>
            </w:r>
          </w:p>
        </w:tc>
      </w:tr>
      <w:tr w:rsidR="001820FB" w:rsidRPr="00FE002E" w:rsidTr="00FE0FF1">
        <w:trPr>
          <w:trHeight w:val="304"/>
        </w:trPr>
        <w:tc>
          <w:tcPr>
            <w:tcW w:w="1418" w:type="dxa"/>
          </w:tcPr>
          <w:p w:rsidR="001820FB" w:rsidRDefault="001820FB" w:rsidP="003A5275">
            <w:pPr>
              <w:pStyle w:val="TableParagraph"/>
              <w:rPr>
                <w:rFonts w:ascii="Times New Roman" w:eastAsia="Times New Roman" w:hAnsi="Times New Roman" w:cs="Times New Roman"/>
                <w:sz w:val="24"/>
                <w:szCs w:val="24"/>
              </w:rPr>
            </w:pPr>
          </w:p>
          <w:p w:rsidR="001820FB" w:rsidRDefault="001820FB" w:rsidP="003A5275">
            <w:pPr>
              <w:pStyle w:val="TableParagraph"/>
              <w:rPr>
                <w:rFonts w:ascii="Times New Roman" w:eastAsia="Times New Roman" w:hAnsi="Times New Roman" w:cs="Times New Roman"/>
                <w:sz w:val="24"/>
                <w:szCs w:val="24"/>
              </w:rPr>
            </w:pPr>
          </w:p>
          <w:p w:rsidR="001820FB" w:rsidRDefault="001820FB" w:rsidP="003A5275">
            <w:pPr>
              <w:pStyle w:val="TableParagraph"/>
              <w:rPr>
                <w:rFonts w:ascii="Times New Roman" w:eastAsia="Times New Roman" w:hAnsi="Times New Roman" w:cs="Times New Roman"/>
                <w:sz w:val="24"/>
                <w:szCs w:val="24"/>
              </w:rPr>
            </w:pPr>
          </w:p>
          <w:p w:rsidR="001820FB" w:rsidRDefault="001820FB" w:rsidP="003A5275">
            <w:pPr>
              <w:pStyle w:val="TableParagraph"/>
              <w:rPr>
                <w:rFonts w:ascii="Times New Roman" w:eastAsia="Times New Roman" w:hAnsi="Times New Roman" w:cs="Times New Roman"/>
                <w:sz w:val="24"/>
                <w:szCs w:val="24"/>
              </w:rPr>
            </w:pPr>
          </w:p>
          <w:p w:rsidR="001820FB" w:rsidRDefault="001820FB" w:rsidP="003A5275">
            <w:pPr>
              <w:pStyle w:val="TableParagraph"/>
              <w:spacing w:before="3"/>
              <w:rPr>
                <w:rFonts w:ascii="Times New Roman" w:eastAsia="Times New Roman" w:hAnsi="Times New Roman" w:cs="Times New Roman"/>
                <w:sz w:val="27"/>
                <w:szCs w:val="27"/>
              </w:rPr>
            </w:pPr>
          </w:p>
          <w:p w:rsidR="001820FB" w:rsidRDefault="001820FB" w:rsidP="003A5275">
            <w:pPr>
              <w:pStyle w:val="TableParagraph"/>
              <w:ind w:left="102"/>
              <w:rPr>
                <w:rFonts w:ascii="Times New Roman" w:eastAsia="Times New Roman" w:hAnsi="Times New Roman" w:cs="Times New Roman"/>
                <w:sz w:val="24"/>
                <w:szCs w:val="24"/>
              </w:rPr>
            </w:pPr>
            <w:r>
              <w:rPr>
                <w:rFonts w:ascii="Times New Roman"/>
                <w:sz w:val="24"/>
              </w:rPr>
              <w:t>260</w:t>
            </w:r>
          </w:p>
        </w:tc>
        <w:tc>
          <w:tcPr>
            <w:tcW w:w="7590" w:type="dxa"/>
          </w:tcPr>
          <w:p w:rsidR="001820FB" w:rsidRPr="0011472E" w:rsidRDefault="001820FB" w:rsidP="007A4772">
            <w:pPr>
              <w:pStyle w:val="TableParagraph"/>
              <w:spacing w:before="118"/>
              <w:ind w:left="102" w:right="99"/>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1.3</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Az elhelyezett betétekből származó, az 1.2. pontban nem szereplő kötelezettségek (a biztosítékként kapott betétek kivételével)</w:t>
            </w:r>
          </w:p>
          <w:p w:rsidR="001820FB" w:rsidRPr="0011472E" w:rsidRDefault="001820FB" w:rsidP="007A4772">
            <w:pPr>
              <w:pStyle w:val="TableParagraph"/>
              <w:spacing w:before="117"/>
              <w:ind w:left="102" w:right="98"/>
              <w:jc w:val="both"/>
              <w:rPr>
                <w:rFonts w:ascii="Times New Roman" w:eastAsia="Times New Roman" w:hAnsi="Times New Roman" w:cs="Times New Roman"/>
                <w:sz w:val="24"/>
                <w:szCs w:val="24"/>
              </w:rPr>
            </w:pPr>
            <w:r w:rsidRPr="0011472E">
              <w:rPr>
                <w:rFonts w:ascii="Times New Roman" w:hAnsi="Times New Roman" w:cs="Times New Roman"/>
                <w:spacing w:val="-1"/>
                <w:sz w:val="24"/>
              </w:rPr>
              <w:t>Az elhelyezett betétekből származó pénzeszköz-kiáramlások az 1.2. pontban feltüntetett kiáramlások és a biztosítékként elhelyezett betétek kivételével. A származtatott ügyletekből származó pénzeszköz-kiáramlásokat az 1.4. vagy 1.5. pontban kell feltüntetni.</w:t>
            </w:r>
          </w:p>
          <w:p w:rsidR="001820FB" w:rsidRPr="0011472E" w:rsidRDefault="001820FB" w:rsidP="007A4772">
            <w:pPr>
              <w:pStyle w:val="TableParagraph"/>
              <w:spacing w:before="120"/>
              <w:ind w:left="102" w:right="99"/>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betéteket a szerződés szerinti legkorábbi lejárati nappal kell szerepeltetni. Az előzetes figyelmeztetés nélkül, azonnal felvehető betéteket („látra szóló betétek”) és a lejárat nélküli betéteket az „egynapos” lejárati sávban kell feltüntetni.</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3"/>
              <w:rPr>
                <w:rFonts w:ascii="Times New Roman" w:eastAsia="Times New Roman" w:hAnsi="Times New Roman" w:cs="Times New Roman"/>
                <w:sz w:val="27"/>
                <w:szCs w:val="27"/>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270</w:t>
            </w:r>
          </w:p>
        </w:tc>
        <w:tc>
          <w:tcPr>
            <w:tcW w:w="7590" w:type="dxa"/>
          </w:tcPr>
          <w:p w:rsidR="001820FB" w:rsidRPr="0011472E" w:rsidRDefault="001820FB" w:rsidP="001820FB">
            <w:pPr>
              <w:widowControl w:val="0"/>
              <w:spacing w:before="118"/>
              <w:ind w:left="102"/>
              <w:jc w:val="both"/>
              <w:rPr>
                <w:rFonts w:ascii="Times New Roman" w:hAnsi="Times New Roman"/>
                <w:color w:val="auto"/>
                <w:sz w:val="24"/>
                <w:szCs w:val="24"/>
              </w:rPr>
            </w:pPr>
            <w:r w:rsidRPr="0011472E">
              <w:rPr>
                <w:rFonts w:ascii="Times New Roman" w:hAnsi="Times New Roman"/>
                <w:b/>
                <w:color w:val="auto"/>
                <w:sz w:val="24"/>
                <w:u w:val="thick" w:color="000000"/>
              </w:rPr>
              <w:t>1.3.1</w:t>
            </w:r>
            <w:r w:rsidR="0064488F">
              <w:rPr>
                <w:rFonts w:ascii="Times New Roman" w:hAnsi="Times New Roman"/>
                <w:b/>
                <w:spacing w:val="-1"/>
                <w:sz w:val="24"/>
                <w:u w:val="thick" w:color="000000"/>
              </w:rPr>
              <w:t xml:space="preserve"> </w:t>
            </w:r>
            <w:r w:rsidRPr="0011472E">
              <w:rPr>
                <w:rFonts w:ascii="Times New Roman" w:hAnsi="Times New Roman"/>
                <w:b/>
                <w:color w:val="auto"/>
                <w:spacing w:val="-1"/>
                <w:sz w:val="24"/>
                <w:u w:val="thick" w:color="000000"/>
              </w:rPr>
              <w:t>stabil lakossági betétek</w:t>
            </w:r>
          </w:p>
          <w:p w:rsidR="001820FB" w:rsidRPr="0011472E" w:rsidRDefault="001820FB" w:rsidP="001820FB">
            <w:pPr>
              <w:pStyle w:val="TableParagraph"/>
              <w:spacing w:before="118"/>
              <w:ind w:left="102"/>
              <w:jc w:val="both"/>
              <w:rPr>
                <w:rFonts w:ascii="Times New Roman" w:hAnsi="Times New Roman" w:cs="Times New Roman"/>
                <w:b/>
                <w:sz w:val="24"/>
                <w:u w:val="thick" w:color="000000"/>
              </w:rPr>
            </w:pPr>
            <w:r w:rsidRPr="0011472E">
              <w:rPr>
                <w:rFonts w:ascii="Times New Roman" w:hAnsi="Times New Roman" w:cs="Times New Roman"/>
                <w:spacing w:val="-1"/>
                <w:sz w:val="24"/>
              </w:rPr>
              <w:t>Az 1.3. pontban feltüntetett, az (EU) 2015/61 rendelet 3. cikkének 8. pontja és 24. cikke szerinti lakossági betétekből származó pénzeszköz-kiáramlások összege.</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3"/>
              <w:rPr>
                <w:rFonts w:ascii="Times New Roman" w:eastAsia="Times New Roman" w:hAnsi="Times New Roman" w:cs="Times New Roman"/>
                <w:sz w:val="27"/>
                <w:szCs w:val="27"/>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280</w:t>
            </w:r>
          </w:p>
        </w:tc>
        <w:tc>
          <w:tcPr>
            <w:tcW w:w="7590" w:type="dxa"/>
          </w:tcPr>
          <w:p w:rsidR="001820FB" w:rsidRPr="0011472E" w:rsidRDefault="001820FB" w:rsidP="007A4772">
            <w:pPr>
              <w:pStyle w:val="TableParagraph"/>
              <w:spacing w:before="118"/>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1.3.2</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egyéb lakossági betétek</w:t>
            </w:r>
          </w:p>
          <w:p w:rsidR="001820FB" w:rsidRPr="0011472E" w:rsidRDefault="001820FB" w:rsidP="007A4772">
            <w:pPr>
              <w:pStyle w:val="TableParagraph"/>
              <w:spacing w:before="117"/>
              <w:ind w:left="102" w:right="99"/>
              <w:jc w:val="both"/>
              <w:rPr>
                <w:rFonts w:ascii="Times New Roman" w:eastAsia="Times New Roman" w:hAnsi="Times New Roman" w:cs="Times New Roman"/>
                <w:sz w:val="24"/>
                <w:szCs w:val="24"/>
              </w:rPr>
            </w:pPr>
            <w:r w:rsidRPr="0011472E">
              <w:rPr>
                <w:rFonts w:ascii="Times New Roman" w:hAnsi="Times New Roman" w:cs="Times New Roman"/>
                <w:spacing w:val="-1"/>
                <w:sz w:val="24"/>
              </w:rPr>
              <w:t>Az 1.3. pontban feltüntetett, az (EU) 2015/61 rendelet 3. cikkének 8. pontja szerinti lakossági betétekből származó pénzeszköz-kiáramlások összege, az 1.3.1. pontban feltüntetett kiáramlások kivételével.</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4"/>
              <w:rPr>
                <w:rFonts w:ascii="Times New Roman" w:eastAsia="Times New Roman" w:hAnsi="Times New Roman" w:cs="Times New Roman"/>
                <w:sz w:val="27"/>
                <w:szCs w:val="27"/>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290</w:t>
            </w:r>
          </w:p>
        </w:tc>
        <w:tc>
          <w:tcPr>
            <w:tcW w:w="7590" w:type="dxa"/>
          </w:tcPr>
          <w:p w:rsidR="001820FB" w:rsidRPr="0011472E" w:rsidRDefault="001820FB" w:rsidP="007A4772">
            <w:pPr>
              <w:pStyle w:val="TableParagraph"/>
              <w:spacing w:before="119"/>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1.3.3</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operatív betétek</w:t>
            </w:r>
          </w:p>
          <w:p w:rsidR="001820FB" w:rsidRPr="0011472E" w:rsidRDefault="001820FB" w:rsidP="007A4772">
            <w:pPr>
              <w:pStyle w:val="TableParagraph"/>
              <w:spacing w:before="117"/>
              <w:ind w:left="102" w:right="99"/>
              <w:jc w:val="both"/>
              <w:rPr>
                <w:rFonts w:ascii="Times New Roman" w:eastAsia="Times New Roman" w:hAnsi="Times New Roman" w:cs="Times New Roman"/>
                <w:sz w:val="24"/>
                <w:szCs w:val="24"/>
              </w:rPr>
            </w:pPr>
            <w:r w:rsidRPr="0011472E">
              <w:rPr>
                <w:rFonts w:ascii="Times New Roman" w:hAnsi="Times New Roman" w:cs="Times New Roman"/>
                <w:spacing w:val="-1"/>
                <w:sz w:val="24"/>
              </w:rPr>
              <w:t>Az 1.3. pontban feltüntetett, az (EU) 2015/61 rendelet 27. cikke szerinti operatív betétekből származó pénzeszköz-kiáramlások összege.</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75"/>
              <w:ind w:left="102"/>
              <w:rPr>
                <w:rFonts w:ascii="Times New Roman" w:eastAsia="Times New Roman" w:hAnsi="Times New Roman" w:cs="Times New Roman"/>
                <w:sz w:val="24"/>
                <w:szCs w:val="24"/>
              </w:rPr>
            </w:pPr>
            <w:r>
              <w:rPr>
                <w:rFonts w:ascii="Times New Roman"/>
                <w:sz w:val="24"/>
              </w:rPr>
              <w:t>300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1.3.4</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hitelintézetektől származó nem operatív betétek</w:t>
            </w:r>
          </w:p>
          <w:p w:rsidR="001820FB" w:rsidRPr="0011472E" w:rsidRDefault="001820FB" w:rsidP="007A4772">
            <w:pPr>
              <w:pStyle w:val="TableParagraph"/>
              <w:spacing w:before="117"/>
              <w:ind w:left="102" w:right="99"/>
              <w:rPr>
                <w:rFonts w:ascii="Times New Roman" w:eastAsia="Times New Roman" w:hAnsi="Times New Roman" w:cs="Times New Roman"/>
                <w:sz w:val="24"/>
                <w:szCs w:val="24"/>
              </w:rPr>
            </w:pPr>
            <w:r w:rsidRPr="0011472E">
              <w:rPr>
                <w:rFonts w:ascii="Times New Roman" w:hAnsi="Times New Roman" w:cs="Times New Roman"/>
                <w:spacing w:val="-1"/>
                <w:sz w:val="24"/>
              </w:rPr>
              <w:t xml:space="preserve">Az 1.3. pontban feltüntetett, hitelintézeti betétekből származó pénzeszköz-kiáramlások összege, az 1.3.3. pontban feltüntetett kiáramlások </w:t>
            </w:r>
            <w:r w:rsidRPr="0011472E">
              <w:rPr>
                <w:rFonts w:ascii="Times New Roman" w:hAnsi="Times New Roman" w:cs="Times New Roman"/>
                <w:spacing w:val="-1"/>
                <w:sz w:val="24"/>
              </w:rPr>
              <w:lastRenderedPageBreak/>
              <w:t>kivételével.</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3"/>
              <w:rPr>
                <w:rFonts w:ascii="Times New Roman" w:eastAsia="Times New Roman" w:hAnsi="Times New Roman" w:cs="Times New Roman"/>
                <w:sz w:val="27"/>
                <w:szCs w:val="27"/>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310</w:t>
            </w:r>
          </w:p>
        </w:tc>
        <w:tc>
          <w:tcPr>
            <w:tcW w:w="7590" w:type="dxa"/>
          </w:tcPr>
          <w:p w:rsidR="001820FB" w:rsidRPr="0011472E" w:rsidRDefault="001820FB" w:rsidP="007A4772">
            <w:pPr>
              <w:pStyle w:val="TableParagraph"/>
              <w:spacing w:before="118"/>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1.3.5</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egyéb pénzügyi ügyfelektől származó nem operatív betétek</w:t>
            </w:r>
          </w:p>
          <w:p w:rsidR="001820FB" w:rsidRPr="0011472E" w:rsidRDefault="001820FB" w:rsidP="007A4772">
            <w:pPr>
              <w:pStyle w:val="TableParagraph"/>
              <w:spacing w:before="117"/>
              <w:ind w:left="102" w:right="99"/>
              <w:jc w:val="both"/>
              <w:rPr>
                <w:rFonts w:ascii="Times New Roman" w:eastAsia="Times New Roman" w:hAnsi="Times New Roman" w:cs="Times New Roman"/>
                <w:sz w:val="24"/>
                <w:szCs w:val="24"/>
              </w:rPr>
            </w:pPr>
            <w:r w:rsidRPr="0011472E">
              <w:rPr>
                <w:rFonts w:ascii="Times New Roman" w:hAnsi="Times New Roman" w:cs="Times New Roman"/>
                <w:spacing w:val="-1"/>
                <w:sz w:val="24"/>
              </w:rPr>
              <w:t>Az 1.3. pontban feltüntetett, az (EU) 2015/61 rendelet 3. cikkének 9. pontja szerinti pénzügyi ügyfelek által elhelyezett betétekből származó pénzeszköz-kiáramlások összege, az 1.3.3. és 1.3.4. pontban feltüntetett kiáramlások kivételével.</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75"/>
              <w:ind w:left="102"/>
              <w:rPr>
                <w:rFonts w:ascii="Times New Roman" w:eastAsia="Times New Roman" w:hAnsi="Times New Roman" w:cs="Times New Roman"/>
                <w:sz w:val="24"/>
                <w:szCs w:val="24"/>
              </w:rPr>
            </w:pPr>
            <w:r>
              <w:rPr>
                <w:rFonts w:ascii="Times New Roman"/>
                <w:sz w:val="24"/>
              </w:rPr>
              <w:t>320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1.3.6</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központi bankoktól származó nem operatív betétek</w:t>
            </w:r>
          </w:p>
          <w:p w:rsidR="001820FB" w:rsidRPr="0011472E" w:rsidRDefault="001820FB" w:rsidP="001A3E77">
            <w:pPr>
              <w:pStyle w:val="TableParagraph"/>
              <w:spacing w:before="117"/>
              <w:ind w:left="102" w:right="100"/>
              <w:rPr>
                <w:rFonts w:ascii="Times New Roman" w:eastAsia="Times New Roman" w:hAnsi="Times New Roman" w:cs="Times New Roman"/>
                <w:sz w:val="24"/>
                <w:szCs w:val="24"/>
              </w:rPr>
            </w:pPr>
            <w:r w:rsidRPr="0011472E">
              <w:rPr>
                <w:rFonts w:ascii="Times New Roman" w:hAnsi="Times New Roman" w:cs="Times New Roman"/>
                <w:spacing w:val="-1"/>
                <w:sz w:val="24"/>
              </w:rPr>
              <w:t>Az 1.3. pontban feltüntetett, központi bankok által elhelyezett nem operatív betétekből származó pénzeszköz-kiáramlások összege.</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77"/>
              <w:ind w:left="102"/>
              <w:rPr>
                <w:rFonts w:ascii="Times New Roman" w:eastAsia="Times New Roman" w:hAnsi="Times New Roman" w:cs="Times New Roman"/>
                <w:sz w:val="24"/>
                <w:szCs w:val="24"/>
              </w:rPr>
            </w:pPr>
            <w:r>
              <w:rPr>
                <w:rFonts w:ascii="Times New Roman"/>
                <w:sz w:val="24"/>
              </w:rPr>
              <w:t>330</w:t>
            </w:r>
          </w:p>
        </w:tc>
        <w:tc>
          <w:tcPr>
            <w:tcW w:w="7590" w:type="dxa"/>
          </w:tcPr>
          <w:p w:rsidR="001820FB" w:rsidRPr="0011472E" w:rsidRDefault="001820FB" w:rsidP="007A4772">
            <w:pPr>
              <w:pStyle w:val="TableParagraph"/>
              <w:spacing w:before="119"/>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1.3.7</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nem pénzügyi vállalatoktól származó nem operatív betétek</w:t>
            </w:r>
          </w:p>
          <w:p w:rsidR="001820FB" w:rsidRPr="0011472E" w:rsidRDefault="001820FB" w:rsidP="007A4772">
            <w:pPr>
              <w:pStyle w:val="TableParagraph"/>
              <w:spacing w:before="117"/>
              <w:ind w:left="102" w:right="100"/>
              <w:rPr>
                <w:rFonts w:ascii="Times New Roman" w:eastAsia="Times New Roman" w:hAnsi="Times New Roman" w:cs="Times New Roman"/>
                <w:sz w:val="24"/>
                <w:szCs w:val="24"/>
              </w:rPr>
            </w:pPr>
            <w:r w:rsidRPr="0011472E">
              <w:rPr>
                <w:rFonts w:ascii="Times New Roman" w:hAnsi="Times New Roman" w:cs="Times New Roman"/>
                <w:spacing w:val="-1"/>
                <w:sz w:val="24"/>
              </w:rPr>
              <w:t>Az 1.3. pontban feltüntetett, nem pénzügyi vállalatok által elhelyezett nem operatív betétekből származó pénzeszköz-kiáramlások összege.</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75"/>
              <w:ind w:left="102"/>
              <w:rPr>
                <w:rFonts w:ascii="Times New Roman" w:eastAsia="Times New Roman" w:hAnsi="Times New Roman" w:cs="Times New Roman"/>
                <w:sz w:val="24"/>
                <w:szCs w:val="24"/>
              </w:rPr>
            </w:pPr>
            <w:r>
              <w:rPr>
                <w:rFonts w:ascii="Times New Roman"/>
                <w:sz w:val="24"/>
              </w:rPr>
              <w:t>340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1.3.8</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egyéb partnerektől származó nem operatív betétek</w:t>
            </w:r>
          </w:p>
          <w:p w:rsidR="001820FB" w:rsidRPr="0011472E" w:rsidRDefault="001820FB" w:rsidP="007A4772">
            <w:pPr>
              <w:pStyle w:val="TableParagraph"/>
              <w:spacing w:before="117"/>
              <w:ind w:left="102" w:right="99"/>
              <w:rPr>
                <w:rFonts w:ascii="Times New Roman" w:eastAsia="Times New Roman" w:hAnsi="Times New Roman" w:cs="Times New Roman"/>
                <w:sz w:val="24"/>
                <w:szCs w:val="24"/>
              </w:rPr>
            </w:pPr>
            <w:r w:rsidRPr="0011472E">
              <w:rPr>
                <w:rFonts w:ascii="Times New Roman" w:hAnsi="Times New Roman" w:cs="Times New Roman"/>
                <w:spacing w:val="-1"/>
                <w:sz w:val="24"/>
              </w:rPr>
              <w:t>Az 1.3. pontban feltüntetett, az 1.3.1–1.3.7. pontban jelentett betétektől eltérő betétekből származó pénzeszköz-kiáramlások összege.</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3"/>
              <w:rPr>
                <w:rFonts w:ascii="Times New Roman" w:eastAsia="Times New Roman" w:hAnsi="Times New Roman" w:cs="Times New Roman"/>
                <w:sz w:val="27"/>
                <w:szCs w:val="27"/>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350</w:t>
            </w:r>
          </w:p>
        </w:tc>
        <w:tc>
          <w:tcPr>
            <w:tcW w:w="7590" w:type="dxa"/>
          </w:tcPr>
          <w:p w:rsidR="001820FB" w:rsidRPr="0011472E" w:rsidRDefault="001820FB" w:rsidP="007A4772">
            <w:pPr>
              <w:pStyle w:val="TableParagraph"/>
              <w:spacing w:before="118"/>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1.4</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Lejáró devizacsere-ügylet</w:t>
            </w:r>
          </w:p>
          <w:p w:rsidR="001820FB" w:rsidRPr="0011472E" w:rsidRDefault="001820FB" w:rsidP="007A4772">
            <w:pPr>
              <w:pStyle w:val="TableParagraph"/>
              <w:spacing w:before="117"/>
              <w:ind w:left="102" w:right="101"/>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devizacsere-ügyletek lejáratából, például a tőkeösszegek lejáratkori cseréjéből származó pénzeszköz-kiáramlások teljes összege.</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3"/>
              <w:rPr>
                <w:rFonts w:ascii="Times New Roman" w:eastAsia="Times New Roman" w:hAnsi="Times New Roman" w:cs="Times New Roman"/>
                <w:sz w:val="27"/>
                <w:szCs w:val="27"/>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360</w:t>
            </w:r>
          </w:p>
        </w:tc>
        <w:tc>
          <w:tcPr>
            <w:tcW w:w="7590" w:type="dxa"/>
          </w:tcPr>
          <w:p w:rsidR="001820FB" w:rsidRPr="0011472E" w:rsidRDefault="001820FB" w:rsidP="007A4772">
            <w:pPr>
              <w:pStyle w:val="TableParagraph"/>
              <w:spacing w:before="119"/>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1.5</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Az 1.4. pontban nem szereplő, származtatott ügyletekből eredő kötelezettségek összege</w:t>
            </w:r>
          </w:p>
          <w:p w:rsidR="001820FB" w:rsidRPr="0011472E" w:rsidRDefault="001820FB" w:rsidP="007A4772">
            <w:pPr>
              <w:pStyle w:val="TableParagraph"/>
              <w:spacing w:before="116"/>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Az 575/2013/EU rendelet II. mellékletében felsorolt szerződések alapján fizetendő, származtatott pozíciókból származó pénzeszköz-kiáramlások teljes összege, kivéve a lejáró devizacsere-ügyletekből származó kiáramlásokat, amelyeket az 1.4. pontban kell szerepeltetni.</w:t>
            </w:r>
          </w:p>
          <w:p w:rsidR="001820FB" w:rsidRPr="0011472E" w:rsidRDefault="001820FB" w:rsidP="001820FB">
            <w:pPr>
              <w:pStyle w:val="TableParagraph"/>
              <w:spacing w:before="120"/>
              <w:ind w:left="102"/>
              <w:jc w:val="both"/>
              <w:rPr>
                <w:rFonts w:ascii="Times New Roman" w:hAnsi="Times New Roman" w:cs="Times New Roman"/>
                <w:spacing w:val="-1"/>
                <w:sz w:val="24"/>
              </w:rPr>
            </w:pPr>
            <w:r w:rsidRPr="0011472E">
              <w:rPr>
                <w:rFonts w:ascii="Times New Roman" w:hAnsi="Times New Roman" w:cs="Times New Roman"/>
                <w:spacing w:val="-1"/>
                <w:sz w:val="24"/>
              </w:rPr>
              <w:t>A teljes összegnek a kiegyenlítési összegeket kell mutatnia az adatszolgáltatás időpontjában nem teljesített letéti felhívásokkal együtt.</w:t>
            </w:r>
          </w:p>
          <w:p w:rsidR="001820FB" w:rsidRPr="0011472E" w:rsidRDefault="001820FB" w:rsidP="001820FB">
            <w:pPr>
              <w:pStyle w:val="TableParagraph"/>
              <w:spacing w:before="120"/>
              <w:ind w:left="102"/>
              <w:jc w:val="both"/>
              <w:rPr>
                <w:rFonts w:ascii="Times New Roman" w:hAnsi="Times New Roman" w:cs="Times New Roman"/>
                <w:spacing w:val="-1"/>
                <w:sz w:val="24"/>
              </w:rPr>
            </w:pPr>
            <w:r w:rsidRPr="0011472E">
              <w:rPr>
                <w:rFonts w:ascii="Times New Roman" w:hAnsi="Times New Roman" w:cs="Times New Roman"/>
                <w:spacing w:val="-1"/>
                <w:sz w:val="24"/>
              </w:rPr>
              <w:t>A teljes összegnek az alábbi 1. és 2. elem összegét kell mutatnia a különböző lejárati sávokban:</w:t>
            </w:r>
          </w:p>
          <w:p w:rsidR="001820FB" w:rsidRPr="0011472E" w:rsidRDefault="001820FB" w:rsidP="001820FB">
            <w:pPr>
              <w:pStyle w:val="TableParagraph"/>
              <w:spacing w:before="120"/>
              <w:ind w:left="102"/>
              <w:jc w:val="both"/>
              <w:rPr>
                <w:rFonts w:ascii="Times New Roman" w:hAnsi="Times New Roman" w:cs="Times New Roman"/>
                <w:spacing w:val="-1"/>
                <w:sz w:val="24"/>
              </w:rPr>
            </w:pPr>
            <w:r w:rsidRPr="0011472E">
              <w:rPr>
                <w:rFonts w:ascii="Times New Roman" w:hAnsi="Times New Roman" w:cs="Times New Roman"/>
                <w:spacing w:val="-1"/>
                <w:sz w:val="24"/>
              </w:rPr>
              <w:t>1.</w:t>
            </w:r>
            <w:r w:rsidRPr="0011472E">
              <w:rPr>
                <w:rFonts w:ascii="Times New Roman" w:hAnsi="Times New Roman" w:cs="Times New Roman"/>
              </w:rPr>
              <w:tab/>
            </w:r>
            <w:r w:rsidRPr="0011472E">
              <w:rPr>
                <w:rFonts w:ascii="Times New Roman" w:hAnsi="Times New Roman" w:cs="Times New Roman"/>
                <w:spacing w:val="-1"/>
                <w:sz w:val="24"/>
              </w:rPr>
              <w:t xml:space="preserve">A lejárati tábla egyik táblájában sem szerepeltethető az olyan származtatott ügyletekhez kapcsolódó pénz- és értékpapír-áramlás, amelyre vonatkozóan biztosítéki megállapodás írja elő a partnerkockázat teljes vagy arányos fedezetét. Ez azt jelenti, hogy a táblákban egyáltalán nem szerepeltethető az ilyen származtatott ügyletekhez kapcsolódó pénz-, értékpapír-, készpénzfedezet- és értékpapírfedezet-áramlás. Nem tüntethető fel továbbá a lejárati tábla kiegyensúlyozó kapacitást mutató 3. szakaszának „állomány” oszlopában a fedezett származtatott ügylet keretében korábban kapott vagy nyújtott készpénz- és értékpapír-fedezet állománya, kivéve a letéti felhívások nyomán bekövetkező esedékes, de még nem teljesített pénz- és értékpapír-áramlást („készpénzfedezet- és értékpapírfedezet-áramlás”). Utóbbiak közül a készpénzfedezetet az 1.5. és a 2.4. sorban („származtatott ügyletekhez kapcsolódó pénzeszköz-kiáramlások” és </w:t>
            </w:r>
            <w:r w:rsidRPr="0011472E">
              <w:rPr>
                <w:rFonts w:ascii="Times New Roman" w:hAnsi="Times New Roman" w:cs="Times New Roman"/>
                <w:spacing w:val="-1"/>
                <w:sz w:val="24"/>
              </w:rPr>
              <w:lastRenderedPageBreak/>
              <w:t>„származtatott ügyletekhez kapcsolódó pénzeszköz-beáramlások”), az értékpapír-fedezetet a 3. szakaszban („kiegyensúlyozó kapacitás”) kell kimutatni.</w:t>
            </w:r>
          </w:p>
          <w:p w:rsidR="001820FB" w:rsidRPr="0011472E" w:rsidRDefault="001820FB" w:rsidP="001820FB">
            <w:pPr>
              <w:pStyle w:val="TableParagraph"/>
              <w:spacing w:before="120"/>
              <w:ind w:left="102"/>
              <w:jc w:val="both"/>
              <w:rPr>
                <w:rFonts w:ascii="Times New Roman" w:hAnsi="Times New Roman" w:cs="Times New Roman"/>
                <w:spacing w:val="-1"/>
                <w:sz w:val="24"/>
              </w:rPr>
            </w:pPr>
          </w:p>
          <w:p w:rsidR="001820FB" w:rsidRPr="0011472E" w:rsidRDefault="001820FB" w:rsidP="001820FB">
            <w:pPr>
              <w:pStyle w:val="TableParagraph"/>
              <w:spacing w:before="120"/>
              <w:ind w:left="102"/>
              <w:jc w:val="both"/>
              <w:rPr>
                <w:rFonts w:ascii="Times New Roman" w:hAnsi="Times New Roman" w:cs="Times New Roman"/>
                <w:spacing w:val="-1"/>
                <w:sz w:val="24"/>
              </w:rPr>
            </w:pPr>
            <w:r w:rsidRPr="0011472E">
              <w:rPr>
                <w:rFonts w:ascii="Times New Roman" w:hAnsi="Times New Roman" w:cs="Times New Roman"/>
                <w:spacing w:val="-1"/>
                <w:sz w:val="24"/>
              </w:rPr>
              <w:t>2.</w:t>
            </w:r>
            <w:r w:rsidRPr="0011472E">
              <w:rPr>
                <w:rFonts w:ascii="Times New Roman" w:hAnsi="Times New Roman" w:cs="Times New Roman"/>
              </w:rPr>
              <w:tab/>
            </w:r>
            <w:r w:rsidRPr="0011472E">
              <w:rPr>
                <w:rFonts w:ascii="Times New Roman" w:hAnsi="Times New Roman" w:cs="Times New Roman"/>
                <w:spacing w:val="-1"/>
                <w:sz w:val="24"/>
              </w:rPr>
              <w:t>A pénzeszközök és értékpapírok olyan származtatott ügyletekhez kapcsolódó be- és kiáramlása esetében, amelyekre nem vonatkozik biztosítéki megállapodás vagy csak részleges fedezet szükséges, meg kell különböztetni az opcionalitást tartalmazó és egyéb szerződéseket:</w:t>
            </w:r>
          </w:p>
          <w:p w:rsidR="001820FB" w:rsidRPr="0011472E" w:rsidRDefault="001820FB" w:rsidP="001820FB">
            <w:pPr>
              <w:pStyle w:val="TableParagraph"/>
              <w:spacing w:before="120"/>
              <w:ind w:left="102"/>
              <w:jc w:val="both"/>
              <w:rPr>
                <w:rFonts w:ascii="Times New Roman" w:hAnsi="Times New Roman" w:cs="Times New Roman"/>
                <w:spacing w:val="-1"/>
                <w:sz w:val="24"/>
              </w:rPr>
            </w:pPr>
          </w:p>
          <w:p w:rsidR="001820FB" w:rsidRPr="0011472E" w:rsidRDefault="001820FB" w:rsidP="001820FB">
            <w:pPr>
              <w:pStyle w:val="TableParagraph"/>
              <w:spacing w:before="120"/>
              <w:ind w:left="720"/>
              <w:jc w:val="both"/>
              <w:rPr>
                <w:rFonts w:ascii="Times New Roman" w:hAnsi="Times New Roman" w:cs="Times New Roman"/>
                <w:spacing w:val="-1"/>
                <w:sz w:val="24"/>
              </w:rPr>
            </w:pPr>
            <w:r w:rsidRPr="0011472E">
              <w:rPr>
                <w:rFonts w:ascii="Times New Roman" w:hAnsi="Times New Roman" w:cs="Times New Roman"/>
                <w:spacing w:val="-1"/>
                <w:sz w:val="24"/>
              </w:rPr>
              <w:t>a)</w:t>
            </w:r>
            <w:r w:rsidRPr="0011472E">
              <w:rPr>
                <w:rFonts w:ascii="Times New Roman" w:hAnsi="Times New Roman" w:cs="Times New Roman"/>
              </w:rPr>
              <w:tab/>
            </w:r>
            <w:r w:rsidRPr="0011472E">
              <w:rPr>
                <w:rFonts w:ascii="Times New Roman" w:hAnsi="Times New Roman" w:cs="Times New Roman"/>
                <w:spacing w:val="-1"/>
                <w:sz w:val="24"/>
              </w:rPr>
              <w:t>az opció jellegű származtatott ügyletekhez kapcsolódó áramlások csak akkor szerepeltethetők, ha vételi opció esetén a lehívási ár a piaci árnál alacsonyabb vagy eladási opció esetén annál magasabb (azaz az opció nyereséges). Ezek az áramlások a következők közül mindkettő együttes alkalmazásával közelíthetők:</w:t>
            </w:r>
          </w:p>
          <w:p w:rsidR="001820FB" w:rsidRPr="0011472E" w:rsidRDefault="001820FB" w:rsidP="001820FB">
            <w:pPr>
              <w:pStyle w:val="TableParagraph"/>
              <w:spacing w:before="120"/>
              <w:ind w:left="1440"/>
              <w:jc w:val="both"/>
              <w:rPr>
                <w:rFonts w:ascii="Times New Roman" w:hAnsi="Times New Roman" w:cs="Times New Roman"/>
                <w:spacing w:val="-1"/>
                <w:sz w:val="24"/>
              </w:rPr>
            </w:pPr>
            <w:r w:rsidRPr="0011472E">
              <w:rPr>
                <w:rFonts w:ascii="Times New Roman" w:hAnsi="Times New Roman" w:cs="Times New Roman"/>
                <w:spacing w:val="-1"/>
                <w:sz w:val="24"/>
              </w:rPr>
              <w:t>i.</w:t>
            </w:r>
            <w:r w:rsidRPr="0011472E">
              <w:rPr>
                <w:rFonts w:ascii="Times New Roman" w:hAnsi="Times New Roman" w:cs="Times New Roman"/>
              </w:rPr>
              <w:tab/>
            </w:r>
            <w:r w:rsidRPr="0011472E">
              <w:rPr>
                <w:rFonts w:ascii="Times New Roman" w:hAnsi="Times New Roman" w:cs="Times New Roman"/>
                <w:spacing w:val="-1"/>
                <w:sz w:val="24"/>
              </w:rPr>
              <w:t>a szerződés aktuális piaci értékét vagy nettó jelenértékét a lejárati tábla 2.4. sorában („származtatott ügyletekhez kapcsolódó pénzeszköz-beáramlások”) az opció legkésőbbi lehívási napjával beáramlásként kell szerepeltetni, ha az opció lehívására a bank jogosult;</w:t>
            </w:r>
          </w:p>
          <w:p w:rsidR="001820FB" w:rsidRPr="0011472E" w:rsidRDefault="001820FB" w:rsidP="001820FB">
            <w:pPr>
              <w:pStyle w:val="TableParagraph"/>
              <w:spacing w:before="120"/>
              <w:ind w:left="1440"/>
              <w:jc w:val="both"/>
              <w:rPr>
                <w:rFonts w:ascii="Times New Roman" w:hAnsi="Times New Roman" w:cs="Times New Roman"/>
                <w:spacing w:val="-1"/>
                <w:sz w:val="24"/>
              </w:rPr>
            </w:pPr>
            <w:r w:rsidRPr="0011472E">
              <w:rPr>
                <w:rFonts w:ascii="Times New Roman" w:hAnsi="Times New Roman" w:cs="Times New Roman"/>
                <w:spacing w:val="-1"/>
                <w:sz w:val="24"/>
              </w:rPr>
              <w:t>ii.</w:t>
            </w:r>
            <w:r w:rsidRPr="0011472E">
              <w:rPr>
                <w:rFonts w:ascii="Times New Roman" w:hAnsi="Times New Roman" w:cs="Times New Roman"/>
              </w:rPr>
              <w:tab/>
            </w:r>
            <w:r w:rsidRPr="0011472E">
              <w:rPr>
                <w:rFonts w:ascii="Times New Roman" w:hAnsi="Times New Roman" w:cs="Times New Roman"/>
                <w:spacing w:val="-1"/>
                <w:sz w:val="24"/>
              </w:rPr>
              <w:t>a szerződés aktuális piaci értékét vagy nettó jelenértékét a lejárati tábla 1.5. sorában („származtatott ügyletekhez kapcsolódó pénzeszköz-kiáramlások”) az opció legkorábbi lehívási napjával kiáramlásként kell szerepeltetni, ha az opció lehívására a bank partnere jogosult;</w:t>
            </w:r>
          </w:p>
          <w:p w:rsidR="001820FB" w:rsidRPr="0011472E" w:rsidRDefault="001820FB" w:rsidP="001820FB">
            <w:pPr>
              <w:pStyle w:val="TableParagraph"/>
              <w:spacing w:before="120"/>
              <w:ind w:left="102"/>
              <w:jc w:val="both"/>
              <w:rPr>
                <w:rFonts w:ascii="Times New Roman" w:hAnsi="Times New Roman" w:cs="Times New Roman"/>
                <w:spacing w:val="-1"/>
                <w:sz w:val="24"/>
              </w:rPr>
            </w:pPr>
          </w:p>
          <w:p w:rsidR="001820FB" w:rsidRPr="0011472E" w:rsidRDefault="001820FB" w:rsidP="001A3E77">
            <w:pPr>
              <w:pStyle w:val="TableParagraph"/>
              <w:spacing w:before="120"/>
              <w:ind w:left="720"/>
              <w:jc w:val="both"/>
              <w:rPr>
                <w:rFonts w:ascii="Times New Roman" w:eastAsia="Times New Roman" w:hAnsi="Times New Roman" w:cs="Times New Roman"/>
                <w:sz w:val="24"/>
                <w:szCs w:val="24"/>
              </w:rPr>
            </w:pPr>
            <w:r w:rsidRPr="0011472E">
              <w:rPr>
                <w:rFonts w:ascii="Times New Roman" w:hAnsi="Times New Roman" w:cs="Times New Roman"/>
                <w:spacing w:val="-1"/>
                <w:sz w:val="24"/>
              </w:rPr>
              <w:t>b)</w:t>
            </w:r>
            <w:r w:rsidRPr="0011472E">
              <w:rPr>
                <w:rFonts w:ascii="Times New Roman" w:hAnsi="Times New Roman" w:cs="Times New Roman"/>
              </w:rPr>
              <w:tab/>
            </w:r>
            <w:r w:rsidRPr="0011472E">
              <w:rPr>
                <w:rFonts w:ascii="Times New Roman" w:hAnsi="Times New Roman" w:cs="Times New Roman"/>
                <w:spacing w:val="-1"/>
                <w:sz w:val="24"/>
              </w:rPr>
              <w:t>az a) pontban említettől eltérő szerződésekhez kapcsolódó áramlások esetében a bruttó szerződéses pénzáramlásokat az 1.5. sor („származtatott ügyletekhez kapcsolódó pénzeszköz-kiáramlások”) és a 2.4. sor („származtatott ügyletekhez kapcsolódó pénzeszköz-beáramlások”) megfelelő lejárati sávjában, a likvid értékpapírok szerződéses áramlásait pedig a lejárati tábla kiegyensúlyozó kapacitást mutató szakaszában – még nem rögzített összegek esetében az adatszolgáltatás időpontjában alkalmazandó aktuális, piac által implikált határidős kamatlábak használatával – kell szerepeltetni.</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205"/>
              <w:ind w:left="102"/>
              <w:rPr>
                <w:rFonts w:ascii="Times New Roman" w:eastAsia="Times New Roman" w:hAnsi="Times New Roman" w:cs="Times New Roman"/>
                <w:sz w:val="24"/>
                <w:szCs w:val="24"/>
              </w:rPr>
            </w:pPr>
            <w:r>
              <w:rPr>
                <w:rFonts w:ascii="Times New Roman"/>
                <w:sz w:val="24"/>
              </w:rPr>
              <w:t>370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1.6</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Egyéb kiáramlások</w:t>
            </w:r>
          </w:p>
          <w:p w:rsidR="001820FB" w:rsidRPr="0011472E" w:rsidRDefault="001820FB" w:rsidP="007A4772">
            <w:pPr>
              <w:pStyle w:val="TableParagraph"/>
              <w:spacing w:before="117"/>
              <w:ind w:left="102" w:right="98"/>
              <w:rPr>
                <w:rFonts w:ascii="Times New Roman" w:eastAsia="Times New Roman" w:hAnsi="Times New Roman" w:cs="Times New Roman"/>
                <w:sz w:val="24"/>
                <w:szCs w:val="24"/>
              </w:rPr>
            </w:pPr>
            <w:r w:rsidRPr="0011472E">
              <w:rPr>
                <w:rFonts w:ascii="Times New Roman" w:hAnsi="Times New Roman" w:cs="Times New Roman"/>
                <w:spacing w:val="-1"/>
                <w:sz w:val="24"/>
              </w:rPr>
              <w:t>Az 1.1., 1.2., 1.3., 1.4. és 1.5. pontban nem szereplő valamennyi egyéb pénzeszköz-kiáramlás teljes összege. A függő kiáramlások itt nem szerepeltethetők.</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49"/>
              <w:ind w:left="102"/>
              <w:rPr>
                <w:rFonts w:ascii="Times New Roman" w:eastAsia="Times New Roman" w:hAnsi="Times New Roman" w:cs="Times New Roman"/>
                <w:sz w:val="24"/>
                <w:szCs w:val="24"/>
              </w:rPr>
            </w:pPr>
            <w:r>
              <w:rPr>
                <w:rFonts w:ascii="Times New Roman"/>
                <w:sz w:val="24"/>
              </w:rPr>
              <w:t>380</w:t>
            </w:r>
          </w:p>
        </w:tc>
        <w:tc>
          <w:tcPr>
            <w:tcW w:w="7590" w:type="dxa"/>
          </w:tcPr>
          <w:p w:rsidR="001820FB" w:rsidRPr="0011472E" w:rsidRDefault="001820FB" w:rsidP="007A4772">
            <w:pPr>
              <w:pStyle w:val="TableParagraph"/>
              <w:spacing w:before="119"/>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1.7</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Kiáramlások összesen</w:t>
            </w:r>
          </w:p>
          <w:p w:rsidR="001820FB" w:rsidRPr="0011472E" w:rsidRDefault="001820FB" w:rsidP="007A4772">
            <w:pPr>
              <w:pStyle w:val="TableParagraph"/>
              <w:spacing w:before="117"/>
              <w:ind w:left="102"/>
              <w:rPr>
                <w:rFonts w:ascii="Times New Roman" w:hAnsi="Times New Roman" w:cs="Times New Roman"/>
                <w:sz w:val="24"/>
              </w:rPr>
            </w:pPr>
            <w:r w:rsidRPr="0011472E">
              <w:rPr>
                <w:rFonts w:ascii="Times New Roman" w:hAnsi="Times New Roman" w:cs="Times New Roman"/>
                <w:spacing w:val="-1"/>
                <w:sz w:val="24"/>
              </w:rPr>
              <w:t>Az 1.1., 1.2., 1.3., 1.4., 1.5. és 1.6. pontban feltüntetett kiáramlások összege.</w:t>
            </w:r>
          </w:p>
          <w:p w:rsidR="00C54FC2" w:rsidRPr="0011472E" w:rsidRDefault="00C54FC2" w:rsidP="007A4772">
            <w:pPr>
              <w:pStyle w:val="TableParagraph"/>
              <w:spacing w:before="117"/>
              <w:ind w:left="102"/>
              <w:rPr>
                <w:rFonts w:ascii="Times New Roman" w:eastAsia="Times New Roman" w:hAnsi="Times New Roman" w:cs="Times New Roman"/>
                <w:sz w:val="24"/>
                <w:szCs w:val="24"/>
              </w:rPr>
            </w:pPr>
          </w:p>
        </w:tc>
      </w:tr>
      <w:tr w:rsidR="001820FB" w:rsidRPr="00FE002E" w:rsidTr="00C54FC2">
        <w:trPr>
          <w:trHeight w:val="304"/>
        </w:trPr>
        <w:tc>
          <w:tcPr>
            <w:tcW w:w="1418" w:type="dxa"/>
            <w:shd w:val="clear" w:color="auto" w:fill="E5E5E6" w:themeFill="accent2" w:themeFillTint="33"/>
          </w:tcPr>
          <w:p w:rsidR="001820FB" w:rsidRPr="001820FB" w:rsidRDefault="001820FB" w:rsidP="001820FB">
            <w:pPr>
              <w:pStyle w:val="BodyText1"/>
              <w:rPr>
                <w:rFonts w:ascii="Times New Roman" w:hAnsi="Times New Roman"/>
                <w:b/>
                <w:color w:val="auto"/>
              </w:rPr>
            </w:pPr>
          </w:p>
          <w:p w:rsidR="001820FB" w:rsidRPr="001820FB" w:rsidRDefault="001820FB" w:rsidP="001820FB">
            <w:pPr>
              <w:pStyle w:val="BodyText1"/>
              <w:rPr>
                <w:rFonts w:ascii="Times New Roman" w:hAnsi="Times New Roman"/>
                <w:b/>
                <w:color w:val="auto"/>
              </w:rPr>
            </w:pPr>
            <w:r>
              <w:rPr>
                <w:rFonts w:ascii="Times New Roman" w:hAnsi="Times New Roman"/>
                <w:b/>
                <w:color w:val="auto"/>
              </w:rPr>
              <w:t>390–</w:t>
            </w:r>
          </w:p>
          <w:p w:rsidR="001820FB" w:rsidRPr="001820FB" w:rsidRDefault="001820FB" w:rsidP="001820FB">
            <w:pPr>
              <w:pStyle w:val="BodyText1"/>
              <w:rPr>
                <w:rFonts w:ascii="Times New Roman" w:hAnsi="Times New Roman"/>
                <w:b/>
                <w:color w:val="auto"/>
              </w:rPr>
            </w:pPr>
            <w:r>
              <w:rPr>
                <w:rFonts w:ascii="Times New Roman" w:hAnsi="Times New Roman"/>
                <w:b/>
                <w:color w:val="auto"/>
              </w:rPr>
              <w:t>700</w:t>
            </w:r>
          </w:p>
        </w:tc>
        <w:tc>
          <w:tcPr>
            <w:tcW w:w="7590" w:type="dxa"/>
            <w:shd w:val="clear" w:color="auto" w:fill="E5E5E6" w:themeFill="accent2" w:themeFillTint="33"/>
          </w:tcPr>
          <w:p w:rsidR="001820FB" w:rsidRPr="0011472E" w:rsidRDefault="001820FB" w:rsidP="001820FB">
            <w:pPr>
              <w:pStyle w:val="BodyText1"/>
              <w:rPr>
                <w:rFonts w:ascii="Times New Roman" w:hAnsi="Times New Roman"/>
                <w:b/>
                <w:color w:val="auto"/>
              </w:rPr>
            </w:pP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6"/>
              <w:rPr>
                <w:rFonts w:ascii="Times New Roman" w:eastAsia="Times New Roman" w:hAnsi="Times New Roman" w:cs="Times New Roman"/>
                <w:sz w:val="20"/>
                <w:szCs w:val="20"/>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390</w:t>
            </w:r>
          </w:p>
        </w:tc>
        <w:tc>
          <w:tcPr>
            <w:tcW w:w="7590" w:type="dxa"/>
          </w:tcPr>
          <w:p w:rsidR="001820FB" w:rsidRPr="0011472E" w:rsidRDefault="001820FB" w:rsidP="007A4772">
            <w:pPr>
              <w:pStyle w:val="TableParagraph"/>
              <w:spacing w:before="118"/>
              <w:ind w:left="102" w:right="98"/>
              <w:jc w:val="both"/>
              <w:rPr>
                <w:rFonts w:ascii="Times New Roman" w:hAnsi="Times New Roman" w:cs="Times New Roman"/>
                <w:b/>
                <w:spacing w:val="-1"/>
                <w:sz w:val="24"/>
                <w:u w:val="thick" w:color="000000"/>
              </w:rPr>
            </w:pPr>
            <w:r w:rsidRPr="0011472E">
              <w:rPr>
                <w:rFonts w:ascii="Times New Roman" w:hAnsi="Times New Roman" w:cs="Times New Roman"/>
                <w:b/>
                <w:sz w:val="24"/>
                <w:u w:val="thick" w:color="000000"/>
              </w:rPr>
              <w:t>2.1</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Fedezett kölcsönügyletekből és tőkepiac-vezérelt ügyletekből esedékes összegek, a következőkkel fedezve:</w:t>
            </w:r>
          </w:p>
          <w:p w:rsidR="001820FB" w:rsidRPr="0011472E" w:rsidRDefault="001820FB" w:rsidP="007A4772">
            <w:pPr>
              <w:pStyle w:val="TableParagraph"/>
              <w:spacing w:before="117"/>
              <w:ind w:left="102" w:right="101"/>
              <w:jc w:val="both"/>
              <w:rPr>
                <w:rFonts w:ascii="Times New Roman" w:eastAsia="Times New Roman" w:hAnsi="Times New Roman" w:cs="Times New Roman"/>
                <w:sz w:val="24"/>
                <w:szCs w:val="24"/>
              </w:rPr>
            </w:pPr>
            <w:r w:rsidRPr="0011472E">
              <w:rPr>
                <w:rFonts w:ascii="Times New Roman" w:hAnsi="Times New Roman" w:cs="Times New Roman"/>
                <w:spacing w:val="-1"/>
                <w:sz w:val="24"/>
              </w:rPr>
              <w:t>Az 575/2013/EU rendelet 192. cikkében meghatározott fedezett kölcsönügyletből és tőkepiac-vezérelt ügyletből származó pénzeszköz-beáramlás.</w:t>
            </w:r>
          </w:p>
          <w:p w:rsidR="001820FB" w:rsidRPr="0011472E" w:rsidRDefault="001820FB" w:rsidP="007A4772">
            <w:pPr>
              <w:pStyle w:val="TableParagraph"/>
              <w:spacing w:before="120"/>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Itt kizárólag a pénzáramlásokat kell feltüntetni, a fedezett kölcsönügylethez és a tőkepiac-vezérelt ügylethez kapcsolódó értékpapír-áramlásokat a „kiegyensúlyozó kapacitás” szakaszban kell szerepeltetni.</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7"/>
              <w:rPr>
                <w:rFonts w:ascii="Times New Roman" w:eastAsia="Times New Roman" w:hAnsi="Times New Roman" w:cs="Times New Roman"/>
                <w:sz w:val="20"/>
                <w:szCs w:val="20"/>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400</w:t>
            </w:r>
          </w:p>
        </w:tc>
        <w:tc>
          <w:tcPr>
            <w:tcW w:w="7590" w:type="dxa"/>
          </w:tcPr>
          <w:p w:rsidR="001820FB" w:rsidRPr="0011472E" w:rsidRDefault="001820FB" w:rsidP="007A4772">
            <w:pPr>
              <w:pStyle w:val="TableParagraph"/>
              <w:spacing w:before="119"/>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2.1.1</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1. szintű forgalomképes eszközök</w:t>
            </w:r>
          </w:p>
          <w:p w:rsidR="001820FB" w:rsidRPr="0011472E" w:rsidRDefault="001820FB" w:rsidP="007A4772">
            <w:pPr>
              <w:pStyle w:val="TableParagraph"/>
              <w:spacing w:before="117"/>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2.1. pontban feltüntetett, az (EU) 2015/61 rendelet 7., 8. és 10. cikke szerinti forgalomképes eszközökkel fedezett pénzeszköz-beáramlások összege.</w:t>
            </w:r>
          </w:p>
          <w:p w:rsidR="001820FB" w:rsidRPr="0011472E" w:rsidRDefault="001820FB" w:rsidP="007A4772">
            <w:pPr>
              <w:pStyle w:val="TableParagraph"/>
              <w:spacing w:before="120"/>
              <w:ind w:left="102" w:right="99"/>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KBF-ek az (EU) 2015/61 rendelet 15. cikkének megfelelő, 1. szintű eszköznek minősülő részvényeit vagy befektetési jegyeit az alábbi alkategóriákban, az alapterméküknek megfelelően kell feltüntetni.</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77"/>
              <w:ind w:left="102"/>
              <w:rPr>
                <w:rFonts w:ascii="Times New Roman" w:eastAsia="Times New Roman" w:hAnsi="Times New Roman" w:cs="Times New Roman"/>
                <w:sz w:val="24"/>
                <w:szCs w:val="24"/>
              </w:rPr>
            </w:pPr>
            <w:r>
              <w:rPr>
                <w:rFonts w:ascii="Times New Roman"/>
                <w:sz w:val="24"/>
              </w:rPr>
              <w:t>410</w:t>
            </w:r>
          </w:p>
        </w:tc>
        <w:tc>
          <w:tcPr>
            <w:tcW w:w="7590" w:type="dxa"/>
          </w:tcPr>
          <w:p w:rsidR="001820FB" w:rsidRPr="0011472E" w:rsidRDefault="001820FB" w:rsidP="007A4772">
            <w:pPr>
              <w:pStyle w:val="TableParagraph"/>
              <w:spacing w:before="119"/>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2.1.1.1</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1. szintű eszközök a fedezett kötvények kivételével</w:t>
            </w:r>
          </w:p>
          <w:p w:rsidR="001820FB" w:rsidRPr="0011472E" w:rsidRDefault="001820FB" w:rsidP="007A4772">
            <w:pPr>
              <w:pStyle w:val="TableParagraph"/>
              <w:spacing w:before="117"/>
              <w:ind w:left="102" w:right="101"/>
              <w:rPr>
                <w:rFonts w:ascii="Times New Roman" w:eastAsia="Times New Roman" w:hAnsi="Times New Roman" w:cs="Times New Roman"/>
                <w:sz w:val="24"/>
                <w:szCs w:val="24"/>
              </w:rPr>
            </w:pPr>
            <w:r w:rsidRPr="0011472E">
              <w:rPr>
                <w:rFonts w:ascii="Times New Roman" w:hAnsi="Times New Roman" w:cs="Times New Roman"/>
                <w:spacing w:val="-1"/>
                <w:sz w:val="24"/>
              </w:rPr>
              <w:t>A 2.1.1. pontban feltüntetett olyan pénzeszköz-beáramlások összege, amelyet nem fedezett kötvény fedez.</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75"/>
              <w:ind w:left="102"/>
              <w:rPr>
                <w:rFonts w:ascii="Times New Roman" w:eastAsia="Times New Roman" w:hAnsi="Times New Roman" w:cs="Times New Roman"/>
                <w:sz w:val="24"/>
                <w:szCs w:val="24"/>
              </w:rPr>
            </w:pPr>
            <w:r>
              <w:rPr>
                <w:rFonts w:ascii="Times New Roman"/>
                <w:sz w:val="24"/>
              </w:rPr>
              <w:t>420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2.1.1.1.1</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1. szintű központi banki eszközök</w:t>
            </w:r>
          </w:p>
          <w:p w:rsidR="001820FB" w:rsidRPr="0011472E" w:rsidRDefault="001820FB" w:rsidP="007A4772">
            <w:pPr>
              <w:pStyle w:val="TableParagraph"/>
              <w:spacing w:before="117"/>
              <w:ind w:left="102" w:right="100"/>
              <w:rPr>
                <w:rFonts w:ascii="Times New Roman" w:eastAsia="Times New Roman" w:hAnsi="Times New Roman" w:cs="Times New Roman"/>
                <w:sz w:val="24"/>
                <w:szCs w:val="24"/>
              </w:rPr>
            </w:pPr>
            <w:r w:rsidRPr="0011472E">
              <w:rPr>
                <w:rFonts w:ascii="Times New Roman" w:hAnsi="Times New Roman" w:cs="Times New Roman"/>
                <w:spacing w:val="-1"/>
                <w:sz w:val="24"/>
              </w:rPr>
              <w:t>A 2.1.1.1. pontban feltüntetett olyan pénzeszköz-beáramlások összege, amelyet központi bankokkal szembeni vagy általuk garantált követeléseket képviselő eszköz fedez.</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75"/>
              <w:ind w:left="102"/>
              <w:rPr>
                <w:rFonts w:ascii="Times New Roman" w:eastAsia="Times New Roman" w:hAnsi="Times New Roman" w:cs="Times New Roman"/>
                <w:sz w:val="24"/>
                <w:szCs w:val="24"/>
              </w:rPr>
            </w:pPr>
            <w:r>
              <w:rPr>
                <w:rFonts w:ascii="Times New Roman"/>
                <w:sz w:val="24"/>
              </w:rPr>
              <w:t>430</w:t>
            </w:r>
          </w:p>
        </w:tc>
        <w:tc>
          <w:tcPr>
            <w:tcW w:w="7590" w:type="dxa"/>
          </w:tcPr>
          <w:p w:rsidR="001820FB" w:rsidRPr="0011472E" w:rsidRDefault="001820FB" w:rsidP="007A4772">
            <w:pPr>
              <w:pStyle w:val="TableParagraph"/>
              <w:spacing w:before="118"/>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2.1.1.1.2</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1. szintű eszközök (CQS1)</w:t>
            </w:r>
          </w:p>
          <w:p w:rsidR="001820FB" w:rsidRPr="0011472E" w:rsidRDefault="001820FB" w:rsidP="007A4772">
            <w:pPr>
              <w:pStyle w:val="TableParagraph"/>
              <w:spacing w:before="117"/>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2.1.1.1. pontban feltüntetett, a 2.1.1.1.1. pontban feltüntetetteken kívüli olyan pénzeszköz-beáramlások összege, amelyet kijelölt külső hitelminősítő intézettől 1-es hitelminőségi besorolást kapott kibocsátóval vagy garantőrrel szembeni vagy általa garantált követeléseket képviselő eszköz fedez.</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75"/>
              <w:ind w:left="102"/>
              <w:rPr>
                <w:rFonts w:ascii="Times New Roman" w:eastAsia="Times New Roman" w:hAnsi="Times New Roman" w:cs="Times New Roman"/>
                <w:sz w:val="24"/>
                <w:szCs w:val="24"/>
              </w:rPr>
            </w:pPr>
            <w:r>
              <w:rPr>
                <w:rFonts w:ascii="Times New Roman"/>
                <w:sz w:val="24"/>
              </w:rPr>
              <w:t>440</w:t>
            </w:r>
          </w:p>
        </w:tc>
        <w:tc>
          <w:tcPr>
            <w:tcW w:w="7590" w:type="dxa"/>
          </w:tcPr>
          <w:p w:rsidR="001820FB" w:rsidRPr="0011472E" w:rsidRDefault="001820FB" w:rsidP="007A4772">
            <w:pPr>
              <w:pStyle w:val="TableParagraph"/>
              <w:spacing w:before="118"/>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2.1.1.1.3</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1. szintű eszközök (CQS2, CQS3)</w:t>
            </w:r>
          </w:p>
          <w:p w:rsidR="001820FB" w:rsidRPr="0011472E" w:rsidRDefault="001820FB" w:rsidP="007A4772">
            <w:pPr>
              <w:pStyle w:val="TableParagraph"/>
              <w:spacing w:before="117"/>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2.1.1.1. pontban feltüntetett, a 2.1.1.1.1. pontban feltüntetetteken kívüli olyan pénzeszköz-beáramlások összege, amelyet kijelölt külső hitelminősítő intézettől 2-es vagy 3-as hitelminőségi besorolást kapott kibocsátóval vagy garantőrrel szembeni vagy általa garantált követeléseket képviselő eszköz fedez.</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77"/>
              <w:ind w:left="102"/>
              <w:rPr>
                <w:rFonts w:ascii="Times New Roman" w:eastAsia="Times New Roman" w:hAnsi="Times New Roman" w:cs="Times New Roman"/>
                <w:sz w:val="24"/>
                <w:szCs w:val="24"/>
              </w:rPr>
            </w:pPr>
            <w:r>
              <w:rPr>
                <w:rFonts w:ascii="Times New Roman"/>
                <w:sz w:val="24"/>
              </w:rPr>
              <w:t>450</w:t>
            </w:r>
          </w:p>
        </w:tc>
        <w:tc>
          <w:tcPr>
            <w:tcW w:w="7590" w:type="dxa"/>
          </w:tcPr>
          <w:p w:rsidR="001820FB" w:rsidRPr="0011472E" w:rsidRDefault="001820FB" w:rsidP="007A4772">
            <w:pPr>
              <w:pStyle w:val="TableParagraph"/>
              <w:spacing w:before="119"/>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2.1.1.1.4</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1. szintű eszközök (CQS4+)</w:t>
            </w:r>
          </w:p>
          <w:p w:rsidR="001820FB" w:rsidRPr="0011472E" w:rsidRDefault="001820FB" w:rsidP="007A4772">
            <w:pPr>
              <w:pStyle w:val="TableParagraph"/>
              <w:spacing w:before="117"/>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 xml:space="preserve">A 2.1.1.1. pontban feltüntetett, a 2.1.1.1.1. pontban feltüntetetteken kívüli olyan pénzeszköz-beáramlások összege, amelyet kijelölt külső </w:t>
            </w:r>
            <w:r w:rsidRPr="0011472E">
              <w:rPr>
                <w:rFonts w:ascii="Times New Roman" w:hAnsi="Times New Roman" w:cs="Times New Roman"/>
                <w:spacing w:val="-1"/>
                <w:sz w:val="24"/>
              </w:rPr>
              <w:lastRenderedPageBreak/>
              <w:t>hitelminősítő intézettől 4-es vagy rosszabb hitelminőségi besorolást kapott kibocsátóval vagy garantőrrel szembeni vagy általa garantált követeléseket képviselő eszköz fedez.</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75"/>
              <w:ind w:left="102"/>
              <w:rPr>
                <w:rFonts w:ascii="Times New Roman" w:eastAsia="Times New Roman" w:hAnsi="Times New Roman" w:cs="Times New Roman"/>
                <w:sz w:val="24"/>
                <w:szCs w:val="24"/>
              </w:rPr>
            </w:pPr>
            <w:r>
              <w:rPr>
                <w:rFonts w:ascii="Times New Roman"/>
                <w:sz w:val="24"/>
              </w:rPr>
              <w:t>460</w:t>
            </w:r>
          </w:p>
        </w:tc>
        <w:tc>
          <w:tcPr>
            <w:tcW w:w="7590" w:type="dxa"/>
          </w:tcPr>
          <w:p w:rsidR="001820FB" w:rsidRPr="0011472E" w:rsidRDefault="001820FB" w:rsidP="007A4772">
            <w:pPr>
              <w:pStyle w:val="TableParagraph"/>
              <w:spacing w:before="118"/>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2.1.1.2</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1. szintű fedezett kötvények (CQS1)</w:t>
            </w:r>
          </w:p>
          <w:p w:rsidR="001820FB" w:rsidRPr="0011472E" w:rsidRDefault="001820FB" w:rsidP="007A4772">
            <w:pPr>
              <w:pStyle w:val="TableParagraph"/>
              <w:spacing w:before="117"/>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2.1.1. pontban feltüntetett olyan pénzeszköz-beáramlások összege, amelyet fedezett kötvény fedez. Az (EU) 2015/61 rendelet 10. cikke (1) bekezdése f) pontjának megfelelően csak az 1-es hitelminőségi besorolással rendelkező fedezett kötvények minősülhetnek 1. szintű eszköznek.</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6"/>
              <w:rPr>
                <w:rFonts w:ascii="Times New Roman" w:eastAsia="Times New Roman" w:hAnsi="Times New Roman" w:cs="Times New Roman"/>
                <w:sz w:val="20"/>
                <w:szCs w:val="20"/>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470</w:t>
            </w:r>
          </w:p>
        </w:tc>
        <w:tc>
          <w:tcPr>
            <w:tcW w:w="7590" w:type="dxa"/>
          </w:tcPr>
          <w:p w:rsidR="001820FB" w:rsidRPr="0011472E" w:rsidRDefault="001820FB" w:rsidP="007A4772">
            <w:pPr>
              <w:pStyle w:val="TableParagraph"/>
              <w:spacing w:before="118"/>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2.1.2</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2A. szintű forgalomképes eszközök</w:t>
            </w:r>
          </w:p>
          <w:p w:rsidR="001820FB" w:rsidRPr="0011472E" w:rsidRDefault="001820FB" w:rsidP="007A4772">
            <w:pPr>
              <w:pStyle w:val="TableParagraph"/>
              <w:spacing w:before="117"/>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2.1. pontban feltüntetett, az (EU) 2015/61 rendelet 7., 8. és 11. cikke szerinti forgalomképes eszközökkel fedezett pénzeszköz-beáramlások összege.</w:t>
            </w:r>
          </w:p>
          <w:p w:rsidR="001820FB" w:rsidRPr="0011472E" w:rsidRDefault="001820FB" w:rsidP="007A4772">
            <w:pPr>
              <w:pStyle w:val="TableParagraph"/>
              <w:spacing w:before="120"/>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KBF-ek az (EU) 2015/61 rendelet 15. cikkének megfelelő, 2A. szintű eszköznek minősülő részvényeit vagy befektetési jegyeit az alábbi alkategóriákban, az alapterméküknek megfelelően kell feltüntetni.</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75"/>
              <w:ind w:left="102"/>
              <w:rPr>
                <w:rFonts w:ascii="Times New Roman" w:eastAsia="Times New Roman" w:hAnsi="Times New Roman" w:cs="Times New Roman"/>
                <w:sz w:val="24"/>
                <w:szCs w:val="24"/>
              </w:rPr>
            </w:pPr>
            <w:r>
              <w:rPr>
                <w:rFonts w:ascii="Times New Roman"/>
                <w:sz w:val="24"/>
              </w:rPr>
              <w:t>480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2.1.2.1</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2A. szintű vállalati kötvények (CQS1)</w:t>
            </w:r>
          </w:p>
          <w:p w:rsidR="001820FB" w:rsidRPr="0011472E" w:rsidRDefault="001820FB" w:rsidP="007A4772">
            <w:pPr>
              <w:pStyle w:val="TableParagraph"/>
              <w:spacing w:before="117"/>
              <w:ind w:left="102" w:right="101"/>
              <w:rPr>
                <w:rFonts w:ascii="Times New Roman" w:eastAsia="Times New Roman" w:hAnsi="Times New Roman" w:cs="Times New Roman"/>
                <w:sz w:val="24"/>
                <w:szCs w:val="24"/>
              </w:rPr>
            </w:pPr>
            <w:r w:rsidRPr="0011472E">
              <w:rPr>
                <w:rFonts w:ascii="Times New Roman" w:hAnsi="Times New Roman" w:cs="Times New Roman"/>
                <w:spacing w:val="-1"/>
                <w:sz w:val="24"/>
              </w:rPr>
              <w:t>A 2.1.2. pontban feltüntetett olyan pénzeszköz-beáramlások összege, amelyet kijelölt külső hitelminősítő intézettől 1-es hitelminőségi besorolást kapott vállalati kötvény fedez.</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4"/>
              <w:rPr>
                <w:rFonts w:ascii="Times New Roman" w:eastAsia="Times New Roman" w:hAnsi="Times New Roman" w:cs="Times New Roman"/>
                <w:sz w:val="27"/>
                <w:szCs w:val="27"/>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490</w:t>
            </w:r>
          </w:p>
        </w:tc>
        <w:tc>
          <w:tcPr>
            <w:tcW w:w="7590" w:type="dxa"/>
          </w:tcPr>
          <w:p w:rsidR="001820FB" w:rsidRPr="0011472E" w:rsidRDefault="001820FB" w:rsidP="007A4772">
            <w:pPr>
              <w:pStyle w:val="TableParagraph"/>
              <w:spacing w:before="119"/>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2.1.2.2</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2A. szintű fedezett kötvények (CQS1, CQS2)</w:t>
            </w:r>
          </w:p>
          <w:p w:rsidR="001820FB" w:rsidRPr="0011472E" w:rsidRDefault="001820FB" w:rsidP="007A4772">
            <w:pPr>
              <w:pStyle w:val="TableParagraph"/>
              <w:spacing w:before="117"/>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2.1.2. pontban feltüntetett olyan pénzeszköz-beáramlások összege, amelyet kijelölt külső hitelminősítő intézettől 1-es vagy 2-es hitelminőségi besorolást kapott fedezett kötvény fedez.</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77"/>
              <w:ind w:left="102"/>
              <w:rPr>
                <w:rFonts w:ascii="Times New Roman" w:eastAsia="Times New Roman" w:hAnsi="Times New Roman" w:cs="Times New Roman"/>
                <w:sz w:val="24"/>
                <w:szCs w:val="24"/>
              </w:rPr>
            </w:pPr>
            <w:r>
              <w:rPr>
                <w:rFonts w:ascii="Times New Roman"/>
                <w:sz w:val="24"/>
              </w:rPr>
              <w:t>500</w:t>
            </w:r>
          </w:p>
        </w:tc>
        <w:tc>
          <w:tcPr>
            <w:tcW w:w="7590" w:type="dxa"/>
          </w:tcPr>
          <w:p w:rsidR="001820FB" w:rsidRPr="0011472E" w:rsidRDefault="001820FB" w:rsidP="007A4772">
            <w:pPr>
              <w:pStyle w:val="TableParagraph"/>
              <w:spacing w:before="119"/>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2.1.2.3</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2A. szintű közszektorbeli intézményi eszközök (CQS1, CQS2)</w:t>
            </w:r>
          </w:p>
          <w:p w:rsidR="001820FB" w:rsidRPr="0011472E" w:rsidRDefault="001820FB" w:rsidP="007A4772">
            <w:pPr>
              <w:pStyle w:val="TableParagraph"/>
              <w:spacing w:before="117"/>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2.1.2. pontban feltüntetett olyan pénzeszköz-beáramlások összege, amelyet központi kormányzatokkal, központi bankokkal, regionális kormányzatokkal, helyi hatóságokkal vagy közszektorbeli intézményekkel szembeni vagy általuk garantált követeléseket képviselő eszköz fedez. Az (EU) 2015/61 rendelet 11. cikke (1) bekezdése a) és b) pontjának megfelelően csak az 1-es és 2-es hitelminőségi besorolással rendelkező közszektorbeli eszközök minősülhetnek 2A. szintű eszköznek.</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6"/>
              <w:rPr>
                <w:rFonts w:ascii="Times New Roman" w:eastAsia="Times New Roman" w:hAnsi="Times New Roman" w:cs="Times New Roman"/>
                <w:sz w:val="20"/>
                <w:szCs w:val="20"/>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510</w:t>
            </w:r>
          </w:p>
        </w:tc>
        <w:tc>
          <w:tcPr>
            <w:tcW w:w="7590" w:type="dxa"/>
          </w:tcPr>
          <w:p w:rsidR="001820FB" w:rsidRPr="0011472E" w:rsidRDefault="001820FB" w:rsidP="007A4772">
            <w:pPr>
              <w:pStyle w:val="TableParagraph"/>
              <w:spacing w:before="118"/>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2.1.3</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2B. szintű forgalomképes eszközök</w:t>
            </w:r>
          </w:p>
          <w:p w:rsidR="001820FB" w:rsidRPr="0011472E" w:rsidRDefault="001820FB" w:rsidP="007A4772">
            <w:pPr>
              <w:pStyle w:val="TableParagraph"/>
              <w:spacing w:before="117"/>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2.1. pontban feltüntetett, az (EU) 2015/61 rendelet 7., 8. és 12. vagy 13. cikke szerinti forgalomképes eszközökkel fedezett pénzeszköz-beáramlások összege.</w:t>
            </w:r>
          </w:p>
          <w:p w:rsidR="001820FB" w:rsidRPr="0011472E" w:rsidRDefault="001820FB" w:rsidP="007A4772">
            <w:pPr>
              <w:pStyle w:val="TableParagraph"/>
              <w:spacing w:before="120"/>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KBF-ek az (EU) 2015/61 rendelet 15. cikkének megfelelő, 2B. szintű eszköznek minősülő részvényeit vagy befektetési jegyeit az alábbi alkategóriákban, az alapterméküknek megfelelően kell feltüntetni.</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77"/>
              <w:ind w:left="102"/>
              <w:rPr>
                <w:rFonts w:ascii="Times New Roman" w:eastAsia="Times New Roman" w:hAnsi="Times New Roman" w:cs="Times New Roman"/>
                <w:sz w:val="24"/>
                <w:szCs w:val="24"/>
              </w:rPr>
            </w:pPr>
            <w:r>
              <w:rPr>
                <w:rFonts w:ascii="Times New Roman"/>
                <w:sz w:val="24"/>
              </w:rPr>
              <w:t>520</w:t>
            </w:r>
          </w:p>
        </w:tc>
        <w:tc>
          <w:tcPr>
            <w:tcW w:w="7590" w:type="dxa"/>
          </w:tcPr>
          <w:p w:rsidR="001820FB" w:rsidRPr="0011472E" w:rsidRDefault="001820FB" w:rsidP="007A4772">
            <w:pPr>
              <w:pStyle w:val="TableParagraph"/>
              <w:spacing w:before="119"/>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2.1.3.1</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2B. szintű eszközfedezetű értékpapírok (ABS) (CQS1)</w:t>
            </w:r>
          </w:p>
          <w:p w:rsidR="001820FB" w:rsidRPr="0011472E" w:rsidRDefault="001820FB" w:rsidP="007A4772">
            <w:pPr>
              <w:pStyle w:val="TableParagraph"/>
              <w:spacing w:before="117"/>
              <w:ind w:left="102" w:right="101"/>
              <w:rPr>
                <w:rFonts w:ascii="Times New Roman" w:eastAsia="Times New Roman" w:hAnsi="Times New Roman" w:cs="Times New Roman"/>
                <w:sz w:val="24"/>
                <w:szCs w:val="24"/>
              </w:rPr>
            </w:pPr>
            <w:r w:rsidRPr="0011472E">
              <w:rPr>
                <w:rFonts w:ascii="Times New Roman" w:hAnsi="Times New Roman" w:cs="Times New Roman"/>
                <w:spacing w:val="-1"/>
                <w:sz w:val="24"/>
              </w:rPr>
              <w:t xml:space="preserve">A 2.1.3. pontban feltüntetett olyan pénzeszköz-beáramlások összege, </w:t>
            </w:r>
            <w:r w:rsidRPr="0011472E">
              <w:rPr>
                <w:rFonts w:ascii="Times New Roman" w:hAnsi="Times New Roman" w:cs="Times New Roman"/>
                <w:spacing w:val="-1"/>
                <w:sz w:val="24"/>
              </w:rPr>
              <w:lastRenderedPageBreak/>
              <w:t>amelyet eszközfedezetű értékpapír fedez, utóbbiak közé értve a lakóingatlannal fedezett értékpapírokat is.</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75"/>
              <w:ind w:left="102"/>
              <w:rPr>
                <w:rFonts w:ascii="Times New Roman" w:eastAsia="Times New Roman" w:hAnsi="Times New Roman" w:cs="Times New Roman"/>
                <w:sz w:val="24"/>
                <w:szCs w:val="24"/>
              </w:rPr>
            </w:pPr>
            <w:r>
              <w:rPr>
                <w:rFonts w:ascii="Times New Roman"/>
                <w:sz w:val="24"/>
              </w:rPr>
              <w:t>530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2.1.3.2</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2B. szintű fedezett kötvények (CQS 1-6)</w:t>
            </w:r>
          </w:p>
          <w:p w:rsidR="001820FB" w:rsidRPr="0011472E" w:rsidRDefault="001820FB" w:rsidP="007A4772">
            <w:pPr>
              <w:pStyle w:val="TableParagraph"/>
              <w:spacing w:before="117"/>
              <w:ind w:left="102" w:right="101"/>
              <w:rPr>
                <w:rFonts w:ascii="Times New Roman" w:eastAsia="Times New Roman" w:hAnsi="Times New Roman" w:cs="Times New Roman"/>
                <w:sz w:val="24"/>
                <w:szCs w:val="24"/>
              </w:rPr>
            </w:pPr>
            <w:r w:rsidRPr="0011472E">
              <w:rPr>
                <w:rFonts w:ascii="Times New Roman" w:hAnsi="Times New Roman" w:cs="Times New Roman"/>
                <w:spacing w:val="-1"/>
                <w:sz w:val="24"/>
              </w:rPr>
              <w:t>A 2.1.3. pontban feltüntetett olyan pénzeszköz-beáramlások összege, amelyet fedezett kötvény fedez.</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75"/>
              <w:ind w:left="102"/>
              <w:rPr>
                <w:rFonts w:ascii="Times New Roman" w:eastAsia="Times New Roman" w:hAnsi="Times New Roman" w:cs="Times New Roman"/>
                <w:sz w:val="24"/>
                <w:szCs w:val="24"/>
              </w:rPr>
            </w:pPr>
            <w:r>
              <w:rPr>
                <w:rFonts w:ascii="Times New Roman"/>
                <w:sz w:val="24"/>
              </w:rPr>
              <w:t>540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2.1.3.3</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2B. szintű vállalati kötvények (CQS 1-3)</w:t>
            </w:r>
          </w:p>
          <w:p w:rsidR="001820FB" w:rsidRPr="0011472E" w:rsidRDefault="001820FB" w:rsidP="007A4772">
            <w:pPr>
              <w:pStyle w:val="TableParagraph"/>
              <w:spacing w:before="117"/>
              <w:ind w:left="102" w:right="101"/>
              <w:rPr>
                <w:rFonts w:ascii="Times New Roman" w:eastAsia="Times New Roman" w:hAnsi="Times New Roman" w:cs="Times New Roman"/>
                <w:sz w:val="24"/>
                <w:szCs w:val="24"/>
              </w:rPr>
            </w:pPr>
            <w:r w:rsidRPr="0011472E">
              <w:rPr>
                <w:rFonts w:ascii="Times New Roman" w:hAnsi="Times New Roman" w:cs="Times New Roman"/>
                <w:spacing w:val="-1"/>
                <w:sz w:val="24"/>
              </w:rPr>
              <w:t>A 2.1.3. pontban feltüntetett olyan pénzeszköz-beáramlások összege, amelyet hitelviszonyt megtestesítő vállalati értékpapír fedez.</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49"/>
              <w:ind w:left="102"/>
              <w:rPr>
                <w:rFonts w:ascii="Times New Roman" w:eastAsia="Times New Roman" w:hAnsi="Times New Roman" w:cs="Times New Roman"/>
                <w:sz w:val="24"/>
                <w:szCs w:val="24"/>
              </w:rPr>
            </w:pPr>
            <w:r>
              <w:rPr>
                <w:rFonts w:ascii="Times New Roman"/>
                <w:sz w:val="24"/>
              </w:rPr>
              <w:t>550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2.1.3.4</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2B. szintű részvények</w:t>
            </w:r>
          </w:p>
          <w:p w:rsidR="001820FB" w:rsidRPr="0011472E" w:rsidRDefault="001820FB" w:rsidP="007A4772">
            <w:pPr>
              <w:pStyle w:val="TableParagraph"/>
              <w:spacing w:before="117"/>
              <w:ind w:left="102"/>
              <w:rPr>
                <w:rFonts w:ascii="Times New Roman" w:eastAsia="Times New Roman" w:hAnsi="Times New Roman" w:cs="Times New Roman"/>
                <w:sz w:val="24"/>
                <w:szCs w:val="24"/>
              </w:rPr>
            </w:pPr>
            <w:r w:rsidRPr="0011472E">
              <w:rPr>
                <w:rFonts w:ascii="Times New Roman" w:hAnsi="Times New Roman" w:cs="Times New Roman"/>
                <w:spacing w:val="-1"/>
                <w:sz w:val="24"/>
              </w:rPr>
              <w:t>A 2.1.3. pontban feltüntetett olyan pénzeszköz-beáramlások összege, amely részvény.</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77"/>
              <w:ind w:left="102"/>
              <w:rPr>
                <w:rFonts w:ascii="Times New Roman" w:eastAsia="Times New Roman" w:hAnsi="Times New Roman" w:cs="Times New Roman"/>
                <w:sz w:val="24"/>
                <w:szCs w:val="24"/>
              </w:rPr>
            </w:pPr>
            <w:r>
              <w:rPr>
                <w:rFonts w:ascii="Times New Roman"/>
                <w:sz w:val="24"/>
              </w:rPr>
              <w:t>560</w:t>
            </w:r>
          </w:p>
        </w:tc>
        <w:tc>
          <w:tcPr>
            <w:tcW w:w="7590" w:type="dxa"/>
          </w:tcPr>
          <w:p w:rsidR="001820FB" w:rsidRPr="0011472E" w:rsidRDefault="001820FB" w:rsidP="007A4772">
            <w:pPr>
              <w:pStyle w:val="TableParagraph"/>
              <w:spacing w:before="119"/>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2.1.3.5</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2B. szintű közszektorbeli intézményi eszközök (CQS 3-5)</w:t>
            </w:r>
          </w:p>
          <w:p w:rsidR="001820FB" w:rsidRPr="0011472E" w:rsidRDefault="001820FB" w:rsidP="007A4772">
            <w:pPr>
              <w:pStyle w:val="TableParagraph"/>
              <w:spacing w:before="117"/>
              <w:ind w:left="102" w:right="100"/>
              <w:rPr>
                <w:rFonts w:ascii="Times New Roman" w:eastAsia="Times New Roman" w:hAnsi="Times New Roman" w:cs="Times New Roman"/>
                <w:sz w:val="24"/>
                <w:szCs w:val="24"/>
              </w:rPr>
            </w:pPr>
            <w:r w:rsidRPr="0011472E">
              <w:rPr>
                <w:rFonts w:ascii="Times New Roman" w:hAnsi="Times New Roman" w:cs="Times New Roman"/>
                <w:spacing w:val="-1"/>
                <w:sz w:val="24"/>
              </w:rPr>
              <w:t>A 2.1.3. pontban feltüntetett olyan pénzeszköz-beáramlások összege, amely nem a 2.1.3.1–2.1.3.4 pontban feltüntetett 2B. szintű eszköz.</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75"/>
              <w:ind w:left="102"/>
              <w:rPr>
                <w:rFonts w:ascii="Times New Roman" w:eastAsia="Times New Roman" w:hAnsi="Times New Roman" w:cs="Times New Roman"/>
                <w:sz w:val="24"/>
                <w:szCs w:val="24"/>
              </w:rPr>
            </w:pPr>
            <w:r>
              <w:rPr>
                <w:rFonts w:ascii="Times New Roman"/>
                <w:sz w:val="24"/>
              </w:rPr>
              <w:t>570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2.1.4</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egyéb forgalomképes eszköz</w:t>
            </w:r>
          </w:p>
          <w:p w:rsidR="001820FB" w:rsidRPr="0011472E" w:rsidRDefault="001820FB" w:rsidP="007A4772">
            <w:pPr>
              <w:pStyle w:val="TableParagraph"/>
              <w:spacing w:before="117"/>
              <w:ind w:left="102" w:right="100"/>
              <w:rPr>
                <w:rFonts w:ascii="Times New Roman" w:eastAsia="Times New Roman" w:hAnsi="Times New Roman" w:cs="Times New Roman"/>
                <w:sz w:val="24"/>
                <w:szCs w:val="24"/>
              </w:rPr>
            </w:pPr>
            <w:r w:rsidRPr="0011472E">
              <w:rPr>
                <w:rFonts w:ascii="Times New Roman" w:hAnsi="Times New Roman" w:cs="Times New Roman"/>
                <w:spacing w:val="-1"/>
                <w:sz w:val="24"/>
              </w:rPr>
              <w:t>A 2.1. pontban feltüntetett pénzeszköz-beáramlások összege, amelyet nem a 2.1.1, 2.1.2. vagy 2.1.3. pontban feltüntetett forgalomképes eszközök fedeznek.</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75"/>
              <w:ind w:left="102"/>
              <w:rPr>
                <w:rFonts w:ascii="Times New Roman" w:eastAsia="Times New Roman" w:hAnsi="Times New Roman" w:cs="Times New Roman"/>
                <w:sz w:val="24"/>
                <w:szCs w:val="24"/>
              </w:rPr>
            </w:pPr>
            <w:r>
              <w:rPr>
                <w:rFonts w:ascii="Times New Roman"/>
                <w:sz w:val="24"/>
              </w:rPr>
              <w:t>580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2.1.5</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egyéb eszközök</w:t>
            </w:r>
          </w:p>
          <w:p w:rsidR="001820FB" w:rsidRPr="0011472E" w:rsidRDefault="001820FB" w:rsidP="007A4772">
            <w:pPr>
              <w:pStyle w:val="TableParagraph"/>
              <w:spacing w:before="117"/>
              <w:ind w:left="102" w:right="100"/>
              <w:rPr>
                <w:rFonts w:ascii="Times New Roman" w:eastAsia="Times New Roman" w:hAnsi="Times New Roman" w:cs="Times New Roman"/>
                <w:sz w:val="24"/>
                <w:szCs w:val="24"/>
              </w:rPr>
            </w:pPr>
            <w:r w:rsidRPr="0011472E">
              <w:rPr>
                <w:rFonts w:ascii="Times New Roman" w:hAnsi="Times New Roman" w:cs="Times New Roman"/>
                <w:spacing w:val="-1"/>
                <w:sz w:val="24"/>
              </w:rPr>
              <w:t>A 2.1. pontban feltüntetett pénzeszköz-beáramlások összege, amelyet nem a 2.1.1, 2.1.2., 2.1.3. vagy 2.1.4. pontban feltüntetett eszközök fedeznek.</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9"/>
              <w:rPr>
                <w:rFonts w:ascii="Times New Roman" w:eastAsia="Times New Roman" w:hAnsi="Times New Roman" w:cs="Times New Roman"/>
                <w:sz w:val="35"/>
                <w:szCs w:val="35"/>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590</w:t>
            </w:r>
          </w:p>
        </w:tc>
        <w:tc>
          <w:tcPr>
            <w:tcW w:w="7590" w:type="dxa"/>
          </w:tcPr>
          <w:p w:rsidR="001820FB" w:rsidRPr="0011472E" w:rsidRDefault="001820FB" w:rsidP="007A4772">
            <w:pPr>
              <w:pStyle w:val="TableParagraph"/>
              <w:ind w:left="102" w:right="101"/>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2.2</w:t>
            </w:r>
            <w:r w:rsidR="0064488F">
              <w:rPr>
                <w:rFonts w:ascii="Times New Roman" w:hAnsi="Times New Roman" w:cs="Times New Roman"/>
                <w:b/>
                <w:spacing w:val="-1"/>
                <w:sz w:val="24"/>
                <w:u w:val="thick" w:color="000000"/>
              </w:rPr>
              <w:t xml:space="preserve"> </w:t>
            </w:r>
            <w:r w:rsidRPr="00790DA1">
              <w:rPr>
                <w:rFonts w:ascii="Times New Roman" w:hAnsi="Times New Roman" w:cs="Times New Roman"/>
                <w:b/>
                <w:spacing w:val="-1"/>
                <w:sz w:val="24"/>
                <w:u w:val="thick" w:color="000000"/>
              </w:rPr>
              <w:t>Hitelekből és előlegekből eredő, a 2.1. pontban nem szereplő esedékes összegek a következő ügyfelektől:</w:t>
            </w:r>
          </w:p>
          <w:p w:rsidR="001820FB" w:rsidRPr="0011472E" w:rsidRDefault="001820FB" w:rsidP="007A4772">
            <w:pPr>
              <w:pStyle w:val="TableParagraph"/>
              <w:spacing w:before="9"/>
              <w:rPr>
                <w:rFonts w:ascii="Times New Roman" w:eastAsia="Times New Roman" w:hAnsi="Times New Roman" w:cs="Times New Roman"/>
                <w:sz w:val="23"/>
                <w:szCs w:val="23"/>
              </w:rPr>
            </w:pPr>
          </w:p>
          <w:p w:rsidR="001820FB" w:rsidRPr="0011472E" w:rsidRDefault="001820FB" w:rsidP="007A4772">
            <w:pPr>
              <w:pStyle w:val="TableParagraph"/>
              <w:ind w:left="102"/>
              <w:jc w:val="both"/>
              <w:rPr>
                <w:rFonts w:ascii="Times New Roman" w:eastAsia="Times New Roman" w:hAnsi="Times New Roman" w:cs="Times New Roman"/>
                <w:sz w:val="24"/>
                <w:szCs w:val="24"/>
              </w:rPr>
            </w:pPr>
            <w:r w:rsidRPr="0011472E">
              <w:rPr>
                <w:rFonts w:ascii="Times New Roman" w:hAnsi="Times New Roman" w:cs="Times New Roman"/>
                <w:spacing w:val="-1"/>
                <w:sz w:val="24"/>
              </w:rPr>
              <w:t>Hitelekből és előlegekből származó beáramlások.</w:t>
            </w:r>
          </w:p>
          <w:p w:rsidR="001820FB" w:rsidRPr="0011472E" w:rsidRDefault="001820FB" w:rsidP="007A4772">
            <w:pPr>
              <w:pStyle w:val="TableParagraph"/>
              <w:spacing w:before="10"/>
              <w:rPr>
                <w:rFonts w:ascii="Times New Roman" w:eastAsia="Times New Roman" w:hAnsi="Times New Roman" w:cs="Times New Roman"/>
                <w:sz w:val="23"/>
                <w:szCs w:val="23"/>
              </w:rPr>
            </w:pPr>
          </w:p>
          <w:p w:rsidR="001820FB" w:rsidRPr="0011472E" w:rsidRDefault="001820FB" w:rsidP="007A4772">
            <w:pPr>
              <w:pStyle w:val="TableParagraph"/>
              <w:ind w:left="102" w:right="99"/>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pénzeszköz-beáramlásokat a szerződés szerinti legkésőbbi törlesztési nappal kell feltüntetni. Rulírozó hitelkeretek esetében feltételezni kell, hogy a meglévő hitelt megújítják, a fennmaradó egyenleg pedig folyósítási kötelezettséget tartalmazó keretként kezelendő.</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2"/>
              <w:rPr>
                <w:rFonts w:ascii="Times New Roman" w:eastAsia="Times New Roman" w:hAnsi="Times New Roman" w:cs="Times New Roman"/>
                <w:sz w:val="34"/>
                <w:szCs w:val="34"/>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600</w:t>
            </w:r>
          </w:p>
        </w:tc>
        <w:tc>
          <w:tcPr>
            <w:tcW w:w="7590" w:type="dxa"/>
          </w:tcPr>
          <w:p w:rsidR="001820FB" w:rsidRPr="0011472E" w:rsidRDefault="001820FB" w:rsidP="007A4772">
            <w:pPr>
              <w:pStyle w:val="TableParagraph"/>
              <w:spacing w:before="119"/>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2.2.1</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lakossági ügyfelek</w:t>
            </w:r>
          </w:p>
          <w:p w:rsidR="001820FB" w:rsidRPr="0011472E" w:rsidRDefault="001820FB" w:rsidP="007A4772">
            <w:pPr>
              <w:pStyle w:val="TableParagraph"/>
              <w:spacing w:before="117"/>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2.2. pontban feltüntetett, az (EU) 2015/61 rendelet 3. cikkének 8. pontja szerinti, természetes személytől vagy kkv-tól származó pénzeszköz-beáramlások összege.</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6"/>
              <w:rPr>
                <w:rFonts w:ascii="Times New Roman" w:eastAsia="Times New Roman" w:hAnsi="Times New Roman" w:cs="Times New Roman"/>
                <w:sz w:val="32"/>
                <w:szCs w:val="32"/>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610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2.2.2</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nem pénzügyi vállalatok</w:t>
            </w:r>
          </w:p>
          <w:p w:rsidR="001820FB" w:rsidRPr="0011472E" w:rsidRDefault="001820FB" w:rsidP="007A4772">
            <w:pPr>
              <w:pStyle w:val="TableParagraph"/>
              <w:spacing w:before="117"/>
              <w:ind w:left="102" w:right="100"/>
              <w:rPr>
                <w:rFonts w:ascii="Times New Roman" w:eastAsia="Times New Roman" w:hAnsi="Times New Roman" w:cs="Times New Roman"/>
                <w:sz w:val="24"/>
                <w:szCs w:val="24"/>
              </w:rPr>
            </w:pPr>
            <w:r w:rsidRPr="0011472E">
              <w:rPr>
                <w:rFonts w:ascii="Times New Roman" w:hAnsi="Times New Roman" w:cs="Times New Roman"/>
                <w:spacing w:val="-1"/>
                <w:sz w:val="24"/>
              </w:rPr>
              <w:t>A 2.2. pontban feltüntetett, nem pénzügyi vállalatoktól származó pénzeszköz-beáramlások összege.</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75"/>
              <w:ind w:left="102"/>
              <w:rPr>
                <w:rFonts w:ascii="Times New Roman" w:eastAsia="Times New Roman" w:hAnsi="Times New Roman" w:cs="Times New Roman"/>
                <w:sz w:val="24"/>
                <w:szCs w:val="24"/>
              </w:rPr>
            </w:pPr>
            <w:r>
              <w:rPr>
                <w:rFonts w:ascii="Times New Roman"/>
                <w:sz w:val="24"/>
              </w:rPr>
              <w:t>620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2.2.3</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hitelintézetek</w:t>
            </w:r>
          </w:p>
          <w:p w:rsidR="001820FB" w:rsidRPr="0011472E" w:rsidRDefault="001820FB" w:rsidP="007A4772">
            <w:pPr>
              <w:pStyle w:val="TableParagraph"/>
              <w:spacing w:before="117"/>
              <w:ind w:left="102" w:right="102"/>
              <w:rPr>
                <w:rFonts w:ascii="Times New Roman" w:eastAsia="Times New Roman" w:hAnsi="Times New Roman" w:cs="Times New Roman"/>
                <w:sz w:val="24"/>
                <w:szCs w:val="24"/>
              </w:rPr>
            </w:pPr>
            <w:r w:rsidRPr="0011472E">
              <w:rPr>
                <w:rFonts w:ascii="Times New Roman" w:hAnsi="Times New Roman" w:cs="Times New Roman"/>
                <w:spacing w:val="-1"/>
                <w:sz w:val="24"/>
              </w:rPr>
              <w:t>A 2.2. pontban feltüntetett, hitelintézetektől származó pénzeszköz-beáramlások összege.</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3"/>
              <w:rPr>
                <w:rFonts w:ascii="Times New Roman" w:eastAsia="Times New Roman" w:hAnsi="Times New Roman" w:cs="Times New Roman"/>
                <w:sz w:val="27"/>
                <w:szCs w:val="27"/>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630</w:t>
            </w:r>
          </w:p>
        </w:tc>
        <w:tc>
          <w:tcPr>
            <w:tcW w:w="7590" w:type="dxa"/>
          </w:tcPr>
          <w:p w:rsidR="001820FB" w:rsidRPr="0011472E" w:rsidRDefault="001820FB" w:rsidP="007A4772">
            <w:pPr>
              <w:pStyle w:val="TableParagraph"/>
              <w:spacing w:before="118"/>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2.2.4</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egyéb pénzügyi ügyfelek</w:t>
            </w:r>
          </w:p>
          <w:p w:rsidR="001820FB" w:rsidRPr="0011472E" w:rsidRDefault="001820FB" w:rsidP="007A4772">
            <w:pPr>
              <w:pStyle w:val="TableParagraph"/>
              <w:spacing w:before="117"/>
              <w:ind w:left="102" w:right="99"/>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2.2. pontban feltüntetett, az (EU) 2015/61 rendelet 3. cikkének 9. pontja szerinti pénzügyi ügyfelektől származó pénzeszköz-beáramlások összege, a 2.2.3. pontban feltüntetett beáramlások kivételével.</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7"/>
              <w:rPr>
                <w:rFonts w:ascii="Times New Roman" w:eastAsia="Times New Roman" w:hAnsi="Times New Roman" w:cs="Times New Roman"/>
                <w:sz w:val="32"/>
                <w:szCs w:val="32"/>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640</w:t>
            </w:r>
          </w:p>
        </w:tc>
        <w:tc>
          <w:tcPr>
            <w:tcW w:w="7590" w:type="dxa"/>
          </w:tcPr>
          <w:p w:rsidR="001820FB" w:rsidRPr="0011472E" w:rsidRDefault="001820FB" w:rsidP="007A4772">
            <w:pPr>
              <w:pStyle w:val="TableParagraph"/>
              <w:spacing w:before="119"/>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2.2.5</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központi bankok</w:t>
            </w:r>
          </w:p>
          <w:p w:rsidR="001820FB" w:rsidRPr="0011472E" w:rsidRDefault="001820FB" w:rsidP="007A4772">
            <w:pPr>
              <w:pStyle w:val="TableParagraph"/>
              <w:spacing w:before="117"/>
              <w:ind w:left="102" w:right="99"/>
              <w:rPr>
                <w:rFonts w:ascii="Times New Roman" w:eastAsia="Times New Roman" w:hAnsi="Times New Roman" w:cs="Times New Roman"/>
                <w:sz w:val="24"/>
                <w:szCs w:val="24"/>
              </w:rPr>
            </w:pPr>
            <w:r w:rsidRPr="0011472E">
              <w:rPr>
                <w:rFonts w:ascii="Times New Roman" w:hAnsi="Times New Roman" w:cs="Times New Roman"/>
                <w:spacing w:val="-1"/>
                <w:sz w:val="24"/>
              </w:rPr>
              <w:t>A 2.2. pontban feltüntetett, központi bankoktól származó pénzeszköz-beáramlások összege.</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6"/>
              <w:rPr>
                <w:rFonts w:ascii="Times New Roman" w:eastAsia="Times New Roman" w:hAnsi="Times New Roman" w:cs="Times New Roman"/>
                <w:sz w:val="32"/>
                <w:szCs w:val="32"/>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650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2.2.6</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egyéb partnerek</w:t>
            </w:r>
          </w:p>
          <w:p w:rsidR="001820FB" w:rsidRPr="0011472E" w:rsidRDefault="001820FB" w:rsidP="007A4772">
            <w:pPr>
              <w:pStyle w:val="TableParagraph"/>
              <w:spacing w:before="117"/>
              <w:ind w:left="102" w:right="100"/>
              <w:rPr>
                <w:rFonts w:ascii="Times New Roman" w:eastAsia="Times New Roman" w:hAnsi="Times New Roman" w:cs="Times New Roman"/>
                <w:sz w:val="24"/>
                <w:szCs w:val="24"/>
              </w:rPr>
            </w:pPr>
            <w:r w:rsidRPr="0011472E">
              <w:rPr>
                <w:rFonts w:ascii="Times New Roman" w:hAnsi="Times New Roman" w:cs="Times New Roman"/>
                <w:spacing w:val="-1"/>
                <w:sz w:val="24"/>
              </w:rPr>
              <w:t>A 2.2. pontban feltüntetett, a 2.2.1–2.2.5. pontban nem említett egyéb szervezetektől származó pénzeszköz-beáramlások összege.</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8"/>
              <w:rPr>
                <w:rFonts w:ascii="Times New Roman" w:eastAsia="Times New Roman" w:hAnsi="Times New Roman" w:cs="Times New Roman"/>
                <w:sz w:val="25"/>
                <w:szCs w:val="25"/>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660</w:t>
            </w:r>
          </w:p>
        </w:tc>
        <w:tc>
          <w:tcPr>
            <w:tcW w:w="7590" w:type="dxa"/>
          </w:tcPr>
          <w:p w:rsidR="001820FB" w:rsidRPr="0011472E" w:rsidRDefault="001820FB" w:rsidP="007A4772">
            <w:pPr>
              <w:pStyle w:val="TableParagraph"/>
              <w:spacing w:before="118"/>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2.3</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Lejáró devizacsere-ügylet</w:t>
            </w:r>
          </w:p>
          <w:p w:rsidR="001820FB" w:rsidRPr="0011472E" w:rsidRDefault="001820FB" w:rsidP="007A4772">
            <w:pPr>
              <w:pStyle w:val="TableParagraph"/>
              <w:spacing w:before="117"/>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devizacsere-ügyletek lejáratából, például a tőkeösszegek lejáratkori cseréjéből származó szerződéses pénzeszköz-beáramlások teljes összege.</w:t>
            </w:r>
          </w:p>
          <w:p w:rsidR="001820FB" w:rsidRPr="0011472E" w:rsidRDefault="001820FB" w:rsidP="007A4772">
            <w:pPr>
              <w:pStyle w:val="TableParagraph"/>
              <w:spacing w:before="120"/>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tábla megfelelő lejárati sávjaiban szereplő keresztdevizás csereügyletek és határidős devizaügyletek lejáratkori névértékét a tábla vonatkozó lejárati sávjában kell feltüntetni.</w:t>
            </w:r>
          </w:p>
        </w:tc>
      </w:tr>
      <w:tr w:rsidR="001820FB" w:rsidRPr="00FE002E" w:rsidTr="00FE0FF1">
        <w:trPr>
          <w:trHeight w:val="304"/>
        </w:trPr>
        <w:tc>
          <w:tcPr>
            <w:tcW w:w="1418" w:type="dxa"/>
          </w:tcPr>
          <w:p w:rsidR="001820FB" w:rsidRPr="001820FB" w:rsidRDefault="001820FB" w:rsidP="001820FB">
            <w:pPr>
              <w:pStyle w:val="TableParagraph"/>
              <w:rPr>
                <w:rFonts w:ascii="Times New Roman" w:hAnsi="Times New Roman"/>
                <w:sz w:val="24"/>
                <w:szCs w:val="24"/>
              </w:rPr>
            </w:pPr>
            <w:r>
              <w:rPr>
                <w:rFonts w:ascii="Times New Roman" w:hAnsi="Times New Roman"/>
                <w:sz w:val="24"/>
              </w:rPr>
              <w:t>670</w:t>
            </w:r>
          </w:p>
          <w:p w:rsidR="001820FB" w:rsidRDefault="001820FB" w:rsidP="007A4772">
            <w:pPr>
              <w:pStyle w:val="TableParagraph"/>
              <w:rPr>
                <w:rFonts w:ascii="Times New Roman" w:eastAsia="Times New Roman" w:hAnsi="Times New Roman" w:cs="Times New Roman"/>
                <w:sz w:val="24"/>
                <w:szCs w:val="24"/>
              </w:rPr>
            </w:pPr>
          </w:p>
        </w:tc>
        <w:tc>
          <w:tcPr>
            <w:tcW w:w="7590" w:type="dxa"/>
          </w:tcPr>
          <w:p w:rsidR="001820FB" w:rsidRPr="0011472E" w:rsidRDefault="001820FB" w:rsidP="001820FB">
            <w:pPr>
              <w:pStyle w:val="TableParagraph"/>
              <w:spacing w:before="119"/>
              <w:ind w:left="102"/>
              <w:rPr>
                <w:rFonts w:ascii="Times New Roman" w:hAnsi="Times New Roman" w:cs="Times New Roman"/>
                <w:b/>
                <w:sz w:val="24"/>
                <w:u w:val="thick" w:color="000000"/>
              </w:rPr>
            </w:pPr>
            <w:r w:rsidRPr="0011472E">
              <w:rPr>
                <w:rFonts w:ascii="Times New Roman" w:hAnsi="Times New Roman" w:cs="Times New Roman"/>
                <w:b/>
                <w:sz w:val="24"/>
                <w:u w:val="thick" w:color="000000"/>
              </w:rPr>
              <w:t>2.4</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z w:val="24"/>
                <w:u w:val="thick" w:color="000000"/>
              </w:rPr>
              <w:t>A 2.3. pontban nem szereplő, származtatott ügyletekből eredő követelések összege</w:t>
            </w:r>
          </w:p>
          <w:p w:rsidR="001820FB" w:rsidRPr="0011472E" w:rsidRDefault="001820FB" w:rsidP="001820FB">
            <w:pPr>
              <w:pStyle w:val="TableParagraph"/>
              <w:spacing w:before="119"/>
              <w:ind w:left="102"/>
              <w:rPr>
                <w:rFonts w:ascii="Times New Roman" w:hAnsi="Times New Roman" w:cs="Times New Roman"/>
                <w:sz w:val="24"/>
              </w:rPr>
            </w:pPr>
            <w:r w:rsidRPr="0011472E">
              <w:rPr>
                <w:rFonts w:ascii="Times New Roman" w:hAnsi="Times New Roman" w:cs="Times New Roman"/>
                <w:sz w:val="24"/>
              </w:rPr>
              <w:t>Az 575/2013/EU rendelet II. mellékletében felsorolt szerződések alapján követelést képező származtatott pozíciókból származó pénzeszköz-beáramlások teljes összege, kivéve a lejáró devizacsere-ügyletekből származó beáramlásokat, amelyeket a 2.3. pontban kell szerepeltetni.</w:t>
            </w:r>
          </w:p>
          <w:p w:rsidR="001820FB" w:rsidRPr="0011472E" w:rsidRDefault="001820FB" w:rsidP="001820FB">
            <w:pPr>
              <w:pStyle w:val="TableParagraph"/>
              <w:spacing w:before="119"/>
              <w:ind w:left="102"/>
              <w:rPr>
                <w:rFonts w:ascii="Times New Roman" w:hAnsi="Times New Roman" w:cs="Times New Roman"/>
                <w:sz w:val="24"/>
              </w:rPr>
            </w:pPr>
            <w:r w:rsidRPr="0011472E">
              <w:rPr>
                <w:rFonts w:ascii="Times New Roman" w:hAnsi="Times New Roman" w:cs="Times New Roman"/>
                <w:sz w:val="24"/>
              </w:rPr>
              <w:t>A teljes összegnek a kiegyenlítési összegeket kell mutatnia az adatszolgáltatás időpontjában nem teljesített letéti felhívásokkal együtt.</w:t>
            </w:r>
          </w:p>
          <w:p w:rsidR="001820FB" w:rsidRPr="0011472E" w:rsidRDefault="001820FB" w:rsidP="001820FB">
            <w:pPr>
              <w:pStyle w:val="TableParagraph"/>
              <w:spacing w:before="119"/>
              <w:ind w:left="102"/>
              <w:rPr>
                <w:rFonts w:ascii="Times New Roman" w:hAnsi="Times New Roman" w:cs="Times New Roman"/>
                <w:sz w:val="24"/>
              </w:rPr>
            </w:pPr>
            <w:r w:rsidRPr="0011472E">
              <w:rPr>
                <w:rFonts w:ascii="Times New Roman" w:hAnsi="Times New Roman" w:cs="Times New Roman"/>
                <w:sz w:val="24"/>
              </w:rPr>
              <w:t>A teljes összegnek az alábbi 1. és 2. elem összegét kell mutatnia a különböző lejárati sávokban:</w:t>
            </w:r>
          </w:p>
          <w:p w:rsidR="001820FB" w:rsidRPr="0011472E" w:rsidRDefault="001820FB" w:rsidP="001820FB">
            <w:pPr>
              <w:pStyle w:val="TableParagraph"/>
              <w:spacing w:before="119"/>
              <w:ind w:left="102"/>
              <w:rPr>
                <w:rFonts w:ascii="Times New Roman" w:hAnsi="Times New Roman" w:cs="Times New Roman"/>
                <w:sz w:val="24"/>
              </w:rPr>
            </w:pPr>
            <w:r w:rsidRPr="0011472E">
              <w:rPr>
                <w:rFonts w:ascii="Times New Roman" w:hAnsi="Times New Roman" w:cs="Times New Roman"/>
                <w:sz w:val="24"/>
              </w:rPr>
              <w:t>1.</w:t>
            </w:r>
            <w:r w:rsidRPr="0011472E">
              <w:rPr>
                <w:rFonts w:ascii="Times New Roman" w:hAnsi="Times New Roman" w:cs="Times New Roman"/>
              </w:rPr>
              <w:tab/>
            </w:r>
            <w:r w:rsidRPr="0011472E">
              <w:rPr>
                <w:rFonts w:ascii="Times New Roman" w:hAnsi="Times New Roman" w:cs="Times New Roman"/>
                <w:sz w:val="24"/>
              </w:rPr>
              <w:t>a lejárati tábla egyik táblájában sem szerepeltethető az olyan származtatott ügyletekhez kapcsolódó pénz- és értékpapír-áramlás, amelyre vonatkozóan biztosítéki megállapodás írja elő a partnerkockázat teljes vagy arányos fedezetét, és ugyancsak nem szerepeltethető a táblában az ilyen származtatott ügyletekhez kapcsolódó semmilyen pénz-, értékpapír-, készpénzfedezet- és értékpapírfedezet-áramlás. Nem tüntethető fel továbbá a lejárati tábla kiegyensúlyozó kapacitást mutató 3. szakaszának „állomány” oszlopában a fedezett származtatott ügylet keretében korábban kapott vagy nyújtott készpénz- és értékpapír-fedezet állománya, kivéve a letéti felhívások nyomán bekövetkező esedékes, de még nem teljesített pénz- és értékpapír-áramlást. Utóbbiak közül a készpénzfedezetet az 1.5. és a 2.4. sorban („származtatott ügyletekhez kapcsolódó pénzeszköz-kiáramlások” és „származtatott ügyletekhez kapcsolódó pénzeszköz-beáramlások”), az értékpapír-fedezetet a 3. szakaszban („kiegyensúlyozó kapacitás”) kell kimutatni;</w:t>
            </w:r>
          </w:p>
          <w:p w:rsidR="001820FB" w:rsidRPr="0011472E" w:rsidRDefault="001820FB" w:rsidP="001820FB">
            <w:pPr>
              <w:pStyle w:val="TableParagraph"/>
              <w:spacing w:before="119"/>
              <w:ind w:left="102"/>
              <w:rPr>
                <w:rFonts w:ascii="Times New Roman" w:hAnsi="Times New Roman" w:cs="Times New Roman"/>
                <w:sz w:val="24"/>
              </w:rPr>
            </w:pPr>
          </w:p>
          <w:p w:rsidR="001820FB" w:rsidRPr="0011472E" w:rsidRDefault="001820FB" w:rsidP="001820FB">
            <w:pPr>
              <w:pStyle w:val="TableParagraph"/>
              <w:spacing w:before="119"/>
              <w:ind w:left="102"/>
              <w:rPr>
                <w:rFonts w:ascii="Times New Roman" w:hAnsi="Times New Roman" w:cs="Times New Roman"/>
                <w:sz w:val="24"/>
              </w:rPr>
            </w:pPr>
            <w:r w:rsidRPr="0011472E">
              <w:rPr>
                <w:rFonts w:ascii="Times New Roman" w:hAnsi="Times New Roman" w:cs="Times New Roman"/>
                <w:sz w:val="24"/>
              </w:rPr>
              <w:t>2.</w:t>
            </w:r>
            <w:r w:rsidRPr="0011472E">
              <w:rPr>
                <w:rFonts w:ascii="Times New Roman" w:hAnsi="Times New Roman" w:cs="Times New Roman"/>
              </w:rPr>
              <w:tab/>
            </w:r>
            <w:r w:rsidRPr="0011472E">
              <w:rPr>
                <w:rFonts w:ascii="Times New Roman" w:hAnsi="Times New Roman" w:cs="Times New Roman"/>
                <w:sz w:val="24"/>
              </w:rPr>
              <w:t>a pénzeszközök és értékpapírok olyan származtatott ügyletekhez kapcsolódó be- és kiáramlása esetében, amelyekre nem vonatkozik biztosítéki megállapodás vagy csak részleges fedezet szükséges, meg kell különböztetni az opcionalitást tartalmazó és egyéb szerződéseket:</w:t>
            </w:r>
          </w:p>
          <w:p w:rsidR="001820FB" w:rsidRPr="0011472E" w:rsidRDefault="001820FB" w:rsidP="001820FB">
            <w:pPr>
              <w:pStyle w:val="TableParagraph"/>
              <w:spacing w:before="119"/>
              <w:ind w:left="102"/>
              <w:rPr>
                <w:rFonts w:ascii="Times New Roman" w:hAnsi="Times New Roman" w:cs="Times New Roman"/>
                <w:sz w:val="24"/>
              </w:rPr>
            </w:pPr>
          </w:p>
          <w:p w:rsidR="001820FB" w:rsidRPr="0011472E" w:rsidRDefault="001820FB" w:rsidP="001820FB">
            <w:pPr>
              <w:pStyle w:val="TableParagraph"/>
              <w:spacing w:before="119"/>
              <w:ind w:left="720"/>
              <w:rPr>
                <w:rFonts w:ascii="Times New Roman" w:hAnsi="Times New Roman" w:cs="Times New Roman"/>
                <w:sz w:val="24"/>
              </w:rPr>
            </w:pPr>
            <w:r w:rsidRPr="0011472E">
              <w:rPr>
                <w:rFonts w:ascii="Times New Roman" w:hAnsi="Times New Roman" w:cs="Times New Roman"/>
                <w:sz w:val="24"/>
              </w:rPr>
              <w:t>a)</w:t>
            </w:r>
            <w:r w:rsidRPr="0011472E">
              <w:rPr>
                <w:rFonts w:ascii="Times New Roman" w:hAnsi="Times New Roman" w:cs="Times New Roman"/>
              </w:rPr>
              <w:tab/>
            </w:r>
            <w:r w:rsidRPr="0011472E">
              <w:rPr>
                <w:rFonts w:ascii="Times New Roman" w:hAnsi="Times New Roman" w:cs="Times New Roman"/>
                <w:sz w:val="24"/>
              </w:rPr>
              <w:t>az opció jellegű származtatott ügyletekhez kapcsolódó áramlások csak akkor szerepeltethetők, ha az opció nyereséges. Ezek az áramlások a következők közül mindkettő együttes alkalmazásával közelíthetők:</w:t>
            </w:r>
          </w:p>
          <w:p w:rsidR="001820FB" w:rsidRPr="0011472E" w:rsidRDefault="001820FB" w:rsidP="001820FB">
            <w:pPr>
              <w:pStyle w:val="TableParagraph"/>
              <w:spacing w:before="119"/>
              <w:ind w:left="1440"/>
              <w:rPr>
                <w:rFonts w:ascii="Times New Roman" w:hAnsi="Times New Roman" w:cs="Times New Roman"/>
                <w:sz w:val="24"/>
              </w:rPr>
            </w:pPr>
            <w:r w:rsidRPr="0011472E">
              <w:rPr>
                <w:rFonts w:ascii="Times New Roman" w:hAnsi="Times New Roman" w:cs="Times New Roman"/>
                <w:sz w:val="24"/>
              </w:rPr>
              <w:t>i.</w:t>
            </w:r>
            <w:r w:rsidRPr="0011472E">
              <w:rPr>
                <w:rFonts w:ascii="Times New Roman" w:hAnsi="Times New Roman" w:cs="Times New Roman"/>
              </w:rPr>
              <w:tab/>
            </w:r>
            <w:r w:rsidRPr="0011472E">
              <w:rPr>
                <w:rFonts w:ascii="Times New Roman" w:hAnsi="Times New Roman" w:cs="Times New Roman"/>
                <w:sz w:val="24"/>
              </w:rPr>
              <w:t>a szerződés aktuális piaci értékét vagy nettó jelenértékét a lejárati tábla 2.4. sorában („származtatott ügyletekhez kapcsolódó pénzeszköz-beáramlások”) az opció legkésőbbi lehívási napjával beáramlásként kell szerepeltetni, ha az opció lehívására a bank jogosult;</w:t>
            </w:r>
          </w:p>
          <w:p w:rsidR="001820FB" w:rsidRPr="0011472E" w:rsidRDefault="001820FB" w:rsidP="001820FB">
            <w:pPr>
              <w:pStyle w:val="TableParagraph"/>
              <w:spacing w:before="119"/>
              <w:ind w:left="1440"/>
              <w:rPr>
                <w:rFonts w:ascii="Times New Roman" w:hAnsi="Times New Roman" w:cs="Times New Roman"/>
                <w:sz w:val="24"/>
              </w:rPr>
            </w:pPr>
            <w:r w:rsidRPr="0011472E">
              <w:rPr>
                <w:rFonts w:ascii="Times New Roman" w:hAnsi="Times New Roman" w:cs="Times New Roman"/>
                <w:sz w:val="24"/>
              </w:rPr>
              <w:t>ii.</w:t>
            </w:r>
            <w:r w:rsidRPr="0011472E">
              <w:rPr>
                <w:rFonts w:ascii="Times New Roman" w:hAnsi="Times New Roman" w:cs="Times New Roman"/>
              </w:rPr>
              <w:tab/>
            </w:r>
            <w:r w:rsidRPr="0011472E">
              <w:rPr>
                <w:rFonts w:ascii="Times New Roman" w:hAnsi="Times New Roman" w:cs="Times New Roman"/>
                <w:sz w:val="24"/>
              </w:rPr>
              <w:t>a szerződés aktuális piaci értékét vagy nettó jelenértékét a lejárati tábla 1.5. sorában („származtatott ügyletekhez kapcsolódó pénzeszköz-kiáramlások”) az opció legkorábbi lehívási napjával kiáramlásként kell szerepeltetni, ha az opció lehívására a bank partnere jogosult;</w:t>
            </w:r>
          </w:p>
          <w:p w:rsidR="001820FB" w:rsidRPr="0011472E" w:rsidRDefault="001820FB" w:rsidP="001820FB">
            <w:pPr>
              <w:pStyle w:val="TableParagraph"/>
              <w:spacing w:before="119"/>
              <w:ind w:left="720"/>
              <w:rPr>
                <w:rFonts w:ascii="Times New Roman" w:hAnsi="Times New Roman" w:cs="Times New Roman"/>
                <w:sz w:val="24"/>
              </w:rPr>
            </w:pPr>
          </w:p>
          <w:p w:rsidR="001820FB" w:rsidRPr="0011472E" w:rsidRDefault="001820FB" w:rsidP="001820FB">
            <w:pPr>
              <w:pStyle w:val="TableParagraph"/>
              <w:spacing w:before="119"/>
              <w:ind w:left="720"/>
              <w:rPr>
                <w:rFonts w:ascii="Times New Roman" w:hAnsi="Times New Roman" w:cs="Times New Roman"/>
                <w:b/>
                <w:sz w:val="24"/>
                <w:u w:val="thick" w:color="000000"/>
              </w:rPr>
            </w:pPr>
            <w:r w:rsidRPr="0011472E">
              <w:rPr>
                <w:rFonts w:ascii="Times New Roman" w:hAnsi="Times New Roman" w:cs="Times New Roman"/>
                <w:sz w:val="24"/>
              </w:rPr>
              <w:t>b)</w:t>
            </w:r>
            <w:r w:rsidRPr="0011472E">
              <w:rPr>
                <w:rFonts w:ascii="Times New Roman" w:hAnsi="Times New Roman" w:cs="Times New Roman"/>
              </w:rPr>
              <w:tab/>
            </w:r>
            <w:r w:rsidRPr="0011472E">
              <w:rPr>
                <w:rFonts w:ascii="Times New Roman" w:hAnsi="Times New Roman" w:cs="Times New Roman"/>
                <w:sz w:val="24"/>
              </w:rPr>
              <w:t>az a) pontban említettől eltérő szerződésekhez kapcsolódó áramlások esetében a bruttó szerződéses pénzáramlásokat az 1.5. sor („származtatott ügyletekhez kapcsolódó pénzeszköz-kiáramlások”) és a 2.4. sor („származtatott ügyletekhez kapcsolódó pénzeszköz-beáramlások”) megfelelő lejárati sávjában, az értékpapírok szerződéses áramlásait pedig a lejárati tábla kiegyensúlyozó kapacitást mutató szakaszában – még nem rögzített összegek esetében az adatszolgáltatás időpontjában alkalmazandó aktuális, piac által implikált határidős kamatláb használatával – kell szerepeltetni.</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7"/>
              <w:rPr>
                <w:rFonts w:ascii="Times New Roman" w:eastAsia="Times New Roman" w:hAnsi="Times New Roman" w:cs="Times New Roman"/>
                <w:sz w:val="32"/>
                <w:szCs w:val="32"/>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680</w:t>
            </w:r>
          </w:p>
        </w:tc>
        <w:tc>
          <w:tcPr>
            <w:tcW w:w="7590" w:type="dxa"/>
          </w:tcPr>
          <w:p w:rsidR="001820FB" w:rsidRPr="0011472E" w:rsidRDefault="001820FB" w:rsidP="007A4772">
            <w:pPr>
              <w:pStyle w:val="TableParagraph"/>
              <w:spacing w:before="119"/>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2.5</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Saját portfólióban tartott, lejáró értékpapír</w:t>
            </w:r>
          </w:p>
          <w:p w:rsidR="001820FB" w:rsidRPr="0011472E" w:rsidRDefault="001820FB" w:rsidP="007A4772">
            <w:pPr>
              <w:pStyle w:val="TableParagraph"/>
              <w:spacing w:before="117"/>
              <w:ind w:left="102" w:right="99"/>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kötvényekben végrehajtott saját befektetésekből eredő, a szerződés szerinti hátralévő futamidővel szerepeltetett, esedékes tőketörlesztésből származó beáramlások összege. A tétel magában foglalja a kiegyensúlyozó kapacitásban szerepeltetett lejáró értékpapírokból származó pénzeszköz-beáramlást. Azaz amennyiben egy értékpapír lejár, értékpapír-kiáramlásként kell feltüntetni a kiegyensúlyozó kapacitás táblában, és pénzeszköz-beáramlásként itt.</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77"/>
              <w:ind w:left="102"/>
              <w:rPr>
                <w:rFonts w:ascii="Times New Roman" w:eastAsia="Times New Roman" w:hAnsi="Times New Roman" w:cs="Times New Roman"/>
                <w:sz w:val="24"/>
                <w:szCs w:val="24"/>
              </w:rPr>
            </w:pPr>
            <w:r>
              <w:rPr>
                <w:rFonts w:ascii="Times New Roman"/>
                <w:sz w:val="24"/>
              </w:rPr>
              <w:t>690</w:t>
            </w:r>
          </w:p>
        </w:tc>
        <w:tc>
          <w:tcPr>
            <w:tcW w:w="7590" w:type="dxa"/>
          </w:tcPr>
          <w:p w:rsidR="001820FB" w:rsidRPr="0011472E" w:rsidRDefault="001820FB" w:rsidP="007A4772">
            <w:pPr>
              <w:pStyle w:val="TableParagraph"/>
              <w:spacing w:before="119"/>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2.6</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Egyéb beáramlások</w:t>
            </w:r>
          </w:p>
          <w:p w:rsidR="001820FB" w:rsidRPr="0011472E" w:rsidRDefault="001820FB" w:rsidP="007A4772">
            <w:pPr>
              <w:pStyle w:val="TableParagraph"/>
              <w:spacing w:before="117"/>
              <w:ind w:left="102" w:right="101"/>
              <w:rPr>
                <w:rFonts w:ascii="Times New Roman" w:eastAsia="Times New Roman" w:hAnsi="Times New Roman" w:cs="Times New Roman"/>
                <w:sz w:val="24"/>
                <w:szCs w:val="24"/>
              </w:rPr>
            </w:pPr>
            <w:r w:rsidRPr="0011472E">
              <w:rPr>
                <w:rFonts w:ascii="Times New Roman" w:hAnsi="Times New Roman" w:cs="Times New Roman"/>
                <w:spacing w:val="-1"/>
                <w:sz w:val="24"/>
              </w:rPr>
              <w:t xml:space="preserve">A 2.1., 2.2., 2.3., 2.4. és 2.5. pontban nem szereplő valamennyi egyéb pénzeszköz-beáramlás teljes összege. A függő beáramlások itt nem </w:t>
            </w:r>
            <w:r w:rsidRPr="0011472E">
              <w:rPr>
                <w:rFonts w:ascii="Times New Roman" w:hAnsi="Times New Roman" w:cs="Times New Roman"/>
                <w:spacing w:val="-1"/>
                <w:sz w:val="24"/>
              </w:rPr>
              <w:lastRenderedPageBreak/>
              <w:t>szerepeltethetők.</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49"/>
              <w:ind w:left="102"/>
              <w:rPr>
                <w:rFonts w:ascii="Times New Roman" w:eastAsia="Times New Roman" w:hAnsi="Times New Roman" w:cs="Times New Roman"/>
                <w:sz w:val="24"/>
                <w:szCs w:val="24"/>
              </w:rPr>
            </w:pPr>
            <w:r>
              <w:rPr>
                <w:rFonts w:ascii="Times New Roman"/>
                <w:sz w:val="24"/>
              </w:rPr>
              <w:t>700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2.7</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Beáramlások összesen</w:t>
            </w:r>
          </w:p>
          <w:p w:rsidR="001820FB" w:rsidRPr="0011472E" w:rsidRDefault="001820FB" w:rsidP="007A4772">
            <w:pPr>
              <w:pStyle w:val="TableParagraph"/>
              <w:spacing w:before="117"/>
              <w:ind w:left="102"/>
              <w:rPr>
                <w:rFonts w:ascii="Times New Roman" w:eastAsia="Times New Roman" w:hAnsi="Times New Roman" w:cs="Times New Roman"/>
                <w:sz w:val="24"/>
                <w:szCs w:val="24"/>
              </w:rPr>
            </w:pPr>
            <w:r w:rsidRPr="0011472E">
              <w:rPr>
                <w:rFonts w:ascii="Times New Roman" w:hAnsi="Times New Roman" w:cs="Times New Roman"/>
                <w:sz w:val="24"/>
              </w:rPr>
              <w:t>A 2.1., 2.2., 2.3., 2.4., 2.5. és 2.6. pontban feltüntetett beáramlások összege.</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49"/>
              <w:ind w:left="102"/>
              <w:rPr>
                <w:rFonts w:ascii="Times New Roman" w:eastAsia="Times New Roman" w:hAnsi="Times New Roman" w:cs="Times New Roman"/>
                <w:sz w:val="24"/>
                <w:szCs w:val="24"/>
              </w:rPr>
            </w:pPr>
            <w:r>
              <w:rPr>
                <w:rFonts w:ascii="Times New Roman"/>
                <w:sz w:val="24"/>
              </w:rPr>
              <w:t>710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2.8</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Nettó finanszírozási eltérés (gap)</w:t>
            </w:r>
          </w:p>
          <w:p w:rsidR="001820FB" w:rsidRPr="0011472E" w:rsidRDefault="001820FB" w:rsidP="007A4772">
            <w:pPr>
              <w:pStyle w:val="TableParagraph"/>
              <w:spacing w:before="117"/>
              <w:ind w:left="102"/>
              <w:rPr>
                <w:rFonts w:ascii="Times New Roman" w:eastAsia="Times New Roman" w:hAnsi="Times New Roman" w:cs="Times New Roman"/>
                <w:sz w:val="24"/>
                <w:szCs w:val="24"/>
              </w:rPr>
            </w:pPr>
            <w:r w:rsidRPr="0011472E">
              <w:rPr>
                <w:rFonts w:ascii="Times New Roman" w:hAnsi="Times New Roman" w:cs="Times New Roman"/>
                <w:spacing w:val="-1"/>
                <w:sz w:val="24"/>
              </w:rPr>
              <w:t>A 2.7. pontban szereplő beáramlások összértéke csökkentve az 1.7. pontban szereplő kiáramlások összértékével.</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7"/>
              <w:rPr>
                <w:rFonts w:ascii="Times New Roman" w:eastAsia="Times New Roman" w:hAnsi="Times New Roman" w:cs="Times New Roman"/>
                <w:sz w:val="32"/>
                <w:szCs w:val="32"/>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720</w:t>
            </w:r>
          </w:p>
        </w:tc>
        <w:tc>
          <w:tcPr>
            <w:tcW w:w="7590" w:type="dxa"/>
          </w:tcPr>
          <w:p w:rsidR="001820FB" w:rsidRPr="0011472E" w:rsidRDefault="001820FB" w:rsidP="007A4772">
            <w:pPr>
              <w:pStyle w:val="TableParagraph"/>
              <w:spacing w:before="119"/>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2.9</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Halmozott nettó finanszírozási eltérés (gap)</w:t>
            </w:r>
          </w:p>
          <w:p w:rsidR="001820FB" w:rsidRPr="0011472E" w:rsidRDefault="001820FB" w:rsidP="00713998">
            <w:pPr>
              <w:pStyle w:val="TableParagraph"/>
              <w:spacing w:before="117"/>
              <w:ind w:left="102" w:right="101"/>
              <w:rPr>
                <w:rFonts w:ascii="Times New Roman" w:eastAsia="Times New Roman" w:hAnsi="Times New Roman" w:cs="Times New Roman"/>
                <w:sz w:val="24"/>
                <w:szCs w:val="24"/>
              </w:rPr>
            </w:pPr>
            <w:r w:rsidRPr="0011472E">
              <w:rPr>
                <w:rFonts w:ascii="Times New Roman" w:hAnsi="Times New Roman" w:cs="Times New Roman"/>
                <w:spacing w:val="-1"/>
                <w:sz w:val="24"/>
              </w:rPr>
              <w:t>Halmozott nettó szerződéses hiány az adatszolgáltatás időpontjától a vonatkozó lejárati sáv végéig.</w:t>
            </w:r>
          </w:p>
        </w:tc>
      </w:tr>
      <w:tr w:rsidR="001820FB" w:rsidRPr="00FE002E" w:rsidTr="00C54FC2">
        <w:trPr>
          <w:trHeight w:val="304"/>
        </w:trPr>
        <w:tc>
          <w:tcPr>
            <w:tcW w:w="1418" w:type="dxa"/>
            <w:shd w:val="clear" w:color="auto" w:fill="E5E5E6" w:themeFill="accent2" w:themeFillTint="33"/>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
              <w:rPr>
                <w:rFonts w:ascii="Times New Roman" w:eastAsia="Times New Roman" w:hAnsi="Times New Roman" w:cs="Times New Roman"/>
                <w:sz w:val="34"/>
                <w:szCs w:val="34"/>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730-1080</w:t>
            </w:r>
          </w:p>
        </w:tc>
        <w:tc>
          <w:tcPr>
            <w:tcW w:w="7590" w:type="dxa"/>
            <w:shd w:val="clear" w:color="auto" w:fill="E5E5E6" w:themeFill="accent2" w:themeFillTint="33"/>
          </w:tcPr>
          <w:p w:rsidR="00C54FC2" w:rsidRPr="0011472E" w:rsidRDefault="00C54FC2" w:rsidP="007A4772">
            <w:pPr>
              <w:pStyle w:val="TableParagraph"/>
              <w:tabs>
                <w:tab w:val="left" w:pos="1957"/>
                <w:tab w:val="left" w:pos="6358"/>
              </w:tabs>
              <w:spacing w:line="274" w:lineRule="exact"/>
              <w:ind w:left="102"/>
              <w:rPr>
                <w:rFonts w:ascii="Times New Roman" w:hAnsi="Times New Roman" w:cs="Times New Roman"/>
                <w:b/>
                <w:sz w:val="24"/>
              </w:rPr>
            </w:pPr>
          </w:p>
          <w:p w:rsidR="001820FB" w:rsidRPr="0011472E" w:rsidRDefault="001820FB" w:rsidP="007A4772">
            <w:pPr>
              <w:pStyle w:val="TableParagraph"/>
              <w:tabs>
                <w:tab w:val="left" w:pos="1957"/>
                <w:tab w:val="left" w:pos="6358"/>
              </w:tabs>
              <w:spacing w:line="274" w:lineRule="exact"/>
              <w:ind w:left="102"/>
              <w:rPr>
                <w:rFonts w:ascii="Times New Roman" w:hAnsi="Times New Roman" w:cs="Times New Roman"/>
                <w:b/>
                <w:spacing w:val="-1"/>
                <w:sz w:val="24"/>
              </w:rPr>
            </w:pPr>
            <w:r w:rsidRPr="0011472E">
              <w:rPr>
                <w:rFonts w:ascii="Times New Roman" w:hAnsi="Times New Roman" w:cs="Times New Roman"/>
                <w:b/>
                <w:sz w:val="24"/>
              </w:rPr>
              <w:t>3</w:t>
            </w:r>
            <w:r w:rsidR="000A4638">
              <w:rPr>
                <w:rFonts w:ascii="Times New Roman" w:hAnsi="Times New Roman" w:cs="Times New Roman"/>
                <w:b/>
                <w:sz w:val="24"/>
              </w:rPr>
              <w:t>.</w:t>
            </w:r>
            <w:r w:rsidRPr="0011472E">
              <w:rPr>
                <w:rFonts w:ascii="Times New Roman" w:hAnsi="Times New Roman" w:cs="Times New Roman"/>
              </w:rPr>
              <w:tab/>
            </w:r>
            <w:r w:rsidRPr="0011472E">
              <w:rPr>
                <w:rFonts w:ascii="Times New Roman" w:hAnsi="Times New Roman" w:cs="Times New Roman"/>
                <w:b/>
                <w:spacing w:val="-1"/>
                <w:sz w:val="24"/>
              </w:rPr>
              <w:t>KIEGYENSÚLYOZÓ KAPACITÁS</w:t>
            </w:r>
          </w:p>
          <w:p w:rsidR="001820FB" w:rsidRPr="0011472E" w:rsidRDefault="001820FB" w:rsidP="007A4772">
            <w:pPr>
              <w:pStyle w:val="TableParagraph"/>
              <w:tabs>
                <w:tab w:val="left" w:pos="1957"/>
                <w:tab w:val="left" w:pos="6358"/>
              </w:tabs>
              <w:spacing w:line="274" w:lineRule="exact"/>
              <w:ind w:left="102"/>
              <w:rPr>
                <w:rFonts w:ascii="Times New Roman" w:hAnsi="Times New Roman" w:cs="Times New Roman"/>
                <w:b/>
                <w:spacing w:val="-1"/>
                <w:sz w:val="24"/>
              </w:rPr>
            </w:pPr>
          </w:p>
          <w:p w:rsidR="001820FB" w:rsidRPr="0011472E"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1472E">
              <w:rPr>
                <w:rFonts w:ascii="Times New Roman" w:hAnsi="Times New Roman" w:cs="Times New Roman"/>
                <w:sz w:val="24"/>
              </w:rPr>
              <w:t>A lejárati tábla „kiegyensúlyozó kapacitás” táblája az intézmény különböző likviditású eszközállományainak alakulásáról nyújt tájékoztatást, köztük a forgalomképes eszközökről, a központi bank által elfogadható eszközökről, valamint az intézmény által kapott, folyósítási kötelezettséget tartalmazó keretekről.</w:t>
            </w:r>
          </w:p>
          <w:p w:rsidR="001820FB" w:rsidRPr="0011472E"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1472E">
              <w:rPr>
                <w:rFonts w:ascii="Times New Roman" w:hAnsi="Times New Roman" w:cs="Times New Roman"/>
                <w:sz w:val="24"/>
              </w:rPr>
              <w:t>Konszolidált szintű adatszolgáltatás esetén a központi bank általi elfogadhatóságnak az egyes konszolidált intézményekre a saját joghatóságukban alkalmazandó szabályait kell figyelembe venni.</w:t>
            </w:r>
          </w:p>
          <w:p w:rsidR="001820FB" w:rsidRPr="0011472E"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1472E">
              <w:rPr>
                <w:rFonts w:ascii="Times New Roman" w:hAnsi="Times New Roman" w:cs="Times New Roman"/>
                <w:sz w:val="24"/>
              </w:rPr>
              <w:t>A kiegyensúlyozó kapacitásban azokat a forgalomképes eszközöket kell szerepeltetni, amelyeket kiterjedt, mély és aktív, alacsony koncentrációs szintű repo- vagy készpénzpiacokon forgalmaznak.</w:t>
            </w:r>
          </w:p>
          <w:p w:rsidR="001820FB" w:rsidRPr="0011472E"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rsidR="001820FB" w:rsidRPr="0011472E"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1472E">
              <w:rPr>
                <w:rFonts w:ascii="Times New Roman" w:hAnsi="Times New Roman" w:cs="Times New Roman"/>
                <w:sz w:val="24"/>
              </w:rPr>
              <w:t>A kiegyensúlyozó kapacitás tábla oszlopaiban csak olyan meg nem terhelt eszközök szerepelhetnek, amelyeket az intézmény bármikor készpénzre válthat, hogy megszüntethesse az adott időtávon történő pénzeszköz-beáramlások és -kiáramlások közötti szerződéses hiányt. A megterhelt eszközök fogalommeghatározása tekintetében az (EU) 2015/61 felhatalmazáson alapuló bizottsági rendelet alkalmazandó. Az eszközök nem használhatók hitelminőség-javításra strukturált ügyletekben, nem használhatók fel működési költségek (például járadékok, bérek) finanszírozására, és azokat egyértelműen és kizárólagosan függő finanszírozási forrásként kell kezelni.</w:t>
            </w:r>
          </w:p>
          <w:p w:rsidR="001820FB" w:rsidRPr="0011472E"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rsidR="001820FB" w:rsidRPr="0011472E" w:rsidRDefault="00220160"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Pr>
                <w:rFonts w:ascii="Times New Roman" w:hAnsi="Times New Roman" w:cs="Times New Roman"/>
                <w:sz w:val="24"/>
              </w:rPr>
              <w:t>A fordított repoügyletek</w:t>
            </w:r>
            <w:r w:rsidR="001820FB" w:rsidRPr="0011472E">
              <w:rPr>
                <w:rFonts w:ascii="Times New Roman" w:hAnsi="Times New Roman" w:cs="Times New Roman"/>
                <w:sz w:val="24"/>
              </w:rPr>
              <w:t xml:space="preserve"> és</w:t>
            </w:r>
            <w:r>
              <w:rPr>
                <w:rFonts w:ascii="Times New Roman" w:hAnsi="Times New Roman" w:cs="Times New Roman"/>
                <w:sz w:val="24"/>
              </w:rPr>
              <w:t xml:space="preserve"> az értékpapír-</w:t>
            </w:r>
            <w:r w:rsidR="001820FB" w:rsidRPr="0011472E">
              <w:rPr>
                <w:rFonts w:ascii="Times New Roman" w:hAnsi="Times New Roman" w:cs="Times New Roman"/>
                <w:sz w:val="24"/>
              </w:rPr>
              <w:t>finanszírozási ügylet</w:t>
            </w:r>
            <w:r>
              <w:rPr>
                <w:rFonts w:ascii="Times New Roman" w:hAnsi="Times New Roman" w:cs="Times New Roman"/>
                <w:sz w:val="24"/>
              </w:rPr>
              <w:t>ek (SFT)</w:t>
            </w:r>
            <w:r w:rsidR="001820FB" w:rsidRPr="0011472E">
              <w:rPr>
                <w:rFonts w:ascii="Times New Roman" w:hAnsi="Times New Roman" w:cs="Times New Roman"/>
                <w:sz w:val="24"/>
              </w:rPr>
              <w:t xml:space="preserve"> keretében az intézmény által biztosítékként kapott eszközök figyelembe vehetők a kiegyensúlyozó kapacitásban akkor, ha azokat az intézmény tartja, azokat újból nem zálogosították el, és azok jogszabály és szerződés alapján az intézmény rendelkezésére állnak.</w:t>
            </w:r>
          </w:p>
          <w:p w:rsidR="001820FB" w:rsidRPr="0011472E"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rsidR="001820FB" w:rsidRPr="0011472E"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1472E">
              <w:rPr>
                <w:rFonts w:ascii="Times New Roman" w:hAnsi="Times New Roman" w:cs="Times New Roman"/>
                <w:sz w:val="24"/>
              </w:rPr>
              <w:t>A többszörös figyelembevétel elkerülése érdekében, ha az intézmény a 3.1–3.7. pontban elkülönített eszközöket szerepeltet, az e keretekhez kapcsolódó kapacitást nem szerepelteti a 3.8. pontban.</w:t>
            </w:r>
          </w:p>
          <w:p w:rsidR="001820FB" w:rsidRPr="0011472E"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rsidR="001820FB" w:rsidRPr="0011472E"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1472E">
              <w:rPr>
                <w:rFonts w:ascii="Times New Roman" w:hAnsi="Times New Roman" w:cs="Times New Roman"/>
                <w:sz w:val="24"/>
              </w:rPr>
              <w:lastRenderedPageBreak/>
              <w:t>Az eszközöket a nyitó állományban, a 010-es oszlopban kell feltüntetni, ha megfelelnek a sor leírásának és az adatszolgáltatás időpontjában rendelkezésre állnak.</w:t>
            </w:r>
          </w:p>
          <w:p w:rsidR="001820FB" w:rsidRPr="0011472E"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rsidR="001820FB" w:rsidRPr="0011472E"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1472E">
              <w:rPr>
                <w:rFonts w:ascii="Times New Roman" w:hAnsi="Times New Roman" w:cs="Times New Roman"/>
                <w:sz w:val="24"/>
              </w:rPr>
              <w:t>A 020–220-as oszlopok a kiegyensúlyozó kapacitáson belüli szerződéses áramlásokat tartalmazzák. Ha egy intézmény repoügyletet kötött, a kirepózott eszközt értékpapír-beáramlásként kell visszavezetni a repoügylet lejáratának megfelelő lejárati sávban. Ugyanígy a lejáró repoügyletből származó pénzeszköz-kiáramlást az 1.2. pont megfelelő pénzeszköz-kiáramlási lejárati sávjában kell feltüntetni. Ha egy intézmény fordított repoügyletet kötött, a berepózott eszközt értékpapír-kiáramlásként kell visszavezetni a repoügylet lejáratának megfelelő lejárati sávban. Ugyanígy a lejáró repoügyletből származó pénzeszköz-kiáramlást a 2.1. pont megfelelő pénzeszköz-beáramlási lejárati sávjában kell feltüntetni. A biztosítéki csereügyleteket szerződéses értékpapír-beáramlásokként és értékpapír-kiáramlásokként, a csereügyletek lejárata szerinti lejárati sávban kell feltüntetni a kiegyensúlyozó kapacitás szakaszban.</w:t>
            </w:r>
          </w:p>
          <w:p w:rsidR="001820FB" w:rsidRPr="0011472E"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rsidR="001820FB" w:rsidRPr="0011472E"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1472E">
              <w:rPr>
                <w:rFonts w:ascii="Times New Roman" w:hAnsi="Times New Roman" w:cs="Times New Roman"/>
                <w:sz w:val="24"/>
              </w:rPr>
              <w:t>A 3.8. pontban szereplő hitel- és likviditási keretek szerződés szerint rendelkezésre álló összegének változását a megfelelő lejárati sávban áramlásként kell feltüntetni. Ha egy intézmény egynapos betétet helyez el központi banknál, akkor a betét összegét a 3.2. pontban nyitó állományként, továbbá a tételre vonatkozó „egynapos” lejárati kategóriában pénzeszköz-kiáramlásként kell szerepeltetni. Ennek megfelelően a keletkező pénzeszköz-beáramlást a 2.2.5. pontban kell feltüntetni.</w:t>
            </w:r>
          </w:p>
          <w:p w:rsidR="001820FB" w:rsidRPr="0011472E"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rsidR="001820FB" w:rsidRPr="0011472E"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1472E">
              <w:rPr>
                <w:rFonts w:ascii="Times New Roman" w:hAnsi="Times New Roman" w:cs="Times New Roman"/>
                <w:sz w:val="24"/>
              </w:rPr>
              <w:t>A kiegyensúlyozó kapacitáson belül a lejáró értékpapírokat szerződés szerinti lejáratuk alapján kell szerepeltetni. Egy értékpapír lejáratakor azt el kell távolítani abból az eszközkategóriából, amelyben eredetileg szerepelt, azaz értékpapír-kiáramlásként kell kezelni, a keletkező pénzeszköz-beáramlást pedig a 2.5. pontban kell feltüntetni.</w:t>
            </w:r>
          </w:p>
          <w:p w:rsidR="001820FB" w:rsidRPr="0011472E"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rsidR="001820FB" w:rsidRPr="0011472E"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1472E">
              <w:rPr>
                <w:rFonts w:ascii="Times New Roman" w:hAnsi="Times New Roman" w:cs="Times New Roman"/>
                <w:sz w:val="24"/>
              </w:rPr>
              <w:t>A megfelelő sávban valamennyi értékpapírt aktuális piaci értéken kell szerepeltetni.</w:t>
            </w:r>
          </w:p>
          <w:p w:rsidR="001820FB" w:rsidRPr="0011472E"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rsidR="001820FB" w:rsidRPr="0011472E"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1472E">
              <w:rPr>
                <w:rFonts w:ascii="Times New Roman" w:hAnsi="Times New Roman" w:cs="Times New Roman"/>
                <w:sz w:val="24"/>
              </w:rPr>
              <w:t>A 3.8. pontban kizárólag a szerződés szerint rendelkezésre álló összegek szerepeltethetők.</w:t>
            </w:r>
          </w:p>
          <w:p w:rsidR="001820FB" w:rsidRPr="0011472E"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rsidR="001820FB" w:rsidRPr="0011472E"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1472E">
              <w:rPr>
                <w:rFonts w:ascii="Times New Roman" w:hAnsi="Times New Roman" w:cs="Times New Roman"/>
                <w:sz w:val="24"/>
              </w:rPr>
              <w:t>A többszörös figyelembevétel elkerülése érdekében a pénzeszköz-beáramlások nem számolhatók el a kiegyensúlyozó kapacitás 3.1. vagy 3.2. pontjában.</w:t>
            </w:r>
          </w:p>
          <w:p w:rsidR="001820FB" w:rsidRPr="0011472E"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p>
          <w:p w:rsidR="001820FB" w:rsidRPr="0011472E" w:rsidRDefault="001820FB" w:rsidP="001820FB">
            <w:pPr>
              <w:pStyle w:val="TableParagraph"/>
              <w:tabs>
                <w:tab w:val="left" w:pos="1957"/>
                <w:tab w:val="left" w:pos="6358"/>
              </w:tabs>
              <w:spacing w:line="274" w:lineRule="exact"/>
              <w:ind w:left="102"/>
              <w:rPr>
                <w:rFonts w:ascii="Times New Roman" w:eastAsia="Times New Roman" w:hAnsi="Times New Roman" w:cs="Times New Roman"/>
                <w:sz w:val="24"/>
                <w:szCs w:val="24"/>
              </w:rPr>
            </w:pPr>
            <w:r w:rsidRPr="0011472E">
              <w:rPr>
                <w:rFonts w:ascii="Times New Roman" w:hAnsi="Times New Roman" w:cs="Times New Roman"/>
                <w:sz w:val="24"/>
              </w:rPr>
              <w:t>A kiegyensúlyozó kapacitás tételeit az alábbi alkategóriákban kell feltüntetni:</w:t>
            </w:r>
          </w:p>
        </w:tc>
      </w:tr>
      <w:tr w:rsidR="001820FB" w:rsidRPr="00FE002E" w:rsidTr="00FE0FF1">
        <w:trPr>
          <w:trHeight w:val="304"/>
        </w:trPr>
        <w:tc>
          <w:tcPr>
            <w:tcW w:w="1418" w:type="dxa"/>
          </w:tcPr>
          <w:p w:rsidR="001820FB" w:rsidRDefault="001820FB" w:rsidP="007A4772">
            <w:pPr>
              <w:pStyle w:val="TableParagraph"/>
              <w:spacing w:before="3"/>
              <w:rPr>
                <w:rFonts w:ascii="Times New Roman" w:eastAsia="Times New Roman" w:hAnsi="Times New Roman" w:cs="Times New Roman"/>
                <w:sz w:val="34"/>
                <w:szCs w:val="34"/>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730</w:t>
            </w:r>
          </w:p>
        </w:tc>
        <w:tc>
          <w:tcPr>
            <w:tcW w:w="7590" w:type="dxa"/>
          </w:tcPr>
          <w:p w:rsidR="001820FB" w:rsidRPr="0011472E" w:rsidRDefault="001820FB" w:rsidP="007A4772">
            <w:pPr>
              <w:pStyle w:val="TableParagraph"/>
              <w:spacing w:line="274" w:lineRule="exact"/>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3.1</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Pénzérmék és bankjegyek</w:t>
            </w:r>
          </w:p>
          <w:p w:rsidR="001820FB" w:rsidRPr="0011472E" w:rsidRDefault="001820FB" w:rsidP="007A4772">
            <w:pPr>
              <w:pStyle w:val="TableParagraph"/>
              <w:spacing w:line="275" w:lineRule="exact"/>
              <w:ind w:left="134"/>
              <w:rPr>
                <w:rFonts w:ascii="Times New Roman" w:eastAsia="Times New Roman" w:hAnsi="Times New Roman" w:cs="Times New Roman"/>
                <w:sz w:val="24"/>
                <w:szCs w:val="24"/>
              </w:rPr>
            </w:pPr>
            <w:r w:rsidRPr="0011472E">
              <w:rPr>
                <w:rFonts w:ascii="Times New Roman" w:hAnsi="Times New Roman" w:cs="Times New Roman"/>
                <w:spacing w:val="-1"/>
                <w:sz w:val="24"/>
              </w:rPr>
              <w:t>A pénzérmék és bankjegyek alkotta készpénz teljes összege.</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7"/>
              <w:rPr>
                <w:rFonts w:ascii="Times New Roman" w:eastAsia="Times New Roman" w:hAnsi="Times New Roman" w:cs="Times New Roman"/>
                <w:sz w:val="35"/>
                <w:szCs w:val="35"/>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740</w:t>
            </w:r>
          </w:p>
        </w:tc>
        <w:tc>
          <w:tcPr>
            <w:tcW w:w="7590" w:type="dxa"/>
          </w:tcPr>
          <w:p w:rsidR="001820FB" w:rsidRPr="00790DA1" w:rsidRDefault="0064488F" w:rsidP="007A4772">
            <w:pPr>
              <w:pStyle w:val="TableParagraph"/>
              <w:tabs>
                <w:tab w:val="left" w:pos="1317"/>
                <w:tab w:val="left" w:pos="3714"/>
                <w:tab w:val="left" w:pos="5349"/>
                <w:tab w:val="left" w:pos="6787"/>
              </w:tabs>
              <w:spacing w:line="274" w:lineRule="exact"/>
              <w:ind w:left="102"/>
              <w:rPr>
                <w:rFonts w:ascii="Times New Roman" w:hAnsi="Times New Roman" w:cs="Times New Roman"/>
                <w:b/>
                <w:spacing w:val="-1"/>
                <w:sz w:val="24"/>
                <w:u w:val="thick" w:color="000000"/>
              </w:rPr>
            </w:pPr>
            <w:r>
              <w:rPr>
                <w:rFonts w:ascii="Times New Roman" w:hAnsi="Times New Roman" w:cs="Times New Roman"/>
                <w:b/>
                <w:spacing w:val="-1"/>
                <w:sz w:val="24"/>
                <w:u w:val="thick" w:color="000000"/>
              </w:rPr>
              <w:t xml:space="preserve">3.2 </w:t>
            </w:r>
            <w:r w:rsidR="001820FB" w:rsidRPr="00790DA1">
              <w:rPr>
                <w:rFonts w:ascii="Times New Roman" w:hAnsi="Times New Roman" w:cs="Times New Roman"/>
                <w:b/>
                <w:spacing w:val="-1"/>
                <w:sz w:val="24"/>
                <w:u w:val="thick" w:color="000000"/>
              </w:rPr>
              <w:t>Lehívható központi banki tartalékok</w:t>
            </w:r>
          </w:p>
          <w:p w:rsidR="001820FB" w:rsidRPr="00790DA1" w:rsidRDefault="001820FB" w:rsidP="007A4772">
            <w:pPr>
              <w:pStyle w:val="TableParagraph"/>
              <w:spacing w:before="9"/>
              <w:rPr>
                <w:rFonts w:ascii="Times New Roman" w:hAnsi="Times New Roman" w:cs="Times New Roman"/>
                <w:b/>
                <w:spacing w:val="-1"/>
                <w:sz w:val="24"/>
                <w:u w:val="thick" w:color="000000"/>
              </w:rPr>
            </w:pPr>
          </w:p>
          <w:p w:rsidR="001820FB" w:rsidRPr="0011472E" w:rsidRDefault="001820FB" w:rsidP="007A4772">
            <w:pPr>
              <w:pStyle w:val="TableParagraph"/>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legkésőbb egy napon belül lehívható, az (EU) 2015/61 rendelet 10. cikke (1) bekezdése b) pontjának iii. alpontja szerinti központi banknál elhelyezett tartalékok teljes összege.</w:t>
            </w:r>
          </w:p>
          <w:p w:rsidR="001820FB" w:rsidRPr="0011472E" w:rsidRDefault="001820FB" w:rsidP="007A4772">
            <w:pPr>
              <w:pStyle w:val="TableParagraph"/>
              <w:rPr>
                <w:rFonts w:ascii="Times New Roman" w:eastAsia="Times New Roman" w:hAnsi="Times New Roman" w:cs="Times New Roman"/>
                <w:sz w:val="24"/>
                <w:szCs w:val="24"/>
              </w:rPr>
            </w:pPr>
          </w:p>
          <w:p w:rsidR="001820FB" w:rsidRPr="0011472E" w:rsidRDefault="001820FB" w:rsidP="007A4772">
            <w:pPr>
              <w:pStyle w:val="TableParagraph"/>
              <w:ind w:left="102" w:right="100"/>
              <w:rPr>
                <w:rFonts w:ascii="Times New Roman" w:eastAsia="Times New Roman" w:hAnsi="Times New Roman" w:cs="Times New Roman"/>
                <w:sz w:val="24"/>
                <w:szCs w:val="24"/>
              </w:rPr>
            </w:pPr>
            <w:r w:rsidRPr="0011472E">
              <w:rPr>
                <w:rFonts w:ascii="Times New Roman" w:hAnsi="Times New Roman" w:cs="Times New Roman"/>
                <w:spacing w:val="-1"/>
                <w:sz w:val="24"/>
              </w:rPr>
              <w:t>A központi bankokkal szembeni vagy általuk biztosított követeléseket képviselő értékpapírok itt nem szerepeltethetők.</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5"/>
              <w:rPr>
                <w:rFonts w:ascii="Times New Roman" w:eastAsia="Times New Roman" w:hAnsi="Times New Roman" w:cs="Times New Roman"/>
                <w:sz w:val="27"/>
                <w:szCs w:val="27"/>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750</w:t>
            </w:r>
          </w:p>
        </w:tc>
        <w:tc>
          <w:tcPr>
            <w:tcW w:w="7590" w:type="dxa"/>
          </w:tcPr>
          <w:p w:rsidR="001820FB" w:rsidRPr="0011472E" w:rsidRDefault="001820FB" w:rsidP="007A4772">
            <w:pPr>
              <w:pStyle w:val="TableParagraph"/>
              <w:spacing w:before="119"/>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3.3</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1. szintű forgalomképes eszközök</w:t>
            </w:r>
          </w:p>
          <w:p w:rsidR="001820FB" w:rsidRPr="0011472E" w:rsidRDefault="001820FB" w:rsidP="007A4772">
            <w:pPr>
              <w:pStyle w:val="TableParagraph"/>
              <w:spacing w:before="117"/>
              <w:ind w:left="102" w:right="99"/>
              <w:jc w:val="both"/>
              <w:rPr>
                <w:rFonts w:ascii="Times New Roman" w:eastAsia="Times New Roman" w:hAnsi="Times New Roman" w:cs="Times New Roman"/>
                <w:sz w:val="24"/>
                <w:szCs w:val="24"/>
              </w:rPr>
            </w:pPr>
            <w:r w:rsidRPr="0011472E">
              <w:rPr>
                <w:rFonts w:ascii="Times New Roman" w:hAnsi="Times New Roman" w:cs="Times New Roman"/>
                <w:spacing w:val="-1"/>
                <w:sz w:val="24"/>
              </w:rPr>
              <w:t>Az (EU) 2015/61 rendelet 7., 8. és 10. cikke szerinti forgalomképes eszközök piaci értéke.</w:t>
            </w:r>
          </w:p>
          <w:p w:rsidR="001820FB" w:rsidRPr="0011472E" w:rsidRDefault="001820FB" w:rsidP="007A4772">
            <w:pPr>
              <w:pStyle w:val="TableParagraph"/>
              <w:spacing w:before="120"/>
              <w:ind w:left="102" w:right="99"/>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KBF-ek az (EU) 2015/61 rendelet 15. cikkének megfelelő, 1. szintű eszköznek minősülő részvényeit vagy befektetési jegyeit az alábbi alkategóriákban, az alapterméküknek megfelelően kell feltüntetni.</w:t>
            </w:r>
          </w:p>
        </w:tc>
      </w:tr>
      <w:tr w:rsidR="001820FB" w:rsidRPr="00FE002E" w:rsidTr="00FE0FF1">
        <w:trPr>
          <w:trHeight w:val="304"/>
        </w:trPr>
        <w:tc>
          <w:tcPr>
            <w:tcW w:w="1418" w:type="dxa"/>
          </w:tcPr>
          <w:p w:rsidR="001820FB" w:rsidRDefault="001820FB" w:rsidP="007A4772">
            <w:pPr>
              <w:pStyle w:val="TableParagraph"/>
              <w:spacing w:before="4"/>
              <w:rPr>
                <w:rFonts w:ascii="Times New Roman" w:eastAsia="Times New Roman" w:hAnsi="Times New Roman" w:cs="Times New Roman"/>
                <w:sz w:val="27"/>
                <w:szCs w:val="27"/>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760</w:t>
            </w:r>
          </w:p>
        </w:tc>
        <w:tc>
          <w:tcPr>
            <w:tcW w:w="7590" w:type="dxa"/>
          </w:tcPr>
          <w:p w:rsidR="001820FB" w:rsidRPr="0011472E" w:rsidRDefault="001820FB" w:rsidP="007A4772">
            <w:pPr>
              <w:pStyle w:val="TableParagraph"/>
              <w:spacing w:before="119"/>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3.3.1</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1. szintű eszközök a fedezett kötvények kivételével</w:t>
            </w:r>
          </w:p>
          <w:p w:rsidR="001820FB" w:rsidRPr="0011472E" w:rsidRDefault="001820FB" w:rsidP="007A4772">
            <w:pPr>
              <w:pStyle w:val="TableParagraph"/>
              <w:spacing w:before="117"/>
              <w:ind w:left="102"/>
              <w:rPr>
                <w:rFonts w:ascii="Times New Roman" w:eastAsia="Times New Roman" w:hAnsi="Times New Roman" w:cs="Times New Roman"/>
                <w:sz w:val="24"/>
                <w:szCs w:val="24"/>
              </w:rPr>
            </w:pPr>
            <w:r w:rsidRPr="0011472E">
              <w:rPr>
                <w:rFonts w:ascii="Times New Roman" w:hAnsi="Times New Roman" w:cs="Times New Roman"/>
                <w:spacing w:val="-1"/>
                <w:sz w:val="24"/>
              </w:rPr>
              <w:t>A 3.3. pontban feltüntetett összeg, a fedezett kötvények kivételével.</w:t>
            </w:r>
          </w:p>
        </w:tc>
      </w:tr>
      <w:tr w:rsidR="001820FB" w:rsidRPr="00FE002E" w:rsidTr="00FE0FF1">
        <w:trPr>
          <w:trHeight w:val="304"/>
        </w:trPr>
        <w:tc>
          <w:tcPr>
            <w:tcW w:w="1418" w:type="dxa"/>
          </w:tcPr>
          <w:p w:rsidR="001820FB" w:rsidRDefault="001820FB" w:rsidP="007A4772">
            <w:pPr>
              <w:pStyle w:val="TableParagraph"/>
              <w:spacing w:before="1"/>
              <w:rPr>
                <w:rFonts w:ascii="Times New Roman" w:eastAsia="Times New Roman" w:hAnsi="Times New Roman" w:cs="Times New Roman"/>
                <w:sz w:val="34"/>
                <w:szCs w:val="34"/>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770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3.3.1.1</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1. szintű központi banki eszközök</w:t>
            </w:r>
          </w:p>
          <w:p w:rsidR="001820FB" w:rsidRPr="0011472E" w:rsidRDefault="001820FB" w:rsidP="007A4772">
            <w:pPr>
              <w:pStyle w:val="TableParagraph"/>
              <w:spacing w:before="117"/>
              <w:ind w:left="102" w:right="99"/>
              <w:rPr>
                <w:rFonts w:ascii="Times New Roman" w:eastAsia="Times New Roman" w:hAnsi="Times New Roman" w:cs="Times New Roman"/>
                <w:sz w:val="24"/>
                <w:szCs w:val="24"/>
              </w:rPr>
            </w:pPr>
            <w:r w:rsidRPr="0011472E">
              <w:rPr>
                <w:rFonts w:ascii="Times New Roman" w:hAnsi="Times New Roman" w:cs="Times New Roman"/>
                <w:spacing w:val="-1"/>
                <w:sz w:val="24"/>
              </w:rPr>
              <w:t>A 3.3.1. pontban feltüntetett azon összeg, amely központi bankokkal szembeni vagy általuk garantált követeléseket képvisel.</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
              <w:rPr>
                <w:rFonts w:ascii="Times New Roman" w:eastAsia="Times New Roman" w:hAnsi="Times New Roman" w:cs="Times New Roman"/>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780</w:t>
            </w:r>
          </w:p>
        </w:tc>
        <w:tc>
          <w:tcPr>
            <w:tcW w:w="7590" w:type="dxa"/>
          </w:tcPr>
          <w:p w:rsidR="001820FB" w:rsidRPr="0011472E" w:rsidRDefault="001820FB" w:rsidP="007A4772">
            <w:pPr>
              <w:pStyle w:val="TableParagraph"/>
              <w:spacing w:before="118"/>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3.3.1.2</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1. szintű eszközök (CQS1)</w:t>
            </w:r>
          </w:p>
          <w:p w:rsidR="001820FB" w:rsidRPr="0011472E" w:rsidRDefault="001820FB" w:rsidP="007A4772">
            <w:pPr>
              <w:pStyle w:val="TableParagraph"/>
              <w:spacing w:before="117"/>
              <w:ind w:left="102" w:right="99"/>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3.3.1. pontban feltüntetett, a 3.3.1.1. pontban feltüntetetteken kívüli azon összeg, amely kijelölt külső hitelminősítő intézettől 1-es hitelminőségi besorolást kapott kibocsátóval vagy garantőrrel szembeni vagy általa garantált követeléseket képviselő eszköz.</w:t>
            </w:r>
          </w:p>
        </w:tc>
      </w:tr>
      <w:tr w:rsidR="001820FB" w:rsidRPr="00FE002E" w:rsidTr="00FE0FF1">
        <w:trPr>
          <w:trHeight w:val="304"/>
        </w:trPr>
        <w:tc>
          <w:tcPr>
            <w:tcW w:w="1418" w:type="dxa"/>
          </w:tcPr>
          <w:p w:rsidR="001820FB" w:rsidRDefault="001820FB" w:rsidP="007A4772">
            <w:pPr>
              <w:pStyle w:val="TableParagraph"/>
              <w:spacing w:before="2"/>
              <w:rPr>
                <w:rFonts w:ascii="Times New Roman" w:eastAsia="Times New Roman" w:hAnsi="Times New Roman" w:cs="Times New Roman"/>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790</w:t>
            </w:r>
          </w:p>
        </w:tc>
        <w:tc>
          <w:tcPr>
            <w:tcW w:w="7590" w:type="dxa"/>
          </w:tcPr>
          <w:p w:rsidR="001820FB" w:rsidRPr="0011472E" w:rsidRDefault="001820FB" w:rsidP="007A4772">
            <w:pPr>
              <w:pStyle w:val="TableParagraph"/>
              <w:spacing w:before="119"/>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3.3.1.3</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1. szintű eszközök (CQS2, CQS3)</w:t>
            </w:r>
          </w:p>
          <w:p w:rsidR="001820FB" w:rsidRPr="0011472E" w:rsidRDefault="001820FB" w:rsidP="007A4772">
            <w:pPr>
              <w:pStyle w:val="TableParagraph"/>
              <w:spacing w:before="117"/>
              <w:ind w:left="102"/>
              <w:rPr>
                <w:rFonts w:ascii="Times New Roman" w:eastAsia="Times New Roman" w:hAnsi="Times New Roman" w:cs="Times New Roman"/>
                <w:sz w:val="24"/>
                <w:szCs w:val="24"/>
              </w:rPr>
            </w:pPr>
            <w:r w:rsidRPr="0011472E">
              <w:rPr>
                <w:rFonts w:ascii="Times New Roman" w:hAnsi="Times New Roman" w:cs="Times New Roman"/>
                <w:spacing w:val="-1"/>
                <w:sz w:val="24"/>
              </w:rPr>
              <w:t>A 3.3.1. pontban feltüntetett, a 3.3.1.1. pontban feltüntetetteken kívüli azon összeg, amely kijelölt külső hitelminősítő intézettől 2-es vagy 3-as hitelminőségi besorolást kapott kibocsátóval vagy garantőrrel szembeni vagy általa garantált követeléseket képviselő eszköz.</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2"/>
              <w:rPr>
                <w:rFonts w:ascii="Times New Roman" w:eastAsia="Times New Roman" w:hAnsi="Times New Roman" w:cs="Times New Roman"/>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800</w:t>
            </w:r>
          </w:p>
        </w:tc>
        <w:tc>
          <w:tcPr>
            <w:tcW w:w="7590" w:type="dxa"/>
          </w:tcPr>
          <w:p w:rsidR="001820FB" w:rsidRPr="0011472E" w:rsidRDefault="001820FB" w:rsidP="007A4772">
            <w:pPr>
              <w:pStyle w:val="TableParagraph"/>
              <w:spacing w:before="119"/>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3.3.1.4</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1. szintű eszközök (CQS4+)</w:t>
            </w:r>
          </w:p>
          <w:p w:rsidR="001820FB" w:rsidRPr="0011472E" w:rsidRDefault="001820FB" w:rsidP="007A4772">
            <w:pPr>
              <w:pStyle w:val="TableParagraph"/>
              <w:spacing w:before="117"/>
              <w:ind w:left="102" w:right="99"/>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3.3.1. pontban feltüntetett, a 3.3.1.1. pontban feltüntetetteken kívüli azon összeg, amely kijelölt külső hitelminősítő intézettől 4-es vagy rosszabb hitelminőségi besorolást kapott kibocsátóval vagy garantőrrel szembeni vagy általa garantált követeléseket képviselő eszköz.</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
              <w:rPr>
                <w:rFonts w:ascii="Times New Roman" w:eastAsia="Times New Roman" w:hAnsi="Times New Roman" w:cs="Times New Roman"/>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810</w:t>
            </w:r>
          </w:p>
        </w:tc>
        <w:tc>
          <w:tcPr>
            <w:tcW w:w="7590" w:type="dxa"/>
          </w:tcPr>
          <w:p w:rsidR="001820FB" w:rsidRPr="0011472E" w:rsidRDefault="001820FB" w:rsidP="007A4772">
            <w:pPr>
              <w:pStyle w:val="TableParagraph"/>
              <w:spacing w:before="118"/>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3.3.2</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1. szintű fedezett kötvények (CQS1)</w:t>
            </w:r>
          </w:p>
          <w:p w:rsidR="001820FB" w:rsidRPr="0011472E" w:rsidRDefault="001820FB" w:rsidP="007A4772">
            <w:pPr>
              <w:pStyle w:val="TableParagraph"/>
              <w:spacing w:before="117"/>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3.3. pontban feltüntetett azon összeg, amely fedezett kötvény. Az (EU) 2015/61 rendelet 10. cikke (1) bekezdése f) pontjának megfelelően csak az 1-es hitelminőségi besorolással rendelkező fedezett kötvények minősülhetnek 1. szintű eszköznek.</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3"/>
              <w:rPr>
                <w:rFonts w:ascii="Times New Roman" w:eastAsia="Times New Roman" w:hAnsi="Times New Roman" w:cs="Times New Roman"/>
                <w:sz w:val="27"/>
                <w:szCs w:val="27"/>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820</w:t>
            </w:r>
          </w:p>
        </w:tc>
        <w:tc>
          <w:tcPr>
            <w:tcW w:w="7590" w:type="dxa"/>
          </w:tcPr>
          <w:p w:rsidR="001820FB" w:rsidRPr="0011472E" w:rsidRDefault="001820FB" w:rsidP="007A4772">
            <w:pPr>
              <w:pStyle w:val="TableParagraph"/>
              <w:spacing w:before="118"/>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lastRenderedPageBreak/>
              <w:t>3.4</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2A. szintű forgalomképes eszközök</w:t>
            </w:r>
          </w:p>
          <w:p w:rsidR="001820FB" w:rsidRPr="0011472E" w:rsidRDefault="001820FB" w:rsidP="007A4772">
            <w:pPr>
              <w:pStyle w:val="TableParagraph"/>
              <w:spacing w:before="117"/>
              <w:ind w:left="102" w:right="99"/>
              <w:jc w:val="both"/>
              <w:rPr>
                <w:rFonts w:ascii="Times New Roman" w:eastAsia="Times New Roman" w:hAnsi="Times New Roman" w:cs="Times New Roman"/>
                <w:sz w:val="24"/>
                <w:szCs w:val="24"/>
              </w:rPr>
            </w:pPr>
            <w:r w:rsidRPr="0011472E">
              <w:rPr>
                <w:rFonts w:ascii="Times New Roman" w:hAnsi="Times New Roman" w:cs="Times New Roman"/>
                <w:spacing w:val="-1"/>
                <w:sz w:val="24"/>
              </w:rPr>
              <w:lastRenderedPageBreak/>
              <w:t>Az (EU) 2015/61 rendelet 7., 8. és 11. cikke szerinti forgalomképes eszközök piaci értéke.</w:t>
            </w:r>
          </w:p>
          <w:p w:rsidR="001820FB" w:rsidRPr="0011472E" w:rsidRDefault="001820FB" w:rsidP="007A4772">
            <w:pPr>
              <w:pStyle w:val="TableParagraph"/>
              <w:spacing w:before="120"/>
              <w:ind w:left="102" w:right="99"/>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KBF-ek az (EU) 2015/61 rendelet 15. cikkének megfelelő, 2A. szintű eszköznek minősülő részvényeit vagy befektetési jegyeit az alábbi alkategóriákban, az alapterméküknek megfelelően kell feltüntetni.</w:t>
            </w:r>
          </w:p>
        </w:tc>
      </w:tr>
      <w:tr w:rsidR="001820FB" w:rsidRPr="00FE002E" w:rsidTr="00FE0FF1">
        <w:trPr>
          <w:trHeight w:val="304"/>
        </w:trPr>
        <w:tc>
          <w:tcPr>
            <w:tcW w:w="1418" w:type="dxa"/>
          </w:tcPr>
          <w:p w:rsidR="001820FB" w:rsidRDefault="001820FB" w:rsidP="007A4772">
            <w:pPr>
              <w:pStyle w:val="TableParagraph"/>
              <w:spacing w:before="1"/>
              <w:rPr>
                <w:rFonts w:ascii="Times New Roman" w:eastAsia="Times New Roman" w:hAnsi="Times New Roman" w:cs="Times New Roman"/>
                <w:sz w:val="34"/>
                <w:szCs w:val="34"/>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830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3.4.1</w:t>
            </w:r>
            <w:r w:rsidR="0064488F">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2A. szintű vállalati kötvények (CQS1)</w:t>
            </w:r>
          </w:p>
          <w:p w:rsidR="001820FB" w:rsidRPr="0011472E" w:rsidRDefault="001820FB" w:rsidP="007A4772">
            <w:pPr>
              <w:pStyle w:val="TableParagraph"/>
              <w:spacing w:before="117"/>
              <w:ind w:left="102" w:right="100"/>
              <w:rPr>
                <w:rFonts w:ascii="Times New Roman" w:eastAsia="Times New Roman" w:hAnsi="Times New Roman" w:cs="Times New Roman"/>
                <w:sz w:val="24"/>
                <w:szCs w:val="24"/>
              </w:rPr>
            </w:pPr>
            <w:r w:rsidRPr="0011472E">
              <w:rPr>
                <w:rFonts w:ascii="Times New Roman" w:hAnsi="Times New Roman" w:cs="Times New Roman"/>
                <w:spacing w:val="-1"/>
                <w:sz w:val="24"/>
              </w:rPr>
              <w:t>A 3.4. pontban feltüntetett azon összeg, amely kijelölt külső hitelminősítő intézettől 1-es hitelminőségi besorolást kapott vállalati kötvény.</w:t>
            </w:r>
          </w:p>
        </w:tc>
      </w:tr>
      <w:tr w:rsidR="001820FB" w:rsidRPr="00FE002E" w:rsidTr="00FE0FF1">
        <w:trPr>
          <w:trHeight w:val="304"/>
        </w:trPr>
        <w:tc>
          <w:tcPr>
            <w:tcW w:w="1418" w:type="dxa"/>
          </w:tcPr>
          <w:p w:rsidR="001820FB" w:rsidRDefault="001820FB" w:rsidP="007A4772">
            <w:pPr>
              <w:pStyle w:val="TableParagraph"/>
              <w:spacing w:before="2"/>
              <w:rPr>
                <w:rFonts w:ascii="Times New Roman" w:eastAsia="Times New Roman" w:hAnsi="Times New Roman" w:cs="Times New Roman"/>
                <w:sz w:val="34"/>
                <w:szCs w:val="34"/>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840</w:t>
            </w:r>
          </w:p>
        </w:tc>
        <w:tc>
          <w:tcPr>
            <w:tcW w:w="7590" w:type="dxa"/>
          </w:tcPr>
          <w:p w:rsidR="001820FB" w:rsidRPr="0011472E" w:rsidRDefault="001820FB" w:rsidP="007A4772">
            <w:pPr>
              <w:pStyle w:val="TableParagraph"/>
              <w:spacing w:before="119"/>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3.4.2</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2A. szintű fedezett kötvények (CQS1, CQS2)</w:t>
            </w:r>
          </w:p>
          <w:p w:rsidR="001820FB" w:rsidRPr="0011472E" w:rsidRDefault="001820FB" w:rsidP="007A4772">
            <w:pPr>
              <w:pStyle w:val="TableParagraph"/>
              <w:spacing w:before="117"/>
              <w:ind w:left="102" w:right="101"/>
              <w:rPr>
                <w:rFonts w:ascii="Times New Roman" w:eastAsia="Times New Roman" w:hAnsi="Times New Roman" w:cs="Times New Roman"/>
                <w:sz w:val="24"/>
                <w:szCs w:val="24"/>
              </w:rPr>
            </w:pPr>
            <w:r w:rsidRPr="0011472E">
              <w:rPr>
                <w:rFonts w:ascii="Times New Roman" w:hAnsi="Times New Roman" w:cs="Times New Roman"/>
                <w:spacing w:val="-1"/>
                <w:sz w:val="24"/>
              </w:rPr>
              <w:t>A 3.4. pontban feltüntetett azon összeg, amely kijelölt külső hitelminősítő intézettől 1-es vagy 2-es hitelminőségi besorolást kapott fedezett kötvény.</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
              <w:rPr>
                <w:rFonts w:ascii="Times New Roman" w:eastAsia="Times New Roman" w:hAnsi="Times New Roman" w:cs="Times New Roman"/>
                <w:sz w:val="34"/>
                <w:szCs w:val="34"/>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850</w:t>
            </w:r>
          </w:p>
        </w:tc>
        <w:tc>
          <w:tcPr>
            <w:tcW w:w="7590" w:type="dxa"/>
          </w:tcPr>
          <w:p w:rsidR="001820FB" w:rsidRPr="0011472E" w:rsidRDefault="001820FB" w:rsidP="007A4772">
            <w:pPr>
              <w:pStyle w:val="TableParagraph"/>
              <w:spacing w:before="118"/>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3.4.3</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2A. szintű közszektorbeli intézményi eszközök (CQS1, CQS2)</w:t>
            </w:r>
          </w:p>
          <w:p w:rsidR="001820FB" w:rsidRPr="0011472E" w:rsidRDefault="001820FB" w:rsidP="007A4772">
            <w:pPr>
              <w:pStyle w:val="TableParagraph"/>
              <w:spacing w:before="117"/>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3.4. pontban feltüntetett azon összeg, amely központi kormányzatokkal, központi bankokkal, regionális kormányzatokkal, helyi hatóságokkal vagy közszektorbeli intézményekkel szembeni vagy általuk garantált követeléseket képvisel. Az (EU) 2015/61 rendelet 11. cikke (1) bekezdése a) és b) pontjának megfelelően csak az 1-es és 2-es hitelminőségi besorolással rendelkező közszektorbeli eszközök minősülhetnek 2A. szintű eszköznek.</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3"/>
              <w:rPr>
                <w:rFonts w:ascii="Times New Roman" w:eastAsia="Times New Roman" w:hAnsi="Times New Roman" w:cs="Times New Roman"/>
                <w:sz w:val="27"/>
                <w:szCs w:val="27"/>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860</w:t>
            </w:r>
          </w:p>
        </w:tc>
        <w:tc>
          <w:tcPr>
            <w:tcW w:w="7590" w:type="dxa"/>
          </w:tcPr>
          <w:p w:rsidR="001820FB" w:rsidRPr="0011472E" w:rsidRDefault="001820FB" w:rsidP="007A4772">
            <w:pPr>
              <w:pStyle w:val="TableParagraph"/>
              <w:spacing w:before="118"/>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3.5</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2B. szintű forgalomképes eszközök</w:t>
            </w:r>
          </w:p>
          <w:p w:rsidR="001820FB" w:rsidRPr="0011472E" w:rsidRDefault="001820FB" w:rsidP="007A4772">
            <w:pPr>
              <w:pStyle w:val="TableParagraph"/>
              <w:spacing w:before="117"/>
              <w:ind w:left="102" w:right="99"/>
              <w:jc w:val="both"/>
              <w:rPr>
                <w:rFonts w:ascii="Times New Roman" w:eastAsia="Times New Roman" w:hAnsi="Times New Roman" w:cs="Times New Roman"/>
                <w:sz w:val="24"/>
                <w:szCs w:val="24"/>
              </w:rPr>
            </w:pPr>
            <w:r w:rsidRPr="0011472E">
              <w:rPr>
                <w:rFonts w:ascii="Times New Roman" w:hAnsi="Times New Roman" w:cs="Times New Roman"/>
                <w:spacing w:val="-1"/>
                <w:sz w:val="24"/>
              </w:rPr>
              <w:t>Az (EU) 2015/61 rendelet 7., 8. és 12. vagy 13. cikke szerinti forgalomképes eszközök piaci értéke.</w:t>
            </w:r>
          </w:p>
          <w:p w:rsidR="001820FB" w:rsidRPr="0011472E" w:rsidRDefault="001820FB" w:rsidP="007A4772">
            <w:pPr>
              <w:pStyle w:val="TableParagraph"/>
              <w:spacing w:before="120"/>
              <w:ind w:left="102" w:right="99"/>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KBF-ek az (EU) 2015/61 rendelet 15. cikkének megfelelő, 2B. szintű eszköznek minősülő részvényeit vagy befektetési jegyeit az alábbi alkategóriákban, az alapterméküknek megfelelően kell feltüntetni.</w:t>
            </w:r>
          </w:p>
        </w:tc>
      </w:tr>
      <w:tr w:rsidR="001820FB" w:rsidRPr="00FE002E" w:rsidTr="00FE0FF1">
        <w:trPr>
          <w:trHeight w:val="304"/>
        </w:trPr>
        <w:tc>
          <w:tcPr>
            <w:tcW w:w="1418" w:type="dxa"/>
          </w:tcPr>
          <w:p w:rsidR="001820FB" w:rsidRDefault="001820FB" w:rsidP="007A4772">
            <w:pPr>
              <w:pStyle w:val="TableParagraph"/>
              <w:spacing w:before="1"/>
              <w:rPr>
                <w:rFonts w:ascii="Times New Roman" w:eastAsia="Times New Roman" w:hAnsi="Times New Roman" w:cs="Times New Roman"/>
                <w:sz w:val="34"/>
                <w:szCs w:val="34"/>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870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3.5.1</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2B. szintű eszközfedezetű értékpapírok (ABS) (CQS1)</w:t>
            </w:r>
          </w:p>
          <w:p w:rsidR="001820FB" w:rsidRPr="0011472E" w:rsidRDefault="001820FB" w:rsidP="007A4772">
            <w:pPr>
              <w:pStyle w:val="TableParagraph"/>
              <w:spacing w:before="117"/>
              <w:ind w:left="102" w:right="100"/>
              <w:rPr>
                <w:rFonts w:ascii="Times New Roman" w:eastAsia="Times New Roman" w:hAnsi="Times New Roman" w:cs="Times New Roman"/>
                <w:sz w:val="24"/>
                <w:szCs w:val="24"/>
              </w:rPr>
            </w:pPr>
            <w:r w:rsidRPr="0011472E">
              <w:rPr>
                <w:rFonts w:ascii="Times New Roman" w:hAnsi="Times New Roman" w:cs="Times New Roman"/>
                <w:spacing w:val="-1"/>
                <w:sz w:val="24"/>
              </w:rPr>
              <w:t>A 3.5. pontban feltüntetett azon összeg, amely eszközfedezetű értékpapír, ideértve a lakóingatlannal fedezett értékpapírokat is. Az (EU) 2015/61 rendelet 13. cikke (2) bekezdése a) pontjának megfelelően csak az 1-es hitelminőségi besorolással rendelkező eszközfedezetű értékpapírok minősülhetnek 2B. szintű eszköznek.</w:t>
            </w:r>
          </w:p>
        </w:tc>
      </w:tr>
      <w:tr w:rsidR="001820FB" w:rsidRPr="00FE002E" w:rsidTr="00FE0FF1">
        <w:trPr>
          <w:trHeight w:val="304"/>
        </w:trPr>
        <w:tc>
          <w:tcPr>
            <w:tcW w:w="1418" w:type="dxa"/>
          </w:tcPr>
          <w:p w:rsidR="001820FB" w:rsidRDefault="001820FB" w:rsidP="007A4772">
            <w:pPr>
              <w:pStyle w:val="TableParagraph"/>
              <w:spacing w:before="2"/>
              <w:rPr>
                <w:rFonts w:ascii="Times New Roman" w:eastAsia="Times New Roman" w:hAnsi="Times New Roman" w:cs="Times New Roman"/>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880</w:t>
            </w:r>
          </w:p>
        </w:tc>
        <w:tc>
          <w:tcPr>
            <w:tcW w:w="7590" w:type="dxa"/>
          </w:tcPr>
          <w:p w:rsidR="001820FB" w:rsidRPr="0011472E" w:rsidRDefault="001820FB" w:rsidP="007A4772">
            <w:pPr>
              <w:pStyle w:val="TableParagraph"/>
              <w:spacing w:before="119"/>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3.5.2</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2B. szintű fedezett kötvények (CQS 1-6)</w:t>
            </w:r>
          </w:p>
          <w:p w:rsidR="001820FB" w:rsidRPr="0011472E" w:rsidRDefault="001820FB" w:rsidP="007A4772">
            <w:pPr>
              <w:pStyle w:val="TableParagraph"/>
              <w:spacing w:before="117"/>
              <w:ind w:left="102"/>
              <w:rPr>
                <w:rFonts w:ascii="Times New Roman" w:eastAsia="Times New Roman" w:hAnsi="Times New Roman" w:cs="Times New Roman"/>
                <w:sz w:val="24"/>
                <w:szCs w:val="24"/>
              </w:rPr>
            </w:pPr>
            <w:r w:rsidRPr="0011472E">
              <w:rPr>
                <w:rFonts w:ascii="Times New Roman" w:hAnsi="Times New Roman" w:cs="Times New Roman"/>
                <w:spacing w:val="-1"/>
                <w:sz w:val="24"/>
              </w:rPr>
              <w:t>A 3.5. pontban feltüntetett azon összeg, amely fedezett kötvény.</w:t>
            </w:r>
          </w:p>
        </w:tc>
      </w:tr>
      <w:tr w:rsidR="001820FB" w:rsidRPr="00FE002E" w:rsidTr="00FE0FF1">
        <w:trPr>
          <w:trHeight w:val="304"/>
        </w:trPr>
        <w:tc>
          <w:tcPr>
            <w:tcW w:w="1418" w:type="dxa"/>
          </w:tcPr>
          <w:p w:rsidR="001820FB" w:rsidRDefault="001820FB" w:rsidP="007A4772">
            <w:pPr>
              <w:pStyle w:val="TableParagraph"/>
              <w:spacing w:before="1"/>
              <w:rPr>
                <w:rFonts w:ascii="Times New Roman" w:eastAsia="Times New Roman" w:hAnsi="Times New Roman" w:cs="Times New Roman"/>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890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3.5.3</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2B. szintű vállalati kötvények (CQS 1-3)</w:t>
            </w:r>
          </w:p>
          <w:p w:rsidR="001820FB" w:rsidRPr="0011472E" w:rsidRDefault="001820FB" w:rsidP="007A4772">
            <w:pPr>
              <w:pStyle w:val="TableParagraph"/>
              <w:spacing w:before="117"/>
              <w:ind w:left="102"/>
              <w:rPr>
                <w:rFonts w:ascii="Times New Roman" w:eastAsia="Times New Roman" w:hAnsi="Times New Roman" w:cs="Times New Roman"/>
                <w:sz w:val="24"/>
                <w:szCs w:val="24"/>
              </w:rPr>
            </w:pPr>
            <w:r w:rsidRPr="0011472E">
              <w:rPr>
                <w:rFonts w:ascii="Times New Roman" w:hAnsi="Times New Roman" w:cs="Times New Roman"/>
                <w:spacing w:val="-1"/>
                <w:sz w:val="24"/>
              </w:rPr>
              <w:t>A 3.5. pontban feltüntetett azon összeg, amely hitelviszonyt megtestesítő vállalati értékpapír.</w:t>
            </w:r>
          </w:p>
        </w:tc>
      </w:tr>
      <w:tr w:rsidR="001820FB" w:rsidRPr="00FE002E" w:rsidTr="00FE0FF1">
        <w:trPr>
          <w:trHeight w:val="304"/>
        </w:trPr>
        <w:tc>
          <w:tcPr>
            <w:tcW w:w="1418" w:type="dxa"/>
          </w:tcPr>
          <w:p w:rsidR="001820FB" w:rsidRDefault="001820FB" w:rsidP="007A4772">
            <w:pPr>
              <w:pStyle w:val="TableParagraph"/>
              <w:spacing w:before="1"/>
              <w:rPr>
                <w:rFonts w:ascii="Times New Roman" w:eastAsia="Times New Roman" w:hAnsi="Times New Roman" w:cs="Times New Roman"/>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900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3.5.4</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2B. szintű részvények</w:t>
            </w:r>
          </w:p>
          <w:p w:rsidR="001820FB" w:rsidRPr="0011472E" w:rsidRDefault="001820FB" w:rsidP="007A4772">
            <w:pPr>
              <w:pStyle w:val="TableParagraph"/>
              <w:spacing w:before="117"/>
              <w:ind w:left="102"/>
              <w:rPr>
                <w:rFonts w:ascii="Times New Roman" w:eastAsia="Times New Roman" w:hAnsi="Times New Roman" w:cs="Times New Roman"/>
                <w:sz w:val="24"/>
                <w:szCs w:val="24"/>
              </w:rPr>
            </w:pPr>
            <w:r w:rsidRPr="0011472E">
              <w:rPr>
                <w:rFonts w:ascii="Times New Roman" w:hAnsi="Times New Roman" w:cs="Times New Roman"/>
                <w:spacing w:val="-1"/>
                <w:sz w:val="24"/>
              </w:rPr>
              <w:t>A 3.5. pontban feltüntetett azon összeg, amely részvény.</w:t>
            </w:r>
          </w:p>
        </w:tc>
      </w:tr>
      <w:tr w:rsidR="001820FB" w:rsidRPr="00FE002E" w:rsidTr="00FE0FF1">
        <w:trPr>
          <w:trHeight w:val="304"/>
        </w:trPr>
        <w:tc>
          <w:tcPr>
            <w:tcW w:w="1418" w:type="dxa"/>
          </w:tcPr>
          <w:p w:rsidR="001820FB" w:rsidRDefault="001820FB" w:rsidP="007A4772">
            <w:pPr>
              <w:pStyle w:val="TableParagraph"/>
              <w:spacing w:before="2"/>
              <w:rPr>
                <w:rFonts w:ascii="Times New Roman" w:eastAsia="Times New Roman" w:hAnsi="Times New Roman" w:cs="Times New Roman"/>
                <w:sz w:val="34"/>
                <w:szCs w:val="34"/>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lastRenderedPageBreak/>
              <w:t>910</w:t>
            </w:r>
          </w:p>
        </w:tc>
        <w:tc>
          <w:tcPr>
            <w:tcW w:w="7590" w:type="dxa"/>
          </w:tcPr>
          <w:p w:rsidR="001820FB" w:rsidRPr="0011472E" w:rsidRDefault="001820FB" w:rsidP="007A4772">
            <w:pPr>
              <w:pStyle w:val="TableParagraph"/>
              <w:spacing w:before="119"/>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lastRenderedPageBreak/>
              <w:t>3.5.5</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2B. szintű közszektorbeli intézményi eszközök (CQS 3-5)</w:t>
            </w:r>
          </w:p>
          <w:p w:rsidR="001820FB" w:rsidRPr="0011472E" w:rsidRDefault="001820FB" w:rsidP="007A4772">
            <w:pPr>
              <w:pStyle w:val="TableParagraph"/>
              <w:spacing w:before="117"/>
              <w:ind w:left="102" w:right="101"/>
              <w:rPr>
                <w:rFonts w:ascii="Times New Roman" w:eastAsia="Times New Roman" w:hAnsi="Times New Roman" w:cs="Times New Roman"/>
                <w:sz w:val="24"/>
                <w:szCs w:val="24"/>
              </w:rPr>
            </w:pPr>
            <w:r w:rsidRPr="0011472E">
              <w:rPr>
                <w:rFonts w:ascii="Times New Roman" w:hAnsi="Times New Roman" w:cs="Times New Roman"/>
                <w:spacing w:val="-1"/>
                <w:sz w:val="24"/>
              </w:rPr>
              <w:lastRenderedPageBreak/>
              <w:t>A 3.5. pontban feltüntetett összeg, amely a 3.5.1–3.5.4. pontban nem szereplő 2B. szintű eszköz.</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
              <w:rPr>
                <w:rFonts w:ascii="Times New Roman" w:eastAsia="Times New Roman" w:hAnsi="Times New Roman" w:cs="Times New Roman"/>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920</w:t>
            </w:r>
          </w:p>
        </w:tc>
        <w:tc>
          <w:tcPr>
            <w:tcW w:w="7590" w:type="dxa"/>
          </w:tcPr>
          <w:p w:rsidR="001820FB" w:rsidRPr="0011472E" w:rsidRDefault="001820FB" w:rsidP="007A4772">
            <w:pPr>
              <w:pStyle w:val="TableParagraph"/>
              <w:spacing w:before="118"/>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3.6</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Egyéb forgalomképes eszköz</w:t>
            </w:r>
          </w:p>
          <w:p w:rsidR="001820FB" w:rsidRPr="0011472E" w:rsidRDefault="001820FB" w:rsidP="007A4772">
            <w:pPr>
              <w:pStyle w:val="TableParagraph"/>
              <w:spacing w:before="117"/>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3.3., 3.4. és 3.5. pontban feltüntetett forgalomképes eszközökön kívüli forgalomképes eszközök piaci értéke.</w:t>
            </w:r>
          </w:p>
          <w:p w:rsidR="001820FB" w:rsidRPr="0011472E" w:rsidRDefault="001820FB" w:rsidP="007A4772">
            <w:pPr>
              <w:pStyle w:val="TableParagraph"/>
              <w:rPr>
                <w:rFonts w:ascii="Times New Roman" w:eastAsia="Times New Roman" w:hAnsi="Times New Roman" w:cs="Times New Roman"/>
                <w:sz w:val="24"/>
                <w:szCs w:val="24"/>
              </w:rPr>
            </w:pPr>
          </w:p>
          <w:p w:rsidR="001820FB" w:rsidRPr="0011472E" w:rsidRDefault="001820FB" w:rsidP="007A4772">
            <w:pPr>
              <w:pStyle w:val="TableParagraph"/>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kiegyensúlyozó kapacitásban nem szerepeltethetők a csoporton belüli vagy saját kibocsátású egyéb forgalomképes eszközökből származó értékpapír-áramlások és értékpapírok. Az ilyen tételekből származó pénzeszköz-áramlásokat a tábla 1. és 2. szakaszának megfelelő részében kell feltüntetni.</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
              <w:rPr>
                <w:rFonts w:ascii="Times New Roman" w:eastAsia="Times New Roman" w:hAnsi="Times New Roman" w:cs="Times New Roman"/>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930</w:t>
            </w:r>
          </w:p>
        </w:tc>
        <w:tc>
          <w:tcPr>
            <w:tcW w:w="7590" w:type="dxa"/>
          </w:tcPr>
          <w:p w:rsidR="001820FB" w:rsidRPr="0011472E" w:rsidRDefault="001820FB" w:rsidP="007A4772">
            <w:pPr>
              <w:pStyle w:val="TableParagraph"/>
              <w:spacing w:before="118"/>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3.6.1</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központi kormányzat (CQS1);</w:t>
            </w:r>
          </w:p>
          <w:p w:rsidR="001820FB" w:rsidRPr="0011472E" w:rsidRDefault="001820FB" w:rsidP="007A4772">
            <w:pPr>
              <w:pStyle w:val="TableParagraph"/>
              <w:spacing w:before="117"/>
              <w:ind w:left="102" w:right="99"/>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3.6. pontban feltüntetett azon összeg, amely kijelölt külső hitelminősítő intézettől 1-es hitelminőségi besorolást kapott központi kormányzattal szembeni vagy általa garantált követeléseket képvisel.</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
              <w:rPr>
                <w:rFonts w:ascii="Times New Roman" w:eastAsia="Times New Roman" w:hAnsi="Times New Roman" w:cs="Times New Roman"/>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940</w:t>
            </w:r>
          </w:p>
        </w:tc>
        <w:tc>
          <w:tcPr>
            <w:tcW w:w="7590" w:type="dxa"/>
          </w:tcPr>
          <w:p w:rsidR="001820FB" w:rsidRPr="0011472E" w:rsidRDefault="001820FB" w:rsidP="007A4772">
            <w:pPr>
              <w:pStyle w:val="TableParagraph"/>
              <w:spacing w:before="118"/>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3.6.2</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központi kormányzat (CQS2-3);</w:t>
            </w:r>
          </w:p>
          <w:p w:rsidR="001820FB" w:rsidRPr="0011472E" w:rsidRDefault="001820FB" w:rsidP="007A4772">
            <w:pPr>
              <w:pStyle w:val="TableParagraph"/>
              <w:spacing w:before="117"/>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3.6. pontban feltüntetett azon összeg, amely kijelölt külső hitelminősítő intézettől 2-es vagy 3-as hitelminőségi besorolást kapott központi kormányzattal szembeni vagy általa garantált követeléseket képvisel.</w:t>
            </w:r>
          </w:p>
        </w:tc>
      </w:tr>
      <w:tr w:rsidR="001820FB" w:rsidRPr="00FE002E" w:rsidTr="00FE0FF1">
        <w:trPr>
          <w:trHeight w:val="304"/>
        </w:trPr>
        <w:tc>
          <w:tcPr>
            <w:tcW w:w="1418" w:type="dxa"/>
          </w:tcPr>
          <w:p w:rsidR="001820FB" w:rsidRDefault="001820FB" w:rsidP="007A4772">
            <w:pPr>
              <w:pStyle w:val="TableParagraph"/>
              <w:spacing w:before="2"/>
              <w:rPr>
                <w:rFonts w:ascii="Times New Roman" w:eastAsia="Times New Roman" w:hAnsi="Times New Roman" w:cs="Times New Roman"/>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950</w:t>
            </w:r>
          </w:p>
        </w:tc>
        <w:tc>
          <w:tcPr>
            <w:tcW w:w="7590" w:type="dxa"/>
          </w:tcPr>
          <w:p w:rsidR="001820FB" w:rsidRPr="0011472E" w:rsidRDefault="001820FB" w:rsidP="007A4772">
            <w:pPr>
              <w:pStyle w:val="TableParagraph"/>
              <w:spacing w:before="119"/>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3.6.3</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részvények</w:t>
            </w:r>
          </w:p>
          <w:p w:rsidR="001820FB" w:rsidRPr="0011472E" w:rsidRDefault="001820FB" w:rsidP="007A4772">
            <w:pPr>
              <w:pStyle w:val="TableParagraph"/>
              <w:spacing w:before="117"/>
              <w:ind w:left="102"/>
              <w:rPr>
                <w:rFonts w:ascii="Times New Roman" w:eastAsia="Times New Roman" w:hAnsi="Times New Roman" w:cs="Times New Roman"/>
                <w:sz w:val="24"/>
                <w:szCs w:val="24"/>
              </w:rPr>
            </w:pPr>
            <w:r w:rsidRPr="0011472E">
              <w:rPr>
                <w:rFonts w:ascii="Times New Roman" w:hAnsi="Times New Roman" w:cs="Times New Roman"/>
                <w:spacing w:val="-1"/>
                <w:sz w:val="24"/>
              </w:rPr>
              <w:t>A 3.6. pontban feltüntetett azon összeg, amely részvény.</w:t>
            </w:r>
          </w:p>
        </w:tc>
      </w:tr>
      <w:tr w:rsidR="001820FB" w:rsidRPr="00FE002E" w:rsidTr="00FE0FF1">
        <w:trPr>
          <w:trHeight w:val="304"/>
        </w:trPr>
        <w:tc>
          <w:tcPr>
            <w:tcW w:w="1418" w:type="dxa"/>
          </w:tcPr>
          <w:p w:rsidR="001820FB" w:rsidRDefault="001820FB" w:rsidP="007A4772">
            <w:pPr>
              <w:pStyle w:val="TableParagraph"/>
              <w:spacing w:before="2"/>
              <w:rPr>
                <w:rFonts w:ascii="Times New Roman" w:eastAsia="Times New Roman" w:hAnsi="Times New Roman" w:cs="Times New Roman"/>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960</w:t>
            </w:r>
          </w:p>
        </w:tc>
        <w:tc>
          <w:tcPr>
            <w:tcW w:w="7590" w:type="dxa"/>
          </w:tcPr>
          <w:p w:rsidR="001820FB" w:rsidRPr="0011472E" w:rsidRDefault="001820FB" w:rsidP="007A4772">
            <w:pPr>
              <w:pStyle w:val="TableParagraph"/>
              <w:spacing w:before="119"/>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3.6.4</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fedezett kötvények</w:t>
            </w:r>
          </w:p>
          <w:p w:rsidR="001820FB" w:rsidRPr="0011472E" w:rsidRDefault="001820FB" w:rsidP="007A4772">
            <w:pPr>
              <w:pStyle w:val="TableParagraph"/>
              <w:spacing w:before="117"/>
              <w:ind w:left="102"/>
              <w:rPr>
                <w:rFonts w:ascii="Times New Roman" w:eastAsia="Times New Roman" w:hAnsi="Times New Roman" w:cs="Times New Roman"/>
                <w:sz w:val="24"/>
                <w:szCs w:val="24"/>
              </w:rPr>
            </w:pPr>
            <w:r w:rsidRPr="0011472E">
              <w:rPr>
                <w:rFonts w:ascii="Times New Roman" w:hAnsi="Times New Roman" w:cs="Times New Roman"/>
                <w:spacing w:val="-1"/>
                <w:sz w:val="24"/>
              </w:rPr>
              <w:t>A 3.6. pontban feltüntetett azon összeg, amely fedezett kötvény.</w:t>
            </w:r>
          </w:p>
        </w:tc>
      </w:tr>
      <w:tr w:rsidR="001820FB" w:rsidRPr="00FE002E" w:rsidTr="00FE0FF1">
        <w:trPr>
          <w:trHeight w:val="304"/>
        </w:trPr>
        <w:tc>
          <w:tcPr>
            <w:tcW w:w="1418" w:type="dxa"/>
          </w:tcPr>
          <w:p w:rsidR="001820FB" w:rsidRDefault="001820FB" w:rsidP="007A4772">
            <w:pPr>
              <w:pStyle w:val="TableParagraph"/>
              <w:spacing w:before="1"/>
              <w:rPr>
                <w:rFonts w:ascii="Times New Roman" w:eastAsia="Times New Roman" w:hAnsi="Times New Roman" w:cs="Times New Roman"/>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970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3.6.5</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ABS</w:t>
            </w:r>
          </w:p>
          <w:p w:rsidR="001820FB" w:rsidRPr="0011472E" w:rsidRDefault="001820FB" w:rsidP="007A4772">
            <w:pPr>
              <w:pStyle w:val="TableParagraph"/>
              <w:spacing w:before="117"/>
              <w:ind w:left="102"/>
              <w:rPr>
                <w:rFonts w:ascii="Times New Roman" w:eastAsia="Times New Roman" w:hAnsi="Times New Roman" w:cs="Times New Roman"/>
                <w:sz w:val="24"/>
                <w:szCs w:val="24"/>
              </w:rPr>
            </w:pPr>
            <w:r w:rsidRPr="0011472E">
              <w:rPr>
                <w:rFonts w:ascii="Times New Roman" w:hAnsi="Times New Roman" w:cs="Times New Roman"/>
                <w:spacing w:val="-1"/>
                <w:sz w:val="24"/>
              </w:rPr>
              <w:t>A 3.6. pontban feltüntetett azon összeg, amely eszközfedezetű értékpapír.</w:t>
            </w:r>
          </w:p>
        </w:tc>
      </w:tr>
      <w:tr w:rsidR="001820FB" w:rsidRPr="00FE002E" w:rsidTr="00FE0FF1">
        <w:trPr>
          <w:trHeight w:val="304"/>
        </w:trPr>
        <w:tc>
          <w:tcPr>
            <w:tcW w:w="1418" w:type="dxa"/>
          </w:tcPr>
          <w:p w:rsidR="001820FB" w:rsidRDefault="001820FB" w:rsidP="007A4772">
            <w:pPr>
              <w:pStyle w:val="TableParagraph"/>
              <w:spacing w:before="1"/>
              <w:rPr>
                <w:rFonts w:ascii="Times New Roman" w:eastAsia="Times New Roman" w:hAnsi="Times New Roman" w:cs="Times New Roman"/>
                <w:sz w:val="34"/>
                <w:szCs w:val="34"/>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980</w:t>
            </w:r>
          </w:p>
        </w:tc>
        <w:tc>
          <w:tcPr>
            <w:tcW w:w="7590" w:type="dxa"/>
          </w:tcPr>
          <w:p w:rsidR="001820FB" w:rsidRPr="0011472E" w:rsidRDefault="001820FB" w:rsidP="007A4772">
            <w:pPr>
              <w:pStyle w:val="TableParagraph"/>
              <w:spacing w:before="118"/>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3.6.6</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egyéb forgalomképes eszköz</w:t>
            </w:r>
          </w:p>
          <w:p w:rsidR="001820FB" w:rsidRPr="0011472E" w:rsidRDefault="001820FB" w:rsidP="007A4772">
            <w:pPr>
              <w:pStyle w:val="TableParagraph"/>
              <w:spacing w:before="117"/>
              <w:ind w:left="102" w:right="99"/>
              <w:rPr>
                <w:rFonts w:ascii="Times New Roman" w:eastAsia="Times New Roman" w:hAnsi="Times New Roman" w:cs="Times New Roman"/>
                <w:sz w:val="24"/>
                <w:szCs w:val="24"/>
              </w:rPr>
            </w:pPr>
            <w:r w:rsidRPr="0011472E">
              <w:rPr>
                <w:rFonts w:ascii="Times New Roman" w:hAnsi="Times New Roman" w:cs="Times New Roman"/>
                <w:spacing w:val="-1"/>
                <w:sz w:val="24"/>
              </w:rPr>
              <w:t>A 3.6. pontban feltüntetett azon összeg, amely a 3.6.1–3.6.5. pontban nem szereplő egyéb forgalomképes eszköz.</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6"/>
              <w:rPr>
                <w:rFonts w:ascii="Times New Roman" w:eastAsia="Times New Roman" w:hAnsi="Times New Roman" w:cs="Times New Roman"/>
                <w:sz w:val="32"/>
                <w:szCs w:val="32"/>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990</w:t>
            </w:r>
          </w:p>
        </w:tc>
        <w:tc>
          <w:tcPr>
            <w:tcW w:w="7590" w:type="dxa"/>
          </w:tcPr>
          <w:p w:rsidR="001820FB" w:rsidRPr="0011472E" w:rsidRDefault="001820FB" w:rsidP="007A4772">
            <w:pPr>
              <w:pStyle w:val="TableParagraph"/>
              <w:spacing w:before="118"/>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3.7</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Központi bank által elfogadható nem forgalomképes eszközök</w:t>
            </w:r>
          </w:p>
          <w:p w:rsidR="001820FB" w:rsidRPr="0011472E" w:rsidRDefault="001820FB" w:rsidP="007A4772">
            <w:pPr>
              <w:pStyle w:val="TableParagraph"/>
              <w:spacing w:before="117"/>
              <w:ind w:left="102" w:right="100"/>
              <w:jc w:val="both"/>
              <w:rPr>
                <w:rFonts w:ascii="Times New Roman" w:eastAsia="Times New Roman" w:hAnsi="Times New Roman" w:cs="Times New Roman"/>
                <w:sz w:val="24"/>
                <w:szCs w:val="24"/>
              </w:rPr>
            </w:pPr>
            <w:r w:rsidRPr="0011472E">
              <w:rPr>
                <w:rFonts w:ascii="Times New Roman" w:hAnsi="Times New Roman" w:cs="Times New Roman"/>
                <w:sz w:val="24"/>
              </w:rPr>
              <w:t>Az intézmény számára konszolidációs szintjén közvetlenül hozzáférhető azon nem forgalomképes eszközök könyv szerinti értéke, amelyek elfogadható fedezetet képeznek a központi bank szokásos likviditási műveleteihez.</w:t>
            </w:r>
          </w:p>
          <w:p w:rsidR="001820FB" w:rsidRPr="0011472E" w:rsidRDefault="001820FB" w:rsidP="007A4772">
            <w:pPr>
              <w:pStyle w:val="TableParagraph"/>
              <w:spacing w:before="120"/>
              <w:ind w:left="102" w:right="100"/>
              <w:jc w:val="both"/>
              <w:rPr>
                <w:rFonts w:ascii="Times New Roman" w:hAnsi="Times New Roman" w:cs="Times New Roman"/>
                <w:spacing w:val="-1"/>
                <w:sz w:val="24"/>
              </w:rPr>
            </w:pPr>
            <w:r w:rsidRPr="0011472E">
              <w:rPr>
                <w:rFonts w:ascii="Times New Roman" w:hAnsi="Times New Roman" w:cs="Times New Roman"/>
                <w:spacing w:val="-1"/>
                <w:sz w:val="24"/>
              </w:rPr>
              <w:t>Az (EU) 2015/233 felhatalmazáson alapuló bizottsági rendelet</w:t>
            </w:r>
            <w:r w:rsidRPr="0011472E">
              <w:rPr>
                <w:rStyle w:val="Lbjegyzet-hivatkozs"/>
                <w:rFonts w:ascii="Times New Roman" w:hAnsi="Times New Roman" w:cs="Times New Roman"/>
                <w:spacing w:val="-1"/>
                <w:sz w:val="24"/>
              </w:rPr>
              <w:footnoteReference w:id="2"/>
            </w:r>
            <w:r w:rsidRPr="0011472E">
              <w:rPr>
                <w:rFonts w:ascii="Times New Roman" w:hAnsi="Times New Roman" w:cs="Times New Roman"/>
                <w:spacing w:val="-1"/>
                <w:sz w:val="24"/>
              </w:rPr>
              <w:t xml:space="preserve"> mellékletében szereplő olyan pénznemben denominált eszközök esetében, amelyek tekintetében rendkívül szűk a központi bank által elfogadható fedezetek köre, a mezőt üresen kell hagyni.</w:t>
            </w:r>
            <w:r w:rsidRPr="0011472E">
              <w:rPr>
                <w:rFonts w:ascii="Times New Roman" w:hAnsi="Times New Roman" w:cs="Times New Roman"/>
              </w:rPr>
              <w:t xml:space="preserve"> </w:t>
            </w:r>
            <w:r w:rsidRPr="0011472E">
              <w:rPr>
                <w:rFonts w:ascii="Times New Roman" w:hAnsi="Times New Roman" w:cs="Times New Roman"/>
                <w:spacing w:val="-1"/>
                <w:sz w:val="24"/>
              </w:rPr>
              <w:t xml:space="preserve">A kiegyensúlyozó </w:t>
            </w:r>
            <w:r w:rsidRPr="0011472E">
              <w:rPr>
                <w:rFonts w:ascii="Times New Roman" w:hAnsi="Times New Roman" w:cs="Times New Roman"/>
                <w:spacing w:val="-1"/>
                <w:sz w:val="24"/>
              </w:rPr>
              <w:lastRenderedPageBreak/>
              <w:t>kapacitásban nem szerepeltethetők a csoporton belüli vagy saját kibocsátású egyéb forgalomképes eszközökből származó értékpapír-áramlások és értékpapírok. Az ilyen tételekből származó pénzeszköz-áramlásokat a tábla 1. és 2. szakaszában kell feltüntetni.</w:t>
            </w:r>
          </w:p>
          <w:p w:rsidR="001820FB" w:rsidRPr="0011472E" w:rsidRDefault="001820FB" w:rsidP="007A4772">
            <w:pPr>
              <w:pStyle w:val="TableParagraph"/>
              <w:spacing w:before="120"/>
              <w:ind w:left="102" w:right="100"/>
              <w:jc w:val="both"/>
              <w:rPr>
                <w:rFonts w:ascii="Times New Roman" w:hAnsi="Times New Roman" w:cs="Times New Roman"/>
                <w:spacing w:val="-1"/>
                <w:sz w:val="24"/>
              </w:rPr>
            </w:pPr>
          </w:p>
          <w:p w:rsidR="001820FB" w:rsidRPr="0011472E" w:rsidRDefault="001820FB" w:rsidP="007A4772">
            <w:pPr>
              <w:pStyle w:val="TableParagraph"/>
              <w:spacing w:before="120"/>
              <w:ind w:left="102" w:right="100"/>
              <w:jc w:val="both"/>
              <w:rPr>
                <w:rFonts w:ascii="Times New Roman" w:hAnsi="Times New Roman" w:cs="Times New Roman"/>
                <w:spacing w:val="-1"/>
                <w:sz w:val="24"/>
              </w:rPr>
            </w:pPr>
          </w:p>
          <w:p w:rsidR="001820FB" w:rsidRPr="0011472E" w:rsidRDefault="001820FB" w:rsidP="007A4772">
            <w:pPr>
              <w:pStyle w:val="TableParagraph"/>
              <w:spacing w:before="120"/>
              <w:ind w:left="102" w:right="100"/>
              <w:jc w:val="both"/>
              <w:rPr>
                <w:rFonts w:ascii="Times New Roman" w:eastAsia="Times New Roman" w:hAnsi="Times New Roman" w:cs="Times New Roman"/>
                <w:sz w:val="24"/>
                <w:szCs w:val="24"/>
              </w:rPr>
            </w:pP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7"/>
              <w:rPr>
                <w:rFonts w:ascii="Times New Roman" w:eastAsia="Times New Roman" w:hAnsi="Times New Roman" w:cs="Times New Roman"/>
                <w:sz w:val="23"/>
                <w:szCs w:val="23"/>
              </w:rPr>
            </w:pPr>
          </w:p>
          <w:p w:rsidR="001820FB" w:rsidRDefault="001820FB" w:rsidP="007A4772">
            <w:pPr>
              <w:pStyle w:val="TableParagraph"/>
              <w:ind w:left="102"/>
              <w:rPr>
                <w:rFonts w:ascii="Times New Roman" w:eastAsia="Times New Roman" w:hAnsi="Times New Roman" w:cs="Times New Roman"/>
                <w:sz w:val="24"/>
                <w:szCs w:val="24"/>
              </w:rPr>
            </w:pPr>
            <w:r>
              <w:rPr>
                <w:rFonts w:ascii="Times New Roman"/>
                <w:sz w:val="24"/>
              </w:rPr>
              <w:t>1000</w:t>
            </w:r>
          </w:p>
        </w:tc>
        <w:tc>
          <w:tcPr>
            <w:tcW w:w="7590" w:type="dxa"/>
          </w:tcPr>
          <w:p w:rsidR="001820FB" w:rsidRPr="0011472E" w:rsidRDefault="001820FB" w:rsidP="007A4772">
            <w:pPr>
              <w:pStyle w:val="TableParagraph"/>
              <w:spacing w:line="275" w:lineRule="exact"/>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3.8</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Kapott, le nem hívott, folyósítási kötelezettséget tartalmazó keretek</w:t>
            </w:r>
          </w:p>
          <w:p w:rsidR="001820FB" w:rsidRPr="0011472E" w:rsidRDefault="001820FB" w:rsidP="007A4772">
            <w:pPr>
              <w:pStyle w:val="TableParagraph"/>
              <w:spacing w:before="9"/>
              <w:rPr>
                <w:rFonts w:ascii="Times New Roman" w:eastAsia="Times New Roman" w:hAnsi="Times New Roman" w:cs="Times New Roman"/>
                <w:sz w:val="23"/>
                <w:szCs w:val="23"/>
              </w:rPr>
            </w:pPr>
          </w:p>
          <w:p w:rsidR="001820FB" w:rsidRPr="0011472E" w:rsidRDefault="001820FB" w:rsidP="007A4772">
            <w:pPr>
              <w:pStyle w:val="TableParagraph"/>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Az adatot szolgáltató intézmény rendelkezésére tartott, le nem hívott, folyósítási kötelezettséget tartalmazó keretek teljes összege. Magában foglalja a szerződés alapján visszavonhatatlan kereteket. Az intézményeknek csökkentett összeget kell feltüntetniük akkor, ha a lehívás esetleges biztosítékigénye meghaladja a rendelkezésre álló biztosítékokat.</w:t>
            </w:r>
          </w:p>
          <w:p w:rsidR="001820FB" w:rsidRPr="0011472E" w:rsidRDefault="001820FB" w:rsidP="007A4772">
            <w:pPr>
              <w:pStyle w:val="TableParagraph"/>
              <w:spacing w:before="10"/>
              <w:rPr>
                <w:rFonts w:ascii="Times New Roman" w:eastAsia="Times New Roman" w:hAnsi="Times New Roman" w:cs="Times New Roman"/>
                <w:sz w:val="23"/>
                <w:szCs w:val="23"/>
              </w:rPr>
            </w:pPr>
          </w:p>
          <w:p w:rsidR="001820FB" w:rsidRPr="0011472E" w:rsidRDefault="001820FB" w:rsidP="007A4772">
            <w:pPr>
              <w:pStyle w:val="TableParagraph"/>
              <w:ind w:left="102" w:right="98"/>
              <w:jc w:val="both"/>
              <w:rPr>
                <w:rFonts w:ascii="Times New Roman" w:eastAsia="Times New Roman" w:hAnsi="Times New Roman" w:cs="Times New Roman"/>
                <w:sz w:val="24"/>
                <w:szCs w:val="24"/>
              </w:rPr>
            </w:pPr>
            <w:r w:rsidRPr="0011472E">
              <w:rPr>
                <w:rFonts w:ascii="Times New Roman" w:hAnsi="Times New Roman" w:cs="Times New Roman"/>
                <w:sz w:val="24"/>
              </w:rPr>
              <w:t>A többszörös figyelembevétel elkerülése érdekében akkor, ha az adatszolgáltató intézmény eszközöket különített el valamely le nem hívott keret biztosítékaként, és ezeket az eszközöket a 3.1–3.7. pontban már feltüntette, ezek a keretek a 3.8. pontban nem tüntethetők fel. Ugyanez vonatkozik azokra az esetekre, amikor az adatszolgáltató intézménynek esetlegesen biztosítékként eszközöket kell elkülönítenie az ebben a mezőben szerepeltetett lehívások érdekében.</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49"/>
              <w:ind w:left="102"/>
              <w:rPr>
                <w:rFonts w:ascii="Times New Roman" w:eastAsia="Times New Roman" w:hAnsi="Times New Roman" w:cs="Times New Roman"/>
                <w:sz w:val="24"/>
                <w:szCs w:val="24"/>
              </w:rPr>
            </w:pPr>
            <w:r>
              <w:rPr>
                <w:rFonts w:ascii="Times New Roman"/>
                <w:sz w:val="24"/>
              </w:rPr>
              <w:t>1010</w:t>
            </w:r>
          </w:p>
        </w:tc>
        <w:tc>
          <w:tcPr>
            <w:tcW w:w="7590" w:type="dxa"/>
          </w:tcPr>
          <w:p w:rsidR="001820FB" w:rsidRPr="0011472E" w:rsidRDefault="001820FB" w:rsidP="007A4772">
            <w:pPr>
              <w:pStyle w:val="TableParagraph"/>
              <w:spacing w:line="275" w:lineRule="exact"/>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3.8.1</w:t>
            </w:r>
            <w:r w:rsidR="00D935E8">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1. szintű keretek</w:t>
            </w:r>
          </w:p>
          <w:p w:rsidR="001820FB" w:rsidRPr="0011472E" w:rsidRDefault="001820FB" w:rsidP="007A4772">
            <w:pPr>
              <w:pStyle w:val="TableParagraph"/>
              <w:spacing w:before="9"/>
              <w:rPr>
                <w:rFonts w:ascii="Times New Roman" w:eastAsia="Times New Roman" w:hAnsi="Times New Roman" w:cs="Times New Roman"/>
                <w:sz w:val="23"/>
                <w:szCs w:val="23"/>
              </w:rPr>
            </w:pPr>
          </w:p>
          <w:p w:rsidR="001820FB" w:rsidRPr="0011472E" w:rsidRDefault="001820FB" w:rsidP="007A4772">
            <w:pPr>
              <w:pStyle w:val="TableParagraph"/>
              <w:ind w:left="102" w:right="99"/>
              <w:rPr>
                <w:rFonts w:ascii="Times New Roman" w:eastAsia="Times New Roman" w:hAnsi="Times New Roman" w:cs="Times New Roman"/>
                <w:sz w:val="24"/>
                <w:szCs w:val="24"/>
              </w:rPr>
            </w:pPr>
            <w:r w:rsidRPr="0011472E">
              <w:rPr>
                <w:rFonts w:ascii="Times New Roman" w:hAnsi="Times New Roman" w:cs="Times New Roman"/>
                <w:spacing w:val="-1"/>
                <w:sz w:val="24"/>
              </w:rPr>
              <w:t>A 3.8. pontban feltüntetett azon összeg, amely az (EU) 2015/61 rendelet 19. cikke (1) bekezdésének b) pontja szerinti központi banki keret.</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49"/>
              <w:ind w:left="102"/>
              <w:rPr>
                <w:rFonts w:ascii="Times New Roman" w:eastAsia="Times New Roman" w:hAnsi="Times New Roman" w:cs="Times New Roman"/>
                <w:sz w:val="24"/>
                <w:szCs w:val="24"/>
              </w:rPr>
            </w:pPr>
            <w:r>
              <w:rPr>
                <w:rFonts w:ascii="Times New Roman"/>
                <w:sz w:val="24"/>
              </w:rPr>
              <w:t>1020</w:t>
            </w:r>
          </w:p>
        </w:tc>
        <w:tc>
          <w:tcPr>
            <w:tcW w:w="7590" w:type="dxa"/>
          </w:tcPr>
          <w:p w:rsidR="001820FB" w:rsidRPr="0011472E" w:rsidRDefault="001820FB" w:rsidP="007A4772">
            <w:pPr>
              <w:pStyle w:val="TableParagraph"/>
              <w:spacing w:line="274" w:lineRule="exact"/>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3.8.2</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2B. szintű korlátozott felhasználású keretek</w:t>
            </w:r>
          </w:p>
          <w:p w:rsidR="001820FB" w:rsidRPr="0011472E" w:rsidRDefault="001820FB" w:rsidP="007A4772">
            <w:pPr>
              <w:pStyle w:val="TableParagraph"/>
              <w:spacing w:before="9"/>
              <w:rPr>
                <w:rFonts w:ascii="Times New Roman" w:eastAsia="Times New Roman" w:hAnsi="Times New Roman" w:cs="Times New Roman"/>
                <w:sz w:val="23"/>
                <w:szCs w:val="23"/>
              </w:rPr>
            </w:pPr>
          </w:p>
          <w:p w:rsidR="001820FB" w:rsidRPr="0011472E" w:rsidRDefault="001820FB" w:rsidP="007A4772">
            <w:pPr>
              <w:pStyle w:val="TableParagraph"/>
              <w:ind w:left="102" w:right="100"/>
              <w:rPr>
                <w:rFonts w:ascii="Times New Roman" w:eastAsia="Times New Roman" w:hAnsi="Times New Roman" w:cs="Times New Roman"/>
                <w:sz w:val="24"/>
                <w:szCs w:val="24"/>
              </w:rPr>
            </w:pPr>
            <w:r w:rsidRPr="0011472E">
              <w:rPr>
                <w:rFonts w:ascii="Times New Roman" w:hAnsi="Times New Roman" w:cs="Times New Roman"/>
                <w:spacing w:val="-1"/>
                <w:sz w:val="24"/>
              </w:rPr>
              <w:t>A 3.8. pontban feltüntetett azon összeg, amely az (EU) 2015/61 rendelet 14. cikke szerinti likviditásfinanszírozási forrás.</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49"/>
              <w:ind w:left="102"/>
              <w:rPr>
                <w:rFonts w:ascii="Times New Roman" w:eastAsia="Times New Roman" w:hAnsi="Times New Roman" w:cs="Times New Roman"/>
                <w:sz w:val="24"/>
                <w:szCs w:val="24"/>
              </w:rPr>
            </w:pPr>
            <w:r>
              <w:rPr>
                <w:rFonts w:ascii="Times New Roman"/>
                <w:sz w:val="24"/>
              </w:rPr>
              <w:t>1030</w:t>
            </w:r>
          </w:p>
        </w:tc>
        <w:tc>
          <w:tcPr>
            <w:tcW w:w="7590" w:type="dxa"/>
          </w:tcPr>
          <w:p w:rsidR="001820FB" w:rsidRPr="0011472E" w:rsidRDefault="001820FB" w:rsidP="007A4772">
            <w:pPr>
              <w:pStyle w:val="TableParagraph"/>
              <w:spacing w:line="274" w:lineRule="exact"/>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3.8.3</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2B. szintű, intézményvédelmi rendszerbeli keretek</w:t>
            </w:r>
          </w:p>
          <w:p w:rsidR="001820FB" w:rsidRPr="0011472E" w:rsidRDefault="001820FB" w:rsidP="007A4772">
            <w:pPr>
              <w:pStyle w:val="TableParagraph"/>
              <w:spacing w:before="9"/>
              <w:rPr>
                <w:rFonts w:ascii="Times New Roman" w:eastAsia="Times New Roman" w:hAnsi="Times New Roman" w:cs="Times New Roman"/>
                <w:sz w:val="23"/>
                <w:szCs w:val="23"/>
              </w:rPr>
            </w:pPr>
          </w:p>
          <w:p w:rsidR="001820FB" w:rsidRPr="0011472E" w:rsidRDefault="001820FB" w:rsidP="007A4772">
            <w:pPr>
              <w:pStyle w:val="TableParagraph"/>
              <w:ind w:left="102" w:right="100"/>
              <w:rPr>
                <w:rFonts w:ascii="Times New Roman" w:eastAsia="Times New Roman" w:hAnsi="Times New Roman" w:cs="Times New Roman"/>
                <w:sz w:val="24"/>
                <w:szCs w:val="24"/>
              </w:rPr>
            </w:pPr>
            <w:r w:rsidRPr="0011472E">
              <w:rPr>
                <w:rFonts w:ascii="Times New Roman" w:hAnsi="Times New Roman" w:cs="Times New Roman"/>
                <w:spacing w:val="-1"/>
                <w:sz w:val="24"/>
              </w:rPr>
              <w:t>A 3.8. pontban feltüntetett azon összeg, amely az (EU) 2015/61 rendelet 16. cikkének (2) bekezdése szerinti likviditásfinanszírozási forrás.</w:t>
            </w:r>
          </w:p>
        </w:tc>
      </w:tr>
      <w:tr w:rsidR="001820FB" w:rsidRPr="00FE002E" w:rsidTr="00FE0FF1">
        <w:trPr>
          <w:trHeight w:val="304"/>
        </w:trPr>
        <w:tc>
          <w:tcPr>
            <w:tcW w:w="1418" w:type="dxa"/>
          </w:tcPr>
          <w:p w:rsidR="001820FB" w:rsidRDefault="001820FB" w:rsidP="007A4772">
            <w:pPr>
              <w:pStyle w:val="TableParagraph"/>
              <w:rPr>
                <w:rFonts w:ascii="Times New Roman" w:eastAsia="Times New Roman" w:hAnsi="Times New Roman" w:cs="Times New Roman"/>
                <w:sz w:val="24"/>
                <w:szCs w:val="24"/>
              </w:rPr>
            </w:pPr>
          </w:p>
          <w:p w:rsidR="001820FB" w:rsidRDefault="001820FB" w:rsidP="007A4772">
            <w:pPr>
              <w:pStyle w:val="TableParagraph"/>
              <w:spacing w:before="149"/>
              <w:ind w:left="102"/>
              <w:rPr>
                <w:rFonts w:ascii="Times New Roman" w:eastAsia="Times New Roman" w:hAnsi="Times New Roman" w:cs="Times New Roman"/>
                <w:sz w:val="24"/>
                <w:szCs w:val="24"/>
              </w:rPr>
            </w:pPr>
            <w:r>
              <w:rPr>
                <w:rFonts w:ascii="Times New Roman"/>
                <w:sz w:val="24"/>
              </w:rPr>
              <w:t>1040</w:t>
            </w:r>
          </w:p>
        </w:tc>
        <w:tc>
          <w:tcPr>
            <w:tcW w:w="7590" w:type="dxa"/>
          </w:tcPr>
          <w:p w:rsidR="001820FB" w:rsidRPr="0011472E" w:rsidRDefault="001820FB" w:rsidP="007A4772">
            <w:pPr>
              <w:pStyle w:val="TableParagraph"/>
              <w:spacing w:line="275" w:lineRule="exact"/>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3.8.4</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egyéb keretek</w:t>
            </w:r>
          </w:p>
          <w:p w:rsidR="001820FB" w:rsidRPr="0011472E" w:rsidRDefault="001820FB" w:rsidP="007A4772">
            <w:pPr>
              <w:pStyle w:val="TableParagraph"/>
              <w:spacing w:before="9"/>
              <w:rPr>
                <w:rFonts w:ascii="Times New Roman" w:eastAsia="Times New Roman" w:hAnsi="Times New Roman" w:cs="Times New Roman"/>
                <w:sz w:val="23"/>
                <w:szCs w:val="23"/>
              </w:rPr>
            </w:pPr>
          </w:p>
          <w:p w:rsidR="001820FB" w:rsidRPr="0011472E" w:rsidRDefault="001820FB" w:rsidP="007A4772">
            <w:pPr>
              <w:pStyle w:val="TableParagraph"/>
              <w:ind w:left="102"/>
              <w:rPr>
                <w:rFonts w:ascii="Times New Roman" w:eastAsia="Times New Roman" w:hAnsi="Times New Roman" w:cs="Times New Roman"/>
                <w:sz w:val="24"/>
                <w:szCs w:val="24"/>
              </w:rPr>
            </w:pPr>
            <w:r w:rsidRPr="0011472E">
              <w:rPr>
                <w:rFonts w:ascii="Times New Roman" w:hAnsi="Times New Roman" w:cs="Times New Roman"/>
                <w:spacing w:val="-1"/>
                <w:sz w:val="24"/>
              </w:rPr>
              <w:t>A 3.8. pontban feltüntetett azon összeg, amely a 3.8.1–3.8.3. pontban nem szerepel.</w:t>
            </w:r>
          </w:p>
        </w:tc>
      </w:tr>
      <w:tr w:rsidR="00907416" w:rsidRPr="00FE002E" w:rsidTr="00FE0FF1">
        <w:trPr>
          <w:trHeight w:val="304"/>
        </w:trPr>
        <w:tc>
          <w:tcPr>
            <w:tcW w:w="1418" w:type="dxa"/>
          </w:tcPr>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spacing w:before="149"/>
              <w:ind w:left="102"/>
              <w:rPr>
                <w:rFonts w:ascii="Times New Roman" w:eastAsia="Times New Roman" w:hAnsi="Times New Roman" w:cs="Times New Roman"/>
                <w:sz w:val="24"/>
                <w:szCs w:val="24"/>
              </w:rPr>
            </w:pPr>
            <w:r>
              <w:rPr>
                <w:rFonts w:ascii="Times New Roman"/>
                <w:sz w:val="24"/>
              </w:rPr>
              <w:t>1050</w:t>
            </w:r>
          </w:p>
        </w:tc>
        <w:tc>
          <w:tcPr>
            <w:tcW w:w="7590" w:type="dxa"/>
          </w:tcPr>
          <w:p w:rsidR="00907416" w:rsidRPr="0011472E" w:rsidRDefault="00907416" w:rsidP="007A4772">
            <w:pPr>
              <w:pStyle w:val="TableParagraph"/>
              <w:spacing w:line="274" w:lineRule="exact"/>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3.8.4.1</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z w:val="24"/>
                <w:u w:val="thick" w:color="000000"/>
              </w:rPr>
              <w:t>csoporton belüli partnerektől</w:t>
            </w:r>
          </w:p>
          <w:p w:rsidR="00907416" w:rsidRPr="0011472E" w:rsidRDefault="00907416" w:rsidP="007A4772">
            <w:pPr>
              <w:pStyle w:val="TableParagraph"/>
              <w:spacing w:before="9"/>
              <w:rPr>
                <w:rFonts w:ascii="Times New Roman" w:eastAsia="Times New Roman" w:hAnsi="Times New Roman" w:cs="Times New Roman"/>
                <w:sz w:val="23"/>
                <w:szCs w:val="23"/>
              </w:rPr>
            </w:pPr>
          </w:p>
          <w:p w:rsidR="00907416" w:rsidRPr="0011472E" w:rsidRDefault="00907416" w:rsidP="007A4772">
            <w:pPr>
              <w:pStyle w:val="TableParagraph"/>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 xml:space="preserve">A 3.8.4. pontban feltüntetett azon összeg, amelynek esetében a partner az intézmény anyavállalata vagy leányvállalata, vagy ugyanazon anyavállalatnak egy másik leányvállalata vagy a hitelintézettel a 83/349/EGK irányelv 12. cikkének (1) bekezdése értelmében vett kapcsolatban áll, vagy az 575/2013/EU rendelet 113. cikkének (7) bekezdésében említett ugyanazon intézményvédelmi rendszer tagja vagy </w:t>
            </w:r>
            <w:r w:rsidRPr="0011472E">
              <w:rPr>
                <w:rFonts w:ascii="Times New Roman" w:hAnsi="Times New Roman" w:cs="Times New Roman"/>
                <w:spacing w:val="-1"/>
                <w:sz w:val="24"/>
              </w:rPr>
              <w:lastRenderedPageBreak/>
              <w:t>az 575/2013/EU rendelet 10. cikkében említett hálózat vagy szövetkezeti csoport központi intézménye vagy társult tagja.</w:t>
            </w:r>
          </w:p>
        </w:tc>
      </w:tr>
      <w:tr w:rsidR="00907416" w:rsidRPr="00FE002E" w:rsidTr="00FE0FF1">
        <w:trPr>
          <w:trHeight w:val="304"/>
        </w:trPr>
        <w:tc>
          <w:tcPr>
            <w:tcW w:w="1418" w:type="dxa"/>
          </w:tcPr>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spacing w:before="149"/>
              <w:ind w:left="102"/>
              <w:rPr>
                <w:rFonts w:ascii="Times New Roman" w:eastAsia="Times New Roman" w:hAnsi="Times New Roman" w:cs="Times New Roman"/>
                <w:sz w:val="24"/>
                <w:szCs w:val="24"/>
              </w:rPr>
            </w:pPr>
            <w:r>
              <w:rPr>
                <w:rFonts w:ascii="Times New Roman"/>
                <w:sz w:val="24"/>
              </w:rPr>
              <w:t>1060</w:t>
            </w:r>
          </w:p>
        </w:tc>
        <w:tc>
          <w:tcPr>
            <w:tcW w:w="7590" w:type="dxa"/>
          </w:tcPr>
          <w:p w:rsidR="00907416" w:rsidRPr="0011472E" w:rsidRDefault="00907416" w:rsidP="007A4772">
            <w:pPr>
              <w:pStyle w:val="TableParagraph"/>
              <w:spacing w:line="274" w:lineRule="exact"/>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3.8.4.2</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z w:val="24"/>
                <w:u w:val="thick" w:color="000000"/>
              </w:rPr>
              <w:t>egyéb partnerektől</w:t>
            </w:r>
          </w:p>
          <w:p w:rsidR="00907416" w:rsidRPr="0011472E" w:rsidRDefault="00907416" w:rsidP="007A4772">
            <w:pPr>
              <w:pStyle w:val="TableParagraph"/>
              <w:spacing w:before="9"/>
              <w:rPr>
                <w:rFonts w:ascii="Times New Roman" w:eastAsia="Times New Roman" w:hAnsi="Times New Roman" w:cs="Times New Roman"/>
                <w:sz w:val="23"/>
                <w:szCs w:val="23"/>
              </w:rPr>
            </w:pPr>
          </w:p>
          <w:p w:rsidR="00907416" w:rsidRPr="0011472E" w:rsidRDefault="00907416" w:rsidP="007A4772">
            <w:pPr>
              <w:pStyle w:val="TableParagraph"/>
              <w:ind w:left="102"/>
              <w:rPr>
                <w:rFonts w:ascii="Times New Roman" w:eastAsia="Times New Roman" w:hAnsi="Times New Roman" w:cs="Times New Roman"/>
                <w:sz w:val="24"/>
                <w:szCs w:val="24"/>
              </w:rPr>
            </w:pPr>
            <w:r w:rsidRPr="0011472E">
              <w:rPr>
                <w:rFonts w:ascii="Times New Roman" w:hAnsi="Times New Roman" w:cs="Times New Roman"/>
                <w:spacing w:val="-1"/>
                <w:sz w:val="24"/>
              </w:rPr>
              <w:t>A 3.8.4. pontban feltüntetett azon összeg, amely a 3.8.4.1. pontban nem szerepel.</w:t>
            </w:r>
          </w:p>
        </w:tc>
      </w:tr>
      <w:tr w:rsidR="00907416" w:rsidRPr="00FE002E" w:rsidTr="00FE0FF1">
        <w:trPr>
          <w:trHeight w:val="304"/>
        </w:trPr>
        <w:tc>
          <w:tcPr>
            <w:tcW w:w="1418" w:type="dxa"/>
          </w:tcPr>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spacing w:before="8"/>
              <w:rPr>
                <w:rFonts w:ascii="Times New Roman" w:eastAsia="Times New Roman" w:hAnsi="Times New Roman" w:cs="Times New Roman"/>
                <w:sz w:val="35"/>
                <w:szCs w:val="35"/>
              </w:rPr>
            </w:pPr>
          </w:p>
          <w:p w:rsidR="00907416" w:rsidRDefault="00907416" w:rsidP="007A4772">
            <w:pPr>
              <w:pStyle w:val="TableParagraph"/>
              <w:ind w:left="102"/>
              <w:rPr>
                <w:rFonts w:ascii="Times New Roman" w:eastAsia="Times New Roman" w:hAnsi="Times New Roman" w:cs="Times New Roman"/>
                <w:sz w:val="24"/>
                <w:szCs w:val="24"/>
              </w:rPr>
            </w:pPr>
            <w:r>
              <w:rPr>
                <w:rFonts w:ascii="Times New Roman"/>
                <w:sz w:val="24"/>
              </w:rPr>
              <w:t>1070</w:t>
            </w:r>
          </w:p>
        </w:tc>
        <w:tc>
          <w:tcPr>
            <w:tcW w:w="7590" w:type="dxa"/>
          </w:tcPr>
          <w:p w:rsidR="00907416" w:rsidRPr="0011472E" w:rsidRDefault="00907416" w:rsidP="007A4772">
            <w:pPr>
              <w:pStyle w:val="TableParagraph"/>
              <w:spacing w:line="275" w:lineRule="exact"/>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3.9</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A kiegyensúlyozó kapacitás nettó változása</w:t>
            </w:r>
          </w:p>
          <w:p w:rsidR="00907416" w:rsidRPr="0011472E" w:rsidRDefault="00907416" w:rsidP="007A4772">
            <w:pPr>
              <w:pStyle w:val="TableParagraph"/>
              <w:spacing w:before="9"/>
              <w:rPr>
                <w:rFonts w:ascii="Times New Roman" w:eastAsia="Times New Roman" w:hAnsi="Times New Roman" w:cs="Times New Roman"/>
                <w:sz w:val="23"/>
                <w:szCs w:val="23"/>
              </w:rPr>
            </w:pPr>
          </w:p>
          <w:p w:rsidR="00907416" w:rsidRPr="0011472E" w:rsidRDefault="00907416" w:rsidP="007A4772">
            <w:pPr>
              <w:pStyle w:val="TableParagraph"/>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Ezen a soron a 3.2., 3.3., 3.4. pontban és a 3.5., 3.6. 3.7. pontban, valamint a 3.8. pontban foglalt tételekkel, azaz az adott lejárati sávban a központi bankkal, értékpapír-áramlásokkal és folyósítási kötelezettséget tartalmazó hitelkeretekkel szembeni kitettségek nettó változását kell feltüntetni.</w:t>
            </w:r>
          </w:p>
        </w:tc>
      </w:tr>
      <w:tr w:rsidR="00907416" w:rsidRPr="00FE002E" w:rsidTr="00FE0FF1">
        <w:trPr>
          <w:trHeight w:val="304"/>
        </w:trPr>
        <w:tc>
          <w:tcPr>
            <w:tcW w:w="1418" w:type="dxa"/>
          </w:tcPr>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spacing w:before="148"/>
              <w:ind w:left="102"/>
              <w:rPr>
                <w:rFonts w:ascii="Times New Roman" w:eastAsia="Times New Roman" w:hAnsi="Times New Roman" w:cs="Times New Roman"/>
                <w:sz w:val="24"/>
                <w:szCs w:val="24"/>
              </w:rPr>
            </w:pPr>
            <w:r>
              <w:rPr>
                <w:rFonts w:ascii="Times New Roman"/>
                <w:sz w:val="24"/>
              </w:rPr>
              <w:t>1080</w:t>
            </w:r>
          </w:p>
        </w:tc>
        <w:tc>
          <w:tcPr>
            <w:tcW w:w="7590" w:type="dxa"/>
          </w:tcPr>
          <w:p w:rsidR="00907416" w:rsidRPr="0011472E" w:rsidRDefault="00907416" w:rsidP="007A4772">
            <w:pPr>
              <w:pStyle w:val="TableParagraph"/>
              <w:spacing w:line="274" w:lineRule="exact"/>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3.10</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Halmozott kiegyensúlyozó kapacitás</w:t>
            </w:r>
          </w:p>
          <w:p w:rsidR="00907416" w:rsidRPr="0011472E" w:rsidRDefault="00907416" w:rsidP="007A4772">
            <w:pPr>
              <w:pStyle w:val="TableParagraph"/>
              <w:spacing w:before="9"/>
              <w:rPr>
                <w:rFonts w:ascii="Times New Roman" w:eastAsia="Times New Roman" w:hAnsi="Times New Roman" w:cs="Times New Roman"/>
                <w:sz w:val="23"/>
                <w:szCs w:val="23"/>
              </w:rPr>
            </w:pPr>
          </w:p>
          <w:p w:rsidR="00907416" w:rsidRPr="0011472E" w:rsidRDefault="00907416" w:rsidP="007A4772">
            <w:pPr>
              <w:pStyle w:val="TableParagraph"/>
              <w:ind w:left="102" w:right="100"/>
              <w:rPr>
                <w:rFonts w:ascii="Times New Roman" w:eastAsia="Times New Roman" w:hAnsi="Times New Roman" w:cs="Times New Roman"/>
                <w:sz w:val="24"/>
                <w:szCs w:val="24"/>
              </w:rPr>
            </w:pPr>
            <w:r w:rsidRPr="0011472E">
              <w:rPr>
                <w:rFonts w:ascii="Times New Roman" w:hAnsi="Times New Roman" w:cs="Times New Roman"/>
                <w:spacing w:val="-1"/>
                <w:sz w:val="24"/>
              </w:rPr>
              <w:t>Halmozott kiegyensúlyozó kapacitás az adatszolgáltatás időpontjától a vonatkozó lejárati sáv végéig.</w:t>
            </w:r>
          </w:p>
        </w:tc>
      </w:tr>
      <w:tr w:rsidR="00907416" w:rsidRPr="00FE002E" w:rsidTr="00C54FC2">
        <w:trPr>
          <w:trHeight w:val="304"/>
        </w:trPr>
        <w:tc>
          <w:tcPr>
            <w:tcW w:w="1418" w:type="dxa"/>
            <w:shd w:val="clear" w:color="auto" w:fill="E5E5E6" w:themeFill="accent2" w:themeFillTint="33"/>
          </w:tcPr>
          <w:p w:rsidR="00907416" w:rsidRDefault="00907416" w:rsidP="007A4772">
            <w:pPr>
              <w:pStyle w:val="TableParagraph"/>
              <w:spacing w:before="11"/>
              <w:rPr>
                <w:rFonts w:ascii="Times New Roman" w:eastAsia="Times New Roman" w:hAnsi="Times New Roman" w:cs="Times New Roman"/>
                <w:sz w:val="24"/>
                <w:szCs w:val="24"/>
              </w:rPr>
            </w:pPr>
          </w:p>
          <w:p w:rsidR="00907416" w:rsidRDefault="00907416" w:rsidP="001A3E77">
            <w:pPr>
              <w:pStyle w:val="TableParagraph"/>
              <w:ind w:left="102"/>
              <w:rPr>
                <w:rFonts w:ascii="Times New Roman" w:eastAsia="Times New Roman" w:hAnsi="Times New Roman" w:cs="Times New Roman"/>
                <w:sz w:val="24"/>
                <w:szCs w:val="24"/>
              </w:rPr>
            </w:pPr>
            <w:r>
              <w:rPr>
                <w:rFonts w:ascii="Times New Roman"/>
                <w:sz w:val="24"/>
              </w:rPr>
              <w:t>1090-1140</w:t>
            </w:r>
          </w:p>
        </w:tc>
        <w:tc>
          <w:tcPr>
            <w:tcW w:w="7590" w:type="dxa"/>
            <w:shd w:val="clear" w:color="auto" w:fill="E5E5E6" w:themeFill="accent2" w:themeFillTint="33"/>
          </w:tcPr>
          <w:p w:rsidR="00C54FC2" w:rsidRPr="0011472E" w:rsidRDefault="00C54FC2" w:rsidP="007A4772">
            <w:pPr>
              <w:pStyle w:val="TableParagraph"/>
              <w:spacing w:line="274" w:lineRule="exact"/>
              <w:ind w:left="102"/>
              <w:rPr>
                <w:rFonts w:ascii="Times New Roman" w:hAnsi="Times New Roman" w:cs="Times New Roman"/>
                <w:b/>
                <w:sz w:val="24"/>
              </w:rPr>
            </w:pPr>
          </w:p>
          <w:p w:rsidR="00907416" w:rsidRPr="0011472E" w:rsidRDefault="00907416" w:rsidP="007A4772">
            <w:pPr>
              <w:pStyle w:val="TableParagraph"/>
              <w:spacing w:line="274" w:lineRule="exact"/>
              <w:ind w:left="102"/>
              <w:rPr>
                <w:rFonts w:ascii="Times New Roman" w:eastAsia="Times New Roman" w:hAnsi="Times New Roman" w:cs="Times New Roman"/>
                <w:sz w:val="24"/>
                <w:szCs w:val="24"/>
              </w:rPr>
            </w:pPr>
            <w:r w:rsidRPr="0011472E">
              <w:rPr>
                <w:rFonts w:ascii="Times New Roman" w:hAnsi="Times New Roman" w:cs="Times New Roman"/>
                <w:b/>
                <w:sz w:val="24"/>
              </w:rPr>
              <w:t>4</w:t>
            </w:r>
            <w:r w:rsidR="000A4638">
              <w:rPr>
                <w:rFonts w:ascii="Times New Roman" w:hAnsi="Times New Roman" w:cs="Times New Roman"/>
                <w:b/>
                <w:sz w:val="24"/>
              </w:rPr>
              <w:t>.</w:t>
            </w:r>
            <w:r w:rsidRPr="0011472E">
              <w:rPr>
                <w:rFonts w:ascii="Times New Roman" w:hAnsi="Times New Roman" w:cs="Times New Roman"/>
              </w:rPr>
              <w:tab/>
            </w:r>
            <w:r w:rsidRPr="0011472E">
              <w:rPr>
                <w:rFonts w:ascii="Times New Roman" w:hAnsi="Times New Roman" w:cs="Times New Roman"/>
                <w:b/>
                <w:spacing w:val="-1"/>
                <w:sz w:val="24"/>
              </w:rPr>
              <w:t>FÜGGŐ TÉTELEK</w:t>
            </w:r>
          </w:p>
          <w:p w:rsidR="00907416" w:rsidRPr="0011472E" w:rsidRDefault="00907416" w:rsidP="007A4772">
            <w:pPr>
              <w:pStyle w:val="TableParagraph"/>
              <w:spacing w:before="9"/>
              <w:rPr>
                <w:rFonts w:ascii="Times New Roman" w:eastAsia="Times New Roman" w:hAnsi="Times New Roman" w:cs="Times New Roman"/>
                <w:sz w:val="23"/>
                <w:szCs w:val="23"/>
              </w:rPr>
            </w:pPr>
          </w:p>
          <w:p w:rsidR="00907416" w:rsidRPr="0011472E" w:rsidRDefault="00907416" w:rsidP="007A4772">
            <w:pPr>
              <w:pStyle w:val="TableParagraph"/>
              <w:ind w:left="102" w:right="101"/>
              <w:rPr>
                <w:rFonts w:ascii="Times New Roman" w:eastAsia="Times New Roman" w:hAnsi="Times New Roman" w:cs="Times New Roman"/>
                <w:spacing w:val="-1"/>
                <w:sz w:val="24"/>
                <w:szCs w:val="24"/>
              </w:rPr>
            </w:pPr>
            <w:r w:rsidRPr="0011472E">
              <w:rPr>
                <w:rFonts w:ascii="Times New Roman" w:hAnsi="Times New Roman" w:cs="Times New Roman"/>
                <w:spacing w:val="-1"/>
                <w:sz w:val="24"/>
              </w:rPr>
              <w:t>A lejárati tábla „Függő tételek” szakasza a függő kiáramlásokra vonatkozó információkat tartalmazza.</w:t>
            </w:r>
          </w:p>
          <w:p w:rsidR="00C54FC2" w:rsidRPr="0011472E" w:rsidRDefault="00C54FC2" w:rsidP="007A4772">
            <w:pPr>
              <w:pStyle w:val="TableParagraph"/>
              <w:ind w:left="102" w:right="101"/>
              <w:rPr>
                <w:rFonts w:ascii="Times New Roman" w:eastAsia="Times New Roman" w:hAnsi="Times New Roman" w:cs="Times New Roman"/>
                <w:sz w:val="24"/>
                <w:szCs w:val="24"/>
              </w:rPr>
            </w:pPr>
          </w:p>
        </w:tc>
      </w:tr>
      <w:tr w:rsidR="00907416" w:rsidRPr="00FE002E" w:rsidTr="00FE0FF1">
        <w:trPr>
          <w:trHeight w:val="304"/>
        </w:trPr>
        <w:tc>
          <w:tcPr>
            <w:tcW w:w="1418" w:type="dxa"/>
          </w:tcPr>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spacing w:before="8"/>
              <w:rPr>
                <w:rFonts w:ascii="Times New Roman" w:eastAsia="Times New Roman" w:hAnsi="Times New Roman" w:cs="Times New Roman"/>
                <w:sz w:val="35"/>
                <w:szCs w:val="35"/>
              </w:rPr>
            </w:pPr>
          </w:p>
          <w:p w:rsidR="00907416" w:rsidRDefault="00907416" w:rsidP="007A4772">
            <w:pPr>
              <w:pStyle w:val="TableParagraph"/>
              <w:ind w:left="102"/>
              <w:rPr>
                <w:rFonts w:ascii="Times New Roman" w:eastAsia="Times New Roman" w:hAnsi="Times New Roman" w:cs="Times New Roman"/>
                <w:sz w:val="24"/>
                <w:szCs w:val="24"/>
              </w:rPr>
            </w:pPr>
            <w:r>
              <w:rPr>
                <w:rFonts w:ascii="Times New Roman"/>
                <w:sz w:val="24"/>
              </w:rPr>
              <w:t>1090</w:t>
            </w:r>
          </w:p>
        </w:tc>
        <w:tc>
          <w:tcPr>
            <w:tcW w:w="7590" w:type="dxa"/>
          </w:tcPr>
          <w:p w:rsidR="00907416" w:rsidRPr="0011472E" w:rsidRDefault="00907416" w:rsidP="007A4772">
            <w:pPr>
              <w:pStyle w:val="TableParagraph"/>
              <w:spacing w:line="275" w:lineRule="exact"/>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4.1</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Folyósítási kötelezettséget tartalmazó keretekből származó kiáramlások</w:t>
            </w:r>
          </w:p>
          <w:p w:rsidR="00907416" w:rsidRPr="0011472E" w:rsidRDefault="00907416" w:rsidP="007A4772">
            <w:pPr>
              <w:pStyle w:val="TableParagraph"/>
              <w:spacing w:before="9"/>
              <w:rPr>
                <w:rFonts w:ascii="Times New Roman" w:eastAsia="Times New Roman" w:hAnsi="Times New Roman" w:cs="Times New Roman"/>
                <w:sz w:val="23"/>
                <w:szCs w:val="23"/>
              </w:rPr>
            </w:pPr>
          </w:p>
          <w:p w:rsidR="00907416" w:rsidRPr="0011472E" w:rsidRDefault="00907416" w:rsidP="007A4772">
            <w:pPr>
              <w:pStyle w:val="TableParagraph"/>
              <w:ind w:left="102" w:right="99"/>
              <w:jc w:val="both"/>
              <w:rPr>
                <w:rFonts w:ascii="Times New Roman" w:eastAsia="Times New Roman" w:hAnsi="Times New Roman" w:cs="Times New Roman"/>
                <w:sz w:val="24"/>
                <w:szCs w:val="24"/>
              </w:rPr>
            </w:pPr>
            <w:r w:rsidRPr="0011472E">
              <w:rPr>
                <w:rFonts w:ascii="Times New Roman" w:hAnsi="Times New Roman" w:cs="Times New Roman"/>
                <w:spacing w:val="-1"/>
                <w:sz w:val="24"/>
              </w:rPr>
              <w:t>Folyósítási kötelezettséget tartalmazó keretekből származó pénzeszköz-kiáramlások. Az intézményeknek az egy adott időszakban lehívható maximális összeget kell feltüntetniük kiáramlásként. Rulírozó hitelkeretek esetében csak a meglévő hitelen felüli összeget kell feltüntetni.</w:t>
            </w:r>
          </w:p>
        </w:tc>
      </w:tr>
      <w:tr w:rsidR="00907416" w:rsidRPr="00FE002E" w:rsidTr="00FE0FF1">
        <w:trPr>
          <w:trHeight w:val="304"/>
        </w:trPr>
        <w:tc>
          <w:tcPr>
            <w:tcW w:w="1418" w:type="dxa"/>
          </w:tcPr>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spacing w:before="149"/>
              <w:ind w:left="102"/>
              <w:rPr>
                <w:rFonts w:ascii="Times New Roman" w:eastAsia="Times New Roman" w:hAnsi="Times New Roman" w:cs="Times New Roman"/>
                <w:sz w:val="24"/>
                <w:szCs w:val="24"/>
              </w:rPr>
            </w:pPr>
            <w:r>
              <w:rPr>
                <w:rFonts w:ascii="Times New Roman"/>
                <w:sz w:val="24"/>
              </w:rPr>
              <w:t>1010</w:t>
            </w:r>
          </w:p>
        </w:tc>
        <w:tc>
          <w:tcPr>
            <w:tcW w:w="7590" w:type="dxa"/>
          </w:tcPr>
          <w:p w:rsidR="00907416" w:rsidRPr="0011472E" w:rsidRDefault="00907416" w:rsidP="007A4772">
            <w:pPr>
              <w:pStyle w:val="TableParagraph"/>
              <w:spacing w:line="275" w:lineRule="exact"/>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4.1.1</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Folyósítási kötelezettséget tartalmazó hitelkeretek</w:t>
            </w:r>
          </w:p>
          <w:p w:rsidR="00907416" w:rsidRPr="0011472E" w:rsidRDefault="00907416" w:rsidP="007A4772">
            <w:pPr>
              <w:pStyle w:val="TableParagraph"/>
              <w:spacing w:before="9"/>
              <w:rPr>
                <w:rFonts w:ascii="Times New Roman" w:eastAsia="Times New Roman" w:hAnsi="Times New Roman" w:cs="Times New Roman"/>
                <w:sz w:val="23"/>
                <w:szCs w:val="23"/>
              </w:rPr>
            </w:pPr>
          </w:p>
          <w:p w:rsidR="00907416" w:rsidRPr="0011472E" w:rsidRDefault="00907416" w:rsidP="007A4772">
            <w:pPr>
              <w:pStyle w:val="TableParagraph"/>
              <w:ind w:left="102" w:right="100"/>
              <w:rPr>
                <w:rFonts w:ascii="Times New Roman" w:eastAsia="Times New Roman" w:hAnsi="Times New Roman" w:cs="Times New Roman"/>
                <w:sz w:val="24"/>
                <w:szCs w:val="24"/>
              </w:rPr>
            </w:pPr>
            <w:r w:rsidRPr="0011472E">
              <w:rPr>
                <w:rFonts w:ascii="Times New Roman" w:hAnsi="Times New Roman" w:cs="Times New Roman"/>
                <w:spacing w:val="-1"/>
                <w:sz w:val="24"/>
              </w:rPr>
              <w:t>A 4.1. pontban feltüntetett azon összeg, amely az (EU) 2015/61 rendelet 31. cikke szerinti folyósítási kötelezettséget tartalmazó hitelkeretből származik.</w:t>
            </w:r>
          </w:p>
        </w:tc>
      </w:tr>
      <w:tr w:rsidR="00907416" w:rsidRPr="00FE002E" w:rsidTr="00FE0FF1">
        <w:trPr>
          <w:trHeight w:val="304"/>
        </w:trPr>
        <w:tc>
          <w:tcPr>
            <w:tcW w:w="1418" w:type="dxa"/>
          </w:tcPr>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spacing w:before="149"/>
              <w:ind w:left="102"/>
              <w:rPr>
                <w:rFonts w:ascii="Times New Roman" w:eastAsia="Times New Roman" w:hAnsi="Times New Roman" w:cs="Times New Roman"/>
                <w:sz w:val="24"/>
                <w:szCs w:val="24"/>
              </w:rPr>
            </w:pPr>
            <w:r>
              <w:rPr>
                <w:rFonts w:ascii="Times New Roman"/>
                <w:sz w:val="24"/>
              </w:rPr>
              <w:t>1110</w:t>
            </w:r>
          </w:p>
        </w:tc>
        <w:tc>
          <w:tcPr>
            <w:tcW w:w="7590" w:type="dxa"/>
          </w:tcPr>
          <w:p w:rsidR="00907416" w:rsidRPr="0011472E" w:rsidRDefault="00907416" w:rsidP="007A4772">
            <w:pPr>
              <w:pStyle w:val="TableParagraph"/>
              <w:spacing w:line="274" w:lineRule="exact"/>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4.1.1.1</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a kedvezményezett által 2B. szintűnek tekintett</w:t>
            </w:r>
          </w:p>
          <w:p w:rsidR="00907416" w:rsidRPr="0011472E" w:rsidRDefault="00907416" w:rsidP="007A4772">
            <w:pPr>
              <w:pStyle w:val="TableParagraph"/>
              <w:spacing w:before="9"/>
              <w:rPr>
                <w:rFonts w:ascii="Times New Roman" w:eastAsia="Times New Roman" w:hAnsi="Times New Roman" w:cs="Times New Roman"/>
                <w:sz w:val="23"/>
                <w:szCs w:val="23"/>
              </w:rPr>
            </w:pPr>
          </w:p>
          <w:p w:rsidR="00907416" w:rsidRPr="0011472E" w:rsidRDefault="00907416" w:rsidP="007A4772">
            <w:pPr>
              <w:pStyle w:val="TableParagraph"/>
              <w:ind w:left="102" w:right="101"/>
              <w:rPr>
                <w:rFonts w:ascii="Times New Roman" w:eastAsia="Times New Roman" w:hAnsi="Times New Roman" w:cs="Times New Roman"/>
                <w:sz w:val="24"/>
                <w:szCs w:val="24"/>
              </w:rPr>
            </w:pPr>
            <w:r w:rsidRPr="0011472E">
              <w:rPr>
                <w:rFonts w:ascii="Times New Roman" w:hAnsi="Times New Roman" w:cs="Times New Roman"/>
                <w:spacing w:val="-1"/>
                <w:sz w:val="24"/>
              </w:rPr>
              <w:t>A 4.1.1. pontban feltüntetett azon összeg, amelyet az (EU) 2015/61 rendelet 16. cikkének (2) bekezdése szerinti likviditásfinanszírozási forrásnak tekintenek.</w:t>
            </w:r>
          </w:p>
        </w:tc>
      </w:tr>
      <w:tr w:rsidR="00907416" w:rsidRPr="00FE002E" w:rsidTr="00FE0FF1">
        <w:trPr>
          <w:trHeight w:val="304"/>
        </w:trPr>
        <w:tc>
          <w:tcPr>
            <w:tcW w:w="1418" w:type="dxa"/>
          </w:tcPr>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spacing w:before="149"/>
              <w:ind w:left="102"/>
              <w:rPr>
                <w:rFonts w:ascii="Times New Roman" w:eastAsia="Times New Roman" w:hAnsi="Times New Roman" w:cs="Times New Roman"/>
                <w:sz w:val="24"/>
                <w:szCs w:val="24"/>
              </w:rPr>
            </w:pPr>
            <w:r>
              <w:rPr>
                <w:rFonts w:ascii="Times New Roman"/>
                <w:sz w:val="24"/>
              </w:rPr>
              <w:t>1120</w:t>
            </w:r>
          </w:p>
        </w:tc>
        <w:tc>
          <w:tcPr>
            <w:tcW w:w="7590" w:type="dxa"/>
          </w:tcPr>
          <w:p w:rsidR="00907416" w:rsidRPr="0011472E" w:rsidRDefault="00907416" w:rsidP="007A4772">
            <w:pPr>
              <w:pStyle w:val="TableParagraph"/>
              <w:spacing w:line="274" w:lineRule="exact"/>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4.1.1.2</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egyéb</w:t>
            </w:r>
          </w:p>
          <w:p w:rsidR="00907416" w:rsidRPr="0011472E" w:rsidRDefault="00907416" w:rsidP="007A4772">
            <w:pPr>
              <w:pStyle w:val="TableParagraph"/>
              <w:spacing w:before="9"/>
              <w:rPr>
                <w:rFonts w:ascii="Times New Roman" w:eastAsia="Times New Roman" w:hAnsi="Times New Roman" w:cs="Times New Roman"/>
                <w:sz w:val="23"/>
                <w:szCs w:val="23"/>
              </w:rPr>
            </w:pPr>
          </w:p>
          <w:p w:rsidR="00907416" w:rsidRPr="0011472E" w:rsidRDefault="00907416" w:rsidP="007A4772">
            <w:pPr>
              <w:pStyle w:val="TableParagraph"/>
              <w:ind w:left="102" w:right="99"/>
              <w:rPr>
                <w:rFonts w:ascii="Times New Roman" w:eastAsia="Times New Roman" w:hAnsi="Times New Roman" w:cs="Times New Roman"/>
                <w:sz w:val="24"/>
                <w:szCs w:val="24"/>
              </w:rPr>
            </w:pPr>
            <w:r w:rsidRPr="0011472E">
              <w:rPr>
                <w:rFonts w:ascii="Times New Roman" w:hAnsi="Times New Roman" w:cs="Times New Roman"/>
                <w:spacing w:val="-1"/>
                <w:sz w:val="24"/>
              </w:rPr>
              <w:t>A 4.1.1. pontban feltüntetett azon összeg, amelyet a 4.1.1.1. pontban nem tüntettek fel.</w:t>
            </w:r>
          </w:p>
        </w:tc>
      </w:tr>
      <w:tr w:rsidR="00907416" w:rsidRPr="00FE002E" w:rsidTr="00FE0FF1">
        <w:trPr>
          <w:trHeight w:val="304"/>
        </w:trPr>
        <w:tc>
          <w:tcPr>
            <w:tcW w:w="1418" w:type="dxa"/>
          </w:tcPr>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spacing w:before="149"/>
              <w:ind w:left="102"/>
              <w:rPr>
                <w:rFonts w:ascii="Times New Roman" w:eastAsia="Times New Roman" w:hAnsi="Times New Roman" w:cs="Times New Roman"/>
                <w:sz w:val="24"/>
                <w:szCs w:val="24"/>
              </w:rPr>
            </w:pPr>
            <w:r>
              <w:rPr>
                <w:rFonts w:ascii="Times New Roman"/>
                <w:sz w:val="24"/>
              </w:rPr>
              <w:t>1130</w:t>
            </w:r>
          </w:p>
        </w:tc>
        <w:tc>
          <w:tcPr>
            <w:tcW w:w="7590" w:type="dxa"/>
          </w:tcPr>
          <w:p w:rsidR="00907416" w:rsidRPr="0011472E" w:rsidRDefault="00907416" w:rsidP="007A4772">
            <w:pPr>
              <w:pStyle w:val="TableParagraph"/>
              <w:spacing w:line="275" w:lineRule="exact"/>
              <w:ind w:left="102"/>
              <w:rPr>
                <w:rFonts w:ascii="Times New Roman" w:eastAsia="Times New Roman" w:hAnsi="Times New Roman" w:cs="Times New Roman"/>
                <w:sz w:val="24"/>
                <w:szCs w:val="24"/>
              </w:rPr>
            </w:pPr>
            <w:r w:rsidRPr="0011472E">
              <w:rPr>
                <w:rFonts w:ascii="Times New Roman" w:hAnsi="Times New Roman" w:cs="Times New Roman"/>
                <w:b/>
                <w:sz w:val="24"/>
                <w:u w:val="thick" w:color="000000"/>
              </w:rPr>
              <w:t>4.1.2</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Likviditási keretek</w:t>
            </w:r>
          </w:p>
          <w:p w:rsidR="00907416" w:rsidRPr="0011472E" w:rsidRDefault="00907416" w:rsidP="007A4772">
            <w:pPr>
              <w:pStyle w:val="TableParagraph"/>
              <w:spacing w:before="9"/>
              <w:rPr>
                <w:rFonts w:ascii="Times New Roman" w:eastAsia="Times New Roman" w:hAnsi="Times New Roman" w:cs="Times New Roman"/>
                <w:sz w:val="23"/>
                <w:szCs w:val="23"/>
              </w:rPr>
            </w:pPr>
          </w:p>
          <w:p w:rsidR="00907416" w:rsidRPr="0011472E" w:rsidRDefault="00907416" w:rsidP="007A4772">
            <w:pPr>
              <w:pStyle w:val="TableParagraph"/>
              <w:ind w:left="102" w:right="99"/>
              <w:rPr>
                <w:rFonts w:ascii="Times New Roman" w:eastAsia="Times New Roman" w:hAnsi="Times New Roman" w:cs="Times New Roman"/>
                <w:sz w:val="24"/>
                <w:szCs w:val="24"/>
              </w:rPr>
            </w:pPr>
            <w:r w:rsidRPr="0011472E">
              <w:rPr>
                <w:rFonts w:ascii="Times New Roman" w:hAnsi="Times New Roman" w:cs="Times New Roman"/>
                <w:spacing w:val="-1"/>
                <w:sz w:val="24"/>
              </w:rPr>
              <w:t>A 4.1. pontban feltüntetett azon összeg, amely az (EU) 2015/61 rendelet 31. cikke szerinti likviditási keretből származik.</w:t>
            </w:r>
          </w:p>
        </w:tc>
      </w:tr>
      <w:tr w:rsidR="00907416" w:rsidRPr="00FE002E" w:rsidTr="00FE0FF1">
        <w:trPr>
          <w:trHeight w:val="304"/>
        </w:trPr>
        <w:tc>
          <w:tcPr>
            <w:tcW w:w="1418" w:type="dxa"/>
          </w:tcPr>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spacing w:before="149"/>
              <w:ind w:left="102"/>
              <w:rPr>
                <w:rFonts w:ascii="Times New Roman" w:eastAsia="Times New Roman" w:hAnsi="Times New Roman" w:cs="Times New Roman"/>
                <w:sz w:val="24"/>
                <w:szCs w:val="24"/>
              </w:rPr>
            </w:pPr>
            <w:r>
              <w:rPr>
                <w:rFonts w:ascii="Times New Roman"/>
                <w:sz w:val="24"/>
              </w:rPr>
              <w:t>1140</w:t>
            </w:r>
          </w:p>
        </w:tc>
        <w:tc>
          <w:tcPr>
            <w:tcW w:w="7590" w:type="dxa"/>
          </w:tcPr>
          <w:p w:rsidR="00907416" w:rsidRPr="0011472E" w:rsidRDefault="00907416" w:rsidP="007A4772">
            <w:pPr>
              <w:pStyle w:val="TableParagraph"/>
              <w:spacing w:line="274" w:lineRule="exact"/>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4.2</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Leminősítés miatti kiáramlások</w:t>
            </w:r>
          </w:p>
          <w:p w:rsidR="00907416" w:rsidRPr="0011472E" w:rsidRDefault="00907416" w:rsidP="007A4772">
            <w:pPr>
              <w:pStyle w:val="TableParagraph"/>
              <w:spacing w:before="9"/>
              <w:rPr>
                <w:rFonts w:ascii="Times New Roman" w:eastAsia="Times New Roman" w:hAnsi="Times New Roman" w:cs="Times New Roman"/>
                <w:sz w:val="23"/>
                <w:szCs w:val="23"/>
              </w:rPr>
            </w:pPr>
          </w:p>
          <w:p w:rsidR="00907416" w:rsidRPr="0011472E" w:rsidRDefault="00907416" w:rsidP="007A4772">
            <w:pPr>
              <w:pStyle w:val="TableParagraph"/>
              <w:ind w:left="102" w:right="100"/>
              <w:jc w:val="both"/>
              <w:rPr>
                <w:rFonts w:ascii="Times New Roman" w:hAnsi="Times New Roman" w:cs="Times New Roman"/>
                <w:spacing w:val="-1"/>
                <w:sz w:val="24"/>
              </w:rPr>
            </w:pPr>
            <w:r w:rsidRPr="0011472E">
              <w:rPr>
                <w:rFonts w:ascii="Times New Roman" w:hAnsi="Times New Roman" w:cs="Times New Roman"/>
                <w:spacing w:val="-1"/>
                <w:sz w:val="24"/>
              </w:rPr>
              <w:t>Ezen a soron az intézmények az intézmény hitelminőségének jelentős, külső hitelminősítésének legalább három fokozattal történő csökkentésének megfelelő romlásából származó hatást tüntetik fel.</w:t>
            </w:r>
          </w:p>
          <w:p w:rsidR="00907416" w:rsidRPr="0011472E" w:rsidRDefault="00907416" w:rsidP="007A4772">
            <w:pPr>
              <w:pStyle w:val="TableParagraph"/>
              <w:ind w:left="102" w:right="100"/>
              <w:jc w:val="both"/>
              <w:rPr>
                <w:rFonts w:ascii="Times New Roman" w:hAnsi="Times New Roman" w:cs="Times New Roman"/>
                <w:spacing w:val="-1"/>
                <w:sz w:val="24"/>
              </w:rPr>
            </w:pPr>
            <w:r w:rsidRPr="0011472E">
              <w:rPr>
                <w:rFonts w:ascii="Times New Roman" w:hAnsi="Times New Roman" w:cs="Times New Roman"/>
                <w:spacing w:val="-1"/>
                <w:sz w:val="24"/>
              </w:rPr>
              <w:t>A pozitív értékek függő kiáramlásokat jelentenek, a negatív értékek pedig az eredeti kötelezettség csökkenését jelentik.</w:t>
            </w:r>
          </w:p>
          <w:p w:rsidR="00907416" w:rsidRPr="0011472E" w:rsidRDefault="00907416" w:rsidP="007A4772">
            <w:pPr>
              <w:pStyle w:val="TableParagraph"/>
              <w:ind w:left="102" w:right="100"/>
              <w:jc w:val="both"/>
              <w:rPr>
                <w:rFonts w:ascii="Times New Roman" w:hAnsi="Times New Roman" w:cs="Times New Roman"/>
                <w:spacing w:val="-1"/>
                <w:sz w:val="24"/>
              </w:rPr>
            </w:pPr>
          </w:p>
          <w:p w:rsidR="00907416" w:rsidRPr="0011472E" w:rsidRDefault="00907416" w:rsidP="007A4772">
            <w:pPr>
              <w:pStyle w:val="TableParagraph"/>
              <w:ind w:left="102" w:right="100"/>
              <w:jc w:val="both"/>
              <w:rPr>
                <w:rFonts w:ascii="Times New Roman" w:hAnsi="Times New Roman" w:cs="Times New Roman"/>
                <w:spacing w:val="-1"/>
                <w:sz w:val="24"/>
              </w:rPr>
            </w:pPr>
            <w:r w:rsidRPr="0011472E">
              <w:rPr>
                <w:rFonts w:ascii="Times New Roman" w:hAnsi="Times New Roman" w:cs="Times New Roman"/>
                <w:spacing w:val="-1"/>
                <w:sz w:val="24"/>
              </w:rPr>
              <w:t>Ha a leminősítés hatása a meglévő kötelezettségek lejárat előtti visszaváltása, az érintett kötelezettségeket negatív előjellel kell feltüntetni abban az idősávban, amelyben az 1. pontban jelentik azokat, valamint egyidejűleg pozitív előjellel abban az idősávban, amelyben a kötelezettség esedékes lesz, amennyiben a leminősítés hatása az adatszolgáltatás időpontjában alkalmazandóvá válik.</w:t>
            </w:r>
          </w:p>
          <w:p w:rsidR="00907416" w:rsidRPr="0011472E" w:rsidRDefault="00907416" w:rsidP="007A4772">
            <w:pPr>
              <w:pStyle w:val="TableParagraph"/>
              <w:ind w:left="102" w:right="100"/>
              <w:jc w:val="both"/>
              <w:rPr>
                <w:rFonts w:ascii="Times New Roman" w:hAnsi="Times New Roman" w:cs="Times New Roman"/>
                <w:spacing w:val="-1"/>
                <w:sz w:val="24"/>
              </w:rPr>
            </w:pPr>
          </w:p>
          <w:p w:rsidR="00907416" w:rsidRPr="0011472E" w:rsidRDefault="00907416" w:rsidP="007A4772">
            <w:pPr>
              <w:pStyle w:val="TableParagraph"/>
              <w:ind w:left="102" w:right="100"/>
              <w:jc w:val="both"/>
              <w:rPr>
                <w:rFonts w:ascii="Times New Roman" w:hAnsi="Times New Roman" w:cs="Times New Roman"/>
                <w:spacing w:val="-1"/>
                <w:sz w:val="24"/>
              </w:rPr>
            </w:pPr>
            <w:r w:rsidRPr="0011472E">
              <w:rPr>
                <w:rFonts w:ascii="Times New Roman" w:hAnsi="Times New Roman" w:cs="Times New Roman"/>
                <w:spacing w:val="-1"/>
                <w:sz w:val="24"/>
              </w:rPr>
              <w:t>Ha a leminősítés hatása letéti felhívás, az elhelyezendő fedezet piaci értékét pozitív előjellel kell feltüntetni abban az idősávban, amelyikben a fedezetet el kell helyezni, amennyiben a leminősítés hatása az adatszolgáltatás időpontjában alkalmazandóvá válik.</w:t>
            </w:r>
          </w:p>
          <w:p w:rsidR="00907416" w:rsidRPr="0011472E" w:rsidRDefault="00907416" w:rsidP="007A4772">
            <w:pPr>
              <w:pStyle w:val="TableParagraph"/>
              <w:ind w:left="102" w:right="100"/>
              <w:jc w:val="both"/>
              <w:rPr>
                <w:rFonts w:ascii="Times New Roman" w:hAnsi="Times New Roman" w:cs="Times New Roman"/>
                <w:spacing w:val="-1"/>
                <w:sz w:val="24"/>
              </w:rPr>
            </w:pPr>
          </w:p>
          <w:p w:rsidR="00907416" w:rsidRPr="0011472E" w:rsidRDefault="00907416" w:rsidP="007A4772">
            <w:pPr>
              <w:pStyle w:val="TableParagraph"/>
              <w:ind w:left="102" w:right="100"/>
              <w:jc w:val="both"/>
              <w:rPr>
                <w:rFonts w:ascii="Times New Roman" w:hAnsi="Times New Roman" w:cs="Times New Roman"/>
                <w:spacing w:val="-1"/>
                <w:sz w:val="24"/>
              </w:rPr>
            </w:pPr>
            <w:r w:rsidRPr="0011472E">
              <w:rPr>
                <w:rFonts w:ascii="Times New Roman" w:hAnsi="Times New Roman" w:cs="Times New Roman"/>
                <w:spacing w:val="-1"/>
                <w:sz w:val="24"/>
              </w:rPr>
              <w:t>Ha a leminősítés hatása a partnerektől biztosítékként kapott értékpapírok újra-elzálogosítási jogának változása, az érintett értékpapírok piaci értékét pozitív előjellel kell feltüntetni abban az idősávban, amelyikben az értékpapírok megszűnnek az adatszolgáltató intézmény számára rendelkezésre állni, amennyiben a leminősítés hatása az adatszolgáltatás időpontjában alkalmazandóvá válik.</w:t>
            </w:r>
          </w:p>
          <w:p w:rsidR="00907416" w:rsidRPr="0011472E" w:rsidRDefault="00907416" w:rsidP="007A4772">
            <w:pPr>
              <w:pStyle w:val="TableParagraph"/>
              <w:ind w:left="102" w:right="100"/>
              <w:jc w:val="both"/>
              <w:rPr>
                <w:rFonts w:ascii="Times New Roman" w:eastAsia="Times New Roman" w:hAnsi="Times New Roman" w:cs="Times New Roman"/>
                <w:sz w:val="24"/>
                <w:szCs w:val="24"/>
              </w:rPr>
            </w:pPr>
          </w:p>
        </w:tc>
      </w:tr>
      <w:tr w:rsidR="00907416" w:rsidRPr="00FE002E" w:rsidTr="00C54FC2">
        <w:trPr>
          <w:trHeight w:val="304"/>
        </w:trPr>
        <w:tc>
          <w:tcPr>
            <w:tcW w:w="1418" w:type="dxa"/>
            <w:shd w:val="clear" w:color="auto" w:fill="E5E5E6" w:themeFill="accent2" w:themeFillTint="33"/>
          </w:tcPr>
          <w:p w:rsidR="00907416" w:rsidRDefault="00907416" w:rsidP="007A4772">
            <w:pPr>
              <w:pStyle w:val="TableParagraph"/>
              <w:rPr>
                <w:rFonts w:ascii="Times New Roman" w:eastAsia="Times New Roman" w:hAnsi="Times New Roman" w:cs="Times New Roman"/>
                <w:sz w:val="24"/>
                <w:szCs w:val="24"/>
              </w:rPr>
            </w:pPr>
          </w:p>
          <w:p w:rsidR="00907416" w:rsidRDefault="00907416" w:rsidP="00907416">
            <w:pPr>
              <w:pStyle w:val="TableParagraph"/>
              <w:spacing w:before="149"/>
              <w:ind w:left="102"/>
              <w:rPr>
                <w:rFonts w:ascii="Times New Roman"/>
                <w:sz w:val="24"/>
              </w:rPr>
            </w:pPr>
            <w:r>
              <w:rPr>
                <w:rFonts w:ascii="Times New Roman"/>
                <w:sz w:val="24"/>
              </w:rPr>
              <w:t>1150-1290</w:t>
            </w:r>
          </w:p>
          <w:p w:rsidR="00C54FC2" w:rsidRDefault="00C54FC2" w:rsidP="00907416">
            <w:pPr>
              <w:pStyle w:val="TableParagraph"/>
              <w:spacing w:before="149"/>
              <w:ind w:left="102"/>
              <w:rPr>
                <w:rFonts w:ascii="Times New Roman" w:eastAsia="Times New Roman" w:hAnsi="Times New Roman" w:cs="Times New Roman"/>
                <w:sz w:val="24"/>
                <w:szCs w:val="24"/>
              </w:rPr>
            </w:pPr>
          </w:p>
        </w:tc>
        <w:tc>
          <w:tcPr>
            <w:tcW w:w="7590" w:type="dxa"/>
            <w:shd w:val="clear" w:color="auto" w:fill="E5E5E6" w:themeFill="accent2" w:themeFillTint="33"/>
          </w:tcPr>
          <w:p w:rsidR="00C54FC2" w:rsidRPr="0011472E" w:rsidRDefault="00C54FC2" w:rsidP="007A4772">
            <w:pPr>
              <w:pStyle w:val="TableParagraph"/>
              <w:spacing w:line="274" w:lineRule="exact"/>
              <w:ind w:left="102"/>
              <w:rPr>
                <w:rFonts w:ascii="Times New Roman" w:hAnsi="Times New Roman" w:cs="Times New Roman"/>
                <w:b/>
                <w:spacing w:val="-1"/>
                <w:sz w:val="24"/>
              </w:rPr>
            </w:pPr>
          </w:p>
          <w:p w:rsidR="00907416" w:rsidRPr="0011472E" w:rsidRDefault="00C54FC2" w:rsidP="001A3E77">
            <w:pPr>
              <w:pStyle w:val="TableParagraph"/>
              <w:spacing w:line="274" w:lineRule="exact"/>
              <w:ind w:left="102"/>
              <w:rPr>
                <w:rFonts w:ascii="Times New Roman" w:eastAsia="Times New Roman" w:hAnsi="Times New Roman" w:cs="Times New Roman"/>
                <w:sz w:val="24"/>
                <w:szCs w:val="24"/>
              </w:rPr>
            </w:pPr>
            <w:r w:rsidRPr="0011472E">
              <w:rPr>
                <w:rFonts w:ascii="Times New Roman" w:hAnsi="Times New Roman" w:cs="Times New Roman"/>
                <w:b/>
                <w:spacing w:val="-1"/>
                <w:sz w:val="24"/>
              </w:rPr>
              <w:t>5</w:t>
            </w:r>
            <w:r w:rsidR="000A4638">
              <w:rPr>
                <w:rFonts w:ascii="Times New Roman" w:hAnsi="Times New Roman" w:cs="Times New Roman"/>
                <w:b/>
                <w:spacing w:val="-1"/>
                <w:sz w:val="24"/>
              </w:rPr>
              <w:t>.</w:t>
            </w:r>
            <w:r w:rsidRPr="0011472E">
              <w:rPr>
                <w:rFonts w:ascii="Times New Roman" w:hAnsi="Times New Roman" w:cs="Times New Roman"/>
              </w:rPr>
              <w:tab/>
            </w:r>
            <w:r w:rsidRPr="0011472E">
              <w:rPr>
                <w:rFonts w:ascii="Times New Roman" w:hAnsi="Times New Roman" w:cs="Times New Roman"/>
                <w:b/>
                <w:spacing w:val="-1"/>
                <w:sz w:val="24"/>
              </w:rPr>
              <w:t>TÁJÉKOZTATÓ ADATOK</w:t>
            </w:r>
          </w:p>
        </w:tc>
      </w:tr>
      <w:tr w:rsidR="00907416" w:rsidRPr="00FE002E" w:rsidTr="00FE0FF1">
        <w:trPr>
          <w:trHeight w:val="304"/>
        </w:trPr>
        <w:tc>
          <w:tcPr>
            <w:tcW w:w="1418" w:type="dxa"/>
          </w:tcPr>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spacing w:before="7"/>
              <w:rPr>
                <w:rFonts w:ascii="Times New Roman" w:eastAsia="Times New Roman" w:hAnsi="Times New Roman" w:cs="Times New Roman"/>
                <w:sz w:val="35"/>
                <w:szCs w:val="35"/>
              </w:rPr>
            </w:pPr>
          </w:p>
          <w:p w:rsidR="00907416" w:rsidRDefault="00907416" w:rsidP="007A4772">
            <w:pPr>
              <w:pStyle w:val="TableParagraph"/>
              <w:ind w:left="102"/>
              <w:rPr>
                <w:rFonts w:ascii="Times New Roman" w:eastAsia="Times New Roman" w:hAnsi="Times New Roman" w:cs="Times New Roman"/>
                <w:sz w:val="24"/>
                <w:szCs w:val="24"/>
              </w:rPr>
            </w:pPr>
            <w:r>
              <w:rPr>
                <w:rFonts w:ascii="Times New Roman"/>
                <w:sz w:val="24"/>
              </w:rPr>
              <w:t>1200</w:t>
            </w:r>
          </w:p>
        </w:tc>
        <w:tc>
          <w:tcPr>
            <w:tcW w:w="7590" w:type="dxa"/>
          </w:tcPr>
          <w:p w:rsidR="00907416" w:rsidRPr="0011472E" w:rsidRDefault="00907416" w:rsidP="007A4772">
            <w:pPr>
              <w:pStyle w:val="TableParagraph"/>
              <w:spacing w:line="274" w:lineRule="exact"/>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10</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Csoporton belüli vagy intézményvédelmi rendszeren belüli kiáramlások (a devizaügyletek kivételével)</w:t>
            </w:r>
          </w:p>
          <w:p w:rsidR="00907416" w:rsidRPr="0011472E" w:rsidRDefault="00907416" w:rsidP="007A4772">
            <w:pPr>
              <w:pStyle w:val="TableParagraph"/>
              <w:spacing w:before="9"/>
              <w:rPr>
                <w:rFonts w:ascii="Times New Roman" w:eastAsia="Times New Roman" w:hAnsi="Times New Roman" w:cs="Times New Roman"/>
                <w:sz w:val="23"/>
                <w:szCs w:val="23"/>
              </w:rPr>
            </w:pPr>
          </w:p>
          <w:p w:rsidR="00907416" w:rsidRPr="0011472E" w:rsidRDefault="00907416" w:rsidP="007A4772">
            <w:pPr>
              <w:pStyle w:val="TableParagraph"/>
              <w:ind w:left="102" w:right="98"/>
              <w:jc w:val="both"/>
              <w:rPr>
                <w:rFonts w:ascii="Times New Roman" w:eastAsia="Times New Roman" w:hAnsi="Times New Roman" w:cs="Times New Roman"/>
                <w:sz w:val="24"/>
                <w:szCs w:val="24"/>
              </w:rPr>
            </w:pPr>
            <w:r w:rsidRPr="0011472E">
              <w:rPr>
                <w:rFonts w:ascii="Times New Roman" w:hAnsi="Times New Roman" w:cs="Times New Roman"/>
                <w:sz w:val="24"/>
              </w:rPr>
              <w:t>Az 1.1., 1.2., 1.3., 1.5. és 1.6. pontban feltüntetett azon kiáramlások összege, amelyek esetében a partner az intézmény anyavállalata vagy leányvállalata, vagy ugyanazon anyavállalatnak egy másik leányvállalata vagy a hitelintézettel a 83/349/EGK irányelv 12. cikkének (1) bekezdése értelmében vett kapcsolatban áll, vagy az 575/2013/EU rendelet 113. cikkének (7) bekezdésében említett ugyanazon intézményvédelmi rendszer tagja vagy az 575/2013/EU rendelet 10. cikkében említett hálózat vagy szövetkezeti csoport központi intézménye vagy társult tagja.</w:t>
            </w:r>
          </w:p>
        </w:tc>
      </w:tr>
      <w:tr w:rsidR="00907416" w:rsidRPr="00FE002E" w:rsidTr="00FE0FF1">
        <w:trPr>
          <w:trHeight w:val="304"/>
        </w:trPr>
        <w:tc>
          <w:tcPr>
            <w:tcW w:w="1418" w:type="dxa"/>
          </w:tcPr>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spacing w:before="7"/>
              <w:rPr>
                <w:rFonts w:ascii="Times New Roman" w:eastAsia="Times New Roman" w:hAnsi="Times New Roman" w:cs="Times New Roman"/>
                <w:sz w:val="23"/>
                <w:szCs w:val="23"/>
              </w:rPr>
            </w:pPr>
          </w:p>
          <w:p w:rsidR="00907416" w:rsidRDefault="00907416" w:rsidP="007A4772">
            <w:pPr>
              <w:pStyle w:val="TableParagraph"/>
              <w:ind w:left="102"/>
              <w:rPr>
                <w:rFonts w:ascii="Times New Roman" w:eastAsia="Times New Roman" w:hAnsi="Times New Roman" w:cs="Times New Roman"/>
                <w:sz w:val="24"/>
                <w:szCs w:val="24"/>
              </w:rPr>
            </w:pPr>
            <w:r>
              <w:rPr>
                <w:rFonts w:ascii="Times New Roman"/>
                <w:sz w:val="24"/>
              </w:rPr>
              <w:t>1210</w:t>
            </w:r>
          </w:p>
        </w:tc>
        <w:tc>
          <w:tcPr>
            <w:tcW w:w="7590" w:type="dxa"/>
          </w:tcPr>
          <w:p w:rsidR="00907416" w:rsidRPr="0011472E" w:rsidRDefault="00907416" w:rsidP="007A4772">
            <w:pPr>
              <w:pStyle w:val="TableParagraph"/>
              <w:spacing w:line="274" w:lineRule="exact"/>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11</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Csoporton belüli vagy intézményvédelmi rendszeren belüli beáramlások (a devizaügyletek és a lejáró értékpapírok kivételével)</w:t>
            </w:r>
          </w:p>
          <w:p w:rsidR="00907416" w:rsidRPr="0011472E" w:rsidRDefault="00907416" w:rsidP="007A4772">
            <w:pPr>
              <w:pStyle w:val="TableParagraph"/>
              <w:spacing w:before="9"/>
              <w:rPr>
                <w:rFonts w:ascii="Times New Roman" w:eastAsia="Times New Roman" w:hAnsi="Times New Roman" w:cs="Times New Roman"/>
                <w:sz w:val="23"/>
                <w:szCs w:val="23"/>
              </w:rPr>
            </w:pPr>
          </w:p>
          <w:p w:rsidR="00907416" w:rsidRPr="0011472E" w:rsidRDefault="00907416" w:rsidP="007A4772">
            <w:pPr>
              <w:pStyle w:val="TableParagraph"/>
              <w:ind w:left="102" w:right="98"/>
              <w:jc w:val="both"/>
              <w:rPr>
                <w:rFonts w:ascii="Times New Roman" w:eastAsia="Times New Roman" w:hAnsi="Times New Roman" w:cs="Times New Roman"/>
                <w:sz w:val="24"/>
                <w:szCs w:val="24"/>
              </w:rPr>
            </w:pPr>
            <w:r w:rsidRPr="0011472E">
              <w:rPr>
                <w:rFonts w:ascii="Times New Roman" w:hAnsi="Times New Roman" w:cs="Times New Roman"/>
                <w:sz w:val="24"/>
              </w:rPr>
              <w:t xml:space="preserve">A 2.1., 2.2., 2.4. és 2.6. pontban feltüntetett azon beáramlások összege, amelyek esetében a partner az intézmény anyavállalata vagy </w:t>
            </w:r>
            <w:r w:rsidRPr="0011472E">
              <w:rPr>
                <w:rFonts w:ascii="Times New Roman" w:hAnsi="Times New Roman" w:cs="Times New Roman"/>
                <w:sz w:val="24"/>
              </w:rPr>
              <w:lastRenderedPageBreak/>
              <w:t>leányvállalata, vagy ugyanazon anyavállalatnak egy másik leányvállalata vagy a hitelintézettel a 83/349/EGK irányelv 12. cikkének (1) bekezdése értelmében vett kapcsolatban áll, vagy az 575/2013/EU rendelet 113. cikkének (7) bekezdésében említett ugyanazon intézményvédelmi rendszer tagja vagy az 575/2013/EU rendelet 10. cikkében említett hálózat vagy szövetkezeti csoport központi intézménye vagy társult tagja.</w:t>
            </w:r>
          </w:p>
        </w:tc>
      </w:tr>
      <w:tr w:rsidR="00907416" w:rsidRPr="00FE002E" w:rsidTr="00FE0FF1">
        <w:trPr>
          <w:trHeight w:val="304"/>
        </w:trPr>
        <w:tc>
          <w:tcPr>
            <w:tcW w:w="1418" w:type="dxa"/>
          </w:tcPr>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spacing w:before="7"/>
              <w:rPr>
                <w:rFonts w:ascii="Times New Roman" w:eastAsia="Times New Roman" w:hAnsi="Times New Roman" w:cs="Times New Roman"/>
                <w:sz w:val="23"/>
                <w:szCs w:val="23"/>
              </w:rPr>
            </w:pPr>
          </w:p>
          <w:p w:rsidR="00907416" w:rsidRDefault="00907416" w:rsidP="007A4772">
            <w:pPr>
              <w:pStyle w:val="TableParagraph"/>
              <w:ind w:left="102"/>
              <w:rPr>
                <w:rFonts w:ascii="Times New Roman" w:eastAsia="Times New Roman" w:hAnsi="Times New Roman" w:cs="Times New Roman"/>
                <w:sz w:val="24"/>
                <w:szCs w:val="24"/>
              </w:rPr>
            </w:pPr>
            <w:r>
              <w:rPr>
                <w:rFonts w:ascii="Times New Roman"/>
                <w:sz w:val="24"/>
              </w:rPr>
              <w:t>1220</w:t>
            </w:r>
          </w:p>
        </w:tc>
        <w:tc>
          <w:tcPr>
            <w:tcW w:w="7590" w:type="dxa"/>
          </w:tcPr>
          <w:p w:rsidR="00907416" w:rsidRPr="0011472E" w:rsidRDefault="00907416" w:rsidP="007A4772">
            <w:pPr>
              <w:pStyle w:val="TableParagraph"/>
              <w:spacing w:line="274" w:lineRule="exact"/>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12</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Csoporton belüli vagy intézményvédelmi rendszeren belüli beáramlások lejáró értékpapírokból</w:t>
            </w:r>
          </w:p>
          <w:p w:rsidR="00907416" w:rsidRPr="0011472E" w:rsidRDefault="00907416" w:rsidP="007A4772">
            <w:pPr>
              <w:pStyle w:val="TableParagraph"/>
              <w:spacing w:before="9"/>
              <w:rPr>
                <w:rFonts w:ascii="Times New Roman" w:eastAsia="Times New Roman" w:hAnsi="Times New Roman" w:cs="Times New Roman"/>
                <w:sz w:val="23"/>
                <w:szCs w:val="23"/>
              </w:rPr>
            </w:pPr>
          </w:p>
          <w:p w:rsidR="00907416" w:rsidRPr="0011472E" w:rsidRDefault="00907416" w:rsidP="007A4772">
            <w:pPr>
              <w:pStyle w:val="TableParagraph"/>
              <w:ind w:left="102" w:right="98"/>
              <w:jc w:val="both"/>
              <w:rPr>
                <w:rFonts w:ascii="Times New Roman" w:eastAsia="Times New Roman" w:hAnsi="Times New Roman" w:cs="Times New Roman"/>
                <w:sz w:val="24"/>
                <w:szCs w:val="24"/>
              </w:rPr>
            </w:pPr>
            <w:r w:rsidRPr="0011472E">
              <w:rPr>
                <w:rFonts w:ascii="Times New Roman" w:hAnsi="Times New Roman" w:cs="Times New Roman"/>
                <w:sz w:val="24"/>
              </w:rPr>
              <w:t>A 2.5. pontban feltüntetett azon beáramlások összege, amelyek esetében a partner az intézmény anyavállalata vagy leányvállalata, vagy ugyanazon anyavállalatnak egy másik leányvállalata vagy a hitelintézettel a 83/349/EGK irányelv 12. cikkének (1) bekezdése értelmében vett kapcsolatban áll, vagy az 575/2013/EU rendelet 113. cikkének (7) bekezdésében említett ugyanazon intézményvédelmi rendszer tagja vagy az 575/2013/EU rendelet 10. cikkében említett hálózat vagy szövetkezeti csoport központi intézménye vagy társult tagja.</w:t>
            </w:r>
          </w:p>
        </w:tc>
      </w:tr>
      <w:tr w:rsidR="00907416" w:rsidRPr="00FE002E" w:rsidTr="00FE0FF1">
        <w:trPr>
          <w:trHeight w:val="304"/>
        </w:trPr>
        <w:tc>
          <w:tcPr>
            <w:tcW w:w="1418" w:type="dxa"/>
          </w:tcPr>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spacing w:before="7"/>
              <w:rPr>
                <w:rFonts w:ascii="Times New Roman" w:eastAsia="Times New Roman" w:hAnsi="Times New Roman" w:cs="Times New Roman"/>
                <w:sz w:val="35"/>
                <w:szCs w:val="35"/>
              </w:rPr>
            </w:pPr>
          </w:p>
          <w:p w:rsidR="00907416" w:rsidRDefault="00907416" w:rsidP="007A4772">
            <w:pPr>
              <w:pStyle w:val="TableParagraph"/>
              <w:ind w:left="102"/>
              <w:rPr>
                <w:rFonts w:ascii="Times New Roman" w:eastAsia="Times New Roman" w:hAnsi="Times New Roman" w:cs="Times New Roman"/>
                <w:sz w:val="24"/>
                <w:szCs w:val="24"/>
              </w:rPr>
            </w:pPr>
            <w:r>
              <w:rPr>
                <w:rFonts w:ascii="Times New Roman"/>
                <w:sz w:val="24"/>
              </w:rPr>
              <w:t>1230</w:t>
            </w:r>
          </w:p>
        </w:tc>
        <w:tc>
          <w:tcPr>
            <w:tcW w:w="7590" w:type="dxa"/>
          </w:tcPr>
          <w:p w:rsidR="00907416" w:rsidRPr="0011472E" w:rsidRDefault="00907416" w:rsidP="007A4772">
            <w:pPr>
              <w:pStyle w:val="TableParagraph"/>
              <w:spacing w:line="274" w:lineRule="exact"/>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13</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Központi bank által elismert magas minőségű likvid eszközök</w:t>
            </w:r>
          </w:p>
          <w:p w:rsidR="00907416" w:rsidRPr="0011472E" w:rsidRDefault="00907416" w:rsidP="007A4772">
            <w:pPr>
              <w:pStyle w:val="TableParagraph"/>
              <w:spacing w:before="9"/>
              <w:rPr>
                <w:rFonts w:ascii="Times New Roman" w:eastAsia="Times New Roman" w:hAnsi="Times New Roman" w:cs="Times New Roman"/>
                <w:sz w:val="23"/>
                <w:szCs w:val="23"/>
              </w:rPr>
            </w:pPr>
          </w:p>
          <w:p w:rsidR="00907416" w:rsidRPr="0011472E" w:rsidRDefault="00907416" w:rsidP="007A4772">
            <w:pPr>
              <w:pStyle w:val="TableParagraph"/>
              <w:ind w:left="102" w:right="100"/>
              <w:jc w:val="both"/>
              <w:rPr>
                <w:rFonts w:ascii="Times New Roman" w:eastAsia="Times New Roman" w:hAnsi="Times New Roman" w:cs="Times New Roman"/>
                <w:sz w:val="24"/>
                <w:szCs w:val="24"/>
              </w:rPr>
            </w:pPr>
            <w:r w:rsidRPr="0011472E">
              <w:rPr>
                <w:rFonts w:ascii="Times New Roman" w:hAnsi="Times New Roman" w:cs="Times New Roman"/>
                <w:sz w:val="24"/>
              </w:rPr>
              <w:t>A 3.3., 3.4. és 3.5. sorban feltüntetett azon összeg, amely elfogadható fedezetet képez azon központi bank szokásos likviditási műveleteihez, amely az intézmény számára konszolidációs szintjén közvetlenül hozzáférhető.</w:t>
            </w:r>
          </w:p>
          <w:p w:rsidR="00907416" w:rsidRPr="0011472E" w:rsidRDefault="00907416" w:rsidP="007A4772">
            <w:pPr>
              <w:pStyle w:val="TableParagraph"/>
              <w:rPr>
                <w:rFonts w:ascii="Times New Roman" w:eastAsia="Times New Roman" w:hAnsi="Times New Roman" w:cs="Times New Roman"/>
                <w:sz w:val="24"/>
                <w:szCs w:val="24"/>
              </w:rPr>
            </w:pPr>
          </w:p>
          <w:p w:rsidR="00907416" w:rsidRPr="0011472E" w:rsidRDefault="00907416" w:rsidP="007A4772">
            <w:pPr>
              <w:pStyle w:val="TableParagraph"/>
              <w:ind w:left="102" w:right="99"/>
              <w:jc w:val="both"/>
              <w:rPr>
                <w:rFonts w:ascii="Times New Roman" w:eastAsia="Times New Roman" w:hAnsi="Times New Roman" w:cs="Times New Roman"/>
                <w:sz w:val="24"/>
                <w:szCs w:val="24"/>
              </w:rPr>
            </w:pPr>
            <w:r w:rsidRPr="0011472E">
              <w:rPr>
                <w:rFonts w:ascii="Times New Roman" w:hAnsi="Times New Roman" w:cs="Times New Roman"/>
                <w:spacing w:val="-1"/>
                <w:sz w:val="24"/>
              </w:rPr>
              <w:t>Az (EU) 2015/233 rendelet mellékletében szereplő olyan pénznemben denominált eszközök esetében, amelynek tekintetében rendkívül szűk a központi bank által elfogadható fedezetek köre, a mezőt üresen kell hagyni.</w:t>
            </w:r>
          </w:p>
        </w:tc>
      </w:tr>
      <w:tr w:rsidR="00907416" w:rsidRPr="00FE002E" w:rsidTr="00FE0FF1">
        <w:trPr>
          <w:trHeight w:val="304"/>
        </w:trPr>
        <w:tc>
          <w:tcPr>
            <w:tcW w:w="1418" w:type="dxa"/>
          </w:tcPr>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spacing w:before="7"/>
              <w:rPr>
                <w:rFonts w:ascii="Times New Roman" w:eastAsia="Times New Roman" w:hAnsi="Times New Roman" w:cs="Times New Roman"/>
                <w:sz w:val="35"/>
                <w:szCs w:val="35"/>
              </w:rPr>
            </w:pPr>
          </w:p>
          <w:p w:rsidR="00907416" w:rsidRDefault="00907416" w:rsidP="007A4772">
            <w:pPr>
              <w:pStyle w:val="TableParagraph"/>
              <w:ind w:left="102"/>
              <w:rPr>
                <w:rFonts w:ascii="Times New Roman" w:eastAsia="Times New Roman" w:hAnsi="Times New Roman" w:cs="Times New Roman"/>
                <w:sz w:val="24"/>
                <w:szCs w:val="24"/>
              </w:rPr>
            </w:pPr>
            <w:r>
              <w:rPr>
                <w:rFonts w:ascii="Times New Roman"/>
                <w:sz w:val="24"/>
              </w:rPr>
              <w:t>1240</w:t>
            </w:r>
          </w:p>
        </w:tc>
        <w:tc>
          <w:tcPr>
            <w:tcW w:w="7590" w:type="dxa"/>
          </w:tcPr>
          <w:p w:rsidR="00907416" w:rsidRPr="0011472E" w:rsidRDefault="00907416" w:rsidP="007A4772">
            <w:pPr>
              <w:pStyle w:val="TableParagraph"/>
              <w:spacing w:line="274" w:lineRule="exact"/>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14</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Központi bank által elismert nem magas minőségű likvid eszközök</w:t>
            </w:r>
          </w:p>
          <w:p w:rsidR="00907416" w:rsidRPr="0011472E" w:rsidRDefault="00907416" w:rsidP="007A4772">
            <w:pPr>
              <w:pStyle w:val="TableParagraph"/>
              <w:spacing w:before="9"/>
              <w:rPr>
                <w:rFonts w:ascii="Times New Roman" w:eastAsia="Times New Roman" w:hAnsi="Times New Roman" w:cs="Times New Roman"/>
                <w:sz w:val="23"/>
                <w:szCs w:val="23"/>
              </w:rPr>
            </w:pPr>
          </w:p>
          <w:p w:rsidR="00907416" w:rsidRPr="0011472E" w:rsidRDefault="00907416" w:rsidP="007A4772">
            <w:pPr>
              <w:pStyle w:val="TableParagraph"/>
              <w:ind w:left="102" w:right="98"/>
              <w:jc w:val="both"/>
              <w:rPr>
                <w:rFonts w:ascii="Times New Roman" w:hAnsi="Times New Roman" w:cs="Times New Roman"/>
                <w:spacing w:val="-1"/>
                <w:sz w:val="24"/>
              </w:rPr>
            </w:pPr>
            <w:r w:rsidRPr="0011472E">
              <w:rPr>
                <w:rFonts w:ascii="Times New Roman" w:hAnsi="Times New Roman" w:cs="Times New Roman"/>
                <w:spacing w:val="-1"/>
                <w:sz w:val="24"/>
              </w:rPr>
              <w:t>Az alábbiak összege:</w:t>
            </w:r>
          </w:p>
          <w:p w:rsidR="00907416" w:rsidRPr="0011472E" w:rsidRDefault="00907416" w:rsidP="007A4772">
            <w:pPr>
              <w:pStyle w:val="TableParagraph"/>
              <w:ind w:left="102" w:right="98"/>
              <w:jc w:val="both"/>
              <w:rPr>
                <w:rFonts w:ascii="Times New Roman" w:hAnsi="Times New Roman" w:cs="Times New Roman"/>
                <w:spacing w:val="-1"/>
                <w:sz w:val="24"/>
              </w:rPr>
            </w:pPr>
            <w:r w:rsidRPr="0011472E">
              <w:rPr>
                <w:rFonts w:ascii="Times New Roman" w:hAnsi="Times New Roman" w:cs="Times New Roman"/>
                <w:spacing w:val="-1"/>
                <w:sz w:val="24"/>
              </w:rPr>
              <w:t>i.</w:t>
            </w:r>
            <w:r w:rsidRPr="0011472E">
              <w:rPr>
                <w:rFonts w:ascii="Times New Roman" w:hAnsi="Times New Roman" w:cs="Times New Roman"/>
              </w:rPr>
              <w:tab/>
            </w:r>
            <w:r w:rsidRPr="0011472E">
              <w:rPr>
                <w:rFonts w:ascii="Times New Roman" w:hAnsi="Times New Roman" w:cs="Times New Roman"/>
                <w:sz w:val="24"/>
              </w:rPr>
              <w:t>A 3.6. sorban feltüntetett azon összegek, amelyek elfogadható fedezetet képeznek azon központi bank szokásos likviditási műveleteihez, amely az intézmény számára konszolidációs szintjén közvetlenül hozzáférhető.</w:t>
            </w:r>
          </w:p>
          <w:p w:rsidR="00907416" w:rsidRPr="0011472E" w:rsidRDefault="00907416" w:rsidP="007A4772">
            <w:pPr>
              <w:pStyle w:val="TableParagraph"/>
              <w:ind w:left="102" w:right="98"/>
              <w:jc w:val="both"/>
              <w:rPr>
                <w:rFonts w:ascii="Times New Roman" w:eastAsia="Times New Roman" w:hAnsi="Times New Roman" w:cs="Times New Roman"/>
                <w:sz w:val="24"/>
                <w:szCs w:val="24"/>
              </w:rPr>
            </w:pPr>
            <w:r w:rsidRPr="0011472E">
              <w:rPr>
                <w:rFonts w:ascii="Times New Roman" w:hAnsi="Times New Roman" w:cs="Times New Roman"/>
                <w:sz w:val="24"/>
              </w:rPr>
              <w:t>ii.</w:t>
            </w:r>
            <w:r w:rsidRPr="0011472E">
              <w:rPr>
                <w:rFonts w:ascii="Times New Roman" w:hAnsi="Times New Roman" w:cs="Times New Roman"/>
              </w:rPr>
              <w:tab/>
            </w:r>
            <w:r w:rsidRPr="0011472E">
              <w:rPr>
                <w:rFonts w:ascii="Times New Roman" w:hAnsi="Times New Roman" w:cs="Times New Roman"/>
                <w:sz w:val="24"/>
              </w:rPr>
              <w:t>Azon saját kibocsátású eszközök, amelyek elfogadható fedezetet képeznek azon központi bank szokásos likviditási műveleteihez, amely az intézmény számára konszolidációs szintjén közvetlenül hozzáférhető.</w:t>
            </w:r>
          </w:p>
          <w:p w:rsidR="00907416" w:rsidRPr="0011472E" w:rsidRDefault="00907416" w:rsidP="007A4772">
            <w:pPr>
              <w:pStyle w:val="TableParagraph"/>
              <w:rPr>
                <w:rFonts w:ascii="Times New Roman" w:eastAsia="Times New Roman" w:hAnsi="Times New Roman" w:cs="Times New Roman"/>
                <w:sz w:val="24"/>
                <w:szCs w:val="24"/>
              </w:rPr>
            </w:pPr>
          </w:p>
          <w:p w:rsidR="00907416" w:rsidRPr="0011472E" w:rsidRDefault="00907416" w:rsidP="007A4772">
            <w:pPr>
              <w:pStyle w:val="TableParagraph"/>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Az (EU) 2015/233 rendeletben szereplő olyan pénznemben denominált eszközök esetében, amelynek tekintetében rendkívül szűk a központi bank által elfogadható fedezetek köre, a mezőt üresen kell hagyni.</w:t>
            </w:r>
          </w:p>
        </w:tc>
      </w:tr>
      <w:tr w:rsidR="00907416" w:rsidRPr="00FE002E" w:rsidTr="00FE0FF1">
        <w:trPr>
          <w:trHeight w:val="304"/>
        </w:trPr>
        <w:tc>
          <w:tcPr>
            <w:tcW w:w="1418" w:type="dxa"/>
          </w:tcPr>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spacing w:before="7"/>
              <w:rPr>
                <w:rFonts w:ascii="Times New Roman" w:eastAsia="Times New Roman" w:hAnsi="Times New Roman" w:cs="Times New Roman"/>
                <w:sz w:val="35"/>
                <w:szCs w:val="35"/>
              </w:rPr>
            </w:pPr>
          </w:p>
          <w:p w:rsidR="00907416" w:rsidRDefault="00907416" w:rsidP="00B72819">
            <w:pPr>
              <w:pStyle w:val="TableParagraph"/>
              <w:ind w:left="102"/>
              <w:rPr>
                <w:rFonts w:ascii="Times New Roman" w:eastAsia="Times New Roman" w:hAnsi="Times New Roman" w:cs="Times New Roman"/>
                <w:sz w:val="24"/>
                <w:szCs w:val="24"/>
              </w:rPr>
            </w:pPr>
            <w:r>
              <w:rPr>
                <w:rFonts w:ascii="Times New Roman"/>
                <w:sz w:val="24"/>
              </w:rPr>
              <w:lastRenderedPageBreak/>
              <w:t>1270</w:t>
            </w:r>
          </w:p>
        </w:tc>
        <w:tc>
          <w:tcPr>
            <w:tcW w:w="7590" w:type="dxa"/>
          </w:tcPr>
          <w:p w:rsidR="00907416" w:rsidRPr="0011472E" w:rsidRDefault="00907416" w:rsidP="007A4772">
            <w:pPr>
              <w:pStyle w:val="TableParagraph"/>
              <w:spacing w:line="273" w:lineRule="exact"/>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lastRenderedPageBreak/>
              <w:t>17</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Betétekből származó kiáramlások – modellezett, viselkedés szerint</w:t>
            </w:r>
          </w:p>
          <w:p w:rsidR="00907416" w:rsidRPr="0011472E" w:rsidRDefault="00907416" w:rsidP="007A4772">
            <w:pPr>
              <w:pStyle w:val="TableParagraph"/>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Az 1.3. sorban feltüntetett, a magatartási lejárat szerint – szokásos üzletmenet alapon – az egyes idősávokba újraelosztott összeg, amelyet az adatszolgáltató intézmény a likviditási kockázat kezelésére használ. E mező alkalmazásában a „szokásos üzletmenet” kifejezés olyan helyzetet jelöl, amelyben nincs likviditási stressz.</w:t>
            </w:r>
          </w:p>
          <w:p w:rsidR="00907416" w:rsidRPr="0011472E" w:rsidRDefault="00907416" w:rsidP="007A4772">
            <w:pPr>
              <w:pStyle w:val="TableParagraph"/>
              <w:rPr>
                <w:rFonts w:ascii="Times New Roman" w:eastAsia="Times New Roman" w:hAnsi="Times New Roman" w:cs="Times New Roman"/>
                <w:sz w:val="24"/>
                <w:szCs w:val="24"/>
              </w:rPr>
            </w:pPr>
          </w:p>
          <w:p w:rsidR="00907416" w:rsidRPr="0011472E" w:rsidRDefault="00907416" w:rsidP="007A4772">
            <w:pPr>
              <w:pStyle w:val="TableParagraph"/>
              <w:ind w:left="102"/>
              <w:jc w:val="both"/>
              <w:rPr>
                <w:rFonts w:ascii="Times New Roman" w:eastAsia="Times New Roman" w:hAnsi="Times New Roman" w:cs="Times New Roman"/>
                <w:sz w:val="24"/>
                <w:szCs w:val="24"/>
              </w:rPr>
            </w:pPr>
            <w:r w:rsidRPr="0011472E">
              <w:rPr>
                <w:rFonts w:ascii="Times New Roman" w:hAnsi="Times New Roman" w:cs="Times New Roman"/>
                <w:spacing w:val="-1"/>
                <w:sz w:val="24"/>
              </w:rPr>
              <w:t>Az elosztásnak a betétek „ragadósságát” kell tükröznie.</w:t>
            </w:r>
          </w:p>
          <w:p w:rsidR="00907416" w:rsidRPr="0011472E" w:rsidRDefault="00907416" w:rsidP="007A4772">
            <w:pPr>
              <w:pStyle w:val="TableParagraph"/>
              <w:rPr>
                <w:rFonts w:ascii="Times New Roman" w:eastAsia="Times New Roman" w:hAnsi="Times New Roman" w:cs="Times New Roman"/>
                <w:sz w:val="24"/>
                <w:szCs w:val="24"/>
              </w:rPr>
            </w:pPr>
          </w:p>
          <w:p w:rsidR="00907416" w:rsidRPr="0011472E" w:rsidRDefault="00907416" w:rsidP="007A4772">
            <w:pPr>
              <w:pStyle w:val="TableParagraph"/>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Ez a tétel nem tükröz üzleti tervvel kapcsolatos feltételezéseket, így nem tartalmazhat új üzleti tevékenységekkel kapcsolatos információkat.</w:t>
            </w:r>
          </w:p>
          <w:p w:rsidR="00907416" w:rsidRPr="0011472E" w:rsidRDefault="00907416" w:rsidP="007A4772">
            <w:pPr>
              <w:pStyle w:val="TableParagraph"/>
              <w:rPr>
                <w:rFonts w:ascii="Times New Roman" w:eastAsia="Times New Roman" w:hAnsi="Times New Roman" w:cs="Times New Roman"/>
                <w:sz w:val="24"/>
                <w:szCs w:val="24"/>
              </w:rPr>
            </w:pPr>
          </w:p>
          <w:p w:rsidR="00907416" w:rsidRPr="0011472E" w:rsidRDefault="00907416" w:rsidP="007A4772">
            <w:pPr>
              <w:pStyle w:val="TableParagraph"/>
              <w:ind w:left="102" w:right="101"/>
              <w:jc w:val="both"/>
              <w:rPr>
                <w:rFonts w:ascii="Times New Roman" w:eastAsia="Times New Roman" w:hAnsi="Times New Roman" w:cs="Times New Roman"/>
                <w:sz w:val="24"/>
                <w:szCs w:val="24"/>
              </w:rPr>
            </w:pPr>
            <w:r w:rsidRPr="0011472E">
              <w:rPr>
                <w:rFonts w:ascii="Times New Roman" w:hAnsi="Times New Roman" w:cs="Times New Roman"/>
                <w:spacing w:val="-1"/>
                <w:sz w:val="24"/>
              </w:rPr>
              <w:t>Az egyes idősávokba történő elosztás során a belső célokra használt granularitást kell követni. Következésképpen nem feltétlenül kell minden idősávot kitölteni.</w:t>
            </w:r>
          </w:p>
        </w:tc>
      </w:tr>
      <w:tr w:rsidR="00907416" w:rsidRPr="00FE002E" w:rsidTr="00FE0FF1">
        <w:trPr>
          <w:trHeight w:val="304"/>
        </w:trPr>
        <w:tc>
          <w:tcPr>
            <w:tcW w:w="1418" w:type="dxa"/>
          </w:tcPr>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rPr>
                <w:rFonts w:ascii="Times New Roman" w:eastAsia="Times New Roman" w:hAnsi="Times New Roman" w:cs="Times New Roman"/>
                <w:sz w:val="24"/>
                <w:szCs w:val="24"/>
              </w:rPr>
            </w:pPr>
          </w:p>
          <w:p w:rsidR="00907416" w:rsidRDefault="00907416" w:rsidP="007A4772">
            <w:pPr>
              <w:pStyle w:val="TableParagraph"/>
              <w:spacing w:before="7"/>
              <w:rPr>
                <w:rFonts w:ascii="Times New Roman" w:eastAsia="Times New Roman" w:hAnsi="Times New Roman" w:cs="Times New Roman"/>
                <w:sz w:val="23"/>
                <w:szCs w:val="23"/>
              </w:rPr>
            </w:pPr>
          </w:p>
          <w:p w:rsidR="00907416" w:rsidRDefault="00907416" w:rsidP="00B72819">
            <w:pPr>
              <w:pStyle w:val="TableParagraph"/>
              <w:ind w:left="102"/>
              <w:rPr>
                <w:rFonts w:ascii="Times New Roman" w:eastAsia="Times New Roman" w:hAnsi="Times New Roman" w:cs="Times New Roman"/>
                <w:sz w:val="24"/>
                <w:szCs w:val="24"/>
              </w:rPr>
            </w:pPr>
            <w:r>
              <w:rPr>
                <w:rFonts w:ascii="Times New Roman"/>
                <w:sz w:val="24"/>
              </w:rPr>
              <w:t>1280</w:t>
            </w:r>
          </w:p>
        </w:tc>
        <w:tc>
          <w:tcPr>
            <w:tcW w:w="7590" w:type="dxa"/>
          </w:tcPr>
          <w:p w:rsidR="00907416" w:rsidRPr="0011472E" w:rsidRDefault="00907416" w:rsidP="007A4772">
            <w:pPr>
              <w:pStyle w:val="TableParagraph"/>
              <w:spacing w:line="273" w:lineRule="exact"/>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18</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Hitelekből és előlegekből származó beáramlások – modellezett, viselkedés szerint</w:t>
            </w:r>
          </w:p>
          <w:p w:rsidR="00907416" w:rsidRPr="0011472E" w:rsidRDefault="00907416" w:rsidP="007A4772">
            <w:pPr>
              <w:pStyle w:val="TableParagraph"/>
              <w:ind w:left="102" w:right="99"/>
              <w:jc w:val="both"/>
              <w:rPr>
                <w:rFonts w:ascii="Times New Roman" w:eastAsia="Times New Roman" w:hAnsi="Times New Roman" w:cs="Times New Roman"/>
                <w:sz w:val="24"/>
                <w:szCs w:val="24"/>
              </w:rPr>
            </w:pPr>
            <w:r w:rsidRPr="0011472E">
              <w:rPr>
                <w:rFonts w:ascii="Times New Roman" w:hAnsi="Times New Roman" w:cs="Times New Roman"/>
                <w:spacing w:val="-1"/>
                <w:sz w:val="24"/>
              </w:rPr>
              <w:t>A 2.2. sorban feltüntetett, a magatartási lejárat szerint – szokásos üzletmenet alapon – az egyes idősávokba újraelosztott összeg, amelyet az adatszolgáltató intézmény a likviditási kockázat kezelésére használ. E mező alkalmazásában a „szokásos üzletmenet” kifejezés olyan helyzetet jelöl, amelyben nincs likviditási stressz.</w:t>
            </w:r>
          </w:p>
          <w:p w:rsidR="00907416" w:rsidRPr="0011472E" w:rsidRDefault="00907416" w:rsidP="007A4772">
            <w:pPr>
              <w:pStyle w:val="TableParagraph"/>
              <w:rPr>
                <w:rFonts w:ascii="Times New Roman" w:eastAsia="Times New Roman" w:hAnsi="Times New Roman" w:cs="Times New Roman"/>
                <w:sz w:val="24"/>
                <w:szCs w:val="24"/>
              </w:rPr>
            </w:pPr>
          </w:p>
          <w:p w:rsidR="00907416" w:rsidRPr="0011472E" w:rsidRDefault="00907416" w:rsidP="007A4772">
            <w:pPr>
              <w:pStyle w:val="TableParagraph"/>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Ez a tétel nem tükröz üzleti tervvel kapcsolatos feltételezéseket, így nem vesz tekintetbe új üzleti tevékenységeket.</w:t>
            </w:r>
          </w:p>
          <w:p w:rsidR="00907416" w:rsidRPr="0011472E" w:rsidRDefault="00907416" w:rsidP="007A4772">
            <w:pPr>
              <w:pStyle w:val="TableParagraph"/>
              <w:rPr>
                <w:rFonts w:ascii="Times New Roman" w:eastAsia="Times New Roman" w:hAnsi="Times New Roman" w:cs="Times New Roman"/>
                <w:sz w:val="24"/>
                <w:szCs w:val="24"/>
              </w:rPr>
            </w:pPr>
          </w:p>
          <w:p w:rsidR="00907416" w:rsidRPr="0011472E" w:rsidRDefault="00907416" w:rsidP="007A4772">
            <w:pPr>
              <w:pStyle w:val="TableParagraph"/>
              <w:ind w:left="102" w:right="98"/>
              <w:jc w:val="both"/>
              <w:rPr>
                <w:rFonts w:ascii="Times New Roman" w:eastAsia="Times New Roman" w:hAnsi="Times New Roman" w:cs="Times New Roman"/>
                <w:sz w:val="24"/>
                <w:szCs w:val="24"/>
              </w:rPr>
            </w:pPr>
            <w:r w:rsidRPr="0011472E">
              <w:rPr>
                <w:rFonts w:ascii="Times New Roman" w:hAnsi="Times New Roman" w:cs="Times New Roman"/>
                <w:spacing w:val="-1"/>
                <w:sz w:val="24"/>
              </w:rPr>
              <w:t>Az egyes idősávokba történő elosztás során a belső célokra használt granularitást kell követni. Következésképpen nem feltétlenül kell minden idősávot kitölteni.</w:t>
            </w:r>
          </w:p>
        </w:tc>
      </w:tr>
      <w:tr w:rsidR="00907416" w:rsidRPr="00FE002E" w:rsidTr="00FE0FF1">
        <w:trPr>
          <w:trHeight w:val="304"/>
        </w:trPr>
        <w:tc>
          <w:tcPr>
            <w:tcW w:w="1418" w:type="dxa"/>
          </w:tcPr>
          <w:p w:rsidR="00907416" w:rsidRDefault="00907416" w:rsidP="007A4772">
            <w:pPr>
              <w:pStyle w:val="TableParagraph"/>
              <w:rPr>
                <w:rFonts w:ascii="Times New Roman" w:eastAsia="Times New Roman" w:hAnsi="Times New Roman" w:cs="Times New Roman"/>
                <w:sz w:val="24"/>
                <w:szCs w:val="24"/>
              </w:rPr>
            </w:pPr>
          </w:p>
          <w:p w:rsidR="00907416" w:rsidRDefault="00907416" w:rsidP="00B72819">
            <w:pPr>
              <w:pStyle w:val="TableParagraph"/>
              <w:spacing w:before="149"/>
              <w:ind w:left="102"/>
              <w:rPr>
                <w:rFonts w:ascii="Times New Roman" w:eastAsia="Times New Roman" w:hAnsi="Times New Roman" w:cs="Times New Roman"/>
                <w:sz w:val="24"/>
                <w:szCs w:val="24"/>
              </w:rPr>
            </w:pPr>
            <w:r>
              <w:rPr>
                <w:rFonts w:ascii="Times New Roman"/>
                <w:sz w:val="24"/>
              </w:rPr>
              <w:t>1290</w:t>
            </w:r>
          </w:p>
        </w:tc>
        <w:tc>
          <w:tcPr>
            <w:tcW w:w="7590" w:type="dxa"/>
          </w:tcPr>
          <w:p w:rsidR="00907416" w:rsidRPr="0011472E" w:rsidRDefault="00907416" w:rsidP="007A4772">
            <w:pPr>
              <w:pStyle w:val="TableParagraph"/>
              <w:spacing w:line="273" w:lineRule="exact"/>
              <w:ind w:left="102"/>
              <w:jc w:val="both"/>
              <w:rPr>
                <w:rFonts w:ascii="Times New Roman" w:eastAsia="Times New Roman" w:hAnsi="Times New Roman" w:cs="Times New Roman"/>
                <w:sz w:val="24"/>
                <w:szCs w:val="24"/>
              </w:rPr>
            </w:pPr>
            <w:r w:rsidRPr="0011472E">
              <w:rPr>
                <w:rFonts w:ascii="Times New Roman" w:hAnsi="Times New Roman" w:cs="Times New Roman"/>
                <w:b/>
                <w:sz w:val="24"/>
                <w:u w:val="thick" w:color="000000"/>
              </w:rPr>
              <w:t>19</w:t>
            </w:r>
            <w:r w:rsidR="00790DA1">
              <w:rPr>
                <w:rFonts w:ascii="Times New Roman" w:hAnsi="Times New Roman" w:cs="Times New Roman"/>
                <w:b/>
                <w:spacing w:val="-1"/>
                <w:sz w:val="24"/>
                <w:u w:val="thick" w:color="000000"/>
              </w:rPr>
              <w:t xml:space="preserve"> </w:t>
            </w:r>
            <w:r w:rsidRPr="0011472E">
              <w:rPr>
                <w:rFonts w:ascii="Times New Roman" w:hAnsi="Times New Roman" w:cs="Times New Roman"/>
                <w:b/>
                <w:spacing w:val="-1"/>
                <w:sz w:val="24"/>
                <w:u w:val="thick" w:color="000000"/>
              </w:rPr>
              <w:t>Folyósítási kötelezettséget tartalmazó keretek lehívása – modellezett, viselkedés szerint</w:t>
            </w:r>
          </w:p>
          <w:p w:rsidR="00907416" w:rsidRPr="0011472E" w:rsidRDefault="00907416" w:rsidP="00907416">
            <w:pPr>
              <w:pStyle w:val="TableParagraph"/>
              <w:ind w:left="102" w:right="100"/>
              <w:jc w:val="both"/>
              <w:rPr>
                <w:rFonts w:ascii="Times New Roman" w:eastAsia="Times New Roman" w:hAnsi="Times New Roman" w:cs="Times New Roman"/>
                <w:spacing w:val="-1"/>
                <w:sz w:val="24"/>
                <w:szCs w:val="24"/>
              </w:rPr>
            </w:pPr>
            <w:r w:rsidRPr="0011472E">
              <w:rPr>
                <w:rFonts w:ascii="Times New Roman" w:hAnsi="Times New Roman" w:cs="Times New Roman"/>
                <w:spacing w:val="-1"/>
                <w:sz w:val="24"/>
              </w:rPr>
              <w:t>A 4.1. sorban feltüntetett, a lehívások magatartási szintje és az adódó likviditási igények szerint – szokásos üzletmenet alapon – az egyes idősávokba újraelosztott összeg, amelyet az adatszolgáltató intézmény a likviditási kockázat kezelésére használ. E mező alkalmazásában a „szokásos üzletmenet” kifejezés olyan helyzetet jelöl, amelyben nincs likviditási stressz.</w:t>
            </w:r>
          </w:p>
          <w:p w:rsidR="00907416" w:rsidRPr="0011472E" w:rsidRDefault="00907416" w:rsidP="00907416">
            <w:pPr>
              <w:pStyle w:val="TableParagraph"/>
              <w:ind w:left="102" w:right="100"/>
              <w:jc w:val="both"/>
              <w:rPr>
                <w:rFonts w:ascii="Times New Roman" w:eastAsia="Times New Roman" w:hAnsi="Times New Roman" w:cs="Times New Roman"/>
                <w:spacing w:val="-1"/>
                <w:sz w:val="24"/>
                <w:szCs w:val="24"/>
              </w:rPr>
            </w:pPr>
          </w:p>
          <w:p w:rsidR="00907416" w:rsidRPr="0011472E" w:rsidRDefault="00907416" w:rsidP="00907416">
            <w:pPr>
              <w:pStyle w:val="TableParagraph"/>
              <w:ind w:left="102" w:right="100"/>
              <w:jc w:val="both"/>
              <w:rPr>
                <w:rFonts w:ascii="Times New Roman" w:eastAsia="Times New Roman" w:hAnsi="Times New Roman" w:cs="Times New Roman"/>
                <w:spacing w:val="-1"/>
                <w:sz w:val="24"/>
                <w:szCs w:val="24"/>
              </w:rPr>
            </w:pPr>
            <w:r w:rsidRPr="0011472E">
              <w:rPr>
                <w:rFonts w:ascii="Times New Roman" w:hAnsi="Times New Roman" w:cs="Times New Roman"/>
                <w:spacing w:val="-1"/>
                <w:sz w:val="24"/>
              </w:rPr>
              <w:t>Ez a tétel nem tükröz üzleti tervvel kapcsolatos feltételezéseket, így nem vesz tekintetbe új üzleti tevékenységeket.</w:t>
            </w:r>
          </w:p>
          <w:p w:rsidR="00907416" w:rsidRPr="0011472E" w:rsidRDefault="00907416" w:rsidP="00907416">
            <w:pPr>
              <w:pStyle w:val="TableParagraph"/>
              <w:ind w:left="102" w:right="100"/>
              <w:jc w:val="both"/>
              <w:rPr>
                <w:rFonts w:ascii="Times New Roman" w:eastAsia="Times New Roman" w:hAnsi="Times New Roman" w:cs="Times New Roman"/>
                <w:spacing w:val="-1"/>
                <w:sz w:val="24"/>
                <w:szCs w:val="24"/>
              </w:rPr>
            </w:pPr>
          </w:p>
          <w:p w:rsidR="00907416" w:rsidRPr="0011472E" w:rsidRDefault="00907416" w:rsidP="00907416">
            <w:pPr>
              <w:pStyle w:val="TableParagraph"/>
              <w:ind w:left="102" w:right="100"/>
              <w:jc w:val="both"/>
              <w:rPr>
                <w:rFonts w:ascii="Times New Roman" w:eastAsia="Times New Roman" w:hAnsi="Times New Roman" w:cs="Times New Roman"/>
                <w:sz w:val="24"/>
                <w:szCs w:val="24"/>
              </w:rPr>
            </w:pPr>
            <w:r w:rsidRPr="0011472E">
              <w:rPr>
                <w:rFonts w:ascii="Times New Roman" w:hAnsi="Times New Roman" w:cs="Times New Roman"/>
                <w:spacing w:val="-1"/>
                <w:sz w:val="24"/>
              </w:rPr>
              <w:t>Az egyes idősávokba történő elosztás során a belső célokra használt granularitást kell követni. Következésképpen nem feltétlenül kell minden idősávot kitölteni.</w:t>
            </w:r>
          </w:p>
        </w:tc>
      </w:tr>
    </w:tbl>
    <w:p w:rsidR="00AE2798" w:rsidRPr="00FE002E" w:rsidRDefault="00AE2798" w:rsidP="00AE2798">
      <w:pPr>
        <w:pStyle w:val="BodyText1"/>
        <w:rPr>
          <w:rFonts w:ascii="Times New Roman" w:hAnsi="Times New Roman"/>
        </w:rPr>
      </w:pPr>
    </w:p>
    <w:p w:rsidR="00AE2798" w:rsidRDefault="00AE2798" w:rsidP="00F4754B">
      <w:pPr>
        <w:pStyle w:val="BodyText1"/>
        <w:rPr>
          <w:rFonts w:ascii="Times New Roman" w:hAnsi="Times New Roman"/>
        </w:rPr>
      </w:pPr>
    </w:p>
    <w:bookmarkEnd w:id="16"/>
    <w:bookmarkEnd w:id="17"/>
    <w:p w:rsidR="00AE2798" w:rsidRPr="00FE002E" w:rsidRDefault="00AE2798" w:rsidP="00F4754B">
      <w:pPr>
        <w:pStyle w:val="BodyText1"/>
        <w:rPr>
          <w:rFonts w:ascii="Times New Roman" w:hAnsi="Times New Roman"/>
        </w:rPr>
      </w:pPr>
    </w:p>
    <w:sectPr w:rsidR="00AE2798" w:rsidRPr="00FE002E" w:rsidSect="002149E4">
      <w:headerReference w:type="default" r:id="rId10"/>
      <w:footerReference w:type="default" r:id="rId11"/>
      <w:headerReference w:type="first" r:id="rId12"/>
      <w:footerReference w:type="first" r:id="rId13"/>
      <w:pgSz w:w="11906" w:h="16838" w:code="9"/>
      <w:pgMar w:top="1522" w:right="1418" w:bottom="1560" w:left="1418" w:header="851"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DA1" w:rsidRDefault="00790DA1">
      <w:r>
        <w:separator/>
      </w:r>
    </w:p>
  </w:endnote>
  <w:endnote w:type="continuationSeparator" w:id="0">
    <w:p w:rsidR="00790DA1" w:rsidRDefault="00790DA1">
      <w:r>
        <w:continuationSeparator/>
      </w:r>
    </w:p>
  </w:endnote>
  <w:endnote w:type="continuationNotice" w:id="1">
    <w:p w:rsidR="00790DA1" w:rsidRDefault="00790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01704"/>
      <w:docPartObj>
        <w:docPartGallery w:val="Page Numbers (Bottom of Page)"/>
        <w:docPartUnique/>
      </w:docPartObj>
    </w:sdtPr>
    <w:sdtEndPr/>
    <w:sdtContent>
      <w:p w:rsidR="00790DA1" w:rsidRDefault="00790DA1">
        <w:pPr>
          <w:pStyle w:val="llb"/>
          <w:jc w:val="right"/>
        </w:pPr>
        <w:r>
          <w:fldChar w:fldCharType="begin"/>
        </w:r>
        <w:r>
          <w:instrText xml:space="preserve"> PAGE   \* MERGEFORMAT </w:instrText>
        </w:r>
        <w:r>
          <w:fldChar w:fldCharType="separate"/>
        </w:r>
        <w:r w:rsidR="00DE2F25">
          <w:rPr>
            <w:noProof/>
          </w:rPr>
          <w:t>1</w:t>
        </w:r>
        <w:r>
          <w:rPr>
            <w:noProof/>
          </w:rPr>
          <w:fldChar w:fldCharType="end"/>
        </w:r>
      </w:p>
    </w:sdtContent>
  </w:sdt>
  <w:p w:rsidR="00790DA1" w:rsidRDefault="00790DA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01700"/>
      <w:docPartObj>
        <w:docPartGallery w:val="Page Numbers (Bottom of Page)"/>
        <w:docPartUnique/>
      </w:docPartObj>
    </w:sdtPr>
    <w:sdtEndPr/>
    <w:sdtContent>
      <w:p w:rsidR="00790DA1" w:rsidRDefault="00790DA1">
        <w:pPr>
          <w:pStyle w:val="llb"/>
          <w:jc w:val="right"/>
        </w:pPr>
        <w:r>
          <w:fldChar w:fldCharType="begin"/>
        </w:r>
        <w:r>
          <w:instrText xml:space="preserve"> PAGE   \* MERGEFORMAT </w:instrText>
        </w:r>
        <w:r>
          <w:fldChar w:fldCharType="separate"/>
        </w:r>
        <w:r>
          <w:rPr>
            <w:noProof/>
          </w:rPr>
          <w:t>44</w:t>
        </w:r>
        <w:r>
          <w:rPr>
            <w:noProof/>
          </w:rPr>
          <w:fldChar w:fldCharType="end"/>
        </w:r>
      </w:p>
    </w:sdtContent>
  </w:sdt>
  <w:p w:rsidR="00790DA1" w:rsidRDefault="00790DA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DA1" w:rsidRPr="004D223F" w:rsidRDefault="00790DA1" w:rsidP="00C7701D">
      <w:r>
        <w:continuationSeparator/>
      </w:r>
    </w:p>
  </w:footnote>
  <w:footnote w:type="continuationSeparator" w:id="0">
    <w:p w:rsidR="00790DA1" w:rsidRDefault="00790DA1">
      <w:r>
        <w:continuationSeparator/>
      </w:r>
    </w:p>
  </w:footnote>
  <w:footnote w:type="continuationNotice" w:id="1">
    <w:p w:rsidR="00790DA1" w:rsidRDefault="00790DA1"/>
  </w:footnote>
  <w:footnote w:id="2">
    <w:p w:rsidR="00790DA1" w:rsidRPr="00E9222D" w:rsidRDefault="00790DA1">
      <w:pPr>
        <w:pStyle w:val="Lbjegyzetszveg"/>
      </w:pPr>
      <w:r>
        <w:rPr>
          <w:rStyle w:val="Lbjegyzet-hivatkozs"/>
        </w:rPr>
        <w:footnoteRef/>
      </w:r>
      <w:r>
        <w:t xml:space="preserve"> </w:t>
      </w:r>
      <w:hyperlink r:id="rId1">
        <w:r>
          <w:rPr>
            <w:rStyle w:val="Hiperhivatkozs"/>
          </w:rPr>
          <w:t>http://eur-lex.europa.eu/legal-content/HU/TXT/?uri=CELEX%3A32015R0233</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DA1" w:rsidRDefault="00790DA1">
    <w:pPr>
      <w:pStyle w:val="lfej"/>
    </w:pPr>
    <w:r>
      <w:rPr>
        <w:noProof/>
        <w:lang w:bidi="ar-SA"/>
      </w:rPr>
      <mc:AlternateContent>
        <mc:Choice Requires="wps">
          <w:drawing>
            <wp:anchor distT="4294967294" distB="4294967294" distL="114300" distR="114300" simplePos="0" relativeHeight="251688448" behindDoc="0" locked="0" layoutInCell="1" allowOverlap="1" wp14:anchorId="32DDF18A" wp14:editId="07880F5B">
              <wp:simplePos x="0" y="0"/>
              <wp:positionH relativeFrom="column">
                <wp:posOffset>-14605</wp:posOffset>
              </wp:positionH>
              <wp:positionV relativeFrom="paragraph">
                <wp:posOffset>2539</wp:posOffset>
              </wp:positionV>
              <wp:extent cx="5760085" cy="0"/>
              <wp:effectExtent l="0" t="0" r="12065" b="190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ECA966" id="_x0000_t32" coordsize="21600,21600" o:spt="32" o:oned="t" path="m,l21600,21600e" filled="f">
              <v:path arrowok="t" fillok="f" o:connecttype="none"/>
              <o:lock v:ext="edit" shapetype="t"/>
            </v:shapetype>
            <v:shape id="AutoShape 23" o:spid="_x0000_s1026" type="#_x0000_t32" style="position:absolute;margin-left:-1.15pt;margin-top:.2pt;width:453.55pt;height:0;flip:x;z-index:251688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" strokecolor="#48748f [3204]"/>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DA1" w:rsidRDefault="00790DA1">
    <w:pPr>
      <w:pStyle w:val="lfej"/>
      <w:tabs>
        <w:tab w:val="clear" w:pos="8306"/>
        <w:tab w:val="right" w:pos="9072"/>
      </w:tabs>
      <w:jc w:val="right"/>
      <w:rPr>
        <w:noProof/>
      </w:rPr>
    </w:pPr>
    <w:r>
      <w:rPr>
        <w:noProof/>
        <w:lang w:bidi="ar-SA"/>
      </w:rPr>
      <mc:AlternateContent>
        <mc:Choice Requires="wps">
          <w:drawing>
            <wp:anchor distT="4294967294" distB="4294967294" distL="114300" distR="114300" simplePos="0" relativeHeight="251695616" behindDoc="1" locked="1" layoutInCell="0" allowOverlap="1" wp14:anchorId="09C1CFD5" wp14:editId="6B4ED393">
              <wp:simplePos x="0" y="0"/>
              <wp:positionH relativeFrom="page">
                <wp:posOffset>896620</wp:posOffset>
              </wp:positionH>
              <wp:positionV relativeFrom="page">
                <wp:posOffset>542289</wp:posOffset>
              </wp:positionV>
              <wp:extent cx="5760085" cy="0"/>
              <wp:effectExtent l="0" t="0" r="12065" b="1905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62F0D0" id="_x0000_t32" coordsize="21600,21600" o:spt="32" o:oned="t" path="m,l21600,21600e" filled="f">
              <v:path arrowok="t" fillok="f" o:connecttype="none"/>
              <o:lock v:ext="edit" shapetype="t"/>
            </v:shapetype>
            <v:shape id="AutoShape 29" o:spid="_x0000_s1026" type="#_x0000_t32" style="position:absolute;margin-left:70.6pt;margin-top:42.7pt;width:453.55pt;height:0;flip:x;z-index:-2516208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" o:allowincell="f" strokecolor="#48748f [3204]">
              <w10:wrap anchorx="page" anchory="page"/>
              <w10:anchorlock/>
            </v:shape>
          </w:pict>
        </mc:Fallback>
      </mc:AlternateContent>
    </w:r>
  </w:p>
  <w:p w:rsidR="00790DA1" w:rsidRDefault="00790DA1">
    <w:pPr>
      <w:pStyle w:val="lfej"/>
      <w:tabs>
        <w:tab w:val="clear" w:pos="8306"/>
        <w:tab w:val="right" w:pos="9072"/>
      </w:tabs>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szCs w:val="28"/>
      </w:rPr>
    </w:lvl>
    <w:lvl w:ilvl="1" w:tplc="FBC0B1D0" w:tentative="1">
      <w:start w:val="1"/>
      <w:numFmt w:val="bullet"/>
      <w:lvlText w:val="o"/>
      <w:lvlJc w:val="left"/>
      <w:pPr>
        <w:tabs>
          <w:tab w:val="num" w:pos="1440"/>
        </w:tabs>
        <w:ind w:left="1440" w:hanging="360"/>
      </w:pPr>
      <w:rPr>
        <w:rFonts w:ascii="Courier New" w:hAnsi="Courier New" w:cs="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cs="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cs="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A148C"/>
    <w:multiLevelType w:val="hybridMultilevel"/>
    <w:tmpl w:val="471C8442"/>
    <w:lvl w:ilvl="0" w:tplc="5B788052">
      <w:start w:val="1"/>
      <w:numFmt w:val="bullet"/>
      <w:pStyle w:val="Felsorols"/>
      <w:lvlText w:val=""/>
      <w:lvlJc w:val="left"/>
      <w:pPr>
        <w:ind w:left="4904" w:hanging="360"/>
      </w:pPr>
      <w:rPr>
        <w:rFonts w:ascii="Symbol" w:hAnsi="Symbol" w:hint="default"/>
        <w:b w:val="0"/>
        <w:i w:val="0"/>
        <w:caps w:val="0"/>
        <w:strike w:val="0"/>
        <w:dstrike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3" w15:restartNumberingAfterBreak="0">
    <w:nsid w:val="0F69728D"/>
    <w:multiLevelType w:val="hybridMultilevel"/>
    <w:tmpl w:val="CE6A6630"/>
    <w:lvl w:ilvl="0" w:tplc="F3F0C370">
      <w:start w:val="1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10F59"/>
    <w:multiLevelType w:val="multilevel"/>
    <w:tmpl w:val="6348284C"/>
    <w:lvl w:ilvl="0">
      <w:start w:val="1"/>
      <w:numFmt w:val="decimal"/>
      <w:pStyle w:val="Baseparagraphnumbered"/>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 w15:restartNumberingAfterBreak="0">
    <w:nsid w:val="15A47C61"/>
    <w:multiLevelType w:val="hybridMultilevel"/>
    <w:tmpl w:val="32DA3AF4"/>
    <w:lvl w:ilvl="0" w:tplc="E834CCAA">
      <w:start w:val="42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D6282"/>
    <w:multiLevelType w:val="multilevel"/>
    <w:tmpl w:val="5D8418C4"/>
    <w:lvl w:ilvl="0">
      <w:start w:val="1"/>
      <w:numFmt w:val="decimal"/>
      <w:pStyle w:val="GliederungmitNummerierung"/>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361"/>
        </w:tabs>
        <w:ind w:left="1361" w:hanging="567"/>
      </w:pPr>
      <w:rPr>
        <w:rFonts w:hint="default"/>
      </w:rPr>
    </w:lvl>
    <w:lvl w:ilvl="3">
      <w:start w:val="1"/>
      <w:numFmt w:val="decimal"/>
      <w:lvlText w:val="%1.%2.%3.%4"/>
      <w:lvlJc w:val="left"/>
      <w:pPr>
        <w:tabs>
          <w:tab w:val="num" w:pos="2098"/>
        </w:tabs>
        <w:ind w:left="2098" w:hanging="737"/>
      </w:pPr>
      <w:rPr>
        <w:rFonts w:hint="default"/>
      </w:rPr>
    </w:lvl>
    <w:lvl w:ilvl="4">
      <w:start w:val="1"/>
      <w:numFmt w:val="decimal"/>
      <w:lvlText w:val="%1.%2.%3.%4.%5"/>
      <w:lvlJc w:val="left"/>
      <w:pPr>
        <w:tabs>
          <w:tab w:val="num" w:pos="3062"/>
        </w:tabs>
        <w:ind w:left="3062" w:hanging="964"/>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 w15:restartNumberingAfterBreak="0">
    <w:nsid w:val="27AC3B14"/>
    <w:multiLevelType w:val="hybridMultilevel"/>
    <w:tmpl w:val="AB0C77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FF0EEA"/>
    <w:multiLevelType w:val="hybridMultilevel"/>
    <w:tmpl w:val="859EA912"/>
    <w:lvl w:ilvl="0" w:tplc="144021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3057CB8"/>
    <w:multiLevelType w:val="hybridMultilevel"/>
    <w:tmpl w:val="2698E4A4"/>
    <w:lvl w:ilvl="0" w:tplc="8FD0AD34">
      <w:start w:val="1"/>
      <w:numFmt w:val="decimal"/>
      <w:lvlText w:val="%1."/>
      <w:lvlJc w:val="left"/>
      <w:pPr>
        <w:ind w:left="786" w:hanging="360"/>
      </w:pPr>
      <w:rPr>
        <w:rFonts w:ascii="Times New Roman" w:hAnsi="Times New Roman" w:cs="Times New Roman" w:hint="default"/>
        <w:b w:val="0"/>
      </w:rPr>
    </w:lvl>
    <w:lvl w:ilvl="1" w:tplc="1FC8A872">
      <w:start w:val="1"/>
      <w:numFmt w:val="lowerLetter"/>
      <w:lvlText w:val="%2."/>
      <w:lvlJc w:val="left"/>
      <w:pPr>
        <w:ind w:left="1440" w:hanging="360"/>
      </w:pPr>
    </w:lvl>
    <w:lvl w:ilvl="2" w:tplc="CBAE5A34" w:tentative="1">
      <w:start w:val="1"/>
      <w:numFmt w:val="lowerRoman"/>
      <w:lvlText w:val="%3."/>
      <w:lvlJc w:val="right"/>
      <w:pPr>
        <w:ind w:left="2160" w:hanging="180"/>
      </w:pPr>
    </w:lvl>
    <w:lvl w:ilvl="3" w:tplc="D8527F4E" w:tentative="1">
      <w:start w:val="1"/>
      <w:numFmt w:val="decimal"/>
      <w:lvlText w:val="%4."/>
      <w:lvlJc w:val="left"/>
      <w:pPr>
        <w:ind w:left="2880" w:hanging="360"/>
      </w:pPr>
    </w:lvl>
    <w:lvl w:ilvl="4" w:tplc="43D01870" w:tentative="1">
      <w:start w:val="1"/>
      <w:numFmt w:val="lowerLetter"/>
      <w:lvlText w:val="%5."/>
      <w:lvlJc w:val="left"/>
      <w:pPr>
        <w:ind w:left="3600" w:hanging="360"/>
      </w:pPr>
    </w:lvl>
    <w:lvl w:ilvl="5" w:tplc="CF708E5C" w:tentative="1">
      <w:start w:val="1"/>
      <w:numFmt w:val="lowerRoman"/>
      <w:lvlText w:val="%6."/>
      <w:lvlJc w:val="right"/>
      <w:pPr>
        <w:ind w:left="4320" w:hanging="180"/>
      </w:pPr>
    </w:lvl>
    <w:lvl w:ilvl="6" w:tplc="F6940D82" w:tentative="1">
      <w:start w:val="1"/>
      <w:numFmt w:val="decimal"/>
      <w:lvlText w:val="%7."/>
      <w:lvlJc w:val="left"/>
      <w:pPr>
        <w:ind w:left="5040" w:hanging="360"/>
      </w:pPr>
    </w:lvl>
    <w:lvl w:ilvl="7" w:tplc="AD2C2584" w:tentative="1">
      <w:start w:val="1"/>
      <w:numFmt w:val="lowerLetter"/>
      <w:lvlText w:val="%8."/>
      <w:lvlJc w:val="left"/>
      <w:pPr>
        <w:ind w:left="5760" w:hanging="360"/>
      </w:pPr>
    </w:lvl>
    <w:lvl w:ilvl="8" w:tplc="A1220B0E" w:tentative="1">
      <w:start w:val="1"/>
      <w:numFmt w:val="lowerRoman"/>
      <w:lvlText w:val="%9."/>
      <w:lvlJc w:val="right"/>
      <w:pPr>
        <w:ind w:left="6480" w:hanging="180"/>
      </w:pPr>
    </w:lvl>
  </w:abstractNum>
  <w:abstractNum w:abstractNumId="13" w15:restartNumberingAfterBreak="0">
    <w:nsid w:val="37226525"/>
    <w:multiLevelType w:val="hybridMultilevel"/>
    <w:tmpl w:val="9872E646"/>
    <w:lvl w:ilvl="0" w:tplc="117C22E0">
      <w:start w:val="1"/>
      <w:numFmt w:val="decimal"/>
      <w:pStyle w:val="Nummerierungsart2"/>
      <w:lvlText w:val="%1)"/>
      <w:lvlJc w:val="left"/>
      <w:pPr>
        <w:tabs>
          <w:tab w:val="num" w:pos="360"/>
        </w:tabs>
        <w:ind w:left="360" w:hanging="360"/>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14" w15:restartNumberingAfterBreak="0">
    <w:nsid w:val="3CD57312"/>
    <w:multiLevelType w:val="multilevel"/>
    <w:tmpl w:val="1864F90A"/>
    <w:styleLink w:val="Formatvorlage2"/>
    <w:lvl w:ilvl="0">
      <w:start w:val="1"/>
      <w:numFmt w:val="bullet"/>
      <w:lvlText w:val=""/>
      <w:lvlJc w:val="left"/>
      <w:pPr>
        <w:ind w:left="360" w:hanging="360"/>
      </w:pPr>
      <w:rPr>
        <w:rFonts w:ascii="Symbol" w:hAnsi="Symbol" w:hint="default"/>
        <w:sz w:val="22"/>
        <w:szCs w:val="28"/>
      </w:rPr>
    </w:lvl>
    <w:lvl w:ilvl="1">
      <w:start w:val="1"/>
      <w:numFmt w:val="bullet"/>
      <w:lvlText w:val=""/>
      <w:lvlJc w:val="left"/>
      <w:pPr>
        <w:tabs>
          <w:tab w:val="num" w:pos="720"/>
        </w:tabs>
        <w:ind w:left="720" w:hanging="360"/>
      </w:pPr>
      <w:rPr>
        <w:rFonts w:ascii="Symbol" w:hAnsi="Symbol" w:hint="default"/>
        <w:sz w:val="22"/>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43AE248D"/>
    <w:multiLevelType w:val="hybridMultilevel"/>
    <w:tmpl w:val="5A70F4BE"/>
    <w:lvl w:ilvl="0" w:tplc="13C852F8">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rPr>
    </w:lvl>
    <w:lvl w:ilvl="1" w:tplc="88025A62" w:tentative="1">
      <w:start w:val="1"/>
      <w:numFmt w:val="bullet"/>
      <w:lvlText w:val="o"/>
      <w:lvlJc w:val="left"/>
      <w:pPr>
        <w:ind w:left="2121" w:hanging="360"/>
      </w:pPr>
      <w:rPr>
        <w:rFonts w:ascii="Courier New" w:hAnsi="Courier New" w:cs="Courier New" w:hint="default"/>
      </w:rPr>
    </w:lvl>
    <w:lvl w:ilvl="2" w:tplc="C5DABC22" w:tentative="1">
      <w:start w:val="1"/>
      <w:numFmt w:val="bullet"/>
      <w:lvlText w:val=""/>
      <w:lvlJc w:val="left"/>
      <w:pPr>
        <w:ind w:left="2841" w:hanging="360"/>
      </w:pPr>
      <w:rPr>
        <w:rFonts w:ascii="Wingdings" w:hAnsi="Wingdings" w:hint="default"/>
      </w:rPr>
    </w:lvl>
    <w:lvl w:ilvl="3" w:tplc="0D56E730" w:tentative="1">
      <w:start w:val="1"/>
      <w:numFmt w:val="bullet"/>
      <w:lvlText w:val=""/>
      <w:lvlJc w:val="left"/>
      <w:pPr>
        <w:ind w:left="3561" w:hanging="360"/>
      </w:pPr>
      <w:rPr>
        <w:rFonts w:ascii="Symbol" w:hAnsi="Symbol" w:hint="default"/>
      </w:rPr>
    </w:lvl>
    <w:lvl w:ilvl="4" w:tplc="A970B672" w:tentative="1">
      <w:start w:val="1"/>
      <w:numFmt w:val="bullet"/>
      <w:lvlText w:val="o"/>
      <w:lvlJc w:val="left"/>
      <w:pPr>
        <w:ind w:left="4281" w:hanging="360"/>
      </w:pPr>
      <w:rPr>
        <w:rFonts w:ascii="Courier New" w:hAnsi="Courier New" w:cs="Courier New" w:hint="default"/>
      </w:rPr>
    </w:lvl>
    <w:lvl w:ilvl="5" w:tplc="B6D459CC" w:tentative="1">
      <w:start w:val="1"/>
      <w:numFmt w:val="bullet"/>
      <w:lvlText w:val=""/>
      <w:lvlJc w:val="left"/>
      <w:pPr>
        <w:ind w:left="5001" w:hanging="360"/>
      </w:pPr>
      <w:rPr>
        <w:rFonts w:ascii="Wingdings" w:hAnsi="Wingdings" w:hint="default"/>
      </w:rPr>
    </w:lvl>
    <w:lvl w:ilvl="6" w:tplc="837C8C1A" w:tentative="1">
      <w:start w:val="1"/>
      <w:numFmt w:val="bullet"/>
      <w:lvlText w:val=""/>
      <w:lvlJc w:val="left"/>
      <w:pPr>
        <w:ind w:left="5721" w:hanging="360"/>
      </w:pPr>
      <w:rPr>
        <w:rFonts w:ascii="Symbol" w:hAnsi="Symbol" w:hint="default"/>
      </w:rPr>
    </w:lvl>
    <w:lvl w:ilvl="7" w:tplc="474802D2" w:tentative="1">
      <w:start w:val="1"/>
      <w:numFmt w:val="bullet"/>
      <w:lvlText w:val="o"/>
      <w:lvlJc w:val="left"/>
      <w:pPr>
        <w:ind w:left="6441" w:hanging="360"/>
      </w:pPr>
      <w:rPr>
        <w:rFonts w:ascii="Courier New" w:hAnsi="Courier New" w:cs="Courier New" w:hint="default"/>
      </w:rPr>
    </w:lvl>
    <w:lvl w:ilvl="8" w:tplc="B38C7C80" w:tentative="1">
      <w:start w:val="1"/>
      <w:numFmt w:val="bullet"/>
      <w:lvlText w:val=""/>
      <w:lvlJc w:val="left"/>
      <w:pPr>
        <w:ind w:left="7161" w:hanging="360"/>
      </w:pPr>
      <w:rPr>
        <w:rFonts w:ascii="Wingdings" w:hAnsi="Wingdings" w:hint="default"/>
      </w:rPr>
    </w:lvl>
  </w:abstractNum>
  <w:abstractNum w:abstractNumId="16" w15:restartNumberingAfterBreak="0">
    <w:nsid w:val="49772236"/>
    <w:multiLevelType w:val="hybridMultilevel"/>
    <w:tmpl w:val="E974A63C"/>
    <w:lvl w:ilvl="0" w:tplc="C10A2D7C">
      <w:start w:val="1"/>
      <w:numFmt w:val="bullet"/>
      <w:pStyle w:val="Aufzhlungszeichen4"/>
      <w:lvlText w:val=""/>
      <w:lvlJc w:val="left"/>
      <w:pPr>
        <w:tabs>
          <w:tab w:val="num" w:pos="357"/>
        </w:tabs>
        <w:ind w:left="357" w:hanging="357"/>
      </w:pPr>
      <w:rPr>
        <w:rFonts w:ascii="Wingdings" w:hAnsi="Wingdings" w:hint="default"/>
        <w:sz w:val="28"/>
        <w:szCs w:val="2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6957BB"/>
    <w:multiLevelType w:val="hybridMultilevel"/>
    <w:tmpl w:val="D674AD1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15:restartNumberingAfterBreak="0">
    <w:nsid w:val="4BF419D5"/>
    <w:multiLevelType w:val="hybridMultilevel"/>
    <w:tmpl w:val="4A8A11B2"/>
    <w:lvl w:ilvl="0" w:tplc="DD48D1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0E3E7F"/>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 w15:restartNumberingAfterBreak="0">
    <w:nsid w:val="4EB95802"/>
    <w:multiLevelType w:val="multilevel"/>
    <w:tmpl w:val="0407001D"/>
    <w:styleLink w:val="Formatvorlage3"/>
    <w:lvl w:ilvl="0">
      <w:start w:val="1"/>
      <w:numFmt w:val="none"/>
      <w:lvlText w:val="%1"/>
      <w:lvlJc w:val="left"/>
      <w:pPr>
        <w:ind w:left="360" w:hanging="360"/>
      </w:pPr>
      <w:rPr>
        <w:rFonts w:ascii="Verdana" w:hAnsi="Verdana" w:hint="default"/>
        <w:b/>
        <w:color w:val="auto"/>
        <w:sz w:val="20"/>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EF30DF1"/>
    <w:multiLevelType w:val="hybridMultilevel"/>
    <w:tmpl w:val="95BE37A4"/>
    <w:lvl w:ilvl="0" w:tplc="DEB4209E">
      <w:start w:val="1"/>
      <w:numFmt w:val="upperRoman"/>
      <w:pStyle w:val="Nummerierungsart3"/>
      <w:lvlText w:val="%1."/>
      <w:lvlJc w:val="left"/>
      <w:pPr>
        <w:tabs>
          <w:tab w:val="num" w:pos="357"/>
        </w:tabs>
        <w:ind w:left="357" w:hanging="357"/>
      </w:pPr>
      <w:rPr>
        <w:rFonts w:hint="default"/>
      </w:rPr>
    </w:lvl>
    <w:lvl w:ilvl="1" w:tplc="B494082A" w:tentative="1">
      <w:start w:val="1"/>
      <w:numFmt w:val="lowerLetter"/>
      <w:lvlText w:val="%2."/>
      <w:lvlJc w:val="left"/>
      <w:pPr>
        <w:tabs>
          <w:tab w:val="num" w:pos="1440"/>
        </w:tabs>
        <w:ind w:left="1440" w:hanging="360"/>
      </w:pPr>
    </w:lvl>
    <w:lvl w:ilvl="2" w:tplc="8CF07C0E" w:tentative="1">
      <w:start w:val="1"/>
      <w:numFmt w:val="lowerRoman"/>
      <w:lvlText w:val="%3."/>
      <w:lvlJc w:val="right"/>
      <w:pPr>
        <w:tabs>
          <w:tab w:val="num" w:pos="2160"/>
        </w:tabs>
        <w:ind w:left="2160" w:hanging="180"/>
      </w:pPr>
    </w:lvl>
    <w:lvl w:ilvl="3" w:tplc="8918E6F8" w:tentative="1">
      <w:start w:val="1"/>
      <w:numFmt w:val="decimal"/>
      <w:lvlText w:val="%4."/>
      <w:lvlJc w:val="left"/>
      <w:pPr>
        <w:tabs>
          <w:tab w:val="num" w:pos="2880"/>
        </w:tabs>
        <w:ind w:left="2880" w:hanging="360"/>
      </w:pPr>
    </w:lvl>
    <w:lvl w:ilvl="4" w:tplc="51743DC4" w:tentative="1">
      <w:start w:val="1"/>
      <w:numFmt w:val="lowerLetter"/>
      <w:lvlText w:val="%5."/>
      <w:lvlJc w:val="left"/>
      <w:pPr>
        <w:tabs>
          <w:tab w:val="num" w:pos="3600"/>
        </w:tabs>
        <w:ind w:left="3600" w:hanging="360"/>
      </w:pPr>
    </w:lvl>
    <w:lvl w:ilvl="5" w:tplc="FD4A9F12" w:tentative="1">
      <w:start w:val="1"/>
      <w:numFmt w:val="lowerRoman"/>
      <w:lvlText w:val="%6."/>
      <w:lvlJc w:val="right"/>
      <w:pPr>
        <w:tabs>
          <w:tab w:val="num" w:pos="4320"/>
        </w:tabs>
        <w:ind w:left="4320" w:hanging="180"/>
      </w:pPr>
    </w:lvl>
    <w:lvl w:ilvl="6" w:tplc="DD78F7AC" w:tentative="1">
      <w:start w:val="1"/>
      <w:numFmt w:val="decimal"/>
      <w:lvlText w:val="%7."/>
      <w:lvlJc w:val="left"/>
      <w:pPr>
        <w:tabs>
          <w:tab w:val="num" w:pos="5040"/>
        </w:tabs>
        <w:ind w:left="5040" w:hanging="360"/>
      </w:pPr>
    </w:lvl>
    <w:lvl w:ilvl="7" w:tplc="233C3CF6" w:tentative="1">
      <w:start w:val="1"/>
      <w:numFmt w:val="lowerLetter"/>
      <w:lvlText w:val="%8."/>
      <w:lvlJc w:val="left"/>
      <w:pPr>
        <w:tabs>
          <w:tab w:val="num" w:pos="5760"/>
        </w:tabs>
        <w:ind w:left="5760" w:hanging="360"/>
      </w:pPr>
    </w:lvl>
    <w:lvl w:ilvl="8" w:tplc="1B20F0A2" w:tentative="1">
      <w:start w:val="1"/>
      <w:numFmt w:val="lowerRoman"/>
      <w:lvlText w:val="%9."/>
      <w:lvlJc w:val="right"/>
      <w:pPr>
        <w:tabs>
          <w:tab w:val="num" w:pos="6480"/>
        </w:tabs>
        <w:ind w:left="6480" w:hanging="180"/>
      </w:pPr>
    </w:lvl>
  </w:abstractNum>
  <w:abstractNum w:abstractNumId="22" w15:restartNumberingAfterBreak="0">
    <w:nsid w:val="57AD5AF7"/>
    <w:multiLevelType w:val="hybridMultilevel"/>
    <w:tmpl w:val="9844D93E"/>
    <w:lvl w:ilvl="0" w:tplc="479A68CA">
      <w:start w:val="42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A1738F"/>
    <w:multiLevelType w:val="hybridMultilevel"/>
    <w:tmpl w:val="2FE2799E"/>
    <w:lvl w:ilvl="0" w:tplc="B2366634">
      <w:start w:val="1"/>
      <w:numFmt w:val="decimal"/>
      <w:pStyle w:val="Instructionsberschrift3"/>
      <w:lvlText w:val="%1.1.1"/>
      <w:lvlJc w:val="left"/>
      <w:pPr>
        <w:ind w:left="720" w:hanging="360"/>
      </w:pPr>
      <w:rPr>
        <w:rFonts w:hint="default"/>
      </w:rPr>
    </w:lvl>
    <w:lvl w:ilvl="1" w:tplc="04070003" w:tentative="1">
      <w:start w:val="1"/>
      <w:numFmt w:val="lowerLetter"/>
      <w:lvlText w:val="%2."/>
      <w:lvlJc w:val="left"/>
      <w:pPr>
        <w:ind w:left="1440" w:hanging="360"/>
      </w:pPr>
    </w:lvl>
    <w:lvl w:ilvl="2" w:tplc="04070005">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24" w15:restartNumberingAfterBreak="0">
    <w:nsid w:val="5C951B61"/>
    <w:multiLevelType w:val="hybridMultilevel"/>
    <w:tmpl w:val="121C0A42"/>
    <w:lvl w:ilvl="0" w:tplc="04090003">
      <w:start w:val="1"/>
      <w:numFmt w:val="bullet"/>
      <w:pStyle w:val="Aufzhlungszeichen2"/>
      <w:lvlText w:val=""/>
      <w:lvlJc w:val="left"/>
      <w:pPr>
        <w:tabs>
          <w:tab w:val="num" w:pos="357"/>
        </w:tabs>
        <w:ind w:left="357" w:hanging="357"/>
      </w:pPr>
      <w:rPr>
        <w:rFonts w:ascii="Wingdings" w:hAnsi="Wingdings" w:hint="default"/>
        <w:sz w:val="32"/>
        <w:szCs w:val="32"/>
      </w:rPr>
    </w:lvl>
    <w:lvl w:ilvl="1" w:tplc="04090005"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7057A3"/>
    <w:multiLevelType w:val="hybridMultilevel"/>
    <w:tmpl w:val="13420D26"/>
    <w:lvl w:ilvl="0" w:tplc="754A118C">
      <w:start w:val="1"/>
      <w:numFmt w:val="decimal"/>
      <w:pStyle w:val="Nummerierungsart1"/>
      <w:lvlText w:val="%1."/>
      <w:lvlJc w:val="left"/>
      <w:pPr>
        <w:tabs>
          <w:tab w:val="num" w:pos="357"/>
        </w:tabs>
        <w:ind w:left="357" w:hanging="357"/>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15:restartNumberingAfterBreak="0">
    <w:nsid w:val="64BE1E33"/>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7" w15:restartNumberingAfterBreak="0">
    <w:nsid w:val="651475E2"/>
    <w:multiLevelType w:val="hybridMultilevel"/>
    <w:tmpl w:val="70CA8CA4"/>
    <w:lvl w:ilvl="0" w:tplc="F53C89C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CA2C8C"/>
    <w:multiLevelType w:val="hybridMultilevel"/>
    <w:tmpl w:val="06380258"/>
    <w:lvl w:ilvl="0" w:tplc="91F28F2A">
      <w:start w:val="1"/>
      <w:numFmt w:val="decimal"/>
      <w:pStyle w:val="Instructionsberschrift2"/>
      <w:lvlText w:val="%1."/>
      <w:lvlJc w:val="left"/>
      <w:pPr>
        <w:ind w:left="720" w:hanging="360"/>
      </w:pPr>
      <w:rPr>
        <w:rFonts w:ascii="Times New Roman" w:eastAsia="Times New Roman" w:hAnsi="Times New Roman" w:cs="Times New Roman"/>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7A9067D"/>
    <w:multiLevelType w:val="hybridMultilevel"/>
    <w:tmpl w:val="DE807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9FA5EA3"/>
    <w:multiLevelType w:val="multilevel"/>
    <w:tmpl w:val="D29C4EFC"/>
    <w:styleLink w:val="Formatvorlage4"/>
    <w:lvl w:ilvl="0">
      <w:start w:val="1"/>
      <w:numFmt w:val="decimal"/>
      <w:lvlText w:val="%1."/>
      <w:lvlJc w:val="left"/>
      <w:pPr>
        <w:ind w:left="357" w:hanging="357"/>
      </w:pPr>
      <w:rPr>
        <w:rFonts w:hint="default"/>
        <w:u w:val="single"/>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2" w15:restartNumberingAfterBreak="0">
    <w:nsid w:val="6B3C3166"/>
    <w:multiLevelType w:val="hybridMultilevel"/>
    <w:tmpl w:val="E0A0E978"/>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B76DF5"/>
    <w:multiLevelType w:val="hybridMultilevel"/>
    <w:tmpl w:val="0128A69C"/>
    <w:lvl w:ilvl="0" w:tplc="144021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4"/>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72377034"/>
    <w:multiLevelType w:val="hybridMultilevel"/>
    <w:tmpl w:val="D348E89A"/>
    <w:lvl w:ilvl="0" w:tplc="55E6AEF8">
      <w:start w:val="1"/>
      <w:numFmt w:val="bullet"/>
      <w:pStyle w:val="Aufzhlungszeichen3"/>
      <w:lvlText w:val=""/>
      <w:lvlJc w:val="left"/>
      <w:pPr>
        <w:tabs>
          <w:tab w:val="num" w:pos="357"/>
        </w:tabs>
        <w:ind w:left="357" w:hanging="357"/>
      </w:pPr>
      <w:rPr>
        <w:rFonts w:ascii="Wingdings" w:hAnsi="Wingdings" w:hint="default"/>
        <w:sz w:val="22"/>
        <w:szCs w:val="22"/>
      </w:rPr>
    </w:lvl>
    <w:lvl w:ilvl="1" w:tplc="FA564310" w:tentative="1">
      <w:start w:val="1"/>
      <w:numFmt w:val="bullet"/>
      <w:lvlText w:val="o"/>
      <w:lvlJc w:val="left"/>
      <w:pPr>
        <w:tabs>
          <w:tab w:val="num" w:pos="1440"/>
        </w:tabs>
        <w:ind w:left="1440" w:hanging="360"/>
      </w:pPr>
      <w:rPr>
        <w:rFonts w:ascii="Courier New" w:hAnsi="Courier New" w:cs="Courier New" w:hint="default"/>
      </w:rPr>
    </w:lvl>
    <w:lvl w:ilvl="2" w:tplc="3C4C9E3E" w:tentative="1">
      <w:start w:val="1"/>
      <w:numFmt w:val="bullet"/>
      <w:lvlText w:val=""/>
      <w:lvlJc w:val="left"/>
      <w:pPr>
        <w:tabs>
          <w:tab w:val="num" w:pos="2160"/>
        </w:tabs>
        <w:ind w:left="2160" w:hanging="360"/>
      </w:pPr>
      <w:rPr>
        <w:rFonts w:ascii="Wingdings" w:hAnsi="Wingdings" w:hint="default"/>
      </w:rPr>
    </w:lvl>
    <w:lvl w:ilvl="3" w:tplc="2550B94C" w:tentative="1">
      <w:start w:val="1"/>
      <w:numFmt w:val="bullet"/>
      <w:lvlText w:val=""/>
      <w:lvlJc w:val="left"/>
      <w:pPr>
        <w:tabs>
          <w:tab w:val="num" w:pos="2880"/>
        </w:tabs>
        <w:ind w:left="2880" w:hanging="360"/>
      </w:pPr>
      <w:rPr>
        <w:rFonts w:ascii="Symbol" w:hAnsi="Symbol" w:hint="default"/>
      </w:rPr>
    </w:lvl>
    <w:lvl w:ilvl="4" w:tplc="2EAE39BE" w:tentative="1">
      <w:start w:val="1"/>
      <w:numFmt w:val="bullet"/>
      <w:lvlText w:val="o"/>
      <w:lvlJc w:val="left"/>
      <w:pPr>
        <w:tabs>
          <w:tab w:val="num" w:pos="3600"/>
        </w:tabs>
        <w:ind w:left="3600" w:hanging="360"/>
      </w:pPr>
      <w:rPr>
        <w:rFonts w:ascii="Courier New" w:hAnsi="Courier New" w:cs="Courier New" w:hint="default"/>
      </w:rPr>
    </w:lvl>
    <w:lvl w:ilvl="5" w:tplc="847E5BB6" w:tentative="1">
      <w:start w:val="1"/>
      <w:numFmt w:val="bullet"/>
      <w:lvlText w:val=""/>
      <w:lvlJc w:val="left"/>
      <w:pPr>
        <w:tabs>
          <w:tab w:val="num" w:pos="4320"/>
        </w:tabs>
        <w:ind w:left="4320" w:hanging="360"/>
      </w:pPr>
      <w:rPr>
        <w:rFonts w:ascii="Wingdings" w:hAnsi="Wingdings" w:hint="default"/>
      </w:rPr>
    </w:lvl>
    <w:lvl w:ilvl="6" w:tplc="D9541758" w:tentative="1">
      <w:start w:val="1"/>
      <w:numFmt w:val="bullet"/>
      <w:lvlText w:val=""/>
      <w:lvlJc w:val="left"/>
      <w:pPr>
        <w:tabs>
          <w:tab w:val="num" w:pos="5040"/>
        </w:tabs>
        <w:ind w:left="5040" w:hanging="360"/>
      </w:pPr>
      <w:rPr>
        <w:rFonts w:ascii="Symbol" w:hAnsi="Symbol" w:hint="default"/>
      </w:rPr>
    </w:lvl>
    <w:lvl w:ilvl="7" w:tplc="D16E1988" w:tentative="1">
      <w:start w:val="1"/>
      <w:numFmt w:val="bullet"/>
      <w:lvlText w:val="o"/>
      <w:lvlJc w:val="left"/>
      <w:pPr>
        <w:tabs>
          <w:tab w:val="num" w:pos="5760"/>
        </w:tabs>
        <w:ind w:left="5760" w:hanging="360"/>
      </w:pPr>
      <w:rPr>
        <w:rFonts w:ascii="Courier New" w:hAnsi="Courier New" w:cs="Courier New" w:hint="default"/>
      </w:rPr>
    </w:lvl>
    <w:lvl w:ilvl="8" w:tplc="B5FE466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B32577"/>
    <w:multiLevelType w:val="hybridMultilevel"/>
    <w:tmpl w:val="D8B63E3E"/>
    <w:lvl w:ilvl="0" w:tplc="2E82B0BA">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rPr>
    </w:lvl>
    <w:lvl w:ilvl="1" w:tplc="61F42530" w:tentative="1">
      <w:start w:val="1"/>
      <w:numFmt w:val="bullet"/>
      <w:lvlText w:val="o"/>
      <w:lvlJc w:val="left"/>
      <w:pPr>
        <w:ind w:left="5984" w:hanging="360"/>
      </w:pPr>
      <w:rPr>
        <w:rFonts w:ascii="Courier New" w:hAnsi="Courier New" w:cs="Courier New" w:hint="default"/>
      </w:rPr>
    </w:lvl>
    <w:lvl w:ilvl="2" w:tplc="E45425D8" w:tentative="1">
      <w:start w:val="1"/>
      <w:numFmt w:val="bullet"/>
      <w:lvlText w:val=""/>
      <w:lvlJc w:val="left"/>
      <w:pPr>
        <w:ind w:left="6704" w:hanging="360"/>
      </w:pPr>
      <w:rPr>
        <w:rFonts w:ascii="Wingdings" w:hAnsi="Wingdings" w:hint="default"/>
      </w:rPr>
    </w:lvl>
    <w:lvl w:ilvl="3" w:tplc="32C03EB4" w:tentative="1">
      <w:start w:val="1"/>
      <w:numFmt w:val="bullet"/>
      <w:lvlText w:val=""/>
      <w:lvlJc w:val="left"/>
      <w:pPr>
        <w:ind w:left="7424" w:hanging="360"/>
      </w:pPr>
      <w:rPr>
        <w:rFonts w:ascii="Symbol" w:hAnsi="Symbol" w:hint="default"/>
      </w:rPr>
    </w:lvl>
    <w:lvl w:ilvl="4" w:tplc="E5441FBE" w:tentative="1">
      <w:start w:val="1"/>
      <w:numFmt w:val="bullet"/>
      <w:lvlText w:val="o"/>
      <w:lvlJc w:val="left"/>
      <w:pPr>
        <w:ind w:left="8144" w:hanging="360"/>
      </w:pPr>
      <w:rPr>
        <w:rFonts w:ascii="Courier New" w:hAnsi="Courier New" w:cs="Courier New" w:hint="default"/>
      </w:rPr>
    </w:lvl>
    <w:lvl w:ilvl="5" w:tplc="32D6823A" w:tentative="1">
      <w:start w:val="1"/>
      <w:numFmt w:val="bullet"/>
      <w:lvlText w:val=""/>
      <w:lvlJc w:val="left"/>
      <w:pPr>
        <w:ind w:left="8864" w:hanging="360"/>
      </w:pPr>
      <w:rPr>
        <w:rFonts w:ascii="Wingdings" w:hAnsi="Wingdings" w:hint="default"/>
      </w:rPr>
    </w:lvl>
    <w:lvl w:ilvl="6" w:tplc="86D2AC18" w:tentative="1">
      <w:start w:val="1"/>
      <w:numFmt w:val="bullet"/>
      <w:lvlText w:val=""/>
      <w:lvlJc w:val="left"/>
      <w:pPr>
        <w:ind w:left="9584" w:hanging="360"/>
      </w:pPr>
      <w:rPr>
        <w:rFonts w:ascii="Symbol" w:hAnsi="Symbol" w:hint="default"/>
      </w:rPr>
    </w:lvl>
    <w:lvl w:ilvl="7" w:tplc="A2A4E956" w:tentative="1">
      <w:start w:val="1"/>
      <w:numFmt w:val="bullet"/>
      <w:lvlText w:val="o"/>
      <w:lvlJc w:val="left"/>
      <w:pPr>
        <w:ind w:left="10304" w:hanging="360"/>
      </w:pPr>
      <w:rPr>
        <w:rFonts w:ascii="Courier New" w:hAnsi="Courier New" w:cs="Courier New" w:hint="default"/>
      </w:rPr>
    </w:lvl>
    <w:lvl w:ilvl="8" w:tplc="153A9FE2" w:tentative="1">
      <w:start w:val="1"/>
      <w:numFmt w:val="bullet"/>
      <w:lvlText w:val=""/>
      <w:lvlJc w:val="left"/>
      <w:pPr>
        <w:ind w:left="11024" w:hanging="360"/>
      </w:pPr>
      <w:rPr>
        <w:rFonts w:ascii="Wingdings" w:hAnsi="Wingdings" w:hint="default"/>
      </w:rPr>
    </w:lvl>
  </w:abstractNum>
  <w:abstractNum w:abstractNumId="37" w15:restartNumberingAfterBreak="0">
    <w:nsid w:val="7ED61C3B"/>
    <w:multiLevelType w:val="multilevel"/>
    <w:tmpl w:val="5EF2CF40"/>
    <w:lvl w:ilvl="0">
      <w:numFmt w:val="bullet"/>
      <w:lvlText w:val="-"/>
      <w:lvlJc w:val="left"/>
      <w:pPr>
        <w:ind w:left="357" w:hanging="357"/>
      </w:pPr>
      <w:rPr>
        <w:rFonts w:ascii="Times New Roman" w:eastAsiaTheme="minorHAnsi" w:hAnsi="Times New Roman" w:cs="Times New Roman" w:hint="default"/>
      </w:rPr>
    </w:lvl>
    <w:lvl w:ilvl="1">
      <w:start w:val="1"/>
      <w:numFmt w:val="decimal"/>
      <w:lvlText w:val="%1.%2."/>
      <w:lvlJc w:val="left"/>
      <w:pPr>
        <w:ind w:left="641"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8" w15:restartNumberingAfterBreak="0">
    <w:nsid w:val="7FA52C83"/>
    <w:multiLevelType w:val="hybridMultilevel"/>
    <w:tmpl w:val="BAD2896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8"/>
  </w:num>
  <w:num w:numId="3">
    <w:abstractNumId w:val="15"/>
  </w:num>
  <w:num w:numId="4">
    <w:abstractNumId w:val="7"/>
  </w:num>
  <w:num w:numId="5">
    <w:abstractNumId w:val="2"/>
  </w:num>
  <w:num w:numId="6">
    <w:abstractNumId w:val="36"/>
  </w:num>
  <w:num w:numId="7">
    <w:abstractNumId w:val="1"/>
  </w:num>
  <w:num w:numId="8">
    <w:abstractNumId w:val="24"/>
  </w:num>
  <w:num w:numId="9">
    <w:abstractNumId w:val="35"/>
  </w:num>
  <w:num w:numId="10">
    <w:abstractNumId w:val="16"/>
  </w:num>
  <w:num w:numId="11">
    <w:abstractNumId w:val="30"/>
  </w:num>
  <w:num w:numId="12">
    <w:abstractNumId w:val="14"/>
  </w:num>
  <w:num w:numId="13">
    <w:abstractNumId w:val="34"/>
  </w:num>
  <w:num w:numId="14">
    <w:abstractNumId w:val="6"/>
  </w:num>
  <w:num w:numId="15">
    <w:abstractNumId w:val="25"/>
  </w:num>
  <w:num w:numId="16">
    <w:abstractNumId w:val="13"/>
  </w:num>
  <w:num w:numId="17">
    <w:abstractNumId w:val="21"/>
  </w:num>
  <w:num w:numId="18">
    <w:abstractNumId w:val="11"/>
  </w:num>
  <w:num w:numId="19">
    <w:abstractNumId w:val="28"/>
  </w:num>
  <w:num w:numId="20">
    <w:abstractNumId w:val="23"/>
  </w:num>
  <w:num w:numId="21">
    <w:abstractNumId w:val="12"/>
  </w:num>
  <w:num w:numId="22">
    <w:abstractNumId w:val="20"/>
  </w:num>
  <w:num w:numId="23">
    <w:abstractNumId w:val="31"/>
  </w:num>
  <w:num w:numId="24">
    <w:abstractNumId w:val="4"/>
  </w:num>
  <w:num w:numId="25">
    <w:abstractNumId w:val="26"/>
  </w:num>
  <w:num w:numId="26">
    <w:abstractNumId w:val="37"/>
  </w:num>
  <w:num w:numId="27">
    <w:abstractNumId w:val="29"/>
  </w:num>
  <w:num w:numId="28">
    <w:abstractNumId w:val="18"/>
  </w:num>
  <w:num w:numId="29">
    <w:abstractNumId w:val="27"/>
  </w:num>
  <w:num w:numId="30">
    <w:abstractNumId w:val="38"/>
  </w:num>
  <w:num w:numId="31">
    <w:abstractNumId w:val="10"/>
  </w:num>
  <w:num w:numId="32">
    <w:abstractNumId w:val="19"/>
  </w:num>
  <w:num w:numId="33">
    <w:abstractNumId w:val="12"/>
  </w:num>
  <w:num w:numId="34">
    <w:abstractNumId w:val="12"/>
  </w:num>
  <w:num w:numId="35">
    <w:abstractNumId w:val="12"/>
  </w:num>
  <w:num w:numId="36">
    <w:abstractNumId w:val="33"/>
  </w:num>
  <w:num w:numId="37">
    <w:abstractNumId w:val="12"/>
  </w:num>
  <w:num w:numId="38">
    <w:abstractNumId w:val="32"/>
  </w:num>
  <w:num w:numId="39">
    <w:abstractNumId w:val="17"/>
  </w:num>
  <w:num w:numId="40">
    <w:abstractNumId w:val="9"/>
  </w:num>
  <w:num w:numId="41">
    <w:abstractNumId w:val="12"/>
  </w:num>
  <w:num w:numId="42">
    <w:abstractNumId w:val="12"/>
  </w:num>
  <w:num w:numId="43">
    <w:abstractNumId w:val="3"/>
  </w:num>
  <w:num w:numId="44">
    <w:abstractNumId w:val="22"/>
  </w:num>
  <w:num w:numId="45">
    <w:abstractNumId w:val="5"/>
  </w:num>
  <w:num w:numId="46">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90"/>
  <w:drawingGridVerticalSpacing w:val="181"/>
  <w:displayHorizontalDrawingGridEvery w:val="2"/>
  <w:noPunctuationKerning/>
  <w:characterSpacingControl w:val="doNotCompress"/>
  <w:hdrShapeDefaults>
    <o:shapedefaults v:ext="edit" spidmax="16385" fill="f" fillcolor="white" stroke="f">
      <v:fill color="white" on="f"/>
      <v:stroke on="f"/>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4754B"/>
    <w:rsid w:val="000008C5"/>
    <w:rsid w:val="00000F21"/>
    <w:rsid w:val="00001954"/>
    <w:rsid w:val="00002206"/>
    <w:rsid w:val="00002D30"/>
    <w:rsid w:val="00003BBA"/>
    <w:rsid w:val="0000611B"/>
    <w:rsid w:val="00006CEB"/>
    <w:rsid w:val="0001009B"/>
    <w:rsid w:val="00011618"/>
    <w:rsid w:val="0001167D"/>
    <w:rsid w:val="000163CB"/>
    <w:rsid w:val="00016AFB"/>
    <w:rsid w:val="00017C5E"/>
    <w:rsid w:val="00022D49"/>
    <w:rsid w:val="000236FF"/>
    <w:rsid w:val="00030988"/>
    <w:rsid w:val="00030A95"/>
    <w:rsid w:val="00031FAA"/>
    <w:rsid w:val="00032DC0"/>
    <w:rsid w:val="0003735D"/>
    <w:rsid w:val="00037947"/>
    <w:rsid w:val="0004746E"/>
    <w:rsid w:val="00047A5F"/>
    <w:rsid w:val="000515A8"/>
    <w:rsid w:val="00053DFD"/>
    <w:rsid w:val="00060AEF"/>
    <w:rsid w:val="00060D86"/>
    <w:rsid w:val="00061696"/>
    <w:rsid w:val="00061FBE"/>
    <w:rsid w:val="0006345F"/>
    <w:rsid w:val="00064698"/>
    <w:rsid w:val="0007729E"/>
    <w:rsid w:val="00080B5B"/>
    <w:rsid w:val="00086A8A"/>
    <w:rsid w:val="00087C56"/>
    <w:rsid w:val="00090312"/>
    <w:rsid w:val="00092348"/>
    <w:rsid w:val="000A14BE"/>
    <w:rsid w:val="000A1DC4"/>
    <w:rsid w:val="000A2489"/>
    <w:rsid w:val="000A32B5"/>
    <w:rsid w:val="000A4638"/>
    <w:rsid w:val="000A4658"/>
    <w:rsid w:val="000A6437"/>
    <w:rsid w:val="000A6584"/>
    <w:rsid w:val="000A715B"/>
    <w:rsid w:val="000A7286"/>
    <w:rsid w:val="000A78A1"/>
    <w:rsid w:val="000A7B45"/>
    <w:rsid w:val="000B108D"/>
    <w:rsid w:val="000B2DD8"/>
    <w:rsid w:val="000B5761"/>
    <w:rsid w:val="000B74A7"/>
    <w:rsid w:val="000C04BB"/>
    <w:rsid w:val="000C216B"/>
    <w:rsid w:val="000C3F11"/>
    <w:rsid w:val="000C6AAC"/>
    <w:rsid w:val="000D1827"/>
    <w:rsid w:val="000D338D"/>
    <w:rsid w:val="000D3973"/>
    <w:rsid w:val="000D5823"/>
    <w:rsid w:val="000D6138"/>
    <w:rsid w:val="000D64CA"/>
    <w:rsid w:val="000D6823"/>
    <w:rsid w:val="000E083F"/>
    <w:rsid w:val="000E1415"/>
    <w:rsid w:val="000E2D94"/>
    <w:rsid w:val="000E4A3F"/>
    <w:rsid w:val="000E4B8D"/>
    <w:rsid w:val="000E5AAE"/>
    <w:rsid w:val="000E62A7"/>
    <w:rsid w:val="000E6617"/>
    <w:rsid w:val="000E715A"/>
    <w:rsid w:val="000F26EF"/>
    <w:rsid w:val="000F4B74"/>
    <w:rsid w:val="000F5F49"/>
    <w:rsid w:val="000F74E8"/>
    <w:rsid w:val="000F7613"/>
    <w:rsid w:val="001005A7"/>
    <w:rsid w:val="00110BC7"/>
    <w:rsid w:val="001133CE"/>
    <w:rsid w:val="00114345"/>
    <w:rsid w:val="0011472E"/>
    <w:rsid w:val="0011649C"/>
    <w:rsid w:val="00124715"/>
    <w:rsid w:val="00125BAF"/>
    <w:rsid w:val="00125CA1"/>
    <w:rsid w:val="00127AC7"/>
    <w:rsid w:val="001305CF"/>
    <w:rsid w:val="00130EEF"/>
    <w:rsid w:val="00132069"/>
    <w:rsid w:val="00132855"/>
    <w:rsid w:val="00132A0E"/>
    <w:rsid w:val="00141FF2"/>
    <w:rsid w:val="00142ED4"/>
    <w:rsid w:val="00146CA4"/>
    <w:rsid w:val="00151462"/>
    <w:rsid w:val="00151D33"/>
    <w:rsid w:val="00154FCE"/>
    <w:rsid w:val="001572C1"/>
    <w:rsid w:val="00162ABC"/>
    <w:rsid w:val="00164A3E"/>
    <w:rsid w:val="00166C41"/>
    <w:rsid w:val="00167041"/>
    <w:rsid w:val="00171C3F"/>
    <w:rsid w:val="00171C76"/>
    <w:rsid w:val="001721BF"/>
    <w:rsid w:val="00173FAA"/>
    <w:rsid w:val="0017558C"/>
    <w:rsid w:val="00175A51"/>
    <w:rsid w:val="00180521"/>
    <w:rsid w:val="00180FB9"/>
    <w:rsid w:val="00181A8D"/>
    <w:rsid w:val="001820FB"/>
    <w:rsid w:val="00182C1B"/>
    <w:rsid w:val="001849BA"/>
    <w:rsid w:val="00184D76"/>
    <w:rsid w:val="00186774"/>
    <w:rsid w:val="00187E4B"/>
    <w:rsid w:val="00193A99"/>
    <w:rsid w:val="00197F19"/>
    <w:rsid w:val="001A2ABA"/>
    <w:rsid w:val="001A3E77"/>
    <w:rsid w:val="001A46E4"/>
    <w:rsid w:val="001B1458"/>
    <w:rsid w:val="001B2410"/>
    <w:rsid w:val="001B2D84"/>
    <w:rsid w:val="001B34D0"/>
    <w:rsid w:val="001B3BF0"/>
    <w:rsid w:val="001C123F"/>
    <w:rsid w:val="001C2254"/>
    <w:rsid w:val="001C27BF"/>
    <w:rsid w:val="001C50A4"/>
    <w:rsid w:val="001C597D"/>
    <w:rsid w:val="001D1678"/>
    <w:rsid w:val="001D386D"/>
    <w:rsid w:val="001D4A4A"/>
    <w:rsid w:val="001D4EC2"/>
    <w:rsid w:val="001D5CFB"/>
    <w:rsid w:val="001D629F"/>
    <w:rsid w:val="001D6F2F"/>
    <w:rsid w:val="001E58D0"/>
    <w:rsid w:val="001E5F9C"/>
    <w:rsid w:val="001F0ECD"/>
    <w:rsid w:val="001F28C3"/>
    <w:rsid w:val="001F3810"/>
    <w:rsid w:val="001F4281"/>
    <w:rsid w:val="001F7C68"/>
    <w:rsid w:val="001F7D7C"/>
    <w:rsid w:val="002143BB"/>
    <w:rsid w:val="00214915"/>
    <w:rsid w:val="002149E4"/>
    <w:rsid w:val="00214D62"/>
    <w:rsid w:val="002161E2"/>
    <w:rsid w:val="00217B44"/>
    <w:rsid w:val="00217D1F"/>
    <w:rsid w:val="00220160"/>
    <w:rsid w:val="0022597B"/>
    <w:rsid w:val="002262E5"/>
    <w:rsid w:val="002323A0"/>
    <w:rsid w:val="00233A74"/>
    <w:rsid w:val="00235FBA"/>
    <w:rsid w:val="00236766"/>
    <w:rsid w:val="00237DD1"/>
    <w:rsid w:val="0024092A"/>
    <w:rsid w:val="0024434F"/>
    <w:rsid w:val="00244DA1"/>
    <w:rsid w:val="0024511B"/>
    <w:rsid w:val="00245CB1"/>
    <w:rsid w:val="002509B1"/>
    <w:rsid w:val="00252F75"/>
    <w:rsid w:val="00253D80"/>
    <w:rsid w:val="00254983"/>
    <w:rsid w:val="00255202"/>
    <w:rsid w:val="002573FC"/>
    <w:rsid w:val="00260D4F"/>
    <w:rsid w:val="00270DBA"/>
    <w:rsid w:val="0027305C"/>
    <w:rsid w:val="0027308B"/>
    <w:rsid w:val="002736E3"/>
    <w:rsid w:val="00275435"/>
    <w:rsid w:val="0027548E"/>
    <w:rsid w:val="002849D6"/>
    <w:rsid w:val="00286279"/>
    <w:rsid w:val="00291B93"/>
    <w:rsid w:val="00292FC3"/>
    <w:rsid w:val="0029415C"/>
    <w:rsid w:val="00294990"/>
    <w:rsid w:val="002A07A2"/>
    <w:rsid w:val="002B0879"/>
    <w:rsid w:val="002B34A4"/>
    <w:rsid w:val="002B3FF4"/>
    <w:rsid w:val="002B7C73"/>
    <w:rsid w:val="002C1F24"/>
    <w:rsid w:val="002C4B54"/>
    <w:rsid w:val="002C5729"/>
    <w:rsid w:val="002C5782"/>
    <w:rsid w:val="002C6479"/>
    <w:rsid w:val="002D2944"/>
    <w:rsid w:val="002E1083"/>
    <w:rsid w:val="002E3728"/>
    <w:rsid w:val="002E3FD6"/>
    <w:rsid w:val="002E6BDF"/>
    <w:rsid w:val="002E6BEF"/>
    <w:rsid w:val="00300E22"/>
    <w:rsid w:val="0030136E"/>
    <w:rsid w:val="003027FE"/>
    <w:rsid w:val="00302FB6"/>
    <w:rsid w:val="003032DF"/>
    <w:rsid w:val="0030524E"/>
    <w:rsid w:val="003113EE"/>
    <w:rsid w:val="00315160"/>
    <w:rsid w:val="00316050"/>
    <w:rsid w:val="003167BD"/>
    <w:rsid w:val="00316905"/>
    <w:rsid w:val="00317861"/>
    <w:rsid w:val="003231FC"/>
    <w:rsid w:val="00324840"/>
    <w:rsid w:val="003260D7"/>
    <w:rsid w:val="003264FC"/>
    <w:rsid w:val="003335A9"/>
    <w:rsid w:val="0033504B"/>
    <w:rsid w:val="003353A9"/>
    <w:rsid w:val="003355CE"/>
    <w:rsid w:val="003358B6"/>
    <w:rsid w:val="003371AF"/>
    <w:rsid w:val="003411F8"/>
    <w:rsid w:val="003418AD"/>
    <w:rsid w:val="0034348F"/>
    <w:rsid w:val="00345499"/>
    <w:rsid w:val="003475AF"/>
    <w:rsid w:val="00352D4B"/>
    <w:rsid w:val="0036007F"/>
    <w:rsid w:val="00360553"/>
    <w:rsid w:val="00361101"/>
    <w:rsid w:val="00361752"/>
    <w:rsid w:val="00373CFA"/>
    <w:rsid w:val="003754F2"/>
    <w:rsid w:val="0037735D"/>
    <w:rsid w:val="00384D30"/>
    <w:rsid w:val="00385061"/>
    <w:rsid w:val="00386CDA"/>
    <w:rsid w:val="00387DC5"/>
    <w:rsid w:val="00390B7F"/>
    <w:rsid w:val="00391EF9"/>
    <w:rsid w:val="00392036"/>
    <w:rsid w:val="00393D7A"/>
    <w:rsid w:val="00394D11"/>
    <w:rsid w:val="00395FEB"/>
    <w:rsid w:val="003A3804"/>
    <w:rsid w:val="003A5275"/>
    <w:rsid w:val="003A5995"/>
    <w:rsid w:val="003A5B2A"/>
    <w:rsid w:val="003A6DAC"/>
    <w:rsid w:val="003B0909"/>
    <w:rsid w:val="003B09C0"/>
    <w:rsid w:val="003B1279"/>
    <w:rsid w:val="003B2DDA"/>
    <w:rsid w:val="003B3015"/>
    <w:rsid w:val="003B4192"/>
    <w:rsid w:val="003B472A"/>
    <w:rsid w:val="003B555D"/>
    <w:rsid w:val="003B5CD9"/>
    <w:rsid w:val="003C4CC8"/>
    <w:rsid w:val="003C6064"/>
    <w:rsid w:val="003C66FA"/>
    <w:rsid w:val="003C7E9B"/>
    <w:rsid w:val="003D0536"/>
    <w:rsid w:val="003D118F"/>
    <w:rsid w:val="003E12AE"/>
    <w:rsid w:val="003E1D33"/>
    <w:rsid w:val="003E23B1"/>
    <w:rsid w:val="003E4F6D"/>
    <w:rsid w:val="003F1BF6"/>
    <w:rsid w:val="003F37CB"/>
    <w:rsid w:val="003F598C"/>
    <w:rsid w:val="003F6C06"/>
    <w:rsid w:val="00401A21"/>
    <w:rsid w:val="00404AA3"/>
    <w:rsid w:val="004052F0"/>
    <w:rsid w:val="00406605"/>
    <w:rsid w:val="00407A0F"/>
    <w:rsid w:val="00410E47"/>
    <w:rsid w:val="00413A7F"/>
    <w:rsid w:val="00414EB6"/>
    <w:rsid w:val="004178C8"/>
    <w:rsid w:val="00422C76"/>
    <w:rsid w:val="0042419F"/>
    <w:rsid w:val="00424A0A"/>
    <w:rsid w:val="00424BB8"/>
    <w:rsid w:val="00430CAC"/>
    <w:rsid w:val="00433529"/>
    <w:rsid w:val="00434439"/>
    <w:rsid w:val="00436233"/>
    <w:rsid w:val="004379F7"/>
    <w:rsid w:val="0044777F"/>
    <w:rsid w:val="0045378E"/>
    <w:rsid w:val="00453BD6"/>
    <w:rsid w:val="004573B6"/>
    <w:rsid w:val="00460502"/>
    <w:rsid w:val="004618EC"/>
    <w:rsid w:val="00462168"/>
    <w:rsid w:val="0046231D"/>
    <w:rsid w:val="00463240"/>
    <w:rsid w:val="00465521"/>
    <w:rsid w:val="00467C7D"/>
    <w:rsid w:val="00470082"/>
    <w:rsid w:val="00470C9E"/>
    <w:rsid w:val="00471639"/>
    <w:rsid w:val="00472209"/>
    <w:rsid w:val="00472EC7"/>
    <w:rsid w:val="00473173"/>
    <w:rsid w:val="00481854"/>
    <w:rsid w:val="00482670"/>
    <w:rsid w:val="004835BD"/>
    <w:rsid w:val="00484555"/>
    <w:rsid w:val="0048526F"/>
    <w:rsid w:val="00492435"/>
    <w:rsid w:val="004968DF"/>
    <w:rsid w:val="004A15F0"/>
    <w:rsid w:val="004A1A27"/>
    <w:rsid w:val="004A296A"/>
    <w:rsid w:val="004A3009"/>
    <w:rsid w:val="004A347E"/>
    <w:rsid w:val="004A4633"/>
    <w:rsid w:val="004A4C19"/>
    <w:rsid w:val="004A5220"/>
    <w:rsid w:val="004A61B4"/>
    <w:rsid w:val="004B331D"/>
    <w:rsid w:val="004B44F1"/>
    <w:rsid w:val="004B5877"/>
    <w:rsid w:val="004B653A"/>
    <w:rsid w:val="004C2CFB"/>
    <w:rsid w:val="004C587B"/>
    <w:rsid w:val="004C6361"/>
    <w:rsid w:val="004D12DC"/>
    <w:rsid w:val="004D14B5"/>
    <w:rsid w:val="004D223F"/>
    <w:rsid w:val="004D2325"/>
    <w:rsid w:val="004D36F1"/>
    <w:rsid w:val="004D7C73"/>
    <w:rsid w:val="004E100C"/>
    <w:rsid w:val="004E437E"/>
    <w:rsid w:val="004F0C5D"/>
    <w:rsid w:val="004F39F5"/>
    <w:rsid w:val="004F4B70"/>
    <w:rsid w:val="00505096"/>
    <w:rsid w:val="00505AEE"/>
    <w:rsid w:val="00505D21"/>
    <w:rsid w:val="0050602F"/>
    <w:rsid w:val="00510FE5"/>
    <w:rsid w:val="00512342"/>
    <w:rsid w:val="00512B5A"/>
    <w:rsid w:val="00513244"/>
    <w:rsid w:val="00514EAE"/>
    <w:rsid w:val="005170CA"/>
    <w:rsid w:val="00520804"/>
    <w:rsid w:val="005254CB"/>
    <w:rsid w:val="0053018F"/>
    <w:rsid w:val="00530472"/>
    <w:rsid w:val="00530B7F"/>
    <w:rsid w:val="00531A77"/>
    <w:rsid w:val="0053335C"/>
    <w:rsid w:val="005334AA"/>
    <w:rsid w:val="00534FED"/>
    <w:rsid w:val="00540765"/>
    <w:rsid w:val="00542741"/>
    <w:rsid w:val="005441C9"/>
    <w:rsid w:val="00544664"/>
    <w:rsid w:val="00553B13"/>
    <w:rsid w:val="0055482B"/>
    <w:rsid w:val="005550ED"/>
    <w:rsid w:val="005556DC"/>
    <w:rsid w:val="00556C46"/>
    <w:rsid w:val="00557776"/>
    <w:rsid w:val="005637C9"/>
    <w:rsid w:val="00564147"/>
    <w:rsid w:val="00564469"/>
    <w:rsid w:val="00565261"/>
    <w:rsid w:val="005706FB"/>
    <w:rsid w:val="00572698"/>
    <w:rsid w:val="0057423E"/>
    <w:rsid w:val="00574827"/>
    <w:rsid w:val="0057624C"/>
    <w:rsid w:val="0057643F"/>
    <w:rsid w:val="00576B1D"/>
    <w:rsid w:val="00580256"/>
    <w:rsid w:val="00590FFA"/>
    <w:rsid w:val="00592197"/>
    <w:rsid w:val="0059457E"/>
    <w:rsid w:val="00595A81"/>
    <w:rsid w:val="005A0FE7"/>
    <w:rsid w:val="005A1569"/>
    <w:rsid w:val="005A23B9"/>
    <w:rsid w:val="005A28BE"/>
    <w:rsid w:val="005A5B50"/>
    <w:rsid w:val="005B1C10"/>
    <w:rsid w:val="005C09F7"/>
    <w:rsid w:val="005C1136"/>
    <w:rsid w:val="005C3639"/>
    <w:rsid w:val="005C5A30"/>
    <w:rsid w:val="005C5E78"/>
    <w:rsid w:val="005C6F27"/>
    <w:rsid w:val="005D0068"/>
    <w:rsid w:val="005D5E9E"/>
    <w:rsid w:val="005D7EDA"/>
    <w:rsid w:val="005E11D1"/>
    <w:rsid w:val="005E1C85"/>
    <w:rsid w:val="005E2F5D"/>
    <w:rsid w:val="005E5BB9"/>
    <w:rsid w:val="005E73EB"/>
    <w:rsid w:val="005F3AC8"/>
    <w:rsid w:val="005F557E"/>
    <w:rsid w:val="005F704F"/>
    <w:rsid w:val="006033AB"/>
    <w:rsid w:val="00603F44"/>
    <w:rsid w:val="00603F66"/>
    <w:rsid w:val="00605108"/>
    <w:rsid w:val="0060766D"/>
    <w:rsid w:val="00607A1B"/>
    <w:rsid w:val="0061104D"/>
    <w:rsid w:val="0061109E"/>
    <w:rsid w:val="006162F0"/>
    <w:rsid w:val="006171B4"/>
    <w:rsid w:val="00617F95"/>
    <w:rsid w:val="0062069D"/>
    <w:rsid w:val="00621B0F"/>
    <w:rsid w:val="00625DC4"/>
    <w:rsid w:val="0062777A"/>
    <w:rsid w:val="00627E07"/>
    <w:rsid w:val="00633D3F"/>
    <w:rsid w:val="00634086"/>
    <w:rsid w:val="00634337"/>
    <w:rsid w:val="00637945"/>
    <w:rsid w:val="0064027F"/>
    <w:rsid w:val="00642285"/>
    <w:rsid w:val="0064488F"/>
    <w:rsid w:val="006470A6"/>
    <w:rsid w:val="00650723"/>
    <w:rsid w:val="00652361"/>
    <w:rsid w:val="006537BB"/>
    <w:rsid w:val="00655C0D"/>
    <w:rsid w:val="00657F8D"/>
    <w:rsid w:val="006604D8"/>
    <w:rsid w:val="00661667"/>
    <w:rsid w:val="006622A7"/>
    <w:rsid w:val="006646F1"/>
    <w:rsid w:val="0067137A"/>
    <w:rsid w:val="00673A97"/>
    <w:rsid w:val="00675587"/>
    <w:rsid w:val="00675B54"/>
    <w:rsid w:val="00676811"/>
    <w:rsid w:val="00677250"/>
    <w:rsid w:val="0068073E"/>
    <w:rsid w:val="00684A92"/>
    <w:rsid w:val="00687851"/>
    <w:rsid w:val="006914A2"/>
    <w:rsid w:val="00691A5C"/>
    <w:rsid w:val="00691DAA"/>
    <w:rsid w:val="0069203D"/>
    <w:rsid w:val="006944D1"/>
    <w:rsid w:val="00697252"/>
    <w:rsid w:val="006A0010"/>
    <w:rsid w:val="006A0DFB"/>
    <w:rsid w:val="006A2D2A"/>
    <w:rsid w:val="006A32F5"/>
    <w:rsid w:val="006A5A49"/>
    <w:rsid w:val="006A70F4"/>
    <w:rsid w:val="006A79D4"/>
    <w:rsid w:val="006B0C51"/>
    <w:rsid w:val="006B3B83"/>
    <w:rsid w:val="006B3F16"/>
    <w:rsid w:val="006B5730"/>
    <w:rsid w:val="006B5E42"/>
    <w:rsid w:val="006B5EBA"/>
    <w:rsid w:val="006C030C"/>
    <w:rsid w:val="006C0C0A"/>
    <w:rsid w:val="006C1A7F"/>
    <w:rsid w:val="006C2125"/>
    <w:rsid w:val="006C69BD"/>
    <w:rsid w:val="006D1BFE"/>
    <w:rsid w:val="006D3F98"/>
    <w:rsid w:val="006D7886"/>
    <w:rsid w:val="006D7B47"/>
    <w:rsid w:val="006E1E69"/>
    <w:rsid w:val="006E2997"/>
    <w:rsid w:val="006E657C"/>
    <w:rsid w:val="006E7944"/>
    <w:rsid w:val="006F0266"/>
    <w:rsid w:val="006F112E"/>
    <w:rsid w:val="006F3775"/>
    <w:rsid w:val="006F4457"/>
    <w:rsid w:val="006F4788"/>
    <w:rsid w:val="006F63EA"/>
    <w:rsid w:val="006F6CC7"/>
    <w:rsid w:val="006F7AAD"/>
    <w:rsid w:val="00700DA6"/>
    <w:rsid w:val="007022DC"/>
    <w:rsid w:val="0070279B"/>
    <w:rsid w:val="00703D5A"/>
    <w:rsid w:val="00704E67"/>
    <w:rsid w:val="00706750"/>
    <w:rsid w:val="007100CC"/>
    <w:rsid w:val="007129B2"/>
    <w:rsid w:val="00713998"/>
    <w:rsid w:val="00713ABC"/>
    <w:rsid w:val="00714306"/>
    <w:rsid w:val="007157C8"/>
    <w:rsid w:val="007161DB"/>
    <w:rsid w:val="00716F26"/>
    <w:rsid w:val="00720503"/>
    <w:rsid w:val="00720943"/>
    <w:rsid w:val="00723994"/>
    <w:rsid w:val="00731216"/>
    <w:rsid w:val="00731C96"/>
    <w:rsid w:val="00732A34"/>
    <w:rsid w:val="00732A8A"/>
    <w:rsid w:val="00732FC0"/>
    <w:rsid w:val="007348B9"/>
    <w:rsid w:val="00735D76"/>
    <w:rsid w:val="0074473F"/>
    <w:rsid w:val="007449D7"/>
    <w:rsid w:val="00746D86"/>
    <w:rsid w:val="00750C66"/>
    <w:rsid w:val="00751DEF"/>
    <w:rsid w:val="00754D85"/>
    <w:rsid w:val="007611CF"/>
    <w:rsid w:val="007625FE"/>
    <w:rsid w:val="00765E8F"/>
    <w:rsid w:val="0077078C"/>
    <w:rsid w:val="00772B95"/>
    <w:rsid w:val="007737A3"/>
    <w:rsid w:val="00773BB8"/>
    <w:rsid w:val="007748A3"/>
    <w:rsid w:val="007749D9"/>
    <w:rsid w:val="0077517E"/>
    <w:rsid w:val="0077565E"/>
    <w:rsid w:val="007772F8"/>
    <w:rsid w:val="0077762D"/>
    <w:rsid w:val="00777EDA"/>
    <w:rsid w:val="0078115E"/>
    <w:rsid w:val="0078134B"/>
    <w:rsid w:val="00781E1E"/>
    <w:rsid w:val="00783CC3"/>
    <w:rsid w:val="0078401E"/>
    <w:rsid w:val="00790DA1"/>
    <w:rsid w:val="00791FF9"/>
    <w:rsid w:val="007934F7"/>
    <w:rsid w:val="00793EE3"/>
    <w:rsid w:val="00794935"/>
    <w:rsid w:val="007A001B"/>
    <w:rsid w:val="007A0B0D"/>
    <w:rsid w:val="007A0E3A"/>
    <w:rsid w:val="007A1271"/>
    <w:rsid w:val="007A4772"/>
    <w:rsid w:val="007A4D96"/>
    <w:rsid w:val="007B0654"/>
    <w:rsid w:val="007B37F0"/>
    <w:rsid w:val="007B65AA"/>
    <w:rsid w:val="007B7393"/>
    <w:rsid w:val="007C0838"/>
    <w:rsid w:val="007C09C7"/>
    <w:rsid w:val="007C178B"/>
    <w:rsid w:val="007C27EF"/>
    <w:rsid w:val="007C2D57"/>
    <w:rsid w:val="007C3DF7"/>
    <w:rsid w:val="007C68B3"/>
    <w:rsid w:val="007D227C"/>
    <w:rsid w:val="007D264E"/>
    <w:rsid w:val="007D2D5E"/>
    <w:rsid w:val="007D6824"/>
    <w:rsid w:val="007E15B2"/>
    <w:rsid w:val="007E1F46"/>
    <w:rsid w:val="007E2A41"/>
    <w:rsid w:val="007E3631"/>
    <w:rsid w:val="007E52B2"/>
    <w:rsid w:val="007E64C7"/>
    <w:rsid w:val="007E65E8"/>
    <w:rsid w:val="007F3CC5"/>
    <w:rsid w:val="007F4863"/>
    <w:rsid w:val="007F4D50"/>
    <w:rsid w:val="007F58C1"/>
    <w:rsid w:val="007F5C5C"/>
    <w:rsid w:val="007F617B"/>
    <w:rsid w:val="007F737A"/>
    <w:rsid w:val="007F789D"/>
    <w:rsid w:val="007F7E5F"/>
    <w:rsid w:val="00800FD8"/>
    <w:rsid w:val="00801179"/>
    <w:rsid w:val="008011A3"/>
    <w:rsid w:val="008043B3"/>
    <w:rsid w:val="00805DD8"/>
    <w:rsid w:val="00806216"/>
    <w:rsid w:val="00810EDB"/>
    <w:rsid w:val="00811D20"/>
    <w:rsid w:val="00813C47"/>
    <w:rsid w:val="008153CE"/>
    <w:rsid w:val="0082289C"/>
    <w:rsid w:val="00823913"/>
    <w:rsid w:val="0082401E"/>
    <w:rsid w:val="0082480F"/>
    <w:rsid w:val="008252BC"/>
    <w:rsid w:val="00825376"/>
    <w:rsid w:val="00826E34"/>
    <w:rsid w:val="00830E69"/>
    <w:rsid w:val="0083234B"/>
    <w:rsid w:val="008345C8"/>
    <w:rsid w:val="0083515B"/>
    <w:rsid w:val="00835E98"/>
    <w:rsid w:val="00836521"/>
    <w:rsid w:val="0083687A"/>
    <w:rsid w:val="00837EA8"/>
    <w:rsid w:val="00837F1A"/>
    <w:rsid w:val="0084062C"/>
    <w:rsid w:val="00840C29"/>
    <w:rsid w:val="008416A0"/>
    <w:rsid w:val="008434F0"/>
    <w:rsid w:val="00844A35"/>
    <w:rsid w:val="0084699F"/>
    <w:rsid w:val="00846CCB"/>
    <w:rsid w:val="00847EDD"/>
    <w:rsid w:val="0085372E"/>
    <w:rsid w:val="00854D51"/>
    <w:rsid w:val="008552F5"/>
    <w:rsid w:val="00855566"/>
    <w:rsid w:val="008646BB"/>
    <w:rsid w:val="0086471C"/>
    <w:rsid w:val="00865326"/>
    <w:rsid w:val="008717E3"/>
    <w:rsid w:val="008725D5"/>
    <w:rsid w:val="00873845"/>
    <w:rsid w:val="00877186"/>
    <w:rsid w:val="00882BCA"/>
    <w:rsid w:val="008838D5"/>
    <w:rsid w:val="00884D28"/>
    <w:rsid w:val="008934D6"/>
    <w:rsid w:val="00897B7D"/>
    <w:rsid w:val="008A0524"/>
    <w:rsid w:val="008A6888"/>
    <w:rsid w:val="008B54AB"/>
    <w:rsid w:val="008C2320"/>
    <w:rsid w:val="008C4E32"/>
    <w:rsid w:val="008C5950"/>
    <w:rsid w:val="008C5D3D"/>
    <w:rsid w:val="008C7B98"/>
    <w:rsid w:val="008D076A"/>
    <w:rsid w:val="008D5977"/>
    <w:rsid w:val="008D70E9"/>
    <w:rsid w:val="008E267D"/>
    <w:rsid w:val="008E57C0"/>
    <w:rsid w:val="008E5E14"/>
    <w:rsid w:val="008E5EFD"/>
    <w:rsid w:val="008F4A14"/>
    <w:rsid w:val="008F5AFD"/>
    <w:rsid w:val="008F6658"/>
    <w:rsid w:val="00902868"/>
    <w:rsid w:val="0090360B"/>
    <w:rsid w:val="00907416"/>
    <w:rsid w:val="009112BB"/>
    <w:rsid w:val="00913141"/>
    <w:rsid w:val="009140DC"/>
    <w:rsid w:val="0091485A"/>
    <w:rsid w:val="00916C6C"/>
    <w:rsid w:val="009201F5"/>
    <w:rsid w:val="00920B86"/>
    <w:rsid w:val="00922F82"/>
    <w:rsid w:val="009235D8"/>
    <w:rsid w:val="00924DD1"/>
    <w:rsid w:val="009264ED"/>
    <w:rsid w:val="009310D6"/>
    <w:rsid w:val="00932CC4"/>
    <w:rsid w:val="009370D9"/>
    <w:rsid w:val="00943D4A"/>
    <w:rsid w:val="00943EEE"/>
    <w:rsid w:val="00945030"/>
    <w:rsid w:val="009479A1"/>
    <w:rsid w:val="0095041F"/>
    <w:rsid w:val="00950BE9"/>
    <w:rsid w:val="00952538"/>
    <w:rsid w:val="00955105"/>
    <w:rsid w:val="009564BF"/>
    <w:rsid w:val="009622D7"/>
    <w:rsid w:val="00962BDA"/>
    <w:rsid w:val="00963CB3"/>
    <w:rsid w:val="00970990"/>
    <w:rsid w:val="00970A0D"/>
    <w:rsid w:val="009751DA"/>
    <w:rsid w:val="00976466"/>
    <w:rsid w:val="00976643"/>
    <w:rsid w:val="009832C9"/>
    <w:rsid w:val="009837F5"/>
    <w:rsid w:val="00984DE4"/>
    <w:rsid w:val="009865E6"/>
    <w:rsid w:val="0099040F"/>
    <w:rsid w:val="0099406F"/>
    <w:rsid w:val="009958C0"/>
    <w:rsid w:val="009A1D61"/>
    <w:rsid w:val="009A298D"/>
    <w:rsid w:val="009A3377"/>
    <w:rsid w:val="009B2324"/>
    <w:rsid w:val="009B7D2C"/>
    <w:rsid w:val="009C086F"/>
    <w:rsid w:val="009C4D9B"/>
    <w:rsid w:val="009C4E79"/>
    <w:rsid w:val="009D1E48"/>
    <w:rsid w:val="009D7791"/>
    <w:rsid w:val="009E077F"/>
    <w:rsid w:val="009E3A9F"/>
    <w:rsid w:val="009E6F32"/>
    <w:rsid w:val="009F40E2"/>
    <w:rsid w:val="009F54CD"/>
    <w:rsid w:val="00A007CB"/>
    <w:rsid w:val="00A04558"/>
    <w:rsid w:val="00A057A8"/>
    <w:rsid w:val="00A05B9C"/>
    <w:rsid w:val="00A1171E"/>
    <w:rsid w:val="00A12EA5"/>
    <w:rsid w:val="00A13791"/>
    <w:rsid w:val="00A13F81"/>
    <w:rsid w:val="00A141DB"/>
    <w:rsid w:val="00A14C6C"/>
    <w:rsid w:val="00A15D28"/>
    <w:rsid w:val="00A177F0"/>
    <w:rsid w:val="00A2267A"/>
    <w:rsid w:val="00A276D6"/>
    <w:rsid w:val="00A30899"/>
    <w:rsid w:val="00A32213"/>
    <w:rsid w:val="00A332EF"/>
    <w:rsid w:val="00A340C7"/>
    <w:rsid w:val="00A352C2"/>
    <w:rsid w:val="00A40786"/>
    <w:rsid w:val="00A442D0"/>
    <w:rsid w:val="00A446E2"/>
    <w:rsid w:val="00A45762"/>
    <w:rsid w:val="00A45B87"/>
    <w:rsid w:val="00A5038E"/>
    <w:rsid w:val="00A50489"/>
    <w:rsid w:val="00A51BD1"/>
    <w:rsid w:val="00A52AE9"/>
    <w:rsid w:val="00A5375E"/>
    <w:rsid w:val="00A5467D"/>
    <w:rsid w:val="00A55C01"/>
    <w:rsid w:val="00A57D1B"/>
    <w:rsid w:val="00A60C43"/>
    <w:rsid w:val="00A60C77"/>
    <w:rsid w:val="00A615BA"/>
    <w:rsid w:val="00A64697"/>
    <w:rsid w:val="00A6512A"/>
    <w:rsid w:val="00A663D7"/>
    <w:rsid w:val="00A67C2D"/>
    <w:rsid w:val="00A743BD"/>
    <w:rsid w:val="00A753F2"/>
    <w:rsid w:val="00A7572B"/>
    <w:rsid w:val="00A759BF"/>
    <w:rsid w:val="00A80007"/>
    <w:rsid w:val="00A8295E"/>
    <w:rsid w:val="00A83AF9"/>
    <w:rsid w:val="00A8587C"/>
    <w:rsid w:val="00A860E1"/>
    <w:rsid w:val="00A867EB"/>
    <w:rsid w:val="00A901E0"/>
    <w:rsid w:val="00A930B0"/>
    <w:rsid w:val="00A97A21"/>
    <w:rsid w:val="00AA005C"/>
    <w:rsid w:val="00AA2D36"/>
    <w:rsid w:val="00AA395E"/>
    <w:rsid w:val="00AA4004"/>
    <w:rsid w:val="00AA44E1"/>
    <w:rsid w:val="00AA473C"/>
    <w:rsid w:val="00AA64ED"/>
    <w:rsid w:val="00AA6D35"/>
    <w:rsid w:val="00AA709C"/>
    <w:rsid w:val="00AA7A07"/>
    <w:rsid w:val="00AB1695"/>
    <w:rsid w:val="00AB2BDD"/>
    <w:rsid w:val="00AB4BC0"/>
    <w:rsid w:val="00AB5052"/>
    <w:rsid w:val="00AB52F3"/>
    <w:rsid w:val="00AB69EE"/>
    <w:rsid w:val="00AC1954"/>
    <w:rsid w:val="00AC2CA3"/>
    <w:rsid w:val="00AC406C"/>
    <w:rsid w:val="00AC7D2C"/>
    <w:rsid w:val="00AD0941"/>
    <w:rsid w:val="00AD319D"/>
    <w:rsid w:val="00AE10DE"/>
    <w:rsid w:val="00AE2798"/>
    <w:rsid w:val="00AE3214"/>
    <w:rsid w:val="00AE424D"/>
    <w:rsid w:val="00AE70B4"/>
    <w:rsid w:val="00AF007D"/>
    <w:rsid w:val="00AF11F1"/>
    <w:rsid w:val="00AF6C6D"/>
    <w:rsid w:val="00AF70A5"/>
    <w:rsid w:val="00AF7A0B"/>
    <w:rsid w:val="00B011A0"/>
    <w:rsid w:val="00B02080"/>
    <w:rsid w:val="00B04987"/>
    <w:rsid w:val="00B07F02"/>
    <w:rsid w:val="00B14A33"/>
    <w:rsid w:val="00B14E1C"/>
    <w:rsid w:val="00B16CF0"/>
    <w:rsid w:val="00B25881"/>
    <w:rsid w:val="00B266E8"/>
    <w:rsid w:val="00B33C3B"/>
    <w:rsid w:val="00B33D65"/>
    <w:rsid w:val="00B34328"/>
    <w:rsid w:val="00B36FA6"/>
    <w:rsid w:val="00B416F0"/>
    <w:rsid w:val="00B41FD3"/>
    <w:rsid w:val="00B43466"/>
    <w:rsid w:val="00B572B5"/>
    <w:rsid w:val="00B60E64"/>
    <w:rsid w:val="00B617F9"/>
    <w:rsid w:val="00B64C27"/>
    <w:rsid w:val="00B72819"/>
    <w:rsid w:val="00B73746"/>
    <w:rsid w:val="00B80594"/>
    <w:rsid w:val="00B83F3F"/>
    <w:rsid w:val="00B86FAE"/>
    <w:rsid w:val="00B90346"/>
    <w:rsid w:val="00B90CB5"/>
    <w:rsid w:val="00B9185D"/>
    <w:rsid w:val="00B92777"/>
    <w:rsid w:val="00B92BB0"/>
    <w:rsid w:val="00B95087"/>
    <w:rsid w:val="00B9736E"/>
    <w:rsid w:val="00BA422E"/>
    <w:rsid w:val="00BA59EB"/>
    <w:rsid w:val="00BB31BD"/>
    <w:rsid w:val="00BB388D"/>
    <w:rsid w:val="00BB3FA1"/>
    <w:rsid w:val="00BB4B8A"/>
    <w:rsid w:val="00BB4F8E"/>
    <w:rsid w:val="00BB5324"/>
    <w:rsid w:val="00BB71B3"/>
    <w:rsid w:val="00BC1513"/>
    <w:rsid w:val="00BC2711"/>
    <w:rsid w:val="00BC49E8"/>
    <w:rsid w:val="00BD1CFF"/>
    <w:rsid w:val="00BD24F1"/>
    <w:rsid w:val="00BD608A"/>
    <w:rsid w:val="00BD793A"/>
    <w:rsid w:val="00BD7A36"/>
    <w:rsid w:val="00BE6E00"/>
    <w:rsid w:val="00BF0C32"/>
    <w:rsid w:val="00BF230D"/>
    <w:rsid w:val="00BF2CB9"/>
    <w:rsid w:val="00BF30BD"/>
    <w:rsid w:val="00BF5AE5"/>
    <w:rsid w:val="00BF6F73"/>
    <w:rsid w:val="00C03080"/>
    <w:rsid w:val="00C0429A"/>
    <w:rsid w:val="00C048A0"/>
    <w:rsid w:val="00C04E9D"/>
    <w:rsid w:val="00C06D24"/>
    <w:rsid w:val="00C07EA0"/>
    <w:rsid w:val="00C13FE9"/>
    <w:rsid w:val="00C14323"/>
    <w:rsid w:val="00C150A9"/>
    <w:rsid w:val="00C151ED"/>
    <w:rsid w:val="00C156F7"/>
    <w:rsid w:val="00C1708E"/>
    <w:rsid w:val="00C170A1"/>
    <w:rsid w:val="00C17BEA"/>
    <w:rsid w:val="00C21642"/>
    <w:rsid w:val="00C21DB4"/>
    <w:rsid w:val="00C22792"/>
    <w:rsid w:val="00C23186"/>
    <w:rsid w:val="00C23F6D"/>
    <w:rsid w:val="00C24459"/>
    <w:rsid w:val="00C263AA"/>
    <w:rsid w:val="00C30164"/>
    <w:rsid w:val="00C3241C"/>
    <w:rsid w:val="00C33245"/>
    <w:rsid w:val="00C3404B"/>
    <w:rsid w:val="00C368B6"/>
    <w:rsid w:val="00C368E3"/>
    <w:rsid w:val="00C41835"/>
    <w:rsid w:val="00C44497"/>
    <w:rsid w:val="00C51C1B"/>
    <w:rsid w:val="00C53D72"/>
    <w:rsid w:val="00C54069"/>
    <w:rsid w:val="00C54FC2"/>
    <w:rsid w:val="00C57A31"/>
    <w:rsid w:val="00C605DF"/>
    <w:rsid w:val="00C60D60"/>
    <w:rsid w:val="00C613F3"/>
    <w:rsid w:val="00C61779"/>
    <w:rsid w:val="00C61D73"/>
    <w:rsid w:val="00C62E9A"/>
    <w:rsid w:val="00C700A2"/>
    <w:rsid w:val="00C702BB"/>
    <w:rsid w:val="00C71C58"/>
    <w:rsid w:val="00C7343B"/>
    <w:rsid w:val="00C7701D"/>
    <w:rsid w:val="00C80164"/>
    <w:rsid w:val="00C80D86"/>
    <w:rsid w:val="00C81710"/>
    <w:rsid w:val="00C817CB"/>
    <w:rsid w:val="00C83DD0"/>
    <w:rsid w:val="00C8493C"/>
    <w:rsid w:val="00C86D33"/>
    <w:rsid w:val="00C90B14"/>
    <w:rsid w:val="00C97698"/>
    <w:rsid w:val="00CA1693"/>
    <w:rsid w:val="00CA3196"/>
    <w:rsid w:val="00CA3F4F"/>
    <w:rsid w:val="00CA50C7"/>
    <w:rsid w:val="00CA5142"/>
    <w:rsid w:val="00CA5546"/>
    <w:rsid w:val="00CA6BB3"/>
    <w:rsid w:val="00CB1B74"/>
    <w:rsid w:val="00CB2F77"/>
    <w:rsid w:val="00CB32B5"/>
    <w:rsid w:val="00CB35C1"/>
    <w:rsid w:val="00CB7EB1"/>
    <w:rsid w:val="00CC02D6"/>
    <w:rsid w:val="00CC11CA"/>
    <w:rsid w:val="00CC1CDF"/>
    <w:rsid w:val="00CC39E9"/>
    <w:rsid w:val="00CC4C32"/>
    <w:rsid w:val="00CC60E6"/>
    <w:rsid w:val="00CC73FC"/>
    <w:rsid w:val="00CD0CA5"/>
    <w:rsid w:val="00CD183A"/>
    <w:rsid w:val="00CD1DA1"/>
    <w:rsid w:val="00CD3444"/>
    <w:rsid w:val="00CD3CAD"/>
    <w:rsid w:val="00CD6982"/>
    <w:rsid w:val="00CD7C54"/>
    <w:rsid w:val="00CE2E03"/>
    <w:rsid w:val="00CE32D9"/>
    <w:rsid w:val="00CE3FB5"/>
    <w:rsid w:val="00CE4259"/>
    <w:rsid w:val="00CE4DFD"/>
    <w:rsid w:val="00CF306A"/>
    <w:rsid w:val="00CF3C75"/>
    <w:rsid w:val="00CF4BD1"/>
    <w:rsid w:val="00D00B5A"/>
    <w:rsid w:val="00D01084"/>
    <w:rsid w:val="00D01712"/>
    <w:rsid w:val="00D06A7C"/>
    <w:rsid w:val="00D07F77"/>
    <w:rsid w:val="00D121CF"/>
    <w:rsid w:val="00D12AD3"/>
    <w:rsid w:val="00D12DAF"/>
    <w:rsid w:val="00D1314A"/>
    <w:rsid w:val="00D15CF3"/>
    <w:rsid w:val="00D162AB"/>
    <w:rsid w:val="00D2098D"/>
    <w:rsid w:val="00D23658"/>
    <w:rsid w:val="00D25AB2"/>
    <w:rsid w:val="00D26C77"/>
    <w:rsid w:val="00D27261"/>
    <w:rsid w:val="00D27375"/>
    <w:rsid w:val="00D32471"/>
    <w:rsid w:val="00D34DD6"/>
    <w:rsid w:val="00D34E3B"/>
    <w:rsid w:val="00D35E23"/>
    <w:rsid w:val="00D37876"/>
    <w:rsid w:val="00D37F32"/>
    <w:rsid w:val="00D41D29"/>
    <w:rsid w:val="00D43C67"/>
    <w:rsid w:val="00D453EB"/>
    <w:rsid w:val="00D4622E"/>
    <w:rsid w:val="00D50683"/>
    <w:rsid w:val="00D50BF9"/>
    <w:rsid w:val="00D52702"/>
    <w:rsid w:val="00D53A53"/>
    <w:rsid w:val="00D55DF4"/>
    <w:rsid w:val="00D6096D"/>
    <w:rsid w:val="00D63B0D"/>
    <w:rsid w:val="00D648F5"/>
    <w:rsid w:val="00D6607E"/>
    <w:rsid w:val="00D66A5D"/>
    <w:rsid w:val="00D700FC"/>
    <w:rsid w:val="00D70263"/>
    <w:rsid w:val="00D8468F"/>
    <w:rsid w:val="00D84B96"/>
    <w:rsid w:val="00D85101"/>
    <w:rsid w:val="00D85B72"/>
    <w:rsid w:val="00D86A70"/>
    <w:rsid w:val="00D878CB"/>
    <w:rsid w:val="00D87F26"/>
    <w:rsid w:val="00D905E0"/>
    <w:rsid w:val="00D91BC3"/>
    <w:rsid w:val="00D935E8"/>
    <w:rsid w:val="00D94D86"/>
    <w:rsid w:val="00D97C06"/>
    <w:rsid w:val="00DA2D19"/>
    <w:rsid w:val="00DA34AA"/>
    <w:rsid w:val="00DB01EC"/>
    <w:rsid w:val="00DB033A"/>
    <w:rsid w:val="00DB25E7"/>
    <w:rsid w:val="00DB38A5"/>
    <w:rsid w:val="00DB61A5"/>
    <w:rsid w:val="00DB7DDB"/>
    <w:rsid w:val="00DC235A"/>
    <w:rsid w:val="00DC423C"/>
    <w:rsid w:val="00DD0B71"/>
    <w:rsid w:val="00DD0B97"/>
    <w:rsid w:val="00DD6D69"/>
    <w:rsid w:val="00DE0D29"/>
    <w:rsid w:val="00DE0F90"/>
    <w:rsid w:val="00DE182E"/>
    <w:rsid w:val="00DE1CC9"/>
    <w:rsid w:val="00DE1EB5"/>
    <w:rsid w:val="00DE2F25"/>
    <w:rsid w:val="00DE3017"/>
    <w:rsid w:val="00DE3B51"/>
    <w:rsid w:val="00DE4426"/>
    <w:rsid w:val="00DE522A"/>
    <w:rsid w:val="00DE586C"/>
    <w:rsid w:val="00DE60C3"/>
    <w:rsid w:val="00DE64B2"/>
    <w:rsid w:val="00DE7D0C"/>
    <w:rsid w:val="00DF0DF3"/>
    <w:rsid w:val="00DF20D1"/>
    <w:rsid w:val="00DF58DD"/>
    <w:rsid w:val="00DF5A86"/>
    <w:rsid w:val="00DF6990"/>
    <w:rsid w:val="00DF7A39"/>
    <w:rsid w:val="00E01821"/>
    <w:rsid w:val="00E03538"/>
    <w:rsid w:val="00E03C20"/>
    <w:rsid w:val="00E0409F"/>
    <w:rsid w:val="00E04821"/>
    <w:rsid w:val="00E10A87"/>
    <w:rsid w:val="00E153DB"/>
    <w:rsid w:val="00E227A1"/>
    <w:rsid w:val="00E22856"/>
    <w:rsid w:val="00E234C7"/>
    <w:rsid w:val="00E24E43"/>
    <w:rsid w:val="00E31D0D"/>
    <w:rsid w:val="00E32E4A"/>
    <w:rsid w:val="00E3420D"/>
    <w:rsid w:val="00E34F87"/>
    <w:rsid w:val="00E41CDC"/>
    <w:rsid w:val="00E43085"/>
    <w:rsid w:val="00E44ED7"/>
    <w:rsid w:val="00E46E7D"/>
    <w:rsid w:val="00E47748"/>
    <w:rsid w:val="00E5248C"/>
    <w:rsid w:val="00E53091"/>
    <w:rsid w:val="00E5591F"/>
    <w:rsid w:val="00E56D4B"/>
    <w:rsid w:val="00E611A7"/>
    <w:rsid w:val="00E61562"/>
    <w:rsid w:val="00E62134"/>
    <w:rsid w:val="00E66F02"/>
    <w:rsid w:val="00E677C7"/>
    <w:rsid w:val="00E761A1"/>
    <w:rsid w:val="00E77D62"/>
    <w:rsid w:val="00E80DEB"/>
    <w:rsid w:val="00E818E9"/>
    <w:rsid w:val="00E8206D"/>
    <w:rsid w:val="00E82218"/>
    <w:rsid w:val="00E830AC"/>
    <w:rsid w:val="00E86315"/>
    <w:rsid w:val="00E86340"/>
    <w:rsid w:val="00E9143E"/>
    <w:rsid w:val="00EA2EE1"/>
    <w:rsid w:val="00EA3F88"/>
    <w:rsid w:val="00EA630C"/>
    <w:rsid w:val="00EA6568"/>
    <w:rsid w:val="00EB0C28"/>
    <w:rsid w:val="00EB6A20"/>
    <w:rsid w:val="00EB7F64"/>
    <w:rsid w:val="00EC2827"/>
    <w:rsid w:val="00EC2C14"/>
    <w:rsid w:val="00EC4D93"/>
    <w:rsid w:val="00EC4E6F"/>
    <w:rsid w:val="00EC6544"/>
    <w:rsid w:val="00ED09F6"/>
    <w:rsid w:val="00ED6FE2"/>
    <w:rsid w:val="00ED7412"/>
    <w:rsid w:val="00ED76D2"/>
    <w:rsid w:val="00EE00B8"/>
    <w:rsid w:val="00EE6CA0"/>
    <w:rsid w:val="00EE771E"/>
    <w:rsid w:val="00EF2098"/>
    <w:rsid w:val="00EF7B4B"/>
    <w:rsid w:val="00F124B4"/>
    <w:rsid w:val="00F1460A"/>
    <w:rsid w:val="00F1797F"/>
    <w:rsid w:val="00F21015"/>
    <w:rsid w:val="00F2347A"/>
    <w:rsid w:val="00F2424E"/>
    <w:rsid w:val="00F25D8A"/>
    <w:rsid w:val="00F27448"/>
    <w:rsid w:val="00F350C0"/>
    <w:rsid w:val="00F35FA2"/>
    <w:rsid w:val="00F36D5B"/>
    <w:rsid w:val="00F413E1"/>
    <w:rsid w:val="00F45CD9"/>
    <w:rsid w:val="00F46A1B"/>
    <w:rsid w:val="00F4754B"/>
    <w:rsid w:val="00F50AD6"/>
    <w:rsid w:val="00F57807"/>
    <w:rsid w:val="00F624B0"/>
    <w:rsid w:val="00F62568"/>
    <w:rsid w:val="00F67941"/>
    <w:rsid w:val="00F67A47"/>
    <w:rsid w:val="00F70A83"/>
    <w:rsid w:val="00F71081"/>
    <w:rsid w:val="00F71479"/>
    <w:rsid w:val="00F82D6D"/>
    <w:rsid w:val="00F874F9"/>
    <w:rsid w:val="00F878FF"/>
    <w:rsid w:val="00F90BC8"/>
    <w:rsid w:val="00F93012"/>
    <w:rsid w:val="00FA1A9C"/>
    <w:rsid w:val="00FA2520"/>
    <w:rsid w:val="00FA578F"/>
    <w:rsid w:val="00FA71DB"/>
    <w:rsid w:val="00FB0537"/>
    <w:rsid w:val="00FB3B83"/>
    <w:rsid w:val="00FB45D7"/>
    <w:rsid w:val="00FC11C1"/>
    <w:rsid w:val="00FC2664"/>
    <w:rsid w:val="00FC2E96"/>
    <w:rsid w:val="00FC35B5"/>
    <w:rsid w:val="00FC43EA"/>
    <w:rsid w:val="00FC5FB0"/>
    <w:rsid w:val="00FC7AB0"/>
    <w:rsid w:val="00FD16FC"/>
    <w:rsid w:val="00FD1C7A"/>
    <w:rsid w:val="00FD2C06"/>
    <w:rsid w:val="00FD350F"/>
    <w:rsid w:val="00FD5C02"/>
    <w:rsid w:val="00FE002E"/>
    <w:rsid w:val="00FE04FF"/>
    <w:rsid w:val="00FE0FF1"/>
    <w:rsid w:val="00FE476F"/>
    <w:rsid w:val="00FF01D7"/>
    <w:rsid w:val="00FF2091"/>
    <w:rsid w:val="00FF27C2"/>
    <w:rsid w:val="00FF3AC1"/>
    <w:rsid w:val="00FF3D86"/>
    <w:rsid w:val="00FF5788"/>
    <w:rsid w:val="00FF6F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v:textbox inset="0,0,0,0"/>
    </o:shapedefaults>
    <o:shapelayout v:ext="edit">
      <o:idmap v:ext="edit" data="1"/>
    </o:shapelayout>
  </w:shapeDefaults>
  <w:decimalSymbol w:val=","/>
  <w:listSeparator w:val=";"/>
  <w15:docId w15:val="{B75EFA2D-59E0-4782-BD01-27A65D06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hu-HU"/>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semiHidden/>
    <w:qFormat/>
    <w:rsid w:val="00825376"/>
    <w:rPr>
      <w:rFonts w:ascii="Arial" w:hAnsi="Arial"/>
      <w:color w:val="000000"/>
      <w:sz w:val="18"/>
    </w:rPr>
  </w:style>
  <w:style w:type="paragraph" w:styleId="Cmsor1">
    <w:name w:val="heading 1"/>
    <w:basedOn w:val="Norml"/>
    <w:next w:val="BodyText1"/>
    <w:link w:val="Cmsor1Char"/>
    <w:qFormat/>
    <w:rsid w:val="009310D6"/>
    <w:pPr>
      <w:spacing w:before="960" w:after="360"/>
      <w:outlineLvl w:val="0"/>
    </w:pPr>
    <w:rPr>
      <w:color w:val="48748F" w:themeColor="accent1"/>
      <w:sz w:val="36"/>
    </w:rPr>
  </w:style>
  <w:style w:type="paragraph" w:styleId="Cmsor2">
    <w:name w:val="heading 2"/>
    <w:basedOn w:val="Norml"/>
    <w:next w:val="BodyText1"/>
    <w:link w:val="Cmsor2Char"/>
    <w:qFormat/>
    <w:rsid w:val="009310D6"/>
    <w:pPr>
      <w:spacing w:before="360" w:after="240"/>
      <w:contextualSpacing/>
      <w:outlineLvl w:val="1"/>
    </w:pPr>
    <w:rPr>
      <w:color w:val="48748F" w:themeColor="accent1"/>
      <w:sz w:val="24"/>
    </w:rPr>
  </w:style>
  <w:style w:type="paragraph" w:styleId="Cmsor3">
    <w:name w:val="heading 3"/>
    <w:basedOn w:val="Norml"/>
    <w:next w:val="BodyText1"/>
    <w:link w:val="Cmsor3Char"/>
    <w:qFormat/>
    <w:rsid w:val="009310D6"/>
    <w:pPr>
      <w:spacing w:before="240" w:after="240"/>
      <w:outlineLvl w:val="2"/>
    </w:pPr>
    <w:rPr>
      <w:b/>
      <w:color w:val="48748F" w:themeColor="accent1"/>
      <w:sz w:val="20"/>
      <w:szCs w:val="22"/>
    </w:rPr>
  </w:style>
  <w:style w:type="paragraph" w:styleId="Cmsor4">
    <w:name w:val="heading 4"/>
    <w:basedOn w:val="Norml"/>
    <w:next w:val="BodyText1"/>
    <w:link w:val="Cmsor4Char"/>
    <w:qFormat/>
    <w:rsid w:val="009310D6"/>
    <w:pPr>
      <w:spacing w:before="240"/>
      <w:contextualSpacing/>
      <w:outlineLvl w:val="3"/>
    </w:pPr>
    <w:rPr>
      <w:color w:val="48748F" w:themeColor="accent1"/>
      <w:sz w:val="20"/>
    </w:rPr>
  </w:style>
  <w:style w:type="paragraph" w:styleId="Cmsor5">
    <w:name w:val="heading 5"/>
    <w:basedOn w:val="Norml"/>
    <w:next w:val="Norml"/>
    <w:link w:val="Cmsor5Char"/>
    <w:autoRedefine/>
    <w:qFormat/>
    <w:rsid w:val="00F4754B"/>
    <w:pPr>
      <w:keepNext/>
      <w:spacing w:before="140" w:after="120"/>
      <w:jc w:val="both"/>
      <w:outlineLvl w:val="4"/>
    </w:pPr>
    <w:rPr>
      <w:rFonts w:ascii="Verdana" w:hAnsi="Verdana"/>
      <w:b/>
      <w:i/>
      <w:color w:val="auto"/>
      <w:sz w:val="20"/>
      <w:szCs w:val="24"/>
    </w:rPr>
  </w:style>
  <w:style w:type="paragraph" w:styleId="Cmsor6">
    <w:name w:val="heading 6"/>
    <w:basedOn w:val="Norml"/>
    <w:next w:val="Norml"/>
    <w:link w:val="Cmsor6Char"/>
    <w:qFormat/>
    <w:rsid w:val="00F4754B"/>
    <w:pPr>
      <w:spacing w:before="240" w:after="60"/>
      <w:jc w:val="both"/>
      <w:outlineLvl w:val="5"/>
    </w:pPr>
    <w:rPr>
      <w:rFonts w:ascii="Times New Roman" w:hAnsi="Times New Roman"/>
      <w:b/>
      <w:bCs/>
      <w:color w:val="auto"/>
      <w:sz w:val="20"/>
      <w:szCs w:val="22"/>
    </w:rPr>
  </w:style>
  <w:style w:type="paragraph" w:styleId="Cmsor7">
    <w:name w:val="heading 7"/>
    <w:basedOn w:val="Norml"/>
    <w:next w:val="Norml"/>
    <w:link w:val="Cmsor7Char"/>
    <w:qFormat/>
    <w:rsid w:val="00F4754B"/>
    <w:pPr>
      <w:spacing w:before="240" w:after="60"/>
      <w:jc w:val="both"/>
      <w:outlineLvl w:val="6"/>
    </w:pPr>
    <w:rPr>
      <w:rFonts w:ascii="Times New Roman" w:hAnsi="Times New Roman"/>
      <w:color w:val="auto"/>
      <w:sz w:val="24"/>
      <w:szCs w:val="24"/>
    </w:rPr>
  </w:style>
  <w:style w:type="paragraph" w:styleId="Cmsor8">
    <w:name w:val="heading 8"/>
    <w:basedOn w:val="Norml"/>
    <w:next w:val="Norml"/>
    <w:link w:val="Cmsor8Char"/>
    <w:qFormat/>
    <w:rsid w:val="00F4754B"/>
    <w:pPr>
      <w:spacing w:before="240" w:after="60"/>
      <w:jc w:val="both"/>
      <w:outlineLvl w:val="7"/>
    </w:pPr>
    <w:rPr>
      <w:rFonts w:ascii="Times New Roman" w:hAnsi="Times New Roman"/>
      <w:i/>
      <w:iCs/>
      <w:color w:val="auto"/>
      <w:sz w:val="24"/>
      <w:szCs w:val="24"/>
    </w:rPr>
  </w:style>
  <w:style w:type="paragraph" w:styleId="Cmsor9">
    <w:name w:val="heading 9"/>
    <w:basedOn w:val="Norml"/>
    <w:next w:val="Norml"/>
    <w:link w:val="Cmsor9Char"/>
    <w:qFormat/>
    <w:rsid w:val="00F4754B"/>
    <w:pPr>
      <w:spacing w:before="240" w:after="60"/>
      <w:jc w:val="both"/>
      <w:outlineLvl w:val="8"/>
    </w:pPr>
    <w:rPr>
      <w:rFonts w:ascii="Verdana" w:hAnsi="Verdana" w:cs="Arial"/>
      <w:color w:val="auto"/>
      <w:sz w:val="20"/>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odyText1">
    <w:name w:val="Body Text1"/>
    <w:basedOn w:val="Norml"/>
    <w:qFormat/>
    <w:rsid w:val="009310D6"/>
    <w:pPr>
      <w:tabs>
        <w:tab w:val="left" w:pos="0"/>
      </w:tabs>
      <w:spacing w:line="300" w:lineRule="exact"/>
      <w:jc w:val="both"/>
    </w:pPr>
    <w:rPr>
      <w:sz w:val="20"/>
    </w:rPr>
  </w:style>
  <w:style w:type="paragraph" w:styleId="Buborkszveg">
    <w:name w:val="Balloon Text"/>
    <w:basedOn w:val="Norml"/>
    <w:link w:val="BuborkszvegChar"/>
    <w:uiPriority w:val="99"/>
    <w:unhideWhenUsed/>
    <w:rsid w:val="009310D6"/>
    <w:rPr>
      <w:rFonts w:ascii="Tahoma" w:hAnsi="Tahoma" w:cs="Tahoma"/>
      <w:sz w:val="16"/>
      <w:szCs w:val="16"/>
    </w:rPr>
  </w:style>
  <w:style w:type="character" w:customStyle="1" w:styleId="BuborkszvegChar">
    <w:name w:val="Buborékszöveg Char"/>
    <w:basedOn w:val="Bekezdsalapbettpusa"/>
    <w:link w:val="Buborkszveg"/>
    <w:uiPriority w:val="99"/>
    <w:rsid w:val="009310D6"/>
    <w:rPr>
      <w:rFonts w:ascii="Tahoma" w:hAnsi="Tahoma" w:cs="Tahoma"/>
      <w:color w:val="000000"/>
      <w:sz w:val="16"/>
      <w:szCs w:val="16"/>
      <w:lang w:eastAsia="hu-HU"/>
    </w:rPr>
  </w:style>
  <w:style w:type="paragraph" w:styleId="lfej">
    <w:name w:val="header"/>
    <w:basedOn w:val="Norml"/>
    <w:link w:val="lfejChar"/>
    <w:uiPriority w:val="99"/>
    <w:rsid w:val="009310D6"/>
    <w:pPr>
      <w:tabs>
        <w:tab w:val="center" w:pos="4153"/>
        <w:tab w:val="right" w:pos="8306"/>
      </w:tabs>
      <w:spacing w:line="300" w:lineRule="exact"/>
      <w:jc w:val="both"/>
    </w:pPr>
  </w:style>
  <w:style w:type="paragraph" w:customStyle="1" w:styleId="Page00of00">
    <w:name w:val="Page 00 of 00"/>
    <w:basedOn w:val="Norml"/>
    <w:semiHidden/>
    <w:rsid w:val="009310D6"/>
    <w:pPr>
      <w:spacing w:line="300" w:lineRule="exact"/>
      <w:jc w:val="both"/>
    </w:pPr>
    <w:rPr>
      <w:sz w:val="14"/>
    </w:rPr>
  </w:style>
  <w:style w:type="paragraph" w:customStyle="1" w:styleId="ReferenceText">
    <w:name w:val="Reference Text"/>
    <w:basedOn w:val="lfej"/>
    <w:qFormat/>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llb">
    <w:name w:val="footer"/>
    <w:basedOn w:val="Norml"/>
    <w:link w:val="llbChar"/>
    <w:uiPriority w:val="99"/>
    <w:rsid w:val="009310D6"/>
    <w:pPr>
      <w:tabs>
        <w:tab w:val="center" w:pos="4153"/>
        <w:tab w:val="right" w:pos="8306"/>
      </w:tabs>
      <w:spacing w:line="300" w:lineRule="exact"/>
      <w:jc w:val="both"/>
    </w:pPr>
  </w:style>
  <w:style w:type="character" w:styleId="Oldalszm">
    <w:name w:val="page number"/>
    <w:basedOn w:val="Bekezdsalapbettpusa"/>
    <w:uiPriority w:val="99"/>
    <w:rsid w:val="009310D6"/>
  </w:style>
  <w:style w:type="character" w:styleId="Hiperhivatkozs">
    <w:name w:val="Hyperlink"/>
    <w:basedOn w:val="Bekezdsalapbettpusa"/>
    <w:uiPriority w:val="99"/>
    <w:rsid w:val="009310D6"/>
    <w:rPr>
      <w:color w:val="48748F" w:themeColor="accent1"/>
    </w:rPr>
  </w:style>
  <w:style w:type="paragraph" w:customStyle="1" w:styleId="Numberedparagraphs">
    <w:name w:val="Numbered paragraphs"/>
    <w:basedOn w:val="BodyText1"/>
    <w:qFormat/>
    <w:rsid w:val="005C1136"/>
    <w:pPr>
      <w:numPr>
        <w:numId w:val="1"/>
      </w:numPr>
      <w:tabs>
        <w:tab w:val="clear" w:pos="0"/>
        <w:tab w:val="left" w:pos="284"/>
      </w:tabs>
      <w:spacing w:after="300"/>
      <w:ind w:left="284" w:hanging="284"/>
    </w:pPr>
  </w:style>
  <w:style w:type="paragraph" w:customStyle="1" w:styleId="Bullet1">
    <w:name w:val="Bullet 1"/>
    <w:basedOn w:val="Norml"/>
    <w:qFormat/>
    <w:rsid w:val="00D1314A"/>
    <w:pPr>
      <w:numPr>
        <w:numId w:val="6"/>
      </w:numPr>
      <w:tabs>
        <w:tab w:val="left" w:pos="284"/>
      </w:tabs>
      <w:spacing w:after="260" w:line="260" w:lineRule="exact"/>
      <w:ind w:left="284" w:hanging="284"/>
      <w:jc w:val="both"/>
    </w:pPr>
    <w:rPr>
      <w:sz w:val="20"/>
    </w:rPr>
  </w:style>
  <w:style w:type="paragraph" w:customStyle="1" w:styleId="Bullet2">
    <w:name w:val="Bullet 2"/>
    <w:basedOn w:val="Norml"/>
    <w:qFormat/>
    <w:rsid w:val="0027308B"/>
    <w:pPr>
      <w:numPr>
        <w:numId w:val="2"/>
      </w:numPr>
      <w:tabs>
        <w:tab w:val="left" w:pos="567"/>
      </w:tabs>
      <w:spacing w:after="260" w:line="260" w:lineRule="exact"/>
      <w:ind w:left="567" w:hanging="283"/>
      <w:jc w:val="both"/>
    </w:pPr>
    <w:rPr>
      <w:sz w:val="20"/>
    </w:rPr>
  </w:style>
  <w:style w:type="paragraph" w:customStyle="1" w:styleId="Bullet3">
    <w:name w:val="Bullet 3"/>
    <w:basedOn w:val="Norml"/>
    <w:qFormat/>
    <w:rsid w:val="0027308B"/>
    <w:pPr>
      <w:numPr>
        <w:numId w:val="3"/>
      </w:numPr>
      <w:tabs>
        <w:tab w:val="left" w:pos="851"/>
      </w:tabs>
      <w:spacing w:after="260" w:line="260" w:lineRule="exact"/>
      <w:ind w:left="851" w:hanging="284"/>
      <w:jc w:val="both"/>
    </w:pPr>
    <w:rPr>
      <w:sz w:val="20"/>
    </w:rPr>
  </w:style>
  <w:style w:type="character" w:styleId="Lbjegyzet-hivatkozs">
    <w:name w:val="footnote reference"/>
    <w:basedOn w:val="Bekezdsalapbettpusa"/>
    <w:uiPriority w:val="99"/>
    <w:qFormat/>
    <w:rsid w:val="009310D6"/>
    <w:rPr>
      <w:rFonts w:ascii="Arial" w:hAnsi="Arial"/>
      <w:color w:val="auto"/>
      <w:sz w:val="16"/>
      <w:vertAlign w:val="superscript"/>
    </w:rPr>
  </w:style>
  <w:style w:type="paragraph" w:styleId="Lbjegyzetszveg">
    <w:name w:val="footnote text"/>
    <w:aliases w:val="Fußnote, Char"/>
    <w:basedOn w:val="Norml"/>
    <w:link w:val="LbjegyzetszvegChar"/>
    <w:uiPriority w:val="99"/>
    <w:rsid w:val="0095041F"/>
    <w:pPr>
      <w:tabs>
        <w:tab w:val="left" w:pos="284"/>
      </w:tabs>
      <w:ind w:left="284" w:hanging="284"/>
    </w:pPr>
  </w:style>
  <w:style w:type="character" w:customStyle="1" w:styleId="LbjegyzetszvegChar">
    <w:name w:val="Lábjegyzetszöveg Char"/>
    <w:aliases w:val="Fußnote Char, Char Char"/>
    <w:basedOn w:val="Bekezdsalapbettpusa"/>
    <w:link w:val="Lbjegyzetszveg"/>
    <w:uiPriority w:val="99"/>
    <w:rsid w:val="0095041F"/>
    <w:rPr>
      <w:rFonts w:ascii="Arial" w:hAnsi="Arial"/>
      <w:color w:val="000000"/>
      <w:sz w:val="18"/>
      <w:lang w:eastAsia="hu-HU"/>
    </w:rPr>
  </w:style>
  <w:style w:type="paragraph" w:customStyle="1" w:styleId="Numberedheadinglevel1">
    <w:name w:val="Numbered heading level 1"/>
    <w:basedOn w:val="BodyText1"/>
    <w:next w:val="BodyText1"/>
    <w:qFormat/>
    <w:rsid w:val="009310D6"/>
    <w:pPr>
      <w:numPr>
        <w:numId w:val="4"/>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4"/>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4"/>
      </w:numPr>
      <w:tabs>
        <w:tab w:val="clear" w:pos="0"/>
        <w:tab w:val="left" w:pos="567"/>
      </w:tabs>
      <w:spacing w:before="240" w:after="120" w:line="240" w:lineRule="auto"/>
    </w:pPr>
    <w:rPr>
      <w:color w:val="48748F" w:themeColor="accent1"/>
    </w:rPr>
  </w:style>
  <w:style w:type="paragraph" w:styleId="Dokumentumtrkp">
    <w:name w:val="Document Map"/>
    <w:basedOn w:val="Norml"/>
    <w:link w:val="DokumentumtrkpChar"/>
    <w:uiPriority w:val="99"/>
    <w:semiHidden/>
    <w:unhideWhenUsed/>
    <w:rsid w:val="00E86340"/>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E86340"/>
    <w:rPr>
      <w:rFonts w:ascii="Tahoma" w:hAnsi="Tahoma" w:cs="Tahoma"/>
      <w:color w:val="000000"/>
      <w:sz w:val="16"/>
      <w:szCs w:val="16"/>
      <w:lang w:eastAsia="hu-HU"/>
    </w:rPr>
  </w:style>
  <w:style w:type="paragraph" w:styleId="Felsorols">
    <w:name w:val="List Bullet"/>
    <w:basedOn w:val="Bullet1"/>
    <w:qFormat/>
    <w:rsid w:val="000F74E8"/>
    <w:pPr>
      <w:numPr>
        <w:numId w:val="5"/>
      </w:numPr>
      <w:spacing w:after="0"/>
      <w:ind w:left="284" w:hanging="284"/>
    </w:pPr>
  </w:style>
  <w:style w:type="paragraph" w:customStyle="1" w:styleId="DocTitle">
    <w:name w:val="Doc Title"/>
    <w:basedOn w:val="Norml"/>
    <w:rsid w:val="000F74E8"/>
    <w:pPr>
      <w:spacing w:before="3280" w:after="480"/>
    </w:pPr>
    <w:rPr>
      <w:color w:val="48748F" w:themeColor="accent1"/>
      <w:sz w:val="40"/>
      <w:szCs w:val="40"/>
    </w:rPr>
  </w:style>
  <w:style w:type="paragraph" w:customStyle="1" w:styleId="Figuretitle">
    <w:name w:val="Figure title"/>
    <w:basedOn w:val="Norml"/>
    <w:next w:val="BodyText1"/>
    <w:rsid w:val="000F74E8"/>
    <w:pPr>
      <w:keepNext/>
      <w:spacing w:before="240" w:after="240"/>
      <w:jc w:val="both"/>
    </w:pPr>
    <w:rPr>
      <w:bCs/>
      <w:color w:val="48748F" w:themeColor="accent1"/>
      <w:sz w:val="20"/>
    </w:rPr>
  </w:style>
  <w:style w:type="paragraph" w:customStyle="1" w:styleId="FigureTOC">
    <w:name w:val="Figure TOC"/>
    <w:basedOn w:val="brajegyzk"/>
    <w:rsid w:val="000F74E8"/>
    <w:pPr>
      <w:tabs>
        <w:tab w:val="right" w:pos="10194"/>
      </w:tabs>
      <w:spacing w:after="120"/>
    </w:pPr>
    <w:rPr>
      <w:noProof/>
      <w:sz w:val="20"/>
    </w:rPr>
  </w:style>
  <w:style w:type="paragraph" w:styleId="brajegyzk">
    <w:name w:val="table of figures"/>
    <w:basedOn w:val="Norml"/>
    <w:next w:val="Norml"/>
    <w:semiHidden/>
    <w:unhideWhenUsed/>
    <w:rsid w:val="000F74E8"/>
  </w:style>
  <w:style w:type="paragraph" w:customStyle="1" w:styleId="SubTitle">
    <w:name w:val="Sub Title"/>
    <w:basedOn w:val="Cmsor2"/>
    <w:rsid w:val="000F74E8"/>
    <w:pPr>
      <w:spacing w:before="120" w:after="0"/>
    </w:pPr>
  </w:style>
  <w:style w:type="paragraph" w:customStyle="1" w:styleId="Tabledata">
    <w:name w:val="Table data"/>
    <w:basedOn w:val="Norml"/>
    <w:rsid w:val="000F74E8"/>
    <w:pPr>
      <w:autoSpaceDE w:val="0"/>
      <w:autoSpaceDN w:val="0"/>
      <w:adjustRightInd w:val="0"/>
      <w:spacing w:before="60" w:after="60" w:line="260" w:lineRule="exact"/>
      <w:jc w:val="center"/>
    </w:pPr>
    <w:rPr>
      <w:rFonts w:asciiTheme="minorHAnsi" w:hAnsiTheme="minorHAnsi" w:cstheme="minorHAnsi"/>
      <w:color w:val="auto"/>
      <w:sz w:val="20"/>
    </w:rPr>
  </w:style>
  <w:style w:type="paragraph" w:customStyle="1" w:styleId="Tablefootnotetext">
    <w:name w:val="Table footnote text"/>
    <w:basedOn w:val="Norm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rPr>
  </w:style>
  <w:style w:type="table" w:styleId="Rcsostblzat">
    <w:name w:val="Table Grid"/>
    <w:aliases w:val="Tabla CUADROS"/>
    <w:basedOn w:val="Normltblzat"/>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Cmsor2"/>
    <w:rsid w:val="000F74E8"/>
  </w:style>
  <w:style w:type="paragraph" w:customStyle="1" w:styleId="Tabletext">
    <w:name w:val="Table text"/>
    <w:basedOn w:val="Norml"/>
    <w:rsid w:val="000F74E8"/>
    <w:pPr>
      <w:autoSpaceDE w:val="0"/>
      <w:autoSpaceDN w:val="0"/>
      <w:adjustRightInd w:val="0"/>
      <w:spacing w:before="60" w:after="60" w:line="260" w:lineRule="exact"/>
    </w:pPr>
    <w:rPr>
      <w:rFonts w:asciiTheme="minorHAnsi" w:hAnsiTheme="minorHAnsi" w:cstheme="minorHAnsi"/>
      <w:color w:val="auto"/>
      <w:sz w:val="20"/>
    </w:rPr>
  </w:style>
  <w:style w:type="paragraph" w:styleId="TJ1">
    <w:name w:val="toc 1"/>
    <w:basedOn w:val="Norml"/>
    <w:next w:val="Norml"/>
    <w:autoRedefine/>
    <w:uiPriority w:val="39"/>
    <w:unhideWhenUsed/>
    <w:qFormat/>
    <w:rsid w:val="000F74E8"/>
    <w:pPr>
      <w:tabs>
        <w:tab w:val="left" w:pos="567"/>
        <w:tab w:val="right" w:pos="7371"/>
      </w:tabs>
      <w:spacing w:after="100"/>
      <w:ind w:left="567" w:right="2833" w:hanging="567"/>
    </w:pPr>
    <w:rPr>
      <w:noProof/>
      <w:sz w:val="20"/>
    </w:rPr>
  </w:style>
  <w:style w:type="character" w:customStyle="1" w:styleId="Cmsor5Char">
    <w:name w:val="Címsor 5 Char"/>
    <w:basedOn w:val="Bekezdsalapbettpusa"/>
    <w:link w:val="Cmsor5"/>
    <w:rsid w:val="00F4754B"/>
    <w:rPr>
      <w:rFonts w:ascii="Verdana" w:hAnsi="Verdana"/>
      <w:b/>
      <w:i/>
      <w:szCs w:val="24"/>
      <w:lang w:eastAsia="hu-HU"/>
    </w:rPr>
  </w:style>
  <w:style w:type="character" w:customStyle="1" w:styleId="Cmsor6Char">
    <w:name w:val="Címsor 6 Char"/>
    <w:basedOn w:val="Bekezdsalapbettpusa"/>
    <w:link w:val="Cmsor6"/>
    <w:rsid w:val="00F4754B"/>
    <w:rPr>
      <w:b/>
      <w:bCs/>
      <w:szCs w:val="22"/>
      <w:lang w:eastAsia="hu-HU"/>
    </w:rPr>
  </w:style>
  <w:style w:type="character" w:customStyle="1" w:styleId="Cmsor7Char">
    <w:name w:val="Címsor 7 Char"/>
    <w:basedOn w:val="Bekezdsalapbettpusa"/>
    <w:link w:val="Cmsor7"/>
    <w:rsid w:val="00F4754B"/>
    <w:rPr>
      <w:sz w:val="24"/>
      <w:szCs w:val="24"/>
      <w:lang w:eastAsia="hu-HU"/>
    </w:rPr>
  </w:style>
  <w:style w:type="character" w:customStyle="1" w:styleId="Cmsor8Char">
    <w:name w:val="Címsor 8 Char"/>
    <w:basedOn w:val="Bekezdsalapbettpusa"/>
    <w:link w:val="Cmsor8"/>
    <w:rsid w:val="00F4754B"/>
    <w:rPr>
      <w:i/>
      <w:iCs/>
      <w:sz w:val="24"/>
      <w:szCs w:val="24"/>
      <w:lang w:eastAsia="hu-HU"/>
    </w:rPr>
  </w:style>
  <w:style w:type="character" w:customStyle="1" w:styleId="Cmsor9Char">
    <w:name w:val="Címsor 9 Char"/>
    <w:basedOn w:val="Bekezdsalapbettpusa"/>
    <w:link w:val="Cmsor9"/>
    <w:rsid w:val="00F4754B"/>
    <w:rPr>
      <w:rFonts w:ascii="Verdana" w:hAnsi="Verdana" w:cs="Arial"/>
      <w:szCs w:val="22"/>
      <w:lang w:eastAsia="hu-HU"/>
    </w:rPr>
  </w:style>
  <w:style w:type="character" w:customStyle="1" w:styleId="Cmsor1Char">
    <w:name w:val="Címsor 1 Char"/>
    <w:basedOn w:val="Bekezdsalapbettpusa"/>
    <w:link w:val="Cmsor1"/>
    <w:rsid w:val="00F4754B"/>
    <w:rPr>
      <w:rFonts w:ascii="Arial" w:hAnsi="Arial"/>
      <w:color w:val="48748F" w:themeColor="accent1"/>
      <w:sz w:val="36"/>
      <w:lang w:eastAsia="hu-HU"/>
    </w:rPr>
  </w:style>
  <w:style w:type="character" w:customStyle="1" w:styleId="Cmsor2Char">
    <w:name w:val="Címsor 2 Char"/>
    <w:basedOn w:val="Bekezdsalapbettpusa"/>
    <w:link w:val="Cmsor2"/>
    <w:rsid w:val="00F4754B"/>
    <w:rPr>
      <w:rFonts w:ascii="Arial" w:hAnsi="Arial"/>
      <w:color w:val="48748F" w:themeColor="accent1"/>
      <w:sz w:val="24"/>
      <w:lang w:eastAsia="hu-HU"/>
    </w:rPr>
  </w:style>
  <w:style w:type="character" w:customStyle="1" w:styleId="Cmsor3Char">
    <w:name w:val="Címsor 3 Char"/>
    <w:basedOn w:val="Bekezdsalapbettpusa"/>
    <w:link w:val="Cmsor3"/>
    <w:rsid w:val="00F4754B"/>
    <w:rPr>
      <w:rFonts w:ascii="Arial" w:hAnsi="Arial"/>
      <w:b/>
      <w:color w:val="48748F" w:themeColor="accent1"/>
      <w:szCs w:val="22"/>
      <w:lang w:eastAsia="hu-HU"/>
    </w:rPr>
  </w:style>
  <w:style w:type="character" w:customStyle="1" w:styleId="Cmsor4Char">
    <w:name w:val="Címsor 4 Char"/>
    <w:basedOn w:val="Bekezdsalapbettpusa"/>
    <w:link w:val="Cmsor4"/>
    <w:rsid w:val="00F4754B"/>
    <w:rPr>
      <w:rFonts w:ascii="Arial" w:hAnsi="Arial"/>
      <w:color w:val="48748F" w:themeColor="accent1"/>
      <w:lang w:eastAsia="hu-HU"/>
    </w:rPr>
  </w:style>
  <w:style w:type="paragraph" w:customStyle="1" w:styleId="Aufzhlungszeichen1">
    <w:name w:val="Aufzählungszeichen1"/>
    <w:basedOn w:val="Norml"/>
    <w:uiPriority w:val="1"/>
    <w:qFormat/>
    <w:rsid w:val="00F4754B"/>
    <w:pPr>
      <w:numPr>
        <w:numId w:val="7"/>
      </w:numPr>
      <w:spacing w:before="120" w:after="120" w:line="240" w:lineRule="exact"/>
      <w:jc w:val="both"/>
    </w:pPr>
    <w:rPr>
      <w:rFonts w:ascii="Verdana" w:hAnsi="Verdana"/>
      <w:color w:val="auto"/>
      <w:sz w:val="20"/>
      <w:szCs w:val="24"/>
    </w:rPr>
  </w:style>
  <w:style w:type="paragraph" w:customStyle="1" w:styleId="Aufzhlungszeichen2">
    <w:name w:val="Aufzählungszeichen2"/>
    <w:basedOn w:val="Norml"/>
    <w:uiPriority w:val="1"/>
    <w:qFormat/>
    <w:rsid w:val="00F4754B"/>
    <w:pPr>
      <w:numPr>
        <w:numId w:val="8"/>
      </w:numPr>
      <w:spacing w:before="120" w:after="120" w:line="240" w:lineRule="exact"/>
      <w:jc w:val="both"/>
    </w:pPr>
    <w:rPr>
      <w:rFonts w:ascii="Verdana" w:hAnsi="Verdana"/>
      <w:color w:val="auto"/>
      <w:sz w:val="20"/>
      <w:szCs w:val="24"/>
    </w:rPr>
  </w:style>
  <w:style w:type="paragraph" w:customStyle="1" w:styleId="Aufzhlungszeichen3">
    <w:name w:val="Aufzählungszeichen3"/>
    <w:basedOn w:val="Norml"/>
    <w:uiPriority w:val="1"/>
    <w:qFormat/>
    <w:rsid w:val="00F4754B"/>
    <w:pPr>
      <w:numPr>
        <w:numId w:val="9"/>
      </w:numPr>
      <w:spacing w:before="120" w:after="120" w:line="240" w:lineRule="exact"/>
      <w:jc w:val="both"/>
    </w:pPr>
    <w:rPr>
      <w:rFonts w:ascii="Verdana" w:hAnsi="Verdana"/>
      <w:color w:val="auto"/>
      <w:sz w:val="20"/>
      <w:szCs w:val="24"/>
    </w:rPr>
  </w:style>
  <w:style w:type="paragraph" w:customStyle="1" w:styleId="Aufzhlungszeichen4">
    <w:name w:val="Aufzählungszeichen4"/>
    <w:basedOn w:val="Norml"/>
    <w:uiPriority w:val="1"/>
    <w:qFormat/>
    <w:rsid w:val="00F4754B"/>
    <w:pPr>
      <w:numPr>
        <w:numId w:val="10"/>
      </w:numPr>
      <w:spacing w:before="120" w:after="120" w:line="240" w:lineRule="exact"/>
      <w:jc w:val="both"/>
    </w:pPr>
    <w:rPr>
      <w:rFonts w:ascii="Verdana" w:hAnsi="Verdana"/>
      <w:color w:val="auto"/>
      <w:sz w:val="20"/>
      <w:szCs w:val="24"/>
    </w:rPr>
  </w:style>
  <w:style w:type="numbering" w:customStyle="1" w:styleId="Formatvorlage1">
    <w:name w:val="Formatvorlage1"/>
    <w:uiPriority w:val="99"/>
    <w:rsid w:val="00F4754B"/>
    <w:pPr>
      <w:numPr>
        <w:numId w:val="11"/>
      </w:numPr>
    </w:pPr>
  </w:style>
  <w:style w:type="numbering" w:customStyle="1" w:styleId="Formatvorlage2">
    <w:name w:val="Formatvorlage2"/>
    <w:uiPriority w:val="99"/>
    <w:rsid w:val="00F4754B"/>
    <w:pPr>
      <w:numPr>
        <w:numId w:val="12"/>
      </w:numPr>
    </w:pPr>
  </w:style>
  <w:style w:type="character" w:customStyle="1" w:styleId="llbChar">
    <w:name w:val="Élőláb Char"/>
    <w:basedOn w:val="Bekezdsalapbettpusa"/>
    <w:link w:val="llb"/>
    <w:uiPriority w:val="99"/>
    <w:rsid w:val="00F4754B"/>
    <w:rPr>
      <w:rFonts w:ascii="Arial" w:hAnsi="Arial"/>
      <w:color w:val="000000"/>
      <w:sz w:val="18"/>
      <w:lang w:eastAsia="hu-HU"/>
    </w:rPr>
  </w:style>
  <w:style w:type="paragraph" w:customStyle="1" w:styleId="GliederungmitAufzhlung">
    <w:name w:val="Gliederung mit Aufzählung"/>
    <w:basedOn w:val="Norml"/>
    <w:uiPriority w:val="1"/>
    <w:qFormat/>
    <w:rsid w:val="00F4754B"/>
    <w:pPr>
      <w:numPr>
        <w:numId w:val="13"/>
      </w:numPr>
      <w:spacing w:before="120" w:after="120" w:line="312" w:lineRule="auto"/>
      <w:jc w:val="both"/>
    </w:pPr>
    <w:rPr>
      <w:rFonts w:ascii="Verdana" w:hAnsi="Verdana"/>
      <w:color w:val="auto"/>
      <w:sz w:val="20"/>
      <w:szCs w:val="24"/>
    </w:rPr>
  </w:style>
  <w:style w:type="paragraph" w:customStyle="1" w:styleId="GliederungmitNummerierung">
    <w:name w:val="Gliederung mit Nummerierung"/>
    <w:basedOn w:val="Norml"/>
    <w:uiPriority w:val="1"/>
    <w:qFormat/>
    <w:rsid w:val="00F4754B"/>
    <w:pPr>
      <w:numPr>
        <w:numId w:val="14"/>
      </w:numPr>
      <w:spacing w:before="120" w:after="120" w:line="312" w:lineRule="auto"/>
      <w:jc w:val="both"/>
    </w:pPr>
    <w:rPr>
      <w:rFonts w:ascii="Verdana" w:hAnsi="Verdana"/>
      <w:color w:val="auto"/>
      <w:sz w:val="20"/>
      <w:szCs w:val="24"/>
    </w:rPr>
  </w:style>
  <w:style w:type="paragraph" w:customStyle="1" w:styleId="HngEinrckung1">
    <w:name w:val="Häng. Einrückung1"/>
    <w:basedOn w:val="Norml"/>
    <w:uiPriority w:val="1"/>
    <w:qFormat/>
    <w:rsid w:val="00F4754B"/>
    <w:pPr>
      <w:spacing w:before="120" w:after="120" w:line="312" w:lineRule="auto"/>
      <w:ind w:left="567" w:hanging="567"/>
      <w:jc w:val="both"/>
    </w:pPr>
    <w:rPr>
      <w:rFonts w:ascii="Verdana" w:hAnsi="Verdana"/>
      <w:color w:val="auto"/>
      <w:sz w:val="20"/>
      <w:szCs w:val="24"/>
    </w:rPr>
  </w:style>
  <w:style w:type="paragraph" w:customStyle="1" w:styleId="HngEinrckung2">
    <w:name w:val="Häng. Einrückung2"/>
    <w:basedOn w:val="Norml"/>
    <w:uiPriority w:val="1"/>
    <w:qFormat/>
    <w:rsid w:val="00F4754B"/>
    <w:pPr>
      <w:spacing w:before="120" w:after="120" w:line="312" w:lineRule="auto"/>
      <w:ind w:left="1134" w:hanging="567"/>
      <w:jc w:val="both"/>
    </w:pPr>
    <w:rPr>
      <w:rFonts w:ascii="Verdana" w:hAnsi="Verdana"/>
      <w:color w:val="auto"/>
      <w:sz w:val="20"/>
      <w:szCs w:val="24"/>
    </w:rPr>
  </w:style>
  <w:style w:type="paragraph" w:customStyle="1" w:styleId="HngEinrckung3">
    <w:name w:val="Häng. Einrückung3"/>
    <w:basedOn w:val="Norml"/>
    <w:uiPriority w:val="1"/>
    <w:qFormat/>
    <w:rsid w:val="00F4754B"/>
    <w:pPr>
      <w:spacing w:before="120" w:after="120" w:line="312" w:lineRule="auto"/>
      <w:ind w:left="1701" w:hanging="567"/>
      <w:jc w:val="both"/>
    </w:pPr>
    <w:rPr>
      <w:rFonts w:ascii="Verdana" w:hAnsi="Verdana"/>
      <w:color w:val="auto"/>
      <w:sz w:val="20"/>
      <w:szCs w:val="24"/>
    </w:rPr>
  </w:style>
  <w:style w:type="character" w:customStyle="1" w:styleId="lfejChar">
    <w:name w:val="Élőfej Char"/>
    <w:basedOn w:val="Bekezdsalapbettpusa"/>
    <w:link w:val="lfej"/>
    <w:uiPriority w:val="99"/>
    <w:rsid w:val="00F4754B"/>
    <w:rPr>
      <w:rFonts w:ascii="Arial" w:hAnsi="Arial"/>
      <w:color w:val="000000"/>
      <w:sz w:val="18"/>
      <w:lang w:eastAsia="hu-HU"/>
    </w:rPr>
  </w:style>
  <w:style w:type="paragraph" w:customStyle="1" w:styleId="Marginalspalte">
    <w:name w:val="Marginalspalte"/>
    <w:basedOn w:val="Norml"/>
    <w:uiPriority w:val="1"/>
    <w:qFormat/>
    <w:rsid w:val="00F4754B"/>
    <w:pPr>
      <w:framePr w:w="851" w:h="851" w:hSpace="284" w:wrap="around" w:vAnchor="text" w:hAnchor="page" w:y="1"/>
      <w:spacing w:before="120" w:after="120"/>
      <w:jc w:val="both"/>
    </w:pPr>
    <w:rPr>
      <w:rFonts w:ascii="Verdana" w:hAnsi="Verdana"/>
      <w:i/>
      <w:color w:val="auto"/>
      <w:sz w:val="20"/>
      <w:szCs w:val="22"/>
    </w:rPr>
  </w:style>
  <w:style w:type="paragraph" w:customStyle="1" w:styleId="Nummerierungsart1">
    <w:name w:val="Nummerierungsart1"/>
    <w:basedOn w:val="Norml"/>
    <w:uiPriority w:val="1"/>
    <w:qFormat/>
    <w:rsid w:val="00F4754B"/>
    <w:pPr>
      <w:numPr>
        <w:numId w:val="15"/>
      </w:numPr>
      <w:spacing w:before="120" w:after="120"/>
      <w:jc w:val="both"/>
    </w:pPr>
    <w:rPr>
      <w:rFonts w:ascii="Verdana" w:hAnsi="Verdana"/>
      <w:color w:val="auto"/>
      <w:sz w:val="20"/>
      <w:szCs w:val="24"/>
    </w:rPr>
  </w:style>
  <w:style w:type="paragraph" w:customStyle="1" w:styleId="Nummerierungsart2">
    <w:name w:val="Nummerierungsart2"/>
    <w:basedOn w:val="Norml"/>
    <w:uiPriority w:val="1"/>
    <w:qFormat/>
    <w:rsid w:val="00F4754B"/>
    <w:pPr>
      <w:numPr>
        <w:numId w:val="16"/>
      </w:numPr>
      <w:spacing w:before="120" w:after="120"/>
      <w:jc w:val="both"/>
    </w:pPr>
    <w:rPr>
      <w:rFonts w:ascii="Verdana" w:hAnsi="Verdana"/>
      <w:color w:val="auto"/>
      <w:sz w:val="20"/>
      <w:szCs w:val="24"/>
    </w:rPr>
  </w:style>
  <w:style w:type="paragraph" w:customStyle="1" w:styleId="Nummerierungsart3">
    <w:name w:val="Nummerierungsart3"/>
    <w:basedOn w:val="Norml"/>
    <w:uiPriority w:val="1"/>
    <w:qFormat/>
    <w:rsid w:val="00F4754B"/>
    <w:pPr>
      <w:numPr>
        <w:numId w:val="17"/>
      </w:numPr>
      <w:spacing w:before="120" w:after="120"/>
      <w:jc w:val="both"/>
    </w:pPr>
    <w:rPr>
      <w:rFonts w:ascii="Verdana" w:hAnsi="Verdana"/>
      <w:color w:val="auto"/>
      <w:sz w:val="20"/>
      <w:szCs w:val="24"/>
    </w:rPr>
  </w:style>
  <w:style w:type="paragraph" w:customStyle="1" w:styleId="Nummerierungsart4">
    <w:name w:val="Nummerierungsart4"/>
    <w:basedOn w:val="Norml"/>
    <w:uiPriority w:val="1"/>
    <w:qFormat/>
    <w:rsid w:val="00F4754B"/>
    <w:pPr>
      <w:numPr>
        <w:numId w:val="18"/>
      </w:numPr>
      <w:spacing w:before="120" w:after="120"/>
      <w:jc w:val="both"/>
    </w:pPr>
    <w:rPr>
      <w:rFonts w:ascii="Verdana" w:hAnsi="Verdana"/>
      <w:color w:val="auto"/>
      <w:sz w:val="20"/>
      <w:szCs w:val="24"/>
    </w:rPr>
  </w:style>
  <w:style w:type="character" w:customStyle="1" w:styleId="Heading3Char1">
    <w:name w:val="Heading 3 Char1"/>
    <w:basedOn w:val="Bekezdsalapbettpusa"/>
    <w:rsid w:val="00F4754B"/>
    <w:rPr>
      <w:rFonts w:ascii="Verdana" w:eastAsia="Times New Roman" w:hAnsi="Verdana" w:cs="Times New Roman"/>
      <w:b/>
      <w:sz w:val="20"/>
      <w:szCs w:val="24"/>
    </w:rPr>
  </w:style>
  <w:style w:type="paragraph" w:styleId="TJ2">
    <w:name w:val="toc 2"/>
    <w:basedOn w:val="Norml"/>
    <w:next w:val="Norml"/>
    <w:autoRedefine/>
    <w:uiPriority w:val="39"/>
    <w:qFormat/>
    <w:rsid w:val="00F4754B"/>
    <w:pPr>
      <w:tabs>
        <w:tab w:val="left" w:pos="794"/>
        <w:tab w:val="right" w:leader="dot" w:pos="9071"/>
      </w:tabs>
      <w:spacing w:before="120" w:after="60"/>
      <w:ind w:left="794" w:hanging="794"/>
      <w:jc w:val="both"/>
    </w:pPr>
    <w:rPr>
      <w:rFonts w:ascii="Verdana" w:hAnsi="Verdana"/>
      <w:b/>
      <w:smallCaps/>
      <w:noProof/>
      <w:color w:val="auto"/>
      <w:sz w:val="20"/>
      <w:szCs w:val="22"/>
    </w:rPr>
  </w:style>
  <w:style w:type="paragraph" w:styleId="TJ3">
    <w:name w:val="toc 3"/>
    <w:basedOn w:val="Norml"/>
    <w:next w:val="Norml"/>
    <w:autoRedefine/>
    <w:uiPriority w:val="39"/>
    <w:qFormat/>
    <w:rsid w:val="00F4754B"/>
    <w:pPr>
      <w:tabs>
        <w:tab w:val="left" w:pos="794"/>
        <w:tab w:val="right" w:leader="dot" w:pos="9072"/>
      </w:tabs>
      <w:spacing w:before="120" w:after="60"/>
      <w:ind w:left="794" w:hanging="794"/>
      <w:jc w:val="both"/>
    </w:pPr>
    <w:rPr>
      <w:rFonts w:ascii="Verdana" w:hAnsi="Verdana"/>
      <w:smallCaps/>
      <w:noProof/>
      <w:color w:val="auto"/>
      <w:sz w:val="20"/>
      <w:szCs w:val="24"/>
    </w:rPr>
  </w:style>
  <w:style w:type="paragraph" w:styleId="TJ4">
    <w:name w:val="toc 4"/>
    <w:basedOn w:val="Norml"/>
    <w:next w:val="Norml"/>
    <w:autoRedefine/>
    <w:uiPriority w:val="39"/>
    <w:rsid w:val="00F4754B"/>
    <w:pPr>
      <w:tabs>
        <w:tab w:val="left" w:pos="794"/>
        <w:tab w:val="right" w:leader="dot" w:pos="9071"/>
      </w:tabs>
      <w:spacing w:before="120" w:after="40"/>
      <w:ind w:left="794" w:hanging="794"/>
      <w:jc w:val="both"/>
    </w:pPr>
    <w:rPr>
      <w:rFonts w:ascii="Verdana" w:hAnsi="Verdana"/>
      <w:smallCaps/>
      <w:noProof/>
      <w:snapToGrid w:val="0"/>
      <w:color w:val="auto"/>
      <w:szCs w:val="18"/>
    </w:rPr>
  </w:style>
  <w:style w:type="paragraph" w:styleId="TJ5">
    <w:name w:val="toc 5"/>
    <w:basedOn w:val="Norml"/>
    <w:next w:val="Norml"/>
    <w:autoRedefine/>
    <w:uiPriority w:val="39"/>
    <w:rsid w:val="00F4754B"/>
    <w:pPr>
      <w:tabs>
        <w:tab w:val="left" w:pos="794"/>
        <w:tab w:val="right" w:leader="dot" w:pos="9071"/>
      </w:tabs>
      <w:spacing w:before="120" w:after="40"/>
      <w:ind w:left="794" w:hanging="794"/>
      <w:jc w:val="both"/>
    </w:pPr>
    <w:rPr>
      <w:rFonts w:ascii="Verdana" w:hAnsi="Verdana"/>
      <w:smallCaps/>
      <w:noProof/>
      <w:color w:val="auto"/>
      <w:szCs w:val="18"/>
    </w:rPr>
  </w:style>
  <w:style w:type="paragraph" w:styleId="TJ6">
    <w:name w:val="toc 6"/>
    <w:basedOn w:val="Norml"/>
    <w:next w:val="Norml"/>
    <w:autoRedefine/>
    <w:uiPriority w:val="39"/>
    <w:rsid w:val="00F4754B"/>
    <w:pPr>
      <w:tabs>
        <w:tab w:val="left" w:pos="2058"/>
        <w:tab w:val="right" w:leader="dot" w:pos="9071"/>
      </w:tabs>
      <w:spacing w:before="120" w:after="120"/>
      <w:ind w:left="1134" w:hanging="1134"/>
      <w:jc w:val="both"/>
    </w:pPr>
    <w:rPr>
      <w:rFonts w:ascii="Verdana" w:hAnsi="Verdana"/>
      <w:noProof/>
      <w:color w:val="auto"/>
      <w:sz w:val="16"/>
      <w:szCs w:val="24"/>
    </w:rPr>
  </w:style>
  <w:style w:type="paragraph" w:styleId="TJ7">
    <w:name w:val="toc 7"/>
    <w:basedOn w:val="Norml"/>
    <w:next w:val="Norml"/>
    <w:autoRedefine/>
    <w:uiPriority w:val="39"/>
    <w:rsid w:val="00F4754B"/>
    <w:pPr>
      <w:tabs>
        <w:tab w:val="right" w:leader="dot" w:pos="9071"/>
      </w:tabs>
      <w:spacing w:before="120" w:after="120"/>
      <w:ind w:left="1134" w:hanging="1134"/>
      <w:jc w:val="both"/>
    </w:pPr>
    <w:rPr>
      <w:rFonts w:ascii="Verdana" w:hAnsi="Verdana"/>
      <w:color w:val="auto"/>
      <w:sz w:val="16"/>
      <w:szCs w:val="24"/>
    </w:rPr>
  </w:style>
  <w:style w:type="paragraph" w:styleId="TJ8">
    <w:name w:val="toc 8"/>
    <w:basedOn w:val="Norml"/>
    <w:next w:val="Norml"/>
    <w:autoRedefine/>
    <w:uiPriority w:val="39"/>
    <w:rsid w:val="00F4754B"/>
    <w:pPr>
      <w:tabs>
        <w:tab w:val="left" w:pos="2758"/>
        <w:tab w:val="right" w:leader="dot" w:pos="9071"/>
      </w:tabs>
      <w:spacing w:before="120" w:after="120"/>
      <w:ind w:left="1361" w:hanging="1361"/>
      <w:jc w:val="both"/>
    </w:pPr>
    <w:rPr>
      <w:rFonts w:ascii="Verdana" w:hAnsi="Verdana"/>
      <w:noProof/>
      <w:color w:val="auto"/>
      <w:sz w:val="16"/>
      <w:szCs w:val="24"/>
    </w:rPr>
  </w:style>
  <w:style w:type="paragraph" w:styleId="TJ9">
    <w:name w:val="toc 9"/>
    <w:basedOn w:val="Norml"/>
    <w:next w:val="Norml"/>
    <w:autoRedefine/>
    <w:uiPriority w:val="39"/>
    <w:rsid w:val="00F4754B"/>
    <w:pPr>
      <w:tabs>
        <w:tab w:val="right" w:leader="dot" w:pos="9071"/>
      </w:tabs>
      <w:spacing w:before="120" w:after="120"/>
      <w:ind w:left="1361" w:hanging="1361"/>
      <w:jc w:val="both"/>
    </w:pPr>
    <w:rPr>
      <w:rFonts w:ascii="Verdana" w:hAnsi="Verdana"/>
      <w:color w:val="auto"/>
      <w:sz w:val="16"/>
      <w:szCs w:val="24"/>
    </w:rPr>
  </w:style>
  <w:style w:type="paragraph" w:customStyle="1" w:styleId="Quote1">
    <w:name w:val="Quote1"/>
    <w:basedOn w:val="Norml"/>
    <w:next w:val="Norml"/>
    <w:link w:val="QuoteChar"/>
    <w:uiPriority w:val="29"/>
    <w:semiHidden/>
    <w:rsid w:val="00F4754B"/>
    <w:pPr>
      <w:spacing w:before="120" w:after="120"/>
      <w:jc w:val="both"/>
    </w:pPr>
    <w:rPr>
      <w:rFonts w:ascii="Verdana" w:hAnsi="Verdana"/>
      <w:i/>
      <w:iCs/>
      <w:sz w:val="20"/>
      <w:szCs w:val="24"/>
    </w:rPr>
  </w:style>
  <w:style w:type="character" w:customStyle="1" w:styleId="QuoteChar">
    <w:name w:val="Quote Char"/>
    <w:basedOn w:val="Bekezdsalapbettpusa"/>
    <w:link w:val="Quote1"/>
    <w:uiPriority w:val="29"/>
    <w:semiHidden/>
    <w:rsid w:val="00F4754B"/>
    <w:rPr>
      <w:rFonts w:ascii="Verdana" w:hAnsi="Verdana"/>
      <w:i/>
      <w:iCs/>
      <w:color w:val="000000"/>
      <w:szCs w:val="24"/>
      <w:lang w:eastAsia="hu-HU"/>
    </w:rPr>
  </w:style>
  <w:style w:type="paragraph" w:customStyle="1" w:styleId="TOCHeading1">
    <w:name w:val="TOC Heading1"/>
    <w:basedOn w:val="Cmsor1"/>
    <w:next w:val="Norml"/>
    <w:uiPriority w:val="39"/>
    <w:semiHidden/>
    <w:unhideWhenUsed/>
    <w:qFormat/>
    <w:rsid w:val="00F4754B"/>
    <w:pPr>
      <w:keepNext/>
      <w:keepLines/>
      <w:autoSpaceDE w:val="0"/>
      <w:autoSpaceDN w:val="0"/>
      <w:adjustRightInd w:val="0"/>
      <w:spacing w:before="480" w:after="0" w:line="311" w:lineRule="auto"/>
      <w:outlineLvl w:val="9"/>
    </w:pPr>
    <w:rPr>
      <w:b/>
      <w:bCs/>
      <w:color w:val="4B67A3"/>
      <w:sz w:val="20"/>
      <w:szCs w:val="28"/>
      <w:u w:val="single"/>
    </w:rPr>
  </w:style>
  <w:style w:type="paragraph" w:styleId="Vgjegyzetszvege">
    <w:name w:val="endnote text"/>
    <w:basedOn w:val="Norml"/>
    <w:link w:val="VgjegyzetszvegeChar"/>
    <w:uiPriority w:val="1"/>
    <w:rsid w:val="00F4754B"/>
    <w:pPr>
      <w:spacing w:before="120" w:after="120" w:line="180" w:lineRule="exact"/>
      <w:ind w:left="142" w:hanging="142"/>
      <w:jc w:val="both"/>
    </w:pPr>
    <w:rPr>
      <w:rFonts w:ascii="Verdana" w:hAnsi="Verdana"/>
      <w:color w:val="auto"/>
      <w:sz w:val="16"/>
      <w:szCs w:val="24"/>
    </w:rPr>
  </w:style>
  <w:style w:type="character" w:customStyle="1" w:styleId="VgjegyzetszvegeChar">
    <w:name w:val="Végjegyzet szövege Char"/>
    <w:basedOn w:val="Bekezdsalapbettpusa"/>
    <w:link w:val="Vgjegyzetszvege"/>
    <w:uiPriority w:val="1"/>
    <w:rsid w:val="00F4754B"/>
    <w:rPr>
      <w:rFonts w:ascii="Verdana" w:hAnsi="Verdana"/>
      <w:sz w:val="16"/>
      <w:szCs w:val="24"/>
      <w:lang w:eastAsia="hu-HU"/>
    </w:rPr>
  </w:style>
  <w:style w:type="character" w:styleId="Vgjegyzet-hivatkozs">
    <w:name w:val="endnote reference"/>
    <w:basedOn w:val="Bekezdsalapbettpusa"/>
    <w:uiPriority w:val="1"/>
    <w:rsid w:val="00F4754B"/>
    <w:rPr>
      <w:rFonts w:ascii="Arial" w:hAnsi="Arial"/>
      <w:color w:val="auto"/>
      <w:position w:val="4"/>
      <w:sz w:val="12"/>
      <w:vertAlign w:val="baseline"/>
    </w:rPr>
  </w:style>
  <w:style w:type="paragraph" w:customStyle="1" w:styleId="Ballontekst1">
    <w:name w:val="Ballontekst1"/>
    <w:basedOn w:val="Norml"/>
    <w:uiPriority w:val="99"/>
    <w:semiHidden/>
    <w:rsid w:val="00F4754B"/>
    <w:pPr>
      <w:spacing w:before="120" w:after="120"/>
      <w:jc w:val="both"/>
    </w:pPr>
    <w:rPr>
      <w:rFonts w:ascii="Tahoma" w:hAnsi="Tahoma" w:cs="Tahoma"/>
      <w:color w:val="auto"/>
      <w:sz w:val="16"/>
      <w:szCs w:val="16"/>
    </w:rPr>
  </w:style>
  <w:style w:type="character" w:styleId="Jegyzethivatkozs">
    <w:name w:val="annotation reference"/>
    <w:basedOn w:val="Bekezdsalapbettpusa"/>
    <w:uiPriority w:val="99"/>
    <w:rsid w:val="00F4754B"/>
    <w:rPr>
      <w:rFonts w:cs="Times New Roman"/>
      <w:sz w:val="16"/>
      <w:szCs w:val="16"/>
    </w:rPr>
  </w:style>
  <w:style w:type="paragraph" w:styleId="Jegyzetszveg">
    <w:name w:val="annotation text"/>
    <w:basedOn w:val="Norml"/>
    <w:link w:val="JegyzetszvegChar"/>
    <w:uiPriority w:val="99"/>
    <w:rsid w:val="00F4754B"/>
    <w:pPr>
      <w:spacing w:before="120" w:after="120"/>
      <w:jc w:val="both"/>
    </w:pPr>
    <w:rPr>
      <w:rFonts w:ascii="Verdana" w:hAnsi="Verdana"/>
      <w:color w:val="auto"/>
      <w:sz w:val="20"/>
    </w:rPr>
  </w:style>
  <w:style w:type="character" w:customStyle="1" w:styleId="JegyzetszvegChar">
    <w:name w:val="Jegyzetszöveg Char"/>
    <w:basedOn w:val="Bekezdsalapbettpusa"/>
    <w:link w:val="Jegyzetszveg"/>
    <w:uiPriority w:val="99"/>
    <w:rsid w:val="00F4754B"/>
    <w:rPr>
      <w:rFonts w:ascii="Verdana" w:hAnsi="Verdana"/>
      <w:lang w:eastAsia="hu-HU"/>
    </w:rPr>
  </w:style>
  <w:style w:type="paragraph" w:customStyle="1" w:styleId="Onderwerpvanopmerking1">
    <w:name w:val="Onderwerp van opmerking1"/>
    <w:basedOn w:val="Jegyzetszveg"/>
    <w:next w:val="Jegyzetszveg"/>
    <w:uiPriority w:val="99"/>
    <w:semiHidden/>
    <w:rsid w:val="00F4754B"/>
    <w:rPr>
      <w:b/>
      <w:bCs/>
    </w:rPr>
  </w:style>
  <w:style w:type="character" w:styleId="Mrltotthiperhivatkozs">
    <w:name w:val="FollowedHyperlink"/>
    <w:basedOn w:val="Bekezdsalapbettpusa"/>
    <w:uiPriority w:val="99"/>
    <w:rsid w:val="00F4754B"/>
    <w:rPr>
      <w:rFonts w:cs="Times New Roman"/>
      <w:color w:val="606420"/>
      <w:u w:val="single"/>
    </w:rPr>
  </w:style>
  <w:style w:type="paragraph" w:styleId="Megjegyzstrgya">
    <w:name w:val="annotation subject"/>
    <w:basedOn w:val="Jegyzetszveg"/>
    <w:next w:val="Jegyzetszveg"/>
    <w:link w:val="MegjegyzstrgyaChar"/>
    <w:uiPriority w:val="99"/>
    <w:rsid w:val="00F4754B"/>
    <w:rPr>
      <w:b/>
      <w:bCs/>
    </w:rPr>
  </w:style>
  <w:style w:type="character" w:customStyle="1" w:styleId="MegjegyzstrgyaChar">
    <w:name w:val="Megjegyzés tárgya Char"/>
    <w:basedOn w:val="JegyzetszvegChar"/>
    <w:link w:val="Megjegyzstrgya"/>
    <w:uiPriority w:val="99"/>
    <w:rsid w:val="00F4754B"/>
    <w:rPr>
      <w:rFonts w:ascii="Verdana" w:hAnsi="Verdana"/>
      <w:b/>
      <w:bCs/>
      <w:lang w:eastAsia="hu-HU"/>
    </w:rPr>
  </w:style>
  <w:style w:type="paragraph" w:customStyle="1" w:styleId="Formatvorlageberschrift4">
    <w:name w:val="Formatvorlage Überschrift 4"/>
    <w:basedOn w:val="Cmsor4"/>
    <w:link w:val="Formatvorlageberschrift4Char"/>
    <w:uiPriority w:val="99"/>
    <w:rsid w:val="00F4754B"/>
    <w:pPr>
      <w:keepNext/>
      <w:spacing w:after="60"/>
      <w:ind w:left="360" w:hanging="360"/>
      <w:contextualSpacing w:val="0"/>
      <w:jc w:val="both"/>
    </w:pPr>
    <w:rPr>
      <w:rFonts w:ascii="Verdana" w:hAnsi="Verdana"/>
      <w:b/>
      <w:iCs/>
      <w:color w:val="auto"/>
      <w:szCs w:val="28"/>
      <w:u w:val="single"/>
    </w:rPr>
  </w:style>
  <w:style w:type="character" w:customStyle="1" w:styleId="Formatvorlageberschrift4Char">
    <w:name w:val="Formatvorlage Überschrift 4 Char"/>
    <w:basedOn w:val="Cmsor4Char"/>
    <w:link w:val="Formatvorlageberschrift4"/>
    <w:uiPriority w:val="99"/>
    <w:locked/>
    <w:rsid w:val="00F4754B"/>
    <w:rPr>
      <w:rFonts w:ascii="Verdana" w:hAnsi="Verdana"/>
      <w:b/>
      <w:iCs/>
      <w:color w:val="48748F" w:themeColor="accent1"/>
      <w:szCs w:val="28"/>
      <w:u w:val="single"/>
      <w:lang w:eastAsia="hu-HU"/>
    </w:rPr>
  </w:style>
  <w:style w:type="paragraph" w:customStyle="1" w:styleId="Instructionsberschrift1">
    <w:name w:val="Instructions Überschrift 1"/>
    <w:basedOn w:val="Cmsor1"/>
    <w:rsid w:val="00F4754B"/>
    <w:pPr>
      <w:keepNext/>
      <w:tabs>
        <w:tab w:val="num" w:pos="540"/>
      </w:tabs>
      <w:autoSpaceDE w:val="0"/>
      <w:autoSpaceDN w:val="0"/>
      <w:adjustRightInd w:val="0"/>
      <w:spacing w:before="240" w:after="0"/>
      <w:ind w:left="540" w:hanging="540"/>
    </w:pPr>
    <w:rPr>
      <w:rFonts w:ascii="Verdana" w:hAnsi="Verdana"/>
      <w:color w:val="auto"/>
      <w:kern w:val="32"/>
      <w:sz w:val="20"/>
      <w:u w:val="single"/>
    </w:rPr>
  </w:style>
  <w:style w:type="paragraph" w:customStyle="1" w:styleId="Instructionsberschrift2">
    <w:name w:val="Instructions Überschrift 2"/>
    <w:basedOn w:val="Cmsor2"/>
    <w:link w:val="Instructionsberschrift2Char"/>
    <w:rsid w:val="00F4754B"/>
    <w:pPr>
      <w:keepNext/>
      <w:numPr>
        <w:numId w:val="19"/>
      </w:numPr>
      <w:spacing w:before="240"/>
      <w:contextualSpacing w:val="0"/>
      <w:jc w:val="both"/>
    </w:pPr>
    <w:rPr>
      <w:rFonts w:ascii="Times New Roman" w:hAnsi="Times New Roman" w:cs="Arial"/>
      <w:color w:val="auto"/>
      <w:sz w:val="20"/>
      <w:szCs w:val="24"/>
      <w:u w:val="single"/>
    </w:rPr>
  </w:style>
  <w:style w:type="paragraph" w:customStyle="1" w:styleId="Instructionsberschrift3">
    <w:name w:val="Instructions Überschrift 3"/>
    <w:basedOn w:val="Cmsor3"/>
    <w:link w:val="Instructionsberschrift3Zchn"/>
    <w:rsid w:val="00F4754B"/>
    <w:pPr>
      <w:keepNext/>
      <w:numPr>
        <w:numId w:val="20"/>
      </w:numPr>
      <w:spacing w:after="60" w:line="360" w:lineRule="auto"/>
      <w:jc w:val="both"/>
    </w:pPr>
    <w:rPr>
      <w:rFonts w:ascii="Verdana" w:hAnsi="Verdana" w:cs="Arial"/>
      <w:b w:val="0"/>
      <w:color w:val="auto"/>
      <w:szCs w:val="26"/>
      <w:u w:val="single"/>
    </w:rPr>
  </w:style>
  <w:style w:type="character" w:customStyle="1" w:styleId="Instructionsberschrift3Zchn">
    <w:name w:val="Instructions Überschrift 3 Zchn"/>
    <w:basedOn w:val="Heading3Char1"/>
    <w:link w:val="Instructionsberschrift3"/>
    <w:locked/>
    <w:rsid w:val="00F4754B"/>
    <w:rPr>
      <w:rFonts w:ascii="Verdana" w:eastAsia="Times New Roman" w:hAnsi="Verdana" w:cs="Arial"/>
      <w:b/>
      <w:sz w:val="20"/>
      <w:szCs w:val="26"/>
      <w:u w:val="single"/>
      <w:lang w:eastAsia="hu-HU"/>
    </w:rPr>
  </w:style>
  <w:style w:type="paragraph" w:customStyle="1" w:styleId="Instructionsberschrift4">
    <w:name w:val="Instructions Überschrift 4"/>
    <w:basedOn w:val="Cmsor4"/>
    <w:next w:val="InstructionsText"/>
    <w:link w:val="Instructionsberschrift4Char"/>
    <w:uiPriority w:val="99"/>
    <w:rsid w:val="00F4754B"/>
    <w:pPr>
      <w:keepNext/>
      <w:tabs>
        <w:tab w:val="left" w:pos="1520"/>
      </w:tabs>
      <w:autoSpaceDE w:val="0"/>
      <w:autoSpaceDN w:val="0"/>
      <w:adjustRightInd w:val="0"/>
      <w:spacing w:after="240"/>
      <w:ind w:left="970" w:hanging="970"/>
      <w:contextualSpacing w:val="0"/>
      <w:jc w:val="both"/>
    </w:pPr>
    <w:rPr>
      <w:rFonts w:ascii="Verdana" w:hAnsi="Verdana"/>
      <w:b/>
      <w:bCs/>
      <w:color w:val="auto"/>
      <w:szCs w:val="24"/>
      <w:u w:val="single"/>
    </w:rPr>
  </w:style>
  <w:style w:type="paragraph" w:customStyle="1" w:styleId="InstructionsText">
    <w:name w:val="Instructions Text"/>
    <w:basedOn w:val="Norml"/>
    <w:link w:val="InstructionsTextChar"/>
    <w:autoRedefine/>
    <w:rsid w:val="00F4754B"/>
    <w:pPr>
      <w:ind w:left="33" w:hanging="33"/>
      <w:jc w:val="both"/>
    </w:pPr>
    <w:rPr>
      <w:rFonts w:ascii="Times New Roman" w:eastAsiaTheme="minorHAnsi" w:hAnsi="Times New Roman"/>
      <w:color w:val="auto"/>
      <w:sz w:val="20"/>
      <w:szCs w:val="24"/>
    </w:rPr>
  </w:style>
  <w:style w:type="character" w:customStyle="1" w:styleId="Instructionsberschrift4Char">
    <w:name w:val="Instructions Überschrift 4 Char"/>
    <w:basedOn w:val="Cmsor4Char"/>
    <w:link w:val="Instructionsberschrift4"/>
    <w:uiPriority w:val="99"/>
    <w:locked/>
    <w:rsid w:val="00F4754B"/>
    <w:rPr>
      <w:rFonts w:ascii="Verdana" w:hAnsi="Verdana"/>
      <w:b/>
      <w:bCs/>
      <w:color w:val="48748F" w:themeColor="accent1"/>
      <w:szCs w:val="24"/>
      <w:u w:val="single"/>
      <w:lang w:eastAsia="hu-HU"/>
    </w:rPr>
  </w:style>
  <w:style w:type="character" w:customStyle="1" w:styleId="InstructionsTabelleberschrift">
    <w:name w:val="Instructions Tabelle Überschrift"/>
    <w:basedOn w:val="Bekezdsalapbettpusa"/>
    <w:qFormat/>
    <w:rsid w:val="00F4754B"/>
    <w:rPr>
      <w:rFonts w:ascii="Verdana" w:hAnsi="Verdana" w:cs="Times New Roman"/>
      <w:b/>
      <w:bCs/>
      <w:sz w:val="20"/>
      <w:u w:val="single"/>
    </w:rPr>
  </w:style>
  <w:style w:type="character" w:customStyle="1" w:styleId="InstructionsTabelleText">
    <w:name w:val="Instructions Tabelle Text"/>
    <w:basedOn w:val="Bekezdsalapbettpusa"/>
    <w:uiPriority w:val="99"/>
    <w:rsid w:val="00F4754B"/>
    <w:rPr>
      <w:rFonts w:ascii="Verdana" w:hAnsi="Verdana" w:cs="Times New Roman"/>
      <w:sz w:val="20"/>
    </w:rPr>
  </w:style>
  <w:style w:type="character" w:customStyle="1" w:styleId="FormatvorlageInstructionsTabelleText">
    <w:name w:val="Formatvorlage Instructions Tabelle Text"/>
    <w:basedOn w:val="Bekezdsalapbettpusa"/>
    <w:uiPriority w:val="99"/>
    <w:qFormat/>
    <w:rsid w:val="00F4754B"/>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F4754B"/>
    <w:pPr>
      <w:ind w:left="0" w:firstLine="0"/>
    </w:pPr>
    <w:rPr>
      <w:rFonts w:cs="Times New Roman"/>
      <w:szCs w:val="20"/>
    </w:rPr>
  </w:style>
  <w:style w:type="paragraph" w:customStyle="1" w:styleId="Texte2">
    <w:name w:val="Texte 2"/>
    <w:basedOn w:val="Norml"/>
    <w:uiPriority w:val="99"/>
    <w:rsid w:val="00F4754B"/>
    <w:pPr>
      <w:spacing w:before="120"/>
      <w:ind w:left="567"/>
      <w:jc w:val="both"/>
    </w:pPr>
    <w:rPr>
      <w:rFonts w:ascii="Verdana" w:hAnsi="Verdana"/>
      <w:color w:val="auto"/>
      <w:sz w:val="22"/>
    </w:rPr>
  </w:style>
  <w:style w:type="paragraph" w:customStyle="1" w:styleId="Prrafodelista1">
    <w:name w:val="Párrafo de lista1"/>
    <w:basedOn w:val="Norml"/>
    <w:uiPriority w:val="99"/>
    <w:rsid w:val="00F4754B"/>
    <w:pPr>
      <w:spacing w:before="120" w:after="120"/>
      <w:ind w:left="720"/>
      <w:jc w:val="both"/>
    </w:pPr>
    <w:rPr>
      <w:rFonts w:ascii="Verdana" w:hAnsi="Verdana"/>
      <w:color w:val="auto"/>
      <w:sz w:val="20"/>
      <w:szCs w:val="24"/>
    </w:rPr>
  </w:style>
  <w:style w:type="paragraph" w:customStyle="1" w:styleId="Prrafodelista2">
    <w:name w:val="Párrafo de lista2"/>
    <w:basedOn w:val="Norml"/>
    <w:uiPriority w:val="99"/>
    <w:rsid w:val="00F4754B"/>
    <w:pPr>
      <w:spacing w:before="120" w:after="120"/>
      <w:ind w:left="708"/>
      <w:jc w:val="both"/>
    </w:pPr>
    <w:rPr>
      <w:rFonts w:ascii="Verdana" w:hAnsi="Verdana"/>
      <w:color w:val="auto"/>
      <w:sz w:val="20"/>
      <w:szCs w:val="24"/>
    </w:rPr>
  </w:style>
  <w:style w:type="paragraph" w:styleId="Csakszveg">
    <w:name w:val="Plain Text"/>
    <w:basedOn w:val="Norml"/>
    <w:link w:val="CsakszvegChar"/>
    <w:uiPriority w:val="99"/>
    <w:rsid w:val="00F4754B"/>
    <w:rPr>
      <w:rFonts w:ascii="Verdana" w:hAnsi="Verdana"/>
      <w:color w:val="auto"/>
      <w:sz w:val="20"/>
    </w:rPr>
  </w:style>
  <w:style w:type="character" w:customStyle="1" w:styleId="CsakszvegChar">
    <w:name w:val="Csak szöveg Char"/>
    <w:basedOn w:val="Bekezdsalapbettpusa"/>
    <w:link w:val="Csakszveg"/>
    <w:uiPriority w:val="99"/>
    <w:rsid w:val="00F4754B"/>
    <w:rPr>
      <w:rFonts w:ascii="Verdana" w:hAnsi="Verdana"/>
      <w:lang w:val="hu-HU" w:eastAsia="hu-HU"/>
    </w:rPr>
  </w:style>
  <w:style w:type="paragraph" w:customStyle="1" w:styleId="Listenabsatz1">
    <w:name w:val="Listenabsatz1"/>
    <w:basedOn w:val="Norml"/>
    <w:uiPriority w:val="99"/>
    <w:rsid w:val="00F4754B"/>
    <w:pPr>
      <w:spacing w:before="120" w:after="120"/>
      <w:ind w:left="708"/>
      <w:jc w:val="both"/>
    </w:pPr>
    <w:rPr>
      <w:rFonts w:ascii="Verdana" w:hAnsi="Verdana"/>
      <w:color w:val="auto"/>
      <w:sz w:val="20"/>
      <w:szCs w:val="24"/>
    </w:rPr>
  </w:style>
  <w:style w:type="character" w:customStyle="1" w:styleId="InstructionsTextChar">
    <w:name w:val="Instructions Text Char"/>
    <w:basedOn w:val="Bekezdsalapbettpusa"/>
    <w:link w:val="InstructionsText"/>
    <w:locked/>
    <w:rsid w:val="00F4754B"/>
    <w:rPr>
      <w:rFonts w:eastAsiaTheme="minorHAnsi"/>
      <w:szCs w:val="24"/>
      <w:lang w:eastAsia="hu-HU"/>
    </w:rPr>
  </w:style>
  <w:style w:type="paragraph" w:customStyle="1" w:styleId="Revision1">
    <w:name w:val="Revision1"/>
    <w:hidden/>
    <w:uiPriority w:val="99"/>
    <w:semiHidden/>
    <w:rsid w:val="00F4754B"/>
    <w:rPr>
      <w:rFonts w:ascii="Verdana" w:hAnsi="Verdana"/>
      <w:szCs w:val="24"/>
    </w:rPr>
  </w:style>
  <w:style w:type="paragraph" w:customStyle="1" w:styleId="ListParagraph1">
    <w:name w:val="List Paragraph1"/>
    <w:basedOn w:val="Norml"/>
    <w:uiPriority w:val="34"/>
    <w:qFormat/>
    <w:rsid w:val="00F4754B"/>
    <w:pPr>
      <w:spacing w:before="120" w:after="120"/>
      <w:ind w:left="708"/>
      <w:jc w:val="both"/>
    </w:pPr>
    <w:rPr>
      <w:rFonts w:ascii="Verdana" w:hAnsi="Verdana"/>
      <w:color w:val="auto"/>
      <w:sz w:val="20"/>
      <w:szCs w:val="24"/>
    </w:rPr>
  </w:style>
  <w:style w:type="character" w:customStyle="1" w:styleId="PlaceholderText1">
    <w:name w:val="Placeholder Text1"/>
    <w:basedOn w:val="Bekezdsalapbettpusa"/>
    <w:uiPriority w:val="99"/>
    <w:semiHidden/>
    <w:rsid w:val="00F4754B"/>
    <w:rPr>
      <w:color w:val="808080"/>
    </w:rPr>
  </w:style>
  <w:style w:type="paragraph" w:customStyle="1" w:styleId="InstructionsText2">
    <w:name w:val="Instructions Text 2"/>
    <w:basedOn w:val="InstructionsText"/>
    <w:qFormat/>
    <w:rsid w:val="00F4754B"/>
    <w:pPr>
      <w:spacing w:after="240"/>
      <w:ind w:left="0" w:firstLine="0"/>
    </w:pPr>
  </w:style>
  <w:style w:type="character" w:customStyle="1" w:styleId="Instructionsberschrift3Char">
    <w:name w:val="Instructions Überschrift 3 Char"/>
    <w:basedOn w:val="Heading3Char1"/>
    <w:locked/>
    <w:rsid w:val="00F4754B"/>
    <w:rPr>
      <w:rFonts w:ascii="Verdana" w:eastAsia="Times New Roman" w:hAnsi="Verdana" w:cs="Arial"/>
      <w:b/>
      <w:bCs/>
      <w:sz w:val="20"/>
      <w:szCs w:val="26"/>
      <w:u w:val="single"/>
      <w:lang w:val="hu-HU" w:eastAsia="hu-HU" w:bidi="hu-HU"/>
    </w:rPr>
  </w:style>
  <w:style w:type="paragraph" w:customStyle="1" w:styleId="CM4">
    <w:name w:val="CM4"/>
    <w:basedOn w:val="Norml"/>
    <w:next w:val="Norml"/>
    <w:uiPriority w:val="99"/>
    <w:rsid w:val="00F4754B"/>
    <w:pPr>
      <w:autoSpaceDE w:val="0"/>
      <w:autoSpaceDN w:val="0"/>
      <w:adjustRightInd w:val="0"/>
    </w:pPr>
    <w:rPr>
      <w:rFonts w:ascii="Times New Roman" w:eastAsia="Arial" w:hAnsi="Times New Roman"/>
      <w:color w:val="auto"/>
      <w:sz w:val="24"/>
      <w:szCs w:val="24"/>
    </w:rPr>
  </w:style>
  <w:style w:type="numbering" w:customStyle="1" w:styleId="Formatvorlage3">
    <w:name w:val="Formatvorlage3"/>
    <w:uiPriority w:val="99"/>
    <w:rsid w:val="00F4754B"/>
    <w:pPr>
      <w:numPr>
        <w:numId w:val="22"/>
      </w:numPr>
    </w:pPr>
  </w:style>
  <w:style w:type="numbering" w:customStyle="1" w:styleId="Formatvorlage4">
    <w:name w:val="Formatvorlage4"/>
    <w:uiPriority w:val="99"/>
    <w:rsid w:val="00F4754B"/>
    <w:pPr>
      <w:numPr>
        <w:numId w:val="23"/>
      </w:numPr>
    </w:pPr>
  </w:style>
  <w:style w:type="paragraph" w:customStyle="1" w:styleId="Titrearticle">
    <w:name w:val="Titre article"/>
    <w:basedOn w:val="Norml"/>
    <w:next w:val="Norml"/>
    <w:link w:val="TitrearticleChar"/>
    <w:rsid w:val="00F4754B"/>
    <w:pPr>
      <w:keepNext/>
      <w:spacing w:before="360" w:after="120"/>
      <w:jc w:val="center"/>
    </w:pPr>
    <w:rPr>
      <w:rFonts w:ascii="Times New Roman" w:hAnsi="Times New Roman"/>
      <w:i/>
      <w:color w:val="auto"/>
      <w:sz w:val="24"/>
      <w:szCs w:val="24"/>
    </w:rPr>
  </w:style>
  <w:style w:type="paragraph" w:customStyle="1" w:styleId="Baseparagraphnumbered">
    <w:name w:val="Base paragraph numbered"/>
    <w:basedOn w:val="Norml"/>
    <w:link w:val="BaseparagraphnumberedChar"/>
    <w:qFormat/>
    <w:rsid w:val="00F4754B"/>
    <w:pPr>
      <w:numPr>
        <w:numId w:val="24"/>
      </w:numPr>
      <w:spacing w:after="240"/>
      <w:jc w:val="both"/>
    </w:pPr>
    <w:rPr>
      <w:rFonts w:ascii="Times New Roman" w:hAnsi="Times New Roman"/>
      <w:color w:val="auto"/>
      <w:sz w:val="24"/>
      <w:szCs w:val="24"/>
    </w:rPr>
  </w:style>
  <w:style w:type="character" w:customStyle="1" w:styleId="BaseparagraphnumberedChar">
    <w:name w:val="Base paragraph numbered Char"/>
    <w:link w:val="Baseparagraphnumbered"/>
    <w:rsid w:val="00F4754B"/>
    <w:rPr>
      <w:sz w:val="24"/>
      <w:szCs w:val="24"/>
      <w:lang w:eastAsia="hu-HU"/>
    </w:rPr>
  </w:style>
  <w:style w:type="character" w:customStyle="1" w:styleId="style461">
    <w:name w:val="style461"/>
    <w:basedOn w:val="Bekezdsalapbettpusa"/>
    <w:rsid w:val="00F4754B"/>
    <w:rPr>
      <w:color w:val="FF5A00"/>
    </w:rPr>
  </w:style>
  <w:style w:type="paragraph" w:customStyle="1" w:styleId="Default">
    <w:name w:val="Default"/>
    <w:rsid w:val="00F4754B"/>
    <w:pPr>
      <w:autoSpaceDE w:val="0"/>
      <w:autoSpaceDN w:val="0"/>
      <w:adjustRightInd w:val="0"/>
    </w:pPr>
    <w:rPr>
      <w:rFonts w:ascii="Verdana" w:eastAsia="Calibri" w:hAnsi="Verdana" w:cs="Verdana"/>
      <w:color w:val="000000"/>
      <w:sz w:val="24"/>
      <w:szCs w:val="24"/>
    </w:rPr>
  </w:style>
  <w:style w:type="character" w:customStyle="1" w:styleId="TitrearticleChar">
    <w:name w:val="Titre article Char"/>
    <w:basedOn w:val="Bekezdsalapbettpusa"/>
    <w:link w:val="Titrearticle"/>
    <w:rsid w:val="00F4754B"/>
    <w:rPr>
      <w:i/>
      <w:sz w:val="24"/>
      <w:szCs w:val="24"/>
      <w:lang w:eastAsia="hu-HU"/>
    </w:rPr>
  </w:style>
  <w:style w:type="paragraph" w:customStyle="1" w:styleId="Point0number">
    <w:name w:val="Point 0 (number)"/>
    <w:basedOn w:val="Norml"/>
    <w:rsid w:val="00F4754B"/>
    <w:pPr>
      <w:tabs>
        <w:tab w:val="num" w:pos="360"/>
      </w:tabs>
      <w:spacing w:before="120" w:after="120"/>
      <w:ind w:left="850" w:hanging="850"/>
      <w:jc w:val="both"/>
    </w:pPr>
    <w:rPr>
      <w:rFonts w:ascii="Times New Roman" w:hAnsi="Times New Roman"/>
      <w:color w:val="auto"/>
      <w:sz w:val="24"/>
      <w:szCs w:val="24"/>
    </w:rPr>
  </w:style>
  <w:style w:type="paragraph" w:customStyle="1" w:styleId="Style1">
    <w:name w:val="Style1"/>
    <w:basedOn w:val="Instructionsberschrift2"/>
    <w:link w:val="Style1Char"/>
    <w:qFormat/>
    <w:rsid w:val="00F4754B"/>
    <w:pPr>
      <w:numPr>
        <w:numId w:val="0"/>
      </w:numPr>
      <w:pBdr>
        <w:top w:val="single" w:sz="4" w:space="1" w:color="auto"/>
        <w:left w:val="single" w:sz="4" w:space="4" w:color="auto"/>
        <w:bottom w:val="single" w:sz="4" w:space="0" w:color="auto"/>
        <w:right w:val="single" w:sz="4" w:space="4" w:color="auto"/>
      </w:pBdr>
      <w:ind w:left="717"/>
      <w:jc w:val="left"/>
    </w:pPr>
    <w:rPr>
      <w:b/>
      <w:szCs w:val="17"/>
      <w:u w:val="none"/>
    </w:rPr>
  </w:style>
  <w:style w:type="character" w:customStyle="1" w:styleId="Instructionsberschrift2Char">
    <w:name w:val="Instructions Überschrift 2 Char"/>
    <w:basedOn w:val="Cmsor2Char"/>
    <w:link w:val="Instructionsberschrift2"/>
    <w:rsid w:val="00F4754B"/>
    <w:rPr>
      <w:rFonts w:ascii="Arial" w:hAnsi="Arial" w:cs="Arial"/>
      <w:color w:val="48748F" w:themeColor="accent1"/>
      <w:sz w:val="24"/>
      <w:szCs w:val="24"/>
      <w:u w:val="single"/>
      <w:lang w:eastAsia="hu-HU"/>
    </w:rPr>
  </w:style>
  <w:style w:type="character" w:customStyle="1" w:styleId="Style1Char">
    <w:name w:val="Style1 Char"/>
    <w:basedOn w:val="Instructionsberschrift2Char"/>
    <w:link w:val="Style1"/>
    <w:rsid w:val="00F4754B"/>
    <w:rPr>
      <w:rFonts w:ascii="Arial" w:hAnsi="Arial" w:cs="Arial"/>
      <w:b/>
      <w:color w:val="48748F" w:themeColor="accent1"/>
      <w:sz w:val="24"/>
      <w:szCs w:val="17"/>
      <w:u w:val="single"/>
      <w:lang w:eastAsia="hu-HU"/>
    </w:rPr>
  </w:style>
  <w:style w:type="paragraph" w:customStyle="1" w:styleId="PointTriple1">
    <w:name w:val="PointTriple 1"/>
    <w:basedOn w:val="Norml"/>
    <w:rsid w:val="00F4754B"/>
    <w:pPr>
      <w:tabs>
        <w:tab w:val="left" w:pos="1417"/>
        <w:tab w:val="left" w:pos="1984"/>
      </w:tabs>
      <w:spacing w:before="120" w:after="120"/>
      <w:ind w:left="2551" w:hanging="1701"/>
      <w:jc w:val="both"/>
    </w:pPr>
    <w:rPr>
      <w:rFonts w:ascii="Times New Roman" w:hAnsi="Times New Roman"/>
      <w:color w:val="auto"/>
      <w:sz w:val="24"/>
      <w:szCs w:val="24"/>
    </w:rPr>
  </w:style>
  <w:style w:type="paragraph" w:styleId="Listaszerbekezds">
    <w:name w:val="List Paragraph"/>
    <w:basedOn w:val="Norml"/>
    <w:uiPriority w:val="34"/>
    <w:qFormat/>
    <w:rsid w:val="00F4754B"/>
    <w:pPr>
      <w:spacing w:before="120" w:after="120"/>
      <w:ind w:left="720"/>
      <w:contextualSpacing/>
      <w:jc w:val="both"/>
    </w:pPr>
    <w:rPr>
      <w:rFonts w:ascii="Verdana" w:hAnsi="Verdana"/>
      <w:color w:val="auto"/>
      <w:sz w:val="20"/>
      <w:szCs w:val="24"/>
    </w:rPr>
  </w:style>
  <w:style w:type="paragraph" w:styleId="NormlWeb">
    <w:name w:val="Normal (Web)"/>
    <w:basedOn w:val="Norml"/>
    <w:uiPriority w:val="99"/>
    <w:semiHidden/>
    <w:unhideWhenUsed/>
    <w:rsid w:val="00F4754B"/>
    <w:pPr>
      <w:spacing w:before="100" w:beforeAutospacing="1" w:after="100" w:afterAutospacing="1"/>
    </w:pPr>
    <w:rPr>
      <w:rFonts w:ascii="Times New Roman" w:hAnsi="Times New Roman"/>
      <w:color w:val="auto"/>
      <w:sz w:val="24"/>
      <w:szCs w:val="24"/>
    </w:rPr>
  </w:style>
  <w:style w:type="character" w:styleId="Kiemels2">
    <w:name w:val="Strong"/>
    <w:basedOn w:val="Bekezdsalapbettpusa"/>
    <w:uiPriority w:val="22"/>
    <w:qFormat/>
    <w:rsid w:val="00F4754B"/>
    <w:rPr>
      <w:b/>
      <w:bCs/>
    </w:rPr>
  </w:style>
  <w:style w:type="paragraph" w:customStyle="1" w:styleId="CM1">
    <w:name w:val="CM1"/>
    <w:basedOn w:val="Default"/>
    <w:next w:val="Default"/>
    <w:uiPriority w:val="99"/>
    <w:rsid w:val="00F4754B"/>
    <w:rPr>
      <w:rFonts w:ascii="EUAlbertina" w:eastAsiaTheme="minorHAnsi" w:hAnsi="EUAlbertina" w:cstheme="minorBidi"/>
      <w:color w:val="auto"/>
    </w:rPr>
  </w:style>
  <w:style w:type="paragraph" w:customStyle="1" w:styleId="CM3">
    <w:name w:val="CM3"/>
    <w:basedOn w:val="Default"/>
    <w:next w:val="Default"/>
    <w:uiPriority w:val="99"/>
    <w:rsid w:val="00F4754B"/>
    <w:rPr>
      <w:rFonts w:ascii="EUAlbertina" w:eastAsiaTheme="minorHAnsi" w:hAnsi="EUAlbertina" w:cstheme="minorBidi"/>
      <w:color w:val="auto"/>
    </w:rPr>
  </w:style>
  <w:style w:type="paragraph" w:customStyle="1" w:styleId="Paragraph">
    <w:name w:val="Paragraph"/>
    <w:basedOn w:val="Norml"/>
    <w:link w:val="ParagraphChar"/>
    <w:qFormat/>
    <w:rsid w:val="00FA2520"/>
    <w:pPr>
      <w:tabs>
        <w:tab w:val="left" w:pos="794"/>
      </w:tabs>
      <w:spacing w:after="120"/>
      <w:ind w:firstLine="794"/>
      <w:jc w:val="both"/>
    </w:pPr>
    <w:rPr>
      <w:rFonts w:ascii="Segoe UI" w:hAnsi="Segoe UI"/>
      <w:color w:val="auto"/>
      <w:sz w:val="20"/>
    </w:rPr>
  </w:style>
  <w:style w:type="character" w:customStyle="1" w:styleId="ParagraphChar">
    <w:name w:val="Paragraph Char"/>
    <w:link w:val="Paragraph"/>
    <w:locked/>
    <w:rsid w:val="00FA2520"/>
    <w:rPr>
      <w:rFonts w:ascii="Segoe UI" w:hAnsi="Segoe UI"/>
      <w:lang w:eastAsia="hu-HU"/>
    </w:rPr>
  </w:style>
  <w:style w:type="paragraph" w:customStyle="1" w:styleId="FirstParagraph">
    <w:name w:val="FirstParagraph"/>
    <w:basedOn w:val="Paragraph"/>
    <w:next w:val="Paragraph"/>
    <w:qFormat/>
    <w:rsid w:val="00FD5C02"/>
    <w:pPr>
      <w:spacing w:before="120"/>
      <w:ind w:firstLine="0"/>
    </w:pPr>
  </w:style>
  <w:style w:type="paragraph" w:customStyle="1" w:styleId="TableText0">
    <w:name w:val="TableText"/>
    <w:basedOn w:val="Norml"/>
    <w:rsid w:val="00FD5C02"/>
    <w:pPr>
      <w:spacing w:before="40" w:after="40"/>
    </w:pPr>
    <w:rPr>
      <w:rFonts w:ascii="Segoe UI" w:hAnsi="Segoe UI"/>
      <w:color w:val="auto"/>
      <w:sz w:val="17"/>
    </w:rPr>
  </w:style>
  <w:style w:type="character" w:customStyle="1" w:styleId="DeltaViewInsertion">
    <w:name w:val="DeltaView Insertion"/>
    <w:rsid w:val="00772B95"/>
    <w:rPr>
      <w:color w:val="0000FF"/>
      <w:spacing w:val="0"/>
      <w:u w:val="double"/>
    </w:rPr>
  </w:style>
  <w:style w:type="character" w:styleId="Helyrzszveg">
    <w:name w:val="Placeholder Text"/>
    <w:basedOn w:val="Bekezdsalapbettpusa"/>
    <w:uiPriority w:val="99"/>
    <w:semiHidden/>
    <w:rsid w:val="00B64C27"/>
    <w:rPr>
      <w:color w:val="808080"/>
    </w:rPr>
  </w:style>
  <w:style w:type="paragraph" w:styleId="Vltozat">
    <w:name w:val="Revision"/>
    <w:hidden/>
    <w:uiPriority w:val="99"/>
    <w:semiHidden/>
    <w:rsid w:val="005C5A30"/>
    <w:rPr>
      <w:rFonts w:ascii="Arial" w:hAnsi="Arial"/>
      <w:color w:val="000000"/>
      <w:sz w:val="18"/>
    </w:rPr>
  </w:style>
  <w:style w:type="paragraph" w:customStyle="1" w:styleId="Car2">
    <w:name w:val="Car2"/>
    <w:basedOn w:val="Norml"/>
    <w:rsid w:val="0090360B"/>
    <w:pPr>
      <w:spacing w:after="160" w:line="240" w:lineRule="exact"/>
    </w:pPr>
    <w:rPr>
      <w:rFonts w:ascii="Tahoma" w:hAnsi="Tahoma"/>
      <w:color w:val="auto"/>
      <w:sz w:val="20"/>
    </w:rPr>
  </w:style>
  <w:style w:type="paragraph" w:styleId="Nincstrkz">
    <w:name w:val="No Spacing"/>
    <w:link w:val="NincstrkzChar"/>
    <w:uiPriority w:val="1"/>
    <w:qFormat/>
    <w:rsid w:val="003C4CC8"/>
    <w:rPr>
      <w:rFonts w:asciiTheme="minorHAnsi" w:eastAsiaTheme="minorEastAsia" w:hAnsiTheme="minorHAnsi" w:cstheme="minorBidi"/>
      <w:sz w:val="22"/>
      <w:szCs w:val="22"/>
    </w:rPr>
  </w:style>
  <w:style w:type="character" w:customStyle="1" w:styleId="NincstrkzChar">
    <w:name w:val="Nincs térköz Char"/>
    <w:basedOn w:val="Bekezdsalapbettpusa"/>
    <w:link w:val="Nincstrkz"/>
    <w:uiPriority w:val="1"/>
    <w:rsid w:val="003C4CC8"/>
    <w:rPr>
      <w:rFonts w:asciiTheme="minorHAnsi" w:eastAsiaTheme="minorEastAsia" w:hAnsiTheme="minorHAnsi" w:cstheme="minorBidi"/>
      <w:sz w:val="22"/>
      <w:szCs w:val="22"/>
      <w:lang w:val="hu-HU" w:eastAsia="hu-HU"/>
    </w:rPr>
  </w:style>
  <w:style w:type="paragraph" w:customStyle="1" w:styleId="TableParagraph">
    <w:name w:val="Table Paragraph"/>
    <w:basedOn w:val="Norml"/>
    <w:uiPriority w:val="1"/>
    <w:qFormat/>
    <w:rsid w:val="003A5275"/>
    <w:pPr>
      <w:widowControl w:val="0"/>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6848">
      <w:bodyDiv w:val="1"/>
      <w:marLeft w:val="0"/>
      <w:marRight w:val="0"/>
      <w:marTop w:val="0"/>
      <w:marBottom w:val="0"/>
      <w:divBdr>
        <w:top w:val="none" w:sz="0" w:space="0" w:color="auto"/>
        <w:left w:val="none" w:sz="0" w:space="0" w:color="auto"/>
        <w:bottom w:val="none" w:sz="0" w:space="0" w:color="auto"/>
        <w:right w:val="none" w:sz="0" w:space="0" w:color="auto"/>
      </w:divBdr>
    </w:div>
    <w:div w:id="853229122">
      <w:bodyDiv w:val="1"/>
      <w:marLeft w:val="0"/>
      <w:marRight w:val="0"/>
      <w:marTop w:val="0"/>
      <w:marBottom w:val="0"/>
      <w:divBdr>
        <w:top w:val="none" w:sz="0" w:space="0" w:color="auto"/>
        <w:left w:val="none" w:sz="0" w:space="0" w:color="auto"/>
        <w:bottom w:val="none" w:sz="0" w:space="0" w:color="auto"/>
        <w:right w:val="none" w:sz="0" w:space="0" w:color="auto"/>
      </w:divBdr>
    </w:div>
    <w:div w:id="208367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HU/TXT/?uri=CELEX:32015R0233" TargetMode="External"/></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DF5A1-EA41-4CE9-BC24-05636CBF0873}">
  <ds:schemaRefs>
    <ds:schemaRef ds:uri="http://schemas.openxmlformats.org/officeDocument/2006/bibliography"/>
  </ds:schemaRefs>
</ds:datastoreItem>
</file>

<file path=customXml/itemProps2.xml><?xml version="1.0" encoding="utf-8"?>
<ds:datastoreItem xmlns:ds="http://schemas.openxmlformats.org/officeDocument/2006/customXml" ds:itemID="{5094EF48-86B9-4FB0-9345-FAF366AD574F}">
  <ds:schemaRefs>
    <ds:schemaRef ds:uri="http://schemas.openxmlformats.org/officeDocument/2006/bibliography"/>
  </ds:schemaRefs>
</ds:datastoreItem>
</file>

<file path=customXml/itemProps3.xml><?xml version="1.0" encoding="utf-8"?>
<ds:datastoreItem xmlns:ds="http://schemas.openxmlformats.org/officeDocument/2006/customXml" ds:itemID="{C6ECC587-FCE2-49C9-B9E2-5C0EB0F4A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6852</Words>
  <Characters>47285</Characters>
  <Application>Microsoft Office Word</Application>
  <DocSecurity>4</DocSecurity>
  <Lines>394</Lines>
  <Paragraphs>108</Paragraphs>
  <ScaleCrop>false</ScaleCrop>
  <HeadingPairs>
    <vt:vector size="8" baseType="variant">
      <vt:variant>
        <vt:lpstr>Cím</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EBA Short Report</vt:lpstr>
      <vt:lpstr>EBA Short Report</vt:lpstr>
      <vt:lpstr>EBA Short Report</vt:lpstr>
      <vt:lpstr>EBA Short Report</vt:lpstr>
    </vt:vector>
  </TitlesOfParts>
  <Company>Microsoft</Company>
  <LinksUpToDate>false</LinksUpToDate>
  <CharactersWithSpaces>54029</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dchatzimanoli</dc:creator>
  <cp:lastModifiedBy>Szabóné Kovács Krisztina</cp:lastModifiedBy>
  <cp:revision>2</cp:revision>
  <cp:lastPrinted>2015-04-10T08:05:00Z</cp:lastPrinted>
  <dcterms:created xsi:type="dcterms:W3CDTF">2018-01-17T09:32:00Z</dcterms:created>
  <dcterms:modified xsi:type="dcterms:W3CDTF">2018-01-17T09:32:00Z</dcterms:modified>
</cp:coreProperties>
</file>