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011" w:rsidRDefault="00596011" w:rsidP="0053252E">
      <w:pPr>
        <w:jc w:val="center"/>
        <w:rPr>
          <w:b/>
          <w:i/>
          <w:sz w:val="28"/>
          <w:szCs w:val="28"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-3175</wp:posOffset>
            </wp:positionV>
            <wp:extent cx="1647825" cy="628650"/>
            <wp:effectExtent l="19050" t="0" r="9525" b="0"/>
            <wp:wrapNone/>
            <wp:docPr id="2" name="Kép 2" descr="cid:340173015@26042010-0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340173015@26042010-0cf9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6011" w:rsidRDefault="00596011" w:rsidP="00596011">
      <w:pPr>
        <w:tabs>
          <w:tab w:val="left" w:pos="153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:rsidR="00D65AED" w:rsidRDefault="00C04032" w:rsidP="00596011">
      <w:pPr>
        <w:tabs>
          <w:tab w:val="left" w:pos="1530"/>
        </w:tabs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val="hu-HU" w:eastAsia="hu-HU"/>
        </w:rPr>
        <w:drawing>
          <wp:anchor distT="0" distB="0" distL="114300" distR="114300" simplePos="0" relativeHeight="251659263" behindDoc="1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35560</wp:posOffset>
            </wp:positionV>
            <wp:extent cx="5391150" cy="1076325"/>
            <wp:effectExtent l="19050" t="0" r="0" b="0"/>
            <wp:wrapNone/>
            <wp:docPr id="3" name="Kép 1" descr="mnb_logop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nb_logopix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527" r="10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ED" w:rsidRDefault="00D65AED" w:rsidP="00596011">
      <w:pPr>
        <w:tabs>
          <w:tab w:val="left" w:pos="1530"/>
        </w:tabs>
        <w:rPr>
          <w:b/>
          <w:i/>
          <w:sz w:val="28"/>
          <w:szCs w:val="28"/>
        </w:rPr>
      </w:pPr>
    </w:p>
    <w:p w:rsidR="00D65AED" w:rsidRDefault="00D65AED" w:rsidP="00596011">
      <w:pPr>
        <w:tabs>
          <w:tab w:val="left" w:pos="1530"/>
        </w:tabs>
        <w:rPr>
          <w:b/>
          <w:i/>
          <w:sz w:val="28"/>
          <w:szCs w:val="28"/>
        </w:rPr>
      </w:pPr>
    </w:p>
    <w:p w:rsidR="00D65AED" w:rsidRDefault="00D65AED" w:rsidP="00596011">
      <w:pPr>
        <w:tabs>
          <w:tab w:val="left" w:pos="1530"/>
        </w:tabs>
        <w:rPr>
          <w:b/>
          <w:i/>
          <w:sz w:val="28"/>
          <w:szCs w:val="28"/>
        </w:rPr>
      </w:pPr>
    </w:p>
    <w:p w:rsidR="00D65AED" w:rsidRDefault="00D65AED" w:rsidP="00596011">
      <w:pPr>
        <w:tabs>
          <w:tab w:val="left" w:pos="1530"/>
        </w:tabs>
        <w:rPr>
          <w:b/>
          <w:i/>
          <w:sz w:val="28"/>
          <w:szCs w:val="28"/>
        </w:rPr>
      </w:pPr>
    </w:p>
    <w:p w:rsidR="00596011" w:rsidRDefault="00596011" w:rsidP="00D65AED">
      <w:pPr>
        <w:jc w:val="right"/>
        <w:rPr>
          <w:b/>
          <w:i/>
          <w:sz w:val="28"/>
          <w:szCs w:val="28"/>
        </w:rPr>
      </w:pPr>
    </w:p>
    <w:p w:rsidR="00596011" w:rsidRDefault="00596011" w:rsidP="00D65AED">
      <w:pPr>
        <w:jc w:val="right"/>
        <w:rPr>
          <w:b/>
          <w:i/>
          <w:sz w:val="28"/>
          <w:szCs w:val="28"/>
        </w:rPr>
      </w:pPr>
    </w:p>
    <w:p w:rsidR="00D65AED" w:rsidRDefault="00D65AED" w:rsidP="0053252E">
      <w:pPr>
        <w:jc w:val="center"/>
        <w:rPr>
          <w:b/>
          <w:i/>
          <w:sz w:val="28"/>
          <w:szCs w:val="28"/>
        </w:rPr>
      </w:pPr>
    </w:p>
    <w:p w:rsidR="005A7C33" w:rsidRPr="0053252E" w:rsidRDefault="005A7C33" w:rsidP="0053252E">
      <w:pPr>
        <w:jc w:val="center"/>
        <w:rPr>
          <w:b/>
          <w:i/>
          <w:sz w:val="28"/>
          <w:szCs w:val="28"/>
        </w:rPr>
      </w:pPr>
      <w:r w:rsidRPr="0053252E">
        <w:rPr>
          <w:b/>
          <w:i/>
          <w:sz w:val="28"/>
          <w:szCs w:val="28"/>
        </w:rPr>
        <w:t>Call for Papers</w:t>
      </w:r>
    </w:p>
    <w:p w:rsidR="0053252E" w:rsidRPr="0053252E" w:rsidRDefault="0053252E" w:rsidP="0053252E">
      <w:pPr>
        <w:jc w:val="center"/>
        <w:rPr>
          <w:b/>
        </w:rPr>
      </w:pPr>
    </w:p>
    <w:p w:rsidR="005A7C33" w:rsidRPr="0053252E" w:rsidRDefault="00886F47" w:rsidP="0053252E">
      <w:pPr>
        <w:jc w:val="center"/>
        <w:rPr>
          <w:b/>
        </w:rPr>
      </w:pPr>
      <w:r>
        <w:rPr>
          <w:b/>
        </w:rPr>
        <w:t>9</w:t>
      </w:r>
      <w:r w:rsidR="005A7C33" w:rsidRPr="0053252E">
        <w:rPr>
          <w:b/>
        </w:rPr>
        <w:t>th Macroeconomic Policy Research Workshop on</w:t>
      </w:r>
    </w:p>
    <w:p w:rsidR="0053252E" w:rsidRDefault="0053252E" w:rsidP="0053252E">
      <w:pPr>
        <w:jc w:val="center"/>
        <w:rPr>
          <w:b/>
        </w:rPr>
      </w:pPr>
    </w:p>
    <w:p w:rsidR="0053252E" w:rsidRDefault="00886F47" w:rsidP="0053252E">
      <w:pPr>
        <w:jc w:val="center"/>
        <w:rPr>
          <w:b/>
          <w:bCs/>
          <w:i/>
          <w:color w:val="000000"/>
          <w:sz w:val="28"/>
          <w:szCs w:val="28"/>
        </w:rPr>
      </w:pPr>
      <w:r>
        <w:rPr>
          <w:b/>
          <w:i/>
          <w:sz w:val="28"/>
        </w:rPr>
        <w:t>Understanding Financial Frictions</w:t>
      </w:r>
    </w:p>
    <w:p w:rsidR="0026604E" w:rsidRPr="0053252E" w:rsidRDefault="0026604E" w:rsidP="0053252E">
      <w:pPr>
        <w:jc w:val="center"/>
        <w:rPr>
          <w:b/>
          <w:bCs/>
          <w:color w:val="000000"/>
          <w:sz w:val="20"/>
          <w:szCs w:val="20"/>
        </w:rPr>
      </w:pPr>
    </w:p>
    <w:p w:rsidR="005A7C33" w:rsidRPr="0053252E" w:rsidRDefault="00207210" w:rsidP="0053252E">
      <w:pPr>
        <w:jc w:val="center"/>
        <w:rPr>
          <w:b/>
        </w:rPr>
      </w:pPr>
      <w:r>
        <w:rPr>
          <w:b/>
        </w:rPr>
        <w:t xml:space="preserve">September </w:t>
      </w:r>
      <w:r w:rsidR="00B25895">
        <w:rPr>
          <w:b/>
        </w:rPr>
        <w:t>30</w:t>
      </w:r>
      <w:r w:rsidR="00886F47">
        <w:rPr>
          <w:b/>
        </w:rPr>
        <w:t>-</w:t>
      </w:r>
      <w:r w:rsidR="00B25895">
        <w:rPr>
          <w:b/>
        </w:rPr>
        <w:t>October 1</w:t>
      </w:r>
      <w:r w:rsidR="0053252E">
        <w:rPr>
          <w:b/>
        </w:rPr>
        <w:t>, 20</w:t>
      </w:r>
      <w:r w:rsidR="00EB00D4">
        <w:rPr>
          <w:b/>
        </w:rPr>
        <w:t>10</w:t>
      </w:r>
    </w:p>
    <w:p w:rsidR="005A7C33" w:rsidRPr="0053252E" w:rsidRDefault="005A7C33" w:rsidP="0053252E">
      <w:pPr>
        <w:jc w:val="center"/>
        <w:rPr>
          <w:b/>
        </w:rPr>
      </w:pPr>
      <w:r w:rsidRPr="0053252E">
        <w:rPr>
          <w:b/>
        </w:rPr>
        <w:t>Budapest, Hungary</w:t>
      </w:r>
    </w:p>
    <w:p w:rsidR="0053252E" w:rsidRPr="0053252E" w:rsidRDefault="0053252E" w:rsidP="0053252E">
      <w:pPr>
        <w:jc w:val="center"/>
        <w:rPr>
          <w:b/>
        </w:rPr>
      </w:pPr>
    </w:p>
    <w:p w:rsidR="005A7C33" w:rsidRPr="0053252E" w:rsidRDefault="005A7C33" w:rsidP="0053252E">
      <w:pPr>
        <w:jc w:val="center"/>
        <w:rPr>
          <w:b/>
        </w:rPr>
      </w:pPr>
      <w:r w:rsidRPr="0053252E">
        <w:rPr>
          <w:b/>
        </w:rPr>
        <w:t>Magyar Nemzeti Bank</w:t>
      </w:r>
    </w:p>
    <w:p w:rsidR="005A7C33" w:rsidRPr="0053252E" w:rsidRDefault="0053252E" w:rsidP="0053252E">
      <w:pPr>
        <w:jc w:val="center"/>
        <w:rPr>
          <w:b/>
        </w:rPr>
      </w:pPr>
      <w:r>
        <w:rPr>
          <w:b/>
        </w:rPr>
        <w:t xml:space="preserve">Centre </w:t>
      </w:r>
      <w:r w:rsidR="005A7C33" w:rsidRPr="0053252E">
        <w:rPr>
          <w:b/>
        </w:rPr>
        <w:t>f</w:t>
      </w:r>
      <w:r>
        <w:rPr>
          <w:b/>
        </w:rPr>
        <w:t>or Economic Policy Res</w:t>
      </w:r>
      <w:r w:rsidR="004C7830">
        <w:rPr>
          <w:b/>
        </w:rPr>
        <w:t>e</w:t>
      </w:r>
      <w:r>
        <w:rPr>
          <w:b/>
        </w:rPr>
        <w:t>arch</w:t>
      </w:r>
    </w:p>
    <w:p w:rsidR="0053252E" w:rsidRDefault="0053252E" w:rsidP="005A7C33"/>
    <w:p w:rsidR="004E67F8" w:rsidRDefault="005A7C33" w:rsidP="00AC69BE">
      <w:pPr>
        <w:jc w:val="both"/>
        <w:rPr>
          <w:sz w:val="22"/>
          <w:szCs w:val="22"/>
        </w:rPr>
      </w:pPr>
      <w:r w:rsidRPr="0053252E">
        <w:rPr>
          <w:sz w:val="22"/>
          <w:szCs w:val="22"/>
        </w:rPr>
        <w:t>The Magyar Nemzeti Bank (MNB), in collaboration with the Centre f</w:t>
      </w:r>
      <w:r w:rsidR="004E67F8">
        <w:rPr>
          <w:sz w:val="22"/>
          <w:szCs w:val="22"/>
        </w:rPr>
        <w:t>or</w:t>
      </w:r>
      <w:r w:rsidRPr="0053252E">
        <w:rPr>
          <w:sz w:val="22"/>
          <w:szCs w:val="22"/>
        </w:rPr>
        <w:t xml:space="preserve"> </w:t>
      </w:r>
      <w:r w:rsidR="004E67F8">
        <w:rPr>
          <w:sz w:val="22"/>
          <w:szCs w:val="22"/>
        </w:rPr>
        <w:t>Economic Policy Research (CEPR)</w:t>
      </w:r>
      <w:r w:rsidR="00EB00D4">
        <w:rPr>
          <w:sz w:val="22"/>
          <w:szCs w:val="22"/>
        </w:rPr>
        <w:t>, will hold its nin</w:t>
      </w:r>
      <w:r w:rsidRPr="0053252E">
        <w:rPr>
          <w:sz w:val="22"/>
          <w:szCs w:val="22"/>
        </w:rPr>
        <w:t>th Workshop on</w:t>
      </w:r>
      <w:r w:rsidR="0053252E" w:rsidRPr="0053252E">
        <w:rPr>
          <w:sz w:val="22"/>
          <w:szCs w:val="22"/>
        </w:rPr>
        <w:t xml:space="preserve"> </w:t>
      </w:r>
      <w:r w:rsidRPr="0053252E">
        <w:rPr>
          <w:sz w:val="22"/>
          <w:szCs w:val="22"/>
        </w:rPr>
        <w:t>Macroeconomic Policy Research in Budapest</w:t>
      </w:r>
      <w:r w:rsidR="0053252E">
        <w:rPr>
          <w:sz w:val="22"/>
          <w:szCs w:val="22"/>
        </w:rPr>
        <w:t xml:space="preserve"> on </w:t>
      </w:r>
      <w:r w:rsidR="006E0666">
        <w:rPr>
          <w:sz w:val="22"/>
          <w:szCs w:val="22"/>
        </w:rPr>
        <w:t xml:space="preserve">September </w:t>
      </w:r>
      <w:r w:rsidR="00912E02">
        <w:rPr>
          <w:sz w:val="22"/>
          <w:szCs w:val="22"/>
        </w:rPr>
        <w:t>3</w:t>
      </w:r>
      <w:r w:rsidR="006E0666">
        <w:rPr>
          <w:sz w:val="22"/>
          <w:szCs w:val="22"/>
        </w:rPr>
        <w:t>0</w:t>
      </w:r>
      <w:r w:rsidR="00912E02">
        <w:rPr>
          <w:sz w:val="22"/>
          <w:szCs w:val="22"/>
        </w:rPr>
        <w:t>-</w:t>
      </w:r>
      <w:r w:rsidR="006E0666">
        <w:rPr>
          <w:sz w:val="22"/>
          <w:szCs w:val="22"/>
        </w:rPr>
        <w:t>October 1</w:t>
      </w:r>
      <w:r w:rsidR="007A4320">
        <w:rPr>
          <w:sz w:val="22"/>
          <w:szCs w:val="22"/>
        </w:rPr>
        <w:t>, 20</w:t>
      </w:r>
      <w:r w:rsidR="00EB00D4">
        <w:rPr>
          <w:sz w:val="22"/>
          <w:szCs w:val="22"/>
        </w:rPr>
        <w:t>10</w:t>
      </w:r>
      <w:r w:rsidRPr="0053252E">
        <w:rPr>
          <w:sz w:val="22"/>
          <w:szCs w:val="22"/>
        </w:rPr>
        <w:t>.</w:t>
      </w:r>
      <w:r w:rsidR="004E67F8">
        <w:rPr>
          <w:sz w:val="22"/>
          <w:szCs w:val="22"/>
        </w:rPr>
        <w:t xml:space="preserve"> </w:t>
      </w:r>
    </w:p>
    <w:p w:rsidR="00EC7D75" w:rsidRDefault="00EC7D75" w:rsidP="00AC69BE">
      <w:pPr>
        <w:jc w:val="both"/>
        <w:rPr>
          <w:sz w:val="22"/>
          <w:szCs w:val="22"/>
        </w:rPr>
      </w:pPr>
    </w:p>
    <w:p w:rsidR="00EC7D75" w:rsidRDefault="00BD68AC" w:rsidP="00EC7D75">
      <w:pPr>
        <w:jc w:val="both"/>
        <w:rPr>
          <w:sz w:val="22"/>
        </w:rPr>
      </w:pPr>
      <w:r>
        <w:rPr>
          <w:sz w:val="22"/>
        </w:rPr>
        <w:t xml:space="preserve">Financial frictions explain both the value added and the occasional failures of financial </w:t>
      </w:r>
      <w:r w:rsidR="00D54EAD">
        <w:rPr>
          <w:sz w:val="22"/>
        </w:rPr>
        <w:t>markets</w:t>
      </w:r>
      <w:r>
        <w:rPr>
          <w:sz w:val="22"/>
        </w:rPr>
        <w:t>. Information asymmetries, agency problems</w:t>
      </w:r>
      <w:r w:rsidR="00691B15">
        <w:rPr>
          <w:sz w:val="22"/>
        </w:rPr>
        <w:t>,</w:t>
      </w:r>
      <w:r>
        <w:rPr>
          <w:sz w:val="22"/>
        </w:rPr>
        <w:t xml:space="preserve"> search costs</w:t>
      </w:r>
      <w:r w:rsidR="00D54EAD">
        <w:rPr>
          <w:sz w:val="22"/>
        </w:rPr>
        <w:t>, financial constraints</w:t>
      </w:r>
      <w:r w:rsidR="00691B15">
        <w:rPr>
          <w:sz w:val="22"/>
        </w:rPr>
        <w:t xml:space="preserve"> and coordination </w:t>
      </w:r>
      <w:r w:rsidR="001950A6">
        <w:rPr>
          <w:sz w:val="22"/>
        </w:rPr>
        <w:t xml:space="preserve">problems </w:t>
      </w:r>
      <w:r>
        <w:rPr>
          <w:sz w:val="22"/>
        </w:rPr>
        <w:t>provide reasons why finance is substantially more than a veil over the real e</w:t>
      </w:r>
      <w:r w:rsidR="00691B15">
        <w:rPr>
          <w:sz w:val="22"/>
        </w:rPr>
        <w:t>conomy, and can have</w:t>
      </w:r>
      <w:r>
        <w:rPr>
          <w:sz w:val="22"/>
        </w:rPr>
        <w:t xml:space="preserve"> influence on the growth prospects and b</w:t>
      </w:r>
      <w:r w:rsidR="00691B15">
        <w:rPr>
          <w:sz w:val="22"/>
        </w:rPr>
        <w:t xml:space="preserve">usiness cycles </w:t>
      </w:r>
      <w:r w:rsidR="00A77265">
        <w:rPr>
          <w:sz w:val="22"/>
        </w:rPr>
        <w:t>in</w:t>
      </w:r>
      <w:r w:rsidR="00691B15">
        <w:rPr>
          <w:sz w:val="22"/>
        </w:rPr>
        <w:t xml:space="preserve"> developed and emerging</w:t>
      </w:r>
      <w:r>
        <w:rPr>
          <w:sz w:val="22"/>
        </w:rPr>
        <w:t xml:space="preserve"> </w:t>
      </w:r>
      <w:r w:rsidR="00691B15">
        <w:rPr>
          <w:sz w:val="22"/>
        </w:rPr>
        <w:t>countries</w:t>
      </w:r>
      <w:r>
        <w:rPr>
          <w:sz w:val="22"/>
        </w:rPr>
        <w:t xml:space="preserve">. </w:t>
      </w:r>
      <w:r w:rsidR="00691B15">
        <w:rPr>
          <w:sz w:val="22"/>
        </w:rPr>
        <w:t xml:space="preserve">Previous and recent financial crises have also underlined that these </w:t>
      </w:r>
      <w:r w:rsidR="001950A6">
        <w:rPr>
          <w:sz w:val="22"/>
        </w:rPr>
        <w:t>frictions</w:t>
      </w:r>
      <w:r w:rsidR="00691B15">
        <w:rPr>
          <w:sz w:val="22"/>
        </w:rPr>
        <w:t xml:space="preserve"> </w:t>
      </w:r>
      <w:r w:rsidR="00D54EAD">
        <w:rPr>
          <w:sz w:val="22"/>
        </w:rPr>
        <w:t xml:space="preserve">influence relationships no just between intermediaries and borrowers but extend to interactions among </w:t>
      </w:r>
      <w:r w:rsidR="008762BA">
        <w:rPr>
          <w:sz w:val="22"/>
        </w:rPr>
        <w:t xml:space="preserve">the </w:t>
      </w:r>
      <w:r w:rsidR="00D54EAD">
        <w:rPr>
          <w:sz w:val="22"/>
        </w:rPr>
        <w:t>intermediaries</w:t>
      </w:r>
      <w:r w:rsidR="008762BA">
        <w:rPr>
          <w:sz w:val="22"/>
        </w:rPr>
        <w:t xml:space="preserve"> themselves</w:t>
      </w:r>
      <w:r w:rsidR="00691B15">
        <w:rPr>
          <w:sz w:val="22"/>
        </w:rPr>
        <w:t xml:space="preserve">, raising important questions on the </w:t>
      </w:r>
      <w:r w:rsidR="00F25A68">
        <w:rPr>
          <w:sz w:val="22"/>
        </w:rPr>
        <w:t>optimal regulation and policy frameworks countries should provide.</w:t>
      </w:r>
      <w:r w:rsidR="006F13DB">
        <w:rPr>
          <w:sz w:val="22"/>
        </w:rPr>
        <w:t xml:space="preserve"> The goal of the conference is to invite policy relevant </w:t>
      </w:r>
      <w:r w:rsidR="00D54EAD">
        <w:rPr>
          <w:sz w:val="22"/>
        </w:rPr>
        <w:t xml:space="preserve">theoretical and empirical </w:t>
      </w:r>
      <w:r w:rsidR="006F13DB">
        <w:rPr>
          <w:sz w:val="22"/>
        </w:rPr>
        <w:t>academic contributions and bring together academic economists and central bank researchers t</w:t>
      </w:r>
      <w:r w:rsidR="00E33BA4">
        <w:rPr>
          <w:sz w:val="22"/>
        </w:rPr>
        <w:t>o discuss these issues.</w:t>
      </w:r>
    </w:p>
    <w:p w:rsidR="004755B2" w:rsidRDefault="004755B2" w:rsidP="00AC69BE">
      <w:pPr>
        <w:jc w:val="both"/>
        <w:rPr>
          <w:sz w:val="22"/>
          <w:szCs w:val="22"/>
        </w:rPr>
      </w:pPr>
    </w:p>
    <w:p w:rsidR="004C7830" w:rsidRPr="004C7830" w:rsidRDefault="004C7830" w:rsidP="00AC69BE">
      <w:pPr>
        <w:jc w:val="both"/>
        <w:rPr>
          <w:sz w:val="22"/>
          <w:szCs w:val="22"/>
        </w:rPr>
      </w:pPr>
      <w:r>
        <w:rPr>
          <w:sz w:val="22"/>
          <w:szCs w:val="22"/>
        </w:rPr>
        <w:t>Topics of the 20</w:t>
      </w:r>
      <w:r w:rsidR="00EB00D4">
        <w:rPr>
          <w:sz w:val="22"/>
          <w:szCs w:val="22"/>
        </w:rPr>
        <w:t>10</w:t>
      </w:r>
      <w:r>
        <w:rPr>
          <w:sz w:val="22"/>
          <w:szCs w:val="22"/>
        </w:rPr>
        <w:t xml:space="preserve"> meeting </w:t>
      </w:r>
      <w:r w:rsidRPr="004C7830">
        <w:rPr>
          <w:sz w:val="22"/>
          <w:szCs w:val="22"/>
        </w:rPr>
        <w:t xml:space="preserve">include: </w:t>
      </w:r>
    </w:p>
    <w:p w:rsidR="004C7830" w:rsidRDefault="00AA1331" w:rsidP="00AA1331">
      <w:pPr>
        <w:pStyle w:val="Szvegtrzs2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Sources of financial frictions</w:t>
      </w:r>
      <w:r w:rsidR="009235AD">
        <w:rPr>
          <w:rFonts w:ascii="Times New Roman" w:hAnsi="Times New Roman" w:cs="Times New Roman"/>
          <w:sz w:val="22"/>
        </w:rPr>
        <w:t>:</w:t>
      </w:r>
    </w:p>
    <w:p w:rsidR="00955F72" w:rsidRDefault="00207210" w:rsidP="00AA1331">
      <w:pPr>
        <w:pStyle w:val="Szvegtrzs2"/>
        <w:numPr>
          <w:ilvl w:val="2"/>
          <w:numId w:val="1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Sources </w:t>
      </w:r>
      <w:r w:rsidR="00955F72">
        <w:rPr>
          <w:rFonts w:ascii="Times New Roman" w:hAnsi="Times New Roman" w:cs="Times New Roman"/>
          <w:sz w:val="22"/>
        </w:rPr>
        <w:t>of liquidity</w:t>
      </w:r>
    </w:p>
    <w:p w:rsidR="00A77265" w:rsidRDefault="00D54EAD" w:rsidP="00AA1331">
      <w:pPr>
        <w:pStyle w:val="Szvegtrzs2"/>
        <w:numPr>
          <w:ilvl w:val="2"/>
          <w:numId w:val="1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Reasons of </w:t>
      </w:r>
      <w:r w:rsidR="00A77265">
        <w:rPr>
          <w:rFonts w:ascii="Times New Roman" w:hAnsi="Times New Roman" w:cs="Times New Roman"/>
          <w:sz w:val="22"/>
        </w:rPr>
        <w:t>market</w:t>
      </w:r>
      <w:r>
        <w:rPr>
          <w:rFonts w:ascii="Times New Roman" w:hAnsi="Times New Roman" w:cs="Times New Roman"/>
          <w:sz w:val="22"/>
        </w:rPr>
        <w:t xml:space="preserve"> incompleteness and dysfunctions</w:t>
      </w:r>
    </w:p>
    <w:p w:rsidR="00A77265" w:rsidRPr="004755B2" w:rsidRDefault="00A77265" w:rsidP="00A77265">
      <w:pPr>
        <w:pStyle w:val="Szvegtrzs2"/>
        <w:numPr>
          <w:ilvl w:val="2"/>
          <w:numId w:val="1"/>
        </w:numPr>
        <w:rPr>
          <w:rFonts w:ascii="Times New Roman" w:hAnsi="Times New Roman" w:cs="Times New Roman"/>
          <w:sz w:val="22"/>
        </w:rPr>
      </w:pPr>
      <w:r w:rsidRPr="004755B2">
        <w:rPr>
          <w:rFonts w:ascii="Times New Roman" w:hAnsi="Times New Roman" w:cs="Times New Roman"/>
          <w:sz w:val="22"/>
        </w:rPr>
        <w:t>Role of banks</w:t>
      </w:r>
    </w:p>
    <w:p w:rsidR="009235AD" w:rsidRDefault="00AA1331" w:rsidP="009235AD">
      <w:pPr>
        <w:pStyle w:val="Szvegtrzs2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Financial frictions</w:t>
      </w:r>
      <w:r w:rsidR="00EB00D4">
        <w:rPr>
          <w:rFonts w:ascii="Times New Roman" w:hAnsi="Times New Roman" w:cs="Times New Roman"/>
          <w:sz w:val="22"/>
        </w:rPr>
        <w:t xml:space="preserve"> </w:t>
      </w:r>
      <w:r w:rsidR="00955F72">
        <w:rPr>
          <w:rFonts w:ascii="Times New Roman" w:hAnsi="Times New Roman" w:cs="Times New Roman"/>
          <w:sz w:val="22"/>
        </w:rPr>
        <w:t xml:space="preserve">in </w:t>
      </w:r>
      <w:proofErr w:type="spellStart"/>
      <w:r w:rsidR="00955F72">
        <w:rPr>
          <w:rFonts w:ascii="Times New Roman" w:hAnsi="Times New Roman" w:cs="Times New Roman"/>
          <w:sz w:val="22"/>
        </w:rPr>
        <w:t>macromodels</w:t>
      </w:r>
      <w:proofErr w:type="spellEnd"/>
    </w:p>
    <w:p w:rsidR="00955F72" w:rsidRDefault="00D54EAD" w:rsidP="00D54EAD">
      <w:pPr>
        <w:pStyle w:val="Szvegtrzs2"/>
        <w:numPr>
          <w:ilvl w:val="2"/>
          <w:numId w:val="1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Financial sector and real economy</w:t>
      </w:r>
    </w:p>
    <w:p w:rsidR="00A77265" w:rsidRDefault="00A77265" w:rsidP="00AA1331">
      <w:pPr>
        <w:pStyle w:val="Szvegtrzs2"/>
        <w:numPr>
          <w:ilvl w:val="2"/>
          <w:numId w:val="1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Sources and consequences of financial crises</w:t>
      </w:r>
    </w:p>
    <w:p w:rsidR="00955F72" w:rsidRPr="004755B2" w:rsidRDefault="00955F72" w:rsidP="00955F72">
      <w:pPr>
        <w:pStyle w:val="Szvegtrzs2"/>
        <w:numPr>
          <w:ilvl w:val="2"/>
          <w:numId w:val="1"/>
        </w:numPr>
        <w:rPr>
          <w:rFonts w:ascii="Times New Roman" w:hAnsi="Times New Roman" w:cs="Times New Roman"/>
          <w:sz w:val="22"/>
        </w:rPr>
      </w:pPr>
      <w:r w:rsidRPr="004755B2">
        <w:rPr>
          <w:rFonts w:ascii="Times New Roman" w:hAnsi="Times New Roman" w:cs="Times New Roman"/>
          <w:sz w:val="22"/>
        </w:rPr>
        <w:t>‘Sudden stops’, financial contagion and other open economy issues</w:t>
      </w:r>
    </w:p>
    <w:p w:rsidR="00AA1331" w:rsidRDefault="00AA1331" w:rsidP="009235AD">
      <w:pPr>
        <w:pStyle w:val="Szvegtrzs2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Optimal policy and </w:t>
      </w:r>
      <w:r w:rsidR="006F13DB">
        <w:rPr>
          <w:rFonts w:ascii="Times New Roman" w:hAnsi="Times New Roman" w:cs="Times New Roman"/>
          <w:sz w:val="22"/>
        </w:rPr>
        <w:t>regulation</w:t>
      </w:r>
    </w:p>
    <w:p w:rsidR="00955F72" w:rsidRPr="00955F72" w:rsidRDefault="00955F72" w:rsidP="00955F72">
      <w:pPr>
        <w:pStyle w:val="Szvegtrzs2"/>
        <w:numPr>
          <w:ilvl w:val="2"/>
          <w:numId w:val="1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Role of financial frictions in policy transmission</w:t>
      </w:r>
    </w:p>
    <w:p w:rsidR="00AA1331" w:rsidRDefault="00D54EAD" w:rsidP="00AA1331">
      <w:pPr>
        <w:pStyle w:val="Szvegtrzs2"/>
        <w:numPr>
          <w:ilvl w:val="2"/>
          <w:numId w:val="1"/>
        </w:numPr>
        <w:rPr>
          <w:rFonts w:ascii="Times New Roman" w:hAnsi="Times New Roman" w:cs="Times New Roman"/>
          <w:sz w:val="22"/>
        </w:rPr>
      </w:pPr>
      <w:proofErr w:type="spellStart"/>
      <w:r>
        <w:rPr>
          <w:rFonts w:ascii="Times New Roman" w:hAnsi="Times New Roman" w:cs="Times New Roman"/>
          <w:sz w:val="22"/>
        </w:rPr>
        <w:t>M</w:t>
      </w:r>
      <w:r w:rsidR="00955F72">
        <w:rPr>
          <w:rFonts w:ascii="Times New Roman" w:hAnsi="Times New Roman" w:cs="Times New Roman"/>
          <w:sz w:val="22"/>
        </w:rPr>
        <w:t>acroprudential</w:t>
      </w:r>
      <w:proofErr w:type="spellEnd"/>
      <w:r>
        <w:rPr>
          <w:rFonts w:ascii="Times New Roman" w:hAnsi="Times New Roman" w:cs="Times New Roman"/>
          <w:sz w:val="22"/>
        </w:rPr>
        <w:t xml:space="preserve"> and capital</w:t>
      </w:r>
      <w:r w:rsidR="00955F72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flow </w:t>
      </w:r>
      <w:r w:rsidR="00955F72">
        <w:rPr>
          <w:rFonts w:ascii="Times New Roman" w:hAnsi="Times New Roman" w:cs="Times New Roman"/>
          <w:sz w:val="22"/>
        </w:rPr>
        <w:t>regulation</w:t>
      </w:r>
    </w:p>
    <w:p w:rsidR="004C7830" w:rsidRDefault="00D54EAD" w:rsidP="00AC69BE">
      <w:pPr>
        <w:pStyle w:val="Szvegtrzs2"/>
        <w:numPr>
          <w:ilvl w:val="2"/>
          <w:numId w:val="1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New roles of c</w:t>
      </w:r>
      <w:r w:rsidR="00955F72">
        <w:rPr>
          <w:rFonts w:ascii="Times New Roman" w:hAnsi="Times New Roman" w:cs="Times New Roman"/>
          <w:sz w:val="22"/>
        </w:rPr>
        <w:t xml:space="preserve">entral banks </w:t>
      </w:r>
      <w:r>
        <w:rPr>
          <w:rFonts w:ascii="Times New Roman" w:hAnsi="Times New Roman" w:cs="Times New Roman"/>
          <w:sz w:val="22"/>
        </w:rPr>
        <w:t>in</w:t>
      </w:r>
      <w:r w:rsidR="00955F72">
        <w:rPr>
          <w:rFonts w:ascii="Times New Roman" w:hAnsi="Times New Roman" w:cs="Times New Roman"/>
          <w:sz w:val="22"/>
        </w:rPr>
        <w:t xml:space="preserve"> financial stability</w:t>
      </w:r>
    </w:p>
    <w:p w:rsidR="00207210" w:rsidRDefault="00207210" w:rsidP="00AC69BE">
      <w:pPr>
        <w:pStyle w:val="Szvegtrzs2"/>
        <w:numPr>
          <w:ilvl w:val="2"/>
          <w:numId w:val="1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U</w:t>
      </w:r>
      <w:r w:rsidR="00D16871">
        <w:rPr>
          <w:rFonts w:ascii="Times New Roman" w:hAnsi="Times New Roman" w:cs="Times New Roman"/>
          <w:sz w:val="22"/>
        </w:rPr>
        <w:t>nderstanding system</w:t>
      </w:r>
      <w:r w:rsidRPr="00207210">
        <w:rPr>
          <w:rFonts w:ascii="Times New Roman" w:hAnsi="Times New Roman" w:cs="Times New Roman"/>
          <w:sz w:val="22"/>
        </w:rPr>
        <w:t>ic risk</w:t>
      </w:r>
    </w:p>
    <w:p w:rsidR="00D54EAD" w:rsidRDefault="00D54EAD" w:rsidP="00AC69BE">
      <w:pPr>
        <w:pStyle w:val="Szvegtrzs2"/>
        <w:rPr>
          <w:rFonts w:ascii="Times New Roman" w:hAnsi="Times New Roman" w:cs="Times New Roman"/>
          <w:sz w:val="22"/>
        </w:rPr>
      </w:pPr>
    </w:p>
    <w:p w:rsidR="00887E5A" w:rsidRPr="00D256B3" w:rsidRDefault="00887E5A" w:rsidP="00AC69BE">
      <w:pPr>
        <w:pStyle w:val="Szvegtrzs2"/>
        <w:rPr>
          <w:rFonts w:ascii="Times New Roman" w:hAnsi="Times New Roman" w:cs="Times New Roman"/>
          <w:sz w:val="22"/>
        </w:rPr>
      </w:pPr>
      <w:r w:rsidRPr="00D256B3">
        <w:rPr>
          <w:rFonts w:ascii="Times New Roman" w:hAnsi="Times New Roman" w:cs="Times New Roman"/>
          <w:sz w:val="22"/>
        </w:rPr>
        <w:t>Keynote Speakers:</w:t>
      </w:r>
    </w:p>
    <w:p w:rsidR="00887E5A" w:rsidRPr="00EB00D4" w:rsidRDefault="006E0666" w:rsidP="00EB00D4">
      <w:pPr>
        <w:pStyle w:val="Szvegtrzs2"/>
        <w:numPr>
          <w:ilvl w:val="0"/>
          <w:numId w:val="5"/>
        </w:numPr>
        <w:rPr>
          <w:rFonts w:ascii="Times New Roman" w:hAnsi="Times New Roman" w:cs="Times New Roman"/>
          <w:sz w:val="22"/>
        </w:rPr>
      </w:pPr>
      <w:proofErr w:type="spellStart"/>
      <w:r w:rsidRPr="005A7151">
        <w:rPr>
          <w:rFonts w:ascii="Times New Roman" w:hAnsi="Times New Roman" w:cs="Times New Roman"/>
          <w:b/>
          <w:sz w:val="22"/>
        </w:rPr>
        <w:t>Nobuhiro</w:t>
      </w:r>
      <w:proofErr w:type="spellEnd"/>
      <w:r w:rsidRPr="005A7151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5A7151">
        <w:rPr>
          <w:rFonts w:ascii="Times New Roman" w:hAnsi="Times New Roman" w:cs="Times New Roman"/>
          <w:b/>
          <w:sz w:val="22"/>
        </w:rPr>
        <w:t>Kiyotaki</w:t>
      </w:r>
      <w:proofErr w:type="spellEnd"/>
      <w:r>
        <w:rPr>
          <w:rFonts w:ascii="Times New Roman" w:hAnsi="Times New Roman" w:cs="Times New Roman"/>
          <w:sz w:val="22"/>
        </w:rPr>
        <w:t xml:space="preserve"> (Princeton</w:t>
      </w:r>
      <w:r w:rsidR="00961BF5">
        <w:rPr>
          <w:rFonts w:ascii="Times New Roman" w:hAnsi="Times New Roman" w:cs="Times New Roman"/>
          <w:sz w:val="22"/>
        </w:rPr>
        <w:t xml:space="preserve"> and CEPR</w:t>
      </w:r>
      <w:r>
        <w:rPr>
          <w:rFonts w:ascii="Times New Roman" w:hAnsi="Times New Roman" w:cs="Times New Roman"/>
          <w:sz w:val="22"/>
        </w:rPr>
        <w:t>)</w:t>
      </w:r>
    </w:p>
    <w:p w:rsidR="00EB00D4" w:rsidRPr="00D256B3" w:rsidRDefault="005A7151" w:rsidP="00EB00D4">
      <w:pPr>
        <w:pStyle w:val="Szvegtrzs2"/>
        <w:numPr>
          <w:ilvl w:val="0"/>
          <w:numId w:val="5"/>
        </w:numPr>
        <w:rPr>
          <w:rFonts w:ascii="Times New Roman" w:hAnsi="Times New Roman" w:cs="Times New Roman"/>
          <w:sz w:val="22"/>
        </w:rPr>
      </w:pPr>
      <w:r w:rsidRPr="005A7151">
        <w:rPr>
          <w:rFonts w:ascii="Times New Roman" w:hAnsi="Times New Roman" w:cs="Times New Roman"/>
          <w:b/>
          <w:sz w:val="22"/>
        </w:rPr>
        <w:t xml:space="preserve">Ricardo Caballero </w:t>
      </w:r>
      <w:r>
        <w:rPr>
          <w:rFonts w:ascii="Times New Roman" w:hAnsi="Times New Roman" w:cs="Times New Roman"/>
          <w:sz w:val="22"/>
        </w:rPr>
        <w:t>(MIT)</w:t>
      </w:r>
    </w:p>
    <w:p w:rsidR="005A7151" w:rsidRDefault="005A7151" w:rsidP="00AC69BE">
      <w:pPr>
        <w:jc w:val="both"/>
        <w:rPr>
          <w:sz w:val="22"/>
          <w:szCs w:val="22"/>
        </w:rPr>
      </w:pPr>
    </w:p>
    <w:p w:rsidR="005A7C33" w:rsidRDefault="005A7C33" w:rsidP="00AC69BE">
      <w:pPr>
        <w:jc w:val="both"/>
        <w:rPr>
          <w:sz w:val="22"/>
          <w:szCs w:val="22"/>
        </w:rPr>
      </w:pPr>
      <w:r w:rsidRPr="0053252E">
        <w:rPr>
          <w:sz w:val="22"/>
          <w:szCs w:val="22"/>
        </w:rPr>
        <w:t xml:space="preserve">The workshop will be held at the Magyar Nemzeti Bank in Budapest. Participants </w:t>
      </w:r>
      <w:r w:rsidR="00756737">
        <w:rPr>
          <w:sz w:val="22"/>
          <w:szCs w:val="22"/>
        </w:rPr>
        <w:t xml:space="preserve">from central banks </w:t>
      </w:r>
      <w:r w:rsidRPr="0053252E">
        <w:rPr>
          <w:sz w:val="22"/>
          <w:szCs w:val="22"/>
        </w:rPr>
        <w:t>are</w:t>
      </w:r>
      <w:r w:rsidR="0053252E">
        <w:rPr>
          <w:sz w:val="22"/>
          <w:szCs w:val="22"/>
        </w:rPr>
        <w:t xml:space="preserve"> </w:t>
      </w:r>
      <w:r w:rsidRPr="0053252E">
        <w:rPr>
          <w:sz w:val="22"/>
          <w:szCs w:val="22"/>
        </w:rPr>
        <w:t>expected to cover costs of travel and local expenses. Costs of participants from academic</w:t>
      </w:r>
      <w:r w:rsidR="0053252E">
        <w:rPr>
          <w:sz w:val="22"/>
          <w:szCs w:val="22"/>
        </w:rPr>
        <w:t xml:space="preserve"> </w:t>
      </w:r>
      <w:r w:rsidRPr="0053252E">
        <w:rPr>
          <w:sz w:val="22"/>
          <w:szCs w:val="22"/>
        </w:rPr>
        <w:t>institution</w:t>
      </w:r>
      <w:r w:rsidR="00A42C83">
        <w:rPr>
          <w:sz w:val="22"/>
          <w:szCs w:val="22"/>
        </w:rPr>
        <w:t>s may be re</w:t>
      </w:r>
      <w:r w:rsidR="00756737">
        <w:rPr>
          <w:sz w:val="22"/>
          <w:szCs w:val="22"/>
        </w:rPr>
        <w:t xml:space="preserve">imbursed </w:t>
      </w:r>
      <w:r w:rsidR="00A42C83">
        <w:rPr>
          <w:sz w:val="22"/>
          <w:szCs w:val="22"/>
        </w:rPr>
        <w:t>by the organiz</w:t>
      </w:r>
      <w:r w:rsidRPr="0053252E">
        <w:rPr>
          <w:sz w:val="22"/>
          <w:szCs w:val="22"/>
        </w:rPr>
        <w:t>ers upon request. No conference fee will be</w:t>
      </w:r>
      <w:r w:rsidR="0053252E">
        <w:rPr>
          <w:sz w:val="22"/>
          <w:szCs w:val="22"/>
        </w:rPr>
        <w:t xml:space="preserve"> </w:t>
      </w:r>
      <w:r w:rsidRPr="0053252E">
        <w:rPr>
          <w:sz w:val="22"/>
          <w:szCs w:val="22"/>
        </w:rPr>
        <w:t>charged.</w:t>
      </w:r>
    </w:p>
    <w:p w:rsidR="00EC7D75" w:rsidRPr="0053252E" w:rsidRDefault="00EC7D75" w:rsidP="00AC69BE">
      <w:pPr>
        <w:jc w:val="both"/>
        <w:rPr>
          <w:sz w:val="22"/>
          <w:szCs w:val="22"/>
        </w:rPr>
      </w:pPr>
    </w:p>
    <w:p w:rsidR="00756737" w:rsidRPr="00CC1D50" w:rsidRDefault="00756737" w:rsidP="00AC69BE">
      <w:pPr>
        <w:pStyle w:val="Szvegtrzs2"/>
        <w:rPr>
          <w:rFonts w:ascii="Tahoma" w:hAnsi="Tahoma" w:cs="Tahoma"/>
        </w:rPr>
      </w:pPr>
      <w:proofErr w:type="gramStart"/>
      <w:r w:rsidRPr="00756737">
        <w:rPr>
          <w:rFonts w:ascii="Times New Roman" w:hAnsi="Times New Roman" w:cs="Times New Roman"/>
          <w:sz w:val="22"/>
        </w:rPr>
        <w:t xml:space="preserve">To apply, please contact </w:t>
      </w:r>
      <w:r w:rsidR="00CC1D50" w:rsidRPr="00CC1D50">
        <w:rPr>
          <w:b/>
        </w:rPr>
        <w:t xml:space="preserve">Ms. </w:t>
      </w:r>
      <w:r w:rsidR="00961BF5">
        <w:rPr>
          <w:b/>
        </w:rPr>
        <w:t>Caroline Daniels,</w:t>
      </w:r>
      <w:r w:rsidR="00961BF5" w:rsidRPr="00961BF5">
        <w:rPr>
          <w:b/>
        </w:rPr>
        <w:t xml:space="preserve"> </w:t>
      </w:r>
      <w:r w:rsidR="00961BF5" w:rsidRPr="00961BF5">
        <w:t xml:space="preserve">CEPR Meetings Assistant, at </w:t>
      </w:r>
      <w:r w:rsidR="00961BF5" w:rsidRPr="00961BF5">
        <w:rPr>
          <w:color w:val="0070C0"/>
          <w:u w:val="single"/>
        </w:rPr>
        <w:t>cdaniels@cepr.org</w:t>
      </w:r>
      <w:r w:rsidR="00961BF5" w:rsidRPr="00961BF5">
        <w:t xml:space="preserve"> or +44 20 7183 8817</w:t>
      </w:r>
      <w:r w:rsidR="00961BF5">
        <w:rPr>
          <w:rFonts w:ascii="Times New Roman" w:hAnsi="Times New Roman" w:cs="Times New Roman"/>
          <w:sz w:val="22"/>
        </w:rPr>
        <w:t>.</w:t>
      </w:r>
      <w:proofErr w:type="gramEnd"/>
      <w:r w:rsidRPr="00756737">
        <w:rPr>
          <w:rFonts w:ascii="Times New Roman" w:hAnsi="Times New Roman" w:cs="Times New Roman"/>
          <w:sz w:val="22"/>
        </w:rPr>
        <w:t xml:space="preserve"> Please indicate in your response whether or not you wish to present a paper or would be willing to act as a discussant.</w:t>
      </w:r>
      <w:r w:rsidR="0026604E">
        <w:rPr>
          <w:rFonts w:ascii="Times New Roman" w:hAnsi="Times New Roman" w:cs="Times New Roman"/>
          <w:sz w:val="22"/>
        </w:rPr>
        <w:t xml:space="preserve"> </w:t>
      </w:r>
      <w:r w:rsidRPr="00756737">
        <w:rPr>
          <w:rFonts w:ascii="Times New Roman" w:hAnsi="Times New Roman" w:cs="Times New Roman"/>
          <w:sz w:val="22"/>
        </w:rPr>
        <w:t xml:space="preserve">The deadline for replies is </w:t>
      </w:r>
      <w:r w:rsidRPr="00756737">
        <w:rPr>
          <w:rFonts w:ascii="Times New Roman" w:hAnsi="Times New Roman" w:cs="Times New Roman"/>
          <w:b/>
          <w:color w:val="FF0000"/>
          <w:sz w:val="22"/>
        </w:rPr>
        <w:t>18:00 GMT</w:t>
      </w:r>
      <w:r w:rsidR="007A4320">
        <w:rPr>
          <w:rFonts w:ascii="Times New Roman" w:hAnsi="Times New Roman" w:cs="Times New Roman"/>
          <w:b/>
          <w:color w:val="FF0000"/>
          <w:sz w:val="22"/>
        </w:rPr>
        <w:t xml:space="preserve"> on Tuesday, 1</w:t>
      </w:r>
      <w:r w:rsidR="0026604E">
        <w:rPr>
          <w:rFonts w:ascii="Times New Roman" w:hAnsi="Times New Roman" w:cs="Times New Roman"/>
          <w:b/>
          <w:color w:val="FF0000"/>
          <w:sz w:val="22"/>
        </w:rPr>
        <w:t xml:space="preserve"> </w:t>
      </w:r>
      <w:r w:rsidR="007A4320">
        <w:rPr>
          <w:rFonts w:ascii="Times New Roman" w:hAnsi="Times New Roman" w:cs="Times New Roman"/>
          <w:b/>
          <w:color w:val="FF0000"/>
          <w:sz w:val="22"/>
        </w:rPr>
        <w:t>June</w:t>
      </w:r>
      <w:r w:rsidRPr="00756737">
        <w:rPr>
          <w:rFonts w:ascii="Times New Roman" w:hAnsi="Times New Roman" w:cs="Times New Roman"/>
          <w:b/>
          <w:color w:val="FF0000"/>
          <w:sz w:val="22"/>
        </w:rPr>
        <w:t xml:space="preserve"> 20</w:t>
      </w:r>
      <w:r w:rsidR="00D20AB9">
        <w:rPr>
          <w:rFonts w:ascii="Times New Roman" w:hAnsi="Times New Roman" w:cs="Times New Roman"/>
          <w:b/>
          <w:color w:val="FF0000"/>
          <w:sz w:val="22"/>
        </w:rPr>
        <w:t>10</w:t>
      </w:r>
      <w:r w:rsidRPr="00756737">
        <w:rPr>
          <w:rFonts w:ascii="Times New Roman" w:hAnsi="Times New Roman" w:cs="Times New Roman"/>
          <w:sz w:val="22"/>
        </w:rPr>
        <w:t xml:space="preserve">. </w:t>
      </w:r>
    </w:p>
    <w:p w:rsidR="0026604E" w:rsidRDefault="0026604E" w:rsidP="00AC69BE">
      <w:pPr>
        <w:jc w:val="both"/>
        <w:rPr>
          <w:sz w:val="22"/>
          <w:szCs w:val="22"/>
        </w:rPr>
      </w:pPr>
    </w:p>
    <w:p w:rsidR="0053252E" w:rsidRPr="0053252E" w:rsidRDefault="005A7C33" w:rsidP="00AC69BE">
      <w:pPr>
        <w:jc w:val="both"/>
        <w:rPr>
          <w:sz w:val="22"/>
          <w:szCs w:val="22"/>
        </w:rPr>
      </w:pPr>
      <w:r w:rsidRPr="0053252E">
        <w:rPr>
          <w:sz w:val="22"/>
          <w:szCs w:val="22"/>
        </w:rPr>
        <w:t>The submitted papers will be revie</w:t>
      </w:r>
      <w:r w:rsidR="00A42C83">
        <w:rPr>
          <w:sz w:val="22"/>
          <w:szCs w:val="22"/>
        </w:rPr>
        <w:t>wed for selection by the organiz</w:t>
      </w:r>
      <w:r w:rsidRPr="0053252E">
        <w:rPr>
          <w:sz w:val="22"/>
          <w:szCs w:val="22"/>
        </w:rPr>
        <w:t>ing committee.</w:t>
      </w:r>
      <w:r w:rsidR="0053252E">
        <w:rPr>
          <w:sz w:val="22"/>
          <w:szCs w:val="22"/>
        </w:rPr>
        <w:t xml:space="preserve"> </w:t>
      </w:r>
      <w:r w:rsidRPr="0053252E">
        <w:rPr>
          <w:sz w:val="22"/>
          <w:szCs w:val="22"/>
        </w:rPr>
        <w:t>Deadline for submitting the extended abstract or a completed draft (</w:t>
      </w:r>
      <w:r w:rsidR="004E67F8">
        <w:rPr>
          <w:sz w:val="22"/>
          <w:szCs w:val="22"/>
        </w:rPr>
        <w:t xml:space="preserve">strongly </w:t>
      </w:r>
      <w:r w:rsidRPr="0053252E">
        <w:rPr>
          <w:sz w:val="22"/>
          <w:szCs w:val="22"/>
        </w:rPr>
        <w:t>preferred) of</w:t>
      </w:r>
      <w:r w:rsidR="0053252E">
        <w:rPr>
          <w:sz w:val="22"/>
          <w:szCs w:val="22"/>
        </w:rPr>
        <w:t xml:space="preserve"> </w:t>
      </w:r>
      <w:r w:rsidR="004E67F8">
        <w:rPr>
          <w:sz w:val="22"/>
          <w:szCs w:val="22"/>
        </w:rPr>
        <w:t>the paper is Ju</w:t>
      </w:r>
      <w:r w:rsidR="007A4320">
        <w:rPr>
          <w:sz w:val="22"/>
          <w:szCs w:val="22"/>
        </w:rPr>
        <w:t>ne 1, 20</w:t>
      </w:r>
      <w:r w:rsidR="0052057A">
        <w:rPr>
          <w:sz w:val="22"/>
          <w:szCs w:val="22"/>
        </w:rPr>
        <w:t>10</w:t>
      </w:r>
      <w:r w:rsidRPr="0053252E">
        <w:rPr>
          <w:sz w:val="22"/>
          <w:szCs w:val="22"/>
        </w:rPr>
        <w:t>. Decisions on the selected papers will be made by J</w:t>
      </w:r>
      <w:r w:rsidR="004E67F8">
        <w:rPr>
          <w:sz w:val="22"/>
          <w:szCs w:val="22"/>
        </w:rPr>
        <w:t>u</w:t>
      </w:r>
      <w:r w:rsidR="007A4320">
        <w:rPr>
          <w:sz w:val="22"/>
          <w:szCs w:val="22"/>
        </w:rPr>
        <w:t>ne</w:t>
      </w:r>
      <w:r w:rsidR="004E67F8">
        <w:rPr>
          <w:sz w:val="22"/>
          <w:szCs w:val="22"/>
        </w:rPr>
        <w:t xml:space="preserve"> </w:t>
      </w:r>
      <w:r w:rsidR="00756737">
        <w:rPr>
          <w:sz w:val="22"/>
          <w:szCs w:val="22"/>
        </w:rPr>
        <w:t xml:space="preserve">22, </w:t>
      </w:r>
      <w:r w:rsidR="007A4320">
        <w:rPr>
          <w:sz w:val="22"/>
          <w:szCs w:val="22"/>
        </w:rPr>
        <w:t>20</w:t>
      </w:r>
      <w:r w:rsidR="00D20AB9">
        <w:rPr>
          <w:sz w:val="22"/>
          <w:szCs w:val="22"/>
        </w:rPr>
        <w:t>10</w:t>
      </w:r>
      <w:r w:rsidR="00756737">
        <w:rPr>
          <w:sz w:val="22"/>
          <w:szCs w:val="22"/>
        </w:rPr>
        <w:t xml:space="preserve">. </w:t>
      </w:r>
    </w:p>
    <w:p w:rsidR="00756737" w:rsidRDefault="00756737" w:rsidP="00AC69BE">
      <w:pPr>
        <w:jc w:val="both"/>
        <w:rPr>
          <w:sz w:val="22"/>
          <w:szCs w:val="22"/>
        </w:rPr>
      </w:pPr>
    </w:p>
    <w:p w:rsidR="005A7C33" w:rsidRDefault="005A7C33" w:rsidP="00AC69BE">
      <w:pPr>
        <w:jc w:val="both"/>
        <w:rPr>
          <w:sz w:val="22"/>
          <w:szCs w:val="22"/>
        </w:rPr>
      </w:pPr>
      <w:r w:rsidRPr="0053252E">
        <w:rPr>
          <w:sz w:val="22"/>
          <w:szCs w:val="22"/>
        </w:rPr>
        <w:t>Organi</w:t>
      </w:r>
      <w:r w:rsidR="00094E77">
        <w:rPr>
          <w:sz w:val="22"/>
          <w:szCs w:val="22"/>
        </w:rPr>
        <w:t>z</w:t>
      </w:r>
      <w:r w:rsidRPr="0053252E">
        <w:rPr>
          <w:sz w:val="22"/>
          <w:szCs w:val="22"/>
        </w:rPr>
        <w:t>ing committee:</w:t>
      </w:r>
    </w:p>
    <w:p w:rsidR="005A7C33" w:rsidRPr="0053252E" w:rsidRDefault="005A7C33" w:rsidP="0026604E">
      <w:pPr>
        <w:numPr>
          <w:ilvl w:val="0"/>
          <w:numId w:val="4"/>
        </w:numPr>
        <w:jc w:val="both"/>
        <w:rPr>
          <w:sz w:val="22"/>
          <w:szCs w:val="22"/>
        </w:rPr>
      </w:pPr>
      <w:r w:rsidRPr="0053252E">
        <w:rPr>
          <w:sz w:val="22"/>
          <w:szCs w:val="22"/>
        </w:rPr>
        <w:t>Péter Benczúr (</w:t>
      </w:r>
      <w:r w:rsidR="004E67F8">
        <w:rPr>
          <w:sz w:val="22"/>
          <w:szCs w:val="22"/>
        </w:rPr>
        <w:t>MNB and Central European University)</w:t>
      </w:r>
    </w:p>
    <w:p w:rsidR="00912E02" w:rsidRDefault="00912E02" w:rsidP="0026604E">
      <w:pPr>
        <w:numPr>
          <w:ilvl w:val="0"/>
          <w:numId w:val="4"/>
        </w:numPr>
        <w:jc w:val="both"/>
        <w:rPr>
          <w:sz w:val="22"/>
          <w:szCs w:val="22"/>
          <w:lang w:val="hu-HU"/>
        </w:rPr>
      </w:pPr>
      <w:r>
        <w:rPr>
          <w:sz w:val="22"/>
          <w:szCs w:val="22"/>
          <w:lang w:val="hu-HU"/>
        </w:rPr>
        <w:t>Péter Karádi (MNB)</w:t>
      </w:r>
    </w:p>
    <w:p w:rsidR="005A7C33" w:rsidRDefault="00EB00D4" w:rsidP="0026604E">
      <w:pPr>
        <w:numPr>
          <w:ilvl w:val="0"/>
          <w:numId w:val="4"/>
        </w:numPr>
        <w:jc w:val="both"/>
        <w:rPr>
          <w:sz w:val="22"/>
          <w:szCs w:val="22"/>
          <w:lang w:val="hu-HU"/>
        </w:rPr>
      </w:pPr>
      <w:r>
        <w:rPr>
          <w:sz w:val="22"/>
          <w:szCs w:val="22"/>
          <w:lang w:val="hu-HU"/>
        </w:rPr>
        <w:t>Péter Kondor</w:t>
      </w:r>
      <w:r w:rsidR="004E67F8" w:rsidRPr="004E67F8">
        <w:rPr>
          <w:sz w:val="22"/>
          <w:szCs w:val="22"/>
          <w:lang w:val="hu-HU"/>
        </w:rPr>
        <w:t xml:space="preserve"> (</w:t>
      </w:r>
      <w:proofErr w:type="spellStart"/>
      <w:r>
        <w:rPr>
          <w:sz w:val="22"/>
          <w:szCs w:val="22"/>
          <w:lang w:val="hu-HU"/>
        </w:rPr>
        <w:t>Central</w:t>
      </w:r>
      <w:proofErr w:type="spellEnd"/>
      <w:r>
        <w:rPr>
          <w:sz w:val="22"/>
          <w:szCs w:val="22"/>
          <w:lang w:val="hu-HU"/>
        </w:rPr>
        <w:t xml:space="preserve"> European University</w:t>
      </w:r>
      <w:r w:rsidR="004E67F8">
        <w:rPr>
          <w:sz w:val="22"/>
          <w:szCs w:val="22"/>
          <w:lang w:val="hu-HU"/>
        </w:rPr>
        <w:t>)</w:t>
      </w:r>
    </w:p>
    <w:p w:rsidR="0052057A" w:rsidRDefault="00912E02" w:rsidP="0026604E">
      <w:pPr>
        <w:numPr>
          <w:ilvl w:val="0"/>
          <w:numId w:val="4"/>
        </w:numPr>
        <w:jc w:val="both"/>
        <w:rPr>
          <w:sz w:val="22"/>
          <w:szCs w:val="22"/>
          <w:lang w:val="hu-HU"/>
        </w:rPr>
      </w:pPr>
      <w:r>
        <w:rPr>
          <w:sz w:val="22"/>
          <w:szCs w:val="22"/>
          <w:lang w:val="hu-HU"/>
        </w:rPr>
        <w:t xml:space="preserve">Frank </w:t>
      </w:r>
      <w:proofErr w:type="spellStart"/>
      <w:r>
        <w:rPr>
          <w:sz w:val="22"/>
          <w:szCs w:val="22"/>
          <w:lang w:val="hu-HU"/>
        </w:rPr>
        <w:t>Smets</w:t>
      </w:r>
      <w:proofErr w:type="spellEnd"/>
      <w:r w:rsidR="0052057A">
        <w:rPr>
          <w:sz w:val="22"/>
          <w:szCs w:val="22"/>
          <w:lang w:val="hu-HU"/>
        </w:rPr>
        <w:t xml:space="preserve"> (</w:t>
      </w:r>
      <w:r>
        <w:rPr>
          <w:sz w:val="22"/>
          <w:szCs w:val="22"/>
          <w:lang w:val="hu-HU"/>
        </w:rPr>
        <w:t>ECB and CEPR</w:t>
      </w:r>
      <w:r w:rsidR="0052057A">
        <w:rPr>
          <w:sz w:val="22"/>
          <w:szCs w:val="22"/>
          <w:lang w:val="hu-HU"/>
        </w:rPr>
        <w:t>)</w:t>
      </w:r>
    </w:p>
    <w:p w:rsidR="007A4320" w:rsidRDefault="007A4320" w:rsidP="00AC69BE">
      <w:pPr>
        <w:jc w:val="both"/>
        <w:rPr>
          <w:sz w:val="22"/>
          <w:szCs w:val="22"/>
          <w:lang w:val="hu-HU"/>
        </w:rPr>
      </w:pPr>
    </w:p>
    <w:p w:rsidR="00EB00D4" w:rsidRDefault="005A7C33" w:rsidP="00EB00D4">
      <w:pPr>
        <w:jc w:val="both"/>
        <w:rPr>
          <w:sz w:val="22"/>
          <w:szCs w:val="22"/>
        </w:rPr>
      </w:pPr>
      <w:r w:rsidRPr="0053252E">
        <w:rPr>
          <w:sz w:val="22"/>
          <w:szCs w:val="22"/>
        </w:rPr>
        <w:t>Further information and the final program will be posted at</w:t>
      </w:r>
      <w:r w:rsidR="00094E77">
        <w:rPr>
          <w:sz w:val="22"/>
          <w:szCs w:val="22"/>
        </w:rPr>
        <w:t xml:space="preserve"> the </w:t>
      </w:r>
    </w:p>
    <w:p w:rsidR="00912E02" w:rsidRDefault="00470B4C" w:rsidP="00912E02">
      <w:pPr>
        <w:jc w:val="both"/>
        <w:rPr>
          <w:sz w:val="22"/>
          <w:szCs w:val="22"/>
        </w:rPr>
      </w:pPr>
      <w:hyperlink r:id="rId10" w:history="1">
        <w:r w:rsidR="00912E02" w:rsidRPr="003D2881">
          <w:rPr>
            <w:rStyle w:val="Hiperhivatkozs"/>
            <w:sz w:val="22"/>
            <w:szCs w:val="22"/>
          </w:rPr>
          <w:t>http://english.mnb.hu/engine.aspx?page=mnben_konf_fomenu</w:t>
        </w:r>
      </w:hyperlink>
    </w:p>
    <w:p w:rsidR="005A7C33" w:rsidRDefault="005A7C33" w:rsidP="00AC69BE">
      <w:pPr>
        <w:jc w:val="both"/>
        <w:rPr>
          <w:sz w:val="22"/>
          <w:szCs w:val="22"/>
        </w:rPr>
      </w:pPr>
    </w:p>
    <w:p w:rsidR="00EB00D4" w:rsidRDefault="00094E77" w:rsidP="00EB00D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program of last year’s workshop can be found </w:t>
      </w:r>
      <w:r w:rsidR="00912E02">
        <w:rPr>
          <w:sz w:val="22"/>
          <w:szCs w:val="22"/>
        </w:rPr>
        <w:t>at</w:t>
      </w:r>
    </w:p>
    <w:p w:rsidR="00AB6559" w:rsidRDefault="00470B4C" w:rsidP="00EB00D4">
      <w:pPr>
        <w:jc w:val="both"/>
        <w:rPr>
          <w:sz w:val="22"/>
          <w:szCs w:val="22"/>
        </w:rPr>
      </w:pPr>
      <w:hyperlink r:id="rId11" w:history="1">
        <w:r w:rsidR="00EB00D4" w:rsidRPr="00F43178">
          <w:rPr>
            <w:rStyle w:val="Hiperhivatkozs"/>
            <w:sz w:val="22"/>
            <w:szCs w:val="22"/>
          </w:rPr>
          <w:t>http://english.mnb.hu/Engine.aspx?page=mnben_konf_fomenu&amp;ContentID=12264</w:t>
        </w:r>
      </w:hyperlink>
    </w:p>
    <w:sectPr w:rsidR="00AB6559" w:rsidSect="00D65AED">
      <w:pgSz w:w="12240" w:h="15840"/>
      <w:pgMar w:top="680" w:right="1440" w:bottom="129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AED" w:rsidRDefault="00D65AED" w:rsidP="00596011">
      <w:r>
        <w:separator/>
      </w:r>
    </w:p>
  </w:endnote>
  <w:endnote w:type="continuationSeparator" w:id="0">
    <w:p w:rsidR="00D65AED" w:rsidRDefault="00D65AED" w:rsidP="00596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AED" w:rsidRDefault="00D65AED" w:rsidP="00596011">
      <w:r>
        <w:separator/>
      </w:r>
    </w:p>
  </w:footnote>
  <w:footnote w:type="continuationSeparator" w:id="0">
    <w:p w:rsidR="00D65AED" w:rsidRDefault="00D65AED" w:rsidP="005960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670F"/>
    <w:multiLevelType w:val="hybridMultilevel"/>
    <w:tmpl w:val="ED82347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45258C"/>
    <w:multiLevelType w:val="hybridMultilevel"/>
    <w:tmpl w:val="4F9A1DA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6"/>
        </w:tabs>
        <w:ind w:left="43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76"/>
        </w:tabs>
        <w:ind w:left="1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96"/>
        </w:tabs>
        <w:ind w:left="259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56"/>
        </w:tabs>
        <w:ind w:left="475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</w:rPr>
    </w:lvl>
  </w:abstractNum>
  <w:abstractNum w:abstractNumId="2">
    <w:nsid w:val="5EB63906"/>
    <w:multiLevelType w:val="hybridMultilevel"/>
    <w:tmpl w:val="D92E76EC"/>
    <w:lvl w:ilvl="0" w:tplc="3BBE3D7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6"/>
        </w:tabs>
        <w:ind w:left="7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96"/>
        </w:tabs>
        <w:ind w:left="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516"/>
        </w:tabs>
        <w:ind w:left="1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</w:abstractNum>
  <w:abstractNum w:abstractNumId="3">
    <w:nsid w:val="5F114970"/>
    <w:multiLevelType w:val="hybridMultilevel"/>
    <w:tmpl w:val="347CC6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B37B25"/>
    <w:multiLevelType w:val="hybridMultilevel"/>
    <w:tmpl w:val="1D58160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5A7C33"/>
    <w:rsid w:val="00094E77"/>
    <w:rsid w:val="00194686"/>
    <w:rsid w:val="001950A6"/>
    <w:rsid w:val="00207210"/>
    <w:rsid w:val="0026604E"/>
    <w:rsid w:val="00266EF0"/>
    <w:rsid w:val="002A02AC"/>
    <w:rsid w:val="003A7ABF"/>
    <w:rsid w:val="004202BF"/>
    <w:rsid w:val="00456A8B"/>
    <w:rsid w:val="00470B4C"/>
    <w:rsid w:val="004755B2"/>
    <w:rsid w:val="004C7830"/>
    <w:rsid w:val="004E67F8"/>
    <w:rsid w:val="0052057A"/>
    <w:rsid w:val="0053252E"/>
    <w:rsid w:val="00596011"/>
    <w:rsid w:val="005A7151"/>
    <w:rsid w:val="005A7C33"/>
    <w:rsid w:val="005E52BB"/>
    <w:rsid w:val="00607CC7"/>
    <w:rsid w:val="00616102"/>
    <w:rsid w:val="00691B15"/>
    <w:rsid w:val="006E0666"/>
    <w:rsid w:val="006F13DB"/>
    <w:rsid w:val="00756737"/>
    <w:rsid w:val="00776222"/>
    <w:rsid w:val="007A4320"/>
    <w:rsid w:val="007E5631"/>
    <w:rsid w:val="00804F23"/>
    <w:rsid w:val="008506E2"/>
    <w:rsid w:val="008762BA"/>
    <w:rsid w:val="00885BD5"/>
    <w:rsid w:val="00886F47"/>
    <w:rsid w:val="00887E5A"/>
    <w:rsid w:val="00912E02"/>
    <w:rsid w:val="009235AD"/>
    <w:rsid w:val="00951919"/>
    <w:rsid w:val="00955F72"/>
    <w:rsid w:val="00961BF5"/>
    <w:rsid w:val="0098580F"/>
    <w:rsid w:val="00A04CCE"/>
    <w:rsid w:val="00A42C83"/>
    <w:rsid w:val="00A430D8"/>
    <w:rsid w:val="00A727AD"/>
    <w:rsid w:val="00A77265"/>
    <w:rsid w:val="00A900E7"/>
    <w:rsid w:val="00AA1331"/>
    <w:rsid w:val="00AB6559"/>
    <w:rsid w:val="00AC69BE"/>
    <w:rsid w:val="00B008BF"/>
    <w:rsid w:val="00B25895"/>
    <w:rsid w:val="00BD68AC"/>
    <w:rsid w:val="00C04032"/>
    <w:rsid w:val="00C61239"/>
    <w:rsid w:val="00C8150A"/>
    <w:rsid w:val="00CC1D50"/>
    <w:rsid w:val="00D16871"/>
    <w:rsid w:val="00D20AB9"/>
    <w:rsid w:val="00D256B3"/>
    <w:rsid w:val="00D46152"/>
    <w:rsid w:val="00D54EAD"/>
    <w:rsid w:val="00D6537D"/>
    <w:rsid w:val="00D65AED"/>
    <w:rsid w:val="00E06D56"/>
    <w:rsid w:val="00E30CAB"/>
    <w:rsid w:val="00E33BA4"/>
    <w:rsid w:val="00E55912"/>
    <w:rsid w:val="00E75C22"/>
    <w:rsid w:val="00EB00D4"/>
    <w:rsid w:val="00EC7D75"/>
    <w:rsid w:val="00F149A0"/>
    <w:rsid w:val="00F20997"/>
    <w:rsid w:val="00F25A68"/>
    <w:rsid w:val="00F94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900E7"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804F23"/>
    <w:rPr>
      <w:rFonts w:ascii="Tahoma" w:hAnsi="Tahoma" w:cs="Tahoma"/>
      <w:sz w:val="16"/>
      <w:szCs w:val="16"/>
    </w:rPr>
  </w:style>
  <w:style w:type="paragraph" w:styleId="Szvegtrzs2">
    <w:name w:val="Body Text 2"/>
    <w:basedOn w:val="Norml"/>
    <w:rsid w:val="004C7830"/>
    <w:pPr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styleId="Hiperhivatkozs">
    <w:name w:val="Hyperlink"/>
    <w:basedOn w:val="Bekezdsalapbettpusa"/>
    <w:rsid w:val="00756737"/>
    <w:rPr>
      <w:color w:val="0000FF"/>
      <w:u w:val="single"/>
    </w:rPr>
  </w:style>
  <w:style w:type="character" w:styleId="Jegyzethivatkozs">
    <w:name w:val="annotation reference"/>
    <w:basedOn w:val="Bekezdsalapbettpusa"/>
    <w:semiHidden/>
    <w:rsid w:val="00D256B3"/>
    <w:rPr>
      <w:sz w:val="16"/>
      <w:szCs w:val="16"/>
    </w:rPr>
  </w:style>
  <w:style w:type="paragraph" w:styleId="Jegyzetszveg">
    <w:name w:val="annotation text"/>
    <w:basedOn w:val="Norml"/>
    <w:semiHidden/>
    <w:rsid w:val="00D256B3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D256B3"/>
    <w:rPr>
      <w:b/>
      <w:bCs/>
    </w:rPr>
  </w:style>
  <w:style w:type="character" w:styleId="Mrltotthiperhivatkozs">
    <w:name w:val="FollowedHyperlink"/>
    <w:basedOn w:val="Bekezdsalapbettpusa"/>
    <w:rsid w:val="0098580F"/>
    <w:rPr>
      <w:color w:val="800080"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59601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596011"/>
    <w:rPr>
      <w:sz w:val="24"/>
      <w:szCs w:val="24"/>
      <w:lang w:val="en-US" w:eastAsia="en-US"/>
    </w:rPr>
  </w:style>
  <w:style w:type="paragraph" w:styleId="llb">
    <w:name w:val="footer"/>
    <w:basedOn w:val="Norml"/>
    <w:link w:val="llbChar"/>
    <w:uiPriority w:val="99"/>
    <w:semiHidden/>
    <w:unhideWhenUsed/>
    <w:rsid w:val="0059601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596011"/>
    <w:rPr>
      <w:sz w:val="24"/>
      <w:szCs w:val="24"/>
      <w:lang w:val="en-US" w:eastAsia="en-US"/>
    </w:rPr>
  </w:style>
  <w:style w:type="paragraph" w:styleId="Nincstrkz">
    <w:name w:val="No Spacing"/>
    <w:link w:val="NincstrkzChar"/>
    <w:uiPriority w:val="1"/>
    <w:qFormat/>
    <w:rsid w:val="00A430D8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incstrkzChar">
    <w:name w:val="Nincs térköz Char"/>
    <w:basedOn w:val="Bekezdsalapbettpusa"/>
    <w:link w:val="Nincstrkz"/>
    <w:uiPriority w:val="1"/>
    <w:rsid w:val="00A430D8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340173015@26042010-0cf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nglish.mnb.hu/Engine.aspx?page=mnben_konf_fomenu&amp;ContentID=1226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english.mnb.hu/engine.aspx?page=mnben_konf_fomen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468</Words>
  <Characters>2909</Characters>
  <Application>Microsoft Office Word</Application>
  <DocSecurity>0</DocSecurity>
  <Lines>24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Call for Papers</vt:lpstr>
      <vt:lpstr>Call for Papers</vt:lpstr>
    </vt:vector>
  </TitlesOfParts>
  <Company>European University Institute</Company>
  <LinksUpToDate>false</LinksUpToDate>
  <CharactersWithSpaces>3371</CharactersWithSpaces>
  <SharedDoc>false</SharedDoc>
  <HLinks>
    <vt:vector size="12" baseType="variant">
      <vt:variant>
        <vt:i4>2293819</vt:i4>
      </vt:variant>
      <vt:variant>
        <vt:i4>3</vt:i4>
      </vt:variant>
      <vt:variant>
        <vt:i4>0</vt:i4>
      </vt:variant>
      <vt:variant>
        <vt:i4>5</vt:i4>
      </vt:variant>
      <vt:variant>
        <vt:lpwstr>http://english.mnb.hu/Engine.aspx?page=mnben_konf_fomenu&amp;ContentID=12264</vt:lpwstr>
      </vt:variant>
      <vt:variant>
        <vt:lpwstr/>
      </vt:variant>
      <vt:variant>
        <vt:i4>7077944</vt:i4>
      </vt:variant>
      <vt:variant>
        <vt:i4>0</vt:i4>
      </vt:variant>
      <vt:variant>
        <vt:i4>0</vt:i4>
      </vt:variant>
      <vt:variant>
        <vt:i4>5</vt:i4>
      </vt:variant>
      <vt:variant>
        <vt:lpwstr>http://english.mnb.hu/engine.aspx?page=mnben_konf_fomenu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Papers</dc:title>
  <dc:subject/>
  <dc:creator>pbenczur</dc:creator>
  <cp:keywords/>
  <dc:description/>
  <cp:lastModifiedBy>Losonczi Tünde</cp:lastModifiedBy>
  <cp:revision>3</cp:revision>
  <cp:lastPrinted>2009-11-20T09:17:00Z</cp:lastPrinted>
  <dcterms:created xsi:type="dcterms:W3CDTF">2010-04-28T12:08:00Z</dcterms:created>
  <dcterms:modified xsi:type="dcterms:W3CDTF">2010-04-28T12:38:00Z</dcterms:modified>
</cp:coreProperties>
</file>