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A0" w:rsidRDefault="00D3634A" w:rsidP="009D2AA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 </w:t>
      </w:r>
      <w:r w:rsidR="00DE4A4A">
        <w:rPr>
          <w:b/>
        </w:rPr>
        <w:t>M</w:t>
      </w:r>
      <w:r>
        <w:rPr>
          <w:b/>
        </w:rPr>
        <w:t xml:space="preserve">agyar </w:t>
      </w:r>
      <w:r w:rsidR="00DE4A4A">
        <w:rPr>
          <w:b/>
        </w:rPr>
        <w:t>N</w:t>
      </w:r>
      <w:r>
        <w:rPr>
          <w:b/>
        </w:rPr>
        <w:t xml:space="preserve">emzeti </w:t>
      </w:r>
      <w:r w:rsidR="00DE4A4A">
        <w:rPr>
          <w:b/>
        </w:rPr>
        <w:t>B</w:t>
      </w:r>
      <w:r>
        <w:rPr>
          <w:b/>
        </w:rPr>
        <w:t xml:space="preserve">ank tájékoztatója az </w:t>
      </w:r>
      <w:r w:rsidR="009D2AA0" w:rsidRPr="00140FC2">
        <w:rPr>
          <w:b/>
        </w:rPr>
        <w:t xml:space="preserve">EIOPA iránymutatások </w:t>
      </w:r>
      <w:r w:rsidR="00901430">
        <w:rPr>
          <w:b/>
        </w:rPr>
        <w:t xml:space="preserve">1. és </w:t>
      </w:r>
      <w:r w:rsidR="009D2AA0" w:rsidRPr="00140FC2">
        <w:rPr>
          <w:b/>
        </w:rPr>
        <w:t>2. csomag</w:t>
      </w:r>
      <w:r>
        <w:rPr>
          <w:b/>
        </w:rPr>
        <w:t>járól</w:t>
      </w:r>
    </w:p>
    <w:p w:rsidR="004C25E9" w:rsidRDefault="004C25E9" w:rsidP="0018619A"/>
    <w:p w:rsidR="004C25E9" w:rsidRDefault="009034C4" w:rsidP="0018619A">
      <w:r>
        <w:t xml:space="preserve">Az MNB </w:t>
      </w:r>
      <w:r w:rsidR="004C25E9">
        <w:t xml:space="preserve">a Szolvencia II rendszer 2016. január 1-i alkalmazásának megkönnyítése érdekében </w:t>
      </w:r>
      <w:r w:rsidR="00CC6B7C">
        <w:t>megfelelési szándékát fejezte ki az EIOPA Szolvencia II iránymutatások haza átültetésére.</w:t>
      </w:r>
    </w:p>
    <w:p w:rsidR="002F0266" w:rsidRDefault="00B37939" w:rsidP="0018619A">
      <w:r>
        <w:t>Az MNB a</w:t>
      </w:r>
      <w:r w:rsidR="00CC6B7C">
        <w:t xml:space="preserve"> megfelelés érdekében </w:t>
      </w:r>
      <w:r>
        <w:t xml:space="preserve">az </w:t>
      </w:r>
      <w:r w:rsidR="009034C4">
        <w:t>EIOPA iránymutatások</w:t>
      </w:r>
      <w:r w:rsidR="007612D4">
        <w:t xml:space="preserve"> 1. és </w:t>
      </w:r>
      <w:r w:rsidR="009034C4">
        <w:t>2. csomagj</w:t>
      </w:r>
      <w:r w:rsidR="00CC6B7C">
        <w:t>áb</w:t>
      </w:r>
      <w:r w:rsidR="009034C4">
        <w:t>a</w:t>
      </w:r>
      <w:r w:rsidR="00CC6B7C">
        <w:t>n megjelent témakörök</w:t>
      </w:r>
      <w:r w:rsidR="004C25E9">
        <w:t xml:space="preserve"> kapcsán az alábbi tájékoztatást adja.</w:t>
      </w:r>
    </w:p>
    <w:p w:rsidR="00C55C8D" w:rsidRDefault="00C55C8D" w:rsidP="0018619A">
      <w:pPr>
        <w:rPr>
          <w:u w:val="single"/>
        </w:rPr>
      </w:pPr>
    </w:p>
    <w:p w:rsidR="009D2AA0" w:rsidRPr="002F0266" w:rsidRDefault="002F0266" w:rsidP="0018619A">
      <w:pPr>
        <w:rPr>
          <w:u w:val="single"/>
        </w:rPr>
      </w:pPr>
      <w:r w:rsidRPr="002F0266">
        <w:rPr>
          <w:u w:val="single"/>
        </w:rPr>
        <w:t>A</w:t>
      </w:r>
      <w:r w:rsidR="00CC6B7C">
        <w:rPr>
          <w:u w:val="single"/>
        </w:rPr>
        <w:t>z EIOPA iránymutatások alkalmazása tekintetében a</w:t>
      </w:r>
      <w:r w:rsidRPr="002F0266">
        <w:rPr>
          <w:u w:val="single"/>
        </w:rPr>
        <w:t xml:space="preserve"> vonatkozó jogszabályi háttér:</w:t>
      </w:r>
    </w:p>
    <w:p w:rsidR="0032717E" w:rsidRDefault="0032717E" w:rsidP="0032717E">
      <w:pPr>
        <w:pStyle w:val="Listaszerbekezds"/>
        <w:numPr>
          <w:ilvl w:val="0"/>
          <w:numId w:val="10"/>
        </w:numPr>
      </w:pPr>
      <w:r>
        <w:t>Az Európai Parlament és a Tanács 2010. november 24-i 1094/2010/EK rendelete az európai felügyeleti hat</w:t>
      </w:r>
      <w:r>
        <w:t>ó</w:t>
      </w:r>
      <w:r>
        <w:t>ság (az Európai Biztosítás- és Foglalkoztatóinyugdíj-hatóság) létrehozásáról, valamint a 716/2009/EK határ</w:t>
      </w:r>
      <w:r>
        <w:t>o</w:t>
      </w:r>
      <w:r>
        <w:t xml:space="preserve">zat módosításáról és a 2009/79/EK bizottsági határozat hatályon kívül helyezéséről </w:t>
      </w:r>
    </w:p>
    <w:p w:rsidR="002F0266" w:rsidRDefault="0032717E" w:rsidP="0032717E">
      <w:pPr>
        <w:pStyle w:val="Listaszerbekezds"/>
        <w:numPr>
          <w:ilvl w:val="0"/>
          <w:numId w:val="10"/>
        </w:numPr>
      </w:pPr>
      <w:r>
        <w:t>Az Európai Parlament és a Tanács 2009. november 25-i 2009/138/EK irányelve a biztosítási és viszontbiztos</w:t>
      </w:r>
      <w:r>
        <w:t>í</w:t>
      </w:r>
      <w:r>
        <w:t>tási üzleti tevékenység megkezdéséről és gyakorlásáról (Szolvencia II)</w:t>
      </w:r>
    </w:p>
    <w:p w:rsidR="002F0266" w:rsidRDefault="002F0266" w:rsidP="002F0266">
      <w:pPr>
        <w:pStyle w:val="Listaszerbekezds"/>
        <w:numPr>
          <w:ilvl w:val="0"/>
          <w:numId w:val="10"/>
        </w:numPr>
      </w:pPr>
      <w:r w:rsidRPr="002F0266">
        <w:t>A Bizottság 2014. október 10-i 2015/35/EU felhatalmazáson alapuló rendelete a biztosítási és viszontbiztos</w:t>
      </w:r>
      <w:r w:rsidRPr="002F0266">
        <w:t>í</w:t>
      </w:r>
      <w:r w:rsidRPr="002F0266">
        <w:t>tási üzleti tevékenység megkezdéséről és gyakorlásáról szóló, 2009. november 25-i 2015/138/EK európai parlamenti és tanácsi irányelv (Szolvencia II) kiegészítéséről</w:t>
      </w:r>
      <w:r w:rsidR="00943FF0">
        <w:t xml:space="preserve"> (Rendelet)</w:t>
      </w:r>
    </w:p>
    <w:p w:rsidR="002F0266" w:rsidRDefault="002F0266" w:rsidP="002F0266">
      <w:pPr>
        <w:pStyle w:val="Listaszerbekezds"/>
        <w:numPr>
          <w:ilvl w:val="0"/>
          <w:numId w:val="10"/>
        </w:numPr>
      </w:pPr>
      <w:r>
        <w:t>Az Európai Parlament és a Tanács 2002. július 19-i 1606/2002/EK rendelete a nemzetközi számviteli sta</w:t>
      </w:r>
      <w:r>
        <w:t>n</w:t>
      </w:r>
      <w:r>
        <w:t>dardok alkalmazásáról</w:t>
      </w:r>
    </w:p>
    <w:p w:rsidR="0022761B" w:rsidRDefault="0022761B" w:rsidP="002F0266">
      <w:pPr>
        <w:pStyle w:val="Listaszerbekezds"/>
        <w:numPr>
          <w:ilvl w:val="0"/>
          <w:numId w:val="10"/>
        </w:numPr>
      </w:pPr>
      <w:r>
        <w:t>A biztosítási tevékenységről szóló 2014. évi LXXXVIII. törvény</w:t>
      </w:r>
    </w:p>
    <w:p w:rsidR="00CC6B7C" w:rsidRPr="00394378" w:rsidRDefault="00CC6B7C" w:rsidP="0018619A"/>
    <w:p w:rsidR="002957B7" w:rsidRDefault="00CC6B7C" w:rsidP="0018619A">
      <w:pPr>
        <w:rPr>
          <w:u w:val="single"/>
        </w:rPr>
      </w:pPr>
      <w:r>
        <w:rPr>
          <w:u w:val="single"/>
        </w:rPr>
        <w:t>A tájékoztatóban é</w:t>
      </w:r>
      <w:r w:rsidR="004429BD" w:rsidRPr="004429BD">
        <w:rPr>
          <w:u w:val="single"/>
        </w:rPr>
        <w:t>rintett EIOPA iránymutatások:</w:t>
      </w:r>
    </w:p>
    <w:p w:rsidR="007612D4" w:rsidRDefault="007612D4" w:rsidP="0018619A">
      <w:r w:rsidRPr="007612D4">
        <w:t>1.</w:t>
      </w:r>
      <w:r>
        <w:t xml:space="preserve"> Csomag </w:t>
      </w:r>
    </w:p>
    <w:p w:rsidR="007612D4" w:rsidRDefault="00E95AB4" w:rsidP="00E95AB4">
      <w:pPr>
        <w:pStyle w:val="Listaszerbekezds"/>
        <w:numPr>
          <w:ilvl w:val="0"/>
          <w:numId w:val="12"/>
        </w:numPr>
      </w:pPr>
      <w:r w:rsidRPr="00E95AB4">
        <w:t>Iránymutatások a belső modellek használatáról</w:t>
      </w:r>
    </w:p>
    <w:p w:rsidR="00E95AB4" w:rsidRDefault="00E95AB4" w:rsidP="00E95AB4">
      <w:pPr>
        <w:pStyle w:val="Listaszerbekezds"/>
        <w:numPr>
          <w:ilvl w:val="0"/>
          <w:numId w:val="12"/>
        </w:numPr>
      </w:pPr>
      <w:r w:rsidRPr="00E95AB4">
        <w:t>Iránymutatások a vállalatspecifikus paraméterekről</w:t>
      </w:r>
    </w:p>
    <w:p w:rsidR="00E95AB4" w:rsidRDefault="00E95AB4" w:rsidP="00E95AB4">
      <w:pPr>
        <w:pStyle w:val="Listaszerbekezds"/>
        <w:numPr>
          <w:ilvl w:val="0"/>
          <w:numId w:val="12"/>
        </w:numPr>
      </w:pPr>
      <w:r w:rsidRPr="00E95AB4">
        <w:t>Iránymutatások a kapcsolt vállalkozások, köztük a részesedések kezeléséről</w:t>
      </w:r>
    </w:p>
    <w:p w:rsidR="00E95AB4" w:rsidRDefault="00E95AB4" w:rsidP="00E95AB4">
      <w:pPr>
        <w:pStyle w:val="Listaszerbekezds"/>
        <w:numPr>
          <w:ilvl w:val="0"/>
          <w:numId w:val="12"/>
        </w:numPr>
      </w:pPr>
      <w:r w:rsidRPr="00E95AB4">
        <w:t>Iránymutatások a biztosítástechnikai tartalékok értékeléséhez</w:t>
      </w:r>
    </w:p>
    <w:p w:rsidR="00E95AB4" w:rsidRDefault="00E95AB4" w:rsidP="00E95AB4">
      <w:pPr>
        <w:pStyle w:val="Listaszerbekezds"/>
        <w:numPr>
          <w:ilvl w:val="0"/>
          <w:numId w:val="12"/>
        </w:numPr>
      </w:pPr>
      <w:r w:rsidRPr="00E95AB4">
        <w:t>Módszertani iránymutatások a nemzeti felügyeleti hatóságok számára a Szolvencia II irányelv szerinti egy</w:t>
      </w:r>
      <w:r w:rsidRPr="00E95AB4">
        <w:t>e</w:t>
      </w:r>
      <w:r w:rsidRPr="00E95AB4">
        <w:t>nértékűség értékeléséhez</w:t>
      </w:r>
    </w:p>
    <w:p w:rsidR="007612D4" w:rsidRPr="007612D4" w:rsidRDefault="007612D4" w:rsidP="0018619A">
      <w:r>
        <w:t xml:space="preserve">2. Csomag </w:t>
      </w:r>
    </w:p>
    <w:p w:rsidR="004429BD" w:rsidRDefault="004429BD" w:rsidP="0018619A">
      <w:pPr>
        <w:pStyle w:val="Listaszerbekezds"/>
        <w:numPr>
          <w:ilvl w:val="0"/>
          <w:numId w:val="11"/>
        </w:numPr>
      </w:pPr>
      <w:r w:rsidRPr="004429BD">
        <w:t>Iránymutatások a pénzügyi stabilitási célokra történő jelentéstételről</w:t>
      </w:r>
    </w:p>
    <w:p w:rsidR="004429BD" w:rsidRPr="004429BD" w:rsidRDefault="004429BD" w:rsidP="0018619A">
      <w:pPr>
        <w:pStyle w:val="Listaszerbekezds"/>
        <w:numPr>
          <w:ilvl w:val="0"/>
          <w:numId w:val="11"/>
        </w:numPr>
      </w:pPr>
      <w:r w:rsidRPr="004429BD">
        <w:t>Iránymutatások a helyreállításhoz rendelkezésre álló időszak kivételesen kedvezőtlen helyzetekben történő meg-hosszabbításáról</w:t>
      </w:r>
    </w:p>
    <w:p w:rsidR="004429BD" w:rsidRDefault="004429BD" w:rsidP="004429BD">
      <w:pPr>
        <w:pStyle w:val="Listaszerbekezds"/>
        <w:numPr>
          <w:ilvl w:val="0"/>
          <w:numId w:val="11"/>
        </w:numPr>
      </w:pPr>
      <w:r w:rsidRPr="004429BD">
        <w:t>Iránymutatások a kollégiumokon belüli szisztematikus információcseréről</w:t>
      </w:r>
    </w:p>
    <w:p w:rsidR="004429BD" w:rsidRDefault="004429BD" w:rsidP="004429BD">
      <w:pPr>
        <w:pStyle w:val="Listaszerbekezds"/>
        <w:numPr>
          <w:ilvl w:val="0"/>
          <w:numId w:val="11"/>
        </w:numPr>
      </w:pPr>
      <w:r w:rsidRPr="004429BD">
        <w:t>Iránymutatások a hosszú távú garanciákkal kapcsolatos intézkedések végrehajtásáról</w:t>
      </w:r>
    </w:p>
    <w:p w:rsidR="004429BD" w:rsidRDefault="004429BD" w:rsidP="004429BD">
      <w:pPr>
        <w:pStyle w:val="Listaszerbekezds"/>
        <w:numPr>
          <w:ilvl w:val="0"/>
          <w:numId w:val="11"/>
        </w:numPr>
      </w:pPr>
      <w:r w:rsidRPr="004429BD">
        <w:t>Iránymutatások a piaci részesedések adatszolgáltatás céljára történő meghatározásának módszereiről</w:t>
      </w:r>
    </w:p>
    <w:p w:rsidR="004429BD" w:rsidRDefault="004429BD" w:rsidP="004429BD">
      <w:pPr>
        <w:pStyle w:val="Listaszerbekezds"/>
        <w:numPr>
          <w:ilvl w:val="0"/>
          <w:numId w:val="11"/>
        </w:numPr>
      </w:pPr>
      <w:r w:rsidRPr="004429BD">
        <w:t>Iránymutatások az adatszolgáltatásról és a közzétételről</w:t>
      </w:r>
    </w:p>
    <w:p w:rsidR="004429BD" w:rsidRDefault="004429BD" w:rsidP="004429BD">
      <w:pPr>
        <w:pStyle w:val="Listaszerbekezds"/>
        <w:numPr>
          <w:ilvl w:val="0"/>
          <w:numId w:val="11"/>
        </w:numPr>
      </w:pPr>
      <w:r w:rsidRPr="004429BD">
        <w:t>Iránymutatások a biztosítástechnikai tartalékoktól eltérő eszközök és források elismeréséről és értékeléséről</w:t>
      </w:r>
    </w:p>
    <w:p w:rsidR="00AE5197" w:rsidRDefault="00AE5197" w:rsidP="004429BD"/>
    <w:p w:rsidR="004429BD" w:rsidRDefault="00AE5197" w:rsidP="004429BD">
      <w:r>
        <w:t xml:space="preserve">Az iránymutatások </w:t>
      </w:r>
      <w:r w:rsidR="00C55C8D">
        <w:t xml:space="preserve">szövege </w:t>
      </w:r>
      <w:r>
        <w:t>elérhető a kibocsátás nyelvén angol és magyar nyelven a következő linken:</w:t>
      </w:r>
    </w:p>
    <w:p w:rsidR="00AE5197" w:rsidRDefault="00804CE8" w:rsidP="004429BD">
      <w:hyperlink r:id="rId9" w:history="1">
        <w:r w:rsidR="0018559A" w:rsidRPr="00B20781">
          <w:rPr>
            <w:rStyle w:val="Hiperhivatkozs"/>
            <w:vertAlign w:val="baseline"/>
          </w:rPr>
          <w:t>https://eiopa.europa.eu/regulation-supervision/guidelines</w:t>
        </w:r>
      </w:hyperlink>
    </w:p>
    <w:p w:rsidR="00506A2F" w:rsidRDefault="00506A2F" w:rsidP="00C55C8D"/>
    <w:p w:rsidR="00C55C8D" w:rsidRDefault="00C55C8D" w:rsidP="00C55C8D">
      <w:r>
        <w:lastRenderedPageBreak/>
        <w:t>Az MNB kívánatosnak tartja, ha a felügyelt intézmények a hivatkozott iránymutatásokat, illetőleg azok pontjait me</w:t>
      </w:r>
      <w:r>
        <w:t>g</w:t>
      </w:r>
      <w:r>
        <w:t>ismerik, az abban foglalt elveket követik, és a kialakított eljárásaik, szabályzataik tükrözik ezeknek az irányelveknek az ismeretét, figyelembevételét.</w:t>
      </w:r>
    </w:p>
    <w:p w:rsidR="00C55C8D" w:rsidRPr="002F0266" w:rsidRDefault="00C55C8D" w:rsidP="00C55C8D">
      <w:r>
        <w:t xml:space="preserve">Az alábbiakban rövid összefoglaló található a </w:t>
      </w:r>
      <w:r w:rsidR="005B7259">
        <w:t>hivatkozot</w:t>
      </w:r>
      <w:r>
        <w:t>t EIOPA iránymutatás</w:t>
      </w:r>
      <w:r w:rsidR="005B7259">
        <w:t>ok</w:t>
      </w:r>
      <w:r>
        <w:t xml:space="preserve"> tartalmáról.</w:t>
      </w:r>
    </w:p>
    <w:p w:rsidR="005B7259" w:rsidRDefault="005B7259" w:rsidP="004429BD"/>
    <w:p w:rsidR="005B7259" w:rsidRPr="005B7259" w:rsidRDefault="005B7259" w:rsidP="004429BD">
      <w:pPr>
        <w:rPr>
          <w:u w:val="single"/>
        </w:rPr>
      </w:pPr>
      <w:r w:rsidRPr="005B7259">
        <w:rPr>
          <w:u w:val="single"/>
        </w:rPr>
        <w:t>1. Csomag</w:t>
      </w:r>
    </w:p>
    <w:p w:rsidR="004A735D" w:rsidRPr="00845252" w:rsidRDefault="004A735D" w:rsidP="004A735D">
      <w:pPr>
        <w:rPr>
          <w:b/>
        </w:rPr>
      </w:pPr>
      <w:r w:rsidRPr="00845252">
        <w:rPr>
          <w:b/>
        </w:rPr>
        <w:t>1. Iránymutatások a belső modellek használatáról</w:t>
      </w:r>
    </w:p>
    <w:p w:rsidR="0009544C" w:rsidRPr="004F5169" w:rsidRDefault="0009544C" w:rsidP="004F5169">
      <w:pPr>
        <w:autoSpaceDE w:val="0"/>
        <w:autoSpaceDN w:val="0"/>
        <w:adjustRightInd w:val="0"/>
        <w:spacing w:after="0"/>
      </w:pPr>
      <w:r w:rsidRPr="004F5169">
        <w:t>Az iránymutatás célja, hogy előmozdítsa az Európai Unió tagállamai gyakorlatainak összehangolását, a hatékony és eredményes felügyeleti gyakorlat kialakítását, ami segítséget nyújt a szavatolótőke-szükséglet belső modellel történő számításának felügyeleti engedélyezési eljárásaiban. Ezen eljárások során a felügyeleti hatóság felméri, hogy a jo</w:t>
      </w:r>
      <w:r w:rsidRPr="004F5169">
        <w:t>g</w:t>
      </w:r>
      <w:r w:rsidRPr="004F5169">
        <w:t>szabályi előírások betartásával összhangban milyen elvárásoknak kell megfelelni, illetőleg a csoportok belső modell alkalmazása esetén a kommunikáció mélysége, szélessége kielégítő-e.</w:t>
      </w:r>
    </w:p>
    <w:p w:rsidR="0009544C" w:rsidRPr="004F5169" w:rsidRDefault="0009544C" w:rsidP="004F5169">
      <w:pPr>
        <w:autoSpaceDE w:val="0"/>
        <w:autoSpaceDN w:val="0"/>
        <w:adjustRightInd w:val="0"/>
        <w:spacing w:after="0"/>
      </w:pPr>
      <w:r w:rsidRPr="004F5169">
        <w:t>További fontos cél, hogy a Szolvencia II rendszerben működő biztosítók és felügyeleti hatóságok egységesen érte</w:t>
      </w:r>
      <w:r w:rsidRPr="004F5169">
        <w:t>l</w:t>
      </w:r>
      <w:r w:rsidRPr="004F5169">
        <w:t>mezzék mind az irányelv, mind pedig a végrehajtási rendelkezések követelményeit, a belső modellek megítélése, az értékelésük harmonizált legyen, kellő rugalmasságot biztosítva a nemzeti specialitások érvényesítésére. Az MNB a belső modell engedélyezési folyamat során egyértelművé kívánja tenni</w:t>
      </w:r>
      <w:r w:rsidR="00CD4659" w:rsidRPr="004F5169">
        <w:t>, hogy</w:t>
      </w:r>
      <w:r w:rsidRPr="004F5169">
        <w:t xml:space="preserve"> a jogszabályi követelmények teljesítése mellett </w:t>
      </w:r>
      <w:r w:rsidR="00CD4659" w:rsidRPr="004F5169">
        <w:t>mik</w:t>
      </w:r>
      <w:r w:rsidRPr="004F5169">
        <w:t xml:space="preserve"> az MNB elvárásai.</w:t>
      </w:r>
    </w:p>
    <w:p w:rsidR="0009544C" w:rsidRPr="004F5169" w:rsidRDefault="0009544C" w:rsidP="004F5169">
      <w:pPr>
        <w:autoSpaceDE w:val="0"/>
        <w:autoSpaceDN w:val="0"/>
        <w:adjustRightInd w:val="0"/>
        <w:spacing w:after="0"/>
      </w:pPr>
    </w:p>
    <w:p w:rsidR="0009544C" w:rsidRPr="004F5169" w:rsidRDefault="0009544C" w:rsidP="004F5169">
      <w:pPr>
        <w:autoSpaceDE w:val="0"/>
        <w:autoSpaceDN w:val="0"/>
        <w:adjustRightInd w:val="0"/>
        <w:spacing w:after="0"/>
      </w:pPr>
      <w:r w:rsidRPr="004F5169">
        <w:t xml:space="preserve">Az </w:t>
      </w:r>
      <w:r w:rsidR="00CD4659" w:rsidRPr="004F5169">
        <w:t>ir</w:t>
      </w:r>
      <w:r w:rsidRPr="004F5169">
        <w:t>án</w:t>
      </w:r>
      <w:r w:rsidR="00CD4659" w:rsidRPr="004F5169">
        <w:t>ymutat</w:t>
      </w:r>
      <w:r w:rsidRPr="004F5169">
        <w:t>ás</w:t>
      </w:r>
      <w:r w:rsidRPr="008C7504">
        <w:t xml:space="preserve"> </w:t>
      </w:r>
      <w:r w:rsidRPr="004F5169">
        <w:t>eltérő rendelkezés hiányában</w:t>
      </w:r>
      <w:r w:rsidRPr="008C7504">
        <w:t xml:space="preserve"> </w:t>
      </w:r>
      <w:r w:rsidRPr="004F5169">
        <w:t>vonatkozik:</w:t>
      </w:r>
    </w:p>
    <w:p w:rsidR="0009544C" w:rsidRPr="004F5169" w:rsidRDefault="0009544C" w:rsidP="004F5169">
      <w:pPr>
        <w:autoSpaceDE w:val="0"/>
        <w:autoSpaceDN w:val="0"/>
        <w:adjustRightInd w:val="0"/>
        <w:spacing w:after="0"/>
      </w:pPr>
      <w:r w:rsidRPr="004F5169">
        <w:t>- A biztosító vagy viszontbiztosító teljes vagy részleges belső modelljének használatára, amit a szavatolótőke-szükséglet számításra vonatkozó engedélyezésre benyújtott, vagy aktuálisan annak a számítására használ.</w:t>
      </w:r>
    </w:p>
    <w:p w:rsidR="0009544C" w:rsidRPr="004F5169" w:rsidRDefault="0009544C" w:rsidP="004F5169">
      <w:pPr>
        <w:autoSpaceDE w:val="0"/>
        <w:autoSpaceDN w:val="0"/>
        <w:adjustRightInd w:val="0"/>
        <w:spacing w:after="0"/>
      </w:pPr>
      <w:r w:rsidRPr="004F5169">
        <w:t>- Valamely csoport teljes vagy részleges belső modelljének használatára, amit a szavatolótőke-szükséglet számításra vonatkozó engedélyezésre benyújtottak, vagy aktuálisan annak a számítására használnak.</w:t>
      </w:r>
    </w:p>
    <w:p w:rsidR="0009544C" w:rsidRDefault="0009544C" w:rsidP="004F5169">
      <w:pPr>
        <w:autoSpaceDE w:val="0"/>
        <w:autoSpaceDN w:val="0"/>
        <w:adjustRightInd w:val="0"/>
        <w:spacing w:after="0"/>
      </w:pPr>
    </w:p>
    <w:p w:rsidR="00B90420" w:rsidRPr="004F5169" w:rsidRDefault="00B90420" w:rsidP="004F5169">
      <w:pPr>
        <w:autoSpaceDE w:val="0"/>
        <w:autoSpaceDN w:val="0"/>
        <w:adjustRightInd w:val="0"/>
        <w:spacing w:after="0"/>
      </w:pPr>
      <w:r>
        <w:t>Az EIOPA iránymutatás és annak alkalmazása folyamán leszűrt tapasztalatok figyelembevételre kerülnek az 5/2014. (XII.11.) MNB ajánlás 2016. évi felülvizsgálata és módosítása során.</w:t>
      </w:r>
    </w:p>
    <w:p w:rsidR="004A735D" w:rsidRDefault="004A735D" w:rsidP="00426BEF">
      <w:pPr>
        <w:tabs>
          <w:tab w:val="left" w:pos="0"/>
        </w:tabs>
      </w:pPr>
    </w:p>
    <w:p w:rsidR="004A735D" w:rsidRPr="00845252" w:rsidRDefault="004A735D" w:rsidP="004A735D">
      <w:pPr>
        <w:rPr>
          <w:b/>
        </w:rPr>
      </w:pPr>
      <w:r w:rsidRPr="00845252">
        <w:rPr>
          <w:b/>
        </w:rPr>
        <w:t>2. Iránymutatások a vállalatspecifikus paraméterekről</w:t>
      </w:r>
    </w:p>
    <w:p w:rsidR="0013726A" w:rsidRDefault="0013726A" w:rsidP="0013726A">
      <w:r>
        <w:t>A</w:t>
      </w:r>
      <w:r w:rsidR="001B6DAA">
        <w:t xml:space="preserve"> Szolvencia II irányelv lehetővé teszi, hogy a</w:t>
      </w:r>
      <w:r>
        <w:t xml:space="preserve"> szavatolótőke-szükséglet számítása során a standard formulában has</w:t>
      </w:r>
      <w:r>
        <w:t>z</w:t>
      </w:r>
      <w:r>
        <w:t xml:space="preserve">nált paraméterek egy részcsoportját (standard paramétereket) </w:t>
      </w:r>
      <w:r w:rsidR="001B6DAA">
        <w:t xml:space="preserve">az adott biztosítóra </w:t>
      </w:r>
      <w:r>
        <w:t>jellemző, egyedi paraméterekkel helyettesíthet</w:t>
      </w:r>
      <w:r w:rsidR="001B6DAA">
        <w:t>ő</w:t>
      </w:r>
      <w:r>
        <w:t>, amennyiben a standard formula nem tükrözi megfelelően az alapul szolgáló kockázatokat.</w:t>
      </w:r>
    </w:p>
    <w:p w:rsidR="001B6DAA" w:rsidRDefault="001B6DAA" w:rsidP="0013726A">
      <w:r>
        <w:t>A biztosító specifikus paraméterek számításakor a biztosító választhat a Rendelet</w:t>
      </w:r>
      <w:r w:rsidRPr="001B6DAA">
        <w:t xml:space="preserve"> XVII. mellékletében előírt szabv</w:t>
      </w:r>
      <w:r w:rsidRPr="001B6DAA">
        <w:t>á</w:t>
      </w:r>
      <w:r w:rsidRPr="001B6DAA">
        <w:t>nyosított módszerek közül</w:t>
      </w:r>
      <w:r w:rsidR="00426BEF">
        <w:t xml:space="preserve"> (ami nem azonos a Szolvencia II irányelv 110. cikke szerinti felügyeleti határozattal me</w:t>
      </w:r>
      <w:r w:rsidR="00426BEF">
        <w:t>g</w:t>
      </w:r>
      <w:r w:rsidR="002E48BC">
        <w:t>követelt egyedi/</w:t>
      </w:r>
      <w:r w:rsidR="00426BEF">
        <w:t>biztosító specifikus paraméterek használat</w:t>
      </w:r>
      <w:r w:rsidR="002E48BC">
        <w:t>áv</w:t>
      </w:r>
      <w:r w:rsidR="00426BEF">
        <w:t>a</w:t>
      </w:r>
      <w:r w:rsidR="002E48BC">
        <w:t>l); ugyanakkor figyelemmel kell lenni arra, hogy a</w:t>
      </w:r>
      <w:r w:rsidR="002E48BC" w:rsidRPr="002E48BC">
        <w:t xml:space="preserve"> </w:t>
      </w:r>
      <w:r w:rsidR="002E48BC">
        <w:t>bi</w:t>
      </w:r>
      <w:r w:rsidR="002E48BC">
        <w:t>z</w:t>
      </w:r>
      <w:r w:rsidR="002E48BC">
        <w:t xml:space="preserve">tosító specifikus paraméterek használata a </w:t>
      </w:r>
      <w:r w:rsidR="002E48BC" w:rsidRPr="002E48BC">
        <w:t>Szolvencia II. irányelv 112., 113. és 120–126. cikke szerinti felügyeleti jóváhagyáshoz kötött részleges belső modellnek minősülhet</w:t>
      </w:r>
      <w:r w:rsidR="002E48BC">
        <w:t>.</w:t>
      </w:r>
    </w:p>
    <w:p w:rsidR="00E76DC6" w:rsidRDefault="00852F22" w:rsidP="0013726A">
      <w:r>
        <w:t xml:space="preserve">Az iránymutatások célja </w:t>
      </w:r>
      <w:r w:rsidR="00164326">
        <w:t xml:space="preserve">egyúttal, hogy </w:t>
      </w:r>
      <w:r>
        <w:t>további pontosítások biztosíts</w:t>
      </w:r>
      <w:r w:rsidR="00164326">
        <w:t>on</w:t>
      </w:r>
      <w:r>
        <w:t xml:space="preserve"> mind az egyedi biztosítók, mind a csoportok esetében a specifikus paraméterek</w:t>
      </w:r>
      <w:r w:rsidR="00164326">
        <w:t xml:space="preserve"> </w:t>
      </w:r>
      <w:r w:rsidR="00164326" w:rsidRPr="00164326">
        <w:t>számítása során figyelembe veendő adatminőségi kritériumok</w:t>
      </w:r>
      <w:r w:rsidR="00164326">
        <w:t>hoz</w:t>
      </w:r>
      <w:r w:rsidR="00E76DC6">
        <w:t>. Mivel csak a biztosítóspecifikus paraméterek egyedi szinten történő jóváhagyásának folyamatát harmonizálják végrehajtás-technikai standardok, elérendő cél, hogy a csoportspecifikus paraméterek használata egységességének javítása érd</w:t>
      </w:r>
      <w:r w:rsidR="00E76DC6">
        <w:t>e</w:t>
      </w:r>
      <w:r w:rsidR="00E76DC6">
        <w:t xml:space="preserve">kében a csoportspecifikus paraméterek felügyeleti jóváhagyásának harmonizációja; figyelemmel a Rendelet </w:t>
      </w:r>
      <w:r w:rsidR="00E76DC6" w:rsidRPr="00E76DC6">
        <w:t>335. cikke (1) bekezdésének a), b) és c) pontja szerint számított konszolidált adatokra vonatkozó módszerek kombinációja alapján történő számítására</w:t>
      </w:r>
      <w:r w:rsidR="00E76DC6">
        <w:t>.</w:t>
      </w:r>
    </w:p>
    <w:p w:rsidR="0013726A" w:rsidRDefault="00E76DC6" w:rsidP="0013726A">
      <w:r>
        <w:lastRenderedPageBreak/>
        <w:t>A</w:t>
      </w:r>
      <w:r w:rsidR="00164326">
        <w:t xml:space="preserve">z aktuárius feladatkörtől elvárt a hozzájárulás </w:t>
      </w:r>
      <w:r w:rsidR="00164326" w:rsidRPr="00164326">
        <w:t>a kockázatkezelési rendszer hatékony működtetéséhez, továbbá k</w:t>
      </w:r>
      <w:r w:rsidR="00164326" w:rsidRPr="00164326">
        <w:t>ü</w:t>
      </w:r>
      <w:r w:rsidR="00164326" w:rsidRPr="00164326">
        <w:t>lönösen a tőkeszükségletek számításának alapjául szolgáló koc</w:t>
      </w:r>
      <w:r w:rsidR="00164326">
        <w:t xml:space="preserve">kázatmodellezéshez, </w:t>
      </w:r>
      <w:r w:rsidR="0013726A">
        <w:t xml:space="preserve">a </w:t>
      </w:r>
      <w:r w:rsidR="00164326">
        <w:t>biztosító</w:t>
      </w:r>
      <w:r w:rsidR="0013726A">
        <w:t>specifikus paraméterek számítása során felhasznált adatok minőségének értékelése szempontjából.</w:t>
      </w:r>
    </w:p>
    <w:p w:rsidR="001B6DAA" w:rsidRDefault="00E76DC6" w:rsidP="001B6DAA">
      <w:r>
        <w:t>Az iránymutatás hatálya a S</w:t>
      </w:r>
      <w:r w:rsidR="001B6DAA">
        <w:t>zolvencia II. irányelv) 104. cikkének (7) bekezdéséhez, 110., 111. és 230. cikkéhez, 248. cikkének (2) bekezdéséhez, valamint a végrehajtási intézkedések 218., 219., 220., 338. és 356. cikkéhez kapcsolód</w:t>
      </w:r>
      <w:r>
        <w:t>i</w:t>
      </w:r>
      <w:r w:rsidR="001B6DAA">
        <w:t>k.</w:t>
      </w:r>
    </w:p>
    <w:p w:rsidR="0013726A" w:rsidRDefault="0013726A" w:rsidP="0013726A"/>
    <w:p w:rsidR="004A735D" w:rsidRPr="00845252" w:rsidRDefault="004A735D" w:rsidP="004A735D">
      <w:pPr>
        <w:rPr>
          <w:b/>
        </w:rPr>
      </w:pPr>
      <w:r w:rsidRPr="00845252">
        <w:rPr>
          <w:b/>
        </w:rPr>
        <w:t>3. Iránymutatások a kapcsolt vállalkozások, köztük a részesedések kezeléséről</w:t>
      </w:r>
    </w:p>
    <w:p w:rsidR="00943FF0" w:rsidRDefault="00943FF0" w:rsidP="00943F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D112A7">
        <w:rPr>
          <w:rFonts w:cs="Calibri"/>
          <w:color w:val="000000"/>
        </w:rPr>
        <w:t xml:space="preserve">Az </w:t>
      </w:r>
      <w:r>
        <w:rPr>
          <w:rFonts w:cs="Calibri"/>
          <w:color w:val="000000"/>
        </w:rPr>
        <w:t>ir</w:t>
      </w:r>
      <w:r w:rsidRPr="00D112A7">
        <w:rPr>
          <w:rFonts w:cs="Calibri"/>
          <w:color w:val="000000"/>
        </w:rPr>
        <w:t>án</w:t>
      </w:r>
      <w:r>
        <w:rPr>
          <w:rFonts w:cs="Calibri"/>
          <w:color w:val="000000"/>
        </w:rPr>
        <w:t>ymutat</w:t>
      </w:r>
      <w:r w:rsidRPr="00D112A7">
        <w:rPr>
          <w:rFonts w:cs="Calibri"/>
          <w:color w:val="000000"/>
        </w:rPr>
        <w:t>ás</w:t>
      </w:r>
      <w:r>
        <w:rPr>
          <w:rFonts w:cs="Calibri"/>
          <w:color w:val="000000"/>
        </w:rPr>
        <w:t xml:space="preserve"> célja, hogy segítse </w:t>
      </w:r>
      <w:r w:rsidRPr="009710B8">
        <w:rPr>
          <w:rFonts w:cs="Calibri"/>
          <w:color w:val="000000"/>
        </w:rPr>
        <w:t>a kapcsolt vállalkozások és a részesedések azonosításá</w:t>
      </w:r>
      <w:r>
        <w:rPr>
          <w:rFonts w:cs="Calibri"/>
          <w:color w:val="000000"/>
        </w:rPr>
        <w:t>t</w:t>
      </w:r>
      <w:r w:rsidRPr="009710B8">
        <w:rPr>
          <w:rFonts w:cs="Calibri"/>
          <w:color w:val="000000"/>
        </w:rPr>
        <w:t xml:space="preserve"> és kezelésé</w:t>
      </w:r>
      <w:r>
        <w:rPr>
          <w:rFonts w:cs="Calibri"/>
          <w:color w:val="000000"/>
        </w:rPr>
        <w:t>t</w:t>
      </w:r>
      <w:r w:rsidRPr="009710B8">
        <w:rPr>
          <w:rFonts w:cs="Calibri"/>
          <w:color w:val="000000"/>
        </w:rPr>
        <w:t xml:space="preserve">, </w:t>
      </w:r>
      <w:r>
        <w:rPr>
          <w:rFonts w:cs="Calibri"/>
          <w:color w:val="000000"/>
        </w:rPr>
        <w:t xml:space="preserve">amely képes biztosítani </w:t>
      </w:r>
      <w:r w:rsidRPr="009710B8">
        <w:rPr>
          <w:rFonts w:cs="Calibri"/>
          <w:color w:val="000000"/>
        </w:rPr>
        <w:t>a tagállamok megközelítésének egységességét</w:t>
      </w:r>
      <w:r>
        <w:rPr>
          <w:rFonts w:cs="Calibri"/>
          <w:color w:val="000000"/>
        </w:rPr>
        <w:t>. Az iránymutatás szempontjából</w:t>
      </w:r>
      <w:r w:rsidRPr="00FD7967">
        <w:t xml:space="preserve"> </w:t>
      </w:r>
      <w:r w:rsidRPr="00FD7967">
        <w:rPr>
          <w:rFonts w:cs="Calibri"/>
          <w:color w:val="000000"/>
        </w:rPr>
        <w:t>részesedő vállalkozás a saját szavatolótőke-megfelelési helyzetét kiszámító vállalkozás</w:t>
      </w:r>
      <w:r>
        <w:rPr>
          <w:rFonts w:cs="Calibri"/>
          <w:color w:val="000000"/>
        </w:rPr>
        <w:t>, és a</w:t>
      </w:r>
      <w:r w:rsidRPr="00FD7967">
        <w:rPr>
          <w:rFonts w:cs="Calibri"/>
          <w:color w:val="000000"/>
        </w:rPr>
        <w:t xml:space="preserve"> „kapcsolt vállalkozás” kifejezés az adott, rész</w:t>
      </w:r>
      <w:r w:rsidRPr="00FD7967">
        <w:rPr>
          <w:rFonts w:cs="Calibri"/>
          <w:color w:val="000000"/>
        </w:rPr>
        <w:t>e</w:t>
      </w:r>
      <w:r w:rsidRPr="00FD7967">
        <w:rPr>
          <w:rFonts w:cs="Calibri"/>
          <w:color w:val="000000"/>
        </w:rPr>
        <w:t>sedő vállalkozás bármely kapcsolt vállalkozására vonatkozik</w:t>
      </w:r>
      <w:r>
        <w:rPr>
          <w:rFonts w:cs="Calibri"/>
          <w:color w:val="000000"/>
        </w:rPr>
        <w:t>.</w:t>
      </w:r>
    </w:p>
    <w:p w:rsidR="00943FF0" w:rsidRDefault="00943FF0" w:rsidP="00943F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Az iránymutatások kierjednek </w:t>
      </w:r>
      <w:r w:rsidRPr="00FB169E">
        <w:rPr>
          <w:rFonts w:cs="Calibri"/>
          <w:color w:val="000000"/>
        </w:rPr>
        <w:t>minden kapcsolt vállalkozás kezelésé</w:t>
      </w:r>
      <w:r>
        <w:rPr>
          <w:rFonts w:cs="Calibri"/>
          <w:color w:val="000000"/>
        </w:rPr>
        <w:t>re</w:t>
      </w:r>
      <w:r w:rsidRPr="00FB169E">
        <w:rPr>
          <w:rFonts w:cs="Calibri"/>
          <w:color w:val="000000"/>
        </w:rPr>
        <w:t xml:space="preserve"> a szavatolótőke-szükséglet kiszámítás</w:t>
      </w:r>
      <w:r>
        <w:rPr>
          <w:rFonts w:cs="Calibri"/>
          <w:color w:val="000000"/>
        </w:rPr>
        <w:t>át illet</w:t>
      </w:r>
      <w:r>
        <w:rPr>
          <w:rFonts w:cs="Calibri"/>
          <w:color w:val="000000"/>
        </w:rPr>
        <w:t>ő</w:t>
      </w:r>
      <w:r>
        <w:rPr>
          <w:rFonts w:cs="Calibri"/>
          <w:color w:val="000000"/>
        </w:rPr>
        <w:t>en</w:t>
      </w:r>
      <w:r w:rsidRPr="00FB169E">
        <w:rPr>
          <w:rFonts w:cs="Calibri"/>
          <w:color w:val="000000"/>
        </w:rPr>
        <w:t xml:space="preserve">, </w:t>
      </w:r>
      <w:r>
        <w:rPr>
          <w:rFonts w:cs="Calibri"/>
          <w:color w:val="000000"/>
        </w:rPr>
        <w:t>valamint</w:t>
      </w:r>
      <w:r w:rsidRPr="00FB169E">
        <w:rPr>
          <w:rFonts w:cs="Calibri"/>
          <w:color w:val="000000"/>
        </w:rPr>
        <w:t xml:space="preserve"> útmutatást tartalmaznak a szavatoló tőke meghatározására </w:t>
      </w:r>
      <w:r>
        <w:rPr>
          <w:rFonts w:cs="Calibri"/>
          <w:color w:val="000000"/>
        </w:rPr>
        <w:t>egy</w:t>
      </w:r>
      <w:r w:rsidRPr="00FB169E">
        <w:rPr>
          <w:rFonts w:cs="Calibri"/>
          <w:color w:val="000000"/>
        </w:rPr>
        <w:t xml:space="preserve"> pénzügyi intézményben vagy hitelint</w:t>
      </w:r>
      <w:r w:rsidRPr="00FB169E">
        <w:rPr>
          <w:rFonts w:cs="Calibri"/>
          <w:color w:val="000000"/>
        </w:rPr>
        <w:t>é</w:t>
      </w:r>
      <w:r w:rsidRPr="00FB169E">
        <w:rPr>
          <w:rFonts w:cs="Calibri"/>
          <w:color w:val="000000"/>
        </w:rPr>
        <w:t>zetben fennálló részesedések esetében.</w:t>
      </w:r>
      <w:r>
        <w:rPr>
          <w:rFonts w:cs="Calibri"/>
          <w:color w:val="000000"/>
        </w:rPr>
        <w:t xml:space="preserve"> </w:t>
      </w:r>
    </w:p>
    <w:p w:rsidR="00943FF0" w:rsidRDefault="00943FF0" w:rsidP="00943F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Az ajánlás</w:t>
      </w:r>
      <w:r w:rsidRPr="00391497">
        <w:t xml:space="preserve"> </w:t>
      </w:r>
      <w:r w:rsidRPr="00391497">
        <w:rPr>
          <w:rFonts w:cs="Calibri"/>
          <w:color w:val="000000"/>
        </w:rPr>
        <w:t>holisztikus szemléletet követ</w:t>
      </w:r>
      <w:r>
        <w:rPr>
          <w:rFonts w:cs="Calibri"/>
          <w:color w:val="000000"/>
        </w:rPr>
        <w:t xml:space="preserve">. </w:t>
      </w:r>
    </w:p>
    <w:p w:rsidR="00943FF0" w:rsidRDefault="00943FF0" w:rsidP="00943F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Az iránymutatás struktúráját tekintve </w:t>
      </w:r>
    </w:p>
    <w:p w:rsidR="00943FF0" w:rsidRPr="004C700C" w:rsidRDefault="00943FF0" w:rsidP="00943FF0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4C700C">
        <w:rPr>
          <w:rFonts w:cs="Calibri"/>
          <w:color w:val="000000"/>
        </w:rPr>
        <w:t xml:space="preserve">először ismerteti a kapcsolt vállalkozások különböző típusainak azonosítását, ezen belül a részesedésekét, </w:t>
      </w:r>
    </w:p>
    <w:p w:rsidR="00943FF0" w:rsidRDefault="00943FF0" w:rsidP="00943FF0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4C700C">
        <w:rPr>
          <w:rFonts w:cs="Calibri"/>
          <w:color w:val="000000"/>
        </w:rPr>
        <w:t>a kapcsolt vállalkozások különböző típusainak, a pénzügyi intézményben vagy hitelintézetben fennálló r</w:t>
      </w:r>
      <w:r w:rsidRPr="004C700C">
        <w:rPr>
          <w:rFonts w:cs="Calibri"/>
          <w:color w:val="000000"/>
        </w:rPr>
        <w:t>é</w:t>
      </w:r>
      <w:r w:rsidRPr="004C700C">
        <w:rPr>
          <w:rFonts w:cs="Calibri"/>
          <w:color w:val="000000"/>
        </w:rPr>
        <w:t>szesedéseknek és stratégiai részesedéseknek a kezelése következik</w:t>
      </w:r>
      <w:r>
        <w:rPr>
          <w:rFonts w:cs="Calibri"/>
          <w:color w:val="000000"/>
        </w:rPr>
        <w:t>,*</w:t>
      </w:r>
    </w:p>
    <w:p w:rsidR="00943FF0" w:rsidRPr="004C700C" w:rsidRDefault="00943FF0" w:rsidP="00943FF0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és végül annak bemutatása, hogyan történik a kapcsolt vállalkozások kezelése a</w:t>
      </w:r>
      <w:r>
        <w:t xml:space="preserve"> </w:t>
      </w:r>
      <w:r w:rsidRPr="004C700C">
        <w:rPr>
          <w:rFonts w:cs="Calibri"/>
          <w:color w:val="000000"/>
        </w:rPr>
        <w:t>szavatolótőke-szükséglet k</w:t>
      </w:r>
      <w:r w:rsidRPr="004C700C">
        <w:rPr>
          <w:rFonts w:cs="Calibri"/>
          <w:color w:val="000000"/>
        </w:rPr>
        <w:t>i</w:t>
      </w:r>
      <w:r w:rsidRPr="004C700C">
        <w:rPr>
          <w:rFonts w:cs="Calibri"/>
          <w:color w:val="000000"/>
        </w:rPr>
        <w:t xml:space="preserve">számítására </w:t>
      </w:r>
      <w:r>
        <w:rPr>
          <w:rFonts w:cs="Calibri"/>
          <w:color w:val="000000"/>
        </w:rPr>
        <w:t>használt</w:t>
      </w:r>
      <w:r w:rsidRPr="004C700C">
        <w:rPr>
          <w:rFonts w:cs="Calibri"/>
          <w:color w:val="000000"/>
        </w:rPr>
        <w:t xml:space="preserve"> standard formulában </w:t>
      </w:r>
      <w:r>
        <w:rPr>
          <w:rFonts w:cs="Calibri"/>
          <w:color w:val="000000"/>
        </w:rPr>
        <w:t>vagy</w:t>
      </w:r>
      <w:r w:rsidRPr="004C700C">
        <w:rPr>
          <w:rFonts w:cs="Calibri"/>
          <w:color w:val="000000"/>
        </w:rPr>
        <w:t xml:space="preserve"> bel</w:t>
      </w:r>
      <w:r>
        <w:rPr>
          <w:rFonts w:cs="Calibri"/>
          <w:color w:val="000000"/>
        </w:rPr>
        <w:t>ső modell</w:t>
      </w:r>
      <w:r w:rsidRPr="004C700C">
        <w:rPr>
          <w:rFonts w:cs="Calibri"/>
          <w:color w:val="000000"/>
        </w:rPr>
        <w:t xml:space="preserve">ben. </w:t>
      </w:r>
    </w:p>
    <w:p w:rsidR="00943FF0" w:rsidRDefault="00943FF0" w:rsidP="00943F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:rsidR="00943FF0" w:rsidRDefault="00943FF0" w:rsidP="00943F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*</w:t>
      </w:r>
      <w:r w:rsidRPr="00D21F2D">
        <w:rPr>
          <w:rFonts w:cs="Calibri"/>
          <w:color w:val="000000"/>
        </w:rPr>
        <w:t>(A pénzügyi intézményben vagy hitelintézetben fennálló közvetett részesedésekre vonatkozóan további elemzésre és számításokra van szükség, a</w:t>
      </w:r>
      <w:r>
        <w:rPr>
          <w:rFonts w:cs="Calibri"/>
          <w:color w:val="000000"/>
        </w:rPr>
        <w:t>z iránymutatás</w:t>
      </w:r>
      <w:r w:rsidRPr="00D21F2D">
        <w:rPr>
          <w:rFonts w:cs="Calibri"/>
          <w:color w:val="000000"/>
        </w:rPr>
        <w:t xml:space="preserve"> 4. és 7. pont</w:t>
      </w:r>
      <w:r>
        <w:rPr>
          <w:rFonts w:cs="Calibri"/>
          <w:color w:val="000000"/>
        </w:rPr>
        <w:t>jai</w:t>
      </w:r>
      <w:r w:rsidRPr="00D21F2D">
        <w:rPr>
          <w:rFonts w:cs="Calibri"/>
          <w:color w:val="000000"/>
        </w:rPr>
        <w:t xml:space="preserve"> szerint. Egyes esetekben a részesedések kezelése me</w:t>
      </w:r>
      <w:r w:rsidRPr="00D21F2D">
        <w:rPr>
          <w:rFonts w:cs="Calibri"/>
          <w:color w:val="000000"/>
        </w:rPr>
        <w:t>g</w:t>
      </w:r>
      <w:r w:rsidRPr="00D21F2D">
        <w:rPr>
          <w:rFonts w:cs="Calibri"/>
          <w:color w:val="000000"/>
        </w:rPr>
        <w:t>egyezik azzal a kezeléssel, amely a standard formula részesedés hiányában történő alkalmazásából eredne.)</w:t>
      </w:r>
    </w:p>
    <w:p w:rsidR="00943FF0" w:rsidRDefault="00943FF0" w:rsidP="00943F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:rsidR="00943FF0" w:rsidRPr="007D2ABE" w:rsidRDefault="00943FF0" w:rsidP="00943F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BC0079">
        <w:rPr>
          <w:rFonts w:cs="Calibri"/>
          <w:color w:val="000000"/>
        </w:rPr>
        <w:t xml:space="preserve">Az </w:t>
      </w:r>
      <w:r>
        <w:rPr>
          <w:rFonts w:cs="Calibri"/>
          <w:color w:val="000000"/>
        </w:rPr>
        <w:t>ir</w:t>
      </w:r>
      <w:r w:rsidRPr="00BC0079">
        <w:rPr>
          <w:rFonts w:cs="Calibri"/>
          <w:color w:val="000000"/>
        </w:rPr>
        <w:t>án</w:t>
      </w:r>
      <w:r>
        <w:rPr>
          <w:rFonts w:cs="Calibri"/>
          <w:color w:val="000000"/>
        </w:rPr>
        <w:t>ymutat</w:t>
      </w:r>
      <w:r w:rsidRPr="00BC0079">
        <w:rPr>
          <w:rFonts w:cs="Calibri"/>
          <w:color w:val="000000"/>
        </w:rPr>
        <w:t>ásban a kapcsolt vállalkozások értékelése vagy értéke kapcsán a Rendelet 13. cikke az irányadó és a hivatkozási alap.</w:t>
      </w:r>
    </w:p>
    <w:p w:rsidR="00630D89" w:rsidRDefault="00943FF0" w:rsidP="00943F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043C2D">
        <w:rPr>
          <w:rFonts w:cs="Calibri"/>
          <w:color w:val="000000"/>
        </w:rPr>
        <w:t xml:space="preserve">Az </w:t>
      </w:r>
      <w:r w:rsidR="009C07E2">
        <w:rPr>
          <w:rFonts w:cs="Calibri"/>
          <w:color w:val="000000"/>
        </w:rPr>
        <w:t>ir</w:t>
      </w:r>
      <w:r w:rsidRPr="00043C2D">
        <w:rPr>
          <w:rFonts w:cs="Calibri"/>
          <w:color w:val="000000"/>
        </w:rPr>
        <w:t>án</w:t>
      </w:r>
      <w:r w:rsidR="009C07E2">
        <w:rPr>
          <w:rFonts w:cs="Calibri"/>
          <w:color w:val="000000"/>
        </w:rPr>
        <w:t>ymutat</w:t>
      </w:r>
      <w:r w:rsidRPr="00043C2D">
        <w:rPr>
          <w:rFonts w:cs="Calibri"/>
          <w:color w:val="000000"/>
        </w:rPr>
        <w:t>ások a kapcsolt vállalkozások, ezen belül részesedések egyedi szintű kezelésére vonatkoznak, a cs</w:t>
      </w:r>
      <w:r w:rsidRPr="00043C2D">
        <w:rPr>
          <w:rFonts w:cs="Calibri"/>
          <w:color w:val="000000"/>
        </w:rPr>
        <w:t>o</w:t>
      </w:r>
      <w:r w:rsidRPr="00043C2D">
        <w:rPr>
          <w:rFonts w:cs="Calibri"/>
          <w:color w:val="000000"/>
        </w:rPr>
        <w:t>portfelügyelet alá tartozó vállalkozások esetében is ugyan ezek az eljárások érvényesülnek. Kivételt képez, amikor a kapcsolt vállalkozás tevékenysége olyan, hogy a részesedő vállalkozás és a kapcsolt vállalkozás a Szolvencia II. 213. cikke – és a Bit. 327. § – szerint nem tartozik a csoportfelügyelet alá. További kivétel, amikor egy csoporton belül több jogalany rendelkezik szavazati joggal vagy tőkével egy vállalkozásban, melyek összességében elérik vagy megh</w:t>
      </w:r>
      <w:r w:rsidRPr="00043C2D">
        <w:rPr>
          <w:rFonts w:cs="Calibri"/>
          <w:color w:val="000000"/>
        </w:rPr>
        <w:t>a</w:t>
      </w:r>
      <w:r w:rsidRPr="00043C2D">
        <w:rPr>
          <w:rFonts w:cs="Calibri"/>
          <w:color w:val="000000"/>
        </w:rPr>
        <w:t>ladják az adott vállalkozás szavazati jogainak vagy tőkéjének 20%-át, így csoportszinten ez a vállalkozás kapcsolt vá</w:t>
      </w:r>
      <w:r w:rsidRPr="00043C2D">
        <w:rPr>
          <w:rFonts w:cs="Calibri"/>
          <w:color w:val="000000"/>
        </w:rPr>
        <w:t>l</w:t>
      </w:r>
      <w:r w:rsidRPr="00043C2D">
        <w:rPr>
          <w:rFonts w:cs="Calibri"/>
          <w:color w:val="000000"/>
        </w:rPr>
        <w:t>lalkozásként kerülne azonosításra. Ha azonban mindegyik, a csoporton belüli jogalany részesedése 20% alatt van, az adott vállalkozást a csoporton belül egyik jogalany sem azonosítaná kapcsolt vállalkozásként az egyes jogalanyok szintjén. Az erre vonatkozó előírásokat a Rendelet, valamint a</w:t>
      </w:r>
      <w:r>
        <w:rPr>
          <w:rFonts w:cs="Calibri"/>
          <w:color w:val="000000"/>
        </w:rPr>
        <w:t xml:space="preserve">z </w:t>
      </w:r>
      <w:r w:rsidRPr="00245C78">
        <w:rPr>
          <w:rFonts w:cs="Calibri"/>
          <w:color w:val="000000"/>
        </w:rPr>
        <w:t xml:space="preserve">„Iránymutatások a csoportszintű szavatolótőke-megfelelésről” </w:t>
      </w:r>
      <w:r w:rsidRPr="00043C2D">
        <w:rPr>
          <w:rFonts w:cs="Calibri"/>
          <w:color w:val="000000"/>
        </w:rPr>
        <w:t xml:space="preserve">EIOPA iránymutatás átvételét szolgáló, </w:t>
      </w:r>
      <w:r w:rsidRPr="00245C78">
        <w:rPr>
          <w:rFonts w:cs="Calibri"/>
          <w:color w:val="000000"/>
        </w:rPr>
        <w:t xml:space="preserve">a csoportszintű szavatolótőke-megfelelésre </w:t>
      </w:r>
      <w:r w:rsidRPr="00694159">
        <w:rPr>
          <w:rFonts w:cs="Calibri"/>
          <w:color w:val="000000"/>
        </w:rPr>
        <w:t xml:space="preserve">vonatkozó, </w:t>
      </w:r>
      <w:r w:rsidR="00694159" w:rsidRPr="00694159">
        <w:rPr>
          <w:rFonts w:cs="Calibri"/>
          <w:color w:val="000000"/>
        </w:rPr>
        <w:t>17/2015</w:t>
      </w:r>
      <w:r w:rsidRPr="00694159">
        <w:rPr>
          <w:rFonts w:cs="Calibri"/>
          <w:color w:val="000000"/>
        </w:rPr>
        <w:t xml:space="preserve"> (</w:t>
      </w:r>
      <w:r w:rsidR="00694159" w:rsidRPr="00694159">
        <w:rPr>
          <w:rFonts w:cs="Calibri"/>
          <w:color w:val="000000"/>
        </w:rPr>
        <w:t>XII.08.</w:t>
      </w:r>
      <w:r w:rsidRPr="00694159">
        <w:rPr>
          <w:rFonts w:cs="Calibri"/>
          <w:color w:val="000000"/>
        </w:rPr>
        <w:t>) MNB ajánlás tartalmazza.</w:t>
      </w:r>
      <w:r w:rsidR="00630D89">
        <w:rPr>
          <w:rFonts w:cs="Calibri"/>
          <w:color w:val="000000"/>
        </w:rPr>
        <w:t xml:space="preserve"> </w:t>
      </w:r>
    </w:p>
    <w:p w:rsidR="004A735D" w:rsidRDefault="004A735D" w:rsidP="004A735D"/>
    <w:p w:rsidR="004A735D" w:rsidRPr="00845252" w:rsidRDefault="004A735D" w:rsidP="004A735D">
      <w:pPr>
        <w:rPr>
          <w:b/>
        </w:rPr>
      </w:pPr>
      <w:r w:rsidRPr="00845252">
        <w:rPr>
          <w:b/>
        </w:rPr>
        <w:t>4. Iránymutatások a biztosítástechnikai tartalékok értékeléséhez</w:t>
      </w:r>
    </w:p>
    <w:p w:rsidR="005A2DAC" w:rsidRDefault="005A2DAC" w:rsidP="005A2DAC">
      <w:r>
        <w:t>A biztosítástechnikai tartalékok értékeléséről szóló iránymutatások célja az eltérő tevékenységi körű és piaci részar</w:t>
      </w:r>
      <w:r>
        <w:t>á</w:t>
      </w:r>
      <w:r>
        <w:t xml:space="preserve">nyú biztosítók </w:t>
      </w:r>
      <w:r w:rsidRPr="005A2DAC">
        <w:t>által folytatott szakmai gyakorlat egységességének és konvergenciájának növelése</w:t>
      </w:r>
      <w:r>
        <w:t>, és támogatás nyú</w:t>
      </w:r>
      <w:r>
        <w:t>j</w:t>
      </w:r>
      <w:r>
        <w:t>tása a</w:t>
      </w:r>
      <w:r w:rsidRPr="005A2DAC">
        <w:t xml:space="preserve"> biztosítástechnikai tartalékaik kiszámításához</w:t>
      </w:r>
      <w:r>
        <w:t>.</w:t>
      </w:r>
    </w:p>
    <w:p w:rsidR="005A2DAC" w:rsidRDefault="005A2DAC" w:rsidP="005A2DAC">
      <w:r>
        <w:lastRenderedPageBreak/>
        <w:t>A biztosítástechnikai tartaléko</w:t>
      </w:r>
      <w:r w:rsidRPr="005A2DAC">
        <w:t>k</w:t>
      </w:r>
      <w:r>
        <w:t xml:space="preserve"> számításához</w:t>
      </w:r>
      <w:r w:rsidR="00B169E6">
        <w:t xml:space="preserve"> kulcsfontosságú elem az értékeléshez használt feltevések meghatár</w:t>
      </w:r>
      <w:r w:rsidR="00B169E6">
        <w:t>o</w:t>
      </w:r>
      <w:r w:rsidR="00B169E6">
        <w:t>zása, különösen a belső modell esetében; a vonatkozó iránymutatási pontok ennek megfelelően a Rendelet 2. cikk</w:t>
      </w:r>
      <w:r w:rsidR="00B169E6">
        <w:t>é</w:t>
      </w:r>
      <w:r w:rsidR="00B169E6">
        <w:t>re figyelemmel kerültek kialakításra.</w:t>
      </w:r>
    </w:p>
    <w:p w:rsidR="00B169E6" w:rsidRDefault="00B169E6" w:rsidP="005A2DAC">
      <w:r>
        <w:t xml:space="preserve">Az iránymutatások alkalmazása az aktuárius feladatkörben eljárók számára nyújt segítséget a </w:t>
      </w:r>
      <w:r w:rsidRPr="00B169E6">
        <w:t>biztosítástechnikai tartalékok megbízható kiszámításá</w:t>
      </w:r>
      <w:r>
        <w:t>hoz, a kapcsolódó</w:t>
      </w:r>
      <w:r w:rsidRPr="00B169E6">
        <w:t xml:space="preserve"> koordi</w:t>
      </w:r>
      <w:r>
        <w:t xml:space="preserve">nációs és validálási feladatok elvégzéséhez. A biztosító vezetősége számára megfelelő eszköz ezen iránymutatások alkalmazásának elvárása az </w:t>
      </w:r>
      <w:proofErr w:type="spellStart"/>
      <w:r>
        <w:t>aktuárius</w:t>
      </w:r>
      <w:proofErr w:type="spellEnd"/>
      <w:r>
        <w:t xml:space="preserve"> feladatkört </w:t>
      </w:r>
      <w:proofErr w:type="gramStart"/>
      <w:r>
        <w:t>ell</w:t>
      </w:r>
      <w:r>
        <w:t>á</w:t>
      </w:r>
      <w:r>
        <w:t>tó(</w:t>
      </w:r>
      <w:proofErr w:type="gramEnd"/>
      <w:r>
        <w:t>k)</w:t>
      </w:r>
      <w:proofErr w:type="spellStart"/>
      <w:r w:rsidR="007A37BA">
        <w:t>tól</w:t>
      </w:r>
      <w:proofErr w:type="spellEnd"/>
      <w:r w:rsidR="007A37BA">
        <w:t xml:space="preserve">, figyelemmel a Rendelet </w:t>
      </w:r>
      <w:r w:rsidR="007A37BA" w:rsidRPr="007A37BA">
        <w:t>272. cikkében meghatározott követelmények</w:t>
      </w:r>
      <w:r w:rsidR="007A37BA">
        <w:t>re is.</w:t>
      </w:r>
    </w:p>
    <w:p w:rsidR="007A37BA" w:rsidRDefault="007A37BA" w:rsidP="005A2DAC">
      <w:r>
        <w:t>Az iránymutatás több szakaszból áll.</w:t>
      </w:r>
    </w:p>
    <w:p w:rsidR="007A37BA" w:rsidRDefault="007A37BA" w:rsidP="005A2DAC">
      <w:r w:rsidRPr="007A37BA">
        <w:t>1. szakasz</w:t>
      </w:r>
      <w:r>
        <w:t xml:space="preserve">: </w:t>
      </w:r>
      <w:r w:rsidRPr="007A37BA">
        <w:t>adatok minőségével kapcsolatos kérdések a biztosítástechnikai tartalékok számítása során</w:t>
      </w:r>
      <w:r>
        <w:t>, hiányosságok kezelése</w:t>
      </w:r>
      <w:r w:rsidR="0039474F">
        <w:t>;</w:t>
      </w:r>
    </w:p>
    <w:p w:rsidR="007A37BA" w:rsidRDefault="007A37BA" w:rsidP="005A2DAC">
      <w:r>
        <w:t xml:space="preserve">2. szakasz: </w:t>
      </w:r>
      <w:r w:rsidRPr="007A37BA">
        <w:t>szegmentálásra és szétválasztás</w:t>
      </w:r>
      <w:r>
        <w:t>, azaz a biztosítási és viszontbiztosítási kötelezettségek felosztásának mó</w:t>
      </w:r>
      <w:r>
        <w:t>d</w:t>
      </w:r>
      <w:r>
        <w:t>ja, a</w:t>
      </w:r>
      <w:r w:rsidRPr="007A37BA">
        <w:t xml:space="preserve"> biztosítástechnikai tartalékok pontos értékelése</w:t>
      </w:r>
      <w:r w:rsidR="0039474F">
        <w:t>;</w:t>
      </w:r>
    </w:p>
    <w:p w:rsidR="007A37BA" w:rsidRDefault="007A37BA" w:rsidP="005A2DAC">
      <w:r w:rsidRPr="007A37BA">
        <w:t>3. szakasz</w:t>
      </w:r>
      <w:r>
        <w:t xml:space="preserve">: a </w:t>
      </w:r>
      <w:r w:rsidRPr="007A37BA">
        <w:t>feltevésekre vonatkozó</w:t>
      </w:r>
      <w:r>
        <w:t xml:space="preserve"> elvárások a </w:t>
      </w:r>
      <w:r w:rsidRPr="007A37BA">
        <w:t xml:space="preserve">biztosítástechnikai tartalékok kiszámításához használt módszertanok </w:t>
      </w:r>
      <w:r>
        <w:t xml:space="preserve">(konkrét módszertani aspektusok) </w:t>
      </w:r>
      <w:r w:rsidRPr="007A37BA">
        <w:t>kiválasztásá</w:t>
      </w:r>
      <w:r>
        <w:t>ra, beleértve az arányosság elvét is</w:t>
      </w:r>
      <w:r w:rsidR="0039474F">
        <w:t>;</w:t>
      </w:r>
    </w:p>
    <w:p w:rsidR="005A2DAC" w:rsidRDefault="007A37BA" w:rsidP="005A2DAC">
      <w:r w:rsidRPr="007A37BA">
        <w:t>4. szakasz</w:t>
      </w:r>
      <w:r>
        <w:t xml:space="preserve">: a </w:t>
      </w:r>
      <w:r w:rsidRPr="007A37BA">
        <w:t>biztosítástechnikai tartalékok általánosságban történő kiszámítására vonatkoz</w:t>
      </w:r>
      <w:r>
        <w:t xml:space="preserve">ik, </w:t>
      </w:r>
      <w:proofErr w:type="gramStart"/>
      <w:r>
        <w:t>úgy</w:t>
      </w:r>
      <w:proofErr w:type="gramEnd"/>
      <w:r>
        <w:t xml:space="preserve"> mint</w:t>
      </w:r>
      <w:r w:rsidRPr="007A37BA">
        <w:t xml:space="preserve"> potenciális egyszerűsítési megközelítések</w:t>
      </w:r>
      <w:r>
        <w:t xml:space="preserve">, </w:t>
      </w:r>
      <w:r w:rsidRPr="007A37BA">
        <w:t>arányosság</w:t>
      </w:r>
      <w:r>
        <w:t xml:space="preserve"> elve, az eredmények használhatósága az </w:t>
      </w:r>
      <w:r w:rsidRPr="007A37BA">
        <w:t>adatminőség, a szegmentálás, a feltevések meghatározása és a validálás alátámasztásá</w:t>
      </w:r>
      <w:r>
        <w:t>ra</w:t>
      </w:r>
      <w:r w:rsidR="0039474F">
        <w:t xml:space="preserve"> - </w:t>
      </w:r>
      <w:r w:rsidR="0039474F" w:rsidRPr="0039474F">
        <w:t>zárt felsorolásként</w:t>
      </w:r>
      <w:r w:rsidR="0039474F">
        <w:t>;</w:t>
      </w:r>
    </w:p>
    <w:p w:rsidR="0039474F" w:rsidRDefault="0039474F" w:rsidP="005A2DAC">
      <w:r w:rsidRPr="0039474F">
        <w:t>5. szakasz</w:t>
      </w:r>
      <w:r>
        <w:t xml:space="preserve">: </w:t>
      </w:r>
      <w:r w:rsidRPr="0039474F">
        <w:t>validálási megközelítések és folyamatok típusai és kiválasztása, a validálás időzítése, mértéke és dok</w:t>
      </w:r>
      <w:r w:rsidRPr="0039474F">
        <w:t>u</w:t>
      </w:r>
      <w:r w:rsidRPr="0039474F">
        <w:t>mentálás</w:t>
      </w:r>
      <w:r>
        <w:t>a, valamint az</w:t>
      </w:r>
      <w:r w:rsidRPr="0039474F">
        <w:t xml:space="preserve"> ellenőrzések értékelés</w:t>
      </w:r>
      <w:r>
        <w:t>é</w:t>
      </w:r>
      <w:r w:rsidRPr="0039474F">
        <w:t>re összpontos</w:t>
      </w:r>
      <w:r>
        <w:t>ítás;</w:t>
      </w:r>
      <w:r w:rsidRPr="0039474F">
        <w:t xml:space="preserve"> </w:t>
      </w:r>
      <w:r>
        <w:t>az iránymutatás</w:t>
      </w:r>
      <w:r w:rsidRPr="0039474F">
        <w:t xml:space="preserve"> technikai melléklete</w:t>
      </w:r>
      <w:r>
        <w:t>i</w:t>
      </w:r>
      <w:r w:rsidRPr="0039474F">
        <w:t xml:space="preserve"> ismertetnek néhány standard validálási megközelítést, valamint javaslatokat tesznek arra vonatkozóan, hogy melyik alkalmazása mikor lehet megfelelő</w:t>
      </w:r>
      <w:r>
        <w:t>.</w:t>
      </w:r>
    </w:p>
    <w:p w:rsidR="005A2DAC" w:rsidRDefault="005A2DAC" w:rsidP="005A2DAC"/>
    <w:p w:rsidR="004A735D" w:rsidRPr="00845252" w:rsidRDefault="004A735D" w:rsidP="004A735D">
      <w:pPr>
        <w:rPr>
          <w:b/>
        </w:rPr>
      </w:pPr>
      <w:r w:rsidRPr="00845252">
        <w:rPr>
          <w:b/>
        </w:rPr>
        <w:t>5. Módszertani iránymutatások a nemzeti felügyeleti hatóságok számára a Szolvencia II irányelv szerinti egyené</w:t>
      </w:r>
      <w:r w:rsidRPr="00845252">
        <w:rPr>
          <w:b/>
        </w:rPr>
        <w:t>r</w:t>
      </w:r>
      <w:r w:rsidRPr="00845252">
        <w:rPr>
          <w:b/>
        </w:rPr>
        <w:t>tékűség értékeléséhez</w:t>
      </w:r>
    </w:p>
    <w:p w:rsidR="009B3866" w:rsidRDefault="00D0360C" w:rsidP="009B3866">
      <w:r>
        <w:t>Az ir</w:t>
      </w:r>
      <w:r w:rsidRPr="00D0360C">
        <w:t>ánymutatások</w:t>
      </w:r>
      <w:r>
        <w:t xml:space="preserve"> a </w:t>
      </w:r>
      <w:r w:rsidR="009B3866">
        <w:t>Szolvencia II irányelv harmadik országok felügyeleti rendszerei egyenértékűségének értékelés</w:t>
      </w:r>
      <w:r w:rsidR="009B3866">
        <w:t>é</w:t>
      </w:r>
      <w:r w:rsidR="009B3866">
        <w:t>re vonatkozó 227. és 260. cikkének továbbfejlesztését cél</w:t>
      </w:r>
      <w:r>
        <w:t>o</w:t>
      </w:r>
      <w:r w:rsidR="009B3866">
        <w:t>z</w:t>
      </w:r>
      <w:r>
        <w:t>za</w:t>
      </w:r>
      <w:r w:rsidR="00862D85">
        <w:t>: a</w:t>
      </w:r>
      <w:r w:rsidRPr="00D0360C">
        <w:t xml:space="preserve"> csoportfelügyeleti és a megbízott csoportfelügyeleti hatóságok a Szolvencia II irányelv végrehajtási intézkedéseiben rögzített egyenértékűségi kritériumok alapján köve</w:t>
      </w:r>
      <w:r w:rsidRPr="00D0360C">
        <w:t>t</w:t>
      </w:r>
      <w:r w:rsidRPr="00D0360C">
        <w:t>kezetes módszert alkalmazzanak</w:t>
      </w:r>
      <w:r>
        <w:t>.</w:t>
      </w:r>
      <w:r w:rsidRPr="00D0360C">
        <w:t xml:space="preserve"> </w:t>
      </w:r>
      <w:r>
        <w:t xml:space="preserve">Ezzel </w:t>
      </w:r>
      <w:r w:rsidRPr="00D0360C">
        <w:t>csökkenthető annak kockázata, hogy a különböző csoportfelügyeleti és me</w:t>
      </w:r>
      <w:r w:rsidRPr="00D0360C">
        <w:t>g</w:t>
      </w:r>
      <w:r w:rsidRPr="00D0360C">
        <w:t>bízott csoportfelügyeleti hatóságok ugyanarról a harmadik országbeli rendszerről az értékelés eltérő módszerei miatt eltérő határozatokat hozzanak. Ha ezután az Európai Bizottság az egyenértékűségről határozatot hoz, ez a döntés a csoportfelügyeleti vagy a megbízott csoportfelügyeleti hatóság által hozott korábbi határozat helyébe lép</w:t>
      </w:r>
      <w:r>
        <w:t>.</w:t>
      </w:r>
    </w:p>
    <w:p w:rsidR="00BD7BF4" w:rsidRDefault="00BD7BF4" w:rsidP="00BD7BF4">
      <w:r>
        <w:t>A Szolvencia II irányelv megállapítja, hogy a jövőben adódhat olyan helyzet, amikor adott harmadik ország felügyeleti rendszerének egyenértékűségét illetően az Európai Bizottság még nem fogadott határozatot, és ilyenkor a Szolvencia II irányelv 227. cikkének (2) bekezdése alapján a csoport szavatolótőke-megfelelési számításaihoz saját hatáskörében eljárva vagy valamelyik részesedéssel rendelkező vállalkozás kérésére</w:t>
      </w:r>
      <w:r w:rsidR="00F73694">
        <w:t>,</w:t>
      </w:r>
      <w:r>
        <w:t xml:space="preserve"> a csoportfelügyeleti hatóság igazolja a harm</w:t>
      </w:r>
      <w:r>
        <w:t>a</w:t>
      </w:r>
      <w:r>
        <w:t>dik ország felügyeleti rendszerének egyenértékűségét.</w:t>
      </w:r>
    </w:p>
    <w:p w:rsidR="00F73694" w:rsidRDefault="00BD7BF4" w:rsidP="00BD7BF4">
      <w:r>
        <w:t xml:space="preserve">A Szolvencia II irányelv 260. cikkének (1) bekezdése </w:t>
      </w:r>
      <w:r w:rsidR="00F73694">
        <w:t>az előzőekkel összhangban szintén azt írja elő</w:t>
      </w:r>
      <w:r>
        <w:t>, hogy amennyiben az</w:t>
      </w:r>
      <w:r w:rsidR="00F73694">
        <w:t xml:space="preserve"> Európai</w:t>
      </w:r>
      <w:r>
        <w:t xml:space="preserve"> Bizottság még nem fogadott el határozatot, az EU</w:t>
      </w:r>
      <w:r w:rsidR="00F73694">
        <w:t xml:space="preserve"> tagállami</w:t>
      </w:r>
      <w:r>
        <w:t xml:space="preserve"> felügyeleti hatóságának kell ellenőriznie, hogy a harmadik országban folytatott felügyelet egyenértékű-e a Szolvencia II irányelv</w:t>
      </w:r>
      <w:r w:rsidR="00F73694">
        <w:t xml:space="preserve"> rendelkezéseivel,</w:t>
      </w:r>
      <w:r>
        <w:t xml:space="preserve"> </w:t>
      </w:r>
      <w:r w:rsidR="00F73694">
        <w:t>figyelemmel a</w:t>
      </w:r>
      <w:r>
        <w:t xml:space="preserve"> 247. cikk (2) bekezdése kritériumainak alkalmazás</w:t>
      </w:r>
      <w:r w:rsidR="00F73694">
        <w:t>án</w:t>
      </w:r>
      <w:r>
        <w:t>a</w:t>
      </w:r>
      <w:r w:rsidR="00F73694">
        <w:t>k</w:t>
      </w:r>
      <w:r>
        <w:t xml:space="preserve"> eseté</w:t>
      </w:r>
      <w:r w:rsidR="00F73694">
        <w:t>re, ahol</w:t>
      </w:r>
      <w:r>
        <w:t xml:space="preserve"> e feladatot a csoportfelügyeleti hatóság (megb</w:t>
      </w:r>
      <w:r>
        <w:t>í</w:t>
      </w:r>
      <w:r>
        <w:t xml:space="preserve">zott csoportfelügyeleti hatóság) látja el. </w:t>
      </w:r>
    </w:p>
    <w:p w:rsidR="00E00786" w:rsidRDefault="00E00786" w:rsidP="00BD7BF4">
      <w:r w:rsidRPr="00E00786">
        <w:t>A Rendelet 379. és 380. cikke ismerteti azokat a kritériumokat, amelyeket a harmadik országok felügyeleti rendszer</w:t>
      </w:r>
      <w:r w:rsidRPr="00E00786">
        <w:t>e</w:t>
      </w:r>
      <w:r w:rsidRPr="00E00786">
        <w:t>ire vonatkozóan a Szolvencia II irányelv 227. és 260. cikkében előírt egyenértékűség értékelés során alkalmazni kell.</w:t>
      </w:r>
    </w:p>
    <w:p w:rsidR="00744C4F" w:rsidRDefault="00E00786" w:rsidP="00BD7BF4">
      <w:r>
        <w:lastRenderedPageBreak/>
        <w:t>Az</w:t>
      </w:r>
      <w:r w:rsidR="00BD7BF4">
        <w:t xml:space="preserve"> iránymutatások az egyenértékűség telje</w:t>
      </w:r>
      <w:r>
        <w:t xml:space="preserve">s körű értékelésére vonatkoznak, továbbá az </w:t>
      </w:r>
      <w:r w:rsidR="00BD7BF4">
        <w:t>iránymutatások alkalmaz</w:t>
      </w:r>
      <w:r w:rsidR="00BD7BF4">
        <w:t>á</w:t>
      </w:r>
      <w:r w:rsidR="00BD7BF4">
        <w:t>sában az érintett nemzeti felügyeleti hatóságok a Szolvencia II keretrendszerben működő (viszont</w:t>
      </w:r>
      <w:proofErr w:type="gramStart"/>
      <w:r w:rsidR="00BD7BF4">
        <w:t>)biztosító</w:t>
      </w:r>
      <w:proofErr w:type="gramEnd"/>
      <w:r w:rsidR="00BD7BF4">
        <w:t xml:space="preserve"> társas</w:t>
      </w:r>
      <w:r w:rsidR="00BD7BF4">
        <w:t>á</w:t>
      </w:r>
      <w:r w:rsidR="00BD7BF4">
        <w:t>gok felügyelete tárgyában illetékes összes nemzeti felügyeleti hatóságot jelentik.</w:t>
      </w:r>
      <w:r w:rsidR="00744C4F" w:rsidRPr="00744C4F">
        <w:t xml:space="preserve"> </w:t>
      </w:r>
    </w:p>
    <w:p w:rsidR="00BD7BF4" w:rsidRDefault="00744C4F" w:rsidP="00BD7BF4">
      <w:r>
        <w:t>Hazai viszonylatban a</w:t>
      </w:r>
      <w:r w:rsidRPr="00744C4F">
        <w:t>z iránymutatás címzettje a felügyeleti hatósági jogkörben eljáró MNB</w:t>
      </w:r>
      <w:r w:rsidR="00B90420">
        <w:t>; a belső eljárásrend a kollégiumok létrehozásáról és működtetéséről szóló 2015-220. számú MNB alelnöki utasításban jelenik meg</w:t>
      </w:r>
      <w:r w:rsidRPr="00744C4F">
        <w:t>.</w:t>
      </w:r>
    </w:p>
    <w:p w:rsidR="009B3866" w:rsidRDefault="009B3866" w:rsidP="004429BD">
      <w:pPr>
        <w:rPr>
          <w:u w:val="single"/>
        </w:rPr>
      </w:pPr>
    </w:p>
    <w:p w:rsidR="0018559A" w:rsidRPr="005B7259" w:rsidRDefault="005B7259" w:rsidP="004429BD">
      <w:pPr>
        <w:rPr>
          <w:u w:val="single"/>
        </w:rPr>
      </w:pPr>
      <w:r w:rsidRPr="005B7259">
        <w:rPr>
          <w:u w:val="single"/>
        </w:rPr>
        <w:t>2. Csomag</w:t>
      </w:r>
    </w:p>
    <w:p w:rsidR="00140FC2" w:rsidRDefault="004429BD" w:rsidP="0018619A">
      <w:pPr>
        <w:rPr>
          <w:b/>
        </w:rPr>
      </w:pPr>
      <w:r>
        <w:rPr>
          <w:b/>
        </w:rPr>
        <w:t xml:space="preserve">1. </w:t>
      </w:r>
      <w:r w:rsidR="00D6731B" w:rsidRPr="00D6731B">
        <w:rPr>
          <w:b/>
        </w:rPr>
        <w:t>Iránymutatások a pénzügyi stabilitási célokra történő jelentéstételről</w:t>
      </w:r>
    </w:p>
    <w:p w:rsidR="00D6731B" w:rsidRDefault="00D6731B" w:rsidP="00D6731B">
      <w:r>
        <w:t>Az iránymutatás</w:t>
      </w:r>
      <w:r w:rsidR="00BC4BEC">
        <w:t xml:space="preserve"> hatálya</w:t>
      </w:r>
      <w:r>
        <w:t xml:space="preserve"> az egyes biztosítókra és viszontbiztosítókra, a harmadik országok biztosítói fióktelepeire, a részesedéssel rendelkező biztosítókra és viszontbiztosítókra, a biztosítói holdingtársaságokra és a vegyes pénzügyi holdingtársaságokra </w:t>
      </w:r>
      <w:r w:rsidR="00BC4BEC">
        <w:t>terjed ki</w:t>
      </w:r>
      <w:r>
        <w:t>.</w:t>
      </w:r>
    </w:p>
    <w:p w:rsidR="00D6731B" w:rsidRDefault="00D6731B" w:rsidP="00D6731B">
      <w:r>
        <w:t>Az iránymutatások</w:t>
      </w:r>
      <w:r w:rsidR="00BC4BEC">
        <w:t xml:space="preserve"> célja,</w:t>
      </w:r>
      <w:r>
        <w:t xml:space="preserve"> hogy biztosítsa az egységes és következetes szemléletet a pénzügyi stabilitási célokra tört</w:t>
      </w:r>
      <w:r>
        <w:t>é</w:t>
      </w:r>
      <w:r>
        <w:t>nő adatgyűjtés terén, és útmutatást nyújtson a nemzeti felügyeleti hatóságoknak az EIOPA által az EIOPA-rendelet 35. cikkével összhangban előírt adatok összegyűjtéséhez.</w:t>
      </w:r>
    </w:p>
    <w:p w:rsidR="00D6731B" w:rsidRDefault="00D6731B" w:rsidP="00D6731B">
      <w:r>
        <w:t>Az iránymutatásokban ismertetett adatok</w:t>
      </w:r>
      <w:r w:rsidR="00BC4BEC">
        <w:t>r</w:t>
      </w:r>
      <w:r>
        <w:t>a az EIOPA-rendelet 8</w:t>
      </w:r>
      <w:proofErr w:type="gramStart"/>
      <w:r>
        <w:t>.,</w:t>
      </w:r>
      <w:proofErr w:type="gramEnd"/>
      <w:r>
        <w:t xml:space="preserve"> 32. és 36. cikke szerinti feladat</w:t>
      </w:r>
      <w:r w:rsidR="00BC4BEC">
        <w:t>ok</w:t>
      </w:r>
      <w:r>
        <w:t xml:space="preserve"> ellátásához </w:t>
      </w:r>
      <w:r w:rsidR="00BC4BEC">
        <w:t xml:space="preserve">van szükség; ezek: </w:t>
      </w:r>
      <w:r w:rsidR="00BC4BEC" w:rsidRPr="00BC4BEC">
        <w:t xml:space="preserve">a piaci fejlemények </w:t>
      </w:r>
      <w:r>
        <w:t>figyelemmel köve</w:t>
      </w:r>
      <w:r w:rsidR="00760F82">
        <w:t>té</w:t>
      </w:r>
      <w:r>
        <w:t>se és értékel</w:t>
      </w:r>
      <w:r w:rsidR="00BC4BEC">
        <w:t>és</w:t>
      </w:r>
      <w:r>
        <w:t xml:space="preserve">e, </w:t>
      </w:r>
      <w:r w:rsidR="00BC4BEC" w:rsidRPr="00BC4BEC">
        <w:t>a többi európai felügyeleti hatóság</w:t>
      </w:r>
      <w:r>
        <w:t>, az Eur</w:t>
      </w:r>
      <w:r>
        <w:t>ó</w:t>
      </w:r>
      <w:r>
        <w:t xml:space="preserve">pai Rendszerkockázati Testület (ESRB), az Európai Parlament, a Tanács és a Bizottság </w:t>
      </w:r>
      <w:r w:rsidR="00BC4BEC" w:rsidRPr="00BC4BEC">
        <w:t xml:space="preserve">tájékoztatása </w:t>
      </w:r>
      <w:r w:rsidR="00BC4BEC">
        <w:t>a meghatározó</w:t>
      </w:r>
      <w:r>
        <w:t xml:space="preserve"> tendenciákról, potenciális kockázatokról és sérülékeny pontokról. </w:t>
      </w:r>
      <w:r w:rsidR="00760F82">
        <w:t>(</w:t>
      </w:r>
      <w:r w:rsidR="00760F82" w:rsidRPr="00760F82">
        <w:rPr>
          <w:i/>
        </w:rPr>
        <w:t>Az információk makroprudenciális elemzés céljára kerülnek felhasználásra</w:t>
      </w:r>
      <w:r w:rsidR="00760F82" w:rsidRPr="00760F82">
        <w:t>.</w:t>
      </w:r>
      <w:r w:rsidR="00760F82">
        <w:t xml:space="preserve">) </w:t>
      </w:r>
      <w:r>
        <w:t>Emellett az EIOPA</w:t>
      </w:r>
      <w:r w:rsidR="00BC4BEC">
        <w:t>-nak</w:t>
      </w:r>
      <w:r>
        <w:t xml:space="preserve"> </w:t>
      </w:r>
      <w:r w:rsidR="00BC4BEC">
        <w:t>lehetősége nyílik arra</w:t>
      </w:r>
      <w:r>
        <w:t xml:space="preserve">, hogy rendszeresen ellássa az </w:t>
      </w:r>
      <w:r w:rsidR="00CE6F8C">
        <w:t>Európai Ren</w:t>
      </w:r>
      <w:r w:rsidR="00CE6F8C">
        <w:t>d</w:t>
      </w:r>
      <w:r w:rsidR="00CE6F8C">
        <w:t>szerkockázati Testületet (</w:t>
      </w:r>
      <w:r>
        <w:t>ERKT</w:t>
      </w:r>
      <w:r w:rsidR="00CE6F8C">
        <w:t>)</w:t>
      </w:r>
      <w:r>
        <w:t xml:space="preserve"> a feladatai teljesítéséhez szükséges időszerű információkkal.</w:t>
      </w:r>
    </w:p>
    <w:p w:rsidR="00760F82" w:rsidRDefault="00760F82" w:rsidP="00D6731B">
      <w:r>
        <w:t>Fel kell hívni a figyelmet arra, hogy a</w:t>
      </w:r>
      <w:r w:rsidR="00D6731B">
        <w:t xml:space="preserve"> Szolvencia II irányelv 35. cikkének (6) és (7) bekezdése értelmében a nemzeti felügyeleti hatóságok könnyíthetnek a rendszeres, negyedéves felügyeleti jelentéstétel követelményein, és egyes vállalkozásokat mentesíthetnek a tételes jelentés készítése alól, amennyiben ezen információk benyújtása túlzott terhet jelentene a vállalkozás üzleti tevékenységében rejlő kockázatok jellegéhez, nagyságához és összetettségéhez képest</w:t>
      </w:r>
      <w:r>
        <w:t xml:space="preserve"> (arányosság elve)</w:t>
      </w:r>
      <w:r w:rsidR="00D6731B">
        <w:t xml:space="preserve">. </w:t>
      </w:r>
      <w:r>
        <w:t>A jelentéstételi követelmény alól a mentesítéshez irányadó</w:t>
      </w:r>
      <w:r w:rsidRPr="00760F82">
        <w:t xml:space="preserve"> a 2. iránymutatás 1.19 pont</w:t>
      </w:r>
      <w:r>
        <w:t>ja.</w:t>
      </w:r>
    </w:p>
    <w:p w:rsidR="00760F82" w:rsidRDefault="00760F82" w:rsidP="00D6731B">
      <w:r>
        <w:t>A</w:t>
      </w:r>
      <w:r w:rsidRPr="00760F82">
        <w:t xml:space="preserve"> </w:t>
      </w:r>
      <w:r>
        <w:t>Szolvencia II irányelv 35. cikkére alapozott</w:t>
      </w:r>
      <w:r w:rsidR="00805B42">
        <w:t xml:space="preserve"> felügyeleti jelentés alól mentesítést kizárólag</w:t>
      </w:r>
      <w:r w:rsidR="00805B42" w:rsidRPr="00805B42">
        <w:t xml:space="preserve"> az adott tagállam életbi</w:t>
      </w:r>
      <w:r w:rsidR="00805B42" w:rsidRPr="00805B42">
        <w:t>z</w:t>
      </w:r>
      <w:r w:rsidR="00805B42" w:rsidRPr="00805B42">
        <w:t xml:space="preserve">tosítási, illetve nem-életbiztosítási piacának 20%-át meg nem haladó </w:t>
      </w:r>
      <w:r w:rsidR="00805B42">
        <w:t>bi</w:t>
      </w:r>
      <w:r w:rsidR="00805B42" w:rsidRPr="00805B42">
        <w:t>z</w:t>
      </w:r>
      <w:r w:rsidR="00805B42">
        <w:t>t</w:t>
      </w:r>
      <w:r w:rsidR="00805B42" w:rsidRPr="00805B42">
        <w:t>o</w:t>
      </w:r>
      <w:r w:rsidR="00805B42">
        <w:t>sító</w:t>
      </w:r>
      <w:r w:rsidR="00805B42" w:rsidRPr="00805B42">
        <w:t xml:space="preserve">k </w:t>
      </w:r>
      <w:r w:rsidR="00805B42">
        <w:t>ese</w:t>
      </w:r>
      <w:r w:rsidR="00805B42" w:rsidRPr="00805B42">
        <w:t>té</w:t>
      </w:r>
      <w:r w:rsidR="00805B42">
        <w:t>ben</w:t>
      </w:r>
      <w:r w:rsidR="00805B42" w:rsidRPr="00805B42">
        <w:t xml:space="preserve"> lehet</w:t>
      </w:r>
      <w:r w:rsidR="00805B42">
        <w:t>s</w:t>
      </w:r>
      <w:r w:rsidR="00805B42" w:rsidRPr="00805B42">
        <w:t>é</w:t>
      </w:r>
      <w:r w:rsidR="00805B42">
        <w:t xml:space="preserve">ges; ez azonban nem járhat azzal, hogy a </w:t>
      </w:r>
      <w:proofErr w:type="gramStart"/>
      <w:r w:rsidR="00805B42">
        <w:t>mentesítés</w:t>
      </w:r>
      <w:proofErr w:type="gramEnd"/>
      <w:r w:rsidR="00805B42">
        <w:t xml:space="preserve"> gyengíti</w:t>
      </w:r>
      <w:r w:rsidR="00805B42" w:rsidRPr="00805B42">
        <w:t xml:space="preserve"> az érintett pénzügyi rendszerek stabilitását az Európai Unióban</w:t>
      </w:r>
      <w:r w:rsidR="00805B42">
        <w:t>.</w:t>
      </w:r>
    </w:p>
    <w:p w:rsidR="00D6731B" w:rsidRDefault="00805B42" w:rsidP="00D6731B">
      <w:r>
        <w:t xml:space="preserve">Az </w:t>
      </w:r>
      <w:r w:rsidR="00D6731B">
        <w:t>iránymutatás</w:t>
      </w:r>
      <w:r>
        <w:t xml:space="preserve"> 7.</w:t>
      </w:r>
      <w:r w:rsidR="00D6731B">
        <w:t xml:space="preserve"> és a 8. </w:t>
      </w:r>
      <w:r>
        <w:t>pont</w:t>
      </w:r>
      <w:r w:rsidR="00D10522">
        <w:t>j</w:t>
      </w:r>
      <w:r w:rsidR="00D6731B">
        <w:t>a</w:t>
      </w:r>
      <w:r w:rsidR="00D10522">
        <w:t xml:space="preserve"> egy ún. „maximális</w:t>
      </w:r>
      <w:r w:rsidR="00D6731B">
        <w:t xml:space="preserve"> </w:t>
      </w:r>
      <w:r w:rsidR="00D10522" w:rsidRPr="00D10522">
        <w:t>erőfeszítés</w:t>
      </w:r>
      <w:r w:rsidR="00D10522">
        <w:t>”</w:t>
      </w:r>
      <w:proofErr w:type="spellStart"/>
      <w:r w:rsidR="00D10522">
        <w:t>-</w:t>
      </w:r>
      <w:r w:rsidR="00D10522" w:rsidRPr="00D10522">
        <w:t>re</w:t>
      </w:r>
      <w:proofErr w:type="spellEnd"/>
      <w:r w:rsidR="00D10522" w:rsidRPr="00D10522">
        <w:t xml:space="preserve"> vonatkozó elv</w:t>
      </w:r>
      <w:r w:rsidR="00D10522">
        <w:t>et</w:t>
      </w:r>
      <w:r w:rsidR="00D10522" w:rsidRPr="00D10522">
        <w:t xml:space="preserve"> </w:t>
      </w:r>
      <w:r w:rsidR="00D6731B">
        <w:t>határoz</w:t>
      </w:r>
      <w:r w:rsidR="00D10522">
        <w:t xml:space="preserve"> meg</w:t>
      </w:r>
      <w:r w:rsidR="00D6731B">
        <w:t xml:space="preserve">, </w:t>
      </w:r>
      <w:r w:rsidR="00D10522">
        <w:t>ennek</w:t>
      </w:r>
      <w:r w:rsidR="00D6731B">
        <w:t xml:space="preserve"> célja, hogy segítséget nyújtson a biztosítóknak és viszontbiztosítóknak, a harmadik országok biztosítói fióktelepeinek, a részes</w:t>
      </w:r>
      <w:r w:rsidR="00D6731B">
        <w:t>e</w:t>
      </w:r>
      <w:r w:rsidR="00D6731B">
        <w:t>déssel rendelkező biztosítóknak és viszontbiztosítóknak, a biztosítói holdingtársaságoknak és a vegyes pénzügyi ho</w:t>
      </w:r>
      <w:r w:rsidR="00D6731B">
        <w:t>l</w:t>
      </w:r>
      <w:r w:rsidR="00D6731B">
        <w:t>dingtársaságoknak a makroprudenciális célokra elegendőnek ítélt pontossági szint biztosításához</w:t>
      </w:r>
      <w:r>
        <w:t>. Ez a pontossági szintnek</w:t>
      </w:r>
      <w:r w:rsidR="00D6731B">
        <w:t xml:space="preserve"> egyensúlyban </w:t>
      </w:r>
      <w:r>
        <w:t>kell lennie</w:t>
      </w:r>
      <w:r w:rsidR="00D6731B">
        <w:t xml:space="preserve"> a </w:t>
      </w:r>
      <w:r>
        <w:t>biztosítónak</w:t>
      </w:r>
      <w:r w:rsidR="00D6731B">
        <w:t xml:space="preserve"> </w:t>
      </w:r>
      <w:r>
        <w:t>az</w:t>
      </w:r>
      <w:r w:rsidR="00D6731B">
        <w:t xml:space="preserve"> információk benyújtásához elvégzendő munk</w:t>
      </w:r>
      <w:r>
        <w:t>ar</w:t>
      </w:r>
      <w:r w:rsidR="00D6731B">
        <w:t>á</w:t>
      </w:r>
      <w:r>
        <w:t>fordításáv</w:t>
      </w:r>
      <w:r w:rsidR="00D6731B">
        <w:t xml:space="preserve">al, továbbá </w:t>
      </w:r>
      <w:r>
        <w:t>kielégítő</w:t>
      </w:r>
      <w:r w:rsidR="00D6731B">
        <w:t xml:space="preserve"> jogi </w:t>
      </w:r>
      <w:r w:rsidR="00D10522">
        <w:t>alap</w:t>
      </w:r>
      <w:r w:rsidR="00D6731B">
        <w:t xml:space="preserve">ot nyújtson a </w:t>
      </w:r>
      <w:r w:rsidR="00D10522">
        <w:t>bi</w:t>
      </w:r>
      <w:r w:rsidR="00D6731B">
        <w:t>z</w:t>
      </w:r>
      <w:r w:rsidR="00D10522">
        <w:t>tosító</w:t>
      </w:r>
      <w:r w:rsidR="00D6731B">
        <w:t>knak az információ tartalmára vonatkozóan.</w:t>
      </w:r>
    </w:p>
    <w:p w:rsidR="002136F9" w:rsidRDefault="002136F9" w:rsidP="00D6731B">
      <w:r>
        <w:t>A felügyelt intézmények túlzott terheinek elkerülése érdekében</w:t>
      </w:r>
      <w:r w:rsidR="00F55092">
        <w:t xml:space="preserve"> </w:t>
      </w:r>
      <w:r>
        <w:t>a negyedéves felügyeleti jelentés a szavatolótőke-szükségletre vonatkozó teljes számítás előírása helyett az összes szavatolótőke-szükséglet alakulását csak a mag</w:t>
      </w:r>
      <w:r>
        <w:t>a</w:t>
      </w:r>
      <w:r>
        <w:t xml:space="preserve">sabb volatilitású SCR-modulok </w:t>
      </w:r>
      <w:r w:rsidR="00F55092">
        <w:t xml:space="preserve">(pl. </w:t>
      </w:r>
      <w:r w:rsidR="00F55092" w:rsidRPr="00F55092">
        <w:t>piaci kockázati modul</w:t>
      </w:r>
      <w:r w:rsidR="00F55092">
        <w:t>)</w:t>
      </w:r>
      <w:r w:rsidR="00F55092" w:rsidRPr="00F55092">
        <w:t xml:space="preserve"> </w:t>
      </w:r>
      <w:r>
        <w:t>újbóli kiszámításával közelíti</w:t>
      </w:r>
      <w:r w:rsidR="00F55092">
        <w:t xml:space="preserve"> (9. iránymutatási pont)</w:t>
      </w:r>
      <w:r>
        <w:t>.</w:t>
      </w:r>
      <w:r w:rsidR="00F55092">
        <w:t xml:space="preserve"> Ezt alátámasztja az is, hogy az SCR-modulok többsége kellően stabilnak tekinthető ahhoz, hogy az éves számadatokból </w:t>
      </w:r>
      <w:r w:rsidR="00F55092" w:rsidRPr="00F55092">
        <w:t>történő extrapoláció elfogadható legyen, kivéve, ha különleges körülmények a Szolvencia II irányelv szerinti újbóli kiszámítást tesznek szükségessé</w:t>
      </w:r>
      <w:r w:rsidR="00E12CE3">
        <w:t>.</w:t>
      </w:r>
    </w:p>
    <w:p w:rsidR="00791E4D" w:rsidRDefault="00791E4D" w:rsidP="0018619A">
      <w:pPr>
        <w:rPr>
          <w:b/>
        </w:rPr>
      </w:pPr>
    </w:p>
    <w:p w:rsidR="00140FC2" w:rsidRDefault="004429BD" w:rsidP="0018619A">
      <w:pPr>
        <w:rPr>
          <w:b/>
        </w:rPr>
      </w:pPr>
      <w:r>
        <w:rPr>
          <w:b/>
        </w:rPr>
        <w:t xml:space="preserve">2. </w:t>
      </w:r>
      <w:r w:rsidR="00140FC2" w:rsidRPr="00140FC2">
        <w:rPr>
          <w:b/>
        </w:rPr>
        <w:t>Iránymutatások a helyreállításhoz rendelkezésre álló időszak kivételesen kedvezőtlen helyzetekben történő meghosszabbításáról</w:t>
      </w:r>
    </w:p>
    <w:p w:rsidR="00B2400A" w:rsidRDefault="00B2400A" w:rsidP="00140FC2">
      <w:r>
        <w:lastRenderedPageBreak/>
        <w:t>A</w:t>
      </w:r>
      <w:r w:rsidR="00140FC2">
        <w:t xml:space="preserve"> Szolvencia II. irányelv 138. cikkének (4) bekezdése </w:t>
      </w:r>
      <w:r>
        <w:t>lehetőséget ad arra, hogy</w:t>
      </w:r>
      <w:r w:rsidR="00140FC2">
        <w:t xml:space="preserve"> a felügyeleti hatóságok bizonyos k</w:t>
      </w:r>
      <w:r w:rsidR="00140FC2">
        <w:t>ö</w:t>
      </w:r>
      <w:r w:rsidR="00140FC2">
        <w:t>rülmények között</w:t>
      </w:r>
      <w:r>
        <w:t>,</w:t>
      </w:r>
      <w:r w:rsidR="00140FC2">
        <w:t xml:space="preserve"> legfeljebb 7 évvel</w:t>
      </w:r>
      <w:r>
        <w:t>,</w:t>
      </w:r>
      <w:r w:rsidR="00140FC2">
        <w:t xml:space="preserve"> meghosszabbíthatják a szavatolótőke-szükséglet teljesítésének helyreállítás</w:t>
      </w:r>
      <w:r w:rsidR="00140FC2">
        <w:t>á</w:t>
      </w:r>
      <w:r w:rsidR="00140FC2">
        <w:t xml:space="preserve">hoz </w:t>
      </w:r>
      <w:r>
        <w:t>a</w:t>
      </w:r>
      <w:r w:rsidR="00140FC2">
        <w:t xml:space="preserve"> 138. cikk (3) bekezdés és </w:t>
      </w:r>
      <w:r>
        <w:t xml:space="preserve">a </w:t>
      </w:r>
      <w:r w:rsidR="00140FC2">
        <w:t xml:space="preserve">218. cikk (4) bekezdés szerint rendelkezésre álló időszakot. </w:t>
      </w:r>
    </w:p>
    <w:p w:rsidR="00B2400A" w:rsidRDefault="00140FC2" w:rsidP="00140FC2">
      <w:r>
        <w:t>Ez</w:t>
      </w:r>
      <w:r w:rsidR="00B2400A">
        <w:t>zel</w:t>
      </w:r>
      <w:r>
        <w:t xml:space="preserve"> a </w:t>
      </w:r>
      <w:r w:rsidR="00B2400A">
        <w:t>felhatalmazással akkor lehet élni</w:t>
      </w:r>
      <w:r>
        <w:t xml:space="preserve">, </w:t>
      </w:r>
      <w:r w:rsidR="006B134F">
        <w:t>amikor a</w:t>
      </w:r>
      <w:r w:rsidR="006B134F" w:rsidRPr="006B134F">
        <w:t xml:space="preserve"> jelentős piaci vagy az érintett biztosítási ágazatban szerzett rész</w:t>
      </w:r>
      <w:r w:rsidR="006B134F" w:rsidRPr="006B134F">
        <w:t>e</w:t>
      </w:r>
      <w:r w:rsidR="006B134F" w:rsidRPr="006B134F">
        <w:t xml:space="preserve">sedéssel rendelkező biztosítók vagy viszontbiztosítók </w:t>
      </w:r>
      <w:r w:rsidR="003B596F" w:rsidRPr="003B596F">
        <w:t>nem teljesítik a szavatolótőke-szükségletüknek megfelelő köv</w:t>
      </w:r>
      <w:r w:rsidR="003B596F" w:rsidRPr="003B596F">
        <w:t>e</w:t>
      </w:r>
      <w:r w:rsidR="003B596F" w:rsidRPr="003B596F">
        <w:t xml:space="preserve">telményt </w:t>
      </w:r>
      <w:r w:rsidR="003B596F">
        <w:t xml:space="preserve">és a </w:t>
      </w:r>
      <w:r w:rsidR="006B134F" w:rsidRPr="006B134F">
        <w:t>pénzügyi helyzet</w:t>
      </w:r>
      <w:r w:rsidR="003B596F">
        <w:t>üke</w:t>
      </w:r>
      <w:r w:rsidR="006B134F" w:rsidRPr="006B134F">
        <w:t>t súlyosan vagy kedvezőtlenül befolyásolja a</w:t>
      </w:r>
      <w:r w:rsidR="006B134F">
        <w:t>z alábbi</w:t>
      </w:r>
      <w:r w:rsidR="006B134F" w:rsidRPr="006B134F">
        <w:t xml:space="preserve"> feltételek valamelyike</w:t>
      </w:r>
    </w:p>
    <w:p w:rsidR="006B134F" w:rsidRDefault="006B134F" w:rsidP="006B134F"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pénzügyi piacok előre nem látható, jelentős és mélyreható visszaesése;</w:t>
      </w:r>
    </w:p>
    <w:p w:rsidR="006B134F" w:rsidRDefault="006B134F" w:rsidP="006B134F">
      <w:r>
        <w:t>b) huzamosan alacsony kamatkörnyezet;</w:t>
      </w:r>
    </w:p>
    <w:p w:rsidR="00B154DE" w:rsidRDefault="006B134F" w:rsidP="006B134F">
      <w:r>
        <w:t>c) súlyos hatással járó katasztrófahelyzet</w:t>
      </w:r>
      <w:r w:rsidR="003B596F">
        <w:t>.</w:t>
      </w:r>
    </w:p>
    <w:p w:rsidR="00140FC2" w:rsidRDefault="00B154DE" w:rsidP="00140FC2">
      <w:r>
        <w:t>A szavatolótőke-szükséglet teljesítésének helyreállítására rendelkezésre álló időszak meghosszabbítására hozott döntéssel</w:t>
      </w:r>
      <w:r w:rsidR="00140FC2">
        <w:t xml:space="preserve"> </w:t>
      </w:r>
      <w:r>
        <w:t>azt a célt kívánják elérni</w:t>
      </w:r>
      <w:r w:rsidR="00140FC2">
        <w:t>, hogy csökkenthessék a pénzügyi rendszer lehetséges prociklikus hatásait vagy a pénzpiacokat – különösen a biztosítási piacot – érintő olyan kedvezőtlen hatásokat, amelyek végső soron sértenék a biztosítási kötvénytulajdonosok és a kedvezményezettek érdekeit.</w:t>
      </w:r>
      <w:r w:rsidR="003B596F">
        <w:t xml:space="preserve"> A kivételesen kedvezőtlen helyzet megállapítása azonban nem jelenti, hogy a biztosító automatikusan jogosult kérni</w:t>
      </w:r>
      <w:r w:rsidR="003B596F" w:rsidRPr="003B596F">
        <w:t xml:space="preserve"> a szavatolótőke-szükséglet teljesítésének helyr</w:t>
      </w:r>
      <w:r w:rsidR="003B596F" w:rsidRPr="003B596F">
        <w:t>e</w:t>
      </w:r>
      <w:r w:rsidR="003B596F" w:rsidRPr="003B596F">
        <w:t>állításhoz rendelkezésre álló időszak meghosszabbítását</w:t>
      </w:r>
      <w:r w:rsidR="003B596F">
        <w:t xml:space="preserve">. A meghosszabbítás engedélyezése a Rendeletben rögzített jellemzők, kritériumok, az adott biztosító </w:t>
      </w:r>
      <w:r w:rsidR="006D3542">
        <w:t>védekező képessége, a helyreállításhoz szükséges erőforrások bevonás</w:t>
      </w:r>
      <w:r w:rsidR="006D3542">
        <w:t>á</w:t>
      </w:r>
      <w:r w:rsidR="006D3542">
        <w:t>nak, rendelkezésre állásának</w:t>
      </w:r>
      <w:r w:rsidR="006D3542" w:rsidRPr="006D3542">
        <w:t xml:space="preserve"> alapos vizsgál</w:t>
      </w:r>
      <w:r w:rsidR="006D3542">
        <w:t>at</w:t>
      </w:r>
      <w:r w:rsidR="006D3542" w:rsidRPr="006D3542">
        <w:t>át követően</w:t>
      </w:r>
      <w:r w:rsidR="006D3542">
        <w:t xml:space="preserve"> történik.</w:t>
      </w:r>
    </w:p>
    <w:p w:rsidR="00B154DE" w:rsidRDefault="00B154DE" w:rsidP="00140FC2">
      <w:r>
        <w:t>Az Európai Unió tagállamainak felügyeleti hatóságai a</w:t>
      </w:r>
      <w:r w:rsidR="00140FC2">
        <w:t xml:space="preserve"> tisztességes versenyfeltételek biztosítása érdekében</w:t>
      </w:r>
      <w:r w:rsidRPr="00B154DE">
        <w:t xml:space="preserve"> konve</w:t>
      </w:r>
      <w:r w:rsidRPr="00B154DE">
        <w:t>r</w:t>
      </w:r>
      <w:r>
        <w:t>gens gyakorlatot alakítanak ki</w:t>
      </w:r>
      <w:r w:rsidR="003B596F">
        <w:t>, ideértve a meghosszabbítás engedélyezését, visszavonását, a már engedélyezett meghosszabbítások kiterjesztését, valamint a meghosszabbítások visszavonásának közzétételét</w:t>
      </w:r>
      <w:r>
        <w:t>.</w:t>
      </w:r>
    </w:p>
    <w:p w:rsidR="001029DC" w:rsidRDefault="001029DC" w:rsidP="00140FC2">
      <w:r>
        <w:t>Az MNB az EIOPA iránymutatás alkalmazáshoz</w:t>
      </w:r>
      <w:r w:rsidR="00215212">
        <w:t xml:space="preserve"> az esetleges hazai specialitásokat megjelenítő</w:t>
      </w:r>
      <w:r>
        <w:t xml:space="preserve"> belső eljárásrendjét 2016. évben alakítja ki.</w:t>
      </w:r>
    </w:p>
    <w:p w:rsidR="002F0266" w:rsidRDefault="002F0266" w:rsidP="0018619A">
      <w:pPr>
        <w:rPr>
          <w:b/>
        </w:rPr>
      </w:pPr>
    </w:p>
    <w:p w:rsidR="00140FC2" w:rsidRDefault="004429BD" w:rsidP="0018619A">
      <w:pPr>
        <w:rPr>
          <w:b/>
        </w:rPr>
      </w:pPr>
      <w:r>
        <w:rPr>
          <w:b/>
        </w:rPr>
        <w:t xml:space="preserve">3. </w:t>
      </w:r>
      <w:r w:rsidR="00140FC2" w:rsidRPr="00140FC2">
        <w:rPr>
          <w:b/>
        </w:rPr>
        <w:t>Iránymutatások a kollégiumokon belüli szisztematikus információcseréről</w:t>
      </w:r>
    </w:p>
    <w:p w:rsidR="00140FC2" w:rsidRDefault="00782C25" w:rsidP="00140FC2">
      <w:r>
        <w:t xml:space="preserve">Az </w:t>
      </w:r>
      <w:r w:rsidR="00140FC2">
        <w:t xml:space="preserve">iránymutatások a felügyeleti kollégiumok rendszeres információcserével összefüggő </w:t>
      </w:r>
      <w:r>
        <w:t>gyakorlati igényekkel fogla</w:t>
      </w:r>
      <w:r>
        <w:t>l</w:t>
      </w:r>
      <w:r>
        <w:t>koznak. Ezek az igények</w:t>
      </w:r>
      <w:r w:rsidR="00140FC2">
        <w:t xml:space="preserve"> az EIOPA</w:t>
      </w:r>
      <w:r>
        <w:t>-nak a</w:t>
      </w:r>
      <w:r w:rsidR="00140FC2">
        <w:t xml:space="preserve"> </w:t>
      </w:r>
      <w:r>
        <w:t xml:space="preserve">kollégiumokhoz kapcsolódó munkáját </w:t>
      </w:r>
      <w:r w:rsidR="00140FC2">
        <w:t xml:space="preserve">átfogó, a </w:t>
      </w:r>
      <w:r>
        <w:t>vonatkozó</w:t>
      </w:r>
      <w:r w:rsidR="00140FC2">
        <w:t xml:space="preserve"> cselekvési tervek, az EIOPA kollégiumokról szóló jelentései, valamint partneri felülvizsgálatok útján végzett felülvizsgálata </w:t>
      </w:r>
      <w:r>
        <w:t>alapján</w:t>
      </w:r>
      <w:r w:rsidR="00140FC2">
        <w:t xml:space="preserve"> </w:t>
      </w:r>
      <w:r>
        <w:t>m</w:t>
      </w:r>
      <w:r>
        <w:t>e</w:t>
      </w:r>
      <w:r>
        <w:t>rülnek fel;</w:t>
      </w:r>
      <w:r w:rsidR="00140FC2">
        <w:t xml:space="preserve"> </w:t>
      </w:r>
      <w:r>
        <w:t>az EIOPA az előzőekben felsorolt</w:t>
      </w:r>
      <w:r w:rsidR="00140FC2">
        <w:t xml:space="preserve"> elemek alapján felmérte a konvergencia szükséges mértékét, meghat</w:t>
      </w:r>
      <w:r w:rsidR="00140FC2">
        <w:t>á</w:t>
      </w:r>
      <w:r w:rsidR="00140FC2">
        <w:t>rozta azo</w:t>
      </w:r>
      <w:r>
        <w:t>kat a</w:t>
      </w:r>
      <w:r w:rsidR="00140FC2">
        <w:t xml:space="preserve"> területeket és tartalmat, amelyekre a </w:t>
      </w:r>
      <w:r w:rsidRPr="00782C25">
        <w:t>kollégiumokon belüli s</w:t>
      </w:r>
      <w:r>
        <w:t>zisztematikus információcserére vonatk</w:t>
      </w:r>
      <w:r>
        <w:t>o</w:t>
      </w:r>
      <w:r>
        <w:t>zó</w:t>
      </w:r>
      <w:r w:rsidR="00140FC2">
        <w:t xml:space="preserve"> iránymu</w:t>
      </w:r>
      <w:r>
        <w:t>tatásoknak ki</w:t>
      </w:r>
      <w:r w:rsidR="00140FC2">
        <w:t>terjedn</w:t>
      </w:r>
      <w:r>
        <w:t>e</w:t>
      </w:r>
      <w:r w:rsidR="00140FC2">
        <w:t>k.</w:t>
      </w:r>
    </w:p>
    <w:p w:rsidR="00782C25" w:rsidRDefault="00782C25" w:rsidP="00140FC2">
      <w:r>
        <w:t xml:space="preserve">Az iránymutatások célja </w:t>
      </w:r>
      <w:r w:rsidRPr="00782C25">
        <w:t>a kollégiumokon belüli s</w:t>
      </w:r>
      <w:r>
        <w:t>zisztematikus információcserék megkönnyítése, konvergens gyako</w:t>
      </w:r>
      <w:r>
        <w:t>r</w:t>
      </w:r>
      <w:r>
        <w:t>latok kialakításával, következetes alkalmazásával, amely felöleli a</w:t>
      </w:r>
      <w:r w:rsidR="00711380">
        <w:t>z</w:t>
      </w:r>
      <w:r>
        <w:t xml:space="preserve"> </w:t>
      </w:r>
      <w:r w:rsidRPr="00782C25">
        <w:t>információ</w:t>
      </w:r>
      <w:r>
        <w:t>-cseré</w:t>
      </w:r>
      <w:r w:rsidRPr="00782C25">
        <w:t>k köré</w:t>
      </w:r>
      <w:r>
        <w:t xml:space="preserve">t, </w:t>
      </w:r>
      <w:r w:rsidR="00711380" w:rsidRPr="00711380">
        <w:t>az arányosság elvének figyelembevételével</w:t>
      </w:r>
      <w:r w:rsidR="00711380">
        <w:t>,</w:t>
      </w:r>
      <w:r w:rsidR="00711380" w:rsidRPr="00711380">
        <w:t xml:space="preserve"> </w:t>
      </w:r>
      <w:r w:rsidR="00711380">
        <w:t xml:space="preserve">és amely megfelelő rugalmasságot biztosít </w:t>
      </w:r>
      <w:r w:rsidR="00711380" w:rsidRPr="00711380">
        <w:t>a kollégiumokon belüli felügyeleti együttműködé</w:t>
      </w:r>
      <w:r w:rsidR="00711380" w:rsidRPr="00711380">
        <w:t>s</w:t>
      </w:r>
      <w:r w:rsidR="00711380">
        <w:t>hez</w:t>
      </w:r>
      <w:r w:rsidR="00711380" w:rsidRPr="00711380">
        <w:t>, döntéshozatal</w:t>
      </w:r>
      <w:r w:rsidR="00711380">
        <w:t>hoz</w:t>
      </w:r>
      <w:r>
        <w:t>.</w:t>
      </w:r>
    </w:p>
    <w:p w:rsidR="002F0266" w:rsidRDefault="002F0266" w:rsidP="0018619A">
      <w:pPr>
        <w:rPr>
          <w:b/>
        </w:rPr>
      </w:pPr>
    </w:p>
    <w:p w:rsidR="00140FC2" w:rsidRDefault="004429BD" w:rsidP="0018619A">
      <w:pPr>
        <w:rPr>
          <w:b/>
        </w:rPr>
      </w:pPr>
      <w:r>
        <w:rPr>
          <w:b/>
        </w:rPr>
        <w:t xml:space="preserve">4. </w:t>
      </w:r>
      <w:r w:rsidR="00140FC2" w:rsidRPr="00140FC2">
        <w:rPr>
          <w:b/>
        </w:rPr>
        <w:t>Iránymutatások a hosszú távú garanciákkal kapcsolatos intézkedések végrehajtásáról</w:t>
      </w:r>
    </w:p>
    <w:p w:rsidR="00140FC2" w:rsidRDefault="00892DA0" w:rsidP="00140FC2">
      <w:r>
        <w:t>A</w:t>
      </w:r>
      <w:r w:rsidR="00140FC2">
        <w:t xml:space="preserve">z iránymutatások a célja a tagállami gyakorlatok közelítésének biztosítása, valamint a </w:t>
      </w:r>
      <w:r>
        <w:t>biztosító</w:t>
      </w:r>
      <w:r w:rsidR="00140FC2">
        <w:t>k támogatása a volatilitási kiigazítás, az illeszkedési kiigazítás, a kockázatmentes hozamgörbére vonatkozó átmeneti intézkedés és a biztosítástechnikai tartalékokra vonatkozó átmeneti intézkedés (más néven „a hosszú távú garanciákkal kapcsolatos kiigazítások és az átmeneti intézkedések”) végrehajtásában.</w:t>
      </w:r>
    </w:p>
    <w:p w:rsidR="00892DA0" w:rsidRDefault="00140FC2" w:rsidP="00140FC2">
      <w:r>
        <w:t>Az iránymutatások két szakaszra oszlanak</w:t>
      </w:r>
    </w:p>
    <w:p w:rsidR="00892DA0" w:rsidRDefault="00140FC2" w:rsidP="00140FC2">
      <w:r>
        <w:lastRenderedPageBreak/>
        <w:t>1. szakasz</w:t>
      </w:r>
      <w:r w:rsidR="00892DA0">
        <w:t>:</w:t>
      </w:r>
      <w:r>
        <w:t xml:space="preserve"> a biztosítástechnikai tartalékok hosszú távú garanciákkal kapcsolatos intézkedésekkel történő értékelés</w:t>
      </w:r>
      <w:r>
        <w:t>é</w:t>
      </w:r>
      <w:r w:rsidR="00892DA0">
        <w:t>vel foglalkozik; ahol a</w:t>
      </w:r>
      <w:r>
        <w:t xml:space="preserve">z intézkedések </w:t>
      </w:r>
      <w:r w:rsidR="00892DA0">
        <w:t xml:space="preserve">hatálya </w:t>
      </w:r>
      <w:r>
        <w:t>minden biztosítóra és viszontbiztosítóra k</w:t>
      </w:r>
      <w:r w:rsidR="00892DA0">
        <w:t>iterjed</w:t>
      </w:r>
      <w:r>
        <w:t>.</w:t>
      </w:r>
    </w:p>
    <w:p w:rsidR="00140FC2" w:rsidRDefault="00140FC2" w:rsidP="00140FC2">
      <w:r>
        <w:t>2. szakasz</w:t>
      </w:r>
      <w:r w:rsidR="00892DA0">
        <w:t>:</w:t>
      </w:r>
      <w:r>
        <w:t xml:space="preserve"> a standard képletet használók szavatolótőke-szükségletének meghatározásával, valamint a minimális tőkeszükséglet meghatározásával foglalkozik. A hosszú távú garanciákkal kapcsolatos intézkedések és a szavatolótőke-szükséglet, illetve a minimális tőkeszükséglet közötti összefüggésekre vonatkozó iránymutatások felt</w:t>
      </w:r>
      <w:r>
        <w:t>é</w:t>
      </w:r>
      <w:r>
        <w:t>telezik, hogy a két utóbbi kiszámítása a hosszú távú garanciákkal kapcsolatos intézkedésekkel értékelt biztosítástec</w:t>
      </w:r>
      <w:r>
        <w:t>h</w:t>
      </w:r>
      <w:r>
        <w:t>nikai tartalékok alapján történik.</w:t>
      </w:r>
    </w:p>
    <w:p w:rsidR="00140FC2" w:rsidRDefault="00892DA0" w:rsidP="00140FC2">
      <w:r>
        <w:t>Az</w:t>
      </w:r>
      <w:r w:rsidR="00140FC2">
        <w:t xml:space="preserve"> iránymutatások alkalmazásában a „hosszú távú garanciákkal kapcsolatos intézkedések” kifejezés a Szolvencia II irányelv 77b</w:t>
      </w:r>
      <w:proofErr w:type="gramStart"/>
      <w:r w:rsidR="00140FC2">
        <w:t>.,</w:t>
      </w:r>
      <w:proofErr w:type="gramEnd"/>
      <w:r w:rsidR="00140FC2">
        <w:t xml:space="preserve"> 77d., 308c. és 308d. cikkében előírt kiigazításokra és átmeneti intézkedésekre vonatkozik.</w:t>
      </w:r>
    </w:p>
    <w:p w:rsidR="002F0266" w:rsidRDefault="002F0266" w:rsidP="0018619A">
      <w:pPr>
        <w:rPr>
          <w:b/>
        </w:rPr>
      </w:pPr>
    </w:p>
    <w:p w:rsidR="00140FC2" w:rsidRDefault="004429BD" w:rsidP="0018619A">
      <w:pPr>
        <w:rPr>
          <w:b/>
        </w:rPr>
      </w:pPr>
      <w:r>
        <w:rPr>
          <w:b/>
        </w:rPr>
        <w:t xml:space="preserve">5. </w:t>
      </w:r>
      <w:r w:rsidR="00140FC2" w:rsidRPr="00140FC2">
        <w:rPr>
          <w:b/>
        </w:rPr>
        <w:t>Iránymutatások a piaci részesedések adatszolgáltatás céljára történő meghatározásának módszereiről</w:t>
      </w:r>
    </w:p>
    <w:p w:rsidR="00140FC2" w:rsidRDefault="00140FC2" w:rsidP="00140FC2">
      <w:r>
        <w:t>Az iránymutatások célja a Szolvencia II irányelv 35. cikkének (6) és (7) bekezdésében, valamint 254. cikkében említett piaci részesedések meghatározása során használt módszerek meghatározása</w:t>
      </w:r>
      <w:r w:rsidR="002855D3">
        <w:t>; ideértve</w:t>
      </w:r>
      <w:r>
        <w:t xml:space="preserve"> az egyes nemzeti illetékes hatóságok által a Szolvencia II irányelv értelmében felügyelt piacok 100%-ának megfelelő piaci részesedéseket.</w:t>
      </w:r>
    </w:p>
    <w:p w:rsidR="00140FC2" w:rsidRDefault="00140FC2" w:rsidP="00140FC2">
      <w:r>
        <w:t>A piaci részesedés kiszámításánál a tevékenység típusát</w:t>
      </w:r>
      <w:r w:rsidR="002855D3">
        <w:t xml:space="preserve">, </w:t>
      </w:r>
      <w:r>
        <w:t>életbiztosítási vagy nem-életbiztosítási kell figyelembe ve</w:t>
      </w:r>
      <w:r>
        <w:t>n</w:t>
      </w:r>
      <w:r>
        <w:t xml:space="preserve">ni, </w:t>
      </w:r>
      <w:r w:rsidR="002855D3">
        <w:t xml:space="preserve">és </w:t>
      </w:r>
      <w:r>
        <w:t xml:space="preserve">nem pedig </w:t>
      </w:r>
      <w:r w:rsidR="002855D3">
        <w:t xml:space="preserve">a biztosító </w:t>
      </w:r>
      <w:r>
        <w:t>életbiztosítási vagy nem-életbiztosítási tevékenységre szóló engedély</w:t>
      </w:r>
      <w:r w:rsidR="002855D3">
        <w:t>ét</w:t>
      </w:r>
      <w:r>
        <w:t>.</w:t>
      </w:r>
    </w:p>
    <w:p w:rsidR="00140FC2" w:rsidRDefault="002855D3" w:rsidP="00140FC2">
      <w:r>
        <w:t xml:space="preserve">A </w:t>
      </w:r>
      <w:r w:rsidR="006E5011" w:rsidRPr="006E5011">
        <w:t xml:space="preserve">kompozit biztosítók és a viszontbiztosítási piac sajátos helyzete </w:t>
      </w:r>
      <w:r w:rsidR="00810029">
        <w:t xml:space="preserve">miatt, a </w:t>
      </w:r>
      <w:r w:rsidR="00810029" w:rsidRPr="00810029">
        <w:t>piaci részesedés kiszámítása során</w:t>
      </w:r>
      <w:r w:rsidR="00810029">
        <w:t>,</w:t>
      </w:r>
      <w:r w:rsidR="00810029" w:rsidRPr="00810029">
        <w:t xml:space="preserve"> a Szolvencia II irányelv 35. cikkének (8) bekezdésében meghatározott szempontok vizsgálatánál</w:t>
      </w:r>
      <w:r w:rsidR="00810029">
        <w:t>,</w:t>
      </w:r>
      <w:r w:rsidR="00810029" w:rsidRPr="00810029">
        <w:t xml:space="preserve"> figyelemmel kell lenni a kockázati prof</w:t>
      </w:r>
      <w:r w:rsidR="00810029">
        <w:t>il potenciális összetettségére</w:t>
      </w:r>
      <w:r w:rsidR="00140FC2">
        <w:t>.</w:t>
      </w:r>
      <w:r w:rsidR="00810029">
        <w:t xml:space="preserve"> Eltérő mentességeket eredményez ugyanis, ha két direkt élet- és nem-életbiztosítási és két </w:t>
      </w:r>
      <w:r w:rsidR="00810029" w:rsidRPr="00810029">
        <w:t>élet- és nem-élet</w:t>
      </w:r>
      <w:r w:rsidR="00810029">
        <w:t>viszontbiztosítási tevékenység</w:t>
      </w:r>
      <w:r w:rsidR="00810029" w:rsidRPr="00810029">
        <w:t xml:space="preserve"> piaci részesedésbe történő beépítése</w:t>
      </w:r>
      <w:r w:rsidR="00810029">
        <w:t>.</w:t>
      </w:r>
    </w:p>
    <w:p w:rsidR="00810029" w:rsidRDefault="00810029" w:rsidP="00140FC2">
      <w:r>
        <w:t>Fontos körülmény, hogy az EGT-</w:t>
      </w:r>
      <w:r w:rsidR="006B5FBD">
        <w:t>n</w:t>
      </w:r>
      <w:r>
        <w:t xml:space="preserve"> belül és az EGT-n kívüli fióktelepeken keresztül, illetve a </w:t>
      </w:r>
      <w:r w:rsidRPr="00810029">
        <w:t>szolgáltatásnyújtás sz</w:t>
      </w:r>
      <w:r w:rsidRPr="00810029">
        <w:t>a</w:t>
      </w:r>
      <w:r w:rsidRPr="00810029">
        <w:t>badsága alapján végzett tevékenységét a vállalkozás telephelye szerinti országra vonatkozó piaci részesedésekben kell figyelembe venni</w:t>
      </w:r>
    </w:p>
    <w:p w:rsidR="00140FC2" w:rsidRDefault="002B551B" w:rsidP="00140FC2">
      <w:r>
        <w:t>A</w:t>
      </w:r>
      <w:r w:rsidR="00810029">
        <w:t xml:space="preserve"> piaci részesedéseket évente újra kell számítani, így</w:t>
      </w:r>
      <w:r w:rsidR="00810029" w:rsidRPr="00810029">
        <w:t xml:space="preserve"> </w:t>
      </w:r>
      <w:r w:rsidR="00810029">
        <w:t xml:space="preserve">előfordulhat, hogy </w:t>
      </w:r>
      <w:r>
        <w:t>a (viszont</w:t>
      </w:r>
      <w:proofErr w:type="gramStart"/>
      <w:r>
        <w:t>)biztosítók</w:t>
      </w:r>
      <w:proofErr w:type="gramEnd"/>
      <w:r>
        <w:t xml:space="preserve"> egyik évről a másikra kötelesek lesznek </w:t>
      </w:r>
      <w:r w:rsidR="00810029" w:rsidRPr="00810029">
        <w:t>adatszolgáltatás</w:t>
      </w:r>
      <w:r>
        <w:t>t teljesíteni</w:t>
      </w:r>
      <w:r w:rsidR="00810029" w:rsidRPr="00810029">
        <w:t xml:space="preserve"> akkor is, ha a tevékenységük mérete nem változik</w:t>
      </w:r>
      <w:r>
        <w:t>.</w:t>
      </w:r>
    </w:p>
    <w:p w:rsidR="002F0266" w:rsidRDefault="002F0266" w:rsidP="0018619A">
      <w:pPr>
        <w:rPr>
          <w:b/>
        </w:rPr>
      </w:pPr>
    </w:p>
    <w:p w:rsidR="00140FC2" w:rsidRDefault="004429BD" w:rsidP="0018619A">
      <w:pPr>
        <w:rPr>
          <w:b/>
        </w:rPr>
      </w:pPr>
      <w:r>
        <w:rPr>
          <w:b/>
        </w:rPr>
        <w:t xml:space="preserve">6. </w:t>
      </w:r>
      <w:r w:rsidR="00140FC2" w:rsidRPr="00140FC2">
        <w:rPr>
          <w:b/>
        </w:rPr>
        <w:t>Iránymutatások az adatszolgáltatásról és a közzétételről</w:t>
      </w:r>
    </w:p>
    <w:p w:rsidR="00140FC2" w:rsidRDefault="00E36E08" w:rsidP="00140FC2">
      <w:r>
        <w:t>A</w:t>
      </w:r>
      <w:r w:rsidR="00140FC2">
        <w:t>z iránymutatások a 2009/138/EK európai parlamenti és tanácsi irányelv (a továbbiakban: Szolvencia II irányelv) 35</w:t>
      </w:r>
      <w:proofErr w:type="gramStart"/>
      <w:r w:rsidR="00140FC2">
        <w:t>.,</w:t>
      </w:r>
      <w:proofErr w:type="gramEnd"/>
      <w:r w:rsidR="00140FC2">
        <w:t xml:space="preserve"> 51., 53., 54. és 55. cikkéhez, 254. cikkének (2) bekezdéséhez, valamint 256. cikkéhez, továbbá az (EU) 2015/35 felh</w:t>
      </w:r>
      <w:r w:rsidR="00140FC2">
        <w:t>a</w:t>
      </w:r>
      <w:r w:rsidR="00140FC2">
        <w:t xml:space="preserve">talmazáson alapuló bizottsági rendelet (a továbbiakban: </w:t>
      </w:r>
      <w:r w:rsidR="00175C2D">
        <w:t>R</w:t>
      </w:r>
      <w:r w:rsidR="00140FC2">
        <w:t>endelet) 290-298., 305-311., 359. és 365. cikkéhez és XX. mellékletéhez kapcsolódnak</w:t>
      </w:r>
      <w:r w:rsidR="00175C2D">
        <w:t>.</w:t>
      </w:r>
      <w:r w:rsidR="00140FC2">
        <w:t xml:space="preserve"> </w:t>
      </w:r>
      <w:r w:rsidR="00175C2D">
        <w:t>A Rendelet és melléklete</w:t>
      </w:r>
      <w:r w:rsidR="00140FC2">
        <w:t xml:space="preserve"> meghatározzák azokat az információkat, amelyeket a rendsz</w:t>
      </w:r>
      <w:r w:rsidR="00140FC2">
        <w:t>e</w:t>
      </w:r>
      <w:r w:rsidR="00140FC2">
        <w:t>res felügyeleti jelentésben és a számsz</w:t>
      </w:r>
      <w:r>
        <w:t>aki</w:t>
      </w:r>
      <w:r w:rsidR="00140FC2">
        <w:t xml:space="preserve"> felügyeleti jelentésben </w:t>
      </w:r>
      <w:r w:rsidR="00175C2D">
        <w:t>a</w:t>
      </w:r>
      <w:r w:rsidR="00140FC2">
        <w:t xml:space="preserve"> felügyeleti hatóság</w:t>
      </w:r>
      <w:r w:rsidR="00175C2D">
        <w:t>i jogkörében eljáró MNB r</w:t>
      </w:r>
      <w:r w:rsidR="00140FC2">
        <w:t>e</w:t>
      </w:r>
      <w:r w:rsidR="00140FC2">
        <w:t>n</w:t>
      </w:r>
      <w:r w:rsidR="00140FC2">
        <w:t xml:space="preserve">delkezésére kell bocsátani, </w:t>
      </w:r>
      <w:r>
        <w:t xml:space="preserve">továbbá tartalmazzák </w:t>
      </w:r>
      <w:r w:rsidR="00140FC2">
        <w:t xml:space="preserve">az előre meghatározott eseményeket, </w:t>
      </w:r>
      <w:r>
        <w:t>valamint</w:t>
      </w:r>
      <w:r w:rsidR="00140FC2">
        <w:t xml:space="preserve"> azokat az inform</w:t>
      </w:r>
      <w:r w:rsidR="00140FC2">
        <w:t>á</w:t>
      </w:r>
      <w:r w:rsidR="00140FC2">
        <w:t>ciókat, amelyeket a fizetőképességről és pénzügyi helyzetről szóló jelentésben nyilvánosságra kell hozni.</w:t>
      </w:r>
    </w:p>
    <w:p w:rsidR="00140FC2" w:rsidRDefault="00140FC2" w:rsidP="00140FC2">
      <w:r>
        <w:t>Az iránymutatások részletezik, hogy a felügyeleti hatóságok mit várn</w:t>
      </w:r>
      <w:r w:rsidR="00E36E08">
        <w:t>a</w:t>
      </w:r>
      <w:r>
        <w:t>k</w:t>
      </w:r>
      <w:r w:rsidR="00E36E08">
        <w:t xml:space="preserve"> el</w:t>
      </w:r>
      <w:r>
        <w:t xml:space="preserve"> a biztosítóktól és viszontbiztosítóktól, a részesedéssel rendelkező biztosítóktól és viszontbiztosítóktól, a biztosítói holdingtársaságoktól és a vegyes pénzügyi holdingtársaságoktól a következők tekintetében:</w:t>
      </w:r>
    </w:p>
    <w:p w:rsidR="00140FC2" w:rsidRDefault="00140FC2" w:rsidP="00140FC2"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fizetőképességről és pénzügyi helyzetről szóló jelentés tartalma, a </w:t>
      </w:r>
      <w:r w:rsidR="00E36E08">
        <w:t>R</w:t>
      </w:r>
      <w:r>
        <w:t>endelet 1. címe XII. fejezetének I. szakasza szerint;</w:t>
      </w:r>
    </w:p>
    <w:p w:rsidR="00140FC2" w:rsidRDefault="00140FC2" w:rsidP="00140FC2">
      <w:r>
        <w:t xml:space="preserve">b) a rendszeres felügyeleti jelentés tartalma, a </w:t>
      </w:r>
      <w:r w:rsidR="00E36E08">
        <w:t>R</w:t>
      </w:r>
      <w:r>
        <w:t>endelet 1. címe XII. fejezetének I. szakasza szerint;</w:t>
      </w:r>
    </w:p>
    <w:p w:rsidR="00140FC2" w:rsidRDefault="00140FC2" w:rsidP="00140FC2">
      <w:r>
        <w:lastRenderedPageBreak/>
        <w:t>c) a rendszeres felügyeleti jelentésben bemutatott információkat kiegészítő, a felügyeleti hatóságoknak benyújtandó adatszolgáltatási sablonokról szóló végrehajtás-technikai standardban meghatározott, számadatokat tartalmazó éves és negyedéves táblákra alkalmazandó validálások;</w:t>
      </w:r>
    </w:p>
    <w:p w:rsidR="00140FC2" w:rsidRDefault="00140FC2" w:rsidP="00140FC2">
      <w:r>
        <w:t>d) a Szolvencia II irányelvben definiált előre meghatározott események alkalmával történő adatszolgáltatás;</w:t>
      </w:r>
    </w:p>
    <w:p w:rsidR="00140FC2" w:rsidRDefault="00140FC2" w:rsidP="00140FC2">
      <w:proofErr w:type="gramStart"/>
      <w:r>
        <w:t>e</w:t>
      </w:r>
      <w:proofErr w:type="gramEnd"/>
      <w:r>
        <w:t xml:space="preserve">) a </w:t>
      </w:r>
      <w:r w:rsidR="00E36E08">
        <w:t>bizto</w:t>
      </w:r>
      <w:r>
        <w:t>s</w:t>
      </w:r>
      <w:r w:rsidR="00E36E08">
        <w:t>ító</w:t>
      </w:r>
      <w:r>
        <w:t xml:space="preserve"> közzétételre és felügyeleti jelentéstételre vonatkozó, a Szolvencia II irányelv követelményei szerinti folyamatai.</w:t>
      </w:r>
    </w:p>
    <w:p w:rsidR="00E36E08" w:rsidRDefault="00E36E08" w:rsidP="00140FC2">
      <w:r>
        <w:t>Az iránymutatások célja továbbá, hogy összehangolja</w:t>
      </w:r>
      <w:r w:rsidRPr="00E36E08">
        <w:t xml:space="preserve"> közzététel</w:t>
      </w:r>
      <w:r>
        <w:t>t</w:t>
      </w:r>
      <w:r w:rsidRPr="00E36E08">
        <w:t xml:space="preserve"> és a felügyeleti jelentéstétel</w:t>
      </w:r>
      <w:r>
        <w:t>t, ahol</w:t>
      </w:r>
      <w:r w:rsidRPr="00E36E08">
        <w:t xml:space="preserve"> </w:t>
      </w:r>
      <w:r>
        <w:t>R</w:t>
      </w:r>
      <w:r w:rsidRPr="00E36E08">
        <w:t>endelet tová</w:t>
      </w:r>
      <w:r w:rsidRPr="00E36E08">
        <w:t>b</w:t>
      </w:r>
      <w:r w:rsidRPr="00E36E08">
        <w:t>bi pontosítására van szükség</w:t>
      </w:r>
      <w:r>
        <w:t xml:space="preserve"> (</w:t>
      </w:r>
      <w:r w:rsidRPr="00E36E08">
        <w:t>elvárt min</w:t>
      </w:r>
      <w:r>
        <w:t>imális tartalmának meghatározása).</w:t>
      </w:r>
    </w:p>
    <w:p w:rsidR="00FF7B91" w:rsidRDefault="00FF7B91" w:rsidP="00140FC2">
      <w:r w:rsidRPr="00FF7B91">
        <w:t xml:space="preserve">Az iránymutatások alkalmazása során figyelembe kell venni a </w:t>
      </w:r>
      <w:r>
        <w:t>R</w:t>
      </w:r>
      <w:r w:rsidRPr="00FF7B91">
        <w:t>endelet 291. és 305. cikkében meghatározott lény</w:t>
      </w:r>
      <w:r w:rsidRPr="00FF7B91">
        <w:t>e</w:t>
      </w:r>
      <w:r w:rsidRPr="00FF7B91">
        <w:t>gesség</w:t>
      </w:r>
      <w:r>
        <w:t xml:space="preserve"> elvé</w:t>
      </w:r>
      <w:r w:rsidRPr="00FF7B91">
        <w:t>t.</w:t>
      </w:r>
    </w:p>
    <w:p w:rsidR="00E36E08" w:rsidRDefault="00E36E08" w:rsidP="00140FC2">
      <w:r>
        <w:t>Az iránymutatások hatálya kiterjed –</w:t>
      </w:r>
      <w:r w:rsidR="00140FC2">
        <w:t xml:space="preserve"> </w:t>
      </w:r>
      <w:r>
        <w:t>e</w:t>
      </w:r>
      <w:r w:rsidR="00140FC2">
        <w:t>llenkező értelmű közlés hiányában</w:t>
      </w:r>
      <w:r>
        <w:t xml:space="preserve"> –</w:t>
      </w:r>
      <w:r w:rsidR="00140FC2">
        <w:t xml:space="preserve"> az egye</w:t>
      </w:r>
      <w:r>
        <w:t>di (viszont</w:t>
      </w:r>
      <w:proofErr w:type="gramStart"/>
      <w:r>
        <w:t>)biztosítókra</w:t>
      </w:r>
      <w:proofErr w:type="gramEnd"/>
      <w:r w:rsidR="00140FC2">
        <w:t>, a harm</w:t>
      </w:r>
      <w:r w:rsidR="00140FC2">
        <w:t>a</w:t>
      </w:r>
      <w:r w:rsidR="00140FC2">
        <w:t xml:space="preserve">dik országok fióktelepeire, a részesedéssel rendelkező </w:t>
      </w:r>
      <w:r>
        <w:t>(viszont)</w:t>
      </w:r>
      <w:r w:rsidR="00140FC2">
        <w:t>biztosítókra, a biztosítói holdingtársaságokra és a vegyes pénzügyi holdingtársaságokra</w:t>
      </w:r>
      <w:r>
        <w:t>;</w:t>
      </w:r>
      <w:r w:rsidRPr="00E36E08">
        <w:t xml:space="preserve"> függetlenül attól, hogy azok a standard formulát, belső modellt vagy részleges belső modellt használnak-e a szavatolótőke-szükséglet kiszámításához</w:t>
      </w:r>
      <w:r>
        <w:t>.</w:t>
      </w:r>
    </w:p>
    <w:p w:rsidR="00140FC2" w:rsidRDefault="00E36E08" w:rsidP="00140FC2">
      <w:r>
        <w:t>Adott esetben az iránymutatásokat alkalmazni kell az EGT-n kívüli központi irodával rendelkező biztosítók és viszon</w:t>
      </w:r>
      <w:r>
        <w:t>t</w:t>
      </w:r>
      <w:r>
        <w:t>biztosítók közösségen belül létesített fióktelepeire (harmadik országok fióktelepeire) vonatkozó rendszeres felügy</w:t>
      </w:r>
      <w:r>
        <w:t>e</w:t>
      </w:r>
      <w:r>
        <w:t>leti jelentés elkészítésénél (mivel a harmadik országok fióktelepeinek nem kell fizetőképességről és pénzügyi helyze</w:t>
      </w:r>
      <w:r>
        <w:t>t</w:t>
      </w:r>
      <w:r>
        <w:t>ről szóló jelentést készíteniük, és a biztosítók és viszontbiztosítók rendszeres felügyeleti jelentése kiegészíti a fizet</w:t>
      </w:r>
      <w:r>
        <w:t>ő</w:t>
      </w:r>
      <w:r>
        <w:t>képességről és pénzügyi helyzetről szóló jelentést).</w:t>
      </w:r>
    </w:p>
    <w:p w:rsidR="00140FC2" w:rsidRDefault="00E36E08" w:rsidP="00140FC2">
      <w:r>
        <w:t>A</w:t>
      </w:r>
      <w:r w:rsidR="00140FC2">
        <w:t xml:space="preserve"> csoportokra vonatkozó iránymutatásokat alkalmazni kell a részesedéssel rendelkező </w:t>
      </w:r>
      <w:r>
        <w:t>(viszont</w:t>
      </w:r>
      <w:proofErr w:type="gramStart"/>
      <w:r>
        <w:t>)</w:t>
      </w:r>
      <w:r w:rsidR="00140FC2">
        <w:t>biztosítókra</w:t>
      </w:r>
      <w:proofErr w:type="gramEnd"/>
      <w:r w:rsidR="00140FC2">
        <w:t>, a biztos</w:t>
      </w:r>
      <w:r w:rsidR="00140FC2">
        <w:t>í</w:t>
      </w:r>
      <w:r w:rsidR="00140FC2">
        <w:t>tói holdingtársaságokra és a vegyes pénzügyi holdingtársaságokra a fizetőképességről és pénzügyi helyzetről szóló csoportszintű jelentés vagy a fizetőképességről és pénzügyi helyzetről szóló egyedi jelentés és a csoportszintű ren</w:t>
      </w:r>
      <w:r w:rsidR="00140FC2">
        <w:t>d</w:t>
      </w:r>
      <w:r w:rsidR="00140FC2">
        <w:t>szeres felügyeleti jelentés elkészítésekor.</w:t>
      </w:r>
    </w:p>
    <w:p w:rsidR="00140FC2" w:rsidRDefault="00140FC2" w:rsidP="00140FC2">
      <w:r>
        <w:t>Az előre meghatározott eseményekre vonatkozó, az egyes vállalkozásokra és a csoportokra is alkalmazandó iránym</w:t>
      </w:r>
      <w:r>
        <w:t>u</w:t>
      </w:r>
      <w:r>
        <w:t xml:space="preserve">tatások célja a Szolvencia II irányelv 35. cikke (2) bekezdése a) pontjának </w:t>
      </w:r>
      <w:proofErr w:type="spellStart"/>
      <w:r>
        <w:t>ii</w:t>
      </w:r>
      <w:proofErr w:type="spellEnd"/>
      <w:r>
        <w:t>. alpontjában és a 245. cikke (2) bekezd</w:t>
      </w:r>
      <w:r>
        <w:t>é</w:t>
      </w:r>
      <w:r>
        <w:t>sében lefektetett követelmények további meghatározása.</w:t>
      </w:r>
    </w:p>
    <w:p w:rsidR="002F0266" w:rsidRDefault="002F0266" w:rsidP="0018619A">
      <w:pPr>
        <w:rPr>
          <w:b/>
        </w:rPr>
      </w:pPr>
    </w:p>
    <w:p w:rsidR="009D2AA0" w:rsidRPr="009D2AA0" w:rsidRDefault="004429BD" w:rsidP="0018619A">
      <w:pPr>
        <w:rPr>
          <w:b/>
        </w:rPr>
      </w:pPr>
      <w:r>
        <w:rPr>
          <w:b/>
        </w:rPr>
        <w:t xml:space="preserve">7. </w:t>
      </w:r>
      <w:r w:rsidR="009D2AA0" w:rsidRPr="009D2AA0">
        <w:rPr>
          <w:b/>
        </w:rPr>
        <w:t>Iránymutatások a biztosítástechnikai tartalékoktól eltérő eszközök és források elismeréséről és értékeléséről</w:t>
      </w:r>
    </w:p>
    <w:p w:rsidR="009D2AA0" w:rsidRDefault="009D2AA0" w:rsidP="009D2AA0">
      <w:r>
        <w:t>Az iránymutatások célja a szakmai gyakorlatok tagállamok közötti összehangolásának előmozdítása, valamint a vá</w:t>
      </w:r>
      <w:r>
        <w:t>l</w:t>
      </w:r>
      <w:r>
        <w:t>lalkozások biztosítástechnikai tartalékoktól eltérő eszközök és források elismerésében és értékelésében történő t</w:t>
      </w:r>
      <w:r>
        <w:t>á</w:t>
      </w:r>
      <w:r>
        <w:t>mogatása</w:t>
      </w:r>
      <w:r w:rsidR="002B551B">
        <w:t>, amelyek</w:t>
      </w:r>
      <w:r w:rsidR="002B551B" w:rsidRPr="002B551B">
        <w:t xml:space="preserve"> a 2009/138/EK európai parlamenti és tanácsi irányelv (a továbbiakban: Szolvencia II. irányelv) 75. cikkéhez, valamint a 2015/35/EU felhatalmazáson alapuló bizottsági rendelet</w:t>
      </w:r>
      <w:r w:rsidR="002B551B">
        <w:t xml:space="preserve"> (a továbbiakban Rendelet) </w:t>
      </w:r>
      <w:r w:rsidR="002B551B" w:rsidRPr="002B551B">
        <w:t>7–16. cikk</w:t>
      </w:r>
      <w:r w:rsidR="002B551B" w:rsidRPr="002B551B">
        <w:t>é</w:t>
      </w:r>
      <w:r w:rsidR="002B551B" w:rsidRPr="002B551B">
        <w:t>hez kapcsolódnak</w:t>
      </w:r>
      <w:r w:rsidR="002B551B">
        <w:t>.</w:t>
      </w:r>
    </w:p>
    <w:p w:rsidR="009D2AA0" w:rsidRDefault="002B551B" w:rsidP="009D2AA0">
      <w:r>
        <w:t>A Szolvencia II</w:t>
      </w:r>
      <w:r w:rsidR="009D2AA0">
        <w:t xml:space="preserve"> rendelkezése</w:t>
      </w:r>
      <w:r>
        <w:t>k</w:t>
      </w:r>
      <w:r w:rsidR="009D2AA0">
        <w:t xml:space="preserve"> szerint a </w:t>
      </w:r>
      <w:r>
        <w:t>biztosítók</w:t>
      </w:r>
      <w:r w:rsidR="009D2AA0">
        <w:t>nak a biztosítástechnikai tartalékoktól eltérő eszközöket és forrás</w:t>
      </w:r>
      <w:r w:rsidR="009D2AA0">
        <w:t>o</w:t>
      </w:r>
      <w:r w:rsidR="009D2AA0">
        <w:t>kat általános szabályként az Európai Bizottság által az 1606/2002/EK európai parlamenti és tanácsi rendeletnek me</w:t>
      </w:r>
      <w:r w:rsidR="009D2AA0">
        <w:t>g</w:t>
      </w:r>
      <w:r w:rsidR="009D2AA0">
        <w:t>felelően elfogadott nemzetközi pénzügyi beszámolási standardok (a továbbiakban: IFRS) szerint kell elismerniük és értékelniük, kivéve, ha ez nincs összhangban a Szolvencia II. irányelv 75. cikkével.</w:t>
      </w:r>
    </w:p>
    <w:p w:rsidR="009D2AA0" w:rsidRDefault="009D2AA0" w:rsidP="009D2AA0">
      <w:r>
        <w:t xml:space="preserve"> A </w:t>
      </w:r>
      <w:r w:rsidR="002B551B">
        <w:t>R</w:t>
      </w:r>
      <w:r>
        <w:t>endelet egyértelműen meghatározza azokat az eseteket, amelyekben az értékelési módszerek nincsenek öss</w:t>
      </w:r>
      <w:r>
        <w:t>z</w:t>
      </w:r>
      <w:r>
        <w:t xml:space="preserve">hangban a Szolvencia II. irányelv 75. cikkében meghatározott értékelési megközelítéssel, és ezért az </w:t>
      </w:r>
      <w:proofErr w:type="spellStart"/>
      <w:r>
        <w:t>IFRS-től</w:t>
      </w:r>
      <w:proofErr w:type="spellEnd"/>
      <w:r>
        <w:t xml:space="preserve"> eltérő értékelési elvek vagy kiigazítások alkalmazandók.</w:t>
      </w:r>
    </w:p>
    <w:p w:rsidR="009D2AA0" w:rsidRPr="0018619A" w:rsidRDefault="002B551B" w:rsidP="009D2AA0">
      <w:r>
        <w:lastRenderedPageBreak/>
        <w:t>A R</w:t>
      </w:r>
      <w:r w:rsidR="009D2AA0">
        <w:t xml:space="preserve">endelet 9. cikkének (4) bekezdése meghatározza azokat a kritériumokat, </w:t>
      </w:r>
      <w:r>
        <w:t xml:space="preserve">amelyeket teljesíteni kell </w:t>
      </w:r>
      <w:r w:rsidRPr="002B551B">
        <w:t xml:space="preserve">az éves vagy konszolidált pénzügyi kimutatás elkészítése </w:t>
      </w:r>
      <w:r w:rsidR="00961CC4">
        <w:t xml:space="preserve">során </w:t>
      </w:r>
      <w:r w:rsidRPr="002B551B">
        <w:t>egy adott eszköz vagy forrás elismer</w:t>
      </w:r>
      <w:r w:rsidR="00961CC4">
        <w:t>ésére</w:t>
      </w:r>
      <w:r>
        <w:t xml:space="preserve"> és értékel</w:t>
      </w:r>
      <w:r w:rsidR="00961CC4">
        <w:t>ésére</w:t>
      </w:r>
      <w:r w:rsidR="00961CC4" w:rsidRPr="00961CC4">
        <w:t xml:space="preserve"> </w:t>
      </w:r>
      <w:r w:rsidR="00961CC4" w:rsidRPr="002B551B">
        <w:t>használt értékelési módszer</w:t>
      </w:r>
      <w:r w:rsidR="00961CC4">
        <w:t xml:space="preserve"> alkalmazásakor.</w:t>
      </w:r>
    </w:p>
    <w:p w:rsidR="009D2AA0" w:rsidRPr="0018619A" w:rsidRDefault="00F819B4" w:rsidP="009D2AA0">
      <w:r>
        <w:t xml:space="preserve">Budapest, </w:t>
      </w:r>
      <w:bookmarkStart w:id="1" w:name="HUMANSOFTdatumHUN"/>
      <w:r>
        <w:t xml:space="preserve">2015. </w:t>
      </w:r>
      <w:r w:rsidR="0048378F">
        <w:t>dec</w:t>
      </w:r>
      <w:r>
        <w:t xml:space="preserve">ember </w:t>
      </w:r>
      <w:r w:rsidR="0048378F">
        <w:t>11</w:t>
      </w:r>
      <w:r>
        <w:t>.</w:t>
      </w:r>
      <w:bookmarkEnd w:id="1"/>
    </w:p>
    <w:sectPr w:rsidR="009D2AA0" w:rsidRPr="0018619A" w:rsidSect="00CD6E8D">
      <w:headerReference w:type="default" r:id="rId10"/>
      <w:footerReference w:type="default" r:id="rId11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E8" w:rsidRDefault="00804CE8">
      <w:r>
        <w:separator/>
      </w:r>
    </w:p>
  </w:endnote>
  <w:endnote w:type="continuationSeparator" w:id="0">
    <w:p w:rsidR="00804CE8" w:rsidRDefault="0080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4F" w:rsidRPr="00AC6950" w:rsidRDefault="006B134F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A35352">
      <w:rPr>
        <w:noProof/>
        <w:sz w:val="18"/>
        <w:szCs w:val="18"/>
      </w:rPr>
      <w:t>9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A35352">
      <w:rPr>
        <w:noProof/>
        <w:sz w:val="18"/>
        <w:szCs w:val="18"/>
      </w:rPr>
      <w:t>9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E8" w:rsidRDefault="00804CE8">
      <w:r>
        <w:separator/>
      </w:r>
    </w:p>
  </w:footnote>
  <w:footnote w:type="continuationSeparator" w:id="0">
    <w:p w:rsidR="00804CE8" w:rsidRDefault="00804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4F" w:rsidRPr="00AC6950" w:rsidRDefault="006B134F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3B0B"/>
    <w:multiLevelType w:val="hybridMultilevel"/>
    <w:tmpl w:val="A63279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>
    <w:nsid w:val="224733C5"/>
    <w:multiLevelType w:val="hybridMultilevel"/>
    <w:tmpl w:val="9AC2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00E6E"/>
    <w:multiLevelType w:val="hybridMultilevel"/>
    <w:tmpl w:val="FCF26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F0CEE"/>
    <w:multiLevelType w:val="hybridMultilevel"/>
    <w:tmpl w:val="59BA9C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A7BF7"/>
    <w:multiLevelType w:val="hybridMultilevel"/>
    <w:tmpl w:val="4D923D6C"/>
    <w:lvl w:ilvl="0" w:tplc="6E10E4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30E2E0D"/>
    <w:multiLevelType w:val="hybridMultilevel"/>
    <w:tmpl w:val="E73219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12"/>
  </w:num>
  <w:num w:numId="9">
    <w:abstractNumId w:val="10"/>
    <w:lvlOverride w:ilvl="0">
      <w:startOverride w:val="1"/>
    </w:lvlOverride>
  </w:num>
  <w:num w:numId="10">
    <w:abstractNumId w:val="7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A0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9544C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16A"/>
    <w:rsid w:val="000E4EE3"/>
    <w:rsid w:val="000F2858"/>
    <w:rsid w:val="000F2AE0"/>
    <w:rsid w:val="000F30B8"/>
    <w:rsid w:val="000F68FE"/>
    <w:rsid w:val="00101654"/>
    <w:rsid w:val="001029DC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3726A"/>
    <w:rsid w:val="00140FC2"/>
    <w:rsid w:val="001421CC"/>
    <w:rsid w:val="00143691"/>
    <w:rsid w:val="00150045"/>
    <w:rsid w:val="00152DBF"/>
    <w:rsid w:val="00164326"/>
    <w:rsid w:val="00166F6C"/>
    <w:rsid w:val="001747F6"/>
    <w:rsid w:val="00175C2D"/>
    <w:rsid w:val="0018359E"/>
    <w:rsid w:val="0018559A"/>
    <w:rsid w:val="0018619A"/>
    <w:rsid w:val="001870A7"/>
    <w:rsid w:val="00195CF5"/>
    <w:rsid w:val="00197350"/>
    <w:rsid w:val="001A2BAA"/>
    <w:rsid w:val="001B3486"/>
    <w:rsid w:val="001B6DAA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36F9"/>
    <w:rsid w:val="00214230"/>
    <w:rsid w:val="0021484C"/>
    <w:rsid w:val="00215212"/>
    <w:rsid w:val="0022056B"/>
    <w:rsid w:val="0022761B"/>
    <w:rsid w:val="0022764E"/>
    <w:rsid w:val="00234FFA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55D3"/>
    <w:rsid w:val="002866DE"/>
    <w:rsid w:val="00287D15"/>
    <w:rsid w:val="00290D47"/>
    <w:rsid w:val="00292177"/>
    <w:rsid w:val="002957B7"/>
    <w:rsid w:val="002A3B0E"/>
    <w:rsid w:val="002B3674"/>
    <w:rsid w:val="002B4D45"/>
    <w:rsid w:val="002B551B"/>
    <w:rsid w:val="002B6B78"/>
    <w:rsid w:val="002B6D25"/>
    <w:rsid w:val="002B78E0"/>
    <w:rsid w:val="002C728F"/>
    <w:rsid w:val="002C7AB8"/>
    <w:rsid w:val="002C7D4D"/>
    <w:rsid w:val="002C7DD0"/>
    <w:rsid w:val="002D0999"/>
    <w:rsid w:val="002D5E55"/>
    <w:rsid w:val="002E400C"/>
    <w:rsid w:val="002E48BC"/>
    <w:rsid w:val="002F0266"/>
    <w:rsid w:val="002F34ED"/>
    <w:rsid w:val="002F602F"/>
    <w:rsid w:val="00300EE3"/>
    <w:rsid w:val="00302136"/>
    <w:rsid w:val="0030701A"/>
    <w:rsid w:val="00313246"/>
    <w:rsid w:val="003231ED"/>
    <w:rsid w:val="0032717E"/>
    <w:rsid w:val="00327A74"/>
    <w:rsid w:val="00331CBD"/>
    <w:rsid w:val="00341BB5"/>
    <w:rsid w:val="00343614"/>
    <w:rsid w:val="0035153B"/>
    <w:rsid w:val="003524A6"/>
    <w:rsid w:val="003548F7"/>
    <w:rsid w:val="00365023"/>
    <w:rsid w:val="003701D4"/>
    <w:rsid w:val="003704B1"/>
    <w:rsid w:val="003728FE"/>
    <w:rsid w:val="00373BD2"/>
    <w:rsid w:val="00375031"/>
    <w:rsid w:val="0037696F"/>
    <w:rsid w:val="00380643"/>
    <w:rsid w:val="003824BF"/>
    <w:rsid w:val="003827F0"/>
    <w:rsid w:val="00391B59"/>
    <w:rsid w:val="00394378"/>
    <w:rsid w:val="0039474F"/>
    <w:rsid w:val="00395B14"/>
    <w:rsid w:val="00395D13"/>
    <w:rsid w:val="00397F34"/>
    <w:rsid w:val="003B12B2"/>
    <w:rsid w:val="003B46BE"/>
    <w:rsid w:val="003B596F"/>
    <w:rsid w:val="003C5699"/>
    <w:rsid w:val="003C5CB2"/>
    <w:rsid w:val="003D04DD"/>
    <w:rsid w:val="003D52BC"/>
    <w:rsid w:val="003E23CB"/>
    <w:rsid w:val="003F128A"/>
    <w:rsid w:val="0041484F"/>
    <w:rsid w:val="00423D50"/>
    <w:rsid w:val="00426BEF"/>
    <w:rsid w:val="0043276D"/>
    <w:rsid w:val="004330EA"/>
    <w:rsid w:val="00434DC6"/>
    <w:rsid w:val="004429BD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8378F"/>
    <w:rsid w:val="00491483"/>
    <w:rsid w:val="004919C2"/>
    <w:rsid w:val="00494C89"/>
    <w:rsid w:val="004A58E3"/>
    <w:rsid w:val="004A5F09"/>
    <w:rsid w:val="004A735D"/>
    <w:rsid w:val="004B1A68"/>
    <w:rsid w:val="004C25E9"/>
    <w:rsid w:val="004D270F"/>
    <w:rsid w:val="004D455D"/>
    <w:rsid w:val="004D7635"/>
    <w:rsid w:val="004E2BA2"/>
    <w:rsid w:val="004F1BAA"/>
    <w:rsid w:val="004F42D5"/>
    <w:rsid w:val="004F5169"/>
    <w:rsid w:val="004F72B9"/>
    <w:rsid w:val="0050045B"/>
    <w:rsid w:val="00501172"/>
    <w:rsid w:val="00503A99"/>
    <w:rsid w:val="0050657B"/>
    <w:rsid w:val="00506A2F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67A09"/>
    <w:rsid w:val="00571C3C"/>
    <w:rsid w:val="005763C5"/>
    <w:rsid w:val="00581D24"/>
    <w:rsid w:val="00582B09"/>
    <w:rsid w:val="0058459E"/>
    <w:rsid w:val="00586D4D"/>
    <w:rsid w:val="005A011E"/>
    <w:rsid w:val="005A2DAC"/>
    <w:rsid w:val="005A3531"/>
    <w:rsid w:val="005A3DDE"/>
    <w:rsid w:val="005A788E"/>
    <w:rsid w:val="005B0A26"/>
    <w:rsid w:val="005B7259"/>
    <w:rsid w:val="005C3F73"/>
    <w:rsid w:val="005C498A"/>
    <w:rsid w:val="005C5BB7"/>
    <w:rsid w:val="005D0DEB"/>
    <w:rsid w:val="005D1A2C"/>
    <w:rsid w:val="005F3818"/>
    <w:rsid w:val="005F3E3D"/>
    <w:rsid w:val="00602F0C"/>
    <w:rsid w:val="00603723"/>
    <w:rsid w:val="00610E45"/>
    <w:rsid w:val="006248D4"/>
    <w:rsid w:val="00627BFA"/>
    <w:rsid w:val="00630D89"/>
    <w:rsid w:val="00642A07"/>
    <w:rsid w:val="00643529"/>
    <w:rsid w:val="00643CB4"/>
    <w:rsid w:val="00644BE4"/>
    <w:rsid w:val="006524C3"/>
    <w:rsid w:val="0067570F"/>
    <w:rsid w:val="00681108"/>
    <w:rsid w:val="00690C97"/>
    <w:rsid w:val="00694159"/>
    <w:rsid w:val="0069441B"/>
    <w:rsid w:val="00694761"/>
    <w:rsid w:val="006A54BA"/>
    <w:rsid w:val="006A66EB"/>
    <w:rsid w:val="006B0392"/>
    <w:rsid w:val="006B134F"/>
    <w:rsid w:val="006B2726"/>
    <w:rsid w:val="006B5FBD"/>
    <w:rsid w:val="006C2C3D"/>
    <w:rsid w:val="006C4871"/>
    <w:rsid w:val="006C700F"/>
    <w:rsid w:val="006D0881"/>
    <w:rsid w:val="006D3542"/>
    <w:rsid w:val="006D3867"/>
    <w:rsid w:val="006E45F8"/>
    <w:rsid w:val="006E5011"/>
    <w:rsid w:val="006E5F78"/>
    <w:rsid w:val="006F0376"/>
    <w:rsid w:val="006F39C8"/>
    <w:rsid w:val="006F5D02"/>
    <w:rsid w:val="006F6144"/>
    <w:rsid w:val="00702E90"/>
    <w:rsid w:val="00703E97"/>
    <w:rsid w:val="00707C38"/>
    <w:rsid w:val="00711380"/>
    <w:rsid w:val="007236B8"/>
    <w:rsid w:val="0072398E"/>
    <w:rsid w:val="00732D87"/>
    <w:rsid w:val="00737660"/>
    <w:rsid w:val="007376E0"/>
    <w:rsid w:val="00744A1F"/>
    <w:rsid w:val="00744C4F"/>
    <w:rsid w:val="00746D82"/>
    <w:rsid w:val="007474DD"/>
    <w:rsid w:val="00754A11"/>
    <w:rsid w:val="00760F82"/>
    <w:rsid w:val="007612D4"/>
    <w:rsid w:val="00767D3F"/>
    <w:rsid w:val="00774306"/>
    <w:rsid w:val="00782B80"/>
    <w:rsid w:val="00782C25"/>
    <w:rsid w:val="00786EF4"/>
    <w:rsid w:val="00791092"/>
    <w:rsid w:val="007913EE"/>
    <w:rsid w:val="00791E4D"/>
    <w:rsid w:val="00792C7B"/>
    <w:rsid w:val="007A2BE7"/>
    <w:rsid w:val="007A37BA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04CE8"/>
    <w:rsid w:val="00805B42"/>
    <w:rsid w:val="00810029"/>
    <w:rsid w:val="00812541"/>
    <w:rsid w:val="00823B7E"/>
    <w:rsid w:val="0083252A"/>
    <w:rsid w:val="008349B3"/>
    <w:rsid w:val="00835F6B"/>
    <w:rsid w:val="008370C0"/>
    <w:rsid w:val="00840065"/>
    <w:rsid w:val="00844283"/>
    <w:rsid w:val="00845252"/>
    <w:rsid w:val="0084582F"/>
    <w:rsid w:val="00846ABB"/>
    <w:rsid w:val="00847C0A"/>
    <w:rsid w:val="008512C4"/>
    <w:rsid w:val="008528A0"/>
    <w:rsid w:val="00852F22"/>
    <w:rsid w:val="00860131"/>
    <w:rsid w:val="00860860"/>
    <w:rsid w:val="00862D85"/>
    <w:rsid w:val="00864468"/>
    <w:rsid w:val="00866547"/>
    <w:rsid w:val="00867A97"/>
    <w:rsid w:val="00867BE8"/>
    <w:rsid w:val="00892DA0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1430"/>
    <w:rsid w:val="009034C4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43FF0"/>
    <w:rsid w:val="00950ACA"/>
    <w:rsid w:val="00957F22"/>
    <w:rsid w:val="00961CC4"/>
    <w:rsid w:val="00961F15"/>
    <w:rsid w:val="00962FE4"/>
    <w:rsid w:val="009665AC"/>
    <w:rsid w:val="00990B18"/>
    <w:rsid w:val="009A4F0C"/>
    <w:rsid w:val="009B2208"/>
    <w:rsid w:val="009B3866"/>
    <w:rsid w:val="009B7F1B"/>
    <w:rsid w:val="009C07E2"/>
    <w:rsid w:val="009C09A6"/>
    <w:rsid w:val="009C6632"/>
    <w:rsid w:val="009D0800"/>
    <w:rsid w:val="009D1272"/>
    <w:rsid w:val="009D18F9"/>
    <w:rsid w:val="009D2629"/>
    <w:rsid w:val="009D2AA0"/>
    <w:rsid w:val="009D3B3D"/>
    <w:rsid w:val="009D4156"/>
    <w:rsid w:val="009E3A57"/>
    <w:rsid w:val="009E7AC9"/>
    <w:rsid w:val="009F413A"/>
    <w:rsid w:val="00A00F2A"/>
    <w:rsid w:val="00A02EC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35352"/>
    <w:rsid w:val="00A44C60"/>
    <w:rsid w:val="00A460C9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E5197"/>
    <w:rsid w:val="00AE5FDF"/>
    <w:rsid w:val="00AF1C92"/>
    <w:rsid w:val="00AF7B9B"/>
    <w:rsid w:val="00B06F8B"/>
    <w:rsid w:val="00B154DE"/>
    <w:rsid w:val="00B15880"/>
    <w:rsid w:val="00B169E6"/>
    <w:rsid w:val="00B2400A"/>
    <w:rsid w:val="00B25C26"/>
    <w:rsid w:val="00B261BA"/>
    <w:rsid w:val="00B3064A"/>
    <w:rsid w:val="00B3473A"/>
    <w:rsid w:val="00B37787"/>
    <w:rsid w:val="00B37939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77D46"/>
    <w:rsid w:val="00B800CB"/>
    <w:rsid w:val="00B8074B"/>
    <w:rsid w:val="00B8101A"/>
    <w:rsid w:val="00B861AB"/>
    <w:rsid w:val="00B90420"/>
    <w:rsid w:val="00BA2A45"/>
    <w:rsid w:val="00BB27C2"/>
    <w:rsid w:val="00BB7D50"/>
    <w:rsid w:val="00BC4BEC"/>
    <w:rsid w:val="00BD0575"/>
    <w:rsid w:val="00BD12AC"/>
    <w:rsid w:val="00BD29BB"/>
    <w:rsid w:val="00BD75B8"/>
    <w:rsid w:val="00BD7BF4"/>
    <w:rsid w:val="00BE125E"/>
    <w:rsid w:val="00BE5440"/>
    <w:rsid w:val="00BE5843"/>
    <w:rsid w:val="00BF0359"/>
    <w:rsid w:val="00BF3AF0"/>
    <w:rsid w:val="00C00C40"/>
    <w:rsid w:val="00C01E8F"/>
    <w:rsid w:val="00C024CA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453CF"/>
    <w:rsid w:val="00C522BD"/>
    <w:rsid w:val="00C55C8D"/>
    <w:rsid w:val="00C63F2A"/>
    <w:rsid w:val="00C64F11"/>
    <w:rsid w:val="00C859FF"/>
    <w:rsid w:val="00C907C0"/>
    <w:rsid w:val="00C93837"/>
    <w:rsid w:val="00CA398B"/>
    <w:rsid w:val="00CC4CB1"/>
    <w:rsid w:val="00CC6B7C"/>
    <w:rsid w:val="00CD36BC"/>
    <w:rsid w:val="00CD4659"/>
    <w:rsid w:val="00CD6E8D"/>
    <w:rsid w:val="00CD724F"/>
    <w:rsid w:val="00CE188C"/>
    <w:rsid w:val="00CE6F8C"/>
    <w:rsid w:val="00CF148C"/>
    <w:rsid w:val="00D00D53"/>
    <w:rsid w:val="00D02170"/>
    <w:rsid w:val="00D03058"/>
    <w:rsid w:val="00D0360C"/>
    <w:rsid w:val="00D0775C"/>
    <w:rsid w:val="00D10522"/>
    <w:rsid w:val="00D11D8B"/>
    <w:rsid w:val="00D144FA"/>
    <w:rsid w:val="00D21043"/>
    <w:rsid w:val="00D265EF"/>
    <w:rsid w:val="00D2761D"/>
    <w:rsid w:val="00D30C1E"/>
    <w:rsid w:val="00D3634A"/>
    <w:rsid w:val="00D463F1"/>
    <w:rsid w:val="00D524BB"/>
    <w:rsid w:val="00D531F1"/>
    <w:rsid w:val="00D561C8"/>
    <w:rsid w:val="00D57CCE"/>
    <w:rsid w:val="00D617E2"/>
    <w:rsid w:val="00D65E8E"/>
    <w:rsid w:val="00D6703D"/>
    <w:rsid w:val="00D6731B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E4A4A"/>
    <w:rsid w:val="00DF4F58"/>
    <w:rsid w:val="00E00786"/>
    <w:rsid w:val="00E11F2F"/>
    <w:rsid w:val="00E12CE3"/>
    <w:rsid w:val="00E13A3A"/>
    <w:rsid w:val="00E14CD2"/>
    <w:rsid w:val="00E301AE"/>
    <w:rsid w:val="00E315BC"/>
    <w:rsid w:val="00E33610"/>
    <w:rsid w:val="00E35139"/>
    <w:rsid w:val="00E36E08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76DC6"/>
    <w:rsid w:val="00E87C26"/>
    <w:rsid w:val="00E95AB4"/>
    <w:rsid w:val="00EA2361"/>
    <w:rsid w:val="00EB11D4"/>
    <w:rsid w:val="00EB2886"/>
    <w:rsid w:val="00EB398E"/>
    <w:rsid w:val="00EC4096"/>
    <w:rsid w:val="00EC429C"/>
    <w:rsid w:val="00EC5988"/>
    <w:rsid w:val="00EC6A51"/>
    <w:rsid w:val="00ED05AC"/>
    <w:rsid w:val="00ED10E2"/>
    <w:rsid w:val="00EE4050"/>
    <w:rsid w:val="00EE4149"/>
    <w:rsid w:val="00F04E3E"/>
    <w:rsid w:val="00F10771"/>
    <w:rsid w:val="00F14CAB"/>
    <w:rsid w:val="00F205E5"/>
    <w:rsid w:val="00F512A3"/>
    <w:rsid w:val="00F51AB4"/>
    <w:rsid w:val="00F523A8"/>
    <w:rsid w:val="00F54723"/>
    <w:rsid w:val="00F55092"/>
    <w:rsid w:val="00F57359"/>
    <w:rsid w:val="00F57AF5"/>
    <w:rsid w:val="00F60A86"/>
    <w:rsid w:val="00F62B87"/>
    <w:rsid w:val="00F65208"/>
    <w:rsid w:val="00F67BE6"/>
    <w:rsid w:val="00F702E1"/>
    <w:rsid w:val="00F713AD"/>
    <w:rsid w:val="00F73694"/>
    <w:rsid w:val="00F819B4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0BB0"/>
    <w:rsid w:val="00FA102C"/>
    <w:rsid w:val="00FB3124"/>
    <w:rsid w:val="00FC5616"/>
    <w:rsid w:val="00FD328C"/>
    <w:rsid w:val="00FD7299"/>
    <w:rsid w:val="00FE2094"/>
    <w:rsid w:val="00FE764B"/>
    <w:rsid w:val="00FF0A29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5352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A35352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A35352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A35352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A35352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A35352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A35352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3535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3535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3535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A35352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A35352"/>
  </w:style>
  <w:style w:type="table" w:customStyle="1" w:styleId="tblzat-mtrix">
    <w:name w:val="táblázat - mátrix"/>
    <w:basedOn w:val="Normltblzat"/>
    <w:uiPriority w:val="2"/>
    <w:qFormat/>
    <w:rsid w:val="00A353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A353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A35352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A3535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A353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A3535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5352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A35352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535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A353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35352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A353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35352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A35352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35352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A35352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A35352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A35352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A35352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A35352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A35352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A35352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A35352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3535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35352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35352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A35352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A35352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A35352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A35352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A35352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A35352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35352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A3535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A35352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A35352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35352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35352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A35352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A35352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A35352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A35352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A35352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A35352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A35352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A35352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A35352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A35352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A35352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A35352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A3535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A35352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A35352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A35352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A35352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A35352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A35352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A35352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A35352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35352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A35352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A35352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A35352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A35352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A35352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A35352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A35352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A35352"/>
    <w:rPr>
      <w:rFonts w:ascii="Calibri" w:hAnsi="Calibri"/>
    </w:rPr>
  </w:style>
  <w:style w:type="character" w:styleId="Kiemels2">
    <w:name w:val="Strong"/>
    <w:basedOn w:val="Bekezdsalapbettpusa"/>
    <w:uiPriority w:val="22"/>
    <w:rsid w:val="00A35352"/>
    <w:rPr>
      <w:b/>
      <w:bCs/>
    </w:rPr>
  </w:style>
  <w:style w:type="character" w:styleId="Kiemels">
    <w:name w:val="Emphasis"/>
    <w:basedOn w:val="Bekezdsalapbettpusa"/>
    <w:uiPriority w:val="6"/>
    <w:qFormat/>
    <w:rsid w:val="00A35352"/>
    <w:rPr>
      <w:i/>
      <w:iCs/>
    </w:rPr>
  </w:style>
  <w:style w:type="paragraph" w:styleId="Nincstrkz">
    <w:name w:val="No Spacing"/>
    <w:basedOn w:val="Norml"/>
    <w:uiPriority w:val="1"/>
    <w:rsid w:val="00A35352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A35352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A35352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A35352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35352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A35352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A35352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35352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A35352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09544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9544C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9544C"/>
    <w:rPr>
      <w:rFonts w:ascii="Calibri" w:hAnsi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5352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A35352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A35352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A35352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A35352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A35352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A35352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3535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3535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3535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A35352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A35352"/>
  </w:style>
  <w:style w:type="table" w:customStyle="1" w:styleId="tblzat-mtrix">
    <w:name w:val="táblázat - mátrix"/>
    <w:basedOn w:val="Normltblzat"/>
    <w:uiPriority w:val="2"/>
    <w:qFormat/>
    <w:rsid w:val="00A353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A353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A35352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A3535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A353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A3535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5352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A35352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535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A353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35352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A353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35352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A35352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35352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A35352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A35352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A35352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A35352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A35352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A35352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A35352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A35352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3535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35352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35352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A35352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A35352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A35352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A35352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A35352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A35352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35352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A3535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A35352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A35352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35352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35352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A35352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A35352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A35352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A35352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A35352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A35352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A35352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A35352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A35352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A35352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A35352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A35352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A3535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A35352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A35352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A35352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A35352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A35352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A35352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A35352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A35352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35352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A35352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A35352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A35352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A35352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A35352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A35352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A35352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A35352"/>
    <w:rPr>
      <w:rFonts w:ascii="Calibri" w:hAnsi="Calibri"/>
    </w:rPr>
  </w:style>
  <w:style w:type="character" w:styleId="Kiemels2">
    <w:name w:val="Strong"/>
    <w:basedOn w:val="Bekezdsalapbettpusa"/>
    <w:uiPriority w:val="22"/>
    <w:rsid w:val="00A35352"/>
    <w:rPr>
      <w:b/>
      <w:bCs/>
    </w:rPr>
  </w:style>
  <w:style w:type="character" w:styleId="Kiemels">
    <w:name w:val="Emphasis"/>
    <w:basedOn w:val="Bekezdsalapbettpusa"/>
    <w:uiPriority w:val="6"/>
    <w:qFormat/>
    <w:rsid w:val="00A35352"/>
    <w:rPr>
      <w:i/>
      <w:iCs/>
    </w:rPr>
  </w:style>
  <w:style w:type="paragraph" w:styleId="Nincstrkz">
    <w:name w:val="No Spacing"/>
    <w:basedOn w:val="Norml"/>
    <w:uiPriority w:val="1"/>
    <w:rsid w:val="00A35352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A35352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A35352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A35352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35352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A35352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A35352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35352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A35352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09544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9544C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9544C"/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iopa.europa.eu/regulation-supervision/guidelines" TargetMode="Externa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0DF81B8E-407D-48F7-BA08-6430601E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3803</Words>
  <Characters>26248</Characters>
  <Application>Microsoft Office Word</Application>
  <DocSecurity>0</DocSecurity>
  <Lines>218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29992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Gabriella Györgyi Dr.</dc:creator>
  <cp:lastModifiedBy>Fenyvesi Réka</cp:lastModifiedBy>
  <cp:revision>2</cp:revision>
  <cp:lastPrinted>2015-11-06T09:47:00Z</cp:lastPrinted>
  <dcterms:created xsi:type="dcterms:W3CDTF">2015-12-11T09:19:00Z</dcterms:created>
  <dcterms:modified xsi:type="dcterms:W3CDTF">2015-12-11T09:19:00Z</dcterms:modified>
</cp:coreProperties>
</file>