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C220AA" w:rsidRDefault="00253A9D" w:rsidP="00253A9D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>A Magyar Nemzeti Bank H-STA-I-</w:t>
      </w:r>
      <w:r w:rsidR="009A68BF">
        <w:rPr>
          <w:b/>
          <w:sz w:val="22"/>
        </w:rPr>
        <w:t>B-54</w:t>
      </w:r>
      <w:r w:rsidRPr="00C220AA">
        <w:rPr>
          <w:b/>
          <w:sz w:val="22"/>
        </w:rPr>
        <w:t>/201</w:t>
      </w:r>
      <w:r w:rsidR="00FC1EB1">
        <w:rPr>
          <w:b/>
          <w:sz w:val="22"/>
        </w:rPr>
        <w:t>8</w:t>
      </w:r>
      <w:r w:rsidRPr="00C220AA">
        <w:rPr>
          <w:b/>
          <w:sz w:val="22"/>
        </w:rPr>
        <w:t xml:space="preserve"> számú határozata a</w:t>
      </w:r>
      <w:r>
        <w:rPr>
          <w:b/>
          <w:sz w:val="22"/>
        </w:rPr>
        <w:t xml:space="preserve"> </w:t>
      </w:r>
      <w:r w:rsidR="00F84B0B" w:rsidRPr="00954DCF">
        <w:rPr>
          <w:b/>
          <w:noProof/>
          <w:sz w:val="22"/>
        </w:rPr>
        <w:t>KALMÁR-AUTO 2001 Kft.</w:t>
      </w:r>
      <w:r w:rsidRPr="00C220AA">
        <w:rPr>
          <w:b/>
          <w:sz w:val="22"/>
        </w:rPr>
        <w:t xml:space="preserve">-vel szemben intézkedések </w:t>
      </w:r>
      <w:r w:rsidR="00F84B0B">
        <w:rPr>
          <w:b/>
          <w:sz w:val="22"/>
        </w:rPr>
        <w:t>ismételt alkalmazása és</w:t>
      </w:r>
      <w:r w:rsidR="00FC1EB1">
        <w:rPr>
          <w:b/>
          <w:sz w:val="22"/>
        </w:rPr>
        <w:t xml:space="preserve"> bírság </w:t>
      </w:r>
      <w:r w:rsidR="00F84B0B">
        <w:rPr>
          <w:b/>
          <w:sz w:val="22"/>
        </w:rPr>
        <w:t>kiszabása</w:t>
      </w:r>
      <w:r w:rsidR="00FC1EB1">
        <w:rPr>
          <w:b/>
          <w:sz w:val="22"/>
        </w:rPr>
        <w:t xml:space="preserve"> tárgyában</w:t>
      </w:r>
    </w:p>
    <w:p w:rsidR="00253A9D" w:rsidRDefault="00253A9D" w:rsidP="00E07A5F">
      <w:pPr>
        <w:spacing w:after="0"/>
        <w:rPr>
          <w:b/>
          <w:sz w:val="22"/>
        </w:rPr>
      </w:pPr>
    </w:p>
    <w:p w:rsidR="00253A9D" w:rsidRPr="00DF664A" w:rsidRDefault="00253A9D" w:rsidP="00E07A5F">
      <w:pPr>
        <w:spacing w:after="0"/>
        <w:rPr>
          <w:b/>
          <w:sz w:val="22"/>
        </w:rPr>
      </w:pPr>
    </w:p>
    <w:p w:rsidR="00F84B0B" w:rsidRPr="00DF201C" w:rsidRDefault="00F84B0B" w:rsidP="00F84B0B">
      <w:pPr>
        <w:spacing w:after="0"/>
        <w:rPr>
          <w:sz w:val="22"/>
          <w:szCs w:val="22"/>
        </w:rPr>
      </w:pPr>
      <w:r w:rsidRPr="00DF201C">
        <w:rPr>
          <w:sz w:val="22"/>
        </w:rPr>
        <w:t xml:space="preserve">A Magyar Nemzeti Bank (székhely: 1054 Budapest, Szabadság tér 8-9.; a továbbiakban: MNB) a </w:t>
      </w:r>
      <w:r w:rsidRPr="00954DCF">
        <w:rPr>
          <w:noProof/>
          <w:sz w:val="22"/>
        </w:rPr>
        <w:t>KALMÁR-AUTO 2001 Kft.</w:t>
      </w:r>
      <w:r w:rsidRPr="00DF201C">
        <w:rPr>
          <w:noProof/>
          <w:sz w:val="22"/>
        </w:rPr>
        <w:t>-vel</w:t>
      </w:r>
      <w:r w:rsidRPr="00DF201C">
        <w:rPr>
          <w:sz w:val="22"/>
        </w:rPr>
        <w:t xml:space="preserve"> (székhely: </w:t>
      </w:r>
      <w:r w:rsidRPr="00954DCF">
        <w:rPr>
          <w:noProof/>
          <w:sz w:val="22"/>
        </w:rPr>
        <w:t>9444</w:t>
      </w:r>
      <w:r w:rsidRPr="00DF201C">
        <w:rPr>
          <w:sz w:val="22"/>
        </w:rPr>
        <w:t xml:space="preserve"> </w:t>
      </w:r>
      <w:r w:rsidRPr="00954DCF">
        <w:rPr>
          <w:noProof/>
          <w:sz w:val="22"/>
        </w:rPr>
        <w:t>Fertőszentmiklós</w:t>
      </w:r>
      <w:r>
        <w:rPr>
          <w:sz w:val="22"/>
        </w:rPr>
        <w:t>,</w:t>
      </w:r>
      <w:r w:rsidRPr="00DF201C">
        <w:rPr>
          <w:sz w:val="22"/>
        </w:rPr>
        <w:t xml:space="preserve"> </w:t>
      </w:r>
      <w:r w:rsidRPr="00954DCF">
        <w:rPr>
          <w:noProof/>
          <w:sz w:val="22"/>
        </w:rPr>
        <w:t>Soproni úti ipartelep 1747/49 hrsz.</w:t>
      </w:r>
      <w:r w:rsidRPr="00DF201C">
        <w:rPr>
          <w:sz w:val="22"/>
        </w:rPr>
        <w:t xml:space="preserve">, cégjegyzékszám: </w:t>
      </w:r>
      <w:r w:rsidRPr="00954DCF">
        <w:rPr>
          <w:noProof/>
          <w:sz w:val="22"/>
        </w:rPr>
        <w:t>08-09-009464</w:t>
      </w:r>
      <w:r w:rsidRPr="00DF201C">
        <w:rPr>
          <w:sz w:val="22"/>
          <w:szCs w:val="22"/>
        </w:rPr>
        <w:t>; a továbbiakban: Független közvetítő) szemben</w:t>
      </w:r>
      <w:r w:rsidRPr="00DF201C">
        <w:rPr>
          <w:sz w:val="22"/>
        </w:rPr>
        <w:t xml:space="preserve"> a</w:t>
      </w:r>
      <w:r w:rsidRPr="00DF201C">
        <w:rPr>
          <w:bCs/>
          <w:sz w:val="22"/>
          <w:szCs w:val="22"/>
        </w:rPr>
        <w:t xml:space="preserve"> Magyar Nemzeti Bankról szóló 2013. évi CXXXIX. törvény (a továbbiakban: MNB tv.)</w:t>
      </w:r>
      <w:r w:rsidRPr="00DF201C">
        <w:rPr>
          <w:sz w:val="22"/>
        </w:rPr>
        <w:t xml:space="preserve"> 62. § (1) bekezdés c) pontja és (2) bekezdése, valamint 63. § (3) bekezdése alapján, a jogszabályon alapuló adatszolgáltatások hivatalból végzett folyamatos ellenőrzésének (a továbbiakban: folyamatos ellenőrzés)</w:t>
      </w:r>
      <w:r w:rsidRPr="00DF201C">
        <w:rPr>
          <w:sz w:val="22"/>
          <w:szCs w:val="22"/>
        </w:rPr>
        <w:t xml:space="preserve"> </w:t>
      </w:r>
      <w:r w:rsidRPr="00DF201C">
        <w:rPr>
          <w:sz w:val="22"/>
        </w:rPr>
        <w:t>megállapításaira</w:t>
      </w:r>
      <w:r w:rsidRPr="00DF201C">
        <w:rPr>
          <w:sz w:val="22"/>
          <w:szCs w:val="22"/>
        </w:rPr>
        <w:t xml:space="preserve"> tekintettel az alábbi</w:t>
      </w:r>
    </w:p>
    <w:p w:rsidR="00F84B0B" w:rsidRPr="00DF664A" w:rsidRDefault="00F84B0B" w:rsidP="00F84B0B">
      <w:pPr>
        <w:spacing w:after="0"/>
        <w:rPr>
          <w:sz w:val="22"/>
        </w:rPr>
      </w:pPr>
    </w:p>
    <w:p w:rsidR="00F84B0B" w:rsidRDefault="00F84B0B" w:rsidP="00F84B0B">
      <w:pPr>
        <w:spacing w:after="0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F84B0B" w:rsidRPr="00DF664A" w:rsidRDefault="00F84B0B" w:rsidP="00F84B0B">
      <w:pPr>
        <w:spacing w:after="0"/>
        <w:jc w:val="center"/>
        <w:rPr>
          <w:sz w:val="22"/>
        </w:rPr>
      </w:pPr>
    </w:p>
    <w:p w:rsidR="00F84B0B" w:rsidRDefault="00F84B0B" w:rsidP="00F84B0B">
      <w:pPr>
        <w:pStyle w:val="Szvegtrzs"/>
        <w:spacing w:after="0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F84B0B" w:rsidRDefault="00F84B0B" w:rsidP="00F84B0B">
      <w:pPr>
        <w:pStyle w:val="elolapsor"/>
        <w:tabs>
          <w:tab w:val="clear" w:pos="2835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:rsidR="00F84B0B" w:rsidRDefault="00F84B0B" w:rsidP="00F84B0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F84B0B" w:rsidRDefault="00F84B0B" w:rsidP="00F84B0B">
      <w:pPr>
        <w:pStyle w:val="elolapsor"/>
        <w:tabs>
          <w:tab w:val="clear" w:pos="2835"/>
        </w:tabs>
        <w:spacing w:after="0" w:line="240" w:lineRule="auto"/>
        <w:rPr>
          <w:rFonts w:ascii="Calibri" w:hAnsi="Calibri"/>
          <w:bCs/>
          <w:sz w:val="22"/>
          <w:szCs w:val="22"/>
        </w:rPr>
      </w:pPr>
    </w:p>
    <w:p w:rsidR="00F84B0B" w:rsidRDefault="00F84B0B" w:rsidP="00F84B0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F84B0B" w:rsidRDefault="00F84B0B" w:rsidP="00F84B0B">
      <w:pPr>
        <w:pStyle w:val="elolapsor"/>
        <w:tabs>
          <w:tab w:val="clear" w:pos="2835"/>
        </w:tabs>
        <w:spacing w:after="0"/>
        <w:ind w:left="720"/>
        <w:rPr>
          <w:rFonts w:ascii="Calibri" w:hAnsi="Calibri"/>
          <w:bCs/>
          <w:sz w:val="22"/>
          <w:szCs w:val="22"/>
        </w:rPr>
      </w:pPr>
    </w:p>
    <w:p w:rsidR="00F84B0B" w:rsidRPr="00DF664A" w:rsidRDefault="00F84B0B" w:rsidP="00F84B0B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Az I. foglalt kötelezettség határidőre történő teljesítésének elmaradása vagy az MNB </w:t>
      </w:r>
      <w:r w:rsidRPr="00DF664A">
        <w:rPr>
          <w:rFonts w:ascii="Calibri" w:hAnsi="Calibri"/>
          <w:bCs/>
          <w:sz w:val="22"/>
          <w:szCs w:val="22"/>
        </w:rPr>
        <w:t>ellenőrzési hatáskörébe tartozó jogszabályok és az MNB hatósági határozatai ismételt megsértése esetén az MNB a</w:t>
      </w:r>
      <w:r>
        <w:rPr>
          <w:rFonts w:ascii="Calibri" w:hAnsi="Calibri"/>
          <w:bCs/>
          <w:sz w:val="22"/>
          <w:szCs w:val="22"/>
        </w:rPr>
        <w:t>z</w:t>
      </w:r>
      <w:r w:rsidRPr="007904A0">
        <w:rPr>
          <w:rFonts w:ascii="Calibri" w:hAnsi="Calibri"/>
          <w:bCs/>
          <w:sz w:val="22"/>
          <w:szCs w:val="22"/>
        </w:rPr>
        <w:t xml:space="preserve"> MNB tv.</w:t>
      </w:r>
      <w:r w:rsidRPr="00DF664A">
        <w:rPr>
          <w:rFonts w:ascii="Calibri" w:hAnsi="Calibri"/>
          <w:bCs/>
          <w:sz w:val="22"/>
          <w:szCs w:val="22"/>
        </w:rPr>
        <w:t xml:space="preserve"> 75. §-a alapján, </w:t>
      </w:r>
      <w:r w:rsidRPr="008B4C58">
        <w:rPr>
          <w:rFonts w:ascii="Calibri" w:hAnsi="Calibri"/>
          <w:bCs/>
          <w:sz w:val="22"/>
          <w:szCs w:val="22"/>
        </w:rPr>
        <w:t xml:space="preserve">a hitelintézetekről és a pénzügyi vállalkozásokról szóló 2013. CCXXXVII. törvény (a továbbiakban: Hpt.) </w:t>
      </w:r>
      <w:r w:rsidRPr="000B0E3D">
        <w:rPr>
          <w:rFonts w:ascii="Calibri" w:hAnsi="Calibri"/>
          <w:bCs/>
          <w:sz w:val="22"/>
          <w:szCs w:val="22"/>
        </w:rPr>
        <w:t>185.</w:t>
      </w:r>
      <w:r>
        <w:rPr>
          <w:rFonts w:ascii="Calibri" w:hAnsi="Calibri"/>
          <w:bCs/>
          <w:sz w:val="22"/>
          <w:szCs w:val="22"/>
        </w:rPr>
        <w:t>, valamint 34</w:t>
      </w:r>
      <w:r w:rsidRPr="000B0E3D">
        <w:rPr>
          <w:rFonts w:ascii="Calibri" w:hAnsi="Calibri"/>
          <w:bCs/>
          <w:sz w:val="22"/>
          <w:szCs w:val="22"/>
        </w:rPr>
        <w:t>. §-a szerint</w:t>
      </w:r>
      <w:r w:rsidRPr="00DF664A">
        <w:rPr>
          <w:rFonts w:ascii="Calibri" w:hAnsi="Calibri"/>
          <w:bCs/>
          <w:sz w:val="22"/>
          <w:szCs w:val="22"/>
        </w:rPr>
        <w:t xml:space="preserve"> további intézkedést alkalmazhat, így </w:t>
      </w:r>
      <w:r>
        <w:rPr>
          <w:rFonts w:ascii="Calibri" w:hAnsi="Calibri"/>
          <w:bCs/>
          <w:sz w:val="22"/>
          <w:szCs w:val="22"/>
        </w:rPr>
        <w:t xml:space="preserve">ismételten </w:t>
      </w:r>
      <w:r w:rsidRPr="00DF664A">
        <w:rPr>
          <w:rFonts w:ascii="Calibri" w:hAnsi="Calibri"/>
          <w:bCs/>
          <w:sz w:val="22"/>
          <w:szCs w:val="22"/>
        </w:rPr>
        <w:t>bírságot szabhat ki, továbbá visszavonhatja a tevékenységi engedélyt.</w:t>
      </w:r>
      <w:r w:rsidRPr="00525848">
        <w:rPr>
          <w:rFonts w:ascii="Calibri" w:hAnsi="Calibri"/>
          <w:bCs/>
          <w:iCs/>
          <w:sz w:val="22"/>
          <w:szCs w:val="22"/>
        </w:rPr>
        <w:t xml:space="preserve"> </w:t>
      </w:r>
      <w:r w:rsidRPr="0004758D">
        <w:rPr>
          <w:rFonts w:ascii="Calibri" w:hAnsi="Calibri"/>
          <w:bCs/>
          <w:iCs/>
          <w:sz w:val="22"/>
          <w:szCs w:val="22"/>
        </w:rPr>
        <w:t>A bírság összege az MNB tv. 76. § (1)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r w:rsidRPr="0004758D">
        <w:rPr>
          <w:rFonts w:ascii="Calibri" w:hAnsi="Calibri"/>
          <w:bCs/>
          <w:iCs/>
          <w:sz w:val="22"/>
          <w:szCs w:val="22"/>
        </w:rPr>
        <w:t>bekezdése értelmében százezer forinttól kétmilliárd forintig terjedhet.</w:t>
      </w:r>
    </w:p>
    <w:p w:rsidR="00F84B0B" w:rsidRDefault="00F84B0B" w:rsidP="00F84B0B">
      <w:pPr>
        <w:pStyle w:val="StyleHeading2Centered"/>
        <w:keepNext w:val="0"/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84B0B" w:rsidRDefault="00F84B0B" w:rsidP="00F84B0B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a</w:t>
      </w:r>
      <w:r w:rsidRPr="00E37BCF">
        <w:rPr>
          <w:rFonts w:ascii="Calibri" w:hAnsi="Calibri"/>
          <w:sz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Független közvetítőt </w:t>
      </w:r>
      <w:r>
        <w:rPr>
          <w:rFonts w:ascii="Calibri" w:hAnsi="Calibri"/>
          <w:iCs/>
          <w:sz w:val="22"/>
        </w:rPr>
        <w:t>100</w:t>
      </w:r>
      <w:r w:rsidRPr="00E37BCF">
        <w:rPr>
          <w:rFonts w:ascii="Calibri" w:hAnsi="Calibri"/>
          <w:iCs/>
          <w:sz w:val="22"/>
        </w:rPr>
        <w:t xml:space="preserve"> 000 Ft, azaz </w:t>
      </w:r>
      <w:r>
        <w:rPr>
          <w:rFonts w:ascii="Calibri" w:hAnsi="Calibri"/>
          <w:iCs/>
          <w:sz w:val="22"/>
        </w:rPr>
        <w:t>száz</w:t>
      </w:r>
      <w:r w:rsidRPr="00E37BCF">
        <w:rPr>
          <w:rFonts w:ascii="Calibri" w:hAnsi="Calibri"/>
          <w:iCs/>
          <w:sz w:val="22"/>
        </w:rPr>
        <w:t>ezer forint</w:t>
      </w:r>
      <w:r w:rsidRPr="00E37BCF">
        <w:rPr>
          <w:rFonts w:ascii="Calibri" w:hAnsi="Calibri"/>
          <w:i/>
          <w:iCs/>
          <w:sz w:val="22"/>
        </w:rPr>
        <w:t xml:space="preserve"> </w:t>
      </w:r>
      <w:r w:rsidRPr="00E37BCF">
        <w:rPr>
          <w:rFonts w:ascii="Calibri" w:hAnsi="Calibri"/>
          <w:sz w:val="22"/>
        </w:rPr>
        <w:t>összegű bírság megfizetésére kötelez</w:t>
      </w:r>
      <w:r>
        <w:rPr>
          <w:rFonts w:ascii="Calibri" w:hAnsi="Calibri"/>
          <w:sz w:val="22"/>
        </w:rPr>
        <w:t>i</w:t>
      </w:r>
      <w:r w:rsidRPr="00E37BCF">
        <w:rPr>
          <w:rFonts w:ascii="Calibri" w:hAnsi="Calibri"/>
          <w:bCs/>
          <w:sz w:val="22"/>
        </w:rPr>
        <w:t>.</w:t>
      </w:r>
    </w:p>
    <w:p w:rsidR="00F84B0B" w:rsidRDefault="00F84B0B" w:rsidP="00F84B0B">
      <w:pPr>
        <w:pStyle w:val="Szvegtrzs"/>
        <w:spacing w:after="0"/>
        <w:rPr>
          <w:bCs/>
          <w:iCs/>
          <w:sz w:val="22"/>
        </w:rPr>
      </w:pPr>
    </w:p>
    <w:p w:rsidR="00F84B0B" w:rsidRPr="00E37BCF" w:rsidRDefault="00F84B0B" w:rsidP="00F84B0B">
      <w:pPr>
        <w:pStyle w:val="Szvegtrzs"/>
        <w:spacing w:after="0"/>
        <w:rPr>
          <w:bCs/>
          <w:iCs/>
          <w:sz w:val="22"/>
        </w:rPr>
      </w:pPr>
      <w:r w:rsidRPr="00E37BCF">
        <w:rPr>
          <w:bCs/>
          <w:iCs/>
          <w:sz w:val="22"/>
        </w:rPr>
        <w:t xml:space="preserve">A kiszabott bírságot jelen határozat </w:t>
      </w:r>
      <w:r>
        <w:rPr>
          <w:bCs/>
          <w:iCs/>
          <w:sz w:val="22"/>
        </w:rPr>
        <w:t>véglegessé válásától</w:t>
      </w:r>
      <w:r w:rsidRPr="00E37BCF">
        <w:rPr>
          <w:bCs/>
          <w:iCs/>
          <w:sz w:val="22"/>
        </w:rPr>
        <w:t xml:space="preserve"> számított 30 napon belül kell az MNB 19017004-01678000-30900002 számú számlájára történő átutalással – „bírság” megjelöléssel, valamint a határozat hivatkozási számának feltüntetésével – megfizetni. </w:t>
      </w:r>
    </w:p>
    <w:p w:rsidR="00F84B0B" w:rsidRDefault="00F84B0B" w:rsidP="00F84B0B">
      <w:pPr>
        <w:pStyle w:val="Szvegtrzs"/>
        <w:spacing w:after="0"/>
        <w:rPr>
          <w:bCs/>
          <w:iCs/>
          <w:sz w:val="22"/>
        </w:rPr>
      </w:pPr>
    </w:p>
    <w:p w:rsidR="00F84B0B" w:rsidRPr="00E37BCF" w:rsidRDefault="00F84B0B" w:rsidP="00F84B0B">
      <w:pPr>
        <w:rPr>
          <w:bCs/>
          <w:iCs/>
          <w:sz w:val="22"/>
        </w:rPr>
      </w:pPr>
      <w:r w:rsidRPr="00E37BCF">
        <w:rPr>
          <w:bCs/>
          <w:iCs/>
          <w:sz w:val="22"/>
        </w:rPr>
        <w:t xml:space="preserve">A bírság megfizetésére meghatározott határidő elmulasztása esetén, a be nem fizetett bírságösszeg után </w:t>
      </w:r>
      <w:r w:rsidRPr="00C13842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 xml:space="preserve">Független közvetítő </w:t>
      </w:r>
      <w:r w:rsidRPr="00E37BCF">
        <w:rPr>
          <w:bCs/>
          <w:iCs/>
          <w:sz w:val="22"/>
        </w:rPr>
        <w:t>késedelmi pótlék</w:t>
      </w:r>
      <w:r>
        <w:rPr>
          <w:bCs/>
          <w:iCs/>
          <w:sz w:val="22"/>
        </w:rPr>
        <w:t>ot köteles fizetni</w:t>
      </w:r>
      <w:r w:rsidRPr="00E37BCF">
        <w:rPr>
          <w:bCs/>
          <w:iCs/>
          <w:sz w:val="22"/>
        </w:rPr>
        <w:t xml:space="preserve">, amelynek </w:t>
      </w:r>
      <w:r w:rsidRPr="00C13842">
        <w:rPr>
          <w:bCs/>
          <w:iCs/>
          <w:sz w:val="22"/>
          <w:szCs w:val="22"/>
        </w:rPr>
        <w:t xml:space="preserve">mértéke minden naptári nap után a felszámítás időpontjában érvényes jegybanki alapkamat kétszeresének 365-öd (háromszázhatvanötöd) </w:t>
      </w:r>
      <w:r w:rsidRPr="00C13842">
        <w:rPr>
          <w:bCs/>
          <w:iCs/>
          <w:sz w:val="22"/>
          <w:szCs w:val="22"/>
        </w:rPr>
        <w:lastRenderedPageBreak/>
        <w:t>része</w:t>
      </w:r>
      <w:r w:rsidRPr="00E37BCF">
        <w:rPr>
          <w:bCs/>
          <w:iCs/>
          <w:sz w:val="22"/>
        </w:rPr>
        <w:t xml:space="preserve">. A késedelmi pótlékot az MNB fent hivatkozott számú számlájára kell átutalással – „késedelmi pótlék” megjelöléssel, valamint a határozat hivatkozási számának feltüntetésével – megfizetni. </w:t>
      </w:r>
    </w:p>
    <w:p w:rsidR="00F84B0B" w:rsidRDefault="00F84B0B" w:rsidP="00F84B0B">
      <w:pPr>
        <w:pStyle w:val="Szvegtrzs"/>
        <w:spacing w:after="0"/>
        <w:rPr>
          <w:sz w:val="22"/>
          <w:szCs w:val="22"/>
        </w:rPr>
      </w:pPr>
    </w:p>
    <w:p w:rsidR="00017F8D" w:rsidRPr="00DF664A" w:rsidRDefault="00F84B0B" w:rsidP="00F84B0B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  <w:r w:rsidRPr="00DF664A">
        <w:rPr>
          <w:rFonts w:ascii="Calibri" w:hAnsi="Calibri"/>
          <w:sz w:val="22"/>
          <w:szCs w:val="22"/>
        </w:rPr>
        <w:t>Az eljárás során eljárási költség nem merült fel.</w:t>
      </w:r>
    </w:p>
    <w:p w:rsidR="00017F8D" w:rsidRPr="00DF664A" w:rsidRDefault="00017F8D" w:rsidP="00017F8D">
      <w:pPr>
        <w:pStyle w:val="StyleHeading2Centered"/>
        <w:keepNext w:val="0"/>
        <w:tabs>
          <w:tab w:val="left" w:pos="2694"/>
        </w:tabs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1613DB" w:rsidRDefault="00253A9D" w:rsidP="000347F8">
      <w:pPr>
        <w:spacing w:after="0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D319FB">
        <w:rPr>
          <w:sz w:val="22"/>
        </w:rPr>
        <w:t xml:space="preserve">április </w:t>
      </w:r>
      <w:r w:rsidR="00C07E6D">
        <w:rPr>
          <w:sz w:val="22"/>
        </w:rPr>
        <w:t>5.</w:t>
      </w:r>
      <w:bookmarkStart w:id="1" w:name="_GoBack"/>
      <w:bookmarkEnd w:id="1"/>
    </w:p>
    <w:p w:rsidR="00E71A2A" w:rsidRDefault="00E71A2A" w:rsidP="000347F8">
      <w:pPr>
        <w:spacing w:after="0"/>
        <w:rPr>
          <w:sz w:val="22"/>
        </w:rPr>
      </w:pPr>
    </w:p>
    <w:p w:rsidR="00E71A2A" w:rsidRDefault="00E71A2A" w:rsidP="000347F8">
      <w:pPr>
        <w:spacing w:after="0"/>
        <w:rPr>
          <w:sz w:val="22"/>
        </w:rPr>
      </w:pPr>
    </w:p>
    <w:bookmarkEnd w:id="0"/>
    <w:p w:rsidR="00FC1EB1" w:rsidRPr="00DF664A" w:rsidRDefault="00FC1EB1" w:rsidP="00FC1EB1">
      <w:pPr>
        <w:spacing w:after="0"/>
        <w:rPr>
          <w:sz w:val="22"/>
        </w:rPr>
      </w:pPr>
      <w:r w:rsidRPr="00DF664A">
        <w:rPr>
          <w:sz w:val="22"/>
        </w:rPr>
        <w:t xml:space="preserve">a Magyar Nemzeti Bank </w:t>
      </w:r>
      <w:proofErr w:type="gramStart"/>
      <w:r>
        <w:rPr>
          <w:sz w:val="22"/>
        </w:rPr>
        <w:t>igazgatósága</w:t>
      </w:r>
      <w:proofErr w:type="gramEnd"/>
      <w:r>
        <w:rPr>
          <w:sz w:val="22"/>
        </w:rPr>
        <w:t xml:space="preserve"> mint a hatáskör gyakorlója</w:t>
      </w:r>
    </w:p>
    <w:p w:rsidR="00FC1EB1" w:rsidRPr="00DF664A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sz w:val="22"/>
        </w:rPr>
      </w:pPr>
    </w:p>
    <w:p w:rsidR="00FC1EB1" w:rsidRDefault="00FC1EB1" w:rsidP="00FC1EB1">
      <w:pPr>
        <w:spacing w:after="0"/>
        <w:rPr>
          <w:b/>
          <w:sz w:val="24"/>
          <w:szCs w:val="24"/>
        </w:rPr>
      </w:pPr>
      <w:r w:rsidRPr="001753B0">
        <w:rPr>
          <w:b/>
          <w:sz w:val="24"/>
          <w:szCs w:val="24"/>
        </w:rPr>
        <w:t>Dr. Gerhardt Ferenc</w:t>
      </w:r>
      <w:r w:rsidR="00386B7F">
        <w:rPr>
          <w:b/>
          <w:sz w:val="24"/>
          <w:szCs w:val="24"/>
        </w:rPr>
        <w:t xml:space="preserve"> s.k.</w:t>
      </w:r>
    </w:p>
    <w:p w:rsidR="00FC1EB1" w:rsidRPr="005E2F42" w:rsidRDefault="00FC1EB1" w:rsidP="002C0B19">
      <w:pPr>
        <w:spacing w:after="0"/>
        <w:rPr>
          <w:sz w:val="22"/>
        </w:rPr>
      </w:pPr>
      <w:r>
        <w:rPr>
          <w:sz w:val="24"/>
          <w:szCs w:val="24"/>
        </w:rPr>
        <w:t xml:space="preserve">statisztikáért és pénzügyi infrastruktúrákért felelős </w:t>
      </w:r>
      <w:r w:rsidRPr="005E2F42">
        <w:rPr>
          <w:sz w:val="24"/>
          <w:szCs w:val="24"/>
        </w:rPr>
        <w:t>alelnök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kiadmányozó</w:t>
      </w:r>
      <w:proofErr w:type="spellEnd"/>
    </w:p>
    <w:p w:rsidR="005E2F42" w:rsidRPr="00E71A2A" w:rsidRDefault="005E2F42" w:rsidP="00FC1EB1">
      <w:pPr>
        <w:spacing w:after="0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B19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A68BF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07E6D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319FB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4B0B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3955646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0B19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2C0B1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C0B19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C0B19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C0B19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C0B19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C0B19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0B1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0B1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0B1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C0B1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C0B19"/>
  </w:style>
  <w:style w:type="table" w:customStyle="1" w:styleId="tblzat-mtrix">
    <w:name w:val="táblázat - mátrix"/>
    <w:basedOn w:val="Normltblzat"/>
    <w:uiPriority w:val="2"/>
    <w:qFormat/>
    <w:rsid w:val="002C0B1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C0B1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C0B1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C0B1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C0B1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2C0B1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B1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C0B1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B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0B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B19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2C0B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B19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2C0B1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C0B19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C0B19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C0B19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C0B19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2C0B19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C0B19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C0B19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C0B19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C0B19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0B1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0B1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0B1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2C0B1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C0B1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C0B1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C0B1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2C0B19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C0B19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C0B1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2C0B1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C0B19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C0B1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C0B19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C0B1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2C0B19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C0B1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C0B1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C0B19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C0B19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2C0B19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2C0B1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C0B1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C0B1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C0B19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C0B19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C0B19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2C0B1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C0B19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C0B1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C0B19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2C0B1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C0B19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2C0B1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C0B19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C0B1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C0B1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C0B1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C0B1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C0B1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C0B1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C0B1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C0B1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C0B1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C0B19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2C0B19"/>
    <w:rPr>
      <w:b/>
      <w:bCs/>
    </w:rPr>
  </w:style>
  <w:style w:type="character" w:styleId="Kiemels">
    <w:name w:val="Emphasis"/>
    <w:basedOn w:val="Bekezdsalapbettpusa"/>
    <w:uiPriority w:val="6"/>
    <w:qFormat/>
    <w:rsid w:val="002C0B19"/>
    <w:rPr>
      <w:i/>
      <w:iCs/>
    </w:rPr>
  </w:style>
  <w:style w:type="paragraph" w:styleId="Nincstrkz">
    <w:name w:val="No Spacing"/>
    <w:basedOn w:val="Norml"/>
    <w:uiPriority w:val="1"/>
    <w:rsid w:val="002C0B1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C0B1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C0B19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2C0B1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0B19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2C0B1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C0B1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C0B1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C0B19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2C0B1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C0B1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C0B1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C0B1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C0B1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C0B1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2C0B1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C0B19"/>
  </w:style>
  <w:style w:type="paragraph" w:customStyle="1" w:styleId="ENNormalBox">
    <w:name w:val="EN_Normal_Box"/>
    <w:basedOn w:val="Norml"/>
    <w:uiPriority w:val="1"/>
    <w:qFormat/>
    <w:rsid w:val="002C0B1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C0B1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C0B1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C0B1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C0B1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C0B1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C0B1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C0B1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C0B1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C0B1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C0B1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C0B19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C0B1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C0B19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2C0B1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C0B1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C0B1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C0B1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C0B1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C0B19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C0B1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C0B19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C0B1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C0B19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2C0B19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AEAF432-56A2-48AB-B85D-E04238F6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25</cp:revision>
  <cp:lastPrinted>2016-06-01T11:04:00Z</cp:lastPrinted>
  <dcterms:created xsi:type="dcterms:W3CDTF">2017-11-27T08:47:00Z</dcterms:created>
  <dcterms:modified xsi:type="dcterms:W3CDTF">2018-04-06T13:25:00Z</dcterms:modified>
</cp:coreProperties>
</file>