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4121B" w14:textId="77777777" w:rsidR="005840DD" w:rsidRPr="00F30B7E" w:rsidRDefault="005840DD" w:rsidP="005840DD">
      <w:pPr>
        <w:jc w:val="left"/>
        <w:rPr>
          <w:rFonts w:ascii="Calibri" w:hAnsi="Calibri"/>
        </w:rPr>
      </w:pPr>
      <w:bookmarkStart w:id="0" w:name="_Toc398717297"/>
    </w:p>
    <w:p w14:paraId="6FA75DBD" w14:textId="3082CCC6" w:rsidR="00724FE0" w:rsidRPr="00B97972" w:rsidRDefault="003F0717" w:rsidP="00724FE0">
      <w:pPr>
        <w:spacing w:after="150" w:line="276" w:lineRule="auto"/>
        <w:jc w:val="center"/>
        <w:rPr>
          <w:rFonts w:ascii="Calibri" w:hAnsi="Calibri" w:cs="Times New Roman"/>
          <w:b/>
          <w:szCs w:val="24"/>
          <w:lang w:eastAsia="hu-HU"/>
        </w:rPr>
      </w:pPr>
      <w:r>
        <w:rPr>
          <w:rFonts w:ascii="Calibri" w:hAnsi="Calibri" w:cs="Times New Roman"/>
          <w:b/>
          <w:szCs w:val="24"/>
          <w:lang w:eastAsia="hu-HU"/>
        </w:rPr>
        <w:t>A Magyar Nemzeti Bank 2</w:t>
      </w:r>
      <w:r w:rsidR="003975D2">
        <w:rPr>
          <w:rFonts w:ascii="Calibri" w:hAnsi="Calibri" w:cs="Times New Roman"/>
          <w:b/>
          <w:szCs w:val="24"/>
          <w:lang w:eastAsia="hu-HU"/>
        </w:rPr>
        <w:t>/2016. (</w:t>
      </w:r>
      <w:proofErr w:type="spellStart"/>
      <w:r w:rsidR="003975D2">
        <w:rPr>
          <w:rFonts w:ascii="Calibri" w:hAnsi="Calibri" w:cs="Times New Roman"/>
          <w:b/>
          <w:szCs w:val="24"/>
          <w:lang w:eastAsia="hu-HU"/>
        </w:rPr>
        <w:t>IV</w:t>
      </w:r>
      <w:proofErr w:type="spellEnd"/>
      <w:r w:rsidR="003975D2">
        <w:rPr>
          <w:rFonts w:ascii="Calibri" w:hAnsi="Calibri" w:cs="Times New Roman"/>
          <w:b/>
          <w:szCs w:val="24"/>
          <w:lang w:eastAsia="hu-HU"/>
        </w:rPr>
        <w:t>. 25</w:t>
      </w:r>
      <w:r w:rsidR="00976365">
        <w:rPr>
          <w:rFonts w:ascii="Calibri" w:hAnsi="Calibri" w:cs="Times New Roman"/>
          <w:b/>
          <w:szCs w:val="24"/>
          <w:lang w:eastAsia="hu-HU"/>
        </w:rPr>
        <w:t>.</w:t>
      </w:r>
      <w:r w:rsidR="00724FE0" w:rsidRPr="00B97972">
        <w:rPr>
          <w:rFonts w:ascii="Calibri" w:hAnsi="Calibri" w:cs="Times New Roman"/>
          <w:b/>
          <w:szCs w:val="24"/>
          <w:lang w:eastAsia="hu-HU"/>
        </w:rPr>
        <w:t>) számú ajánlása a hitelintézetek és befektetési vállalkozások által kötelezően elkészítendő helyreállítási tervről</w:t>
      </w:r>
    </w:p>
    <w:p w14:paraId="02C403E4" w14:textId="77777777" w:rsidR="00724FE0" w:rsidRPr="00CA33EC" w:rsidRDefault="00724FE0" w:rsidP="00F51326">
      <w:pPr>
        <w:pStyle w:val="ListParagraph"/>
        <w:keepNext/>
        <w:keepLines/>
        <w:numPr>
          <w:ilvl w:val="0"/>
          <w:numId w:val="45"/>
        </w:numPr>
        <w:spacing w:before="480" w:after="210"/>
        <w:jc w:val="center"/>
        <w:outlineLvl w:val="0"/>
        <w:rPr>
          <w:rFonts w:ascii="Calibri" w:eastAsia="Times New Roman" w:hAnsi="Calibri"/>
          <w:bCs/>
          <w:caps/>
          <w:color w:val="202653"/>
          <w:lang w:eastAsia="hu-HU"/>
        </w:rPr>
      </w:pPr>
      <w:r w:rsidRPr="00CA33EC">
        <w:rPr>
          <w:rFonts w:ascii="Calibri" w:eastAsia="Times New Roman" w:hAnsi="Calibri"/>
          <w:bCs/>
          <w:caps/>
          <w:color w:val="202653"/>
          <w:lang w:eastAsia="hu-HU"/>
        </w:rPr>
        <w:t xml:space="preserve">Az ajánlás célja </w:t>
      </w:r>
      <w:proofErr w:type="gramStart"/>
      <w:r w:rsidRPr="00CA33EC">
        <w:rPr>
          <w:rFonts w:ascii="Calibri" w:eastAsia="Times New Roman" w:hAnsi="Calibri"/>
          <w:bCs/>
          <w:caps/>
          <w:color w:val="202653"/>
          <w:lang w:eastAsia="hu-HU"/>
        </w:rPr>
        <w:t>és</w:t>
      </w:r>
      <w:proofErr w:type="gramEnd"/>
      <w:r w:rsidRPr="00CA33EC">
        <w:rPr>
          <w:rFonts w:ascii="Calibri" w:eastAsia="Times New Roman" w:hAnsi="Calibri"/>
          <w:bCs/>
          <w:caps/>
          <w:color w:val="202653"/>
          <w:lang w:eastAsia="hu-HU"/>
        </w:rPr>
        <w:t xml:space="preserve"> hatálya</w:t>
      </w:r>
    </w:p>
    <w:p w14:paraId="34D5E86B"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 xml:space="preserve">Az ajánlás célja a hitelintézetek és befektetési vállalkozások által kötelezően elkészítendő helyreállítási tervvel kapcsolatban a Magyar Nemzeti Bank (a továbbiakban: MNB) elvárásainak megfogalmazása, és ezzel a jogalkalmazás kiszámíthatóságának növelése, a vonatkozó jogszabályok egységes alkalmazásának elősegítése. A pénzügyi válság rámutatott a válságkezelési mechanizmusok nem kellően hatékony voltára és hiányosságaira. Az elmúlt időszak tapasztalatai </w:t>
      </w:r>
      <w:proofErr w:type="gramStart"/>
      <w:r w:rsidRPr="00B97972">
        <w:rPr>
          <w:rFonts w:ascii="Calibri" w:hAnsi="Calibri" w:cs="Times New Roman"/>
          <w:szCs w:val="24"/>
          <w:lang w:eastAsia="hu-HU"/>
        </w:rPr>
        <w:t>alapján</w:t>
      </w:r>
      <w:proofErr w:type="gramEnd"/>
      <w:r w:rsidRPr="00B97972">
        <w:rPr>
          <w:rFonts w:ascii="Calibri" w:hAnsi="Calibri" w:cs="Times New Roman"/>
          <w:szCs w:val="24"/>
          <w:lang w:eastAsia="hu-HU"/>
        </w:rPr>
        <w:t xml:space="preserve"> uniós szinten is megfogalmazódott az a cél, hogy a hitelintézetek, befektetési vállalkozások válsághelyzet esetén képesek legyenek állami beavatkozás nélkül kezelni a kialakult helyzetet. A korábbi bankmentő intézkedésekkel ellentétben az új szabályozási rendszer kifejezetten arra törekszik, hogy a válságban lévő intézmények helyzetét ne állami pénzügyi támogatással, adófizetői hozzájárulással oldják meg, hanem az intézmény vagy csoport még időben tudja kezelni a kialakulóban lévő vagy már bekövetkezett válsághelyzetet. Ennek érdekében elengedhetetlen, hogy az intézmények a pénzügyi helyzetükben bekövetkezett jelentős romlás esetén annak helyreállítása céljából meghozandó intézkedéseket tartalmazó helyreállítási tervet készítsenek, és azt rendszeresen aktualizálják. </w:t>
      </w:r>
    </w:p>
    <w:p w14:paraId="0D421942" w14:textId="5F7600C4"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 xml:space="preserve">A helyreállítási terv készítésének kötelezettségét uniós irányelv szintjén a </w:t>
      </w:r>
      <w:proofErr w:type="spellStart"/>
      <w:r w:rsidRPr="00B97972">
        <w:rPr>
          <w:rFonts w:ascii="Calibri" w:hAnsi="Calibri" w:cs="Times New Roman"/>
          <w:szCs w:val="24"/>
          <w:lang w:eastAsia="hu-HU"/>
        </w:rPr>
        <w:t>CRD</w:t>
      </w:r>
      <w:proofErr w:type="spellEnd"/>
      <w:r w:rsidRPr="00B97972">
        <w:rPr>
          <w:rFonts w:ascii="Calibri" w:hAnsi="Calibri" w:cs="Times New Roman"/>
          <w:szCs w:val="24"/>
          <w:lang w:eastAsia="hu-HU"/>
        </w:rPr>
        <w:t xml:space="preserve"> </w:t>
      </w:r>
      <w:proofErr w:type="spellStart"/>
      <w:r w:rsidRPr="00B97972">
        <w:rPr>
          <w:rFonts w:ascii="Calibri" w:hAnsi="Calibri" w:cs="Times New Roman"/>
          <w:szCs w:val="24"/>
          <w:lang w:eastAsia="hu-HU"/>
        </w:rPr>
        <w:t>IV</w:t>
      </w:r>
      <w:proofErr w:type="spellEnd"/>
      <w:r w:rsidRPr="00B97972">
        <w:rPr>
          <w:rFonts w:ascii="Calibri" w:hAnsi="Calibri" w:cs="Times New Roman"/>
          <w:szCs w:val="24"/>
          <w:vertAlign w:val="superscript"/>
          <w:lang w:eastAsia="hu-HU"/>
        </w:rPr>
        <w:footnoteReference w:id="1"/>
      </w:r>
      <w:r w:rsidRPr="00B97972">
        <w:rPr>
          <w:rFonts w:ascii="Calibri" w:hAnsi="Calibri" w:cs="Times New Roman"/>
          <w:szCs w:val="24"/>
          <w:lang w:eastAsia="hu-HU"/>
        </w:rPr>
        <w:t xml:space="preserve"> 74. cikke, illetve a </w:t>
      </w:r>
      <w:proofErr w:type="spellStart"/>
      <w:r w:rsidRPr="00B97972">
        <w:rPr>
          <w:rFonts w:ascii="Calibri" w:hAnsi="Calibri" w:cs="Times New Roman"/>
          <w:szCs w:val="24"/>
          <w:lang w:eastAsia="hu-HU"/>
        </w:rPr>
        <w:t>BRRD</w:t>
      </w:r>
      <w:proofErr w:type="spellEnd"/>
      <w:r w:rsidRPr="00B97972">
        <w:rPr>
          <w:rFonts w:ascii="Calibri" w:hAnsi="Calibri" w:cs="Times New Roman"/>
          <w:szCs w:val="24"/>
          <w:vertAlign w:val="superscript"/>
          <w:lang w:eastAsia="hu-HU"/>
        </w:rPr>
        <w:footnoteReference w:id="2"/>
      </w:r>
      <w:r w:rsidRPr="00B97972">
        <w:rPr>
          <w:rFonts w:ascii="Calibri" w:hAnsi="Calibri" w:cs="Times New Roman"/>
          <w:szCs w:val="24"/>
          <w:lang w:eastAsia="hu-HU"/>
        </w:rPr>
        <w:t xml:space="preserve"> 5. cikke írja elő a hitelintézetekre és befektetési vállalkozásokra vonatkozóan. Az irányelvekben megfogalmazottakon túl az intézmények, illetve a felügyeleti hatóságok számára egyrészt Európai Bankhatóság (a továbbiakban: </w:t>
      </w:r>
      <w:proofErr w:type="spellStart"/>
      <w:r w:rsidRPr="00B97972">
        <w:rPr>
          <w:rFonts w:ascii="Calibri" w:hAnsi="Calibri" w:cs="Times New Roman"/>
          <w:szCs w:val="24"/>
          <w:lang w:eastAsia="hu-HU"/>
        </w:rPr>
        <w:t>EBA</w:t>
      </w:r>
      <w:proofErr w:type="spellEnd"/>
      <w:r w:rsidRPr="00B97972">
        <w:rPr>
          <w:rFonts w:ascii="Calibri" w:hAnsi="Calibri" w:cs="Times New Roman"/>
          <w:szCs w:val="24"/>
          <w:lang w:eastAsia="hu-HU"/>
        </w:rPr>
        <w:t>) iránymutatások, másrészt szabályozástechnikai standardok (</w:t>
      </w:r>
      <w:proofErr w:type="spellStart"/>
      <w:r w:rsidRPr="00B97972">
        <w:rPr>
          <w:rFonts w:ascii="Calibri" w:hAnsi="Calibri" w:cs="Times New Roman"/>
          <w:szCs w:val="24"/>
          <w:lang w:eastAsia="hu-HU"/>
        </w:rPr>
        <w:t>RTS</w:t>
      </w:r>
      <w:proofErr w:type="spellEnd"/>
      <w:r w:rsidRPr="00B97972">
        <w:rPr>
          <w:rFonts w:ascii="Calibri" w:hAnsi="Calibri" w:cs="Times New Roman"/>
          <w:szCs w:val="24"/>
          <w:lang w:eastAsia="hu-HU"/>
        </w:rPr>
        <w:t>), végrehajtási technikai standardok (</w:t>
      </w:r>
      <w:proofErr w:type="spellStart"/>
      <w:r w:rsidRPr="00B97972">
        <w:rPr>
          <w:rFonts w:ascii="Calibri" w:hAnsi="Calibri" w:cs="Times New Roman"/>
          <w:szCs w:val="24"/>
          <w:lang w:eastAsia="hu-HU"/>
        </w:rPr>
        <w:t>ITS</w:t>
      </w:r>
      <w:proofErr w:type="spellEnd"/>
      <w:r w:rsidRPr="00B97972">
        <w:rPr>
          <w:rFonts w:ascii="Calibri" w:hAnsi="Calibri" w:cs="Times New Roman"/>
          <w:szCs w:val="24"/>
          <w:lang w:eastAsia="hu-HU"/>
        </w:rPr>
        <w:t xml:space="preserve">) kerülnek folyamatosan kiadásra. Az </w:t>
      </w:r>
      <w:proofErr w:type="spellStart"/>
      <w:r w:rsidRPr="00B97972">
        <w:rPr>
          <w:rFonts w:ascii="Calibri" w:hAnsi="Calibri" w:cs="Times New Roman"/>
          <w:szCs w:val="24"/>
          <w:lang w:eastAsia="hu-HU"/>
        </w:rPr>
        <w:t>EBA</w:t>
      </w:r>
      <w:proofErr w:type="spellEnd"/>
      <w:r w:rsidRPr="00B97972">
        <w:rPr>
          <w:rFonts w:ascii="Calibri" w:hAnsi="Calibri" w:cs="Times New Roman"/>
          <w:szCs w:val="24"/>
          <w:lang w:eastAsia="hu-HU"/>
        </w:rPr>
        <w:t xml:space="preserve"> által véglegesnek tekintett, de az Európai Bizottság által még nem kiadott, rendelkezésre álló standardtervezetek</w:t>
      </w:r>
      <w:r w:rsidRPr="00B97972">
        <w:rPr>
          <w:rFonts w:ascii="Calibri" w:hAnsi="Calibri" w:cs="Times New Roman"/>
          <w:szCs w:val="24"/>
          <w:vertAlign w:val="superscript"/>
          <w:lang w:eastAsia="hu-HU"/>
        </w:rPr>
        <w:footnoteReference w:id="3"/>
      </w:r>
      <w:r w:rsidRPr="00B97972">
        <w:rPr>
          <w:rFonts w:ascii="Calibri" w:hAnsi="Calibri" w:cs="Times New Roman"/>
          <w:szCs w:val="24"/>
          <w:lang w:eastAsia="hu-HU"/>
        </w:rPr>
        <w:t xml:space="preserve">, illetve 2015. május 6-án megjelent </w:t>
      </w:r>
      <w:proofErr w:type="spellStart"/>
      <w:r w:rsidRPr="00B97972">
        <w:rPr>
          <w:rFonts w:ascii="Calibri" w:hAnsi="Calibri" w:cs="Times New Roman"/>
          <w:szCs w:val="24"/>
          <w:lang w:eastAsia="hu-HU"/>
        </w:rPr>
        <w:t>EBA</w:t>
      </w:r>
      <w:proofErr w:type="spellEnd"/>
      <w:r w:rsidRPr="00B97972">
        <w:rPr>
          <w:rFonts w:ascii="Calibri" w:hAnsi="Calibri" w:cs="Times New Roman"/>
          <w:szCs w:val="24"/>
          <w:lang w:eastAsia="hu-HU"/>
        </w:rPr>
        <w:t xml:space="preserve"> iránymutatás</w:t>
      </w:r>
      <w:r w:rsidRPr="00B97972">
        <w:rPr>
          <w:rFonts w:ascii="Calibri" w:hAnsi="Calibri" w:cs="Times New Roman"/>
          <w:szCs w:val="24"/>
          <w:vertAlign w:val="superscript"/>
          <w:lang w:eastAsia="hu-HU"/>
        </w:rPr>
        <w:footnoteReference w:id="4"/>
      </w:r>
      <w:r w:rsidRPr="00B97972">
        <w:rPr>
          <w:rFonts w:ascii="Calibri" w:hAnsi="Calibri" w:cs="Times New Roman"/>
          <w:szCs w:val="24"/>
          <w:lang w:eastAsia="hu-HU"/>
        </w:rPr>
        <w:t xml:space="preserve"> beépítésre kerültek jelen ajánlásba. Amennyiben a standard tervezetek kiadásuk után közvetlenül hatályossá válnak, az MNB jelen ajánlást felülvizsgálja. A Hpt.</w:t>
      </w:r>
      <w:r w:rsidRPr="00B97972">
        <w:rPr>
          <w:rFonts w:ascii="Calibri" w:hAnsi="Calibri" w:cs="Times New Roman"/>
          <w:szCs w:val="24"/>
          <w:vertAlign w:val="superscript"/>
          <w:lang w:eastAsia="hu-HU"/>
        </w:rPr>
        <w:footnoteReference w:id="5"/>
      </w:r>
      <w:r w:rsidRPr="00B97972">
        <w:rPr>
          <w:rFonts w:ascii="Calibri" w:hAnsi="Calibri" w:cs="Times New Roman"/>
          <w:szCs w:val="24"/>
          <w:lang w:eastAsia="hu-HU"/>
        </w:rPr>
        <w:t xml:space="preserve"> 114. §</w:t>
      </w:r>
      <w:proofErr w:type="spellStart"/>
      <w:r w:rsidRPr="00B97972">
        <w:rPr>
          <w:rFonts w:ascii="Calibri" w:hAnsi="Calibri" w:cs="Times New Roman"/>
          <w:szCs w:val="24"/>
          <w:lang w:eastAsia="hu-HU"/>
        </w:rPr>
        <w:t>-</w:t>
      </w:r>
      <w:proofErr w:type="gramStart"/>
      <w:r w:rsidRPr="00B97972">
        <w:rPr>
          <w:rFonts w:ascii="Calibri" w:hAnsi="Calibri" w:cs="Times New Roman"/>
          <w:szCs w:val="24"/>
          <w:lang w:eastAsia="hu-HU"/>
        </w:rPr>
        <w:t>a</w:t>
      </w:r>
      <w:proofErr w:type="spellEnd"/>
      <w:proofErr w:type="gramEnd"/>
      <w:r w:rsidRPr="00B97972">
        <w:rPr>
          <w:rFonts w:ascii="Calibri" w:hAnsi="Calibri" w:cs="Times New Roman"/>
          <w:szCs w:val="24"/>
          <w:lang w:eastAsia="hu-HU"/>
        </w:rPr>
        <w:t xml:space="preserve">, illetve a </w:t>
      </w:r>
      <w:proofErr w:type="spellStart"/>
      <w:r w:rsidRPr="00B97972">
        <w:rPr>
          <w:rFonts w:ascii="Calibri" w:hAnsi="Calibri" w:cs="Times New Roman"/>
          <w:szCs w:val="24"/>
          <w:lang w:eastAsia="hu-HU"/>
        </w:rPr>
        <w:t>Bszt</w:t>
      </w:r>
      <w:proofErr w:type="spellEnd"/>
      <w:r w:rsidRPr="00B97972">
        <w:rPr>
          <w:rFonts w:ascii="Calibri" w:hAnsi="Calibri" w:cs="Times New Roman"/>
          <w:szCs w:val="24"/>
          <w:lang w:eastAsia="hu-HU"/>
        </w:rPr>
        <w:t>.</w:t>
      </w:r>
      <w:r w:rsidRPr="00B97972">
        <w:rPr>
          <w:rFonts w:ascii="Calibri" w:hAnsi="Calibri" w:cs="Times New Roman"/>
          <w:szCs w:val="24"/>
          <w:vertAlign w:val="superscript"/>
          <w:lang w:eastAsia="hu-HU"/>
        </w:rPr>
        <w:footnoteReference w:id="6"/>
      </w:r>
      <w:r w:rsidRPr="00B97972">
        <w:rPr>
          <w:rFonts w:ascii="Calibri" w:hAnsi="Calibri" w:cs="Times New Roman"/>
          <w:szCs w:val="24"/>
          <w:lang w:eastAsia="hu-HU"/>
        </w:rPr>
        <w:t xml:space="preserve"> 102. §</w:t>
      </w:r>
      <w:proofErr w:type="spellStart"/>
      <w:r w:rsidRPr="00B97972">
        <w:rPr>
          <w:rFonts w:ascii="Calibri" w:hAnsi="Calibri" w:cs="Times New Roman"/>
          <w:szCs w:val="24"/>
          <w:lang w:eastAsia="hu-HU"/>
        </w:rPr>
        <w:t>-a</w:t>
      </w:r>
      <w:proofErr w:type="spellEnd"/>
      <w:r w:rsidRPr="00B97972">
        <w:rPr>
          <w:rFonts w:ascii="Calibri" w:hAnsi="Calibri" w:cs="Times New Roman"/>
          <w:szCs w:val="24"/>
          <w:lang w:eastAsia="hu-HU"/>
        </w:rPr>
        <w:t xml:space="preserve"> felsorolja, hogy – az arányosság elvének figyelembe vételével – mely információknak kell szerepelniük a helyreállítási tervben. Jelen ajánlás a teljes </w:t>
      </w:r>
      <w:r w:rsidRPr="00B97972">
        <w:rPr>
          <w:rFonts w:ascii="Calibri" w:hAnsi="Calibri" w:cs="Times New Roman"/>
          <w:szCs w:val="24"/>
          <w:lang w:eastAsia="hu-HU"/>
        </w:rPr>
        <w:lastRenderedPageBreak/>
        <w:t>helyreállítási terv felépítéséhez, az egyes pontok tartalmának értelmezéséhez, kialakításához kíván segítséget nyújtani.</w:t>
      </w:r>
    </w:p>
    <w:p w14:paraId="3BCFAEED"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 xml:space="preserve">Jelen ajánlás az elvárások és javaslatok megfogalmazásakor a jogszabályi rendelkezésekre (a fogalmak meghatározásán túl) nem kíván visszautalni, azokat ismertnek tekinti. A jogszabályoknak való megfelelést tehát az MNB alapvetőnek tekinti, és vizsgálatai során ellenőrzi. </w:t>
      </w:r>
    </w:p>
    <w:p w14:paraId="29768B8C"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 xml:space="preserve">Az ajánlásban foglaltak címzettjei mindazon hitelintézetek és befektetési vállalkozások (a továbbiakban együtt: intézmény), pénzügyi csoportok, amelyekre a helyreállítási </w:t>
      </w:r>
      <w:proofErr w:type="gramStart"/>
      <w:r w:rsidRPr="00B97972">
        <w:rPr>
          <w:rFonts w:ascii="Calibri" w:hAnsi="Calibri" w:cs="Times New Roman"/>
          <w:szCs w:val="24"/>
          <w:lang w:eastAsia="hu-HU"/>
        </w:rPr>
        <w:t>terv készítési</w:t>
      </w:r>
      <w:proofErr w:type="gramEnd"/>
      <w:r w:rsidRPr="00B97972">
        <w:rPr>
          <w:rFonts w:ascii="Calibri" w:hAnsi="Calibri" w:cs="Times New Roman"/>
          <w:szCs w:val="24"/>
          <w:lang w:eastAsia="hu-HU"/>
        </w:rPr>
        <w:t xml:space="preserve"> kötelezettség a </w:t>
      </w:r>
      <w:proofErr w:type="spellStart"/>
      <w:r w:rsidRPr="00B97972">
        <w:rPr>
          <w:rFonts w:ascii="Calibri" w:hAnsi="Calibri" w:cs="Times New Roman"/>
          <w:szCs w:val="24"/>
          <w:lang w:eastAsia="hu-HU"/>
        </w:rPr>
        <w:t>Hpt</w:t>
      </w:r>
      <w:proofErr w:type="spellEnd"/>
      <w:r w:rsidRPr="00B97972">
        <w:rPr>
          <w:rFonts w:ascii="Calibri" w:hAnsi="Calibri" w:cs="Times New Roman"/>
          <w:szCs w:val="24"/>
          <w:lang w:eastAsia="hu-HU"/>
        </w:rPr>
        <w:t xml:space="preserve">, illetve a </w:t>
      </w:r>
      <w:proofErr w:type="spellStart"/>
      <w:r w:rsidRPr="00B97972">
        <w:rPr>
          <w:rFonts w:ascii="Calibri" w:hAnsi="Calibri" w:cs="Times New Roman"/>
          <w:szCs w:val="24"/>
          <w:lang w:eastAsia="hu-HU"/>
        </w:rPr>
        <w:t>Bszt</w:t>
      </w:r>
      <w:proofErr w:type="spellEnd"/>
      <w:r w:rsidRPr="00B97972">
        <w:rPr>
          <w:rFonts w:ascii="Calibri" w:hAnsi="Calibri" w:cs="Times New Roman"/>
          <w:szCs w:val="24"/>
          <w:lang w:eastAsia="hu-HU"/>
        </w:rPr>
        <w:t>. alapján vonatkozik. Az intézményeknek az ajánlásban foglaltakat az általuk végzett tevékenység és annak kockázatai sajátosságainak figyelembe vételével, tevékenységük természetével, nagyságával és összetettségével összhangban kell alkalmazniuk.</w:t>
      </w:r>
    </w:p>
    <w:p w14:paraId="43D43E58" w14:textId="77777777" w:rsidR="00724FE0" w:rsidRPr="00B97972" w:rsidRDefault="00724FE0" w:rsidP="00F51326">
      <w:pPr>
        <w:pStyle w:val="ListParagraph"/>
        <w:keepNext/>
        <w:keepLines/>
        <w:numPr>
          <w:ilvl w:val="0"/>
          <w:numId w:val="45"/>
        </w:numPr>
        <w:spacing w:before="480" w:after="210"/>
        <w:jc w:val="center"/>
        <w:outlineLvl w:val="0"/>
        <w:rPr>
          <w:rFonts w:ascii="Calibri" w:eastAsia="Times New Roman" w:hAnsi="Calibri"/>
          <w:bCs/>
          <w:caps/>
          <w:color w:val="202653"/>
          <w:lang w:eastAsia="hu-HU"/>
        </w:rPr>
      </w:pPr>
      <w:r w:rsidRPr="00B97972">
        <w:rPr>
          <w:rFonts w:ascii="Calibri" w:eastAsia="Times New Roman" w:hAnsi="Calibri"/>
          <w:bCs/>
          <w:caps/>
          <w:color w:val="202653"/>
          <w:lang w:eastAsia="hu-HU"/>
        </w:rPr>
        <w:t>Értelmező rendelkezések</w:t>
      </w:r>
    </w:p>
    <w:p w14:paraId="4068908F"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Az alábbi értelmező rendelkezések részben jogszabályi meghatározások, részben pedig az intézmények és az MNB gyakorlatában előforduló fogalmak magyarázatát jelentik.</w:t>
      </w:r>
    </w:p>
    <w:p w14:paraId="067E8895" w14:textId="77777777" w:rsidR="00724FE0" w:rsidRPr="00B97972" w:rsidRDefault="00724FE0" w:rsidP="00724FE0">
      <w:pPr>
        <w:keepNext/>
        <w:spacing w:after="150" w:line="276" w:lineRule="auto"/>
        <w:rPr>
          <w:rFonts w:ascii="Calibri" w:hAnsi="Calibri" w:cs="Times New Roman"/>
          <w:szCs w:val="24"/>
          <w:lang w:eastAsia="hu-HU"/>
        </w:rPr>
      </w:pPr>
      <w:r w:rsidRPr="00B97972">
        <w:rPr>
          <w:rFonts w:ascii="Calibri" w:hAnsi="Calibri" w:cs="Times New Roman"/>
          <w:szCs w:val="24"/>
          <w:lang w:eastAsia="hu-HU"/>
        </w:rPr>
        <w:t>Jelen ajánlás alkalmazásában:</w:t>
      </w:r>
    </w:p>
    <w:p w14:paraId="3F4A6C4F"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 xml:space="preserve">helyreállítási terv: </w:t>
      </w:r>
      <w:r w:rsidRPr="00B97972">
        <w:rPr>
          <w:rFonts w:ascii="Calibri" w:hAnsi="Calibri" w:cs="Times New Roman"/>
          <w:szCs w:val="24"/>
          <w:lang w:eastAsia="hu-HU"/>
        </w:rPr>
        <w:t xml:space="preserve">a Hpt. 6. § (1) bekezdés 39. pontja, illetve a </w:t>
      </w:r>
      <w:proofErr w:type="spellStart"/>
      <w:r w:rsidRPr="00B97972">
        <w:rPr>
          <w:rFonts w:ascii="Calibri" w:hAnsi="Calibri" w:cs="Times New Roman"/>
          <w:szCs w:val="24"/>
          <w:lang w:eastAsia="hu-HU"/>
        </w:rPr>
        <w:t>Bszt</w:t>
      </w:r>
      <w:proofErr w:type="spellEnd"/>
      <w:r w:rsidRPr="00B97972">
        <w:rPr>
          <w:rFonts w:ascii="Calibri" w:hAnsi="Calibri" w:cs="Times New Roman"/>
          <w:szCs w:val="24"/>
          <w:lang w:eastAsia="hu-HU"/>
        </w:rPr>
        <w:t>. 4. § (2) bekezdés 94. pontja szerinti, olyan terv, amely magában foglalja a likviditást vagy a fizetőképességet (</w:t>
      </w:r>
      <w:proofErr w:type="spellStart"/>
      <w:r w:rsidRPr="00B97972">
        <w:rPr>
          <w:rFonts w:ascii="Calibri" w:hAnsi="Calibri" w:cs="Times New Roman"/>
          <w:szCs w:val="24"/>
          <w:lang w:eastAsia="hu-HU"/>
        </w:rPr>
        <w:t>szolvenciát</w:t>
      </w:r>
      <w:proofErr w:type="spellEnd"/>
      <w:r w:rsidRPr="00B97972">
        <w:rPr>
          <w:rFonts w:ascii="Calibri" w:hAnsi="Calibri" w:cs="Times New Roman"/>
          <w:szCs w:val="24"/>
          <w:lang w:eastAsia="hu-HU"/>
        </w:rPr>
        <w:t>) súlyosan veszélyeztető állapot esetén – rendkívüli állami pénzügyi támogatás igénybevétele nélkül – az intézmény által végrehajtandó olyan lépéseket, amelyek biztosítják az intézmény pénzügyi helyzetének stabilizálódását.</w:t>
      </w:r>
    </w:p>
    <w:p w14:paraId="2529E4AC"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csoportszintű helyreállítási terv:</w:t>
      </w:r>
      <w:r w:rsidRPr="00B97972">
        <w:rPr>
          <w:rFonts w:ascii="Calibri" w:hAnsi="Calibri" w:cs="Times New Roman"/>
          <w:szCs w:val="24"/>
          <w:lang w:eastAsia="hu-HU"/>
        </w:rPr>
        <w:t xml:space="preserve"> a Hpt. 114. § (8)-(10) bekezdésének, illetve a </w:t>
      </w:r>
      <w:proofErr w:type="spellStart"/>
      <w:r w:rsidRPr="00B97972">
        <w:rPr>
          <w:rFonts w:ascii="Calibri" w:hAnsi="Calibri" w:cs="Times New Roman"/>
          <w:szCs w:val="24"/>
          <w:lang w:eastAsia="hu-HU"/>
        </w:rPr>
        <w:t>Bszt</w:t>
      </w:r>
      <w:proofErr w:type="spellEnd"/>
      <w:r w:rsidRPr="00B97972">
        <w:rPr>
          <w:rFonts w:ascii="Calibri" w:hAnsi="Calibri" w:cs="Times New Roman"/>
          <w:szCs w:val="24"/>
          <w:lang w:eastAsia="hu-HU"/>
        </w:rPr>
        <w:t xml:space="preserve">. 102. § (8)-(10) bekezdésének megfelelően elkészített helyreállítási terv, amelyet az összevont alapú felügyelet alá tartozó intézmény </w:t>
      </w:r>
      <w:proofErr w:type="gramStart"/>
      <w:r w:rsidRPr="00B97972">
        <w:rPr>
          <w:rFonts w:ascii="Calibri" w:hAnsi="Calibri" w:cs="Times New Roman"/>
          <w:szCs w:val="24"/>
          <w:lang w:eastAsia="hu-HU"/>
        </w:rPr>
        <w:t>készít</w:t>
      </w:r>
      <w:proofErr w:type="gramEnd"/>
      <w:r w:rsidRPr="00B97972">
        <w:rPr>
          <w:rFonts w:ascii="Calibri" w:hAnsi="Calibri" w:cs="Times New Roman"/>
          <w:szCs w:val="24"/>
          <w:lang w:eastAsia="hu-HU"/>
        </w:rPr>
        <w:t xml:space="preserve"> és amely kiterjed mindazon vállalkozásokra, amelyre a csoport tagjaként az összevont felügyelet kiterjed. </w:t>
      </w:r>
    </w:p>
    <w:p w14:paraId="53366962"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kritikus funkciók:</w:t>
      </w:r>
      <w:r w:rsidRPr="00B97972">
        <w:rPr>
          <w:rFonts w:ascii="Calibri" w:eastAsia="Times New Roman" w:hAnsi="Calibri" w:cs="Times New Roman"/>
          <w:i/>
          <w:szCs w:val="24"/>
          <w:lang w:eastAsia="hu-HU"/>
        </w:rPr>
        <w:t xml:space="preserve"> </w:t>
      </w:r>
      <w:r w:rsidRPr="00B97972">
        <w:rPr>
          <w:rFonts w:ascii="Calibri" w:hAnsi="Calibri" w:cs="Times New Roman"/>
          <w:szCs w:val="24"/>
          <w:lang w:eastAsia="hu-HU"/>
        </w:rPr>
        <w:t xml:space="preserve">a pénzügyi közvetítőrendszer egyes szereplőinek biztonságát erősítő intézményrendszer továbbfejlesztéséről szóló 2014. évi </w:t>
      </w:r>
      <w:proofErr w:type="spellStart"/>
      <w:r w:rsidRPr="00B97972">
        <w:rPr>
          <w:rFonts w:ascii="Calibri" w:hAnsi="Calibri" w:cs="Times New Roman"/>
          <w:szCs w:val="24"/>
          <w:lang w:eastAsia="hu-HU"/>
        </w:rPr>
        <w:t>XXXVII</w:t>
      </w:r>
      <w:proofErr w:type="spellEnd"/>
      <w:r w:rsidRPr="00B97972">
        <w:rPr>
          <w:rFonts w:ascii="Calibri" w:hAnsi="Calibri" w:cs="Times New Roman"/>
          <w:szCs w:val="24"/>
          <w:lang w:eastAsia="hu-HU"/>
        </w:rPr>
        <w:t xml:space="preserve">. törvény (a továbbiakban: </w:t>
      </w:r>
      <w:proofErr w:type="spellStart"/>
      <w:r w:rsidRPr="00B97972">
        <w:rPr>
          <w:rFonts w:ascii="Calibri" w:hAnsi="Calibri" w:cs="Times New Roman"/>
          <w:szCs w:val="24"/>
          <w:lang w:eastAsia="hu-HU"/>
        </w:rPr>
        <w:t>Szantv</w:t>
      </w:r>
      <w:proofErr w:type="spellEnd"/>
      <w:r w:rsidRPr="00B97972">
        <w:rPr>
          <w:rFonts w:ascii="Calibri" w:hAnsi="Calibri" w:cs="Times New Roman"/>
          <w:szCs w:val="24"/>
          <w:lang w:eastAsia="hu-HU"/>
        </w:rPr>
        <w:t xml:space="preserve">.) 3. § 42. pontja alapján azok a tevékenységek, szolgáltatások és működési folyamatok, amelyek megszűnése és csak korlátozott helyettesíthetősége az intézmény vagy csoport méretéből vagy piaci részesedéséből, külső és belső összekapcsolódásából, összetettségéből, vagy határokon átnyúlásából fakadóan Magyarországon vagy más </w:t>
      </w:r>
      <w:proofErr w:type="spellStart"/>
      <w:r w:rsidRPr="00B97972">
        <w:rPr>
          <w:rFonts w:ascii="Calibri" w:hAnsi="Calibri" w:cs="Times New Roman"/>
          <w:szCs w:val="24"/>
          <w:lang w:eastAsia="hu-HU"/>
        </w:rPr>
        <w:t>EGT-államban</w:t>
      </w:r>
      <w:proofErr w:type="spellEnd"/>
      <w:r w:rsidRPr="00B97972">
        <w:rPr>
          <w:rFonts w:ascii="Calibri" w:hAnsi="Calibri" w:cs="Times New Roman"/>
          <w:szCs w:val="24"/>
          <w:lang w:eastAsia="hu-HU"/>
        </w:rPr>
        <w:t xml:space="preserve"> valószínűsíthetően jelentősen megzavarná a gazdaság vagy a pénzügyi piacok működését.</w:t>
      </w:r>
    </w:p>
    <w:p w14:paraId="6975B8B4"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fő üzletágak:</w:t>
      </w:r>
      <w:r w:rsidRPr="00B97972">
        <w:rPr>
          <w:rFonts w:ascii="Calibri" w:hAnsi="Calibri" w:cs="Times New Roman"/>
          <w:szCs w:val="24"/>
          <w:lang w:eastAsia="hu-HU"/>
        </w:rPr>
        <w:t xml:space="preserve"> a </w:t>
      </w:r>
      <w:proofErr w:type="spellStart"/>
      <w:r w:rsidRPr="00B97972">
        <w:rPr>
          <w:rFonts w:ascii="Calibri" w:hAnsi="Calibri" w:cs="Times New Roman"/>
          <w:szCs w:val="24"/>
          <w:lang w:eastAsia="hu-HU"/>
        </w:rPr>
        <w:t>Szantv</w:t>
      </w:r>
      <w:proofErr w:type="spellEnd"/>
      <w:r w:rsidRPr="00B97972">
        <w:rPr>
          <w:rFonts w:ascii="Calibri" w:hAnsi="Calibri" w:cs="Times New Roman"/>
          <w:szCs w:val="24"/>
          <w:lang w:eastAsia="hu-HU"/>
        </w:rPr>
        <w:t>. 3. § 30. pontja alapján azok az üzletágak és a hozzájuk kapcsolódó tevékenységek, szolgáltatások, amelyek az intézmény fő bevételi vagy nyereségforrását és értékét jelentik,</w:t>
      </w:r>
    </w:p>
    <w:p w14:paraId="643BC501"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lastRenderedPageBreak/>
        <w:t xml:space="preserve">fióktelep: </w:t>
      </w:r>
      <w:r w:rsidRPr="00B97972">
        <w:rPr>
          <w:rFonts w:ascii="Calibri" w:hAnsi="Calibri" w:cs="Times New Roman"/>
          <w:szCs w:val="24"/>
          <w:lang w:eastAsia="hu-HU"/>
        </w:rPr>
        <w:t xml:space="preserve">a külföldi székhelyű vállalkozások magyarországi fióktelepeiről és kereskedelmi képviseleteiről szóló 1997. évi </w:t>
      </w:r>
      <w:proofErr w:type="spellStart"/>
      <w:r w:rsidRPr="00B97972">
        <w:rPr>
          <w:rFonts w:ascii="Calibri" w:hAnsi="Calibri" w:cs="Times New Roman"/>
          <w:szCs w:val="24"/>
          <w:lang w:eastAsia="hu-HU"/>
        </w:rPr>
        <w:t>CXXXII</w:t>
      </w:r>
      <w:proofErr w:type="spellEnd"/>
      <w:r w:rsidRPr="00B97972">
        <w:rPr>
          <w:rFonts w:ascii="Calibri" w:hAnsi="Calibri" w:cs="Times New Roman"/>
          <w:szCs w:val="24"/>
          <w:lang w:eastAsia="hu-HU"/>
        </w:rPr>
        <w:t>. törvényben ekként meghatározott fogalom.</w:t>
      </w:r>
    </w:p>
    <w:p w14:paraId="64019B9E"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jelentős fióktelep:</w:t>
      </w:r>
      <w:r w:rsidRPr="00B97972">
        <w:rPr>
          <w:rFonts w:ascii="Calibri" w:hAnsi="Calibri" w:cs="Times New Roman"/>
          <w:szCs w:val="24"/>
          <w:lang w:eastAsia="hu-HU"/>
        </w:rPr>
        <w:t xml:space="preserve"> a Hpt. vagy a </w:t>
      </w:r>
      <w:proofErr w:type="spellStart"/>
      <w:r w:rsidRPr="00B97972">
        <w:rPr>
          <w:rFonts w:ascii="Calibri" w:hAnsi="Calibri" w:cs="Times New Roman"/>
          <w:szCs w:val="24"/>
          <w:lang w:eastAsia="hu-HU"/>
        </w:rPr>
        <w:t>Bszt</w:t>
      </w:r>
      <w:proofErr w:type="spellEnd"/>
      <w:r w:rsidRPr="00B97972">
        <w:rPr>
          <w:rFonts w:ascii="Calibri" w:hAnsi="Calibri" w:cs="Times New Roman"/>
          <w:szCs w:val="24"/>
          <w:lang w:eastAsia="hu-HU"/>
        </w:rPr>
        <w:t xml:space="preserve">. </w:t>
      </w:r>
      <w:proofErr w:type="gramStart"/>
      <w:r w:rsidRPr="00B97972">
        <w:rPr>
          <w:rFonts w:ascii="Calibri" w:hAnsi="Calibri" w:cs="Times New Roman"/>
          <w:szCs w:val="24"/>
          <w:lang w:eastAsia="hu-HU"/>
        </w:rPr>
        <w:t>alapján</w:t>
      </w:r>
      <w:proofErr w:type="gramEnd"/>
      <w:r w:rsidRPr="00B97972">
        <w:rPr>
          <w:rFonts w:ascii="Calibri" w:hAnsi="Calibri" w:cs="Times New Roman"/>
          <w:szCs w:val="24"/>
          <w:lang w:eastAsia="hu-HU"/>
        </w:rPr>
        <w:t xml:space="preserve"> rendszerszinten jelentős fióktelepnek minősülő szervezet.</w:t>
      </w:r>
    </w:p>
    <w:p w14:paraId="2CBBD796" w14:textId="77777777" w:rsidR="00724FE0" w:rsidRPr="00B97972" w:rsidRDefault="00724FE0" w:rsidP="00724FE0">
      <w:pPr>
        <w:numPr>
          <w:ilvl w:val="0"/>
          <w:numId w:val="14"/>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csoporton belüli garanciavállalás:</w:t>
      </w:r>
      <w:r w:rsidRPr="00B97972">
        <w:rPr>
          <w:rFonts w:ascii="Calibri" w:hAnsi="Calibri" w:cs="Times New Roman"/>
          <w:i/>
          <w:iCs/>
          <w:szCs w:val="24"/>
          <w:lang w:eastAsia="hu-HU"/>
        </w:rPr>
        <w:t xml:space="preserve"> </w:t>
      </w:r>
      <w:r w:rsidRPr="00B97972">
        <w:rPr>
          <w:rFonts w:ascii="Calibri" w:hAnsi="Calibri" w:cs="Times New Roman"/>
          <w:szCs w:val="24"/>
          <w:lang w:eastAsia="hu-HU"/>
        </w:rPr>
        <w:t xml:space="preserve">a </w:t>
      </w:r>
      <w:proofErr w:type="spellStart"/>
      <w:r w:rsidRPr="00B97972">
        <w:rPr>
          <w:rFonts w:ascii="Calibri" w:hAnsi="Calibri" w:cs="Times New Roman"/>
          <w:szCs w:val="24"/>
          <w:lang w:eastAsia="hu-HU"/>
        </w:rPr>
        <w:t>Szantv</w:t>
      </w:r>
      <w:proofErr w:type="spellEnd"/>
      <w:r w:rsidRPr="00B97972">
        <w:rPr>
          <w:rFonts w:ascii="Calibri" w:hAnsi="Calibri" w:cs="Times New Roman"/>
          <w:szCs w:val="24"/>
          <w:lang w:eastAsia="hu-HU"/>
        </w:rPr>
        <w:t>. 3. § 9. pontja alapján olyan megállapodás, amelyben a csoporton belüli egyik vállalkozás a csoporton belüli másik vállalkozás kötelezettségeire vállal garanciát harmadik fél felé.</w:t>
      </w:r>
    </w:p>
    <w:p w14:paraId="3D4A7181" w14:textId="77777777" w:rsidR="00724FE0" w:rsidRPr="00B97972" w:rsidRDefault="00724FE0" w:rsidP="00F51326">
      <w:pPr>
        <w:pStyle w:val="ListParagraph"/>
        <w:keepNext/>
        <w:keepLines/>
        <w:numPr>
          <w:ilvl w:val="0"/>
          <w:numId w:val="45"/>
        </w:numPr>
        <w:spacing w:before="480" w:after="210"/>
        <w:jc w:val="center"/>
        <w:outlineLvl w:val="0"/>
        <w:rPr>
          <w:rFonts w:ascii="Calibri" w:eastAsia="Times New Roman" w:hAnsi="Calibri"/>
          <w:bCs/>
          <w:caps/>
          <w:color w:val="202653"/>
          <w:lang w:eastAsia="hu-HU"/>
        </w:rPr>
      </w:pPr>
      <w:r w:rsidRPr="00B97972">
        <w:rPr>
          <w:rFonts w:ascii="Calibri" w:eastAsia="Times New Roman" w:hAnsi="Calibri"/>
          <w:bCs/>
          <w:caps/>
          <w:color w:val="202653"/>
          <w:lang w:eastAsia="hu-HU"/>
        </w:rPr>
        <w:t>A helyreállítási tervek tartalmára vonatkozó előírások</w:t>
      </w:r>
    </w:p>
    <w:p w14:paraId="6BF13DCC"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Általános elvárások a helyreállítási tervvel kapcsolatban</w:t>
      </w:r>
    </w:p>
    <w:p w14:paraId="20DCB672" w14:textId="77777777" w:rsidR="00724FE0" w:rsidRPr="00CA33EC" w:rsidRDefault="00724FE0" w:rsidP="00CA33EC">
      <w:pPr>
        <w:pStyle w:val="ListParagraph"/>
        <w:numPr>
          <w:ilvl w:val="0"/>
          <w:numId w:val="44"/>
        </w:numPr>
        <w:spacing w:after="150"/>
        <w:ind w:left="425" w:hanging="357"/>
        <w:contextualSpacing w:val="0"/>
        <w:jc w:val="both"/>
        <w:rPr>
          <w:rFonts w:ascii="Calibri" w:hAnsi="Calibri"/>
          <w:lang w:eastAsia="hu-HU"/>
        </w:rPr>
      </w:pPr>
      <w:r w:rsidRPr="00CA33EC">
        <w:rPr>
          <w:rFonts w:ascii="Calibri" w:hAnsi="Calibri"/>
          <w:lang w:eastAsia="hu-HU"/>
        </w:rPr>
        <w:t xml:space="preserve">A helyreállítási terveknek kellően részletesnek kell lenniük, és különféle súlyosságú helyzetekre kidolgozott forgatókönyvek esetén alkalmazandó, reális feltételezéseken kell alapulniuk. További elvárás, hogy a helyreállítási terv átfogó legyen, a benne foglalt intézkedések rövid időn belül helyre tudják állítani az intézmény életképességét, akár súlyos pénzügyi stresszhelyzetben is. A helyreállítási terv készítésére vonatkozó követelmények esetében is érvényesül az arányosság elve, az intézmény vagy csoport rendszerszintű jelentőségének, méretének, pénzügyi szektoron belüli összefonódottságának megfelelően kell alkalmazni. </w:t>
      </w:r>
    </w:p>
    <w:p w14:paraId="4E4FE64A"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ajánlásban megadott tartalom nem teljes körű iránymutatás az intézmények részére. Az MNB elvárja, hogy az egyes pontokat minden felügyelt intézmény egyedileg töltse meg tartalommal a vonatkozó jogszabályi előírások figyelembe vételével, továbbá az intézmény által folytatott szolgáltatási tevékenységek sajátosságaival, kiterjedtségével, összetettségével és kockázataival összhangban. Az arányosság elvének alkalmazása nem jelentheti azt, hogy az intézmény egyes pontok bemutatásától teljes mértékben eltekint, csupán a tartalom mélysége és részletezettsége változhat. A komplex </w:t>
      </w:r>
      <w:proofErr w:type="spellStart"/>
      <w:r w:rsidRPr="00B97972">
        <w:rPr>
          <w:rFonts w:ascii="Calibri" w:hAnsi="Calibri"/>
          <w:lang w:eastAsia="hu-HU"/>
        </w:rPr>
        <w:t>ICAAP</w:t>
      </w:r>
      <w:proofErr w:type="spellEnd"/>
      <w:r w:rsidRPr="00B97972">
        <w:rPr>
          <w:rFonts w:ascii="Calibri" w:hAnsi="Calibri"/>
          <w:lang w:eastAsia="hu-HU"/>
        </w:rPr>
        <w:t xml:space="preserve"> és </w:t>
      </w:r>
      <w:proofErr w:type="spellStart"/>
      <w:r w:rsidRPr="00B97972">
        <w:rPr>
          <w:rFonts w:ascii="Calibri" w:hAnsi="Calibri"/>
          <w:lang w:eastAsia="hu-HU"/>
        </w:rPr>
        <w:t>ILAAP</w:t>
      </w:r>
      <w:proofErr w:type="spellEnd"/>
      <w:r w:rsidRPr="00B97972">
        <w:rPr>
          <w:rFonts w:ascii="Calibri" w:hAnsi="Calibri"/>
          <w:lang w:eastAsia="hu-HU"/>
        </w:rPr>
        <w:t xml:space="preserve"> felülvizsgálat alá tartozó intézmények esetében az MNB nem tartja elfogadhatónak az arányosság elvének alkalmazását a helyreállítási terv vonatkozásában.</w:t>
      </w:r>
    </w:p>
    <w:p w14:paraId="6A428B88"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intézmények által kidolgozott helyreállítási tervek a jelen ajánlásban kifejtett pontokhoz képest tartalmazhatnak új elemeket, de a megadott fő témák mindegyikére szükséges kitérni az arányosság szempontját szem előtt tartva. A helyreállítási terv felépítése, az egyes fejezetek sorrendje tekintetében szintén eltérhet az ajánlásban foglaltaktól az intézmény, de biztosítania kell, hogy a helyreállítási terv átgondolt, koherens, logikusan felépített dokumentum legyen. Egyes pontok esetében előfordulhat, hogy már rendelkezésre áll külön szabályozás, a helyreállítási tervben az ezekre való hivatkozás elfogadható, azonban ezekre a szabályzatokra is vonatkoznak a helyreállítási tervvel kapcsolatos kötelezettségek (ismernie kell a vezetőségnek ezek tartalmát is, k</w:t>
      </w:r>
      <w:r>
        <w:rPr>
          <w:rFonts w:ascii="Calibri" w:hAnsi="Calibri"/>
          <w:lang w:eastAsia="hu-HU"/>
        </w:rPr>
        <w:t>ötelező felülvizsgálati előírás</w:t>
      </w:r>
      <w:r w:rsidRPr="00B97972">
        <w:rPr>
          <w:rFonts w:ascii="Calibri" w:hAnsi="Calibri"/>
          <w:lang w:eastAsia="hu-HU"/>
        </w:rPr>
        <w:t xml:space="preserve"> stb.). Amennyiben ezek a szabályzatok az adatszolgáltatás </w:t>
      </w:r>
      <w:r w:rsidRPr="00B97972">
        <w:rPr>
          <w:rFonts w:ascii="Calibri" w:hAnsi="Calibri"/>
          <w:lang w:eastAsia="hu-HU"/>
        </w:rPr>
        <w:lastRenderedPageBreak/>
        <w:t>keretében nem állnak az MNB rendelkezésére, akkor a helyreállítási terv benyújtásakor ezeket is csatolni kell.</w:t>
      </w:r>
    </w:p>
    <w:p w14:paraId="15EFDAC4" w14:textId="77777777" w:rsidR="00724FE0" w:rsidRPr="00B97972" w:rsidRDefault="00724FE0" w:rsidP="00724FE0">
      <w:pPr>
        <w:keepNext/>
        <w:tabs>
          <w:tab w:val="left" w:pos="7513"/>
        </w:tabs>
        <w:spacing w:after="150" w:line="276" w:lineRule="auto"/>
        <w:rPr>
          <w:rFonts w:ascii="Calibri" w:hAnsi="Calibri" w:cs="Times New Roman"/>
          <w:b/>
          <w:szCs w:val="24"/>
          <w:lang w:eastAsia="hu-HU"/>
        </w:rPr>
      </w:pPr>
      <w:r w:rsidRPr="00B97972">
        <w:rPr>
          <w:rFonts w:ascii="Calibri" w:hAnsi="Calibri" w:cs="Times New Roman"/>
          <w:b/>
          <w:szCs w:val="24"/>
          <w:lang w:eastAsia="hu-HU"/>
        </w:rPr>
        <w:t>A helyreállítási tervek értékelésekor alkalmazott felügyeleti szempontok</w:t>
      </w:r>
    </w:p>
    <w:p w14:paraId="2DA85C6F"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terveket az </w:t>
      </w:r>
      <w:proofErr w:type="gramStart"/>
      <w:r w:rsidRPr="00B97972">
        <w:rPr>
          <w:rFonts w:ascii="Calibri" w:hAnsi="Calibri"/>
          <w:lang w:eastAsia="hu-HU"/>
        </w:rPr>
        <w:t>intézmény vezető</w:t>
      </w:r>
      <w:proofErr w:type="gramEnd"/>
      <w:r w:rsidRPr="00B97972">
        <w:rPr>
          <w:rFonts w:ascii="Calibri" w:hAnsi="Calibri"/>
          <w:lang w:eastAsia="hu-HU"/>
        </w:rPr>
        <w:t xml:space="preserve"> testületének jóváhagyása után be kell nyújtani az MNB-nek, és legalább évente, de indokolt esetben azonnal aktualizálni kell, és ismét be kell nyújtani jóváhagyásra. A felügyeleti jogkörében eljáró MNB-nek 6 hónap áll a rendelkezésére a helyreállítási terv elfogadására, és amennyiben nem ítéli megfelelőnek a tervet, akkor módosítást, kiegészítést kérhet.</w:t>
      </w:r>
    </w:p>
    <w:p w14:paraId="2EEECFE3"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helyreállítási tervek</w:t>
      </w:r>
      <w:r>
        <w:rPr>
          <w:rFonts w:ascii="Calibri" w:hAnsi="Calibri"/>
          <w:lang w:eastAsia="hu-HU"/>
        </w:rPr>
        <w:t xml:space="preserve"> értékelésekor</w:t>
      </w:r>
      <w:r w:rsidRPr="00B97972">
        <w:rPr>
          <w:rFonts w:ascii="Calibri" w:hAnsi="Calibri"/>
          <w:lang w:eastAsia="hu-HU"/>
        </w:rPr>
        <w:t xml:space="preserve"> </w:t>
      </w:r>
      <w:r>
        <w:rPr>
          <w:rFonts w:ascii="Calibri" w:hAnsi="Calibri"/>
          <w:lang w:eastAsia="hu-HU"/>
        </w:rPr>
        <w:t xml:space="preserve">az MNB </w:t>
      </w:r>
      <w:r w:rsidRPr="00B97972">
        <w:rPr>
          <w:rFonts w:ascii="Calibri" w:hAnsi="Calibri"/>
          <w:lang w:eastAsia="hu-HU"/>
        </w:rPr>
        <w:t xml:space="preserve">a jelen ajánlásban meghatározott szempontok szerint </w:t>
      </w:r>
      <w:r>
        <w:rPr>
          <w:rFonts w:ascii="Calibri" w:hAnsi="Calibri"/>
          <w:lang w:eastAsia="hu-HU"/>
        </w:rPr>
        <w:t>jár el</w:t>
      </w:r>
      <w:r w:rsidRPr="00B97972">
        <w:rPr>
          <w:rFonts w:ascii="Calibri" w:hAnsi="Calibri"/>
          <w:lang w:eastAsia="hu-HU"/>
        </w:rPr>
        <w:t xml:space="preserve">, ezért </w:t>
      </w:r>
      <w:proofErr w:type="gramStart"/>
      <w:r w:rsidRPr="00B97972">
        <w:rPr>
          <w:rFonts w:ascii="Calibri" w:hAnsi="Calibri"/>
          <w:lang w:eastAsia="hu-HU"/>
        </w:rPr>
        <w:t>ezen</w:t>
      </w:r>
      <w:proofErr w:type="gramEnd"/>
      <w:r w:rsidRPr="00B97972">
        <w:rPr>
          <w:rFonts w:ascii="Calibri" w:hAnsi="Calibri"/>
          <w:lang w:eastAsia="hu-HU"/>
        </w:rPr>
        <w:t xml:space="preserve"> szempontrendszer figyelembevétele javasolt az intézmények számára is a helyreállítási tervek összeállításakor, illetve módosításakor, éves felülvizsgálatakor.</w:t>
      </w:r>
    </w:p>
    <w:p w14:paraId="1AAA0ED5" w14:textId="77777777" w:rsidR="00724FE0" w:rsidRPr="00B97972" w:rsidRDefault="00724FE0" w:rsidP="00724FE0">
      <w:pPr>
        <w:keepNext/>
        <w:spacing w:after="150" w:line="276" w:lineRule="auto"/>
        <w:rPr>
          <w:rFonts w:ascii="Calibri" w:hAnsi="Calibri" w:cs="Times New Roman"/>
          <w:b/>
          <w:szCs w:val="24"/>
          <w:lang w:eastAsia="hu-HU"/>
        </w:rPr>
      </w:pPr>
      <w:r w:rsidRPr="00B97972">
        <w:rPr>
          <w:rFonts w:ascii="Calibri" w:hAnsi="Calibri" w:cs="Times New Roman"/>
          <w:b/>
          <w:szCs w:val="24"/>
          <w:lang w:eastAsia="hu-HU"/>
        </w:rPr>
        <w:t>Elvárás egyedi helyreállítási terv készítésére vonatkozóan</w:t>
      </w:r>
    </w:p>
    <w:p w14:paraId="0907D347"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 Az MNB elvárja, hogy a külföldi anyavállalatok magyarországi székhelyű leányvállalatai minden esetben elkészítsék az egyedi szintű, illetve amennyiben a Hpt. vagy a </w:t>
      </w:r>
      <w:proofErr w:type="spellStart"/>
      <w:r w:rsidRPr="00B97972">
        <w:rPr>
          <w:rFonts w:ascii="Calibri" w:hAnsi="Calibri"/>
          <w:lang w:eastAsia="hu-HU"/>
        </w:rPr>
        <w:t>Bszt</w:t>
      </w:r>
      <w:proofErr w:type="spellEnd"/>
      <w:r w:rsidRPr="00B97972">
        <w:rPr>
          <w:rFonts w:ascii="Calibri" w:hAnsi="Calibri"/>
          <w:lang w:eastAsia="hu-HU"/>
        </w:rPr>
        <w:t xml:space="preserve">. szerint maguk is anyavállalatnak minősülnek, akkor a saját leányvállalataik bevonásával kidolgozott </w:t>
      </w:r>
      <w:proofErr w:type="spellStart"/>
      <w:r w:rsidRPr="00B97972">
        <w:rPr>
          <w:rFonts w:ascii="Calibri" w:hAnsi="Calibri"/>
          <w:lang w:eastAsia="hu-HU"/>
        </w:rPr>
        <w:t>szubkonszolidált</w:t>
      </w:r>
      <w:proofErr w:type="spellEnd"/>
      <w:r w:rsidRPr="00B97972">
        <w:rPr>
          <w:rFonts w:ascii="Calibri" w:hAnsi="Calibri"/>
          <w:lang w:eastAsia="hu-HU"/>
        </w:rPr>
        <w:t xml:space="preserve"> alapú helyreállítási tervet.</w:t>
      </w:r>
    </w:p>
    <w:p w14:paraId="0C4112BA" w14:textId="77777777" w:rsidR="00724FE0" w:rsidRPr="00B97972" w:rsidRDefault="00724FE0" w:rsidP="00724FE0">
      <w:pPr>
        <w:keepNext/>
        <w:spacing w:after="150" w:line="276" w:lineRule="auto"/>
        <w:rPr>
          <w:rFonts w:ascii="Calibri" w:hAnsi="Calibri" w:cs="Times New Roman"/>
          <w:b/>
          <w:szCs w:val="24"/>
          <w:lang w:eastAsia="hu-HU"/>
        </w:rPr>
      </w:pPr>
      <w:r w:rsidRPr="00B97972">
        <w:rPr>
          <w:rFonts w:ascii="Calibri" w:hAnsi="Calibri" w:cs="Times New Roman"/>
          <w:b/>
          <w:szCs w:val="24"/>
          <w:lang w:eastAsia="hu-HU"/>
        </w:rPr>
        <w:t>Teljesség</w:t>
      </w:r>
    </w:p>
    <w:p w14:paraId="37782B6F"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helyreállítási tervek teljességének megítélésekor az MNB értékeli, hogy:</w:t>
      </w:r>
    </w:p>
    <w:p w14:paraId="18270E34" w14:textId="77777777" w:rsidR="00724FE0" w:rsidRPr="00B97972" w:rsidRDefault="00724FE0" w:rsidP="00724FE0">
      <w:pPr>
        <w:numPr>
          <w:ilvl w:val="0"/>
          <w:numId w:val="2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helyreállítási terv tartalmaz-e minden, az uniós és hazai jogszabályokban, </w:t>
      </w:r>
      <w:proofErr w:type="spellStart"/>
      <w:r w:rsidRPr="00B97972">
        <w:rPr>
          <w:rFonts w:ascii="Calibri" w:hAnsi="Calibri" w:cs="Times New Roman"/>
          <w:szCs w:val="24"/>
          <w:lang w:eastAsia="hu-HU"/>
        </w:rPr>
        <w:t>RTS-ekben</w:t>
      </w:r>
      <w:proofErr w:type="spellEnd"/>
      <w:r w:rsidRPr="00B97972">
        <w:rPr>
          <w:rFonts w:ascii="Calibri" w:hAnsi="Calibri" w:cs="Times New Roman"/>
          <w:szCs w:val="24"/>
          <w:lang w:eastAsia="hu-HU"/>
        </w:rPr>
        <w:t xml:space="preserve">, </w:t>
      </w:r>
      <w:proofErr w:type="spellStart"/>
      <w:r w:rsidRPr="00B97972">
        <w:rPr>
          <w:rFonts w:ascii="Calibri" w:hAnsi="Calibri" w:cs="Times New Roman"/>
          <w:szCs w:val="24"/>
          <w:lang w:eastAsia="hu-HU"/>
        </w:rPr>
        <w:t>ITS-ekben</w:t>
      </w:r>
      <w:proofErr w:type="spellEnd"/>
      <w:r w:rsidRPr="00B97972">
        <w:rPr>
          <w:rFonts w:ascii="Calibri" w:hAnsi="Calibri" w:cs="Times New Roman"/>
          <w:szCs w:val="24"/>
          <w:lang w:eastAsia="hu-HU"/>
        </w:rPr>
        <w:t>, illetve jelen ajánlásban előírt tartalmi elemet,</w:t>
      </w:r>
    </w:p>
    <w:p w14:paraId="2D58A24E" w14:textId="77777777" w:rsidR="00724FE0" w:rsidRPr="00B97972" w:rsidRDefault="00724FE0" w:rsidP="00724FE0">
      <w:pPr>
        <w:numPr>
          <w:ilvl w:val="0"/>
          <w:numId w:val="2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naprakész információkon alapul-e,</w:t>
      </w:r>
    </w:p>
    <w:p w14:paraId="3C5753C4" w14:textId="77777777" w:rsidR="00724FE0" w:rsidRPr="00B97972" w:rsidRDefault="00724FE0" w:rsidP="00724FE0">
      <w:pPr>
        <w:numPr>
          <w:ilvl w:val="0"/>
          <w:numId w:val="2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tesztelték-e különböző stressz-szcenáriókon,</w:t>
      </w:r>
    </w:p>
    <w:p w14:paraId="7D356057" w14:textId="77777777" w:rsidR="00724FE0" w:rsidRPr="00B97972" w:rsidRDefault="00724FE0" w:rsidP="00724FE0">
      <w:pPr>
        <w:numPr>
          <w:ilvl w:val="0"/>
          <w:numId w:val="2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tervben szereplő indikátorok pontosan meghatározzák-e a beavatkozási pontokat,</w:t>
      </w:r>
    </w:p>
    <w:p w14:paraId="03BDD728" w14:textId="77777777" w:rsidR="00724FE0" w:rsidRPr="00B97972" w:rsidRDefault="00724FE0" w:rsidP="00724FE0">
      <w:pPr>
        <w:numPr>
          <w:ilvl w:val="0"/>
          <w:numId w:val="2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 tartalmazza-e a szükséges határidőket, ütemterveket,</w:t>
      </w:r>
    </w:p>
    <w:p w14:paraId="24F3BC3A" w14:textId="77777777" w:rsidR="00724FE0" w:rsidRPr="00B97972" w:rsidRDefault="00724FE0" w:rsidP="00724FE0">
      <w:pPr>
        <w:numPr>
          <w:ilvl w:val="0"/>
          <w:numId w:val="2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csoportszintű helyreállítási terveknél:</w:t>
      </w:r>
    </w:p>
    <w:p w14:paraId="3588B45E" w14:textId="77777777" w:rsidR="00724FE0" w:rsidRPr="00B97972" w:rsidRDefault="00724FE0" w:rsidP="00724FE0">
      <w:pPr>
        <w:spacing w:after="150" w:line="276" w:lineRule="auto"/>
        <w:ind w:left="993"/>
        <w:rPr>
          <w:rFonts w:ascii="Calibri" w:hAnsi="Calibri" w:cs="Times New Roman"/>
          <w:szCs w:val="24"/>
          <w:lang w:eastAsia="hu-HU"/>
        </w:rPr>
      </w:pPr>
      <w:proofErr w:type="gramStart"/>
      <w:r w:rsidRPr="00B97972">
        <w:rPr>
          <w:rFonts w:ascii="Calibri" w:hAnsi="Calibri" w:cs="Times New Roman"/>
          <w:szCs w:val="24"/>
          <w:lang w:eastAsia="hu-HU"/>
        </w:rPr>
        <w:t>fa</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részletesen tartalmazza-e a helyreállítási terv a csoporton belüli támogatási megállapodásokat (ha vannak ilyenek),</w:t>
      </w:r>
    </w:p>
    <w:p w14:paraId="587C55EF" w14:textId="77777777" w:rsidR="00724FE0" w:rsidRPr="00B97972" w:rsidRDefault="00724FE0" w:rsidP="00724FE0">
      <w:pPr>
        <w:spacing w:after="150" w:line="276" w:lineRule="auto"/>
        <w:ind w:left="993"/>
        <w:rPr>
          <w:rFonts w:ascii="Calibri" w:hAnsi="Calibri" w:cs="Times New Roman"/>
          <w:szCs w:val="24"/>
          <w:lang w:eastAsia="hu-HU"/>
        </w:rPr>
      </w:pPr>
      <w:proofErr w:type="spellStart"/>
      <w:r w:rsidRPr="00B97972">
        <w:rPr>
          <w:rFonts w:ascii="Calibri" w:hAnsi="Calibri" w:cs="Times New Roman"/>
          <w:szCs w:val="24"/>
          <w:lang w:eastAsia="hu-HU"/>
        </w:rPr>
        <w:t>fb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részletesen tartalmazza-e a helyreállítási terv, hogy milyen akadályokat azonosítottak a csoporton belül a helyreállítási terv implementálásával, illetve az azonnali szavatoló tőketranszfer vagy kötelezettség visszafizetési lehetőségekkel kapcsolatban, és megfelelően kezelik-e ezeket az akadályokat a helyreállítási tervben megfogalmazott intézkedések.</w:t>
      </w:r>
    </w:p>
    <w:p w14:paraId="34F99F38" w14:textId="77777777" w:rsidR="00724FE0" w:rsidRPr="00B97972" w:rsidRDefault="00724FE0" w:rsidP="00724FE0">
      <w:pPr>
        <w:keepNext/>
        <w:spacing w:after="150" w:line="276" w:lineRule="auto"/>
        <w:rPr>
          <w:rFonts w:ascii="Calibri" w:hAnsi="Calibri" w:cs="Times New Roman"/>
          <w:b/>
          <w:szCs w:val="24"/>
          <w:lang w:eastAsia="hu-HU"/>
        </w:rPr>
      </w:pPr>
      <w:r w:rsidRPr="00B97972">
        <w:rPr>
          <w:rFonts w:ascii="Calibri" w:hAnsi="Calibri" w:cs="Times New Roman"/>
          <w:b/>
          <w:szCs w:val="24"/>
          <w:lang w:eastAsia="hu-HU"/>
        </w:rPr>
        <w:t>Megfelelő minőség</w:t>
      </w:r>
    </w:p>
    <w:p w14:paraId="675E08AC"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minőség értékelése során az alábbi szempontok érvényesülnek:</w:t>
      </w:r>
    </w:p>
    <w:p w14:paraId="1D7FACD1" w14:textId="77777777" w:rsidR="00724FE0" w:rsidRPr="00B97972" w:rsidRDefault="00724FE0" w:rsidP="00724FE0">
      <w:pPr>
        <w:numPr>
          <w:ilvl w:val="0"/>
          <w:numId w:val="3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lastRenderedPageBreak/>
        <w:t xml:space="preserve">a helyreállítási </w:t>
      </w:r>
      <w:proofErr w:type="gramStart"/>
      <w:r w:rsidRPr="00B97972">
        <w:rPr>
          <w:rFonts w:ascii="Calibri" w:hAnsi="Calibri" w:cs="Times New Roman"/>
          <w:szCs w:val="24"/>
          <w:lang w:eastAsia="hu-HU"/>
        </w:rPr>
        <w:t>tervnek</w:t>
      </w:r>
      <w:proofErr w:type="gramEnd"/>
      <w:r w:rsidRPr="00B97972">
        <w:rPr>
          <w:rFonts w:ascii="Calibri" w:hAnsi="Calibri" w:cs="Times New Roman"/>
          <w:szCs w:val="24"/>
          <w:lang w:eastAsia="hu-HU"/>
        </w:rPr>
        <w:t xml:space="preserve"> egyértelműnek, logikusnak és jól követhetőnek kell lennie annyira, hogy abból akár egy harmadik fél (pl. az MNB) rekonstruálni tudja, hogy milyen esetekben, milyen beavatkozási szintek elérése esetén, milyen döntési folyamatokon keresztül milyen intézkedéseket, lépéseket fog hozni az intézmény,</w:t>
      </w:r>
    </w:p>
    <w:p w14:paraId="46158AD8" w14:textId="77777777" w:rsidR="00724FE0" w:rsidRPr="00B97972" w:rsidRDefault="00724FE0" w:rsidP="00724FE0">
      <w:pPr>
        <w:numPr>
          <w:ilvl w:val="0"/>
          <w:numId w:val="3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tervnek aktuális és releváns információkat kell tartalmaznia,</w:t>
      </w:r>
    </w:p>
    <w:p w14:paraId="437C4DCB" w14:textId="77777777" w:rsidR="00724FE0" w:rsidRPr="00B97972" w:rsidRDefault="00724FE0" w:rsidP="00724FE0">
      <w:pPr>
        <w:numPr>
          <w:ilvl w:val="0"/>
          <w:numId w:val="3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tervben megfelelő számú és minőségű szcenáriónak kell szerepelnie,</w:t>
      </w:r>
    </w:p>
    <w:p w14:paraId="12C14FF9" w14:textId="77777777" w:rsidR="00724FE0" w:rsidRPr="00B97972" w:rsidRDefault="00724FE0" w:rsidP="00724FE0">
      <w:pPr>
        <w:numPr>
          <w:ilvl w:val="0"/>
          <w:numId w:val="31"/>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csoport esetén konzisztensnek kell lennie az egyedi intézményi helyreállítási tervnek a csoportszintű helyreállítási tervvel.</w:t>
      </w:r>
    </w:p>
    <w:p w14:paraId="1D25B42A" w14:textId="77777777" w:rsidR="00724FE0" w:rsidRPr="00B97972" w:rsidRDefault="00724FE0" w:rsidP="00724FE0">
      <w:pPr>
        <w:keepNext/>
        <w:spacing w:after="150" w:line="276" w:lineRule="auto"/>
        <w:rPr>
          <w:rFonts w:ascii="Calibri" w:hAnsi="Calibri" w:cs="Times New Roman"/>
          <w:b/>
          <w:szCs w:val="24"/>
          <w:lang w:eastAsia="hu-HU"/>
        </w:rPr>
      </w:pPr>
      <w:r w:rsidRPr="00B97972">
        <w:rPr>
          <w:rFonts w:ascii="Calibri" w:hAnsi="Calibri" w:cs="Times New Roman"/>
          <w:b/>
          <w:szCs w:val="24"/>
          <w:lang w:eastAsia="hu-HU"/>
        </w:rPr>
        <w:t>Hitelesség</w:t>
      </w:r>
    </w:p>
    <w:p w14:paraId="4A7D6548"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hitelesség értékelése során az MNB a következőket veszi figyelembe:</w:t>
      </w:r>
    </w:p>
    <w:p w14:paraId="47A35392" w14:textId="77777777" w:rsidR="00724FE0" w:rsidRPr="00B97972" w:rsidRDefault="00724FE0" w:rsidP="00724FE0">
      <w:pPr>
        <w:numPr>
          <w:ilvl w:val="0"/>
          <w:numId w:val="2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tervnek reálisnak kell lennie, illeszkednie kell az intézmény folyamataiba,</w:t>
      </w:r>
    </w:p>
    <w:p w14:paraId="5FC9EEC4" w14:textId="77777777" w:rsidR="00724FE0" w:rsidRPr="00B97972" w:rsidRDefault="00724FE0" w:rsidP="00724FE0">
      <w:pPr>
        <w:numPr>
          <w:ilvl w:val="0"/>
          <w:numId w:val="2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súlyos, de hihető (plauzibilis) szcenáriókat kell tartalmaznia, megfelelő időhorizonttal,</w:t>
      </w:r>
    </w:p>
    <w:p w14:paraId="60D9B02A" w14:textId="77777777" w:rsidR="00724FE0" w:rsidRPr="00B97972" w:rsidRDefault="00724FE0" w:rsidP="00724FE0">
      <w:pPr>
        <w:numPr>
          <w:ilvl w:val="0"/>
          <w:numId w:val="2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 intézménynek elsősorban olyan megvalósítható intézkedéseket kell megfogalmaznia, amelyek nincsenek negatív hatással a pénzügyi rendszerre,</w:t>
      </w:r>
    </w:p>
    <w:p w14:paraId="1A4828BB" w14:textId="77777777" w:rsidR="00724FE0" w:rsidRPr="00B97972" w:rsidRDefault="00724FE0" w:rsidP="00724FE0">
      <w:pPr>
        <w:numPr>
          <w:ilvl w:val="0"/>
          <w:numId w:val="2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tervben kezelni kell annak a lehetőségét is, hogy valamelyik intézkedés megvalósítása akadályba ütközhet (több intézkedési lehetőség végiggondolása és levezetése),</w:t>
      </w:r>
    </w:p>
    <w:p w14:paraId="5D4F4FDE" w14:textId="77777777" w:rsidR="00724FE0" w:rsidRPr="00B97972" w:rsidRDefault="00724FE0" w:rsidP="00724FE0">
      <w:pPr>
        <w:numPr>
          <w:ilvl w:val="0"/>
          <w:numId w:val="2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opciók megvalósításának időtartamára vonatkozóan konzisztens becsléseket kell, hogy tartalmazzon,</w:t>
      </w:r>
    </w:p>
    <w:p w14:paraId="46B7F1DB" w14:textId="77777777" w:rsidR="00724FE0" w:rsidRPr="00B97972" w:rsidRDefault="00724FE0" w:rsidP="00724FE0">
      <w:pPr>
        <w:numPr>
          <w:ilvl w:val="0"/>
          <w:numId w:val="2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csoport esetén a helyreállítási tervnek biztosítania kell a konzisztenciát és az együttműködést a csoportvezető intézmény és a leányvállalatok között.</w:t>
      </w:r>
    </w:p>
    <w:p w14:paraId="19C64237" w14:textId="77777777" w:rsidR="00724FE0" w:rsidRPr="00B97972" w:rsidRDefault="00724FE0" w:rsidP="00724FE0">
      <w:pPr>
        <w:spacing w:after="150" w:line="276" w:lineRule="auto"/>
        <w:ind w:left="360"/>
        <w:rPr>
          <w:rFonts w:ascii="Calibri" w:hAnsi="Calibri" w:cs="Times New Roman"/>
          <w:szCs w:val="24"/>
          <w:lang w:eastAsia="hu-HU"/>
        </w:rPr>
      </w:pPr>
    </w:p>
    <w:p w14:paraId="65E701C8"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Helyreállítási terv felépítése</w:t>
      </w:r>
    </w:p>
    <w:p w14:paraId="6A3C52A2"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tervnek - figyelembe véve a </w:t>
      </w:r>
      <w:proofErr w:type="spellStart"/>
      <w:r w:rsidRPr="00B97972">
        <w:rPr>
          <w:rFonts w:ascii="Calibri" w:hAnsi="Calibri"/>
          <w:lang w:eastAsia="hu-HU"/>
        </w:rPr>
        <w:t>Hpt-ben</w:t>
      </w:r>
      <w:proofErr w:type="spellEnd"/>
      <w:r w:rsidRPr="00B97972">
        <w:rPr>
          <w:rFonts w:ascii="Calibri" w:hAnsi="Calibri"/>
          <w:lang w:eastAsia="hu-HU"/>
        </w:rPr>
        <w:t xml:space="preserve">, illetve a </w:t>
      </w:r>
      <w:proofErr w:type="spellStart"/>
      <w:r w:rsidRPr="00B97972">
        <w:rPr>
          <w:rFonts w:ascii="Calibri" w:hAnsi="Calibri"/>
          <w:lang w:eastAsia="hu-HU"/>
        </w:rPr>
        <w:t>Bszt-ben</w:t>
      </w:r>
      <w:proofErr w:type="spellEnd"/>
      <w:r w:rsidRPr="00B97972">
        <w:rPr>
          <w:rFonts w:ascii="Calibri" w:hAnsi="Calibri"/>
          <w:lang w:eastAsia="hu-HU"/>
        </w:rPr>
        <w:t xml:space="preserve"> előírt kötelező tartalmi elemeket is - legalább az alábbi fő fejezeteket kell tartalmaznia:</w:t>
      </w:r>
    </w:p>
    <w:p w14:paraId="273B1028" w14:textId="77777777" w:rsidR="00724FE0" w:rsidRPr="00B97972" w:rsidRDefault="00724FE0" w:rsidP="00724FE0">
      <w:pPr>
        <w:numPr>
          <w:ilvl w:val="0"/>
          <w:numId w:val="2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összefoglaló a helyreállítási terv legfontosabb elemeiről,</w:t>
      </w:r>
    </w:p>
    <w:p w14:paraId="1FE79950" w14:textId="77777777" w:rsidR="00724FE0" w:rsidRPr="00B97972" w:rsidRDefault="00724FE0" w:rsidP="00724FE0">
      <w:pPr>
        <w:numPr>
          <w:ilvl w:val="0"/>
          <w:numId w:val="2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irányítási struktúra (</w:t>
      </w:r>
      <w:proofErr w:type="spellStart"/>
      <w:r w:rsidRPr="00B97972">
        <w:rPr>
          <w:rFonts w:ascii="Calibri" w:hAnsi="Calibri" w:cs="Times New Roman"/>
          <w:szCs w:val="24"/>
          <w:lang w:eastAsia="hu-HU"/>
        </w:rPr>
        <w:t>governance</w:t>
      </w:r>
      <w:proofErr w:type="spellEnd"/>
      <w:r w:rsidRPr="00B97972">
        <w:rPr>
          <w:rFonts w:ascii="Calibri" w:hAnsi="Calibri" w:cs="Times New Roman"/>
          <w:szCs w:val="24"/>
          <w:lang w:eastAsia="hu-HU"/>
        </w:rPr>
        <w:t>), ezen belül legalább annak ismertetése, hogy a helyreállítási terv hogyan illeszkedik az intézmény vállalatirányítási rendszerébe, ideértve a helyreállítási terv kidolgozásához és végrehajtásához kapcsolódó felelősségi köröket,</w:t>
      </w:r>
    </w:p>
    <w:p w14:paraId="12F1502E" w14:textId="77777777" w:rsidR="00724FE0" w:rsidRPr="00B97972" w:rsidRDefault="00724FE0" w:rsidP="00724FE0">
      <w:pPr>
        <w:numPr>
          <w:ilvl w:val="0"/>
          <w:numId w:val="2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stratégiai értékelés, ezen belül:</w:t>
      </w:r>
    </w:p>
    <w:p w14:paraId="4E9DBE71" w14:textId="77777777" w:rsidR="00724FE0" w:rsidRPr="00B97972" w:rsidRDefault="00724FE0" w:rsidP="00724FE0">
      <w:pPr>
        <w:ind w:left="369" w:firstLine="352"/>
        <w:rPr>
          <w:rFonts w:ascii="Calibri" w:hAnsi="Calibri" w:cs="Times New Roman"/>
          <w:szCs w:val="24"/>
          <w:lang w:eastAsia="hu-HU"/>
        </w:rPr>
      </w:pPr>
      <w:proofErr w:type="spellStart"/>
      <w:r w:rsidRPr="00B97972">
        <w:rPr>
          <w:rFonts w:ascii="Calibri" w:hAnsi="Calibri" w:cs="Times New Roman"/>
          <w:szCs w:val="24"/>
          <w:lang w:eastAsia="hu-HU"/>
        </w:rPr>
        <w:t>ca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az intézmény kritikus funkcióinak meghatározása,</w:t>
      </w:r>
    </w:p>
    <w:p w14:paraId="149FC4B4"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az intézmény kritikus funkciói működésének fenntartásához szükséges, a likviditással és a fizetőképességgel (</w:t>
      </w:r>
      <w:proofErr w:type="spellStart"/>
      <w:r w:rsidRPr="00B97972">
        <w:rPr>
          <w:rFonts w:ascii="Calibri" w:hAnsi="Calibri" w:cs="Times New Roman"/>
          <w:szCs w:val="24"/>
          <w:lang w:eastAsia="hu-HU"/>
        </w:rPr>
        <w:t>szolvenciával</w:t>
      </w:r>
      <w:proofErr w:type="spellEnd"/>
      <w:r w:rsidRPr="00B97972">
        <w:rPr>
          <w:rFonts w:ascii="Calibri" w:hAnsi="Calibri" w:cs="Times New Roman"/>
          <w:szCs w:val="24"/>
          <w:lang w:eastAsia="hu-HU"/>
        </w:rPr>
        <w:t>) kapcsolatban tervezett lépések,</w:t>
      </w:r>
    </w:p>
    <w:p w14:paraId="5049E416"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 helyreállítási terv minden egyes lényeges lépéséhez szükséges becsült időkeret,</w:t>
      </w:r>
    </w:p>
    <w:p w14:paraId="3DC010C2" w14:textId="77777777" w:rsidR="00724FE0" w:rsidRPr="00B97972" w:rsidRDefault="00724FE0" w:rsidP="00724FE0">
      <w:pPr>
        <w:ind w:left="1418" w:hanging="697"/>
        <w:rPr>
          <w:rFonts w:ascii="Calibri" w:hAnsi="Calibri" w:cs="Times New Roman"/>
          <w:szCs w:val="24"/>
          <w:lang w:eastAsia="hu-HU"/>
        </w:rPr>
      </w:pPr>
      <w:proofErr w:type="gramStart"/>
      <w:r w:rsidRPr="00B97972">
        <w:rPr>
          <w:rFonts w:ascii="Calibri" w:hAnsi="Calibri" w:cs="Times New Roman"/>
          <w:szCs w:val="24"/>
          <w:lang w:eastAsia="hu-HU"/>
        </w:rPr>
        <w:lastRenderedPageBreak/>
        <w:t>cd</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a helyreállítási terv esetleges végrehajtását gátló tényezők leírása, ideértve az ügyfelekre, a szerződéses partnerekre, valamint – összevont alapú felügyelet alá tartozó intézmény esetén – a csoport többi tagjára gyakorolt hatásokat is,</w:t>
      </w:r>
    </w:p>
    <w:p w14:paraId="0C4FCA7B"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ce</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az intézmény fő üzletágai, működési folyamatai és eszközei értékének valamint értékesíthetőségének meghatározására irányuló eljárások, valamint értékesítésükhöz szükséges lépések és azok becsült időkerete,</w:t>
      </w:r>
    </w:p>
    <w:p w14:paraId="6C1788A7"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cf</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 Hpt. 79. §</w:t>
      </w:r>
      <w:proofErr w:type="spellStart"/>
      <w:r w:rsidRPr="00B97972">
        <w:rPr>
          <w:rFonts w:ascii="Calibri" w:hAnsi="Calibri" w:cs="Times New Roman"/>
          <w:szCs w:val="24"/>
          <w:lang w:eastAsia="hu-HU"/>
        </w:rPr>
        <w:t>-ában</w:t>
      </w:r>
      <w:proofErr w:type="spellEnd"/>
      <w:r w:rsidRPr="00B97972">
        <w:rPr>
          <w:rFonts w:ascii="Calibri" w:hAnsi="Calibri" w:cs="Times New Roman"/>
          <w:szCs w:val="24"/>
          <w:lang w:eastAsia="hu-HU"/>
        </w:rPr>
        <w:t xml:space="preserve">, illetve a </w:t>
      </w:r>
      <w:proofErr w:type="spellStart"/>
      <w:r w:rsidRPr="00B97972">
        <w:rPr>
          <w:rFonts w:ascii="Calibri" w:hAnsi="Calibri" w:cs="Times New Roman"/>
          <w:szCs w:val="24"/>
          <w:lang w:eastAsia="hu-HU"/>
        </w:rPr>
        <w:t>Bszt</w:t>
      </w:r>
      <w:proofErr w:type="spellEnd"/>
      <w:r w:rsidRPr="00B97972">
        <w:rPr>
          <w:rFonts w:ascii="Calibri" w:hAnsi="Calibri" w:cs="Times New Roman"/>
          <w:szCs w:val="24"/>
          <w:lang w:eastAsia="hu-HU"/>
        </w:rPr>
        <w:t>. 105. §</w:t>
      </w:r>
      <w:proofErr w:type="spellStart"/>
      <w:r w:rsidRPr="00B97972">
        <w:rPr>
          <w:rFonts w:ascii="Calibri" w:hAnsi="Calibri" w:cs="Times New Roman"/>
          <w:szCs w:val="24"/>
          <w:lang w:eastAsia="hu-HU"/>
        </w:rPr>
        <w:t>-ában</w:t>
      </w:r>
      <w:proofErr w:type="spellEnd"/>
      <w:r w:rsidRPr="00B97972">
        <w:rPr>
          <w:rFonts w:ascii="Calibri" w:hAnsi="Calibri" w:cs="Times New Roman"/>
          <w:szCs w:val="24"/>
          <w:lang w:eastAsia="hu-HU"/>
        </w:rPr>
        <w:t xml:space="preserve"> meghatározott tőkekövetelmény megőrzéséhez kapcsolódó szabályok, lehetséges lépések,</w:t>
      </w:r>
    </w:p>
    <w:p w14:paraId="5DE262CE" w14:textId="77777777" w:rsidR="00724FE0" w:rsidRPr="00B97972" w:rsidRDefault="00724FE0" w:rsidP="00724FE0">
      <w:pPr>
        <w:ind w:left="1418" w:hanging="697"/>
        <w:rPr>
          <w:rFonts w:ascii="Calibri" w:hAnsi="Calibri" w:cs="Times New Roman"/>
          <w:szCs w:val="24"/>
          <w:lang w:eastAsia="hu-HU"/>
        </w:rPr>
      </w:pPr>
      <w:proofErr w:type="gramStart"/>
      <w:r w:rsidRPr="00B97972">
        <w:rPr>
          <w:rFonts w:ascii="Calibri" w:hAnsi="Calibri" w:cs="Times New Roman"/>
          <w:szCs w:val="24"/>
          <w:lang w:eastAsia="hu-HU"/>
        </w:rPr>
        <w:t>cg</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szabályok és lépések annak biztosítására, hogy az intézmény megfelelően hozzáférjen válsághelyzeti finanszírozási forrásokhoz,</w:t>
      </w:r>
    </w:p>
    <w:p w14:paraId="50F567A7"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ch</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 kötelezettségek szerkezetének átalakítására irányuló szabályok és intézkedések,</w:t>
      </w:r>
    </w:p>
    <w:p w14:paraId="7196644E"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ci</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 fő üzletágak szerkezetének átalakítására irányuló szabályok és intézkedések,</w:t>
      </w:r>
    </w:p>
    <w:p w14:paraId="31930118"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cj</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 fizetési, elszámolási rendszerekhez és egyéb infrastruktúrákhoz történő hozzáférés fenntartásához szükséges szabályok és intézkedések,</w:t>
      </w:r>
    </w:p>
    <w:p w14:paraId="6F9DB9D3"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ck</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az intézmény által tett vagy tervezett előkészítő lépések a helyreállítási terv végrehajtásának előmozdítására, ideértve az intézmény esetleges tőkeemeléséről szóló döntést korlátozó szabályok felülvizsgálatát is,</w:t>
      </w:r>
    </w:p>
    <w:p w14:paraId="10EED821" w14:textId="77777777" w:rsidR="00724FE0" w:rsidRPr="00B97972" w:rsidRDefault="00724FE0" w:rsidP="00724FE0">
      <w:pPr>
        <w:ind w:left="1418" w:hanging="697"/>
        <w:rPr>
          <w:rFonts w:ascii="Calibri" w:hAnsi="Calibri" w:cs="Times New Roman"/>
          <w:szCs w:val="24"/>
          <w:lang w:eastAsia="hu-HU"/>
        </w:rPr>
      </w:pPr>
      <w:proofErr w:type="gramStart"/>
      <w:r w:rsidRPr="00B97972">
        <w:rPr>
          <w:rFonts w:ascii="Calibri" w:hAnsi="Calibri" w:cs="Times New Roman"/>
          <w:szCs w:val="24"/>
          <w:lang w:eastAsia="hu-HU"/>
        </w:rPr>
        <w:t>cl</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arra vonatkozó elemzés, hogy a helyreállítási tervben vázolt körülmények között az intézmény hogyan és mikor igényelhet a jegybanki feladatkörében eljáró MNB-től rendkívüli likviditási hitelt, ideértve a lehetséges fedezetet is,</w:t>
      </w:r>
    </w:p>
    <w:p w14:paraId="35E622DC" w14:textId="77777777" w:rsidR="00724FE0" w:rsidRPr="00B97972" w:rsidRDefault="00724FE0" w:rsidP="00724FE0">
      <w:pPr>
        <w:ind w:left="1418" w:hanging="697"/>
        <w:rPr>
          <w:rFonts w:ascii="Calibri" w:hAnsi="Calibri" w:cs="Times New Roman"/>
          <w:szCs w:val="24"/>
          <w:lang w:eastAsia="hu-HU"/>
        </w:rPr>
      </w:pPr>
      <w:proofErr w:type="gramStart"/>
      <w:r w:rsidRPr="00B97972">
        <w:rPr>
          <w:rFonts w:ascii="Calibri" w:hAnsi="Calibri" w:cs="Times New Roman"/>
          <w:szCs w:val="24"/>
          <w:lang w:eastAsia="hu-HU"/>
        </w:rPr>
        <w:t>cm</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az MNB által alkalmazható intézkedést, kivételes intézkedést kiváltó esemény teljesülésekor az intézmény részéről alkalmazandó lehetséges lépések,</w:t>
      </w:r>
    </w:p>
    <w:p w14:paraId="58D42697"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cn</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feltételek és eljárások a helyreállítási tervben foglalt intézkedések intézmény által történő gyors végrehajtása biztosításához,</w:t>
      </w:r>
    </w:p>
    <w:p w14:paraId="5DD9526F" w14:textId="77777777" w:rsidR="00724FE0" w:rsidRPr="00B97972" w:rsidRDefault="00724FE0" w:rsidP="00724FE0">
      <w:pPr>
        <w:ind w:left="1418" w:hanging="697"/>
        <w:rPr>
          <w:rFonts w:ascii="Calibri" w:hAnsi="Calibri" w:cs="Times New Roman"/>
          <w:szCs w:val="24"/>
          <w:lang w:eastAsia="hu-HU"/>
        </w:rPr>
      </w:pPr>
      <w:proofErr w:type="spellStart"/>
      <w:r w:rsidRPr="00B97972">
        <w:rPr>
          <w:rFonts w:ascii="Calibri" w:hAnsi="Calibri" w:cs="Times New Roman"/>
          <w:szCs w:val="24"/>
          <w:lang w:eastAsia="hu-HU"/>
        </w:rPr>
        <w:t>co</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alternatív forgatókönyvek az intézmény egyedi működése szempontjából súlyos makrogazdasági, illetve a pénzügyi közvetítőrendszerben fennálló általános válsághelyzet kialakulásához kapcsolódóan,</w:t>
      </w:r>
    </w:p>
    <w:p w14:paraId="753C5585" w14:textId="77777777" w:rsidR="00724FE0" w:rsidRPr="00B97972" w:rsidRDefault="00724FE0" w:rsidP="00724FE0">
      <w:pPr>
        <w:numPr>
          <w:ilvl w:val="0"/>
          <w:numId w:val="2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kommunikációs és közzétételi terv,</w:t>
      </w:r>
    </w:p>
    <w:p w14:paraId="26A9D06B" w14:textId="77777777" w:rsidR="00724FE0" w:rsidRPr="00B97972" w:rsidRDefault="00724FE0" w:rsidP="00724FE0">
      <w:pPr>
        <w:numPr>
          <w:ilvl w:val="0"/>
          <w:numId w:val="2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helyreállítás során alkalmazható intézkedések kivitelezéséhez szükséges esetleges további intézkedések, </w:t>
      </w:r>
      <w:proofErr w:type="spellStart"/>
      <w:r w:rsidRPr="00B97972">
        <w:rPr>
          <w:rFonts w:ascii="Calibri" w:hAnsi="Calibri" w:cs="Times New Roman"/>
          <w:szCs w:val="24"/>
          <w:lang w:eastAsia="hu-HU"/>
        </w:rPr>
        <w:t>nyomonkövetés</w:t>
      </w:r>
      <w:proofErr w:type="spellEnd"/>
      <w:r w:rsidRPr="00B97972">
        <w:rPr>
          <w:rFonts w:ascii="Calibri" w:hAnsi="Calibri" w:cs="Times New Roman"/>
          <w:szCs w:val="24"/>
          <w:lang w:eastAsia="hu-HU"/>
        </w:rPr>
        <w:t>.</w:t>
      </w:r>
    </w:p>
    <w:p w14:paraId="5BAD7183" w14:textId="77777777" w:rsidR="00724FE0" w:rsidRPr="00B97972" w:rsidRDefault="00724FE0" w:rsidP="00CA33EC">
      <w:pPr>
        <w:spacing w:after="150" w:line="276" w:lineRule="auto"/>
        <w:ind w:left="426"/>
        <w:rPr>
          <w:rFonts w:ascii="Calibri" w:hAnsi="Calibri" w:cs="Times New Roman"/>
          <w:szCs w:val="24"/>
          <w:lang w:eastAsia="hu-HU"/>
        </w:rPr>
      </w:pPr>
      <w:r w:rsidRPr="00B97972">
        <w:rPr>
          <w:rFonts w:ascii="Calibri" w:hAnsi="Calibri" w:cs="Times New Roman"/>
          <w:szCs w:val="24"/>
          <w:lang w:eastAsia="hu-HU"/>
        </w:rPr>
        <w:t>A helyreállítási terv egyes fejezeteire vonatkozó részletes követelmények a következők.</w:t>
      </w:r>
    </w:p>
    <w:p w14:paraId="27E883DC"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A helyreállítási terv összegzése, összefoglaló a helyreállítási terv legfontosabb elemeiről</w:t>
      </w:r>
    </w:p>
    <w:p w14:paraId="1E175D86"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Ebben a fejezetben az intézmény összegzi a helyreállítási terv fő pontjait, lényeges elemeit, amelyek a későbbiekben részletesen kifejtésre kerülnek. Az összefoglalónak tartalmaznia kell</w:t>
      </w:r>
    </w:p>
    <w:p w14:paraId="016BA5EA" w14:textId="77777777" w:rsidR="00724FE0" w:rsidRPr="00B97972" w:rsidRDefault="00724FE0" w:rsidP="00724FE0">
      <w:pPr>
        <w:numPr>
          <w:ilvl w:val="0"/>
          <w:numId w:val="2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vállalatirányítással kapcsolatos legfontosabb információkat,</w:t>
      </w:r>
    </w:p>
    <w:p w14:paraId="19C8B962" w14:textId="77777777" w:rsidR="00724FE0" w:rsidRPr="00B97972" w:rsidRDefault="00724FE0" w:rsidP="00724FE0">
      <w:pPr>
        <w:numPr>
          <w:ilvl w:val="0"/>
          <w:numId w:val="2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összefoglalót a stratégiai elemzésről, valamint a teljes helyreállítási kapacitásról,</w:t>
      </w:r>
    </w:p>
    <w:p w14:paraId="447CA0FF" w14:textId="77777777" w:rsidR="00724FE0" w:rsidRPr="00B97972" w:rsidRDefault="00724FE0" w:rsidP="00724FE0">
      <w:pPr>
        <w:numPr>
          <w:ilvl w:val="0"/>
          <w:numId w:val="2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legutóbbi helyreállítási terv elfogadása óta az intézményt/csoportot vagy a helyreállítási tervet érintő legfontosabb módosításokat,</w:t>
      </w:r>
    </w:p>
    <w:p w14:paraId="7C39250C" w14:textId="77777777" w:rsidR="00724FE0" w:rsidRPr="00B97972" w:rsidRDefault="00724FE0" w:rsidP="00724FE0">
      <w:pPr>
        <w:numPr>
          <w:ilvl w:val="0"/>
          <w:numId w:val="2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kommunikációs és közzétételi terv összegzését és</w:t>
      </w:r>
    </w:p>
    <w:p w14:paraId="374F2DC1" w14:textId="77777777" w:rsidR="00724FE0" w:rsidRPr="00B97972" w:rsidRDefault="00724FE0" w:rsidP="00724FE0">
      <w:pPr>
        <w:numPr>
          <w:ilvl w:val="0"/>
          <w:numId w:val="2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 alkalmazhatósága érdekében megteendő előkészítő lépéseket.</w:t>
      </w:r>
    </w:p>
    <w:p w14:paraId="739B0A45"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Irányítási struktúra bemutatása (</w:t>
      </w:r>
      <w:proofErr w:type="spellStart"/>
      <w:r w:rsidRPr="00B97972">
        <w:rPr>
          <w:rFonts w:ascii="Calibri" w:hAnsi="Calibri" w:cs="Times New Roman"/>
          <w:b/>
          <w:color w:val="202653"/>
          <w:szCs w:val="24"/>
          <w:lang w:eastAsia="hu-HU"/>
        </w:rPr>
        <w:t>governance</w:t>
      </w:r>
      <w:proofErr w:type="spellEnd"/>
      <w:r w:rsidRPr="00B97972">
        <w:rPr>
          <w:rFonts w:ascii="Calibri" w:hAnsi="Calibri" w:cs="Times New Roman"/>
          <w:b/>
          <w:color w:val="202653"/>
          <w:szCs w:val="24"/>
          <w:lang w:eastAsia="hu-HU"/>
        </w:rPr>
        <w:t>)</w:t>
      </w:r>
    </w:p>
    <w:p w14:paraId="1DE5EC02"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lastRenderedPageBreak/>
        <w:t>Ebben a fejezetben kell bemutatni a helyreállítási terv készítésének, jóváhagyásának és alkalmazásának folyamatát. A helyreállítási terv e fejezete legalább az alábbiakat kell, hogy tartalmazza:</w:t>
      </w:r>
    </w:p>
    <w:p w14:paraId="189BD4C8" w14:textId="77777777" w:rsidR="00724FE0" w:rsidRPr="00B97972" w:rsidRDefault="00724FE0" w:rsidP="00724FE0">
      <w:pPr>
        <w:numPr>
          <w:ilvl w:val="0"/>
          <w:numId w:val="1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helyreállítási terv kidolgozási folyamatának leírását, ezen belül </w:t>
      </w:r>
    </w:p>
    <w:p w14:paraId="2D3EBE25"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spellStart"/>
      <w:r w:rsidRPr="00B97972">
        <w:rPr>
          <w:rFonts w:ascii="Calibri" w:hAnsi="Calibri" w:cs="Times New Roman"/>
          <w:szCs w:val="24"/>
          <w:lang w:eastAsia="hu-HU"/>
        </w:rPr>
        <w:t>aa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nevesíteni kell a helyreállítási terv egyes fejezeteinek elkészítéséért</w:t>
      </w:r>
      <w:r w:rsidRPr="00B97972">
        <w:rPr>
          <w:rFonts w:ascii="Calibri" w:hAnsi="Calibri" w:cs="Times New Roman"/>
          <w:szCs w:val="24"/>
          <w:vertAlign w:val="superscript"/>
          <w:lang w:eastAsia="hu-HU"/>
        </w:rPr>
        <w:footnoteReference w:id="7"/>
      </w:r>
      <w:r w:rsidRPr="00B97972">
        <w:rPr>
          <w:rFonts w:ascii="Calibri" w:hAnsi="Calibri" w:cs="Times New Roman"/>
          <w:szCs w:val="24"/>
          <w:lang w:eastAsia="hu-HU"/>
        </w:rPr>
        <w:t xml:space="preserve">, megvalósításáért és felülvizsgálatáért felelős személyeket, szervezeti egységeket, </w:t>
      </w:r>
    </w:p>
    <w:p w14:paraId="5B1161D7" w14:textId="77777777" w:rsidR="00724FE0" w:rsidRPr="00B97972" w:rsidRDefault="00724FE0" w:rsidP="00724FE0">
      <w:pPr>
        <w:spacing w:after="150" w:line="276" w:lineRule="auto"/>
        <w:ind w:left="1560" w:hanging="426"/>
        <w:rPr>
          <w:rFonts w:ascii="Calibri" w:hAnsi="Calibri" w:cs="Times New Roman"/>
          <w:szCs w:val="24"/>
          <w:lang w:eastAsia="hu-HU"/>
        </w:rPr>
      </w:pPr>
      <w:r w:rsidRPr="00B97972">
        <w:rPr>
          <w:rFonts w:ascii="Calibri" w:hAnsi="Calibri" w:cs="Times New Roman"/>
          <w:szCs w:val="24"/>
          <w:lang w:eastAsia="hu-HU"/>
        </w:rPr>
        <w:t>ab)</w:t>
      </w:r>
      <w:r w:rsidRPr="00B97972">
        <w:rPr>
          <w:rFonts w:ascii="Calibri" w:hAnsi="Calibri" w:cs="Times New Roman"/>
          <w:szCs w:val="24"/>
          <w:lang w:eastAsia="hu-HU"/>
        </w:rPr>
        <w:tab/>
        <w:t xml:space="preserve">meg kell határozni a teljes helyreállítási terv naprakészségéért felelős személyt és be kell mutatni a helyreállítási </w:t>
      </w:r>
      <w:proofErr w:type="gramStart"/>
      <w:r w:rsidRPr="00B97972">
        <w:rPr>
          <w:rFonts w:ascii="Calibri" w:hAnsi="Calibri" w:cs="Times New Roman"/>
          <w:szCs w:val="24"/>
          <w:lang w:eastAsia="hu-HU"/>
        </w:rPr>
        <w:t>terv éves</w:t>
      </w:r>
      <w:proofErr w:type="gramEnd"/>
      <w:r w:rsidRPr="00B97972">
        <w:rPr>
          <w:rFonts w:ascii="Calibri" w:hAnsi="Calibri" w:cs="Times New Roman"/>
          <w:szCs w:val="24"/>
          <w:lang w:eastAsia="hu-HU"/>
        </w:rPr>
        <w:t xml:space="preserve"> és esetleges rendkívüli felülvizsgálata esetén követendő folyamatot,</w:t>
      </w:r>
    </w:p>
    <w:p w14:paraId="44E34B20"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spellStart"/>
      <w:r w:rsidRPr="00B97972">
        <w:rPr>
          <w:rFonts w:ascii="Calibri" w:hAnsi="Calibri" w:cs="Times New Roman"/>
          <w:szCs w:val="24"/>
          <w:lang w:eastAsia="hu-HU"/>
        </w:rPr>
        <w:t>ac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 xml:space="preserve">be kell mutatni, hogyan került a helyreállítási </w:t>
      </w:r>
      <w:proofErr w:type="gramStart"/>
      <w:r w:rsidRPr="00B97972">
        <w:rPr>
          <w:rFonts w:ascii="Calibri" w:hAnsi="Calibri" w:cs="Times New Roman"/>
          <w:szCs w:val="24"/>
          <w:lang w:eastAsia="hu-HU"/>
        </w:rPr>
        <w:t>terv integrálásra</w:t>
      </w:r>
      <w:proofErr w:type="gramEnd"/>
      <w:r w:rsidRPr="00B97972">
        <w:rPr>
          <w:rFonts w:ascii="Calibri" w:hAnsi="Calibri" w:cs="Times New Roman"/>
          <w:szCs w:val="24"/>
          <w:lang w:eastAsia="hu-HU"/>
        </w:rPr>
        <w:t xml:space="preserve"> az intézmény vállalatirányítási és kockázat-kezelési rendszerébe, valamint</w:t>
      </w:r>
    </w:p>
    <w:p w14:paraId="5EC5D22E"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gramStart"/>
      <w:r w:rsidRPr="00B97972">
        <w:rPr>
          <w:rFonts w:ascii="Calibri" w:hAnsi="Calibri" w:cs="Times New Roman"/>
          <w:szCs w:val="24"/>
          <w:lang w:eastAsia="hu-HU"/>
        </w:rPr>
        <w:t>ad</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amennyiben az intézmény egy csoport tagja, be kell mutatni azokat a csoporton belüli intézkedéseket és megállapodásokat, amelyek biztosítják a helyreállítás során alkalmazandó intézkedések összhangját a csoport és az egyedi intézmény között.</w:t>
      </w:r>
    </w:p>
    <w:p w14:paraId="661D1A75" w14:textId="77777777" w:rsidR="00724FE0" w:rsidRPr="00B97972" w:rsidRDefault="00724FE0" w:rsidP="00724FE0">
      <w:pPr>
        <w:numPr>
          <w:ilvl w:val="0"/>
          <w:numId w:val="1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 jóváhagyási folyamatának bemutatását, kitérve a jóváhagyásban részt vevő belső és külső irányító és kontroll funkciót betöltő testületek (igazgatóság, felügyelő bizottság, audit bizottság, belső ellenőr</w:t>
      </w:r>
      <w:r>
        <w:rPr>
          <w:rFonts w:ascii="Calibri" w:hAnsi="Calibri" w:cs="Times New Roman"/>
          <w:szCs w:val="24"/>
          <w:lang w:eastAsia="hu-HU"/>
        </w:rPr>
        <w:t>zés, kockázatkezelési bizottság</w:t>
      </w:r>
      <w:r w:rsidRPr="00B97972">
        <w:rPr>
          <w:rFonts w:ascii="Calibri" w:hAnsi="Calibri" w:cs="Times New Roman"/>
          <w:szCs w:val="24"/>
          <w:lang w:eastAsia="hu-HU"/>
        </w:rPr>
        <w:t xml:space="preserve"> stb.) szerepére is,</w:t>
      </w:r>
    </w:p>
    <w:p w14:paraId="058CDBFD" w14:textId="77777777" w:rsidR="00724FE0" w:rsidRPr="00B97972" w:rsidRDefault="00724FE0" w:rsidP="00724FE0">
      <w:pPr>
        <w:spacing w:after="150" w:line="276" w:lineRule="auto"/>
        <w:ind w:left="1068"/>
        <w:contextualSpacing/>
        <w:rPr>
          <w:rFonts w:ascii="Calibri" w:hAnsi="Calibri" w:cs="Times New Roman"/>
          <w:szCs w:val="24"/>
          <w:lang w:eastAsia="hu-HU"/>
        </w:rPr>
      </w:pPr>
      <w:r w:rsidRPr="00B97972">
        <w:rPr>
          <w:rFonts w:ascii="Calibri" w:hAnsi="Calibri" w:cs="Times New Roman"/>
          <w:szCs w:val="24"/>
          <w:lang w:eastAsia="hu-HU"/>
        </w:rPr>
        <w:t xml:space="preserve"> </w:t>
      </w:r>
    </w:p>
    <w:p w14:paraId="07E03874" w14:textId="77777777" w:rsidR="00724FE0" w:rsidRPr="00B97972" w:rsidRDefault="00724FE0" w:rsidP="00724FE0">
      <w:pPr>
        <w:numPr>
          <w:ilvl w:val="0"/>
          <w:numId w:val="1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azoknak a feltételeknek és folyamatoknak a leírását, amelyek a helyreállítási intézkedések időben történő végrehajtásához szükségesek, ezen belül </w:t>
      </w:r>
    </w:p>
    <w:p w14:paraId="3FE26ED1"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spellStart"/>
      <w:r w:rsidRPr="00B97972">
        <w:rPr>
          <w:rFonts w:ascii="Calibri" w:hAnsi="Calibri" w:cs="Times New Roman"/>
          <w:szCs w:val="24"/>
          <w:lang w:eastAsia="hu-HU"/>
        </w:rPr>
        <w:t>ca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meg kell határozni az intézmény tőke-, likviditási helyzetére, jövedelmezőségére, működésére vonatkozó lehetséges és releváns veszélyeket, fenyegetéseket, és hogy ezeket milyen indikátorokkal tudja az intézmény nyomon követni,</w:t>
      </w:r>
    </w:p>
    <w:p w14:paraId="6CC21600"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spellStart"/>
      <w:r w:rsidRPr="00B97972">
        <w:rPr>
          <w:rFonts w:ascii="Calibri" w:hAnsi="Calibri" w:cs="Times New Roman"/>
          <w:szCs w:val="24"/>
          <w:lang w:eastAsia="hu-HU"/>
        </w:rPr>
        <w:t>cb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értékelni kell a tőkehelyzetre, likviditási helyzetre és a jövedelmezőségre vonatkozó lehetséges veszélyeket, fenyegetéseket,</w:t>
      </w:r>
    </w:p>
    <w:p w14:paraId="6CD2E22D"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spellStart"/>
      <w:r w:rsidRPr="00B97972">
        <w:rPr>
          <w:rFonts w:ascii="Calibri" w:hAnsi="Calibri" w:cs="Times New Roman"/>
          <w:szCs w:val="24"/>
          <w:lang w:eastAsia="hu-HU"/>
        </w:rPr>
        <w:t>cc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 xml:space="preserve">a helyreállítási tervben megjelölt valamely indikátorhoz kapcsolódó küszöbérték bekövetkezése esetén követendő belső eszkalációs és döntési folyamat bemutatását és annak leírását, hogy milyen feltételek bekövetkezése esetén, hogyan, milyen döntési folyamaton keresztül, kiknek a bevonásával történik annak a meghatározása, hogy mely helyreállítási intézkedésekre van szükség az adott helyzetben. Ki kell térni arra is, hogy az </w:t>
      </w:r>
      <w:r w:rsidRPr="00B97972">
        <w:rPr>
          <w:rFonts w:ascii="Calibri" w:hAnsi="Calibri" w:cs="Times New Roman"/>
          <w:szCs w:val="24"/>
          <w:lang w:eastAsia="hu-HU"/>
        </w:rPr>
        <w:lastRenderedPageBreak/>
        <w:t>adott folyamatban kinek milyen felelőssége van, illetve hogy milyen időigénye van a helyreállítási intézkedés végrehajtásának,</w:t>
      </w:r>
    </w:p>
    <w:p w14:paraId="713BD301"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gramStart"/>
      <w:r w:rsidRPr="00B97972">
        <w:rPr>
          <w:rFonts w:ascii="Calibri" w:hAnsi="Calibri" w:cs="Times New Roman"/>
          <w:szCs w:val="24"/>
          <w:lang w:eastAsia="hu-HU"/>
        </w:rPr>
        <w:t>cd</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 xml:space="preserve">azon kritériumok meghatározását, amelyek alapján az intézmény egyik vagy másik opció alkalmazásáról dönt, </w:t>
      </w:r>
    </w:p>
    <w:p w14:paraId="1F1AB48B" w14:textId="77777777" w:rsidR="00724FE0" w:rsidRPr="00B97972" w:rsidRDefault="00724FE0" w:rsidP="00724FE0">
      <w:pPr>
        <w:spacing w:after="150" w:line="276" w:lineRule="auto"/>
        <w:ind w:left="1560" w:hanging="426"/>
        <w:rPr>
          <w:rFonts w:ascii="Calibri" w:hAnsi="Calibri" w:cs="Times New Roman"/>
          <w:szCs w:val="24"/>
          <w:lang w:eastAsia="hu-HU"/>
        </w:rPr>
      </w:pPr>
      <w:proofErr w:type="spellStart"/>
      <w:r w:rsidRPr="00B97972">
        <w:rPr>
          <w:rFonts w:ascii="Calibri" w:hAnsi="Calibri" w:cs="Times New Roman"/>
          <w:szCs w:val="24"/>
          <w:lang w:eastAsia="hu-HU"/>
        </w:rPr>
        <w:t>ce</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azon folyamat részletes leírását</w:t>
      </w:r>
      <w:proofErr w:type="gramStart"/>
      <w:r w:rsidRPr="00B97972">
        <w:rPr>
          <w:rFonts w:ascii="Calibri" w:hAnsi="Calibri" w:cs="Times New Roman"/>
          <w:szCs w:val="24"/>
          <w:lang w:eastAsia="hu-HU"/>
        </w:rPr>
        <w:t>,  hogy</w:t>
      </w:r>
      <w:proofErr w:type="gramEnd"/>
      <w:r w:rsidRPr="00B97972">
        <w:rPr>
          <w:rFonts w:ascii="Calibri" w:hAnsi="Calibri" w:cs="Times New Roman"/>
          <w:szCs w:val="24"/>
          <w:lang w:eastAsia="hu-HU"/>
        </w:rPr>
        <w:t xml:space="preserve"> az intézmény miként értesíti az MNB-t arról, hogy valamelyik küszöbértéket elérte,</w:t>
      </w:r>
    </w:p>
    <w:p w14:paraId="5E8CF09E" w14:textId="77777777" w:rsidR="00724FE0" w:rsidRPr="00B97972" w:rsidRDefault="00724FE0" w:rsidP="00724FE0">
      <w:pPr>
        <w:numPr>
          <w:ilvl w:val="0"/>
          <w:numId w:val="1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annak bemutatását, hogy az intézmény vagy csoport kockázatkezelési rendszerével hogyan biztosítják a helyreállítási terv konzisztenciáját, valamint azoknak a korai előrejelző mutatóknak a leírását, amelyeket az általános kockázatkezelés során figyelnek, és amelyek előre jelezhetik a helyreállítási tervben szereplő indikátorok bekövetkezését,</w:t>
      </w:r>
    </w:p>
    <w:p w14:paraId="5FF7B91C" w14:textId="77777777" w:rsidR="00724FE0" w:rsidRPr="00B97972" w:rsidRDefault="00724FE0" w:rsidP="00724FE0">
      <w:pPr>
        <w:spacing w:after="150" w:line="276" w:lineRule="auto"/>
        <w:ind w:left="1068"/>
        <w:contextualSpacing/>
        <w:rPr>
          <w:rFonts w:ascii="Calibri" w:hAnsi="Calibri" w:cs="Times New Roman"/>
          <w:szCs w:val="24"/>
          <w:lang w:eastAsia="hu-HU"/>
        </w:rPr>
      </w:pPr>
    </w:p>
    <w:p w14:paraId="3D854D99" w14:textId="77777777" w:rsidR="00724FE0" w:rsidRPr="00B97972" w:rsidRDefault="00724FE0" w:rsidP="00724FE0">
      <w:pPr>
        <w:numPr>
          <w:ilvl w:val="0"/>
          <w:numId w:val="1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vezetői információs rendszer ismertetését, és annak bemutatását, hogy a vezetői információs rendszerek hogyan képesek az érintettek részére a döntések meghozatalához szükséges információk megfelelő időben és megbízható módon történő eljuttatására. </w:t>
      </w:r>
    </w:p>
    <w:p w14:paraId="3DFECC09" w14:textId="77777777" w:rsidR="00724FE0" w:rsidRPr="00B97972" w:rsidRDefault="00724FE0" w:rsidP="00724FE0">
      <w:pPr>
        <w:keepNext/>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Stratégiai értékelés</w:t>
      </w:r>
    </w:p>
    <w:p w14:paraId="72E64CDC"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stratégiai értékelés két fő részből áll, az első részben kell bemutatni az intézmény vagy csoport felépítését, struktúráját, meghatározni a fő tevékenységeket, kritikus pontokat, míg a második részben a helyreállítási intézkedéseket kell számos szempontot figyelembe véve részletesen bemutatni.</w:t>
      </w:r>
    </w:p>
    <w:p w14:paraId="081F7ABA" w14:textId="77777777" w:rsidR="00724FE0" w:rsidRPr="00B97972" w:rsidRDefault="00724FE0" w:rsidP="00724FE0">
      <w:pPr>
        <w:keepNext/>
        <w:spacing w:before="210" w:after="75" w:line="276" w:lineRule="auto"/>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3.5.1 Csoport, intézmény bemutatása</w:t>
      </w:r>
    </w:p>
    <w:p w14:paraId="3AB3ED24"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Ebben a fejezetben az intézmény bemutatja tevékenységeit, az azok végzéséhez kialakított üzleti területeket és azok egymással való kapcsolatát, a csoportkapcsolatokat (ideértve a fióktelepek és a leányvállalatok tevékenységeit, valamint működési struktúráját). Összevont felügyelet alá tartozó intézmény esetében elvárás, hogy a bemutatás az összevont felügyelet alá tartozó valamennyi vállalkozásra terjedjen ki. Amennyiben az intézmény anya-, illetve testvérbankja bármilyen formában érintett a helyreállítási eszközök kapcsán (pl. támogatási szerződés), akkor szükséges ezt az intézményt is itt bemutatni.</w:t>
      </w:r>
    </w:p>
    <w:p w14:paraId="239D4111"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 által lefedett </w:t>
      </w:r>
      <w:proofErr w:type="gramStart"/>
      <w:r w:rsidRPr="00B97972">
        <w:rPr>
          <w:rFonts w:ascii="Calibri" w:hAnsi="Calibri"/>
          <w:lang w:eastAsia="hu-HU"/>
        </w:rPr>
        <w:t>intézmény(</w:t>
      </w:r>
      <w:proofErr w:type="spellStart"/>
      <w:proofErr w:type="gramEnd"/>
      <w:r w:rsidRPr="00B97972">
        <w:rPr>
          <w:rFonts w:ascii="Calibri" w:hAnsi="Calibri"/>
          <w:lang w:eastAsia="hu-HU"/>
        </w:rPr>
        <w:t>ek</w:t>
      </w:r>
      <w:proofErr w:type="spellEnd"/>
      <w:r w:rsidRPr="00B97972">
        <w:rPr>
          <w:rFonts w:ascii="Calibri" w:hAnsi="Calibri"/>
          <w:lang w:eastAsia="hu-HU"/>
        </w:rPr>
        <w:t xml:space="preserve">) bemutatása legalább az alábbiakat kell, hogy tartalmazza: </w:t>
      </w:r>
    </w:p>
    <w:p w14:paraId="62D5EB7C" w14:textId="77777777" w:rsidR="00724FE0" w:rsidRPr="00B97972" w:rsidRDefault="00724FE0" w:rsidP="00724FE0">
      <w:pPr>
        <w:numPr>
          <w:ilvl w:val="0"/>
          <w:numId w:val="2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 egyes intézmények üzleti és kockázati stratégiájának leírását,</w:t>
      </w:r>
    </w:p>
    <w:p w14:paraId="43B7EABC" w14:textId="77777777" w:rsidR="00724FE0" w:rsidRPr="00B97972" w:rsidRDefault="00724FE0" w:rsidP="00724FE0">
      <w:pPr>
        <w:numPr>
          <w:ilvl w:val="0"/>
          <w:numId w:val="2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intézményenként az üzleti modell bemutatását és az üzleti tervet, ezen belül annak a felsorolását, hogy mely fő üzletágakban és országokban aktív az intézmény (akár jelentős fióktelepen vagy leányvállalaton keresztül),</w:t>
      </w:r>
    </w:p>
    <w:p w14:paraId="01B4FD5A" w14:textId="77777777" w:rsidR="00724FE0" w:rsidRPr="00B97972" w:rsidRDefault="00724FE0" w:rsidP="00724FE0">
      <w:pPr>
        <w:numPr>
          <w:ilvl w:val="0"/>
          <w:numId w:val="2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legfontosabb üzleti területek és a kritikus funkciók azonosítását,</w:t>
      </w:r>
    </w:p>
    <w:p w14:paraId="17680B03" w14:textId="77777777" w:rsidR="00724FE0" w:rsidRPr="00B97972" w:rsidRDefault="00724FE0" w:rsidP="00724FE0">
      <w:pPr>
        <w:numPr>
          <w:ilvl w:val="0"/>
          <w:numId w:val="2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lastRenderedPageBreak/>
        <w:t>annak a folyamatnak, illetve mérőszámoknak a bemutatását, amelyekkel meghatározza az intézmény a legfontosabb üzleti területeket és kritikus funkciókat.</w:t>
      </w:r>
    </w:p>
    <w:p w14:paraId="0D7B371B"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Ebben a fejezetben kell bemutatni a jelentős fióktelepek és a leányvállalatok fő üzleti tevékenységeit és kritikus funkcióit is. Jelentős fióktelep, leányvállalat a jogszabályban meghatározottakkal összhangban az a csoporttag, amely</w:t>
      </w:r>
    </w:p>
    <w:p w14:paraId="4AFDB617" w14:textId="77777777" w:rsidR="00724FE0" w:rsidRPr="00B97972" w:rsidRDefault="00724FE0" w:rsidP="00724FE0">
      <w:pPr>
        <w:numPr>
          <w:ilvl w:val="0"/>
          <w:numId w:val="2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jelentősen hozzájárul a csoport nyereségéhez vagy finanszírozásához, vagy amely az eszközökben vagy a tőkében jelentős részesedéssel bír,</w:t>
      </w:r>
    </w:p>
    <w:p w14:paraId="023F5B70" w14:textId="77777777" w:rsidR="00724FE0" w:rsidRPr="00B97972" w:rsidRDefault="00724FE0" w:rsidP="00724FE0">
      <w:pPr>
        <w:numPr>
          <w:ilvl w:val="0"/>
          <w:numId w:val="2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jelentős üzleti tevékenységet folytat,</w:t>
      </w:r>
    </w:p>
    <w:p w14:paraId="53A38B50" w14:textId="77777777" w:rsidR="00724FE0" w:rsidRPr="00B97972" w:rsidRDefault="00724FE0" w:rsidP="00724FE0">
      <w:pPr>
        <w:numPr>
          <w:ilvl w:val="0"/>
          <w:numId w:val="2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központosított formában jelentős működési, kockázatkezelési vagy adminisztratív funkciókat lát el,</w:t>
      </w:r>
    </w:p>
    <w:p w14:paraId="44245BAC" w14:textId="77777777" w:rsidR="00724FE0" w:rsidRPr="00B97972" w:rsidRDefault="00724FE0" w:rsidP="00724FE0">
      <w:pPr>
        <w:numPr>
          <w:ilvl w:val="0"/>
          <w:numId w:val="2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csoport egészének túlélését veszélyeztető jelentős kockázatokat hordoz, </w:t>
      </w:r>
    </w:p>
    <w:p w14:paraId="41DDBDA3" w14:textId="77777777" w:rsidR="00724FE0" w:rsidRPr="00B97972" w:rsidRDefault="00724FE0" w:rsidP="00724FE0">
      <w:pPr>
        <w:numPr>
          <w:ilvl w:val="0"/>
          <w:numId w:val="2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fontos azon ország pénzügyi stabilitása szempontjából, ahol a tevékenységét folytatja, és</w:t>
      </w:r>
    </w:p>
    <w:p w14:paraId="72C0DC1F" w14:textId="77777777" w:rsidR="00724FE0" w:rsidRPr="00B97972" w:rsidRDefault="00724FE0" w:rsidP="00724FE0">
      <w:pPr>
        <w:numPr>
          <w:ilvl w:val="0"/>
          <w:numId w:val="2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felszámolására nem kerülhetne sor a csoportra gyakorolt jelentősebb kockázat nélkül.</w:t>
      </w:r>
    </w:p>
    <w:p w14:paraId="6BC97D28"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megfeleltetés során az intézménynek részletesen be kell mutatni, hogy az egyes jogilag elkülönült szervezeteken belül milyen üzleti területek működnek, ott milyen tevékenységet folytatnak. Az egyes leányvállalatok kapcsán meg kell adni a jellemző adatokat: pl. létszám, likvid eszköz, finanszírozási szükséglet, nagy kockázati kitettség, nyereség-veszteség és tőke adatok, mérlegfőösszeg. </w:t>
      </w:r>
    </w:p>
    <w:p w14:paraId="2BD356F4"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intézményt, illetve csoportot bemutató fejezetben kell kitérni a helyreállítási terv által lefedett intézmények közötti jogi és pénzügyi kapcsolatokra, be kell mutatni a csoporttagok közötti kapcsolatokat, beleértve a csoporthoz tartozó leányvállalatokat, illetve fióktelepeket is. A fejezetnek részletesen kell tartalmaznia </w:t>
      </w:r>
    </w:p>
    <w:p w14:paraId="65BB8603" w14:textId="77777777" w:rsidR="00724FE0" w:rsidRPr="00B97972" w:rsidRDefault="00724FE0" w:rsidP="00724FE0">
      <w:pPr>
        <w:numPr>
          <w:ilvl w:val="0"/>
          <w:numId w:val="13"/>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a csoporton belüli pénzügyi kapcsolatok leírását,</w:t>
      </w:r>
      <w:r w:rsidRPr="00B97972">
        <w:rPr>
          <w:rFonts w:ascii="Calibri" w:hAnsi="Calibri" w:cs="Times New Roman"/>
          <w:szCs w:val="24"/>
          <w:lang w:eastAsia="hu-HU"/>
        </w:rPr>
        <w:t xml:space="preserve"> kitérve a csoporton belüli ügyletekre és finanszírozási kapcsolatok bemutatására, a csoporton belüli tőkemozgásokra, és a csoporton belüli garanciákra, amelyek helyreállítási intézkedésként alkalmazhatóak,</w:t>
      </w:r>
    </w:p>
    <w:p w14:paraId="661103D8" w14:textId="77777777" w:rsidR="00724FE0" w:rsidRPr="00B97972" w:rsidRDefault="00724FE0" w:rsidP="00724FE0">
      <w:pPr>
        <w:numPr>
          <w:ilvl w:val="0"/>
          <w:numId w:val="13"/>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a jogi kapcsolatok bemutatását,</w:t>
      </w:r>
      <w:r w:rsidRPr="00B97972">
        <w:rPr>
          <w:rFonts w:ascii="Calibri" w:hAnsi="Calibri" w:cs="Times New Roman"/>
          <w:szCs w:val="24"/>
          <w:lang w:eastAsia="hu-HU"/>
        </w:rPr>
        <w:t xml:space="preserve"> amely tartalmazza a csoporton belüli lényeges megállapodásokat (pl. támogatási megállapodás, nyereség vagy veszteség transzferről szóló megállapodás),</w:t>
      </w:r>
    </w:p>
    <w:p w14:paraId="35CD5EBE" w14:textId="77777777" w:rsidR="00724FE0" w:rsidRPr="00B97972" w:rsidRDefault="00724FE0" w:rsidP="00724FE0">
      <w:pPr>
        <w:numPr>
          <w:ilvl w:val="0"/>
          <w:numId w:val="13"/>
        </w:numPr>
        <w:spacing w:after="150" w:line="276" w:lineRule="auto"/>
        <w:contextualSpacing/>
        <w:rPr>
          <w:rFonts w:ascii="Calibri" w:hAnsi="Calibri" w:cs="Times New Roman"/>
          <w:szCs w:val="24"/>
          <w:lang w:eastAsia="hu-HU"/>
        </w:rPr>
      </w:pPr>
      <w:r w:rsidRPr="00B97972">
        <w:rPr>
          <w:rFonts w:ascii="Calibri" w:hAnsi="Calibri" w:cs="Times New Roman"/>
          <w:i/>
          <w:szCs w:val="24"/>
          <w:lang w:eastAsia="hu-HU"/>
        </w:rPr>
        <w:t>a működési szempontú összekapcsolódások leírását,</w:t>
      </w:r>
      <w:r w:rsidRPr="00B97972">
        <w:rPr>
          <w:rFonts w:ascii="Calibri" w:hAnsi="Calibri" w:cs="Times New Roman"/>
          <w:szCs w:val="24"/>
          <w:lang w:eastAsia="hu-HU"/>
        </w:rPr>
        <w:t xml:space="preserve"> amelyben ki kell térni azokra a funkciókra, amelyek a csoporton belül centralizáltak és a csoport vagy az egyes intézmények működtetése szempontjából jelentősek, ezen belül is részletezni kell az informatikai, </w:t>
      </w:r>
      <w:proofErr w:type="spellStart"/>
      <w:r w:rsidRPr="00B97972">
        <w:rPr>
          <w:rFonts w:ascii="Calibri" w:hAnsi="Calibri" w:cs="Times New Roman"/>
          <w:szCs w:val="24"/>
          <w:lang w:eastAsia="hu-HU"/>
        </w:rPr>
        <w:t>treasury</w:t>
      </w:r>
      <w:proofErr w:type="spellEnd"/>
      <w:r w:rsidRPr="00B97972">
        <w:rPr>
          <w:rFonts w:ascii="Calibri" w:hAnsi="Calibri" w:cs="Times New Roman"/>
          <w:szCs w:val="24"/>
          <w:lang w:eastAsia="hu-HU"/>
        </w:rPr>
        <w:t>, kockázatkezelési és adminisztratív funkciók bemutatását,</w:t>
      </w:r>
    </w:p>
    <w:p w14:paraId="22B880BB" w14:textId="77777777" w:rsidR="00724FE0" w:rsidRPr="00B97972" w:rsidRDefault="00724FE0" w:rsidP="00724FE0">
      <w:pPr>
        <w:numPr>
          <w:ilvl w:val="0"/>
          <w:numId w:val="1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w:t>
      </w:r>
      <w:proofErr w:type="spellStart"/>
      <w:r w:rsidRPr="00B97972">
        <w:rPr>
          <w:rFonts w:ascii="Calibri" w:hAnsi="Calibri" w:cs="Times New Roman"/>
          <w:szCs w:val="24"/>
          <w:lang w:eastAsia="hu-HU"/>
        </w:rPr>
        <w:t>BRRD</w:t>
      </w:r>
      <w:proofErr w:type="spellEnd"/>
      <w:r w:rsidRPr="00B97972">
        <w:rPr>
          <w:rFonts w:ascii="Calibri" w:hAnsi="Calibri" w:cs="Times New Roman"/>
          <w:szCs w:val="24"/>
          <w:lang w:eastAsia="hu-HU"/>
        </w:rPr>
        <w:t xml:space="preserve"> 19. cikke szerinti, csoporton belüli támogatási megállapodás bemutatását, ezen belül az érintett felek, a támogatás formája és a felhasználási feltételek megnevezését.</w:t>
      </w:r>
    </w:p>
    <w:p w14:paraId="1B2F5A61"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intézmény, illetve csoport külső kapcsolati rendszere kapcsán be kell mutatni:</w:t>
      </w:r>
    </w:p>
    <w:p w14:paraId="02AB09EB" w14:textId="77777777" w:rsidR="00724FE0" w:rsidRPr="00B97972" w:rsidRDefault="00724FE0" w:rsidP="00724FE0">
      <w:pPr>
        <w:numPr>
          <w:ilvl w:val="0"/>
          <w:numId w:val="2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lastRenderedPageBreak/>
        <w:t>a legnagyobb partnerekkel szemben fennálló jelentős követeléseket és kötelezettségeket,</w:t>
      </w:r>
    </w:p>
    <w:p w14:paraId="76A82534" w14:textId="77777777" w:rsidR="00724FE0" w:rsidRPr="00B97972" w:rsidRDefault="00724FE0" w:rsidP="00724FE0">
      <w:pPr>
        <w:numPr>
          <w:ilvl w:val="0"/>
          <w:numId w:val="2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 által lefedett intézmény által más piaci szereplőnek nyújtott jelentős pénzügyi termékeket, szolgáltatásokat,</w:t>
      </w:r>
    </w:p>
    <w:p w14:paraId="2BA83BDF" w14:textId="77777777" w:rsidR="00724FE0" w:rsidRPr="00B97972" w:rsidRDefault="00724FE0" w:rsidP="00724FE0">
      <w:pPr>
        <w:numPr>
          <w:ilvl w:val="0"/>
          <w:numId w:val="2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 által lefedett intézmények számára harmadik fél által nyújtott alapvető szolgáltatásokat.</w:t>
      </w:r>
    </w:p>
    <w:p w14:paraId="700DADDB" w14:textId="77777777" w:rsidR="00724FE0" w:rsidRPr="00B97972" w:rsidRDefault="00724FE0" w:rsidP="00724FE0">
      <w:pPr>
        <w:spacing w:before="210" w:after="75" w:line="276" w:lineRule="auto"/>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3.5.2 Helyreállítási intézkedések, eszközök és a kapcsolódó feladatok</w:t>
      </w:r>
    </w:p>
    <w:p w14:paraId="57D38E36"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tervnek nem célja a válsághelyzeteket előidéző tényezők előrejelzése, sokkal inkább annak értékelése, hogy az intézmény helyreállítási eszközrendszere mennyire széleskörű, ellenálló és hatékony a legkülönfélébb típusú és mélységű sokkok kezelése tekintetében. </w:t>
      </w:r>
    </w:p>
    <w:p w14:paraId="6A039DEF"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Ennek megfelelően a helyreállítási terv egyik legfontosabb eleme az intézmény üzleti tevékenységének stratégiai elemzése és – a nem szokásos üzletmenet esetére – a megfelelő intézkedések meghatározása. E cél érdekében a helyreállítási terv második részében az intézmény menü jelleggel (több lehetőséget felsorolva) kifejti a különféle – egyedi vagy rendszerszintű – pénzügyi stressz helyzetek esetén rendelkezésére álló eszközöket, értékeli az egyes opciók megvalósíthatóságát, és az alkalmazásuk lehetséges hatásait. A helyreállítási tervben az intézmény definiálja, hogy mely külső vagy belső körülményekre visszavezethető esetekben tekinti helyzetét válságos</w:t>
      </w:r>
      <w:r>
        <w:rPr>
          <w:rFonts w:ascii="Calibri" w:hAnsi="Calibri"/>
          <w:lang w:eastAsia="hu-HU"/>
        </w:rPr>
        <w:t>nak (tőke, likviditás, vezetési</w:t>
      </w:r>
      <w:r w:rsidRPr="00B97972">
        <w:rPr>
          <w:rFonts w:ascii="Calibri" w:hAnsi="Calibri"/>
          <w:lang w:eastAsia="hu-HU"/>
        </w:rPr>
        <w:t xml:space="preserve"> stb. válsághelyzet) és azt, hogy mely szervezeti egységének, testületének feladata a válsághelyzet deklarálása.</w:t>
      </w:r>
    </w:p>
    <w:p w14:paraId="27CEBE61" w14:textId="77777777" w:rsidR="00724FE0" w:rsidRPr="00B97972" w:rsidRDefault="00724FE0" w:rsidP="00724FE0">
      <w:pPr>
        <w:keepNext/>
        <w:spacing w:before="75" w:after="75" w:line="276" w:lineRule="auto"/>
        <w:outlineLvl w:val="3"/>
        <w:rPr>
          <w:rFonts w:ascii="Calibri" w:hAnsi="Calibri" w:cs="Times New Roman"/>
          <w:b/>
          <w:iCs/>
          <w:szCs w:val="24"/>
          <w:lang w:eastAsia="hu-HU"/>
        </w:rPr>
      </w:pPr>
      <w:r w:rsidRPr="00B97972">
        <w:rPr>
          <w:rFonts w:ascii="Calibri" w:hAnsi="Calibri" w:cs="Times New Roman"/>
          <w:b/>
          <w:iCs/>
          <w:szCs w:val="24"/>
          <w:lang w:eastAsia="hu-HU"/>
        </w:rPr>
        <w:t>Indikátorok és a kapcsolódó küszöbértékek meghatározása</w:t>
      </w:r>
    </w:p>
    <w:p w14:paraId="416A5FF0"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intézményeknek a helyreállítási tervben részletezniük kell, hogy az esetleges negatív folyamatok észlelésére milyen indikátorokat választanak ki. Rögzíteni kell továbbá, hogy az indikátorokhoz meghatározott küsz</w:t>
      </w:r>
      <w:r>
        <w:rPr>
          <w:rFonts w:ascii="Calibri" w:hAnsi="Calibri"/>
          <w:lang w:eastAsia="hu-HU"/>
        </w:rPr>
        <w:t xml:space="preserve">öbértékek bekövetkeztekor mely </w:t>
      </w:r>
      <w:r w:rsidRPr="00B97972">
        <w:rPr>
          <w:rFonts w:ascii="Calibri" w:hAnsi="Calibri"/>
          <w:lang w:eastAsia="hu-HU"/>
        </w:rPr>
        <w:t>vezetői kört kell értesíteni, és az előre meghatározott folyamatok szerint el kell dönteni, hogy van-e szükség, és ha igen, akkor milyen további intézkedésre.</w:t>
      </w:r>
    </w:p>
    <w:p w14:paraId="28EF45B8"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indikátorok között egyrészt mennyiségi (kvantitatív) és minőségi (kvalitatív) indikátorokat is ki kell jelölni, másrészt az intézményeknek legalább az alábbi területek vonatkozásában kell kijelölni indikátorokat:</w:t>
      </w:r>
    </w:p>
    <w:p w14:paraId="7E525AEA" w14:textId="77777777" w:rsidR="00724FE0" w:rsidRPr="00B97972" w:rsidRDefault="00724FE0" w:rsidP="00724FE0">
      <w:pPr>
        <w:numPr>
          <w:ilvl w:val="0"/>
          <w:numId w:val="1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tőke,</w:t>
      </w:r>
    </w:p>
    <w:p w14:paraId="3876B041" w14:textId="77777777" w:rsidR="00724FE0" w:rsidRPr="00B97972" w:rsidRDefault="00724FE0" w:rsidP="00724FE0">
      <w:pPr>
        <w:numPr>
          <w:ilvl w:val="0"/>
          <w:numId w:val="1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likviditás, </w:t>
      </w:r>
    </w:p>
    <w:p w14:paraId="3C548129" w14:textId="77777777" w:rsidR="00724FE0" w:rsidRPr="00B97972" w:rsidRDefault="00724FE0" w:rsidP="00724FE0">
      <w:pPr>
        <w:numPr>
          <w:ilvl w:val="0"/>
          <w:numId w:val="1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jövedelmezőség,</w:t>
      </w:r>
    </w:p>
    <w:p w14:paraId="10EBC9AE" w14:textId="77777777" w:rsidR="00724FE0" w:rsidRPr="00B97972" w:rsidRDefault="00724FE0" w:rsidP="00724FE0">
      <w:pPr>
        <w:numPr>
          <w:ilvl w:val="0"/>
          <w:numId w:val="1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eszközminőség.</w:t>
      </w:r>
    </w:p>
    <w:p w14:paraId="40A4CC23" w14:textId="77777777" w:rsidR="00724FE0" w:rsidRPr="00CA33EC" w:rsidRDefault="00724FE0" w:rsidP="00CA33EC">
      <w:pPr>
        <w:spacing w:after="150"/>
        <w:ind w:left="426"/>
        <w:rPr>
          <w:rFonts w:ascii="Calibri" w:hAnsi="Calibri"/>
          <w:lang w:eastAsia="hu-HU"/>
        </w:rPr>
      </w:pPr>
      <w:r w:rsidRPr="00CA33EC">
        <w:rPr>
          <w:rFonts w:ascii="Calibri" w:hAnsi="Calibri"/>
          <w:lang w:eastAsia="hu-HU"/>
        </w:rPr>
        <w:t xml:space="preserve">Az egyes kategóriákon belül az MNB által minimálisan elvárt konkrét mutatókat az 1. melléklet tartalmazza. </w:t>
      </w:r>
    </w:p>
    <w:p w14:paraId="0D382FD6"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indikátorokat úgy kell meghatározni, hogy megfelelően tükrözzék az adott </w:t>
      </w:r>
      <w:proofErr w:type="gramStart"/>
      <w:r w:rsidRPr="00B97972">
        <w:rPr>
          <w:rFonts w:ascii="Calibri" w:hAnsi="Calibri"/>
          <w:lang w:eastAsia="hu-HU"/>
        </w:rPr>
        <w:t>intézmény jellemző</w:t>
      </w:r>
      <w:proofErr w:type="gramEnd"/>
      <w:r w:rsidRPr="00B97972">
        <w:rPr>
          <w:rFonts w:ascii="Calibri" w:hAnsi="Calibri"/>
          <w:lang w:eastAsia="hu-HU"/>
        </w:rPr>
        <w:t xml:space="preserve"> kockázatait, így elvárt az intézményt érintő külső folyamatokat értékelő, piaci és makrogazdasági indikátorok használata is. Az e kategóriákba sorolható indikátorok akkor </w:t>
      </w:r>
      <w:r w:rsidRPr="00B97972">
        <w:rPr>
          <w:rFonts w:ascii="Calibri" w:hAnsi="Calibri"/>
          <w:lang w:eastAsia="hu-HU"/>
        </w:rPr>
        <w:lastRenderedPageBreak/>
        <w:t>hagyhatók el, ha az intézmény kellően meg tudja indokolni az MNB felé, hogy ezek miért nem relevánsak az intézmény jogi formája, üzleti modellje, kockázati szerkezete, mérete, és az intézmény komplexitása szempontjából.</w:t>
      </w:r>
    </w:p>
    <w:p w14:paraId="3F8FE568"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kvantitatív indikátorok alkalmazása során az intézménynek célszerű olyan jelzőrendszert használnia, (pl. "</w:t>
      </w:r>
      <w:proofErr w:type="spellStart"/>
      <w:r w:rsidRPr="00B97972">
        <w:rPr>
          <w:rFonts w:ascii="Calibri" w:hAnsi="Calibri"/>
          <w:lang w:eastAsia="hu-HU"/>
        </w:rPr>
        <w:t>traffic</w:t>
      </w:r>
      <w:proofErr w:type="spellEnd"/>
      <w:r w:rsidRPr="00B97972">
        <w:rPr>
          <w:rFonts w:ascii="Calibri" w:hAnsi="Calibri"/>
          <w:lang w:eastAsia="hu-HU"/>
        </w:rPr>
        <w:t xml:space="preserve"> </w:t>
      </w:r>
      <w:proofErr w:type="spellStart"/>
      <w:r w:rsidRPr="00B97972">
        <w:rPr>
          <w:rFonts w:ascii="Calibri" w:hAnsi="Calibri"/>
          <w:lang w:eastAsia="hu-HU"/>
        </w:rPr>
        <w:t>light</w:t>
      </w:r>
      <w:proofErr w:type="spellEnd"/>
      <w:r w:rsidRPr="00B97972">
        <w:rPr>
          <w:rFonts w:ascii="Calibri" w:hAnsi="Calibri"/>
          <w:lang w:eastAsia="hu-HU"/>
        </w:rPr>
        <w:t xml:space="preserve"> </w:t>
      </w:r>
      <w:proofErr w:type="spellStart"/>
      <w:r w:rsidRPr="00B97972">
        <w:rPr>
          <w:rFonts w:ascii="Calibri" w:hAnsi="Calibri"/>
          <w:lang w:eastAsia="hu-HU"/>
        </w:rPr>
        <w:t>approach</w:t>
      </w:r>
      <w:proofErr w:type="spellEnd"/>
      <w:r w:rsidRPr="00B97972">
        <w:rPr>
          <w:rFonts w:ascii="Calibri" w:hAnsi="Calibri"/>
          <w:lang w:eastAsia="hu-HU"/>
        </w:rPr>
        <w:t>"), amely a menedzsment számára elérhető, és megfelelő információval szolgál.</w:t>
      </w:r>
    </w:p>
    <w:p w14:paraId="0E609742"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ajánlás 1. és 2. mellékletében szereplő indikátorokon túlmenően az intézmények további indikátorokat is definiálhatnak, ezeknek azonban az ajánlásban meghatározott keretrendszerbe kell illeszkedniük és meg kell felelniük az indikátorokkal szemben támasztott követelményeknek. Az indikátorok konkrét tartalmának meghatározása során javasolt a releváns jogszabályok szerinti értelmezés alkalmazása. Az intézménynek a további indikátorokat úgy kell meghatároznia, hogy azok tükrözzék a valós kockázatait, illetve elősegítse azon jogszabályoknak történő megfelelést is, melyekre nem kerül külön indikátor előírásra.</w:t>
      </w:r>
    </w:p>
    <w:p w14:paraId="2A97759A"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helyreállítási tervben meghatározott indikátoroknak, illetve a kapcsolódó küszöbértékeknek</w:t>
      </w:r>
    </w:p>
    <w:p w14:paraId="0F875862"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illeszkedniük kell az intézmény üzleti modelljéhez, stratégiájához és kockázati profiljához,</w:t>
      </w:r>
    </w:p>
    <w:p w14:paraId="56566D5C"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illeszkedniük kell az intézmény méretéhez és komplexitásához. Az indikátorokat úgy kell kialakítani, hogy azok hatékonyan jelezzék az intézmény helyzete szempontjából releváns negatív folyamatokat a különböző területeken, ugyanakkor megfelelően célzottnak, és az intézmény számára kezelhetőnek kell lenniük,</w:t>
      </w:r>
    </w:p>
    <w:p w14:paraId="4CAE4062"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összhangban kell lenniük az </w:t>
      </w:r>
      <w:proofErr w:type="gramStart"/>
      <w:r w:rsidRPr="00B97972">
        <w:rPr>
          <w:rFonts w:ascii="Calibri" w:hAnsi="Calibri" w:cs="Times New Roman"/>
          <w:szCs w:val="24"/>
          <w:lang w:eastAsia="hu-HU"/>
        </w:rPr>
        <w:t>átfogó</w:t>
      </w:r>
      <w:proofErr w:type="gramEnd"/>
      <w:r w:rsidRPr="00B97972">
        <w:rPr>
          <w:rFonts w:ascii="Calibri" w:hAnsi="Calibri" w:cs="Times New Roman"/>
          <w:szCs w:val="24"/>
          <w:lang w:eastAsia="hu-HU"/>
        </w:rPr>
        <w:t xml:space="preserve"> kockázatkezelési rendszerrel, a meglévő likviditási és tőke válság tervek indikátoraival, valamint az üzletmenet folytonossági terv indikátoraival, </w:t>
      </w:r>
    </w:p>
    <w:p w14:paraId="53E8C0E6"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alkalmasnak kell lenniük arra, hogy meghatározzák azt a pontot, melynél az intézménynek döntést kell hozni arról, hogy tesz-e - a helyreállítási tervben szereplő - lépéseket, vagy nem,</w:t>
      </w:r>
    </w:p>
    <w:p w14:paraId="233D1478"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integrálhatónak kell lenniük az intézmény vállalatirányítási rendszerébe, az eszkalációs és döntéshozatali eljárásokba, folyamatokba,</w:t>
      </w:r>
    </w:p>
    <w:p w14:paraId="7946FC0F"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előre tekintőnek kell lenniük,</w:t>
      </w:r>
    </w:p>
    <w:p w14:paraId="3340BBB1" w14:textId="77777777" w:rsidR="00724FE0" w:rsidRPr="00B97972" w:rsidRDefault="00724FE0" w:rsidP="00724FE0">
      <w:pPr>
        <w:numPr>
          <w:ilvl w:val="0"/>
          <w:numId w:val="2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rendszeresen rendelkezésre álló adatokhoz kell kapcsolódniuk.</w:t>
      </w:r>
    </w:p>
    <w:p w14:paraId="556D5309"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intézménynek legalább évente egyszer felül kell vizsgálnia az indikátorokat, beavatkozási küszöbértékeket, és amennyiben szükséges, módosítania kell azokat. A helyreállítási tervben be kell mutatni az alkalmazott indikátorok kalibrációját, és azt, hogy azok megfelelően (kellő időben és a szükséges gyorsasággal) és hatékonyan képesek jelezni azokat a folyamatokat és változásokat, melyek a küszöbértékek megsértéséhez vezethetnek. </w:t>
      </w:r>
    </w:p>
    <w:p w14:paraId="5E176306"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lastRenderedPageBreak/>
        <w:t xml:space="preserve">A beavatkozási küszöb az a pont, ahol az intézmény vagy </w:t>
      </w:r>
      <w:proofErr w:type="gramStart"/>
      <w:r w:rsidRPr="00B97972">
        <w:rPr>
          <w:rFonts w:ascii="Calibri" w:hAnsi="Calibri"/>
          <w:lang w:eastAsia="hu-HU"/>
        </w:rPr>
        <w:t>csoport döntést</w:t>
      </w:r>
      <w:proofErr w:type="gramEnd"/>
      <w:r w:rsidRPr="00B97972">
        <w:rPr>
          <w:rFonts w:ascii="Calibri" w:hAnsi="Calibri"/>
          <w:lang w:eastAsia="hu-HU"/>
        </w:rPr>
        <w:t xml:space="preserve"> kell, hogy hozzon arról, hogy a kialakult helyzet rendezése érdekében tesz-e intézkedést, melyik helyreállítási opciót kívánja alkalmazni, és kifejti a választott opció indokolását. A beavatkozási küszöbök nem jelentik a helyreállítási intézkedések automatikus aktivizálódását, nem vezetnek előre meghatározott eszközök kötelező alkalmazásához, hanem csak egy olyan időpontot jelölnek ki, amelynél megtörténik a különféle helyreállítási opciók újbóli értékelése és potenciális alkalmazásuk mérlegelése.  A beavatkozási küszöbértékeket úgy kell meghatározni, hogy elegendő idő álljon az intézmény rendelkezésére a szükséges intézkedések megtételére. A beavatkozási küszöbök célszerűen úgy kerülnek kialakításra, hogy előre tekintőek legyenek és egyfajta fokozatosságot is megvalósítsanak, az intézmény állapotának súlyosságát is tükrözzék. </w:t>
      </w:r>
    </w:p>
    <w:p w14:paraId="423EC674"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küszöbök meghatározásakor az alábbi tényezőket is figyelembe kell venni:</w:t>
      </w:r>
    </w:p>
    <w:p w14:paraId="7D5031D8" w14:textId="77777777" w:rsidR="00724FE0" w:rsidRPr="00B97972" w:rsidRDefault="00724FE0" w:rsidP="00724FE0">
      <w:pPr>
        <w:numPr>
          <w:ilvl w:val="0"/>
          <w:numId w:val="2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ne indukáljanak sem túl korai, sem pedig </w:t>
      </w:r>
      <w:proofErr w:type="gramStart"/>
      <w:r w:rsidRPr="00B97972">
        <w:rPr>
          <w:rFonts w:ascii="Calibri" w:hAnsi="Calibri" w:cs="Times New Roman"/>
          <w:szCs w:val="24"/>
          <w:lang w:eastAsia="hu-HU"/>
        </w:rPr>
        <w:t>túl késői</w:t>
      </w:r>
      <w:proofErr w:type="gramEnd"/>
      <w:r w:rsidRPr="00B97972">
        <w:rPr>
          <w:rFonts w:ascii="Calibri" w:hAnsi="Calibri" w:cs="Times New Roman"/>
          <w:szCs w:val="24"/>
          <w:lang w:eastAsia="hu-HU"/>
        </w:rPr>
        <w:t xml:space="preserve"> beavatkozást (pl. ne csak a törvényi határ, illetve a tőkekövetelmény nagyságára, összetételére vonatkozó előírások megsértésekor, hanem már azt megelőzően jelezzenek),</w:t>
      </w:r>
    </w:p>
    <w:p w14:paraId="08952648" w14:textId="77777777" w:rsidR="00724FE0" w:rsidRPr="00B97972" w:rsidRDefault="00724FE0" w:rsidP="00724FE0">
      <w:pPr>
        <w:numPr>
          <w:ilvl w:val="0"/>
          <w:numId w:val="2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legyenek hatékonyak a különféle stressz szituációk szempontjából, </w:t>
      </w:r>
    </w:p>
    <w:p w14:paraId="5CEA408B" w14:textId="77777777" w:rsidR="00724FE0" w:rsidRPr="00B97972" w:rsidRDefault="00724FE0" w:rsidP="00724FE0">
      <w:pPr>
        <w:numPr>
          <w:ilvl w:val="0"/>
          <w:numId w:val="29"/>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legyenek könnyen nyomon követhetőek, továbbá </w:t>
      </w:r>
    </w:p>
    <w:p w14:paraId="21BAEAAA" w14:textId="77777777" w:rsidR="00724FE0" w:rsidRPr="00B97972" w:rsidRDefault="00724FE0" w:rsidP="00724FE0">
      <w:pPr>
        <w:numPr>
          <w:ilvl w:val="0"/>
          <w:numId w:val="29"/>
        </w:numPr>
        <w:spacing w:after="150" w:line="276" w:lineRule="auto"/>
        <w:ind w:left="1066" w:hanging="357"/>
        <w:rPr>
          <w:rFonts w:ascii="Calibri" w:hAnsi="Calibri" w:cs="Times New Roman"/>
          <w:szCs w:val="24"/>
          <w:lang w:eastAsia="hu-HU"/>
        </w:rPr>
      </w:pPr>
      <w:r w:rsidRPr="00B97972">
        <w:rPr>
          <w:rFonts w:ascii="Calibri" w:hAnsi="Calibri" w:cs="Times New Roman"/>
          <w:szCs w:val="24"/>
          <w:lang w:eastAsia="hu-HU"/>
        </w:rPr>
        <w:t>világosan, egyértelműen beazonosítható legyen a beavatkozási küszöbök elérése.</w:t>
      </w:r>
    </w:p>
    <w:p w14:paraId="1AC95141"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beavatkozási küszöbök előre történő rögzítése ugyanakkor nem akadályozhatja meg, hogy a helyreállítási terv akkor is alkalmazásra kerüljön, ha ugyan egyik előre definiált beavatkozási limitet sem éri el az intézmény, mégis olyan szituáció áll fenn, amely az intézmény további működését, életképességét veszélyezteti. Annak érdekében, hogy az intézmény időben meg tudja tenni a megfelelő intézkedéseket a pénzügyi helyzet kezelésére, a helyreállítási tervben definiált indikátorokat folyamatosan figyelemmel kell kísérni és biztosítani kell, hogy a vezetői információs rendszerben is naprakészek legyenek ezek az értékek. Az indikátorokhoz kapcsolódó aktuális értékeket az MNB bármikor bekérheti. Intézménycsoportok esetén javasolt egyedi és csoportszintű beavatkozási küszöbök kialakítása is. </w:t>
      </w:r>
    </w:p>
    <w:p w14:paraId="383EE7C1"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Tőke indikátorok, beavatkozási küszöbértékek meghatározása</w:t>
      </w:r>
    </w:p>
    <w:p w14:paraId="604DB958"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tőke indikátoroknak a tőkehelyzet (tőke nagyságának és minőségének) jelenlegi és valószínűsíthető jövőbeli romlására kell a figyelmet felhívniuk. A tőke indikátorok által jelzett folyamatokra való reagálás, az intézmény tőkepozíciójának helyreállítása hosszabb időt vehet igénybe, vagy nagyobb piaci érzékenységgel járhat, ezért az intézményeknek az indikátorok meghatározásakor </w:t>
      </w:r>
      <w:proofErr w:type="gramStart"/>
      <w:r w:rsidRPr="00B97972">
        <w:rPr>
          <w:rFonts w:ascii="Calibri" w:hAnsi="Calibri"/>
          <w:lang w:eastAsia="hu-HU"/>
        </w:rPr>
        <w:t>ezen</w:t>
      </w:r>
      <w:proofErr w:type="gramEnd"/>
      <w:r w:rsidRPr="00B97972">
        <w:rPr>
          <w:rFonts w:ascii="Calibri" w:hAnsi="Calibri"/>
          <w:lang w:eastAsia="hu-HU"/>
        </w:rPr>
        <w:t xml:space="preserve"> tényezőkre is tekintettel kell lenniük. Célszerű a tőkére vonatkozóan előrejelzéseket készíteni, melyben figyelembe kell venni a tőke instrumentumokra vonatkozó lényeges szerződéses lejáratokat is.</w:t>
      </w:r>
    </w:p>
    <w:p w14:paraId="20CC43D5"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tőke indikátorok beavatkozási küszöbértékének meghatározása során elvárt az intézmény speciális kockázatainak, a helyreállítási intézkedések megtételéhez szükséges időtartamnak, és a helyreállítás hatásainak a figyelembe vétele (pl. tekintettel kell lennie </w:t>
      </w:r>
      <w:r w:rsidRPr="00B97972">
        <w:rPr>
          <w:rFonts w:ascii="Calibri" w:hAnsi="Calibri"/>
          <w:lang w:eastAsia="hu-HU"/>
        </w:rPr>
        <w:lastRenderedPageBreak/>
        <w:t>arra, hogy az intézménynél milyen gyorsan változhat a tőkehelyzet). A tőkekövetelményen alapuló indikátorok beavatkozási küszöbértékeit úgy kell meghatározni, hogy elegendő idő álljon az intézmény rendelkezésére a szükséges intézkedések megtételére azelőtt, mielőtt még a tőkekövetelmények megsértése bekövetkezne</w:t>
      </w:r>
      <w:r w:rsidRPr="00B97972">
        <w:rPr>
          <w:rFonts w:ascii="Calibri" w:hAnsi="Calibri"/>
          <w:vertAlign w:val="superscript"/>
          <w:lang w:eastAsia="hu-HU"/>
        </w:rPr>
        <w:footnoteReference w:id="8"/>
      </w:r>
      <w:r w:rsidRPr="00B97972">
        <w:rPr>
          <w:rFonts w:ascii="Calibri" w:hAnsi="Calibri"/>
          <w:lang w:eastAsia="hu-HU"/>
        </w:rPr>
        <w:t>. Az MNB szükségesnek tartja, hogy az intézmény a tőke indikátorokat integrálja a belső tőkemegfelelés értékelési (</w:t>
      </w:r>
      <w:proofErr w:type="spellStart"/>
      <w:r w:rsidRPr="00B97972">
        <w:rPr>
          <w:rFonts w:ascii="Calibri" w:hAnsi="Calibri"/>
          <w:lang w:eastAsia="hu-HU"/>
        </w:rPr>
        <w:t>ICAAP</w:t>
      </w:r>
      <w:proofErr w:type="spellEnd"/>
      <w:r w:rsidRPr="00B97972">
        <w:rPr>
          <w:rFonts w:ascii="Calibri" w:hAnsi="Calibri"/>
          <w:lang w:eastAsia="hu-HU"/>
        </w:rPr>
        <w:t>) folyamatába</w:t>
      </w:r>
      <w:r w:rsidRPr="00B97972">
        <w:rPr>
          <w:rFonts w:ascii="Calibri" w:hAnsi="Calibri"/>
          <w:vertAlign w:val="superscript"/>
          <w:lang w:eastAsia="hu-HU"/>
        </w:rPr>
        <w:footnoteReference w:id="9"/>
      </w:r>
      <w:r w:rsidRPr="00B97972">
        <w:rPr>
          <w:rFonts w:ascii="Calibri" w:hAnsi="Calibri"/>
          <w:lang w:eastAsia="hu-HU"/>
        </w:rPr>
        <w:t xml:space="preserve"> is. </w:t>
      </w:r>
    </w:p>
    <w:p w14:paraId="5752F435"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tőke indikátorok küszöbértékének meghatározásakor az intézményre alkalmazandó </w:t>
      </w:r>
      <w:proofErr w:type="spellStart"/>
      <w:r w:rsidRPr="00B97972">
        <w:rPr>
          <w:rFonts w:ascii="Calibri" w:hAnsi="Calibri"/>
          <w:lang w:eastAsia="hu-HU"/>
        </w:rPr>
        <w:t>tőkepuffereket</w:t>
      </w:r>
      <w:proofErr w:type="spellEnd"/>
      <w:r w:rsidRPr="00B97972">
        <w:rPr>
          <w:rFonts w:ascii="Calibri" w:hAnsi="Calibri"/>
          <w:lang w:eastAsia="hu-HU"/>
        </w:rPr>
        <w:t xml:space="preserve"> </w:t>
      </w:r>
      <w:r>
        <w:rPr>
          <w:rFonts w:ascii="Calibri" w:hAnsi="Calibri"/>
          <w:lang w:eastAsia="hu-HU"/>
        </w:rPr>
        <w:t>is</w:t>
      </w:r>
      <w:r w:rsidRPr="00B97972">
        <w:rPr>
          <w:rFonts w:ascii="Calibri" w:hAnsi="Calibri"/>
          <w:lang w:eastAsia="hu-HU"/>
        </w:rPr>
        <w:t xml:space="preserve"> figyelembe</w:t>
      </w:r>
      <w:r>
        <w:rPr>
          <w:rFonts w:ascii="Calibri" w:hAnsi="Calibri"/>
          <w:lang w:eastAsia="hu-HU"/>
        </w:rPr>
        <w:t xml:space="preserve"> kell venni</w:t>
      </w:r>
      <w:r w:rsidRPr="00B97972">
        <w:rPr>
          <w:rFonts w:ascii="Calibri" w:hAnsi="Calibri"/>
          <w:lang w:eastAsia="hu-HU"/>
        </w:rPr>
        <w:t>. A</w:t>
      </w:r>
      <w:r>
        <w:rPr>
          <w:rFonts w:ascii="Calibri" w:hAnsi="Calibri"/>
          <w:lang w:eastAsia="hu-HU"/>
        </w:rPr>
        <w:t xml:space="preserve"> </w:t>
      </w:r>
      <w:r w:rsidRPr="00B97972">
        <w:rPr>
          <w:rFonts w:ascii="Calibri" w:hAnsi="Calibri"/>
          <w:lang w:eastAsia="hu-HU"/>
        </w:rPr>
        <w:t>küszöbérték</w:t>
      </w:r>
      <w:r>
        <w:rPr>
          <w:rFonts w:ascii="Calibri" w:hAnsi="Calibri"/>
          <w:lang w:eastAsia="hu-HU"/>
        </w:rPr>
        <w:t xml:space="preserve"> </w:t>
      </w:r>
      <w:r w:rsidRPr="00B97972">
        <w:rPr>
          <w:rFonts w:ascii="Calibri" w:hAnsi="Calibri"/>
          <w:lang w:eastAsia="hu-HU"/>
        </w:rPr>
        <w:t>megsértésének esetér</w:t>
      </w:r>
      <w:r>
        <w:rPr>
          <w:rFonts w:ascii="Calibri" w:hAnsi="Calibri"/>
          <w:lang w:eastAsia="hu-HU"/>
        </w:rPr>
        <w:t>e</w:t>
      </w:r>
      <w:r w:rsidRPr="00B97972">
        <w:rPr>
          <w:rFonts w:ascii="Calibri" w:hAnsi="Calibri"/>
          <w:lang w:eastAsia="hu-HU"/>
        </w:rPr>
        <w:t xml:space="preserve"> helyreállítási intézkedéseket </w:t>
      </w:r>
      <w:r>
        <w:rPr>
          <w:rFonts w:ascii="Calibri" w:hAnsi="Calibri"/>
          <w:lang w:eastAsia="hu-HU"/>
        </w:rPr>
        <w:t xml:space="preserve">kell </w:t>
      </w:r>
      <w:r w:rsidRPr="00B97972">
        <w:rPr>
          <w:rFonts w:ascii="Calibri" w:hAnsi="Calibri"/>
          <w:lang w:eastAsia="hu-HU"/>
        </w:rPr>
        <w:t xml:space="preserve">tervezni. (Megjegyzés: a Hpt. értelmében, ha a hitelintézet nem teljesíti a kombinált </w:t>
      </w:r>
      <w:proofErr w:type="spellStart"/>
      <w:r w:rsidRPr="00B97972">
        <w:rPr>
          <w:rFonts w:ascii="Calibri" w:hAnsi="Calibri"/>
          <w:lang w:eastAsia="hu-HU"/>
        </w:rPr>
        <w:t>pufferkövetelményt</w:t>
      </w:r>
      <w:proofErr w:type="spellEnd"/>
      <w:r w:rsidRPr="00B97972">
        <w:rPr>
          <w:rFonts w:ascii="Calibri" w:hAnsi="Calibri"/>
          <w:lang w:eastAsia="hu-HU"/>
        </w:rPr>
        <w:t xml:space="preserve">, akkor a </w:t>
      </w:r>
      <w:proofErr w:type="spellStart"/>
      <w:r w:rsidRPr="00B97972">
        <w:rPr>
          <w:rFonts w:ascii="Calibri" w:hAnsi="Calibri"/>
          <w:lang w:eastAsia="hu-HU"/>
        </w:rPr>
        <w:t>nemteljesítés</w:t>
      </w:r>
      <w:proofErr w:type="spellEnd"/>
      <w:r w:rsidRPr="00B97972">
        <w:rPr>
          <w:rFonts w:ascii="Calibri" w:hAnsi="Calibri"/>
          <w:lang w:eastAsia="hu-HU"/>
        </w:rPr>
        <w:t xml:space="preserve"> megállapításától számított öt munkanapon belül tőkefenntartási tervet készít és jóváhagyásra benyújtja</w:t>
      </w:r>
      <w:r>
        <w:rPr>
          <w:rFonts w:ascii="Calibri" w:hAnsi="Calibri"/>
          <w:lang w:eastAsia="hu-HU"/>
        </w:rPr>
        <w:t xml:space="preserve"> a</w:t>
      </w:r>
      <w:r w:rsidRPr="00B97972">
        <w:rPr>
          <w:rFonts w:ascii="Calibri" w:hAnsi="Calibri"/>
          <w:lang w:eastAsia="hu-HU"/>
        </w:rPr>
        <w:t xml:space="preserve"> Felügyelet számára. Értelemszerűen a helyreállítási tervnek és az előbbiek szerinti tőkefenntartási tervnek egymással konzisztensnek kell lennie.)</w:t>
      </w:r>
    </w:p>
    <w:p w14:paraId="246F6714"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Likviditási indikátorok, beavatkozási küszöbértékek meghatározása</w:t>
      </w:r>
    </w:p>
    <w:p w14:paraId="60D22B3A"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likviditási indikátorok az intézmény jelenlegi és jövőbeli likviditási és finanszírozási helyzetét mutatják és összhangban kell lenniük az intézményi stratégiával, a vonatkozó jogszabályi előírások</w:t>
      </w:r>
      <w:r w:rsidRPr="00B97972">
        <w:rPr>
          <w:rFonts w:ascii="Calibri" w:hAnsi="Calibri"/>
          <w:vertAlign w:val="superscript"/>
          <w:lang w:eastAsia="hu-HU"/>
        </w:rPr>
        <w:footnoteReference w:id="10"/>
      </w:r>
      <w:r w:rsidRPr="00B97972">
        <w:rPr>
          <w:rFonts w:ascii="Calibri" w:hAnsi="Calibri"/>
          <w:lang w:eastAsia="hu-HU"/>
        </w:rPr>
        <w:t xml:space="preserve"> alapján kialakított eljárásokkal, szabályzatokkal és általános kockázatkezelési rendszerrel. Az MNB elvárja, hogy az intézmény olyan likviditási indikátorokat határozzon meg, melyek mind rövid, mind pedig hosszú távon kulcs-devizanemenként jelzik a likviditási és finanszírozási szükségletet, az intézmény </w:t>
      </w:r>
      <w:proofErr w:type="spellStart"/>
      <w:r w:rsidRPr="00B97972">
        <w:rPr>
          <w:rFonts w:ascii="Calibri" w:hAnsi="Calibri"/>
          <w:lang w:eastAsia="hu-HU"/>
        </w:rPr>
        <w:t>wholesale</w:t>
      </w:r>
      <w:proofErr w:type="spellEnd"/>
      <w:r w:rsidRPr="00B97972">
        <w:rPr>
          <w:rFonts w:ascii="Calibri" w:hAnsi="Calibri"/>
          <w:lang w:eastAsia="hu-HU"/>
        </w:rPr>
        <w:t xml:space="preserve"> piacoktól, </w:t>
      </w:r>
      <w:proofErr w:type="spellStart"/>
      <w:r w:rsidRPr="00B97972">
        <w:rPr>
          <w:rFonts w:ascii="Calibri" w:hAnsi="Calibri"/>
          <w:lang w:eastAsia="hu-HU"/>
        </w:rPr>
        <w:t>retail</w:t>
      </w:r>
      <w:proofErr w:type="spellEnd"/>
      <w:r w:rsidRPr="00B97972">
        <w:rPr>
          <w:rFonts w:ascii="Calibri" w:hAnsi="Calibri"/>
          <w:lang w:eastAsia="hu-HU"/>
        </w:rPr>
        <w:t xml:space="preserve"> betétállománytól való függését, a csoporton belüli finanszírozásból, valamint a mérlegen kívüli tételekből eredő kitettséget. A beavatkozási küszöbértékeket pedig úgy kell meghatározni, hogy azok az intézmény speciális kockázatait tükrözzék, biztosítsák az az MNB által meghatározott egyedi likviditási követelmények</w:t>
      </w:r>
      <w:r w:rsidRPr="00B97972">
        <w:rPr>
          <w:rFonts w:ascii="Calibri" w:hAnsi="Calibri"/>
          <w:vertAlign w:val="superscript"/>
          <w:lang w:eastAsia="hu-HU"/>
        </w:rPr>
        <w:footnoteReference w:id="11"/>
      </w:r>
      <w:r w:rsidRPr="00B97972">
        <w:rPr>
          <w:rFonts w:ascii="Calibri" w:hAnsi="Calibri"/>
          <w:lang w:eastAsia="hu-HU"/>
        </w:rPr>
        <w:t xml:space="preserve"> teljesítését és vegyék figyelembe a likviditási helyzet változásának időtartamát is. </w:t>
      </w:r>
    </w:p>
    <w:p w14:paraId="79D13C6A"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Jövedelmezőségi indikátorok, beavatkozási küszöbértékek meghatározása</w:t>
      </w:r>
    </w:p>
    <w:p w14:paraId="6B07A15F"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jövedelmezőségi indikátoroknak az intézmény pénzügyi helyzetének gyors romlását előidéző tényezőket, folyamatokat kell jelezniük, melyek az eredménytartalék csökkenésén (veszteségeken) </w:t>
      </w:r>
      <w:proofErr w:type="gramStart"/>
      <w:r w:rsidRPr="00B97972">
        <w:rPr>
          <w:rFonts w:ascii="Calibri" w:hAnsi="Calibri"/>
          <w:lang w:eastAsia="hu-HU"/>
        </w:rPr>
        <w:t>keresztül hatással</w:t>
      </w:r>
      <w:proofErr w:type="gramEnd"/>
      <w:r w:rsidRPr="00B97972">
        <w:rPr>
          <w:rFonts w:ascii="Calibri" w:hAnsi="Calibri"/>
          <w:lang w:eastAsia="hu-HU"/>
        </w:rPr>
        <w:t xml:space="preserve"> vannak az intézmény tőkehelyzetére. A jövedelmezőségi indikátorok között olyan működési kockázattal kapcsolatos veszteségeket jelző indikátorokat is szükséges definiálni, melyek számba veszik az intézmény eredményére jelentős hatást gyakorló tényezőket (ideértve, de nem kizárólagosan pl. a külső és belső csalásokból, fogyasztói panaszokból eredő </w:t>
      </w:r>
      <w:r w:rsidRPr="00B97972">
        <w:rPr>
          <w:rFonts w:ascii="Calibri" w:hAnsi="Calibri"/>
          <w:lang w:eastAsia="hu-HU"/>
        </w:rPr>
        <w:lastRenderedPageBreak/>
        <w:t>veszteségeket is). Alternatívaként vagy kiegészítésként az intézmény a pénzügyi eredménytervtől való eltérésekre is meghatározhat küszöbértékeket.</w:t>
      </w:r>
    </w:p>
    <w:p w14:paraId="1EC6A4E3"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Eszközminőség indikátorok, beavatkozási küszöbértékek meghatározása</w:t>
      </w:r>
    </w:p>
    <w:p w14:paraId="45B0572E"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eszközminőség indikátorok az intézmény eszközminőségének alakulását mérik, és jelzik azokat a folyamatokat, melyek elvezethetnek az eszközminőség olyan mértékű romlásához, amikor a helyreállítási tervben leírt intézkedések alkalmazására kerülhet sor. A </w:t>
      </w:r>
      <w:proofErr w:type="spellStart"/>
      <w:r w:rsidRPr="00B97972">
        <w:rPr>
          <w:rFonts w:ascii="Calibri" w:hAnsi="Calibri"/>
          <w:lang w:eastAsia="hu-HU"/>
        </w:rPr>
        <w:t>nemteljesítő</w:t>
      </w:r>
      <w:proofErr w:type="spellEnd"/>
      <w:r w:rsidRPr="00B97972">
        <w:rPr>
          <w:rFonts w:ascii="Calibri" w:hAnsi="Calibri"/>
          <w:lang w:eastAsia="hu-HU"/>
        </w:rPr>
        <w:t xml:space="preserve"> kitettségek állományának és dinamikájának számbavétele céljából állományi és változást jelző indikátorokat is definiálhat az intézmény, valamint számba kell venni a nem teljesítő hitelek eszközminőségre gyakorolt hatását is. Az eszközminőség indikátorokat a mérlegen kívüli kitettségekre vonatkozóan is ki kell alakítani. </w:t>
      </w:r>
    </w:p>
    <w:p w14:paraId="190D5AD4"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Piaci indikátorok, beavatkozási küszöbértékek meghatározása</w:t>
      </w:r>
    </w:p>
    <w:p w14:paraId="306225B2"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piaci indikátorok célja, hogy az intézmény gyorsan romló pénzügyi helyzetével kapcsolatos azon piaci várakozásokat jelezze, melyek a forrásokhoz és tőkepiacokhoz való hozzáférés lehetséges zavaraihoz vezethetnek. Az intézményeknek az alábbiak vonatkozásában kell meghatározniuk mennyiségi és minőségi indikátorokat: </w:t>
      </w:r>
    </w:p>
    <w:p w14:paraId="404CFDB9" w14:textId="77777777" w:rsidR="00724FE0" w:rsidRPr="00B97972" w:rsidRDefault="00724FE0" w:rsidP="00724FE0">
      <w:pPr>
        <w:numPr>
          <w:ilvl w:val="0"/>
          <w:numId w:val="1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részvény-alapú indikátorok, melyek a tőzsdén jegyzett társaságok részvényei árfolyamának változását, vagy az egy részvényre jutó saját tőkének a részvény árához viszonyított arányát mutatják,</w:t>
      </w:r>
    </w:p>
    <w:p w14:paraId="64AE76CD" w14:textId="77777777" w:rsidR="00724FE0" w:rsidRPr="00B97972" w:rsidRDefault="00724FE0" w:rsidP="00724FE0">
      <w:pPr>
        <w:numPr>
          <w:ilvl w:val="0"/>
          <w:numId w:val="1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adósság alapú indikátorok, melyek a </w:t>
      </w:r>
      <w:proofErr w:type="spellStart"/>
      <w:r w:rsidRPr="00B97972">
        <w:rPr>
          <w:rFonts w:ascii="Calibri" w:hAnsi="Calibri" w:cs="Times New Roman"/>
          <w:szCs w:val="24"/>
          <w:lang w:eastAsia="hu-HU"/>
        </w:rPr>
        <w:t>wholesale</w:t>
      </w:r>
      <w:proofErr w:type="spellEnd"/>
      <w:r w:rsidRPr="00B97972">
        <w:rPr>
          <w:rFonts w:ascii="Calibri" w:hAnsi="Calibri" w:cs="Times New Roman"/>
          <w:szCs w:val="24"/>
          <w:lang w:eastAsia="hu-HU"/>
        </w:rPr>
        <w:t xml:space="preserve"> finanszírozó várakozásait jelzik (pl. </w:t>
      </w:r>
      <w:proofErr w:type="spellStart"/>
      <w:r w:rsidRPr="00B97972">
        <w:rPr>
          <w:rFonts w:ascii="Calibri" w:hAnsi="Calibri" w:cs="Times New Roman"/>
          <w:szCs w:val="24"/>
          <w:lang w:eastAsia="hu-HU"/>
        </w:rPr>
        <w:t>CDS</w:t>
      </w:r>
      <w:proofErr w:type="spellEnd"/>
      <w:r w:rsidRPr="00B97972">
        <w:rPr>
          <w:rFonts w:ascii="Calibri" w:hAnsi="Calibri" w:cs="Times New Roman"/>
          <w:szCs w:val="24"/>
          <w:lang w:eastAsia="hu-HU"/>
        </w:rPr>
        <w:t xml:space="preserve"> vagy adósság </w:t>
      </w:r>
      <w:proofErr w:type="spellStart"/>
      <w:r w:rsidRPr="00B97972">
        <w:rPr>
          <w:rFonts w:ascii="Calibri" w:hAnsi="Calibri" w:cs="Times New Roman"/>
          <w:szCs w:val="24"/>
          <w:lang w:eastAsia="hu-HU"/>
        </w:rPr>
        <w:t>spread</w:t>
      </w:r>
      <w:proofErr w:type="spellEnd"/>
      <w:r w:rsidRPr="00B97972">
        <w:rPr>
          <w:rFonts w:ascii="Calibri" w:hAnsi="Calibri" w:cs="Times New Roman"/>
          <w:szCs w:val="24"/>
          <w:lang w:eastAsia="hu-HU"/>
        </w:rPr>
        <w:t>),</w:t>
      </w:r>
    </w:p>
    <w:p w14:paraId="14107316" w14:textId="77777777" w:rsidR="00724FE0" w:rsidRPr="00B97972" w:rsidRDefault="00724FE0" w:rsidP="00724FE0">
      <w:pPr>
        <w:numPr>
          <w:ilvl w:val="0"/>
          <w:numId w:val="1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portfólió alapú indikátorok, melyek az egyes speciális eszközkategóriákkal kapcsolatos várakozásokat jelzik (pl. ingatlanpiac),</w:t>
      </w:r>
    </w:p>
    <w:p w14:paraId="561BD9F3" w14:textId="77777777" w:rsidR="00724FE0" w:rsidRPr="00B97972" w:rsidRDefault="00724FE0" w:rsidP="00724FE0">
      <w:pPr>
        <w:numPr>
          <w:ilvl w:val="0"/>
          <w:numId w:val="1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hitelminősítő intézetek várakozásait tükröző leminősítés (hosszú és rövid távú), mely az intézmény pénzügyi helyzetével kapcsolatos piaci várakozások gyors változásához vezethet.</w:t>
      </w:r>
    </w:p>
    <w:p w14:paraId="058519A5" w14:textId="77777777" w:rsidR="00724FE0" w:rsidRPr="00B97972" w:rsidRDefault="00724FE0" w:rsidP="00724FE0">
      <w:pPr>
        <w:spacing w:after="150" w:line="276" w:lineRule="auto"/>
        <w:rPr>
          <w:rFonts w:ascii="Calibri" w:hAnsi="Calibri" w:cs="Times New Roman"/>
          <w:i/>
          <w:szCs w:val="24"/>
          <w:lang w:eastAsia="hu-HU"/>
        </w:rPr>
      </w:pPr>
      <w:r w:rsidRPr="00B97972">
        <w:rPr>
          <w:rFonts w:ascii="Calibri" w:hAnsi="Calibri" w:cs="Times New Roman"/>
          <w:i/>
          <w:szCs w:val="24"/>
          <w:lang w:eastAsia="hu-HU"/>
        </w:rPr>
        <w:t>Makrogazdasági indikátorok, beavatkozási küszöbértékek meghatározása</w:t>
      </w:r>
    </w:p>
    <w:p w14:paraId="5E3584AA"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makrogazdasági indikátorok azon </w:t>
      </w:r>
      <w:proofErr w:type="gramStart"/>
      <w:r w:rsidRPr="00B97972">
        <w:rPr>
          <w:rFonts w:ascii="Calibri" w:hAnsi="Calibri"/>
          <w:lang w:eastAsia="hu-HU"/>
        </w:rPr>
        <w:t>ország(</w:t>
      </w:r>
      <w:proofErr w:type="gramEnd"/>
      <w:r w:rsidRPr="00B97972">
        <w:rPr>
          <w:rFonts w:ascii="Calibri" w:hAnsi="Calibri"/>
          <w:lang w:eastAsia="hu-HU"/>
        </w:rPr>
        <w:t xml:space="preserve">ok) gazdasági állapotát jelzik, ahol az intézmény működik, illetve ahol a kitettségek, a források koncentrálódnak. Elvárt, hogy a makrogazdasági indikátorok között szerepeljenek az alábbiak: </w:t>
      </w:r>
    </w:p>
    <w:p w14:paraId="462F50AA" w14:textId="77777777" w:rsidR="00724FE0" w:rsidRPr="00B97972" w:rsidRDefault="00724FE0" w:rsidP="00724FE0">
      <w:pPr>
        <w:numPr>
          <w:ilvl w:val="0"/>
          <w:numId w:val="18"/>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jogi környezet intézményre gyakorolt hatása, az ebből fakadó kockázatokat figyelembe vevő indikátorok,</w:t>
      </w:r>
    </w:p>
    <w:p w14:paraId="20365A9C" w14:textId="77777777" w:rsidR="00724FE0" w:rsidRPr="00B97972" w:rsidRDefault="00724FE0" w:rsidP="00CA33EC">
      <w:pPr>
        <w:numPr>
          <w:ilvl w:val="0"/>
          <w:numId w:val="18"/>
        </w:numPr>
        <w:spacing w:after="150" w:line="276" w:lineRule="auto"/>
        <w:ind w:left="714" w:hanging="357"/>
        <w:rPr>
          <w:rFonts w:ascii="Calibri" w:hAnsi="Calibri" w:cs="Times New Roman"/>
          <w:szCs w:val="24"/>
          <w:lang w:eastAsia="hu-HU"/>
        </w:rPr>
      </w:pPr>
      <w:r w:rsidRPr="00B97972">
        <w:rPr>
          <w:rFonts w:ascii="Calibri" w:hAnsi="Calibri" w:cs="Times New Roman"/>
          <w:szCs w:val="24"/>
          <w:lang w:eastAsia="hu-HU"/>
        </w:rPr>
        <w:t>az intézmény teljesítményére jelentős hatást gyakorló ágazati indikátorok.</w:t>
      </w:r>
    </w:p>
    <w:p w14:paraId="603EC5C5" w14:textId="77777777" w:rsidR="00724FE0" w:rsidRPr="00B97972" w:rsidRDefault="00724FE0" w:rsidP="00CA33EC">
      <w:pPr>
        <w:spacing w:before="120" w:after="150" w:line="276" w:lineRule="auto"/>
        <w:rPr>
          <w:rFonts w:ascii="Calibri" w:hAnsi="Calibri" w:cs="Times New Roman"/>
          <w:i/>
          <w:szCs w:val="24"/>
          <w:lang w:eastAsia="hu-HU"/>
        </w:rPr>
      </w:pPr>
      <w:r w:rsidRPr="00B97972">
        <w:rPr>
          <w:rFonts w:ascii="Calibri" w:hAnsi="Calibri" w:cs="Times New Roman"/>
          <w:i/>
          <w:szCs w:val="24"/>
          <w:lang w:eastAsia="hu-HU"/>
        </w:rPr>
        <w:t>Értesítési kötelezettség a küszöbértékek elérése esetén</w:t>
      </w:r>
    </w:p>
    <w:p w14:paraId="6336121F" w14:textId="783C7B4F"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Ha a helyreállítási tervben szereplő bármely indikátor előre meghatározott beavatkozási vagy figyelmeztető küszöbértékét eléri az intézmény, akkor</w:t>
      </w:r>
      <w:r w:rsidR="00D20E60">
        <w:rPr>
          <w:rFonts w:ascii="Calibri" w:hAnsi="Calibri"/>
          <w:lang w:eastAsia="hu-HU"/>
        </w:rPr>
        <w:t xml:space="preserve"> elvárt, hogy az intézmény </w:t>
      </w:r>
      <w:r w:rsidRPr="00B97972">
        <w:rPr>
          <w:rFonts w:ascii="Calibri" w:hAnsi="Calibri"/>
          <w:lang w:eastAsia="hu-HU"/>
        </w:rPr>
        <w:t>minden esetben értesít</w:t>
      </w:r>
      <w:r w:rsidR="00D20E60">
        <w:rPr>
          <w:rFonts w:ascii="Calibri" w:hAnsi="Calibri"/>
          <w:lang w:eastAsia="hu-HU"/>
        </w:rPr>
        <w:t>se az MNB-t</w:t>
      </w:r>
      <w:r w:rsidRPr="00B97972">
        <w:rPr>
          <w:rFonts w:ascii="Calibri" w:hAnsi="Calibri"/>
          <w:lang w:eastAsia="hu-HU"/>
        </w:rPr>
        <w:t xml:space="preserve">. Az értesítésnek tartalmaznia kell azt is, hogy a </w:t>
      </w:r>
      <w:r w:rsidRPr="00B97972">
        <w:rPr>
          <w:rFonts w:ascii="Calibri" w:hAnsi="Calibri"/>
          <w:lang w:eastAsia="hu-HU"/>
        </w:rPr>
        <w:lastRenderedPageBreak/>
        <w:t>küszöbérték elérésekor az intézmény milyen intézkedéseket tett, illetve ha intézkedésre nem került sor, akkor annak mi volt az indoka.</w:t>
      </w:r>
    </w:p>
    <w:p w14:paraId="2C621D42" w14:textId="77777777" w:rsidR="00724FE0" w:rsidRPr="00B97972" w:rsidRDefault="00724FE0" w:rsidP="00724FE0">
      <w:pPr>
        <w:keepNext/>
        <w:spacing w:before="75" w:after="75" w:line="276" w:lineRule="auto"/>
        <w:outlineLvl w:val="3"/>
        <w:rPr>
          <w:rFonts w:ascii="Calibri" w:hAnsi="Calibri" w:cs="Times New Roman"/>
          <w:b/>
          <w:iCs/>
          <w:szCs w:val="24"/>
          <w:lang w:eastAsia="hu-HU"/>
        </w:rPr>
      </w:pPr>
      <w:r w:rsidRPr="00B97972">
        <w:rPr>
          <w:rFonts w:ascii="Calibri" w:hAnsi="Calibri" w:cs="Times New Roman"/>
          <w:b/>
          <w:iCs/>
          <w:szCs w:val="24"/>
          <w:lang w:eastAsia="hu-HU"/>
        </w:rPr>
        <w:t>Stressz szcenáriók (feltevések és forgatókönyvek)</w:t>
      </w:r>
      <w:r w:rsidRPr="00B97972">
        <w:rPr>
          <w:rFonts w:ascii="Calibri" w:hAnsi="Calibri"/>
          <w:b/>
          <w:iCs/>
          <w:szCs w:val="24"/>
          <w:vertAlign w:val="superscript"/>
          <w:lang w:eastAsia="hu-HU"/>
        </w:rPr>
        <w:footnoteReference w:id="12"/>
      </w:r>
    </w:p>
    <w:p w14:paraId="4B093954"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Ebben a fejezetben az intézmény a kialakított helyreállítási lehetőségek hatékonyságát ellenőrzi különböző, általa kidolgozott stresszhelyzet forgatókönyvek kialakításával és lefuttatásával. Ennek során az intézmény definiálja a különféle stressz szcenáriókat, majd azok lehetséges hatásait értékeli és az egyes helyreállítási opciók hatékonyságát különféle stresszhelyzetek esetében teszteli. Az egyes stressz szituációkat úgy kell megadni, hogy azok az intézmény szempontjából kellően súlyos negatív hatásokat szimuláljanak, bekövetkezésük valószínű, és a helyreállítási tervben meghatározott beavatkozási küszöbök elérése szempontjából releváns legyen. A forgatókönyveknek lassú és gyors lefolyású kedvezőtlen eseményeket egyaránt magában kell foglalnia.</w:t>
      </w:r>
    </w:p>
    <w:p w14:paraId="3BE928E0"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arányosság elvét figyelembe véve a forgatókönyvek számának arányosnak kell lennie különösen az intézmény vagy csoport üzleti modelljének, tevékenységének jellegével, méretével, a más intézményekkel és általánosságban a pénzügyi rendszerrel fennálló kapcsolatrendszerével, valamint finanszírozási modelljeivel.</w:t>
      </w:r>
    </w:p>
    <w:p w14:paraId="7AD1FFA6" w14:textId="77777777" w:rsidR="00724FE0" w:rsidRPr="00B97972" w:rsidRDefault="00724FE0" w:rsidP="00CA33E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Minden egyes forgatókönyvet úgy kell kialakítani, hogy megfeleljen az alábbi követelmények mindegyikének:</w:t>
      </w:r>
    </w:p>
    <w:p w14:paraId="6549812F" w14:textId="77777777" w:rsidR="00724FE0" w:rsidRPr="00B97972" w:rsidRDefault="00724FE0" w:rsidP="00724FE0">
      <w:pPr>
        <w:numPr>
          <w:ilvl w:val="0"/>
          <w:numId w:val="3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forgatókönyvnek az érintett intézmény vagy csoport szempontjából leginkább releváns eseményeken kell alapulnia, figyelembe véve – egyéb vonatkozó tényezők mellett – annak üzleti és finanszírozási modelljét, tevékenységeit és szerkezetét, méretét és más intézményekkel, illetve általánosságban a pénzügyi rendszerrel fennálló kapcsolatrendszerét, továbbá különösen az intézmény vagy csoport feltárt sérülékeny pontjait és gyengeségeit,</w:t>
      </w:r>
    </w:p>
    <w:p w14:paraId="4FEDC7E8" w14:textId="77777777" w:rsidR="00724FE0" w:rsidRPr="00B97972" w:rsidRDefault="00724FE0" w:rsidP="00724FE0">
      <w:pPr>
        <w:numPr>
          <w:ilvl w:val="0"/>
          <w:numId w:val="3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forgatókönyvnek olyan eseményeket kell előrevetítenie, amelyek bekövetkezése az intézmény vagy csoport fizetésképtelenségének veszélyével fenyegetne, amennyiben nem tennének időben helyreállítási intézkedéseket, valamint</w:t>
      </w:r>
    </w:p>
    <w:p w14:paraId="701AF555" w14:textId="77777777" w:rsidR="00724FE0" w:rsidRPr="00B97972" w:rsidRDefault="00724FE0" w:rsidP="00724FE0">
      <w:pPr>
        <w:numPr>
          <w:ilvl w:val="0"/>
          <w:numId w:val="3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forgatókönyvnek rendkívüli, de elképzelhető eseményeken kell alapulnia.</w:t>
      </w:r>
    </w:p>
    <w:p w14:paraId="5542A6DA"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Minden forgatókönyvnek tartalmaznia kell legalább - az eseményeknek az intézmény vagy csoport - alábbiakban felsorolt aspektusaira gyakorolt hatásának értékelését:</w:t>
      </w:r>
    </w:p>
    <w:p w14:paraId="7907E577" w14:textId="77777777" w:rsidR="00724FE0" w:rsidRPr="00B97972" w:rsidRDefault="00724FE0" w:rsidP="00724FE0">
      <w:pPr>
        <w:numPr>
          <w:ilvl w:val="0"/>
          <w:numId w:val="3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rendelkezésre álló tőke,</w:t>
      </w:r>
    </w:p>
    <w:p w14:paraId="3EFAF221" w14:textId="77777777" w:rsidR="00724FE0" w:rsidRPr="00B97972" w:rsidRDefault="00724FE0" w:rsidP="00724FE0">
      <w:pPr>
        <w:numPr>
          <w:ilvl w:val="0"/>
          <w:numId w:val="3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rendelkezésre álló likviditás,</w:t>
      </w:r>
    </w:p>
    <w:p w14:paraId="3C27A50B" w14:textId="77777777" w:rsidR="00724FE0" w:rsidRPr="00B97972" w:rsidRDefault="00724FE0" w:rsidP="00724FE0">
      <w:pPr>
        <w:numPr>
          <w:ilvl w:val="0"/>
          <w:numId w:val="3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kockázati profil,</w:t>
      </w:r>
    </w:p>
    <w:p w14:paraId="57F374A8" w14:textId="77777777" w:rsidR="00724FE0" w:rsidRPr="00B97972" w:rsidRDefault="00724FE0" w:rsidP="00724FE0">
      <w:pPr>
        <w:numPr>
          <w:ilvl w:val="0"/>
          <w:numId w:val="3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jövedelmezőség,</w:t>
      </w:r>
    </w:p>
    <w:p w14:paraId="31CF2CD2" w14:textId="77777777" w:rsidR="00724FE0" w:rsidRPr="00B97972" w:rsidRDefault="00724FE0" w:rsidP="00724FE0">
      <w:pPr>
        <w:numPr>
          <w:ilvl w:val="0"/>
          <w:numId w:val="3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működés, ideértve a fizetési és elszámolási műveleteket,</w:t>
      </w:r>
    </w:p>
    <w:p w14:paraId="73F73B51" w14:textId="77777777" w:rsidR="00724FE0" w:rsidRPr="00B97972" w:rsidRDefault="00724FE0" w:rsidP="00724FE0">
      <w:pPr>
        <w:numPr>
          <w:ilvl w:val="0"/>
          <w:numId w:val="32"/>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jó hírnév.</w:t>
      </w:r>
    </w:p>
    <w:p w14:paraId="6EAB9A1E"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lastRenderedPageBreak/>
        <w:t xml:space="preserve">A fordított stressz tesztek kiindulópontként szolgálhatnak olyan forgatókönyvek kidolgozása esetében, amelyek csupán „nemteljesítés-közeli” helyzeteket vizsgálnak – azaz olyan helyzeteket, amelyekben a helyreállítási intézkedések sikeres véghezvitelének hiányában az intézmény vagy csoport üzleti modellje életképtelenné válna. A fordított stressz teszt használata a komplex </w:t>
      </w:r>
      <w:proofErr w:type="spellStart"/>
      <w:r w:rsidRPr="00B97972">
        <w:rPr>
          <w:rFonts w:ascii="Calibri" w:hAnsi="Calibri"/>
          <w:lang w:eastAsia="hu-HU"/>
        </w:rPr>
        <w:t>ICAAP</w:t>
      </w:r>
      <w:proofErr w:type="spellEnd"/>
      <w:r w:rsidRPr="00B97972">
        <w:rPr>
          <w:rFonts w:ascii="Calibri" w:hAnsi="Calibri"/>
          <w:lang w:eastAsia="hu-HU"/>
        </w:rPr>
        <w:t xml:space="preserve"> és </w:t>
      </w:r>
      <w:proofErr w:type="spellStart"/>
      <w:r w:rsidRPr="00B97972">
        <w:rPr>
          <w:rFonts w:ascii="Calibri" w:hAnsi="Calibri"/>
          <w:lang w:eastAsia="hu-HU"/>
        </w:rPr>
        <w:t>ILAAP</w:t>
      </w:r>
      <w:proofErr w:type="spellEnd"/>
      <w:r w:rsidRPr="00B97972">
        <w:rPr>
          <w:rFonts w:ascii="Calibri" w:hAnsi="Calibri"/>
          <w:lang w:eastAsia="hu-HU"/>
        </w:rPr>
        <w:t xml:space="preserve"> felülvizsgálat alá tartozó intézmények esetében elvárt, kisebb intézmények esetében javasolt.</w:t>
      </w:r>
    </w:p>
    <w:p w14:paraId="48446F4D"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 xml:space="preserve">Pénzügyi stresszhelyzeti forgatókönyvek </w:t>
      </w:r>
    </w:p>
    <w:p w14:paraId="046EC74D"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Legalább egy forgatókönyvet kell kidolgozni az alábbi típusú események mindegyike tekintetében:</w:t>
      </w:r>
    </w:p>
    <w:p w14:paraId="28E07EC9" w14:textId="77777777" w:rsidR="00724FE0" w:rsidRPr="00B97972" w:rsidRDefault="00724FE0" w:rsidP="00724FE0">
      <w:pPr>
        <w:numPr>
          <w:ilvl w:val="0"/>
          <w:numId w:val="3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„rendszerszintű esemény”, azaz olyan esemény, amelynek súlyos hátrányos következményei lehetnek a pénzügyi rendszerre vagy a reálgazdaságra,</w:t>
      </w:r>
    </w:p>
    <w:p w14:paraId="476CA622" w14:textId="77777777" w:rsidR="00724FE0" w:rsidRPr="00B97972" w:rsidRDefault="00724FE0" w:rsidP="00724FE0">
      <w:pPr>
        <w:numPr>
          <w:ilvl w:val="0"/>
          <w:numId w:val="3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„egyedi okokra visszavezethető esemény”, vagyis olyan esemény, amelynek súlyos hátrányos következményei lehetnek egy adott intézményre, egy adott csoportra vagy egy csoport egy intézményére, továbbá</w:t>
      </w:r>
    </w:p>
    <w:p w14:paraId="2E2E3A46" w14:textId="77777777" w:rsidR="00724FE0" w:rsidRPr="00B97972" w:rsidRDefault="00724FE0" w:rsidP="00724FE0">
      <w:pPr>
        <w:numPr>
          <w:ilvl w:val="0"/>
          <w:numId w:val="33"/>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egyidejűleg és egymással kölcsönhatásban bekövetkező, rendszerszintű és egyedi okokra visszavezethető események kombinációja.</w:t>
      </w:r>
    </w:p>
    <w:p w14:paraId="3E7E53B1"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Hpt. 89. § (1), illetve a </w:t>
      </w:r>
      <w:proofErr w:type="spellStart"/>
      <w:r w:rsidRPr="00B97972">
        <w:rPr>
          <w:rFonts w:ascii="Calibri" w:hAnsi="Calibri"/>
          <w:lang w:eastAsia="hu-HU"/>
        </w:rPr>
        <w:t>Bszt</w:t>
      </w:r>
      <w:proofErr w:type="spellEnd"/>
      <w:r w:rsidRPr="00B97972">
        <w:rPr>
          <w:rFonts w:ascii="Calibri" w:hAnsi="Calibri"/>
          <w:lang w:eastAsia="hu-HU"/>
        </w:rPr>
        <w:t>. 110/D. § (1) bekezdésének megfelelően meghatározott globálisan rendszerszinten jelentős intézmények és a hazai rendszerszinten jelentős intézmények tekintetében háromnál több forgatókönyvet kell meghatározni.</w:t>
      </w:r>
    </w:p>
    <w:p w14:paraId="0F5D72FD"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forgatókönyveknek mind a lassú, mind a gyors lefolyású kedvezőtlen eseményeket tartalmaznia kell.</w:t>
      </w:r>
    </w:p>
    <w:p w14:paraId="0F11048B"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Mind a rendszerszintű, mind az egyedi okokra visszavezethető eseményeknek az adott intézmény vagy csoport szempontjából leginkább releváns eseményekre kell vonatkozniuk. A forgatókönyveknek éppen ezért az alábbi két bekezdésben felsoroltaktól eltérő eseményeken kell alapulniuk, amennyiben az utóbbiak kevésbé relevánsak az adott intézmény vagy csoport szempontjából.</w:t>
      </w:r>
    </w:p>
    <w:p w14:paraId="1AE7F78E" w14:textId="77777777" w:rsidR="00724FE0" w:rsidRPr="00B97972" w:rsidRDefault="00724FE0" w:rsidP="00724FE0">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t>Rendszerszintű események</w:t>
      </w:r>
    </w:p>
    <w:p w14:paraId="5010B8C2"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rendszerszintű eseményeken alapuló forgatókönyvek esetén legalább a következő rendszerszintű események relevanciáját kell figyelembe venni:</w:t>
      </w:r>
    </w:p>
    <w:p w14:paraId="2C8CD0D5" w14:textId="77777777" w:rsidR="00724FE0" w:rsidRPr="00B97972" w:rsidRDefault="00724FE0" w:rsidP="00724FE0">
      <w:pPr>
        <w:numPr>
          <w:ilvl w:val="0"/>
          <w:numId w:val="2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jelentős partner vagy szerződő fél pénzügyi stabilitást érintő fizetésképtelensége,</w:t>
      </w:r>
    </w:p>
    <w:p w14:paraId="31343380" w14:textId="77777777" w:rsidR="00724FE0" w:rsidRPr="00B97972" w:rsidRDefault="00724FE0" w:rsidP="00724FE0">
      <w:pPr>
        <w:numPr>
          <w:ilvl w:val="0"/>
          <w:numId w:val="2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bankközi hitelezési piacon rendelkezésre álló likviditás csökkenése,</w:t>
      </w:r>
    </w:p>
    <w:p w14:paraId="3AA89136" w14:textId="77777777" w:rsidR="00724FE0" w:rsidRPr="00B97972" w:rsidRDefault="00724FE0" w:rsidP="00724FE0">
      <w:pPr>
        <w:numPr>
          <w:ilvl w:val="0"/>
          <w:numId w:val="2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megnövekedett </w:t>
      </w:r>
      <w:proofErr w:type="spellStart"/>
      <w:r w:rsidRPr="00B97972">
        <w:rPr>
          <w:rFonts w:ascii="Calibri" w:hAnsi="Calibri" w:cs="Times New Roman"/>
          <w:szCs w:val="24"/>
          <w:lang w:eastAsia="hu-HU"/>
        </w:rPr>
        <w:t>országkockázat</w:t>
      </w:r>
      <w:proofErr w:type="spellEnd"/>
      <w:r w:rsidRPr="00B97972">
        <w:rPr>
          <w:rFonts w:ascii="Calibri" w:hAnsi="Calibri" w:cs="Times New Roman"/>
          <w:szCs w:val="24"/>
          <w:lang w:eastAsia="hu-HU"/>
        </w:rPr>
        <w:t xml:space="preserve"> és általános tőkekiáramlás az intézmény vagy csoport tevékenysége szempontjából jelentős országból,</w:t>
      </w:r>
    </w:p>
    <w:p w14:paraId="6FD7AB0B" w14:textId="77777777" w:rsidR="00724FE0" w:rsidRPr="00B97972" w:rsidRDefault="00724FE0" w:rsidP="00724FE0">
      <w:pPr>
        <w:numPr>
          <w:ilvl w:val="0"/>
          <w:numId w:val="2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 eszközök árainak kedvezőtlen mozgásai egy vagy több piacon,</w:t>
      </w:r>
    </w:p>
    <w:p w14:paraId="3FC9AA73" w14:textId="77777777" w:rsidR="00724FE0" w:rsidRPr="00B97972" w:rsidRDefault="00724FE0" w:rsidP="00760AAC">
      <w:pPr>
        <w:numPr>
          <w:ilvl w:val="0"/>
          <w:numId w:val="25"/>
        </w:numPr>
        <w:spacing w:after="150" w:line="276" w:lineRule="auto"/>
        <w:rPr>
          <w:rFonts w:ascii="Calibri" w:hAnsi="Calibri" w:cs="Times New Roman"/>
          <w:szCs w:val="24"/>
          <w:lang w:eastAsia="hu-HU"/>
        </w:rPr>
      </w:pPr>
      <w:r w:rsidRPr="00B97972">
        <w:rPr>
          <w:rFonts w:ascii="Calibri" w:hAnsi="Calibri" w:cs="Times New Roman"/>
          <w:szCs w:val="24"/>
          <w:lang w:eastAsia="hu-HU"/>
        </w:rPr>
        <w:t>makrogazdasági visszaesés.</w:t>
      </w:r>
    </w:p>
    <w:p w14:paraId="369CD585" w14:textId="77777777" w:rsidR="00724FE0" w:rsidRPr="00B97972" w:rsidRDefault="00724FE0" w:rsidP="00760AAC">
      <w:pPr>
        <w:keepNext/>
        <w:spacing w:after="150" w:line="276" w:lineRule="auto"/>
        <w:rPr>
          <w:rFonts w:ascii="Calibri" w:hAnsi="Calibri" w:cs="Times New Roman"/>
          <w:i/>
          <w:szCs w:val="24"/>
          <w:lang w:eastAsia="hu-HU"/>
        </w:rPr>
      </w:pPr>
      <w:r w:rsidRPr="00B97972">
        <w:rPr>
          <w:rFonts w:ascii="Calibri" w:hAnsi="Calibri" w:cs="Times New Roman"/>
          <w:i/>
          <w:szCs w:val="24"/>
          <w:lang w:eastAsia="hu-HU"/>
        </w:rPr>
        <w:lastRenderedPageBreak/>
        <w:t>Egyedi okokra visszavezethető események</w:t>
      </w:r>
    </w:p>
    <w:p w14:paraId="39B81DB1"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egyedi okokra visszavezethető eseményeken alapuló forgatókönyvek esetén legalább a következő események relevanciáját kell figyelembe venni:</w:t>
      </w:r>
    </w:p>
    <w:p w14:paraId="6757E8FD" w14:textId="77777777" w:rsidR="00724FE0" w:rsidRPr="00B97972" w:rsidRDefault="00724FE0" w:rsidP="00724FE0">
      <w:pPr>
        <w:numPr>
          <w:ilvl w:val="0"/>
          <w:numId w:val="3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jelentős partner vagy szerződő fél fizetésképtelensége,</w:t>
      </w:r>
    </w:p>
    <w:p w14:paraId="32921C02" w14:textId="77777777" w:rsidR="00724FE0" w:rsidRPr="00B97972" w:rsidRDefault="00724FE0" w:rsidP="00724FE0">
      <w:pPr>
        <w:numPr>
          <w:ilvl w:val="0"/>
          <w:numId w:val="3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 intézmény vagy csoport jó hírnevének csorbulása,</w:t>
      </w:r>
    </w:p>
    <w:p w14:paraId="2A495A5C" w14:textId="77777777" w:rsidR="00724FE0" w:rsidRPr="00B97972" w:rsidRDefault="00724FE0" w:rsidP="00724FE0">
      <w:pPr>
        <w:numPr>
          <w:ilvl w:val="0"/>
          <w:numId w:val="3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súlyos likviditáskiáramlás,</w:t>
      </w:r>
    </w:p>
    <w:p w14:paraId="5B1C48E5" w14:textId="77777777" w:rsidR="00724FE0" w:rsidRPr="00B97972" w:rsidRDefault="00724FE0" w:rsidP="00724FE0">
      <w:pPr>
        <w:numPr>
          <w:ilvl w:val="0"/>
          <w:numId w:val="3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azon eszközök árainak kedvezőtlen mozgásai, amelyekben az intézmény vagy csoport elsősorban kitettséggel rendelkezik.</w:t>
      </w:r>
    </w:p>
    <w:p w14:paraId="67257259" w14:textId="77777777" w:rsidR="00724FE0" w:rsidRPr="00B97972" w:rsidRDefault="00724FE0" w:rsidP="00724FE0">
      <w:pPr>
        <w:numPr>
          <w:ilvl w:val="0"/>
          <w:numId w:val="34"/>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súlyos hitelezési veszteségek,</w:t>
      </w:r>
    </w:p>
    <w:p w14:paraId="22A0B586" w14:textId="77777777" w:rsidR="00724FE0" w:rsidRPr="00B97972" w:rsidRDefault="00724FE0" w:rsidP="00724FE0">
      <w:pPr>
        <w:numPr>
          <w:ilvl w:val="0"/>
          <w:numId w:val="34"/>
        </w:numPr>
        <w:spacing w:after="150" w:line="276" w:lineRule="auto"/>
        <w:ind w:hanging="357"/>
        <w:rPr>
          <w:rFonts w:ascii="Calibri" w:hAnsi="Calibri" w:cs="Times New Roman"/>
          <w:szCs w:val="24"/>
          <w:lang w:eastAsia="hu-HU"/>
        </w:rPr>
      </w:pPr>
      <w:r w:rsidRPr="00B97972">
        <w:rPr>
          <w:rFonts w:ascii="Calibri" w:hAnsi="Calibri" w:cs="Times New Roman"/>
          <w:szCs w:val="24"/>
          <w:lang w:eastAsia="hu-HU"/>
        </w:rPr>
        <w:t>működési kockázatból adódó súlyos veszteség.</w:t>
      </w:r>
    </w:p>
    <w:p w14:paraId="0A608C75" w14:textId="77777777" w:rsidR="00724FE0" w:rsidRDefault="00724FE0" w:rsidP="00724FE0">
      <w:pPr>
        <w:spacing w:before="120" w:after="75" w:line="276" w:lineRule="auto"/>
        <w:outlineLvl w:val="3"/>
        <w:rPr>
          <w:rFonts w:ascii="Calibri" w:hAnsi="Calibri" w:cs="Times New Roman"/>
          <w:b/>
          <w:iCs/>
          <w:szCs w:val="24"/>
          <w:lang w:eastAsia="hu-HU"/>
        </w:rPr>
      </w:pPr>
    </w:p>
    <w:p w14:paraId="34F90F84" w14:textId="77777777" w:rsidR="00724FE0" w:rsidRPr="00B97972" w:rsidRDefault="00724FE0" w:rsidP="00724FE0">
      <w:pPr>
        <w:spacing w:before="120" w:after="75" w:line="276" w:lineRule="auto"/>
        <w:outlineLvl w:val="3"/>
        <w:rPr>
          <w:rFonts w:ascii="Calibri" w:hAnsi="Calibri" w:cs="Times New Roman"/>
          <w:b/>
          <w:iCs/>
          <w:szCs w:val="24"/>
          <w:lang w:eastAsia="hu-HU"/>
        </w:rPr>
      </w:pPr>
      <w:r w:rsidRPr="00B97972">
        <w:rPr>
          <w:rFonts w:ascii="Calibri" w:hAnsi="Calibri" w:cs="Times New Roman"/>
          <w:b/>
          <w:iCs/>
          <w:szCs w:val="24"/>
          <w:lang w:eastAsia="hu-HU"/>
        </w:rPr>
        <w:t>Helyreállítási intézkedések (opciók, eszközök)</w:t>
      </w:r>
    </w:p>
    <w:p w14:paraId="51D4F878"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intézmény a helyreállítási terv </w:t>
      </w:r>
      <w:proofErr w:type="gramStart"/>
      <w:r w:rsidRPr="00B97972">
        <w:rPr>
          <w:rFonts w:ascii="Calibri" w:hAnsi="Calibri"/>
          <w:lang w:eastAsia="hu-HU"/>
        </w:rPr>
        <w:t>ezen</w:t>
      </w:r>
      <w:proofErr w:type="gramEnd"/>
      <w:r w:rsidRPr="00B97972">
        <w:rPr>
          <w:rFonts w:ascii="Calibri" w:hAnsi="Calibri"/>
          <w:lang w:eastAsia="hu-HU"/>
        </w:rPr>
        <w:t xml:space="preserve"> részében kifejti és értékeli a különféle helyreállítási intézkedéseket, opciókat. A helyreállítási intézkedések, opciók nem a szokványos üzletmenethez kapcsolódnak, hanem alkalmazásukra mindig rendkívüli jelleggel kerül sor. Ugyanakkor az itt meghatározott intézkedések nem csak rendkívüli intézkedések lehetnek (pl. rendkívüli likviditási hitel igénylése a jegybanki feladatkörében eljáró MNB-től, üzletágak értékesítése), hanem a normál üzletmenet során alkalmazott eszközök is.</w:t>
      </w:r>
    </w:p>
    <w:p w14:paraId="724CF24D"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tervnek </w:t>
      </w:r>
      <w:r>
        <w:rPr>
          <w:rFonts w:ascii="Calibri" w:hAnsi="Calibri"/>
          <w:lang w:eastAsia="hu-HU"/>
        </w:rPr>
        <w:t xml:space="preserve">egyrészt </w:t>
      </w:r>
      <w:r w:rsidRPr="00B97972">
        <w:rPr>
          <w:rFonts w:ascii="Calibri" w:hAnsi="Calibri"/>
          <w:lang w:eastAsia="hu-HU"/>
        </w:rPr>
        <w:t>tartalmaznia kell egy összefoglalót a helyreállítási intézkedésekről, másrészt minden egyes, válsághelyzetben használni tervezett eszköz esetében szükséges egy részletes, általános leírás, az alkalmazást esetlegesen akadályozó tényezők beazonosítása, a döntéshozatal és az alkalmazás időigényének becslése, a hatás- és kockázatértékelés, valamint a kapcsolódó döntési folyamat bemutatása. Az egyes helyreállítási eszközöket az intézmény célszerűen a jelenleg fennálló (a likviditás fenntartását, a tőkeáttétel csökkentését, a kötelezettségek átstrukturálását, az intézményen és a csoporton belüli források átcsopor</w:t>
      </w:r>
      <w:r>
        <w:rPr>
          <w:rFonts w:ascii="Calibri" w:hAnsi="Calibri"/>
          <w:lang w:eastAsia="hu-HU"/>
        </w:rPr>
        <w:t>tosítását, a külső tőkebevonást</w:t>
      </w:r>
      <w:r w:rsidRPr="00B97972">
        <w:rPr>
          <w:rFonts w:ascii="Calibri" w:hAnsi="Calibri"/>
          <w:lang w:eastAsia="hu-HU"/>
        </w:rPr>
        <w:t xml:space="preserve"> stb. lehetővé tevő) megállapodásainak áttekintése alapján határozza meg. A helyreállítási intézkedéseket úgy kell bemutatni, hogy az MNB meg tudja ítélni azok kivitelezhetőségét és hatását.</w:t>
      </w:r>
    </w:p>
    <w:p w14:paraId="0CF86498"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teljes körűség igénye nélkül, helyreállítási intézkedésként az alábbi lehetőségek állnak az intézmény rendelkezésére: </w:t>
      </w:r>
    </w:p>
    <w:p w14:paraId="3037CEFF"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 külső feltőkésítés, tulajdonosi tőkepótlás, csoporton belüli finanszírozási megállapodás életbe léptetése,</w:t>
      </w:r>
    </w:p>
    <w:p w14:paraId="680CD3D1"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bizonyos eszközök, üzleti területek, leányvállalatok átalakítása, leépítése, eladása, </w:t>
      </w:r>
    </w:p>
    <w:p w14:paraId="4F26E832"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kötelezettségek átstrukturálása, </w:t>
      </w:r>
    </w:p>
    <w:p w14:paraId="22A695E4"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mérlegfőösszeg csökkentése, </w:t>
      </w:r>
    </w:p>
    <w:p w14:paraId="6BD1097E"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tulajdonosok felé történő kifizetések (osztalékfizetés, részjegy-kifizetés) korlátozása,</w:t>
      </w:r>
    </w:p>
    <w:p w14:paraId="4D66136B"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lastRenderedPageBreak/>
        <w:t>bizonyos intézménytípusnál az intézményvédelmi alap vagy integráció segítségül hívása (ennek számos formája lehet: pl. menedzsment-támogatás, anyagi segítség, garanciavállalás),</w:t>
      </w:r>
    </w:p>
    <w:p w14:paraId="6003D865"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 irányítás átszervezése,</w:t>
      </w:r>
    </w:p>
    <w:p w14:paraId="0E918372"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rendkívüli likviditási hitel igénylése az MNB-től,</w:t>
      </w:r>
    </w:p>
    <w:p w14:paraId="7F6C5D57" w14:textId="77777777" w:rsidR="00724FE0" w:rsidRPr="00B97972" w:rsidRDefault="00724FE0" w:rsidP="00724FE0">
      <w:pPr>
        <w:numPr>
          <w:ilvl w:val="0"/>
          <w:numId w:val="35"/>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működési modell-váltás.</w:t>
      </w:r>
    </w:p>
    <w:p w14:paraId="7B45C3E5"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intézményeknek ténylegesen alkalmazható helyreállítási eszközöket kell meghatározniuk, és ennek során figyelembe kell venniük az egyes eszközök kivitelezéséhez szükséges időt is. További elvárás, hogy az intézmények azt is végiggondolják, hogy egy esetleges azonnali beavatkozás után hogyan történik meg a visszatérés a normál üzletmenethez. Amennyiben az intézmény a helyreállítási intézkedések között szerepelteti a tulajdonos részéről történő tőkepótlást, azt az MNB csak akkor tudja elfogadni, ha a tulajdonos szándéknyilatkozata is rendelkezésre áll. Csoportszintű helyreállítási terveknél javasolt azt is figyelembe venni, hogy amennyiben több csoporttagnál áll elő válsághelyzet, akkor nem biztos, hogy a tulajdonos minden csoporttagnál képes lesz tőkepótlást megvalósítani. A helyreállítási intézkedések bemutatásakor arra is figyelemmel kell lenni, hogy megfelelő </w:t>
      </w:r>
      <w:proofErr w:type="spellStart"/>
      <w:r w:rsidRPr="00B97972">
        <w:rPr>
          <w:rFonts w:ascii="Calibri" w:hAnsi="Calibri"/>
          <w:lang w:eastAsia="hu-HU"/>
        </w:rPr>
        <w:t>részletezettségű</w:t>
      </w:r>
      <w:proofErr w:type="spellEnd"/>
      <w:r w:rsidRPr="00B97972">
        <w:rPr>
          <w:rFonts w:ascii="Calibri" w:hAnsi="Calibri"/>
          <w:lang w:eastAsia="hu-HU"/>
        </w:rPr>
        <w:t xml:space="preserve"> legyen, és az intézkedések hatása, célzott köre rekonstruálható legyen az MNB számára. </w:t>
      </w:r>
    </w:p>
    <w:p w14:paraId="3E791A9B"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helyreállítási terv ezen részének tartalmaznia kell többek közt</w:t>
      </w:r>
    </w:p>
    <w:p w14:paraId="46FE943C"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válsághelyzetben használni tervezett helyreállítási eszközökről egy összefoglaló listát, és az egyes helyreállítási eszközök részletes leírását,</w:t>
      </w:r>
    </w:p>
    <w:p w14:paraId="2F89992A"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helyreállítási terv által lefedett intézmények fő üzletágainak és kritikus funkcióinak fenntartásához szükséges intézkedéseket,</w:t>
      </w:r>
    </w:p>
    <w:p w14:paraId="4CC5B227"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 intézmény vagy a csoport konszolidált szavatoló tőkeszintjének javítását vagy fenntartását célzó, külső feltőkésítési vagy csoporton belüli megállapodásokat, intézkedéseket,</w:t>
      </w:r>
    </w:p>
    <w:p w14:paraId="57507076"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azokat a megállapodásokat, intézkedéseket, amelyek válsághelyzet esetén biztosítják a helyreállítási terv által lefedett intézmények számára az olyan válsághelyzeti finanszírozási forrásokhoz való hozzáférést, amelyekkel fenn tudják tartani működésüket és eleget tudjanak tenni kötelezettségeiknek. Az itt felsorolt intézkedések vonatkozhatnak külső források bevonására vagy csoporton belüli likviditás-átcsoportosításra is. Ilyen válsághelyzeti finanszírozási forrás lehet pl. külső likviditási forrás, a rendelkezésre álló fedezetek értékesítéséből származó forrás, csoport</w:t>
      </w:r>
      <w:r>
        <w:rPr>
          <w:rFonts w:ascii="Calibri" w:hAnsi="Calibri" w:cs="Times New Roman"/>
          <w:szCs w:val="24"/>
          <w:lang w:eastAsia="hu-HU"/>
        </w:rPr>
        <w:t>on belüli likviditási transzfer</w:t>
      </w:r>
      <w:r w:rsidRPr="00B97972">
        <w:rPr>
          <w:rFonts w:ascii="Calibri" w:hAnsi="Calibri" w:cs="Times New Roman"/>
          <w:szCs w:val="24"/>
          <w:lang w:eastAsia="hu-HU"/>
        </w:rPr>
        <w:t xml:space="preserve"> stb.,</w:t>
      </w:r>
    </w:p>
    <w:p w14:paraId="43F74718"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kockázat és a tőkeáttétel csökkentését, vagy az üzleti tevékenység átstrukturálást célzó intézkedéseket,</w:t>
      </w:r>
    </w:p>
    <w:p w14:paraId="006F3099"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amennyiben releváns, akkor az eszközök, részesedések, üzletrészek esetleges értékesítésének elemzését,</w:t>
      </w:r>
    </w:p>
    <w:p w14:paraId="44A81EFF" w14:textId="77777777" w:rsidR="00724FE0" w:rsidRPr="00B97972" w:rsidRDefault="00724FE0" w:rsidP="00724FE0">
      <w:pPr>
        <w:numPr>
          <w:ilvl w:val="0"/>
          <w:numId w:val="36"/>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kötelezettségek önkéntes (feltétel nélküli) átstrukturálására vonatkozó megállapodásokat és intézkedéseket.</w:t>
      </w:r>
    </w:p>
    <w:p w14:paraId="00B9E612"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lastRenderedPageBreak/>
        <w:t xml:space="preserve">Az MNB elvárja, hogy a helyreállítási tervből egyértelműen kiolvashatók legyenek az </w:t>
      </w:r>
      <w:proofErr w:type="spellStart"/>
      <w:r w:rsidRPr="00B97972">
        <w:rPr>
          <w:rFonts w:ascii="Calibri" w:hAnsi="Calibri"/>
          <w:i/>
          <w:lang w:eastAsia="hu-HU"/>
        </w:rPr>
        <w:t>indikátor-szcenárió-helyreállítási</w:t>
      </w:r>
      <w:proofErr w:type="spellEnd"/>
      <w:r w:rsidRPr="00B97972">
        <w:rPr>
          <w:rFonts w:ascii="Calibri" w:hAnsi="Calibri"/>
          <w:i/>
          <w:lang w:eastAsia="hu-HU"/>
        </w:rPr>
        <w:t xml:space="preserve"> intézkedések</w:t>
      </w:r>
      <w:r w:rsidRPr="00B97972">
        <w:rPr>
          <w:rFonts w:ascii="Calibri" w:hAnsi="Calibri"/>
          <w:lang w:eastAsia="hu-HU"/>
        </w:rPr>
        <w:t xml:space="preserve"> hármas fogalom kapcsolódási pontjai, azaz hogy egy adott indikátorhoz kapcsolódó küszöbérték bekövetkezése mely szcenáriót jelezhet, illetve egy adott szcenárió esetén mely helyreállítási intézkedések jöhetnek szóba. </w:t>
      </w:r>
    </w:p>
    <w:p w14:paraId="76BBFFC7" w14:textId="77777777" w:rsidR="00724FE0" w:rsidRPr="00B97972" w:rsidRDefault="00724FE0" w:rsidP="00724FE0">
      <w:pPr>
        <w:keepNext/>
        <w:spacing w:before="75" w:after="75" w:line="276" w:lineRule="auto"/>
        <w:outlineLvl w:val="3"/>
        <w:rPr>
          <w:rFonts w:ascii="Calibri" w:hAnsi="Calibri" w:cs="Times New Roman"/>
          <w:b/>
          <w:iCs/>
          <w:szCs w:val="24"/>
          <w:lang w:eastAsia="hu-HU"/>
        </w:rPr>
      </w:pPr>
      <w:r w:rsidRPr="00B97972">
        <w:rPr>
          <w:rFonts w:ascii="Calibri" w:hAnsi="Calibri" w:cs="Times New Roman"/>
          <w:b/>
          <w:iCs/>
          <w:szCs w:val="24"/>
          <w:lang w:eastAsia="hu-HU"/>
        </w:rPr>
        <w:t>Az egyes helyreállítási intézkedések hatásainak értékelése</w:t>
      </w:r>
    </w:p>
    <w:p w14:paraId="25505AD3"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hatásértékelés keretében az intézmény meghatározza az egyes helyreállítási eszközök alkalmazásának lehetséges külső és belső hatásait. A belső, pénzügyi és működési hatások beazonosítása keretében az intézmény meghatározza, hogy az egyes intézkedések alkalmazása normál üzleti körülmények között és stressz szituációban milyen hatást gyakorolna </w:t>
      </w:r>
      <w:proofErr w:type="spellStart"/>
      <w:r w:rsidRPr="00B97972">
        <w:rPr>
          <w:rFonts w:ascii="Calibri" w:hAnsi="Calibri"/>
          <w:lang w:eastAsia="hu-HU"/>
        </w:rPr>
        <w:t>szolvenciájára</w:t>
      </w:r>
      <w:proofErr w:type="spellEnd"/>
      <w:r w:rsidRPr="00B97972">
        <w:rPr>
          <w:rFonts w:ascii="Calibri" w:hAnsi="Calibri"/>
          <w:lang w:eastAsia="hu-HU"/>
        </w:rPr>
        <w:t>, likviditására, finanszírozására, jövedelmezőségére és a folytatott tevékenységére. Csoportszintű helyreállítási terveknél azt is pontosan be kell mutatni, ha az egyedi intézményeknél alkalmazott helyreállítási intézkedés a csoport más tagját is érinti.</w:t>
      </w:r>
    </w:p>
    <w:p w14:paraId="16B91477"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várható hatásokat mind normál körülmények, mint stressz helyzet esetén meg kell vizsgálni. A külső hatások beazonosítása keretében az intézmény meghatározza, hogy az egyes intézkedések alkalmazása milyen hatást gyakorolna kritikus vagy rendszerszinten is jelentős funkcióira, más piaci szereplőkre, a hitelezőkre és a tulajdonosokra, az ügyfelekre, valamint más csoporttagokra. A lehetséges hatások tárgyalásakor az intézménynek ki kell térnie a helyreállítási tervben alkalmazott feltételezések bemutatására, különösen, de nem kizárólagosan, az alkalmazott értékelésre, az eszközök eladásának lehetőségére, valamint a piaci szereplők viselkedése tekintetében. Az értékelésben részletezni kell azt is, hogyan történik az egyes üzleti tevékenységek, eszközök piacképességének, piaci értékének meghatározása.</w:t>
      </w:r>
    </w:p>
    <w:p w14:paraId="5552DB77" w14:textId="77777777" w:rsidR="00724FE0" w:rsidRPr="00B97972" w:rsidRDefault="00724FE0" w:rsidP="00724FE0">
      <w:pPr>
        <w:spacing w:before="75" w:after="75" w:line="276" w:lineRule="auto"/>
        <w:outlineLvl w:val="3"/>
        <w:rPr>
          <w:rFonts w:ascii="Calibri" w:hAnsi="Calibri" w:cs="Times New Roman"/>
          <w:b/>
          <w:iCs/>
          <w:szCs w:val="24"/>
          <w:lang w:eastAsia="hu-HU"/>
        </w:rPr>
      </w:pPr>
      <w:r w:rsidRPr="00B97972">
        <w:rPr>
          <w:rFonts w:ascii="Calibri" w:hAnsi="Calibri" w:cs="Times New Roman"/>
          <w:b/>
          <w:iCs/>
          <w:szCs w:val="24"/>
          <w:lang w:eastAsia="hu-HU"/>
        </w:rPr>
        <w:t>A helyreállítási eszközök alkalmazhatóságának értékelése</w:t>
      </w:r>
    </w:p>
    <w:p w14:paraId="66BA53F2"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intézkedések megvalósíthatóságának értékelése keretében az intézmény meghatározza az egyes helyreállítási eszközök alkalmazásának lehetséges megvalósíthatósági és alkalmazási kockázatait. A kockázatok értékelésébe azon esetek elemzése is beletartozik, amikor az intézmény nem akarja, vagy nem tudja alkalmazni a helyreállítási eszközöket. A megvalósíthatósági kockázat beazonosításakor az intézmény megadja az egyes helyreállítási eszközök sikeres alkalmazásának becsült valószínűségét, a hatékonyságot esetlegesen csökkentő tényezőket. </w:t>
      </w:r>
    </w:p>
    <w:p w14:paraId="15336473"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értékelés során fel kell mérni, hogy az egyes helyreállítási eszközök hatékony és időben történő aktiválása, illetve használata során milyen akadályok és hogyan, milyen körülmények között jelenhetnek meg. Ilyen lehet pl. egy esetleges leminősítésből származó jogi, működési, üzleti, pénzügyi és reputációs kockázat. Vizsgálni kell azt is, hogy az egyes helyreállítási intézkedések hatékony megvalósítása nem ütközik-e a csoportszerkezetből, vagy a csoporton belüli megállapodásokból eredő akadályokba (beleértve pl. a csoporton belüli </w:t>
      </w:r>
      <w:proofErr w:type="spellStart"/>
      <w:r w:rsidRPr="00B97972">
        <w:rPr>
          <w:rFonts w:ascii="Calibri" w:hAnsi="Calibri"/>
          <w:lang w:eastAsia="hu-HU"/>
        </w:rPr>
        <w:t>szavatolótőke</w:t>
      </w:r>
      <w:proofErr w:type="spellEnd"/>
      <w:r w:rsidRPr="00B97972">
        <w:rPr>
          <w:rFonts w:ascii="Calibri" w:hAnsi="Calibri"/>
          <w:lang w:eastAsia="hu-HU"/>
        </w:rPr>
        <w:t xml:space="preserve"> transzfer vagy kötelezettségek/eszközök </w:t>
      </w:r>
      <w:r w:rsidRPr="00B97972">
        <w:rPr>
          <w:rFonts w:ascii="Calibri" w:hAnsi="Calibri"/>
          <w:lang w:eastAsia="hu-HU"/>
        </w:rPr>
        <w:lastRenderedPageBreak/>
        <w:t xml:space="preserve">csoporton belüli átcsoportosításának jogi és gyakorlati akadályait is). Az értékelésnek ki kell térnie arra is, hogyan fogja ezeket az akadályokat, problémákat az intézmény kezelni. Az alkalmazási kockázat értékelése során az intézmény meghatározza az egyes helyreállítási eszközök tényleges igénybevételének lehetséges rendszerszintű következményeit, valamint vizsgálja azokat a későbbiekben, a helyreállítás sikertelensége esetén esetlegesen szükségessé váló szanálásra gyakorolt hatás szempontjából is. </w:t>
      </w:r>
    </w:p>
    <w:p w14:paraId="6FA15B14"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Elvárt, hogy ebben a fejezetben az intézmény az egyes stressz szituációk mindegyikéhez vészhelyzeti és üzletmenet folytonossági tervet rendeljen, annak bemutatása érdekében, hogy a helyreállítási szakaszban miként képes biztosítani a működés folytonosságát. A belső működés (pl. IT rendszerek, HR tevékenység) mellett a piaci infrastruktúrához (</w:t>
      </w:r>
      <w:proofErr w:type="spellStart"/>
      <w:r w:rsidRPr="00B97972">
        <w:rPr>
          <w:rFonts w:ascii="Calibri" w:hAnsi="Calibri"/>
          <w:lang w:eastAsia="hu-HU"/>
        </w:rPr>
        <w:t>elszámolásforgalom</w:t>
      </w:r>
      <w:proofErr w:type="spellEnd"/>
      <w:r w:rsidRPr="00B97972">
        <w:rPr>
          <w:rFonts w:ascii="Calibri" w:hAnsi="Calibri"/>
          <w:lang w:eastAsia="hu-HU"/>
        </w:rPr>
        <w:t xml:space="preserve">, klíring) való hozzáférés kérdéseire is szükséges kitérni. Ahol a helyreállítási opció a csoport valamely tagjának leválasztásával (elidegenítésével) számol, az is bemutatandó, hogy a megvalósításnak milyen esélyei vannak, a leválasztott </w:t>
      </w:r>
      <w:proofErr w:type="gramStart"/>
      <w:r w:rsidRPr="00B97972">
        <w:rPr>
          <w:rFonts w:ascii="Calibri" w:hAnsi="Calibri"/>
          <w:lang w:eastAsia="hu-HU"/>
        </w:rPr>
        <w:t>egység(</w:t>
      </w:r>
      <w:proofErr w:type="spellStart"/>
      <w:proofErr w:type="gramEnd"/>
      <w:r w:rsidRPr="00B97972">
        <w:rPr>
          <w:rFonts w:ascii="Calibri" w:hAnsi="Calibri"/>
          <w:lang w:eastAsia="hu-HU"/>
        </w:rPr>
        <w:t>ek</w:t>
      </w:r>
      <w:proofErr w:type="spellEnd"/>
      <w:r w:rsidRPr="00B97972">
        <w:rPr>
          <w:rFonts w:ascii="Calibri" w:hAnsi="Calibri"/>
          <w:lang w:eastAsia="hu-HU"/>
        </w:rPr>
        <w:t xml:space="preserve">) a csoport támogatása nélkül miként tudja folytatni a tevékenységet és milyen lehetséges egyéb következményekkel kell számolnia magának a csoportnak is. </w:t>
      </w:r>
    </w:p>
    <w:p w14:paraId="1C2FFD29" w14:textId="77777777" w:rsidR="00724FE0" w:rsidRPr="00B97972" w:rsidRDefault="00724FE0" w:rsidP="00724FE0">
      <w:pPr>
        <w:keepNext/>
        <w:spacing w:before="75" w:after="75" w:line="276" w:lineRule="auto"/>
        <w:outlineLvl w:val="3"/>
        <w:rPr>
          <w:rFonts w:ascii="Calibri" w:hAnsi="Calibri" w:cs="Times New Roman"/>
          <w:b/>
          <w:iCs/>
          <w:szCs w:val="24"/>
          <w:lang w:eastAsia="hu-HU"/>
        </w:rPr>
      </w:pPr>
      <w:r w:rsidRPr="00B97972">
        <w:rPr>
          <w:rFonts w:ascii="Calibri" w:hAnsi="Calibri" w:cs="Times New Roman"/>
          <w:b/>
          <w:iCs/>
          <w:szCs w:val="24"/>
          <w:lang w:eastAsia="hu-HU"/>
        </w:rPr>
        <w:t>Információs rendszer</w:t>
      </w:r>
    </w:p>
    <w:p w14:paraId="780FE123"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intézmény ebben a fejezetben ismerteti, hogy stresszhelyzetben miként tudja biztosítani a döntésekhez szükséges információk megfelelő időben történő rendelkezésre állását. Szükséges az egyes helyreállítási opciók speciális információs igényének részletes elemzése és annak bemutatása is, hogy az intézmény képes a szükséges információk biztosítására. Itt kell bemutatni azt is, hogyan biztosítja az intézmény, hogy minden érintett ismerje az intézményi, illetve a csoport szintű helyreállítási tervet.</w:t>
      </w:r>
    </w:p>
    <w:p w14:paraId="143CF45A"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Kommunikációs és nyilvánosságra hozatali terv</w:t>
      </w:r>
    </w:p>
    <w:p w14:paraId="0176E542"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tervnek világos kommunikációs stratégiát is tartalmaznia kell, amelyben az intézmény kifejti, hogy hogyan kezeli az esetleges negatív piaci megítélést és hogyan tesz eleget a különböző nyilvánosságra hozatali </w:t>
      </w:r>
      <w:proofErr w:type="gramStart"/>
      <w:r w:rsidRPr="00B97972">
        <w:rPr>
          <w:rFonts w:ascii="Calibri" w:hAnsi="Calibri"/>
          <w:lang w:eastAsia="hu-HU"/>
        </w:rPr>
        <w:t>követelményeknek</w:t>
      </w:r>
      <w:proofErr w:type="gramEnd"/>
      <w:r w:rsidRPr="00B97972">
        <w:rPr>
          <w:rFonts w:ascii="Calibri" w:hAnsi="Calibri"/>
          <w:lang w:eastAsia="hu-HU"/>
        </w:rPr>
        <w:t xml:space="preserve"> annak érdekében, hogy az intézmény iránti bizalmat megtartsa. Az intézmény helyzetét, valamint a tervezett és meghozott intézkedéseket és azoknak az intézmény helyzetére gyakorolt hatását átláthatóan és megfelelő időben kell kommunikálni. Az intézmény hosszabb távú stratégiai életképességének bemutatása is fontos kommunikációs elem. A kommunikációs terv a belső (alkalmazottak, üzemi tanács) és a külső (tulajdonosok, üzleti partner</w:t>
      </w:r>
      <w:r>
        <w:rPr>
          <w:rFonts w:ascii="Calibri" w:hAnsi="Calibri"/>
          <w:lang w:eastAsia="hu-HU"/>
        </w:rPr>
        <w:t>ek, ügyfelek, piacok, hatóságok</w:t>
      </w:r>
      <w:r w:rsidRPr="00B97972">
        <w:rPr>
          <w:rFonts w:ascii="Calibri" w:hAnsi="Calibri"/>
          <w:lang w:eastAsia="hu-HU"/>
        </w:rPr>
        <w:t xml:space="preserve"> stb.) kommunikációra egyaránt kiterjed és előírja a kommunikációhoz kapcsolódóan javasolt, válsághelyzet esetén azonnal használható sablonok elkészítését. Az intézmény célszerűen a kommunikációs terv keretében rendelkezik a helyreállítási tervvel összefüggő, normál üzleti körülmények közötti nyilvánosságra hozatal kérdéseiről is. </w:t>
      </w:r>
    </w:p>
    <w:p w14:paraId="4945D02B"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A helyreállítás során alkalmazható intézkedések kivitelezéséhez kapcsolódó további teendők (nyomon követés)</w:t>
      </w:r>
    </w:p>
    <w:p w14:paraId="164FEE7F"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lastRenderedPageBreak/>
        <w:t xml:space="preserve">A helyreállítási tervnek be kell épülnie az intézmény irányítási rendszerébe. A helyreállítási terv összeállítása, felülvizsgálata a szervezeten belül változásokat is megkövetelhet az egyes helyreállítási opciók gyakorlati, időben és hatékonyan történő megvalósítását akadályozó tényezők elhárítása, megszüntetése érdekében. Ezért az intézménynek meg kell vizsgálnia, hogy </w:t>
      </w:r>
    </w:p>
    <w:p w14:paraId="137D3A28" w14:textId="77777777" w:rsidR="00724FE0" w:rsidRPr="00B97972" w:rsidRDefault="00724FE0" w:rsidP="00724FE0">
      <w:pPr>
        <w:numPr>
          <w:ilvl w:val="0"/>
          <w:numId w:val="3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milyen további intézkedésekre, változásokra van szükség a helyreállítási eszközök sikeres alkalmazásához (pl. a helyreállítás idejének csökkentését lehetővé tevő lépések bemutatása), </w:t>
      </w:r>
    </w:p>
    <w:p w14:paraId="462CD6F7" w14:textId="77777777" w:rsidR="00724FE0" w:rsidRPr="00B97972" w:rsidRDefault="00724FE0" w:rsidP="00724FE0">
      <w:pPr>
        <w:numPr>
          <w:ilvl w:val="0"/>
          <w:numId w:val="3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milyen területeken szükséges változásokat végrehajtani (pl. új feltételezések, új helyreállítási eszközök bevezetése, szükséges szervezeti, irányítási változások, képzés, szimulációk),</w:t>
      </w:r>
    </w:p>
    <w:p w14:paraId="413F91AE" w14:textId="77777777" w:rsidR="00724FE0" w:rsidRPr="00B97972" w:rsidRDefault="00724FE0" w:rsidP="00724FE0">
      <w:pPr>
        <w:numPr>
          <w:ilvl w:val="0"/>
          <w:numId w:val="3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ezen intézkedéseknek, változtatásoknak milyen költség és idő vonzata van.</w:t>
      </w:r>
    </w:p>
    <w:p w14:paraId="3EC492C8"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fejezetben megfogalmazott feladatokhoz határidőt, felelőst is kell rendelni, valamint folyamatosan nyomon követni és értékelni kell a feladatok teljesülését és azok eredményét.</w:t>
      </w:r>
    </w:p>
    <w:p w14:paraId="163FE2F1" w14:textId="77777777" w:rsidR="00724FE0" w:rsidRPr="00B97972" w:rsidRDefault="00724FE0" w:rsidP="00724FE0">
      <w:pPr>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Az évközi, rendkívüli felülvizsgálatra vonatkozó elvárások</w:t>
      </w:r>
    </w:p>
    <w:p w14:paraId="2BF1FAB0"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Hpt. 114. § (4), illetve a </w:t>
      </w:r>
      <w:proofErr w:type="spellStart"/>
      <w:r w:rsidRPr="00B97972">
        <w:rPr>
          <w:rFonts w:ascii="Calibri" w:hAnsi="Calibri"/>
          <w:lang w:eastAsia="hu-HU"/>
        </w:rPr>
        <w:t>Bszt</w:t>
      </w:r>
      <w:proofErr w:type="spellEnd"/>
      <w:r w:rsidRPr="00B97972">
        <w:rPr>
          <w:rFonts w:ascii="Calibri" w:hAnsi="Calibri"/>
          <w:lang w:eastAsia="hu-HU"/>
        </w:rPr>
        <w:t xml:space="preserve">. 102. § (4) bekezdés értelmében a helyreállítási tervet az intézmények legalább évente egyszer, valamint az intézmény jogi vagy szervezeti felépítésével, tevékenységével vagy pénzügyi helyzetével kapcsolatos minden olyan változást követően felülvizsgálja, amely a tervben foglaltak végrehajtására lényeges hatással lehet. Az MNB </w:t>
      </w:r>
      <w:proofErr w:type="gramStart"/>
      <w:r w:rsidRPr="00B97972">
        <w:rPr>
          <w:rFonts w:ascii="Calibri" w:hAnsi="Calibri"/>
          <w:lang w:eastAsia="hu-HU"/>
        </w:rPr>
        <w:t>ezen</w:t>
      </w:r>
      <w:proofErr w:type="gramEnd"/>
      <w:r w:rsidRPr="00B97972">
        <w:rPr>
          <w:rFonts w:ascii="Calibri" w:hAnsi="Calibri"/>
          <w:lang w:eastAsia="hu-HU"/>
        </w:rPr>
        <w:t xml:space="preserve"> rendelkezés alkalmazásában különösen – de nem kizárólagosan – az egyedi illetve a csoportszintű helyreállítási terv rendkívüli felülvizsgálatát szükségessé tevő változásnak tekinti:</w:t>
      </w:r>
    </w:p>
    <w:p w14:paraId="7D2B022F" w14:textId="77777777" w:rsidR="00724FE0" w:rsidRPr="00B97972" w:rsidRDefault="00724FE0" w:rsidP="00724FE0">
      <w:pPr>
        <w:numPr>
          <w:ilvl w:val="0"/>
          <w:numId w:val="4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csoporton belül új felügyelt intézmény alapítását (például jelzálogbank leányvállalat alapítását);</w:t>
      </w:r>
    </w:p>
    <w:p w14:paraId="75FFB384" w14:textId="77777777" w:rsidR="00724FE0" w:rsidRPr="00B97972" w:rsidRDefault="00724FE0" w:rsidP="00724FE0">
      <w:pPr>
        <w:numPr>
          <w:ilvl w:val="0"/>
          <w:numId w:val="4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összeolvadásokat (a Szövetkezeti Hitelintézetek Integrációjának tagjai között</w:t>
      </w:r>
      <w:r>
        <w:rPr>
          <w:rFonts w:ascii="Calibri" w:hAnsi="Calibri" w:cs="Times New Roman"/>
          <w:szCs w:val="24"/>
          <w:lang w:eastAsia="hu-HU"/>
        </w:rPr>
        <w:t>i egyesülés esetén az Integráció központi bankja definiálja helyreállítási tervében, hogy mely esetekben indokolt a felülvizsgálat</w:t>
      </w:r>
      <w:r w:rsidRPr="00B97972">
        <w:rPr>
          <w:rFonts w:ascii="Calibri" w:hAnsi="Calibri" w:cs="Times New Roman"/>
          <w:szCs w:val="24"/>
          <w:lang w:eastAsia="hu-HU"/>
        </w:rPr>
        <w:t>);</w:t>
      </w:r>
    </w:p>
    <w:p w14:paraId="6D96C543" w14:textId="77777777" w:rsidR="00724FE0" w:rsidRPr="00B97972" w:rsidRDefault="00724FE0" w:rsidP="00724FE0">
      <w:pPr>
        <w:numPr>
          <w:ilvl w:val="0"/>
          <w:numId w:val="4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a tevékenységi kör bővülését (például a saját számlás kereskedés megkezdését);</w:t>
      </w:r>
    </w:p>
    <w:p w14:paraId="4C1A9459" w14:textId="77777777" w:rsidR="00724FE0" w:rsidRPr="00B97972" w:rsidRDefault="00724FE0" w:rsidP="00724FE0">
      <w:pPr>
        <w:numPr>
          <w:ilvl w:val="0"/>
          <w:numId w:val="40"/>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 xml:space="preserve">a tulajdonos/tulajdonosi </w:t>
      </w:r>
      <w:proofErr w:type="gramStart"/>
      <w:r w:rsidRPr="00B97972">
        <w:rPr>
          <w:rFonts w:ascii="Calibri" w:hAnsi="Calibri" w:cs="Times New Roman"/>
          <w:szCs w:val="24"/>
          <w:lang w:eastAsia="hu-HU"/>
        </w:rPr>
        <w:t>kör jelentős</w:t>
      </w:r>
      <w:proofErr w:type="gramEnd"/>
      <w:r w:rsidRPr="00B97972">
        <w:rPr>
          <w:rFonts w:ascii="Calibri" w:hAnsi="Calibri" w:cs="Times New Roman"/>
          <w:szCs w:val="24"/>
          <w:lang w:eastAsia="hu-HU"/>
        </w:rPr>
        <w:t xml:space="preserve"> (legalább 10 százalékos tulajdoni részesedést érintő) változása.</w:t>
      </w:r>
    </w:p>
    <w:p w14:paraId="32BA01A9" w14:textId="77777777" w:rsidR="00724FE0" w:rsidRPr="00B97972" w:rsidRDefault="00724FE0" w:rsidP="00724FE0">
      <w:pPr>
        <w:keepNext/>
        <w:numPr>
          <w:ilvl w:val="1"/>
          <w:numId w:val="0"/>
        </w:numPr>
        <w:spacing w:before="210" w:after="75" w:line="276" w:lineRule="auto"/>
        <w:ind w:left="431" w:hanging="431"/>
        <w:jc w:val="left"/>
        <w:outlineLvl w:val="1"/>
        <w:rPr>
          <w:rFonts w:ascii="Calibri" w:hAnsi="Calibri" w:cs="Times New Roman"/>
          <w:b/>
          <w:color w:val="202653"/>
          <w:szCs w:val="24"/>
          <w:lang w:eastAsia="hu-HU"/>
        </w:rPr>
      </w:pPr>
      <w:bookmarkStart w:id="1" w:name="_Toc352762249"/>
      <w:r w:rsidRPr="00B97972">
        <w:rPr>
          <w:rFonts w:ascii="Calibri" w:hAnsi="Calibri" w:cs="Times New Roman"/>
          <w:b/>
          <w:color w:val="202653"/>
          <w:szCs w:val="24"/>
          <w:lang w:eastAsia="hu-HU"/>
        </w:rPr>
        <w:t>A kis intézményekre vonatkozó eltérések</w:t>
      </w:r>
      <w:bookmarkEnd w:id="1"/>
    </w:p>
    <w:p w14:paraId="24DE7661"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helyreállítási terv tartalmi elemeinél a kis intézmények esetében az MNB elsődleges elvárása annak bemutatása, hogy elkészítették és hatályba léptették a krízis helyzetekre vonatkozó helyreállítási tervüket. A lehetséges krízis helyzetek felmérését és az ezek által szükségessé váló intézkedéseket a helyreállítási tervben be kell mutatniuk. Kis intézmények esetén a csoport jogi struktúráját bemutató résznél számos kérdés (pl. a fióktelepek és leányvállalatok bemutatása, a bankcsoporton belüli garanciák, a </w:t>
      </w:r>
      <w:r w:rsidRPr="00B97972">
        <w:rPr>
          <w:rFonts w:ascii="Calibri" w:hAnsi="Calibri"/>
          <w:lang w:eastAsia="hu-HU"/>
        </w:rPr>
        <w:lastRenderedPageBreak/>
        <w:t xml:space="preserve">származékos ügyletek portfóliója), többnyire nem releváns. Amennyiben igen, a kis intézményeknek akkor is elég azokat röviden, tényszerűen ismertetni. </w:t>
      </w:r>
    </w:p>
    <w:p w14:paraId="057033BE"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 kis intézmények jellemzően egyszerűbb helyreállítási tervének naprakésszé tétele nem jelent olyan többlet terhet, amely indokolná, hogy az évenkénti </w:t>
      </w:r>
      <w:proofErr w:type="spellStart"/>
      <w:r w:rsidRPr="00B97972">
        <w:rPr>
          <w:rFonts w:ascii="Calibri" w:hAnsi="Calibri"/>
          <w:lang w:eastAsia="hu-HU"/>
        </w:rPr>
        <w:t>ICAAP</w:t>
      </w:r>
      <w:proofErr w:type="spellEnd"/>
      <w:r w:rsidRPr="00B97972">
        <w:rPr>
          <w:rFonts w:ascii="Calibri" w:hAnsi="Calibri"/>
          <w:lang w:eastAsia="hu-HU"/>
        </w:rPr>
        <w:t xml:space="preserve"> készítéséhez kapcsolódóan, annak aktualizálásától az MNB eltekintsen. Összefoglalva: Az MNB elvárja, hogy a kis intézmények is a jelen ajánlás alapján, annak minden részét figyelembe véve készítsék el a helyreállítási tervüket, értelemszerűen a számukra releváns szempontok figyelembe vétele mellett.</w:t>
      </w:r>
    </w:p>
    <w:p w14:paraId="3C7DC4F5" w14:textId="77777777" w:rsidR="00724FE0" w:rsidRPr="00B97972" w:rsidRDefault="00724FE0" w:rsidP="00724FE0">
      <w:pPr>
        <w:keepNext/>
        <w:numPr>
          <w:ilvl w:val="1"/>
          <w:numId w:val="0"/>
        </w:numPr>
        <w:spacing w:before="210" w:after="75" w:line="276" w:lineRule="auto"/>
        <w:ind w:left="431" w:hanging="431"/>
        <w:jc w:val="left"/>
        <w:outlineLvl w:val="1"/>
        <w:rPr>
          <w:rFonts w:ascii="Calibri" w:hAnsi="Calibri" w:cs="Times New Roman"/>
          <w:b/>
          <w:color w:val="202653"/>
          <w:szCs w:val="24"/>
          <w:lang w:eastAsia="hu-HU"/>
        </w:rPr>
      </w:pPr>
      <w:r w:rsidRPr="00B97972">
        <w:rPr>
          <w:rFonts w:ascii="Calibri" w:hAnsi="Calibri" w:cs="Times New Roman"/>
          <w:b/>
          <w:color w:val="202653"/>
          <w:szCs w:val="24"/>
          <w:lang w:eastAsia="hu-HU"/>
        </w:rPr>
        <w:t>A befektetési vállalkozásokra vonatkozó eltérő elvárások</w:t>
      </w:r>
    </w:p>
    <w:p w14:paraId="3FF9C90A" w14:textId="77777777" w:rsidR="00724FE0" w:rsidRPr="00B97972" w:rsidRDefault="00724FE0" w:rsidP="00760AAC">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 befektetési vállalkozások helyreállítási tervének elkészítése során – a vonatkozó jogszabályi elvárások teljesítése mellett – az arányosság elvét szem előtt tartva fontos figyelembe venni tevékenységük jellegét és sajátosságait. Ennek megkönnyítésére a jelen ajánlás 3. melléklete rögzíti a befektetési vállalkozásokra vonatkozó elvárásokat.</w:t>
      </w:r>
    </w:p>
    <w:p w14:paraId="6CA25CE5" w14:textId="77777777" w:rsidR="00724FE0" w:rsidRPr="00B97972" w:rsidRDefault="00724FE0" w:rsidP="002166B8">
      <w:pPr>
        <w:pStyle w:val="ListParagraph"/>
        <w:keepNext/>
        <w:keepLines/>
        <w:numPr>
          <w:ilvl w:val="0"/>
          <w:numId w:val="45"/>
        </w:numPr>
        <w:spacing w:before="480" w:after="210"/>
        <w:jc w:val="center"/>
        <w:outlineLvl w:val="0"/>
        <w:rPr>
          <w:rFonts w:ascii="Calibri" w:eastAsia="Times New Roman" w:hAnsi="Calibri"/>
          <w:bCs/>
          <w:caps/>
          <w:color w:val="202653"/>
          <w:lang w:eastAsia="hu-HU"/>
        </w:rPr>
      </w:pPr>
      <w:r w:rsidRPr="00B97972">
        <w:rPr>
          <w:rFonts w:ascii="Calibri" w:eastAsia="Times New Roman" w:hAnsi="Calibri"/>
          <w:bCs/>
          <w:caps/>
          <w:color w:val="202653"/>
          <w:lang w:eastAsia="hu-HU"/>
        </w:rPr>
        <w:t>Záró rendelkezések</w:t>
      </w:r>
    </w:p>
    <w:p w14:paraId="2BD2BC59" w14:textId="77777777" w:rsidR="00724FE0" w:rsidRPr="00B97972" w:rsidRDefault="00724FE0" w:rsidP="003F0717">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 Az ajánlás a Magyar Nemzeti Bankról szóló 2013. évi </w:t>
      </w:r>
      <w:proofErr w:type="spellStart"/>
      <w:r w:rsidRPr="00B97972">
        <w:rPr>
          <w:rFonts w:ascii="Calibri" w:hAnsi="Calibri"/>
          <w:lang w:eastAsia="hu-HU"/>
        </w:rPr>
        <w:t>CXXXIX</w:t>
      </w:r>
      <w:proofErr w:type="spellEnd"/>
      <w:r w:rsidRPr="00B97972">
        <w:rPr>
          <w:rFonts w:ascii="Calibri" w:hAnsi="Calibri"/>
          <w:lang w:eastAsia="hu-HU"/>
        </w:rPr>
        <w:t xml:space="preserve">. törvény 13. § (2) bekezdés i) pontja szerint kiadott, az intézményekre kötelező erővel nem rendelkező szabályozó eszköz. </w:t>
      </w:r>
      <w:r w:rsidRPr="00B97972">
        <w:rPr>
          <w:rFonts w:ascii="Calibri" w:eastAsia="Times New Roman" w:hAnsi="Calibri"/>
          <w:lang w:eastAsia="hu-HU"/>
        </w:rPr>
        <w:t>Az MNB által kiadott ajánlás tartalma kifejezi a jogszabályok által támasztott követelményeket, az MNB jogalkalmazási gyakorlata alapján alkalmazni javasolt elveket, illetve módszereket, a piaci szabványokat és szokványokat.</w:t>
      </w:r>
    </w:p>
    <w:p w14:paraId="4E905F40" w14:textId="77777777" w:rsidR="00724FE0" w:rsidRPr="00B97972" w:rsidRDefault="00724FE0" w:rsidP="003F0717">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ajánlásnak való megfelelést az MNB az intézmények körében, a jogszabályi előírások betartásának ellenőrzése keretében értékeli, összhangban az általános európai felügyeleti gyakorlattal. </w:t>
      </w:r>
    </w:p>
    <w:p w14:paraId="13A2E794" w14:textId="77777777" w:rsidR="00724FE0" w:rsidRPr="00B97972" w:rsidRDefault="00724FE0" w:rsidP="003F0717">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Az MNB felhívja a figyelmet arra, hogy az intézmény az ajánlás tartalmát szabályzatai részévé teheti. Ebben az esetben az intézmény jogosult feltüntetni, hogy a vonatkozó szabályzatában foglaltak megfelelnek az MNB által kiadott vonatkozó ajánlásnak.  Amennyiben az intézmény csupán az ajánlás egyes részeit kívánja szabályzataiban megjeleníteni, úgy az ajánlásra való hivatkozást kerülje, illetve csak az ajánlásból átemelt részek tekintetében alkalmazza.</w:t>
      </w:r>
    </w:p>
    <w:p w14:paraId="6B9ADD9F" w14:textId="1257F56D" w:rsidR="00724FE0" w:rsidRPr="00B97972" w:rsidRDefault="00724FE0" w:rsidP="003F0717">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 xml:space="preserve">Az MNB a jelen ajánlás alkalmazását </w:t>
      </w:r>
      <w:r>
        <w:rPr>
          <w:rFonts w:ascii="Calibri" w:hAnsi="Calibri"/>
          <w:lang w:eastAsia="hu-HU"/>
        </w:rPr>
        <w:t xml:space="preserve">a </w:t>
      </w:r>
      <w:r w:rsidRPr="00B97972">
        <w:rPr>
          <w:rFonts w:ascii="Calibri" w:hAnsi="Calibri"/>
          <w:lang w:eastAsia="hu-HU"/>
        </w:rPr>
        <w:t xml:space="preserve">2016. </w:t>
      </w:r>
      <w:r>
        <w:rPr>
          <w:rFonts w:ascii="Calibri" w:hAnsi="Calibri"/>
          <w:lang w:eastAsia="hu-HU"/>
        </w:rPr>
        <w:t>április</w:t>
      </w:r>
      <w:r w:rsidRPr="00B97972">
        <w:rPr>
          <w:rFonts w:ascii="Calibri" w:hAnsi="Calibri"/>
          <w:lang w:eastAsia="hu-HU"/>
        </w:rPr>
        <w:t xml:space="preserve"> </w:t>
      </w:r>
      <w:r w:rsidR="0092146C">
        <w:rPr>
          <w:rFonts w:ascii="Calibri" w:hAnsi="Calibri"/>
          <w:lang w:eastAsia="hu-HU"/>
        </w:rPr>
        <w:t>2</w:t>
      </w:r>
      <w:r>
        <w:rPr>
          <w:rFonts w:ascii="Calibri" w:hAnsi="Calibri"/>
          <w:lang w:eastAsia="hu-HU"/>
        </w:rPr>
        <w:t>5</w:t>
      </w:r>
      <w:r w:rsidRPr="00B97972">
        <w:rPr>
          <w:rFonts w:ascii="Calibri" w:hAnsi="Calibri"/>
          <w:lang w:eastAsia="hu-HU"/>
        </w:rPr>
        <w:t>-ét</w:t>
      </w:r>
      <w:r>
        <w:rPr>
          <w:rFonts w:ascii="Calibri" w:hAnsi="Calibri"/>
          <w:lang w:eastAsia="hu-HU"/>
        </w:rPr>
        <w:t xml:space="preserve"> követően benyújtott helyreállítási tervek vonatkozásában</w:t>
      </w:r>
      <w:r w:rsidRPr="00B97972">
        <w:rPr>
          <w:rFonts w:ascii="Calibri" w:hAnsi="Calibri"/>
          <w:lang w:eastAsia="hu-HU"/>
        </w:rPr>
        <w:t xml:space="preserve"> várja el az érintett pénzügyi szervezetektől.</w:t>
      </w:r>
    </w:p>
    <w:p w14:paraId="2F351A31" w14:textId="77777777" w:rsidR="00724FE0" w:rsidRPr="00B97972" w:rsidRDefault="00724FE0" w:rsidP="003F0717">
      <w:pPr>
        <w:pStyle w:val="ListParagraph"/>
        <w:numPr>
          <w:ilvl w:val="0"/>
          <w:numId w:val="44"/>
        </w:numPr>
        <w:spacing w:after="150"/>
        <w:ind w:left="425" w:hanging="357"/>
        <w:contextualSpacing w:val="0"/>
        <w:jc w:val="both"/>
        <w:rPr>
          <w:rFonts w:ascii="Calibri" w:hAnsi="Calibri"/>
          <w:lang w:eastAsia="hu-HU"/>
        </w:rPr>
      </w:pPr>
      <w:r w:rsidRPr="00B97972">
        <w:rPr>
          <w:rFonts w:ascii="Calibri" w:hAnsi="Calibri"/>
          <w:lang w:eastAsia="hu-HU"/>
        </w:rPr>
        <w:t>Hatályát veszti „</w:t>
      </w:r>
      <w:proofErr w:type="gramStart"/>
      <w:r w:rsidRPr="00B97972">
        <w:rPr>
          <w:rFonts w:ascii="Calibri" w:hAnsi="Calibri"/>
          <w:lang w:eastAsia="hu-HU"/>
        </w:rPr>
        <w:t>A</w:t>
      </w:r>
      <w:proofErr w:type="gramEnd"/>
      <w:r w:rsidRPr="00B97972">
        <w:rPr>
          <w:rFonts w:ascii="Calibri" w:hAnsi="Calibri"/>
          <w:lang w:eastAsia="hu-HU"/>
        </w:rPr>
        <w:t xml:space="preserve"> Magyar Nemzeti Bank 3/2015. (02.25.) számú ajánlása a hitelintézetek és befektetési vállalkozások által kötelezően elkészítendő helyreállítási tervről”.</w:t>
      </w:r>
    </w:p>
    <w:p w14:paraId="233AA657" w14:textId="77777777" w:rsidR="00724FE0" w:rsidRPr="00B97972" w:rsidRDefault="00724FE0" w:rsidP="00724FE0">
      <w:pPr>
        <w:spacing w:after="150" w:line="276" w:lineRule="auto"/>
        <w:ind w:left="720"/>
        <w:contextualSpacing/>
        <w:rPr>
          <w:rFonts w:ascii="Calibri" w:hAnsi="Calibri" w:cs="Times New Roman"/>
          <w:szCs w:val="24"/>
          <w:lang w:eastAsia="hu-HU"/>
        </w:rPr>
      </w:pPr>
    </w:p>
    <w:p w14:paraId="1C0C1799" w14:textId="77777777" w:rsidR="00724FE0" w:rsidRDefault="00724FE0" w:rsidP="00724FE0">
      <w:pPr>
        <w:spacing w:after="150" w:line="276" w:lineRule="auto"/>
        <w:rPr>
          <w:rFonts w:ascii="Calibri" w:hAnsi="Calibri" w:cs="Times New Roman"/>
          <w:szCs w:val="24"/>
          <w:highlight w:val="yellow"/>
          <w:lang w:eastAsia="hu-HU"/>
        </w:rPr>
      </w:pPr>
    </w:p>
    <w:p w14:paraId="16F200B5" w14:textId="77777777" w:rsidR="00724FE0" w:rsidRPr="00B97972" w:rsidRDefault="00724FE0" w:rsidP="00724FE0">
      <w:pPr>
        <w:spacing w:line="276" w:lineRule="auto"/>
        <w:jc w:val="center"/>
        <w:rPr>
          <w:rFonts w:ascii="Calibri" w:hAnsi="Calibri" w:cs="Times New Roman"/>
          <w:szCs w:val="24"/>
          <w:lang w:eastAsia="hu-HU"/>
        </w:rPr>
      </w:pPr>
      <w:r w:rsidRPr="00B97972">
        <w:rPr>
          <w:rFonts w:ascii="Calibri" w:hAnsi="Calibri" w:cs="Times New Roman"/>
          <w:szCs w:val="24"/>
          <w:lang w:eastAsia="hu-HU"/>
        </w:rPr>
        <w:t xml:space="preserve">Dr. Matolcsy György s.k. </w:t>
      </w:r>
    </w:p>
    <w:p w14:paraId="5D11D51A" w14:textId="77777777" w:rsidR="00724FE0" w:rsidRPr="00B97972" w:rsidRDefault="00724FE0" w:rsidP="00724FE0">
      <w:pPr>
        <w:spacing w:line="276" w:lineRule="auto"/>
        <w:jc w:val="center"/>
        <w:rPr>
          <w:rFonts w:ascii="Calibri" w:hAnsi="Calibri" w:cs="Times New Roman"/>
          <w:szCs w:val="24"/>
          <w:lang w:eastAsia="hu-HU"/>
        </w:rPr>
      </w:pPr>
      <w:proofErr w:type="gramStart"/>
      <w:r w:rsidRPr="00B97972">
        <w:rPr>
          <w:rFonts w:ascii="Calibri" w:hAnsi="Calibri" w:cs="Times New Roman"/>
          <w:szCs w:val="24"/>
          <w:lang w:eastAsia="hu-HU"/>
        </w:rPr>
        <w:t>a</w:t>
      </w:r>
      <w:proofErr w:type="gramEnd"/>
      <w:r w:rsidRPr="00B97972">
        <w:rPr>
          <w:rFonts w:ascii="Calibri" w:hAnsi="Calibri" w:cs="Times New Roman"/>
          <w:szCs w:val="24"/>
          <w:lang w:eastAsia="hu-HU"/>
        </w:rPr>
        <w:t xml:space="preserve"> Magyar Nemzeti Bank elnöke</w:t>
      </w:r>
      <w:r w:rsidRPr="00B97972">
        <w:rPr>
          <w:rFonts w:ascii="Calibri" w:hAnsi="Calibri" w:cs="Times New Roman"/>
          <w:szCs w:val="24"/>
          <w:lang w:eastAsia="hu-HU"/>
        </w:rPr>
        <w:br w:type="page"/>
      </w:r>
    </w:p>
    <w:p w14:paraId="10292CE0" w14:textId="22EB4849" w:rsidR="00724FE0" w:rsidRPr="00B97972" w:rsidRDefault="00655D81" w:rsidP="00724FE0">
      <w:pPr>
        <w:spacing w:after="150" w:line="276" w:lineRule="auto"/>
        <w:ind w:left="720"/>
        <w:jc w:val="right"/>
        <w:rPr>
          <w:rFonts w:ascii="Calibri" w:hAnsi="Calibri" w:cs="Times New Roman"/>
          <w:b/>
          <w:szCs w:val="24"/>
          <w:lang w:eastAsia="hu-HU"/>
        </w:rPr>
      </w:pPr>
      <w:r>
        <w:rPr>
          <w:rFonts w:ascii="Calibri" w:hAnsi="Calibri" w:cs="Times New Roman"/>
          <w:b/>
          <w:szCs w:val="24"/>
          <w:lang w:eastAsia="hu-HU"/>
        </w:rPr>
        <w:lastRenderedPageBreak/>
        <w:t>1. melléklet a 2</w:t>
      </w:r>
      <w:r w:rsidR="003975D2">
        <w:rPr>
          <w:rFonts w:ascii="Calibri" w:hAnsi="Calibri" w:cs="Times New Roman"/>
          <w:b/>
          <w:szCs w:val="24"/>
          <w:lang w:eastAsia="hu-HU"/>
        </w:rPr>
        <w:t>/2016. (</w:t>
      </w:r>
      <w:proofErr w:type="spellStart"/>
      <w:r w:rsidR="003975D2">
        <w:rPr>
          <w:rFonts w:ascii="Calibri" w:hAnsi="Calibri" w:cs="Times New Roman"/>
          <w:b/>
          <w:szCs w:val="24"/>
          <w:lang w:eastAsia="hu-HU"/>
        </w:rPr>
        <w:t>IV</w:t>
      </w:r>
      <w:proofErr w:type="spellEnd"/>
      <w:r w:rsidR="003975D2">
        <w:rPr>
          <w:rFonts w:ascii="Calibri" w:hAnsi="Calibri" w:cs="Times New Roman"/>
          <w:b/>
          <w:szCs w:val="24"/>
          <w:lang w:eastAsia="hu-HU"/>
        </w:rPr>
        <w:t>. 25</w:t>
      </w:r>
      <w:r w:rsidR="00976365">
        <w:rPr>
          <w:rFonts w:ascii="Calibri" w:hAnsi="Calibri" w:cs="Times New Roman"/>
          <w:b/>
          <w:szCs w:val="24"/>
          <w:lang w:eastAsia="hu-HU"/>
        </w:rPr>
        <w:t>.</w:t>
      </w:r>
      <w:r w:rsidR="00724FE0" w:rsidRPr="00B97972">
        <w:rPr>
          <w:rFonts w:ascii="Calibri" w:hAnsi="Calibri" w:cs="Times New Roman"/>
          <w:b/>
          <w:szCs w:val="24"/>
          <w:lang w:eastAsia="hu-HU"/>
        </w:rPr>
        <w:t>) számú MNB ajánláshoz</w:t>
      </w:r>
    </w:p>
    <w:p w14:paraId="16AB4C78" w14:textId="77777777" w:rsidR="00724FE0" w:rsidRPr="00B97972" w:rsidRDefault="00724FE0" w:rsidP="00724FE0">
      <w:pPr>
        <w:spacing w:line="276" w:lineRule="auto"/>
        <w:rPr>
          <w:rFonts w:ascii="Calibri" w:hAnsi="Calibri" w:cs="Times New Roman"/>
          <w:b/>
          <w:szCs w:val="24"/>
          <w:lang w:eastAsia="hu-HU"/>
        </w:rPr>
      </w:pPr>
      <w:r w:rsidRPr="00B97972">
        <w:rPr>
          <w:rFonts w:ascii="Calibri" w:hAnsi="Calibri" w:cs="Times New Roman"/>
          <w:b/>
          <w:szCs w:val="24"/>
          <w:lang w:eastAsia="hu-HU"/>
        </w:rPr>
        <w:t>Elvárt indikátorok listája a helyreállítási tervekben</w:t>
      </w:r>
    </w:p>
    <w:p w14:paraId="44A148D2" w14:textId="77777777" w:rsidR="00724FE0" w:rsidRPr="00B97972" w:rsidRDefault="00724FE0" w:rsidP="00724FE0">
      <w:pPr>
        <w:spacing w:line="276" w:lineRule="auto"/>
        <w:rPr>
          <w:rFonts w:ascii="Calibri" w:hAnsi="Calibri" w:cs="Times New Roman"/>
          <w:szCs w:val="24"/>
          <w:lang w:eastAsia="hu-HU"/>
        </w:rPr>
      </w:pPr>
      <w:r w:rsidRPr="00B97972">
        <w:rPr>
          <w:rFonts w:ascii="Calibri" w:hAnsi="Calibri" w:cs="Times New Roman"/>
          <w:szCs w:val="24"/>
          <w:lang w:eastAsia="hu-HU"/>
        </w:rPr>
        <w:t>Belső indikátorok</w:t>
      </w:r>
    </w:p>
    <w:p w14:paraId="7A738716" w14:textId="77777777" w:rsidR="00724FE0" w:rsidRPr="00B97972" w:rsidRDefault="00724FE0" w:rsidP="00724FE0">
      <w:pPr>
        <w:numPr>
          <w:ilvl w:val="0"/>
          <w:numId w:val="1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tőke indikátorok:</w:t>
      </w:r>
    </w:p>
    <w:p w14:paraId="3D125F4A"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aa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CET 1 mutató,</w:t>
      </w:r>
    </w:p>
    <w:p w14:paraId="04DE5CF3" w14:textId="77777777" w:rsidR="00724FE0" w:rsidRPr="00B97972" w:rsidRDefault="00724FE0" w:rsidP="00724FE0">
      <w:pPr>
        <w:spacing w:line="276" w:lineRule="auto"/>
        <w:ind w:left="1134" w:hanging="425"/>
        <w:rPr>
          <w:rFonts w:ascii="Calibri" w:hAnsi="Calibri" w:cs="Times New Roman"/>
          <w:szCs w:val="24"/>
          <w:lang w:eastAsia="hu-HU"/>
        </w:rPr>
      </w:pPr>
      <w:proofErr w:type="gramStart"/>
      <w:r w:rsidRPr="00B97972">
        <w:rPr>
          <w:rFonts w:ascii="Calibri" w:hAnsi="Calibri" w:cs="Times New Roman"/>
          <w:szCs w:val="24"/>
          <w:lang w:eastAsia="hu-HU"/>
        </w:rPr>
        <w:t>ab</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 xml:space="preserve">teljes </w:t>
      </w:r>
      <w:proofErr w:type="spellStart"/>
      <w:r w:rsidRPr="00B97972">
        <w:rPr>
          <w:rFonts w:ascii="Calibri" w:hAnsi="Calibri" w:cs="Times New Roman"/>
          <w:szCs w:val="24"/>
          <w:lang w:eastAsia="hu-HU"/>
        </w:rPr>
        <w:t>tőkemegfelelési</w:t>
      </w:r>
      <w:proofErr w:type="spellEnd"/>
      <w:r w:rsidRPr="00B97972">
        <w:rPr>
          <w:rFonts w:ascii="Calibri" w:hAnsi="Calibri" w:cs="Times New Roman"/>
          <w:szCs w:val="24"/>
          <w:lang w:eastAsia="hu-HU"/>
        </w:rPr>
        <w:t xml:space="preserve"> mutató,</w:t>
      </w:r>
    </w:p>
    <w:p w14:paraId="61A07931" w14:textId="77777777" w:rsidR="00724FE0" w:rsidRPr="00B97972" w:rsidRDefault="00724FE0" w:rsidP="00724FE0">
      <w:pPr>
        <w:tabs>
          <w:tab w:val="left" w:pos="1134"/>
        </w:tabs>
        <w:spacing w:line="276" w:lineRule="auto"/>
        <w:ind w:left="720"/>
        <w:rPr>
          <w:rFonts w:ascii="Calibri" w:hAnsi="Calibri" w:cs="Times New Roman"/>
          <w:szCs w:val="24"/>
          <w:lang w:eastAsia="hu-HU"/>
        </w:rPr>
      </w:pPr>
      <w:proofErr w:type="spellStart"/>
      <w:r w:rsidRPr="00B97972">
        <w:rPr>
          <w:rFonts w:ascii="Calibri" w:hAnsi="Calibri" w:cs="Times New Roman"/>
          <w:szCs w:val="24"/>
          <w:lang w:eastAsia="hu-HU"/>
        </w:rPr>
        <w:t>ac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tőkeáttételi mutató,</w:t>
      </w:r>
    </w:p>
    <w:p w14:paraId="64563F5D" w14:textId="77777777" w:rsidR="00724FE0" w:rsidRPr="00B97972" w:rsidRDefault="00724FE0" w:rsidP="00724FE0">
      <w:pPr>
        <w:numPr>
          <w:ilvl w:val="0"/>
          <w:numId w:val="1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likviditási és finanszírozási indikátorok:</w:t>
      </w:r>
    </w:p>
    <w:p w14:paraId="5BC9C892"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ba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likviditásfedezeti mutató,</w:t>
      </w:r>
    </w:p>
    <w:p w14:paraId="6720778E"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bb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nettó stabil forrás ellátottsági mutató (</w:t>
      </w:r>
      <w:proofErr w:type="spellStart"/>
      <w:r w:rsidRPr="00B97972">
        <w:rPr>
          <w:rFonts w:ascii="Calibri" w:hAnsi="Calibri" w:cs="Times New Roman"/>
          <w:szCs w:val="24"/>
          <w:lang w:eastAsia="hu-HU"/>
        </w:rPr>
        <w:t>NSFR</w:t>
      </w:r>
      <w:proofErr w:type="spellEnd"/>
      <w:r w:rsidRPr="00B97972">
        <w:rPr>
          <w:rFonts w:ascii="Calibri" w:hAnsi="Calibri" w:cs="Times New Roman"/>
          <w:szCs w:val="24"/>
          <w:lang w:eastAsia="hu-HU"/>
        </w:rPr>
        <w:t>).</w:t>
      </w:r>
    </w:p>
    <w:p w14:paraId="63977FB7" w14:textId="77777777" w:rsidR="00724FE0"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bc</w:t>
      </w:r>
      <w:proofErr w:type="spellEnd"/>
      <w:r w:rsidRPr="00B97972">
        <w:rPr>
          <w:rFonts w:ascii="Calibri" w:hAnsi="Calibri" w:cs="Times New Roman"/>
          <w:szCs w:val="24"/>
          <w:lang w:eastAsia="hu-HU"/>
        </w:rPr>
        <w:t xml:space="preserve">) </w:t>
      </w:r>
      <w:r w:rsidRPr="00B97972">
        <w:rPr>
          <w:rFonts w:ascii="Calibri" w:hAnsi="Calibri" w:cs="Times New Roman"/>
          <w:szCs w:val="24"/>
          <w:lang w:eastAsia="hu-HU"/>
        </w:rPr>
        <w:tab/>
      </w:r>
      <w:r>
        <w:rPr>
          <w:rFonts w:ascii="Calibri" w:hAnsi="Calibri" w:cs="Times New Roman"/>
          <w:szCs w:val="24"/>
          <w:lang w:eastAsia="hu-HU"/>
        </w:rPr>
        <w:t>j</w:t>
      </w:r>
      <w:r w:rsidRPr="00B97972">
        <w:rPr>
          <w:rFonts w:ascii="Calibri" w:hAnsi="Calibri" w:cs="Times New Roman"/>
          <w:szCs w:val="24"/>
          <w:lang w:eastAsia="hu-HU"/>
        </w:rPr>
        <w:t>elzáloghitel-finanszírozás megfelelési mutató (</w:t>
      </w:r>
      <w:proofErr w:type="spellStart"/>
      <w:r w:rsidRPr="00B97972">
        <w:rPr>
          <w:rFonts w:ascii="Calibri" w:hAnsi="Calibri" w:cs="Times New Roman"/>
          <w:szCs w:val="24"/>
          <w:lang w:eastAsia="hu-HU"/>
        </w:rPr>
        <w:t>JMM</w:t>
      </w:r>
      <w:proofErr w:type="spellEnd"/>
      <w:r>
        <w:rPr>
          <w:rFonts w:ascii="Calibri" w:hAnsi="Calibri" w:cs="Times New Roman"/>
          <w:szCs w:val="24"/>
          <w:lang w:eastAsia="hu-HU"/>
        </w:rPr>
        <w:t>, 2017. április 1-től alkalmazandó</w:t>
      </w:r>
      <w:r w:rsidRPr="00B97972">
        <w:rPr>
          <w:rFonts w:ascii="Calibri" w:hAnsi="Calibri" w:cs="Times New Roman"/>
          <w:szCs w:val="24"/>
          <w:lang w:eastAsia="hu-HU"/>
        </w:rPr>
        <w:t>)</w:t>
      </w:r>
    </w:p>
    <w:p w14:paraId="460B765B" w14:textId="77777777" w:rsidR="00724FE0" w:rsidRPr="00C17B45" w:rsidRDefault="00724FE0" w:rsidP="00724FE0">
      <w:pPr>
        <w:ind w:left="1134" w:hanging="425"/>
        <w:rPr>
          <w:rFonts w:ascii="Calibri" w:hAnsi="Calibri" w:cs="Times New Roman"/>
          <w:szCs w:val="24"/>
          <w:lang w:eastAsia="hu-HU"/>
        </w:rPr>
      </w:pPr>
      <w:proofErr w:type="spellStart"/>
      <w:r>
        <w:rPr>
          <w:rFonts w:ascii="Calibri" w:hAnsi="Calibri" w:cs="Times New Roman"/>
          <w:szCs w:val="24"/>
          <w:lang w:eastAsia="hu-HU"/>
        </w:rPr>
        <w:t>bd</w:t>
      </w:r>
      <w:proofErr w:type="spellEnd"/>
      <w:proofErr w:type="gramStart"/>
      <w:r>
        <w:rPr>
          <w:rFonts w:ascii="Calibri" w:hAnsi="Calibri" w:cs="Times New Roman"/>
          <w:szCs w:val="24"/>
          <w:lang w:eastAsia="hu-HU"/>
        </w:rPr>
        <w:t>)  d</w:t>
      </w:r>
      <w:r w:rsidRPr="00C17B45">
        <w:rPr>
          <w:rFonts w:ascii="Calibri" w:hAnsi="Calibri" w:cs="Times New Roman"/>
          <w:szCs w:val="24"/>
          <w:lang w:eastAsia="hu-HU"/>
        </w:rPr>
        <w:t>evizafinanszírozás</w:t>
      </w:r>
      <w:proofErr w:type="gramEnd"/>
      <w:r w:rsidRPr="00C17B45">
        <w:rPr>
          <w:rFonts w:ascii="Calibri" w:hAnsi="Calibri" w:cs="Times New Roman"/>
          <w:szCs w:val="24"/>
          <w:lang w:eastAsia="hu-HU"/>
        </w:rPr>
        <w:t xml:space="preserve"> megfelelési mutató (</w:t>
      </w:r>
      <w:proofErr w:type="spellStart"/>
      <w:r w:rsidRPr="00C17B45">
        <w:rPr>
          <w:rFonts w:ascii="Calibri" w:hAnsi="Calibri" w:cs="Times New Roman"/>
          <w:szCs w:val="24"/>
          <w:lang w:eastAsia="hu-HU"/>
        </w:rPr>
        <w:t>DMM</w:t>
      </w:r>
      <w:proofErr w:type="spellEnd"/>
      <w:r w:rsidRPr="00C17B45">
        <w:rPr>
          <w:rFonts w:ascii="Calibri" w:hAnsi="Calibri" w:cs="Times New Roman"/>
          <w:szCs w:val="24"/>
          <w:lang w:eastAsia="hu-HU"/>
        </w:rPr>
        <w:t>)</w:t>
      </w:r>
    </w:p>
    <w:p w14:paraId="40C869F5" w14:textId="77777777" w:rsidR="00724FE0" w:rsidRPr="00B97972" w:rsidRDefault="00724FE0" w:rsidP="00724FE0">
      <w:pPr>
        <w:spacing w:line="276" w:lineRule="auto"/>
        <w:ind w:left="1134" w:hanging="425"/>
        <w:rPr>
          <w:rFonts w:ascii="Calibri" w:hAnsi="Calibri" w:cs="Times New Roman"/>
          <w:szCs w:val="24"/>
          <w:lang w:eastAsia="hu-HU"/>
        </w:rPr>
      </w:pPr>
      <w:r w:rsidRPr="00B97972">
        <w:rPr>
          <w:rFonts w:ascii="Calibri" w:hAnsi="Calibri" w:cs="Times New Roman"/>
          <w:szCs w:val="24"/>
          <w:lang w:eastAsia="hu-HU"/>
        </w:rPr>
        <w:t>b</w:t>
      </w:r>
      <w:r>
        <w:rPr>
          <w:rFonts w:ascii="Calibri" w:hAnsi="Calibri" w:cs="Times New Roman"/>
          <w:szCs w:val="24"/>
          <w:lang w:eastAsia="hu-HU"/>
        </w:rPr>
        <w:t>e</w:t>
      </w:r>
      <w:r w:rsidRPr="00B97972">
        <w:rPr>
          <w:rFonts w:ascii="Calibri" w:hAnsi="Calibri" w:cs="Times New Roman"/>
          <w:szCs w:val="24"/>
          <w:lang w:eastAsia="hu-HU"/>
        </w:rPr>
        <w:t>)</w:t>
      </w:r>
      <w:r w:rsidRPr="00B97972">
        <w:rPr>
          <w:rFonts w:ascii="Calibri" w:hAnsi="Calibri" w:cs="Times New Roman"/>
          <w:szCs w:val="24"/>
          <w:lang w:eastAsia="hu-HU"/>
        </w:rPr>
        <w:tab/>
      </w:r>
      <w:r>
        <w:rPr>
          <w:rFonts w:ascii="Calibri" w:hAnsi="Calibri" w:cs="Times New Roman"/>
          <w:szCs w:val="24"/>
          <w:lang w:eastAsia="hu-HU"/>
        </w:rPr>
        <w:t>d</w:t>
      </w:r>
      <w:r w:rsidRPr="00B97972">
        <w:rPr>
          <w:rFonts w:ascii="Calibri" w:hAnsi="Calibri" w:cs="Times New Roman"/>
          <w:szCs w:val="24"/>
          <w:lang w:eastAsia="hu-HU"/>
        </w:rPr>
        <w:t xml:space="preserve">eviza </w:t>
      </w:r>
      <w:proofErr w:type="gramStart"/>
      <w:r w:rsidRPr="00B97972">
        <w:rPr>
          <w:rFonts w:ascii="Calibri" w:hAnsi="Calibri" w:cs="Times New Roman"/>
          <w:szCs w:val="24"/>
          <w:lang w:eastAsia="hu-HU"/>
        </w:rPr>
        <w:t>egyensúly mutató</w:t>
      </w:r>
      <w:proofErr w:type="gramEnd"/>
      <w:r w:rsidRPr="00B97972">
        <w:rPr>
          <w:rFonts w:ascii="Calibri" w:hAnsi="Calibri" w:cs="Times New Roman"/>
          <w:szCs w:val="24"/>
          <w:lang w:eastAsia="hu-HU"/>
        </w:rPr>
        <w:t xml:space="preserve"> (</w:t>
      </w:r>
      <w:proofErr w:type="spellStart"/>
      <w:r w:rsidRPr="00B97972">
        <w:rPr>
          <w:rFonts w:ascii="Calibri" w:hAnsi="Calibri" w:cs="Times New Roman"/>
          <w:szCs w:val="24"/>
          <w:lang w:eastAsia="hu-HU"/>
        </w:rPr>
        <w:t>DEM</w:t>
      </w:r>
      <w:proofErr w:type="spellEnd"/>
      <w:r w:rsidRPr="00B97972">
        <w:rPr>
          <w:rFonts w:ascii="Calibri" w:hAnsi="Calibri" w:cs="Times New Roman"/>
          <w:szCs w:val="24"/>
          <w:lang w:eastAsia="hu-HU"/>
        </w:rPr>
        <w:t>)</w:t>
      </w:r>
    </w:p>
    <w:p w14:paraId="6395C13B"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b</w:t>
      </w:r>
      <w:r>
        <w:rPr>
          <w:rFonts w:ascii="Calibri" w:hAnsi="Calibri" w:cs="Times New Roman"/>
          <w:szCs w:val="24"/>
          <w:lang w:eastAsia="hu-HU"/>
        </w:rPr>
        <w:t>f</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r>
      <w:proofErr w:type="spellStart"/>
      <w:r w:rsidRPr="00B97972">
        <w:rPr>
          <w:rFonts w:ascii="Calibri" w:hAnsi="Calibri" w:cs="Times New Roman"/>
          <w:szCs w:val="24"/>
          <w:lang w:eastAsia="hu-HU"/>
        </w:rPr>
        <w:t>wholesale</w:t>
      </w:r>
      <w:proofErr w:type="spellEnd"/>
      <w:r w:rsidRPr="00B97972">
        <w:rPr>
          <w:rFonts w:ascii="Calibri" w:hAnsi="Calibri" w:cs="Times New Roman"/>
          <w:szCs w:val="24"/>
          <w:lang w:eastAsia="hu-HU"/>
        </w:rPr>
        <w:t xml:space="preserve"> finanszírozás költsége,</w:t>
      </w:r>
    </w:p>
    <w:p w14:paraId="0322DD7D" w14:textId="77777777" w:rsidR="00724FE0" w:rsidRPr="00B97972" w:rsidRDefault="00724FE0" w:rsidP="00724FE0">
      <w:pPr>
        <w:numPr>
          <w:ilvl w:val="0"/>
          <w:numId w:val="1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jövedelmezőségi indikátorok:</w:t>
      </w:r>
    </w:p>
    <w:p w14:paraId="6B97AAD9"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ca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r>
      <w:proofErr w:type="spellStart"/>
      <w:r w:rsidRPr="00B97972">
        <w:rPr>
          <w:rFonts w:ascii="Calibri" w:hAnsi="Calibri" w:cs="Times New Roman"/>
          <w:szCs w:val="24"/>
          <w:lang w:eastAsia="hu-HU"/>
        </w:rPr>
        <w:t>ROA</w:t>
      </w:r>
      <w:proofErr w:type="spellEnd"/>
      <w:r w:rsidRPr="00B97972">
        <w:rPr>
          <w:rFonts w:ascii="Calibri" w:hAnsi="Calibri" w:cs="Times New Roman"/>
          <w:szCs w:val="24"/>
          <w:lang w:eastAsia="hu-HU"/>
        </w:rPr>
        <w:t xml:space="preserve"> vagy </w:t>
      </w:r>
      <w:proofErr w:type="spellStart"/>
      <w:r w:rsidRPr="00B97972">
        <w:rPr>
          <w:rFonts w:ascii="Calibri" w:hAnsi="Calibri" w:cs="Times New Roman"/>
          <w:szCs w:val="24"/>
          <w:lang w:eastAsia="hu-HU"/>
        </w:rPr>
        <w:t>ROE</w:t>
      </w:r>
      <w:proofErr w:type="spellEnd"/>
      <w:r w:rsidRPr="00B97972">
        <w:rPr>
          <w:rFonts w:ascii="Calibri" w:hAnsi="Calibri" w:cs="Times New Roman"/>
          <w:szCs w:val="24"/>
          <w:lang w:eastAsia="hu-HU"/>
        </w:rPr>
        <w:t>,</w:t>
      </w:r>
    </w:p>
    <w:p w14:paraId="348227A5"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cc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 xml:space="preserve">jelentős működési veszteségek, </w:t>
      </w:r>
    </w:p>
    <w:p w14:paraId="0037A336" w14:textId="77777777" w:rsidR="00724FE0" w:rsidRPr="00B97972" w:rsidRDefault="00724FE0" w:rsidP="00724FE0">
      <w:pPr>
        <w:numPr>
          <w:ilvl w:val="0"/>
          <w:numId w:val="17"/>
        </w:numPr>
        <w:spacing w:after="150" w:line="276" w:lineRule="auto"/>
        <w:contextualSpacing/>
        <w:rPr>
          <w:rFonts w:ascii="Calibri" w:hAnsi="Calibri" w:cs="Times New Roman"/>
          <w:szCs w:val="24"/>
          <w:lang w:eastAsia="hu-HU"/>
        </w:rPr>
      </w:pPr>
      <w:r w:rsidRPr="00B97972">
        <w:rPr>
          <w:rFonts w:ascii="Calibri" w:hAnsi="Calibri" w:cs="Times New Roman"/>
          <w:szCs w:val="24"/>
          <w:lang w:eastAsia="hu-HU"/>
        </w:rPr>
        <w:t>eszközminőség indikátorok:</w:t>
      </w:r>
    </w:p>
    <w:p w14:paraId="717CFFEB" w14:textId="7D8A12C5" w:rsidR="00724FE0" w:rsidRPr="00261E24" w:rsidRDefault="00724FE0" w:rsidP="00724FE0">
      <w:pPr>
        <w:spacing w:line="276" w:lineRule="auto"/>
        <w:ind w:left="1134" w:hanging="425"/>
        <w:rPr>
          <w:rFonts w:ascii="Calibri" w:hAnsi="Calibri" w:cs="Times New Roman"/>
          <w:szCs w:val="24"/>
          <w:lang w:eastAsia="hu-HU"/>
        </w:rPr>
      </w:pPr>
      <w:r>
        <w:rPr>
          <w:rFonts w:ascii="Calibri" w:hAnsi="Calibri" w:cs="Times New Roman"/>
          <w:szCs w:val="24"/>
          <w:lang w:eastAsia="hu-HU"/>
        </w:rPr>
        <w:t>da</w:t>
      </w:r>
      <w:proofErr w:type="gramStart"/>
      <w:r>
        <w:rPr>
          <w:rFonts w:ascii="Calibri" w:hAnsi="Calibri" w:cs="Times New Roman"/>
          <w:szCs w:val="24"/>
          <w:lang w:eastAsia="hu-HU"/>
        </w:rPr>
        <w:t xml:space="preserve">)  </w:t>
      </w:r>
      <w:r w:rsidRPr="00261E24">
        <w:rPr>
          <w:rFonts w:ascii="Calibri" w:hAnsi="Calibri" w:cs="Times New Roman"/>
          <w:szCs w:val="24"/>
          <w:lang w:eastAsia="hu-HU"/>
        </w:rPr>
        <w:t>(</w:t>
      </w:r>
      <w:proofErr w:type="gramEnd"/>
      <w:r w:rsidRPr="00261E24">
        <w:rPr>
          <w:rFonts w:ascii="Calibri" w:hAnsi="Calibri" w:cs="Times New Roman"/>
          <w:szCs w:val="24"/>
          <w:lang w:eastAsia="hu-HU"/>
        </w:rPr>
        <w:t xml:space="preserve">bruttó) </w:t>
      </w:r>
      <w:proofErr w:type="spellStart"/>
      <w:r w:rsidRPr="00261E24">
        <w:rPr>
          <w:rFonts w:ascii="Calibri" w:hAnsi="Calibri" w:cs="Times New Roman"/>
          <w:szCs w:val="24"/>
          <w:lang w:eastAsia="hu-HU"/>
        </w:rPr>
        <w:t>nem-teljesítőhitelek</w:t>
      </w:r>
      <w:proofErr w:type="spellEnd"/>
      <w:r w:rsidRPr="00261E24">
        <w:rPr>
          <w:rFonts w:ascii="Calibri" w:hAnsi="Calibri" w:cs="Times New Roman"/>
          <w:szCs w:val="24"/>
          <w:lang w:eastAsia="hu-HU"/>
        </w:rPr>
        <w:t xml:space="preserve"> állományának növekedési üteme</w:t>
      </w:r>
      <w:r>
        <w:rPr>
          <w:rFonts w:ascii="Calibri" w:hAnsi="Calibri" w:cs="Times New Roman"/>
          <w:szCs w:val="24"/>
          <w:lang w:eastAsia="hu-HU"/>
        </w:rPr>
        <w:t xml:space="preserve"> </w:t>
      </w:r>
      <w:r w:rsidR="00D3652C">
        <w:rPr>
          <w:rFonts w:ascii="Calibri" w:hAnsi="Calibri" w:cs="Times New Roman"/>
          <w:szCs w:val="24"/>
          <w:lang w:eastAsia="hu-HU"/>
        </w:rPr>
        <w:t>(lakossági, vállalati portfolió;</w:t>
      </w:r>
      <w:r w:rsidRPr="006D7782">
        <w:rPr>
          <w:rFonts w:ascii="Calibri" w:hAnsi="Calibri" w:cs="Times New Roman"/>
          <w:szCs w:val="24"/>
          <w:lang w:eastAsia="hu-HU"/>
        </w:rPr>
        <w:t xml:space="preserve"> összes</w:t>
      </w:r>
      <w:r>
        <w:rPr>
          <w:rFonts w:ascii="Calibri" w:hAnsi="Calibri" w:cs="Times New Roman"/>
          <w:szCs w:val="24"/>
          <w:lang w:eastAsia="hu-HU"/>
        </w:rPr>
        <w:t>en</w:t>
      </w:r>
      <w:r w:rsidRPr="006D7782">
        <w:rPr>
          <w:rFonts w:ascii="Calibri" w:hAnsi="Calibri" w:cs="Times New Roman"/>
          <w:szCs w:val="24"/>
          <w:lang w:eastAsia="hu-HU"/>
        </w:rPr>
        <w:t>),</w:t>
      </w:r>
    </w:p>
    <w:p w14:paraId="6372C824" w14:textId="77777777" w:rsidR="00724FE0" w:rsidRPr="00B97972" w:rsidRDefault="00724FE0" w:rsidP="00724FE0">
      <w:pPr>
        <w:spacing w:line="276" w:lineRule="auto"/>
        <w:ind w:left="1134" w:hanging="425"/>
        <w:rPr>
          <w:rFonts w:ascii="Calibri" w:hAnsi="Calibri" w:cs="Times New Roman"/>
          <w:szCs w:val="24"/>
          <w:lang w:eastAsia="hu-HU"/>
        </w:rPr>
      </w:pPr>
      <w:proofErr w:type="gramStart"/>
      <w:r>
        <w:rPr>
          <w:rFonts w:ascii="Calibri" w:hAnsi="Calibri" w:cs="Times New Roman"/>
          <w:szCs w:val="24"/>
          <w:lang w:eastAsia="hu-HU"/>
        </w:rPr>
        <w:t>db</w:t>
      </w:r>
      <w:proofErr w:type="gramEnd"/>
      <w:r>
        <w:rPr>
          <w:rFonts w:ascii="Calibri" w:hAnsi="Calibri" w:cs="Times New Roman"/>
          <w:szCs w:val="24"/>
          <w:lang w:eastAsia="hu-HU"/>
        </w:rPr>
        <w:t>)</w:t>
      </w:r>
      <w:r w:rsidRPr="00B97972">
        <w:rPr>
          <w:rFonts w:ascii="Calibri" w:hAnsi="Calibri" w:cs="Times New Roman"/>
          <w:szCs w:val="24"/>
          <w:lang w:eastAsia="hu-HU"/>
        </w:rPr>
        <w:tab/>
        <w:t>nem teljesítő hitelek bruttó állománya/összes hitel</w:t>
      </w:r>
    </w:p>
    <w:p w14:paraId="4574F959"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d</w:t>
      </w:r>
      <w:r>
        <w:rPr>
          <w:rFonts w:ascii="Calibri" w:hAnsi="Calibri" w:cs="Times New Roman"/>
          <w:szCs w:val="24"/>
          <w:lang w:eastAsia="hu-HU"/>
        </w:rPr>
        <w:t>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értékvesztéssel való fedezettség (Értékvesztések/</w:t>
      </w:r>
      <w:proofErr w:type="spellStart"/>
      <w:r w:rsidRPr="00B97972">
        <w:rPr>
          <w:rFonts w:ascii="Calibri" w:hAnsi="Calibri" w:cs="Times New Roman"/>
          <w:szCs w:val="24"/>
          <w:lang w:eastAsia="hu-HU"/>
        </w:rPr>
        <w:t>Nemteljesítő</w:t>
      </w:r>
      <w:proofErr w:type="spellEnd"/>
      <w:r w:rsidRPr="00B97972">
        <w:rPr>
          <w:rFonts w:ascii="Calibri" w:hAnsi="Calibri" w:cs="Times New Roman"/>
          <w:szCs w:val="24"/>
          <w:lang w:eastAsia="hu-HU"/>
        </w:rPr>
        <w:t xml:space="preserve"> hitelek állománya),</w:t>
      </w:r>
    </w:p>
    <w:p w14:paraId="338EB73B" w14:textId="77777777" w:rsidR="00724FE0" w:rsidRPr="00B97972" w:rsidRDefault="00724FE0" w:rsidP="00724FE0">
      <w:pPr>
        <w:spacing w:line="276" w:lineRule="auto"/>
        <w:ind w:left="1134" w:hanging="425"/>
        <w:rPr>
          <w:rFonts w:ascii="Calibri" w:hAnsi="Calibri" w:cs="Times New Roman"/>
          <w:szCs w:val="24"/>
          <w:lang w:eastAsia="hu-HU"/>
        </w:rPr>
      </w:pPr>
    </w:p>
    <w:p w14:paraId="05181B7E" w14:textId="77777777" w:rsidR="00724FE0" w:rsidRPr="00B97972" w:rsidRDefault="00724FE0" w:rsidP="00724FE0">
      <w:pPr>
        <w:spacing w:after="150" w:line="276" w:lineRule="auto"/>
        <w:rPr>
          <w:rFonts w:ascii="Calibri" w:hAnsi="Calibri" w:cs="Times New Roman"/>
          <w:szCs w:val="24"/>
          <w:lang w:eastAsia="hu-HU"/>
        </w:rPr>
      </w:pPr>
    </w:p>
    <w:p w14:paraId="08E36813"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Figyelem felhívó indikátorok</w:t>
      </w:r>
      <w:r w:rsidRPr="00B97972">
        <w:rPr>
          <w:rFonts w:ascii="Calibri" w:hAnsi="Calibri" w:cs="Times New Roman"/>
          <w:szCs w:val="24"/>
          <w:vertAlign w:val="superscript"/>
          <w:lang w:eastAsia="hu-HU"/>
        </w:rPr>
        <w:footnoteReference w:id="13"/>
      </w:r>
      <w:r w:rsidRPr="00B97972">
        <w:rPr>
          <w:rFonts w:ascii="Calibri" w:hAnsi="Calibri" w:cs="Times New Roman"/>
          <w:szCs w:val="24"/>
          <w:lang w:eastAsia="hu-HU"/>
        </w:rPr>
        <w:t xml:space="preserve"> </w:t>
      </w:r>
    </w:p>
    <w:p w14:paraId="171C5654" w14:textId="77777777" w:rsidR="00724FE0" w:rsidRPr="00B97972" w:rsidRDefault="00724FE0" w:rsidP="00724FE0">
      <w:pPr>
        <w:spacing w:line="276" w:lineRule="auto"/>
        <w:ind w:left="360"/>
        <w:rPr>
          <w:rFonts w:ascii="Calibri" w:hAnsi="Calibri" w:cs="Times New Roman"/>
          <w:szCs w:val="24"/>
          <w:lang w:eastAsia="hu-HU"/>
        </w:rPr>
      </w:pPr>
      <w:proofErr w:type="gramStart"/>
      <w:r w:rsidRPr="00B97972">
        <w:rPr>
          <w:rFonts w:ascii="Calibri" w:hAnsi="Calibri" w:cs="Times New Roman"/>
          <w:szCs w:val="24"/>
          <w:lang w:eastAsia="hu-HU"/>
        </w:rPr>
        <w:t>a</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piaci indikátorok</w:t>
      </w:r>
      <w:r>
        <w:rPr>
          <w:rFonts w:ascii="Calibri" w:hAnsi="Calibri" w:cs="Times New Roman"/>
          <w:szCs w:val="24"/>
          <w:lang w:eastAsia="hu-HU"/>
        </w:rPr>
        <w:t xml:space="preserve"> (intézményi, ennek hiányában szuverén)</w:t>
      </w:r>
      <w:r w:rsidRPr="00B97972">
        <w:rPr>
          <w:rFonts w:ascii="Calibri" w:hAnsi="Calibri" w:cs="Times New Roman"/>
          <w:szCs w:val="24"/>
          <w:lang w:eastAsia="hu-HU"/>
        </w:rPr>
        <w:t xml:space="preserve">: </w:t>
      </w:r>
    </w:p>
    <w:p w14:paraId="35289B8C"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aa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negatív kihatású felülvizsgálat, vagy leminősítés,</w:t>
      </w:r>
    </w:p>
    <w:p w14:paraId="71E42B30" w14:textId="77777777" w:rsidR="00724FE0" w:rsidRPr="00B97972" w:rsidRDefault="00724FE0" w:rsidP="00724FE0">
      <w:pPr>
        <w:spacing w:line="276" w:lineRule="auto"/>
        <w:ind w:left="1134" w:hanging="414"/>
        <w:rPr>
          <w:rFonts w:ascii="Calibri" w:hAnsi="Calibri" w:cs="Times New Roman"/>
          <w:szCs w:val="24"/>
          <w:lang w:eastAsia="hu-HU"/>
        </w:rPr>
      </w:pPr>
      <w:proofErr w:type="gramStart"/>
      <w:r w:rsidRPr="00B97972">
        <w:rPr>
          <w:rFonts w:ascii="Calibri" w:hAnsi="Calibri" w:cs="Times New Roman"/>
          <w:szCs w:val="24"/>
          <w:lang w:eastAsia="hu-HU"/>
        </w:rPr>
        <w:t>ab</w:t>
      </w:r>
      <w:proofErr w:type="gramEnd"/>
      <w:r w:rsidRPr="00B97972">
        <w:rPr>
          <w:rFonts w:ascii="Calibri" w:hAnsi="Calibri" w:cs="Times New Roman"/>
          <w:szCs w:val="24"/>
          <w:lang w:eastAsia="hu-HU"/>
        </w:rPr>
        <w:t>)</w:t>
      </w:r>
      <w:r w:rsidRPr="00B97972">
        <w:rPr>
          <w:rFonts w:ascii="Calibri" w:hAnsi="Calibri" w:cs="Times New Roman"/>
          <w:szCs w:val="24"/>
          <w:lang w:eastAsia="hu-HU"/>
        </w:rPr>
        <w:tab/>
      </w:r>
      <w:proofErr w:type="spellStart"/>
      <w:r w:rsidRPr="00B97972">
        <w:rPr>
          <w:rFonts w:ascii="Calibri" w:hAnsi="Calibri" w:cs="Times New Roman"/>
          <w:szCs w:val="24"/>
          <w:lang w:eastAsia="hu-HU"/>
        </w:rPr>
        <w:t>CDS</w:t>
      </w:r>
      <w:proofErr w:type="spellEnd"/>
      <w:r w:rsidRPr="00B97972">
        <w:rPr>
          <w:rFonts w:ascii="Calibri" w:hAnsi="Calibri" w:cs="Times New Roman"/>
          <w:szCs w:val="24"/>
          <w:lang w:eastAsia="hu-HU"/>
        </w:rPr>
        <w:t xml:space="preserve"> </w:t>
      </w:r>
      <w:proofErr w:type="spellStart"/>
      <w:r w:rsidRPr="00B97972">
        <w:rPr>
          <w:rFonts w:ascii="Calibri" w:hAnsi="Calibri" w:cs="Times New Roman"/>
          <w:szCs w:val="24"/>
          <w:lang w:eastAsia="hu-HU"/>
        </w:rPr>
        <w:t>spread</w:t>
      </w:r>
      <w:proofErr w:type="spellEnd"/>
      <w:r w:rsidRPr="00B97972">
        <w:rPr>
          <w:rFonts w:ascii="Calibri" w:hAnsi="Calibri" w:cs="Times New Roman"/>
          <w:szCs w:val="24"/>
          <w:lang w:eastAsia="hu-HU"/>
        </w:rPr>
        <w:t>,</w:t>
      </w:r>
    </w:p>
    <w:p w14:paraId="5959CEC4"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ac</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tőzsdei árfolyam ingadozás,</w:t>
      </w:r>
    </w:p>
    <w:p w14:paraId="655E18A2" w14:textId="77777777" w:rsidR="00724FE0" w:rsidRPr="00B97972" w:rsidRDefault="00724FE0" w:rsidP="00724FE0">
      <w:pPr>
        <w:spacing w:line="276" w:lineRule="auto"/>
        <w:ind w:left="1134" w:hanging="414"/>
        <w:rPr>
          <w:rFonts w:ascii="Calibri" w:hAnsi="Calibri" w:cs="Times New Roman"/>
          <w:szCs w:val="24"/>
          <w:lang w:eastAsia="hu-HU"/>
        </w:rPr>
      </w:pPr>
    </w:p>
    <w:p w14:paraId="65E3DA1D" w14:textId="77777777" w:rsidR="00724FE0" w:rsidRPr="00B97972" w:rsidRDefault="00724FE0" w:rsidP="00724FE0">
      <w:pPr>
        <w:spacing w:line="276" w:lineRule="auto"/>
        <w:ind w:left="360"/>
        <w:rPr>
          <w:rFonts w:ascii="Calibri" w:hAnsi="Calibri" w:cs="Times New Roman"/>
          <w:szCs w:val="24"/>
          <w:lang w:eastAsia="hu-HU"/>
        </w:rPr>
      </w:pPr>
      <w:r w:rsidRPr="00B97972">
        <w:rPr>
          <w:rFonts w:ascii="Calibri" w:hAnsi="Calibri" w:cs="Times New Roman"/>
          <w:szCs w:val="24"/>
          <w:lang w:eastAsia="hu-HU"/>
        </w:rPr>
        <w:t>b)</w:t>
      </w:r>
      <w:r w:rsidRPr="00B97972">
        <w:rPr>
          <w:rFonts w:ascii="Calibri" w:hAnsi="Calibri" w:cs="Times New Roman"/>
          <w:szCs w:val="24"/>
          <w:lang w:eastAsia="hu-HU"/>
        </w:rPr>
        <w:tab/>
        <w:t>makrogazdasági indikátorok:</w:t>
      </w:r>
    </w:p>
    <w:p w14:paraId="71336D83"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ba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GDP változás,</w:t>
      </w:r>
    </w:p>
    <w:p w14:paraId="5CFD38C5" w14:textId="77777777" w:rsidR="00724FE0" w:rsidRPr="00B97972" w:rsidRDefault="00724FE0" w:rsidP="00724FE0">
      <w:pPr>
        <w:spacing w:line="276" w:lineRule="auto"/>
        <w:ind w:left="1134" w:hanging="425"/>
        <w:rPr>
          <w:rFonts w:ascii="Calibri" w:hAnsi="Calibri" w:cs="Times New Roman"/>
          <w:szCs w:val="24"/>
          <w:lang w:eastAsia="hu-HU"/>
        </w:rPr>
      </w:pPr>
      <w:proofErr w:type="spellStart"/>
      <w:r w:rsidRPr="00B97972">
        <w:rPr>
          <w:rFonts w:ascii="Calibri" w:hAnsi="Calibri" w:cs="Times New Roman"/>
          <w:szCs w:val="24"/>
          <w:lang w:eastAsia="hu-HU"/>
        </w:rPr>
        <w:t>bb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 xml:space="preserve">államadósság </w:t>
      </w:r>
      <w:proofErr w:type="spellStart"/>
      <w:r w:rsidRPr="00B97972">
        <w:rPr>
          <w:rFonts w:ascii="Calibri" w:hAnsi="Calibri" w:cs="Times New Roman"/>
          <w:szCs w:val="24"/>
          <w:lang w:eastAsia="hu-HU"/>
        </w:rPr>
        <w:t>CDS-e</w:t>
      </w:r>
      <w:proofErr w:type="spellEnd"/>
      <w:r w:rsidRPr="00B97972">
        <w:rPr>
          <w:rFonts w:ascii="Calibri" w:hAnsi="Calibri" w:cs="Times New Roman"/>
          <w:szCs w:val="24"/>
          <w:lang w:eastAsia="hu-HU"/>
        </w:rPr>
        <w:t xml:space="preserve">, </w:t>
      </w:r>
    </w:p>
    <w:p w14:paraId="7977B2E8"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br w:type="page"/>
      </w:r>
    </w:p>
    <w:p w14:paraId="00176A38" w14:textId="4F8ABD05" w:rsidR="00724FE0" w:rsidRPr="00B97972" w:rsidRDefault="00655D81" w:rsidP="00724FE0">
      <w:pPr>
        <w:spacing w:after="150" w:line="276" w:lineRule="auto"/>
        <w:ind w:left="720"/>
        <w:jc w:val="right"/>
        <w:rPr>
          <w:rFonts w:ascii="Calibri" w:hAnsi="Calibri" w:cs="Times New Roman"/>
          <w:b/>
          <w:szCs w:val="24"/>
          <w:lang w:eastAsia="hu-HU"/>
        </w:rPr>
      </w:pPr>
      <w:r>
        <w:rPr>
          <w:rFonts w:ascii="Calibri" w:hAnsi="Calibri" w:cs="Times New Roman"/>
          <w:b/>
          <w:szCs w:val="24"/>
          <w:lang w:eastAsia="hu-HU"/>
        </w:rPr>
        <w:lastRenderedPageBreak/>
        <w:t>2. melléklet a 2</w:t>
      </w:r>
      <w:r w:rsidR="003975D2">
        <w:rPr>
          <w:rFonts w:ascii="Calibri" w:hAnsi="Calibri" w:cs="Times New Roman"/>
          <w:b/>
          <w:szCs w:val="24"/>
          <w:lang w:eastAsia="hu-HU"/>
        </w:rPr>
        <w:t>/2016. (</w:t>
      </w:r>
      <w:proofErr w:type="spellStart"/>
      <w:r w:rsidR="003975D2">
        <w:rPr>
          <w:rFonts w:ascii="Calibri" w:hAnsi="Calibri" w:cs="Times New Roman"/>
          <w:b/>
          <w:szCs w:val="24"/>
          <w:lang w:eastAsia="hu-HU"/>
        </w:rPr>
        <w:t>IV</w:t>
      </w:r>
      <w:proofErr w:type="spellEnd"/>
      <w:r w:rsidR="003975D2">
        <w:rPr>
          <w:rFonts w:ascii="Calibri" w:hAnsi="Calibri" w:cs="Times New Roman"/>
          <w:b/>
          <w:szCs w:val="24"/>
          <w:lang w:eastAsia="hu-HU"/>
        </w:rPr>
        <w:t>. 25</w:t>
      </w:r>
      <w:r w:rsidR="00976365">
        <w:rPr>
          <w:rFonts w:ascii="Calibri" w:hAnsi="Calibri" w:cs="Times New Roman"/>
          <w:b/>
          <w:szCs w:val="24"/>
          <w:lang w:eastAsia="hu-HU"/>
        </w:rPr>
        <w:t>.</w:t>
      </w:r>
      <w:r w:rsidR="00724FE0" w:rsidRPr="00B97972">
        <w:rPr>
          <w:rFonts w:ascii="Calibri" w:hAnsi="Calibri" w:cs="Times New Roman"/>
          <w:b/>
          <w:szCs w:val="24"/>
          <w:lang w:eastAsia="hu-HU"/>
        </w:rPr>
        <w:t>) számú MNB ajánláshoz</w:t>
      </w:r>
    </w:p>
    <w:p w14:paraId="1D52843E" w14:textId="77777777" w:rsidR="00724FE0" w:rsidRPr="00B97972" w:rsidRDefault="00724FE0" w:rsidP="00724FE0">
      <w:pPr>
        <w:spacing w:after="150" w:line="276" w:lineRule="auto"/>
        <w:rPr>
          <w:rFonts w:ascii="Calibri" w:hAnsi="Calibri" w:cs="Times New Roman"/>
          <w:szCs w:val="24"/>
          <w:lang w:eastAsia="hu-HU"/>
        </w:rPr>
      </w:pPr>
    </w:p>
    <w:p w14:paraId="01A80436"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A helyreállítási tervekben szerepeltethető kiegészítő indikátorok:</w:t>
      </w:r>
    </w:p>
    <w:p w14:paraId="25B649E2" w14:textId="77777777" w:rsidR="00724FE0" w:rsidRPr="00B97972" w:rsidRDefault="00724FE0" w:rsidP="00724FE0">
      <w:pPr>
        <w:numPr>
          <w:ilvl w:val="0"/>
          <w:numId w:val="38"/>
        </w:numPr>
        <w:spacing w:after="150" w:line="276" w:lineRule="auto"/>
        <w:ind w:left="567" w:hanging="283"/>
        <w:contextualSpacing/>
        <w:rPr>
          <w:rFonts w:ascii="Calibri" w:hAnsi="Calibri" w:cs="Times New Roman"/>
          <w:szCs w:val="24"/>
          <w:lang w:eastAsia="hu-HU"/>
        </w:rPr>
      </w:pPr>
      <w:r w:rsidRPr="00B97972">
        <w:rPr>
          <w:rFonts w:ascii="Calibri" w:hAnsi="Calibri" w:cs="Times New Roman"/>
          <w:szCs w:val="24"/>
          <w:lang w:eastAsia="hu-HU"/>
        </w:rPr>
        <w:t>tőke indikátorok</w:t>
      </w:r>
    </w:p>
    <w:p w14:paraId="5D3D3AC4"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aa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mérleg szerinti eredmény+ Eredménytartalék/Saját tőke</w:t>
      </w:r>
    </w:p>
    <w:p w14:paraId="11046A7A" w14:textId="77777777" w:rsidR="00724FE0" w:rsidRPr="00B97972" w:rsidRDefault="00724FE0" w:rsidP="00724FE0">
      <w:pPr>
        <w:spacing w:line="276" w:lineRule="auto"/>
        <w:ind w:left="1134" w:hanging="414"/>
        <w:rPr>
          <w:rFonts w:ascii="Calibri" w:hAnsi="Calibri" w:cs="Times New Roman"/>
          <w:szCs w:val="24"/>
          <w:lang w:eastAsia="hu-HU"/>
        </w:rPr>
      </w:pPr>
      <w:proofErr w:type="gramStart"/>
      <w:r w:rsidRPr="00B97972">
        <w:rPr>
          <w:rFonts w:ascii="Calibri" w:hAnsi="Calibri" w:cs="Times New Roman"/>
          <w:szCs w:val="24"/>
          <w:lang w:eastAsia="hu-HU"/>
        </w:rPr>
        <w:t>ab</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jelentős ügyfelek pénzügyi helyzetéről kedvezőtlen információk</w:t>
      </w:r>
    </w:p>
    <w:p w14:paraId="71759073" w14:textId="77777777" w:rsidR="00724FE0" w:rsidRPr="00B97972" w:rsidRDefault="00724FE0" w:rsidP="00724FE0">
      <w:pPr>
        <w:spacing w:line="276" w:lineRule="auto"/>
        <w:ind w:left="1134" w:hanging="414"/>
        <w:rPr>
          <w:rFonts w:ascii="Calibri" w:hAnsi="Calibri" w:cs="Times New Roman"/>
          <w:szCs w:val="24"/>
          <w:lang w:eastAsia="hu-HU"/>
        </w:rPr>
      </w:pPr>
    </w:p>
    <w:p w14:paraId="46338C94" w14:textId="77777777" w:rsidR="00724FE0" w:rsidRPr="00B97972" w:rsidRDefault="00724FE0" w:rsidP="00724FE0">
      <w:pPr>
        <w:numPr>
          <w:ilvl w:val="0"/>
          <w:numId w:val="38"/>
        </w:numPr>
        <w:spacing w:after="150" w:line="276" w:lineRule="auto"/>
        <w:ind w:left="567" w:hanging="283"/>
        <w:contextualSpacing/>
        <w:rPr>
          <w:rFonts w:ascii="Calibri" w:hAnsi="Calibri" w:cs="Times New Roman"/>
          <w:szCs w:val="24"/>
          <w:lang w:eastAsia="hu-HU"/>
        </w:rPr>
      </w:pPr>
      <w:r w:rsidRPr="00B97972">
        <w:rPr>
          <w:rFonts w:ascii="Calibri" w:hAnsi="Calibri" w:cs="Times New Roman"/>
          <w:szCs w:val="24"/>
          <w:lang w:eastAsia="hu-HU"/>
        </w:rPr>
        <w:t>likviditási és finanszírozási indikátorok</w:t>
      </w:r>
    </w:p>
    <w:p w14:paraId="42A4ECE5"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ba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likviditási és finanszírozási források koncentrációja (partner és lejárat szerinti koncentráció)</w:t>
      </w:r>
    </w:p>
    <w:p w14:paraId="4C20F2F2"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bb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teljes finanszírozási költség (</w:t>
      </w:r>
      <w:proofErr w:type="spellStart"/>
      <w:r w:rsidRPr="00B97972">
        <w:rPr>
          <w:rFonts w:ascii="Calibri" w:hAnsi="Calibri" w:cs="Times New Roman"/>
          <w:szCs w:val="24"/>
          <w:lang w:eastAsia="hu-HU"/>
        </w:rPr>
        <w:t>retail</w:t>
      </w:r>
      <w:proofErr w:type="spellEnd"/>
      <w:r w:rsidRPr="00B97972">
        <w:rPr>
          <w:rFonts w:ascii="Calibri" w:hAnsi="Calibri" w:cs="Times New Roman"/>
          <w:szCs w:val="24"/>
          <w:lang w:eastAsia="hu-HU"/>
        </w:rPr>
        <w:t xml:space="preserve"> és </w:t>
      </w:r>
      <w:proofErr w:type="spellStart"/>
      <w:r w:rsidRPr="00B97972">
        <w:rPr>
          <w:rFonts w:ascii="Calibri" w:hAnsi="Calibri" w:cs="Times New Roman"/>
          <w:szCs w:val="24"/>
          <w:lang w:eastAsia="hu-HU"/>
        </w:rPr>
        <w:t>wholesale</w:t>
      </w:r>
      <w:proofErr w:type="spellEnd"/>
      <w:r w:rsidRPr="00B97972">
        <w:rPr>
          <w:rFonts w:ascii="Calibri" w:hAnsi="Calibri" w:cs="Times New Roman"/>
          <w:szCs w:val="24"/>
          <w:lang w:eastAsia="hu-HU"/>
        </w:rPr>
        <w:t xml:space="preserve"> finanszírozás)</w:t>
      </w:r>
    </w:p>
    <w:p w14:paraId="2714FB04"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bc</w:t>
      </w:r>
      <w:proofErr w:type="spellEnd"/>
      <w:r w:rsidRPr="00B97972">
        <w:rPr>
          <w:rFonts w:ascii="Calibri" w:hAnsi="Calibri" w:cs="Times New Roman"/>
          <w:szCs w:val="24"/>
          <w:lang w:eastAsia="hu-HU"/>
        </w:rPr>
        <w:t xml:space="preserve">) </w:t>
      </w:r>
      <w:r w:rsidRPr="00B97972">
        <w:rPr>
          <w:rFonts w:ascii="Calibri" w:hAnsi="Calibri" w:cs="Times New Roman"/>
          <w:szCs w:val="24"/>
          <w:lang w:eastAsia="hu-HU"/>
        </w:rPr>
        <w:tab/>
      </w:r>
      <w:proofErr w:type="spellStart"/>
      <w:r w:rsidRPr="00B97972">
        <w:rPr>
          <w:rFonts w:ascii="Calibri" w:hAnsi="Calibri" w:cs="Times New Roman"/>
          <w:szCs w:val="24"/>
          <w:lang w:eastAsia="hu-HU"/>
        </w:rPr>
        <w:t>wholesale</w:t>
      </w:r>
      <w:proofErr w:type="spellEnd"/>
      <w:r w:rsidRPr="00B97972">
        <w:rPr>
          <w:rFonts w:ascii="Calibri" w:hAnsi="Calibri" w:cs="Times New Roman"/>
          <w:szCs w:val="24"/>
          <w:lang w:eastAsia="hu-HU"/>
        </w:rPr>
        <w:t xml:space="preserve"> finanszírozás átlagos futamideje</w:t>
      </w:r>
    </w:p>
    <w:p w14:paraId="6AEE9EC5"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bd</w:t>
      </w:r>
      <w:proofErr w:type="spellEnd"/>
      <w:r w:rsidRPr="00B97972">
        <w:rPr>
          <w:rFonts w:ascii="Calibri" w:hAnsi="Calibri" w:cs="Times New Roman"/>
          <w:szCs w:val="24"/>
          <w:lang w:eastAsia="hu-HU"/>
        </w:rPr>
        <w:t xml:space="preserve">) </w:t>
      </w:r>
      <w:r w:rsidRPr="00B97972">
        <w:rPr>
          <w:rFonts w:ascii="Calibri" w:hAnsi="Calibri" w:cs="Times New Roman"/>
          <w:szCs w:val="24"/>
          <w:lang w:eastAsia="hu-HU"/>
        </w:rPr>
        <w:tab/>
        <w:t>szerződés szerinti lejárati eltérés</w:t>
      </w:r>
    </w:p>
    <w:p w14:paraId="5F4DCEFF" w14:textId="77777777" w:rsidR="00724FE0" w:rsidRPr="00B97972" w:rsidRDefault="00724FE0" w:rsidP="00724FE0">
      <w:pPr>
        <w:spacing w:line="276" w:lineRule="auto"/>
        <w:ind w:left="1134" w:hanging="414"/>
        <w:rPr>
          <w:rFonts w:ascii="Calibri" w:hAnsi="Calibri" w:cs="Times New Roman"/>
          <w:szCs w:val="24"/>
          <w:lang w:eastAsia="hu-HU"/>
        </w:rPr>
      </w:pPr>
      <w:proofErr w:type="gramStart"/>
      <w:r w:rsidRPr="00B97972">
        <w:rPr>
          <w:rFonts w:ascii="Calibri" w:hAnsi="Calibri" w:cs="Times New Roman"/>
          <w:szCs w:val="24"/>
          <w:lang w:eastAsia="hu-HU"/>
        </w:rPr>
        <w:t>be</w:t>
      </w:r>
      <w:proofErr w:type="gramEnd"/>
      <w:r w:rsidRPr="00B97972">
        <w:rPr>
          <w:rFonts w:ascii="Calibri" w:hAnsi="Calibri" w:cs="Times New Roman"/>
          <w:szCs w:val="24"/>
          <w:lang w:eastAsia="hu-HU"/>
        </w:rPr>
        <w:t xml:space="preserve">)  nem megterhelt eszközök állománya </w:t>
      </w:r>
    </w:p>
    <w:p w14:paraId="470AE7F9" w14:textId="77777777" w:rsidR="00724FE0" w:rsidRPr="00B97972" w:rsidRDefault="00724FE0" w:rsidP="00724FE0">
      <w:pPr>
        <w:spacing w:line="276" w:lineRule="auto"/>
        <w:ind w:left="1134" w:hanging="414"/>
        <w:rPr>
          <w:rFonts w:ascii="Calibri" w:hAnsi="Calibri" w:cs="Times New Roman"/>
          <w:szCs w:val="24"/>
          <w:lang w:eastAsia="hu-HU"/>
        </w:rPr>
      </w:pPr>
    </w:p>
    <w:p w14:paraId="08722569" w14:textId="77777777" w:rsidR="00724FE0" w:rsidRPr="00B97972" w:rsidRDefault="00724FE0" w:rsidP="00724FE0">
      <w:pPr>
        <w:numPr>
          <w:ilvl w:val="0"/>
          <w:numId w:val="38"/>
        </w:numPr>
        <w:spacing w:after="150" w:line="276" w:lineRule="auto"/>
        <w:ind w:left="567" w:hanging="283"/>
        <w:contextualSpacing/>
        <w:rPr>
          <w:rFonts w:ascii="Calibri" w:hAnsi="Calibri" w:cs="Times New Roman"/>
          <w:szCs w:val="24"/>
          <w:lang w:eastAsia="hu-HU"/>
        </w:rPr>
      </w:pPr>
      <w:r w:rsidRPr="00B97972">
        <w:rPr>
          <w:rFonts w:ascii="Calibri" w:hAnsi="Calibri" w:cs="Times New Roman"/>
          <w:szCs w:val="24"/>
          <w:lang w:eastAsia="hu-HU"/>
        </w:rPr>
        <w:t>jövedelmezőségi indikátorok</w:t>
      </w:r>
    </w:p>
    <w:p w14:paraId="1E11DA7B"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ca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költség/</w:t>
      </w:r>
      <w:proofErr w:type="gramStart"/>
      <w:r w:rsidRPr="00B97972">
        <w:rPr>
          <w:rFonts w:ascii="Calibri" w:hAnsi="Calibri" w:cs="Times New Roman"/>
          <w:szCs w:val="24"/>
          <w:lang w:eastAsia="hu-HU"/>
        </w:rPr>
        <w:t>bevétel mutató</w:t>
      </w:r>
      <w:proofErr w:type="gramEnd"/>
      <w:r w:rsidRPr="00B97972">
        <w:rPr>
          <w:rFonts w:ascii="Calibri" w:hAnsi="Calibri" w:cs="Times New Roman"/>
          <w:szCs w:val="24"/>
          <w:lang w:eastAsia="hu-HU"/>
        </w:rPr>
        <w:t xml:space="preserve"> (működési költségek/működési bevételek)</w:t>
      </w:r>
    </w:p>
    <w:p w14:paraId="2DF7500A"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cb</w:t>
      </w:r>
      <w:proofErr w:type="spellEnd"/>
      <w:r w:rsidRPr="00B97972">
        <w:rPr>
          <w:rFonts w:ascii="Calibri" w:hAnsi="Calibri" w:cs="Times New Roman"/>
          <w:szCs w:val="24"/>
          <w:lang w:eastAsia="hu-HU"/>
        </w:rPr>
        <w:t xml:space="preserve">) </w:t>
      </w:r>
      <w:r w:rsidRPr="00B97972">
        <w:rPr>
          <w:rFonts w:ascii="Calibri" w:hAnsi="Calibri" w:cs="Times New Roman"/>
          <w:szCs w:val="24"/>
          <w:lang w:eastAsia="hu-HU"/>
        </w:rPr>
        <w:tab/>
        <w:t xml:space="preserve">nettó </w:t>
      </w:r>
      <w:proofErr w:type="spellStart"/>
      <w:r w:rsidRPr="00B97972">
        <w:rPr>
          <w:rFonts w:ascii="Calibri" w:hAnsi="Calibri" w:cs="Times New Roman"/>
          <w:szCs w:val="24"/>
          <w:lang w:eastAsia="hu-HU"/>
        </w:rPr>
        <w:t>kamatmarzs</w:t>
      </w:r>
      <w:proofErr w:type="spellEnd"/>
    </w:p>
    <w:p w14:paraId="03C661AF" w14:textId="77777777" w:rsidR="00724FE0" w:rsidRPr="00B97972" w:rsidRDefault="00724FE0" w:rsidP="00724FE0">
      <w:pPr>
        <w:spacing w:line="276" w:lineRule="auto"/>
        <w:ind w:left="1134" w:hanging="414"/>
        <w:rPr>
          <w:rFonts w:ascii="Calibri" w:hAnsi="Calibri" w:cs="Times New Roman"/>
          <w:szCs w:val="24"/>
          <w:lang w:eastAsia="hu-HU"/>
        </w:rPr>
      </w:pPr>
    </w:p>
    <w:p w14:paraId="6C9E2614" w14:textId="77777777" w:rsidR="00724FE0" w:rsidRPr="00B97972" w:rsidRDefault="00724FE0" w:rsidP="00724FE0">
      <w:pPr>
        <w:numPr>
          <w:ilvl w:val="0"/>
          <w:numId w:val="38"/>
        </w:numPr>
        <w:spacing w:after="150" w:line="276" w:lineRule="auto"/>
        <w:ind w:left="567" w:hanging="283"/>
        <w:contextualSpacing/>
        <w:rPr>
          <w:rFonts w:ascii="Calibri" w:hAnsi="Calibri" w:cs="Times New Roman"/>
          <w:szCs w:val="24"/>
          <w:lang w:eastAsia="hu-HU"/>
        </w:rPr>
      </w:pPr>
      <w:r w:rsidRPr="00B97972">
        <w:rPr>
          <w:rFonts w:ascii="Calibri" w:hAnsi="Calibri" w:cs="Times New Roman"/>
          <w:szCs w:val="24"/>
          <w:lang w:eastAsia="hu-HU"/>
        </w:rPr>
        <w:t>eszközminőség indikátorok</w:t>
      </w:r>
    </w:p>
    <w:p w14:paraId="0A27AD41" w14:textId="77777777" w:rsidR="00724FE0" w:rsidRPr="00B97972" w:rsidRDefault="00724FE0" w:rsidP="00724FE0">
      <w:pPr>
        <w:spacing w:line="276" w:lineRule="auto"/>
        <w:ind w:left="1134" w:hanging="414"/>
        <w:rPr>
          <w:rFonts w:ascii="Calibri" w:hAnsi="Calibri" w:cs="Times New Roman"/>
          <w:szCs w:val="24"/>
          <w:lang w:eastAsia="hu-HU"/>
        </w:rPr>
      </w:pPr>
      <w:r w:rsidRPr="00B97972">
        <w:rPr>
          <w:rFonts w:ascii="Calibri" w:hAnsi="Calibri" w:cs="Times New Roman"/>
          <w:szCs w:val="24"/>
          <w:lang w:eastAsia="hu-HU"/>
        </w:rPr>
        <w:t>da)</w:t>
      </w:r>
      <w:r w:rsidRPr="00B97972">
        <w:rPr>
          <w:rFonts w:ascii="Calibri" w:hAnsi="Calibri" w:cs="Times New Roman"/>
          <w:szCs w:val="24"/>
          <w:lang w:eastAsia="hu-HU"/>
        </w:rPr>
        <w:tab/>
        <w:t>nem teljesítő hitelek nettó állománya/ saját tőke</w:t>
      </w:r>
    </w:p>
    <w:p w14:paraId="2F2E3DF4" w14:textId="77777777" w:rsidR="00724FE0" w:rsidRPr="00B97972" w:rsidRDefault="00724FE0" w:rsidP="00724FE0">
      <w:pPr>
        <w:spacing w:line="276" w:lineRule="auto"/>
        <w:ind w:left="1134" w:hanging="414"/>
        <w:rPr>
          <w:rFonts w:ascii="Calibri" w:hAnsi="Calibri" w:cs="Times New Roman"/>
          <w:szCs w:val="24"/>
          <w:lang w:eastAsia="hu-HU"/>
        </w:rPr>
      </w:pPr>
      <w:proofErr w:type="gramStart"/>
      <w:r w:rsidRPr="00B97972">
        <w:rPr>
          <w:rFonts w:ascii="Calibri" w:hAnsi="Calibri" w:cs="Times New Roman"/>
          <w:szCs w:val="24"/>
          <w:lang w:eastAsia="hu-HU"/>
        </w:rPr>
        <w:t>db</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értékvesztés állományának éves növekedési üteme</w:t>
      </w:r>
    </w:p>
    <w:p w14:paraId="1C0B7AFB"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d</w:t>
      </w:r>
      <w:r>
        <w:rPr>
          <w:rFonts w:ascii="Calibri" w:hAnsi="Calibri" w:cs="Times New Roman"/>
          <w:szCs w:val="24"/>
          <w:lang w:eastAsia="hu-HU"/>
        </w:rPr>
        <w:t>c</w:t>
      </w:r>
      <w:proofErr w:type="spellEnd"/>
      <w:r w:rsidRPr="00B97972">
        <w:rPr>
          <w:rFonts w:ascii="Calibri" w:hAnsi="Calibri" w:cs="Times New Roman"/>
          <w:szCs w:val="24"/>
          <w:lang w:eastAsia="hu-HU"/>
        </w:rPr>
        <w:t xml:space="preserve">) </w:t>
      </w:r>
      <w:r w:rsidRPr="00B97972">
        <w:rPr>
          <w:rFonts w:ascii="Calibri" w:hAnsi="Calibri" w:cs="Times New Roman"/>
          <w:szCs w:val="24"/>
          <w:lang w:eastAsia="hu-HU"/>
        </w:rPr>
        <w:tab/>
        <w:t>nem teljesítő hitelek jelentős földrajzi vagy ágazati koncentráció szerint</w:t>
      </w:r>
    </w:p>
    <w:p w14:paraId="7F79B1A4"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d</w:t>
      </w:r>
      <w:r>
        <w:rPr>
          <w:rFonts w:ascii="Calibri" w:hAnsi="Calibri" w:cs="Times New Roman"/>
          <w:szCs w:val="24"/>
          <w:lang w:eastAsia="hu-HU"/>
        </w:rPr>
        <w:t>d</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r>
      <w:proofErr w:type="spellStart"/>
      <w:r w:rsidRPr="00B97972">
        <w:rPr>
          <w:rFonts w:ascii="Calibri" w:hAnsi="Calibri" w:cs="Times New Roman"/>
          <w:szCs w:val="24"/>
          <w:lang w:eastAsia="hu-HU"/>
        </w:rPr>
        <w:t>átsrukturált</w:t>
      </w:r>
      <w:proofErr w:type="spellEnd"/>
      <w:r w:rsidRPr="00B97972">
        <w:rPr>
          <w:rFonts w:ascii="Calibri" w:hAnsi="Calibri" w:cs="Times New Roman"/>
          <w:szCs w:val="24"/>
          <w:lang w:eastAsia="hu-HU"/>
        </w:rPr>
        <w:t xml:space="preserve"> (</w:t>
      </w:r>
      <w:proofErr w:type="spellStart"/>
      <w:r w:rsidRPr="00B97972">
        <w:rPr>
          <w:rFonts w:ascii="Calibri" w:hAnsi="Calibri" w:cs="Times New Roman"/>
          <w:szCs w:val="24"/>
          <w:lang w:eastAsia="hu-HU"/>
        </w:rPr>
        <w:t>foreborne</w:t>
      </w:r>
      <w:proofErr w:type="spellEnd"/>
      <w:r w:rsidRPr="00B97972">
        <w:rPr>
          <w:rFonts w:ascii="Calibri" w:hAnsi="Calibri" w:cs="Times New Roman"/>
          <w:szCs w:val="24"/>
          <w:lang w:eastAsia="hu-HU"/>
        </w:rPr>
        <w:t>)</w:t>
      </w:r>
      <w:r w:rsidRPr="00B97972">
        <w:rPr>
          <w:rFonts w:ascii="Calibri" w:hAnsi="Calibri" w:cs="Times New Roman"/>
          <w:szCs w:val="24"/>
          <w:vertAlign w:val="superscript"/>
          <w:lang w:eastAsia="hu-HU"/>
        </w:rPr>
        <w:footnoteReference w:id="14"/>
      </w:r>
      <w:r w:rsidRPr="00B97972">
        <w:rPr>
          <w:rFonts w:ascii="Calibri" w:hAnsi="Calibri" w:cs="Times New Roman"/>
          <w:szCs w:val="24"/>
          <w:lang w:eastAsia="hu-HU"/>
        </w:rPr>
        <w:t xml:space="preserve"> kitettségek/összes kitettség</w:t>
      </w:r>
    </w:p>
    <w:p w14:paraId="7AA0E533" w14:textId="77777777" w:rsidR="00724FE0" w:rsidRPr="00B97972" w:rsidRDefault="00724FE0" w:rsidP="00724FE0">
      <w:pPr>
        <w:spacing w:after="150" w:line="276" w:lineRule="auto"/>
        <w:rPr>
          <w:rFonts w:ascii="Calibri" w:hAnsi="Calibri" w:cs="Times New Roman"/>
          <w:szCs w:val="24"/>
          <w:lang w:eastAsia="hu-HU"/>
        </w:rPr>
      </w:pPr>
    </w:p>
    <w:p w14:paraId="0985C2DA" w14:textId="77777777" w:rsidR="00724FE0" w:rsidRPr="00B97972" w:rsidRDefault="00724FE0" w:rsidP="00724FE0">
      <w:pPr>
        <w:spacing w:after="150" w:line="276" w:lineRule="auto"/>
        <w:rPr>
          <w:rFonts w:ascii="Calibri" w:hAnsi="Calibri" w:cs="Times New Roman"/>
          <w:szCs w:val="24"/>
          <w:lang w:eastAsia="hu-HU"/>
        </w:rPr>
      </w:pPr>
      <w:r w:rsidRPr="00B97972">
        <w:rPr>
          <w:rFonts w:ascii="Calibri" w:hAnsi="Calibri" w:cs="Times New Roman"/>
          <w:szCs w:val="24"/>
          <w:lang w:eastAsia="hu-HU"/>
        </w:rPr>
        <w:t xml:space="preserve">Figyelem felhívó indikátorok: </w:t>
      </w:r>
    </w:p>
    <w:p w14:paraId="6B90D945" w14:textId="77777777" w:rsidR="00724FE0" w:rsidRPr="00B97972" w:rsidRDefault="00724FE0" w:rsidP="00724FE0">
      <w:pPr>
        <w:numPr>
          <w:ilvl w:val="0"/>
          <w:numId w:val="39"/>
        </w:numPr>
        <w:spacing w:after="150" w:line="276" w:lineRule="auto"/>
        <w:ind w:left="567" w:hanging="283"/>
        <w:contextualSpacing/>
        <w:rPr>
          <w:rFonts w:ascii="Calibri" w:hAnsi="Calibri" w:cs="Times New Roman"/>
          <w:szCs w:val="24"/>
          <w:lang w:eastAsia="hu-HU"/>
        </w:rPr>
      </w:pPr>
      <w:r w:rsidRPr="00B97972">
        <w:rPr>
          <w:rFonts w:ascii="Calibri" w:hAnsi="Calibri" w:cs="Times New Roman"/>
          <w:szCs w:val="24"/>
          <w:lang w:eastAsia="hu-HU"/>
        </w:rPr>
        <w:t>piaci indikátorok</w:t>
      </w:r>
    </w:p>
    <w:p w14:paraId="2EEC0F1F"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aa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részvény árfolyam/könyv szerinti érték</w:t>
      </w:r>
    </w:p>
    <w:p w14:paraId="310CF732" w14:textId="77777777" w:rsidR="00724FE0" w:rsidRPr="00B97972" w:rsidRDefault="00724FE0" w:rsidP="00724FE0">
      <w:pPr>
        <w:spacing w:line="276" w:lineRule="auto"/>
        <w:ind w:left="1134" w:hanging="414"/>
        <w:rPr>
          <w:rFonts w:ascii="Calibri" w:hAnsi="Calibri" w:cs="Times New Roman"/>
          <w:szCs w:val="24"/>
          <w:lang w:eastAsia="hu-HU"/>
        </w:rPr>
      </w:pPr>
      <w:proofErr w:type="gramStart"/>
      <w:r w:rsidRPr="00B97972">
        <w:rPr>
          <w:rFonts w:ascii="Calibri" w:hAnsi="Calibri" w:cs="Times New Roman"/>
          <w:szCs w:val="24"/>
          <w:lang w:eastAsia="hu-HU"/>
        </w:rPr>
        <w:t>ab</w:t>
      </w:r>
      <w:proofErr w:type="gramEnd"/>
      <w:r w:rsidRPr="00B97972">
        <w:rPr>
          <w:rFonts w:ascii="Calibri" w:hAnsi="Calibri" w:cs="Times New Roman"/>
          <w:szCs w:val="24"/>
          <w:lang w:eastAsia="hu-HU"/>
        </w:rPr>
        <w:t>)</w:t>
      </w:r>
      <w:r w:rsidRPr="00B97972">
        <w:rPr>
          <w:rFonts w:ascii="Calibri" w:hAnsi="Calibri" w:cs="Times New Roman"/>
          <w:szCs w:val="24"/>
          <w:lang w:eastAsia="hu-HU"/>
        </w:rPr>
        <w:tab/>
        <w:t xml:space="preserve">az intézmény hírnevét érintő fenyegetés, jelentős reputációs kár </w:t>
      </w:r>
    </w:p>
    <w:p w14:paraId="59741852" w14:textId="77777777" w:rsidR="00724FE0" w:rsidRPr="00B97972" w:rsidRDefault="00724FE0" w:rsidP="00724FE0">
      <w:pPr>
        <w:spacing w:line="276" w:lineRule="auto"/>
        <w:ind w:left="1134" w:hanging="414"/>
        <w:rPr>
          <w:rFonts w:ascii="Calibri" w:hAnsi="Calibri" w:cs="Times New Roman"/>
          <w:szCs w:val="24"/>
          <w:lang w:eastAsia="hu-HU"/>
        </w:rPr>
      </w:pPr>
    </w:p>
    <w:p w14:paraId="55D5F5DA" w14:textId="77777777" w:rsidR="00724FE0" w:rsidRPr="00B97972" w:rsidRDefault="00724FE0" w:rsidP="00724FE0">
      <w:pPr>
        <w:numPr>
          <w:ilvl w:val="0"/>
          <w:numId w:val="39"/>
        </w:numPr>
        <w:spacing w:after="150" w:line="276" w:lineRule="auto"/>
        <w:ind w:left="567" w:hanging="283"/>
        <w:contextualSpacing/>
        <w:rPr>
          <w:rFonts w:ascii="Calibri" w:hAnsi="Calibri" w:cs="Times New Roman"/>
          <w:szCs w:val="24"/>
          <w:lang w:eastAsia="hu-HU"/>
        </w:rPr>
      </w:pPr>
      <w:r w:rsidRPr="00B97972">
        <w:rPr>
          <w:rFonts w:ascii="Calibri" w:hAnsi="Calibri" w:cs="Times New Roman"/>
          <w:szCs w:val="24"/>
          <w:lang w:eastAsia="hu-HU"/>
        </w:rPr>
        <w:t>makrogazdasági indikátorok</w:t>
      </w:r>
    </w:p>
    <w:p w14:paraId="0C4593E6" w14:textId="77777777" w:rsidR="00724FE0" w:rsidRPr="00B97972" w:rsidRDefault="00724FE0" w:rsidP="00724FE0">
      <w:pPr>
        <w:spacing w:line="276" w:lineRule="auto"/>
        <w:ind w:left="1134" w:hanging="414"/>
        <w:rPr>
          <w:rFonts w:ascii="Calibri" w:hAnsi="Calibri" w:cs="Times New Roman"/>
          <w:szCs w:val="24"/>
          <w:lang w:eastAsia="hu-HU"/>
        </w:rPr>
      </w:pPr>
      <w:proofErr w:type="spellStart"/>
      <w:r w:rsidRPr="00B97972">
        <w:rPr>
          <w:rFonts w:ascii="Calibri" w:hAnsi="Calibri" w:cs="Times New Roman"/>
          <w:szCs w:val="24"/>
          <w:lang w:eastAsia="hu-HU"/>
        </w:rPr>
        <w:t>ba</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a székhely szerinti ország vagy valamely más, az intézmény tevékenysége szempontjából meghatározó más ország hitelminősítésének negatív kihatású felülvizsgálata, vagy leminősítés</w:t>
      </w:r>
    </w:p>
    <w:p w14:paraId="6447A104" w14:textId="77777777" w:rsidR="00724FE0" w:rsidRPr="00B97972" w:rsidRDefault="00724FE0" w:rsidP="00724FE0">
      <w:pPr>
        <w:spacing w:line="276" w:lineRule="auto"/>
        <w:ind w:left="1134" w:hanging="414"/>
        <w:rPr>
          <w:rFonts w:ascii="Calibri" w:hAnsi="Calibri" w:cs="Times New Roman"/>
          <w:b/>
          <w:szCs w:val="24"/>
          <w:lang w:eastAsia="hu-HU"/>
        </w:rPr>
      </w:pPr>
      <w:proofErr w:type="spellStart"/>
      <w:r w:rsidRPr="00B97972">
        <w:rPr>
          <w:rFonts w:ascii="Calibri" w:hAnsi="Calibri" w:cs="Times New Roman"/>
          <w:szCs w:val="24"/>
          <w:lang w:eastAsia="hu-HU"/>
        </w:rPr>
        <w:t>bb</w:t>
      </w:r>
      <w:proofErr w:type="spellEnd"/>
      <w:r w:rsidRPr="00B97972">
        <w:rPr>
          <w:rFonts w:ascii="Calibri" w:hAnsi="Calibri" w:cs="Times New Roman"/>
          <w:szCs w:val="24"/>
          <w:lang w:eastAsia="hu-HU"/>
        </w:rPr>
        <w:t>)</w:t>
      </w:r>
      <w:r w:rsidRPr="00B97972">
        <w:rPr>
          <w:rFonts w:ascii="Calibri" w:hAnsi="Calibri" w:cs="Times New Roman"/>
          <w:szCs w:val="24"/>
          <w:lang w:eastAsia="hu-HU"/>
        </w:rPr>
        <w:tab/>
        <w:t>munkanélküliségi ráta</w:t>
      </w:r>
      <w:r w:rsidRPr="00B97972">
        <w:rPr>
          <w:rFonts w:ascii="Calibri" w:hAnsi="Calibri" w:cs="Times New Roman"/>
          <w:b/>
          <w:szCs w:val="24"/>
          <w:lang w:eastAsia="hu-HU"/>
        </w:rPr>
        <w:br w:type="page"/>
      </w:r>
    </w:p>
    <w:p w14:paraId="2AF8F4B7" w14:textId="5777E1E2" w:rsidR="00724FE0" w:rsidRPr="00B97972" w:rsidRDefault="00655D81" w:rsidP="00724FE0">
      <w:pPr>
        <w:spacing w:after="150" w:line="276" w:lineRule="auto"/>
        <w:ind w:left="720"/>
        <w:jc w:val="right"/>
        <w:rPr>
          <w:rFonts w:ascii="Calibri" w:hAnsi="Calibri" w:cs="Times New Roman"/>
          <w:b/>
          <w:szCs w:val="24"/>
          <w:lang w:eastAsia="hu-HU"/>
        </w:rPr>
      </w:pPr>
      <w:r>
        <w:rPr>
          <w:rFonts w:ascii="Calibri" w:hAnsi="Calibri" w:cs="Times New Roman"/>
          <w:b/>
          <w:szCs w:val="24"/>
          <w:lang w:eastAsia="hu-HU"/>
        </w:rPr>
        <w:lastRenderedPageBreak/>
        <w:t>3. melléklet a 2</w:t>
      </w:r>
      <w:r w:rsidR="00976365">
        <w:rPr>
          <w:rFonts w:ascii="Calibri" w:hAnsi="Calibri" w:cs="Times New Roman"/>
          <w:b/>
          <w:szCs w:val="24"/>
          <w:lang w:eastAsia="hu-HU"/>
        </w:rPr>
        <w:t>/20</w:t>
      </w:r>
      <w:r w:rsidR="003975D2">
        <w:rPr>
          <w:rFonts w:ascii="Calibri" w:hAnsi="Calibri" w:cs="Times New Roman"/>
          <w:b/>
          <w:szCs w:val="24"/>
          <w:lang w:eastAsia="hu-HU"/>
        </w:rPr>
        <w:t>16. (</w:t>
      </w:r>
      <w:proofErr w:type="spellStart"/>
      <w:r w:rsidR="003975D2">
        <w:rPr>
          <w:rFonts w:ascii="Calibri" w:hAnsi="Calibri" w:cs="Times New Roman"/>
          <w:b/>
          <w:szCs w:val="24"/>
          <w:lang w:eastAsia="hu-HU"/>
        </w:rPr>
        <w:t>IV</w:t>
      </w:r>
      <w:proofErr w:type="spellEnd"/>
      <w:r w:rsidR="003975D2">
        <w:rPr>
          <w:rFonts w:ascii="Calibri" w:hAnsi="Calibri" w:cs="Times New Roman"/>
          <w:b/>
          <w:szCs w:val="24"/>
          <w:lang w:eastAsia="hu-HU"/>
        </w:rPr>
        <w:t>. 25</w:t>
      </w:r>
      <w:bookmarkStart w:id="2" w:name="_GoBack"/>
      <w:bookmarkEnd w:id="2"/>
      <w:r w:rsidR="00976365">
        <w:rPr>
          <w:rFonts w:ascii="Calibri" w:hAnsi="Calibri" w:cs="Times New Roman"/>
          <w:b/>
          <w:szCs w:val="24"/>
          <w:lang w:eastAsia="hu-HU"/>
        </w:rPr>
        <w:t>.</w:t>
      </w:r>
      <w:r w:rsidR="00724FE0" w:rsidRPr="00B97972">
        <w:rPr>
          <w:rFonts w:ascii="Calibri" w:hAnsi="Calibri" w:cs="Times New Roman"/>
          <w:b/>
          <w:szCs w:val="24"/>
          <w:lang w:eastAsia="hu-HU"/>
        </w:rPr>
        <w:t>) számú MNB ajánláshoz</w:t>
      </w:r>
    </w:p>
    <w:p w14:paraId="2BD0D74A" w14:textId="77777777" w:rsidR="00724FE0" w:rsidRPr="00B97972" w:rsidRDefault="00724FE0" w:rsidP="00724FE0">
      <w:pPr>
        <w:spacing w:after="150" w:line="276" w:lineRule="auto"/>
        <w:rPr>
          <w:rFonts w:ascii="Calibri" w:hAnsi="Calibri" w:cs="Times New Roman"/>
          <w:sz w:val="20"/>
          <w:lang w:eastAsia="hu-HU"/>
        </w:rPr>
      </w:pPr>
    </w:p>
    <w:bookmarkStart w:id="3" w:name="_MON_1515390696"/>
    <w:bookmarkEnd w:id="3"/>
    <w:p w14:paraId="05DFFE50" w14:textId="77777777" w:rsidR="00724FE0" w:rsidRPr="00B97972" w:rsidRDefault="00724FE0" w:rsidP="00724FE0">
      <w:pPr>
        <w:spacing w:after="150" w:line="276" w:lineRule="auto"/>
        <w:rPr>
          <w:rFonts w:ascii="Calibri" w:hAnsi="Calibri" w:cs="Times New Roman"/>
          <w:sz w:val="20"/>
          <w:lang w:eastAsia="hu-HU"/>
        </w:rPr>
      </w:pPr>
      <w:r w:rsidRPr="009D22AD">
        <w:rPr>
          <w:rFonts w:ascii="Calibri" w:hAnsi="Calibri" w:cs="Times New Roman"/>
          <w:sz w:val="20"/>
          <w:lang w:eastAsia="hu-HU"/>
        </w:rPr>
        <w:object w:dxaOrig="1550" w:dyaOrig="991" w14:anchorId="1A247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8" o:title=""/>
          </v:shape>
          <o:OLEObject Type="Embed" ProgID="Excel.Sheet.12" ShapeID="_x0000_i1025" DrawAspect="Icon" ObjectID="_1523095744" r:id="rId9"/>
        </w:object>
      </w:r>
    </w:p>
    <w:bookmarkEnd w:id="0"/>
    <w:p w14:paraId="7D2C0106" w14:textId="77777777" w:rsidR="005840DD" w:rsidRDefault="005840DD" w:rsidP="005840DD">
      <w:pPr>
        <w:tabs>
          <w:tab w:val="left" w:pos="3828"/>
        </w:tabs>
        <w:jc w:val="right"/>
        <w:rPr>
          <w:rFonts w:ascii="Calibri" w:hAnsi="Calibri"/>
          <w:b/>
          <w:caps/>
          <w:szCs w:val="24"/>
        </w:rPr>
      </w:pPr>
    </w:p>
    <w:p w14:paraId="1FA397D9" w14:textId="77777777" w:rsidR="00950CC0" w:rsidRDefault="00950CC0" w:rsidP="00950CC0">
      <w:pPr>
        <w:tabs>
          <w:tab w:val="left" w:pos="3828"/>
        </w:tabs>
        <w:jc w:val="left"/>
        <w:rPr>
          <w:rFonts w:ascii="Calibri" w:hAnsi="Calibri"/>
          <w:b/>
          <w:caps/>
          <w:szCs w:val="24"/>
        </w:rPr>
      </w:pPr>
      <w:bookmarkStart w:id="4" w:name="HUMANSOFTdatumHUN"/>
      <w:bookmarkEnd w:id="4"/>
    </w:p>
    <w:p w14:paraId="38EE4C0D" w14:textId="77777777" w:rsidR="00950CC0" w:rsidRPr="00F30B7E" w:rsidRDefault="00950CC0" w:rsidP="00950CC0">
      <w:pPr>
        <w:tabs>
          <w:tab w:val="left" w:pos="3828"/>
        </w:tabs>
        <w:jc w:val="left"/>
        <w:rPr>
          <w:rFonts w:ascii="Calibri" w:hAnsi="Calibri"/>
          <w:b/>
          <w:caps/>
          <w:szCs w:val="24"/>
        </w:rPr>
      </w:pPr>
      <w:bookmarkStart w:id="5" w:name="HUMANSOFTiktatoszam"/>
      <w:bookmarkEnd w:id="5"/>
    </w:p>
    <w:sectPr w:rsidR="00950CC0" w:rsidRPr="00F30B7E" w:rsidSect="00C52E1E">
      <w:footerReference w:type="even" r:id="rId10"/>
      <w:footerReference w:type="default" r:id="rId11"/>
      <w:pgSz w:w="11906" w:h="16838"/>
      <w:pgMar w:top="1560" w:right="1417" w:bottom="1276" w:left="1417" w:header="708" w:footer="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024AB" w14:textId="77777777" w:rsidR="007B6616" w:rsidRDefault="007B6616" w:rsidP="00BD65F3">
      <w:r>
        <w:separator/>
      </w:r>
    </w:p>
  </w:endnote>
  <w:endnote w:type="continuationSeparator" w:id="0">
    <w:p w14:paraId="4B9AE4D2" w14:textId="77777777" w:rsidR="007B6616" w:rsidRDefault="007B6616" w:rsidP="00BD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F21A" w14:textId="77777777" w:rsidR="007B6616" w:rsidRDefault="007B66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433B8" w14:textId="77777777" w:rsidR="007B6616" w:rsidRPr="00BB1F5F" w:rsidRDefault="007B6616">
    <w:pPr>
      <w:pStyle w:val="Footer"/>
      <w:jc w:val="right"/>
      <w:rPr>
        <w:rFonts w:ascii="Calibri" w:hAnsi="Calibri"/>
        <w:sz w:val="18"/>
        <w:szCs w:val="18"/>
      </w:rPr>
    </w:pPr>
    <w:r w:rsidRPr="00BB1F5F">
      <w:rPr>
        <w:rFonts w:ascii="Calibri" w:hAnsi="Calibri"/>
        <w:sz w:val="18"/>
        <w:szCs w:val="18"/>
      </w:rPr>
      <w:fldChar w:fldCharType="begin"/>
    </w:r>
    <w:r w:rsidRPr="00BB1F5F">
      <w:rPr>
        <w:rFonts w:ascii="Calibri" w:hAnsi="Calibri"/>
        <w:sz w:val="18"/>
        <w:szCs w:val="18"/>
      </w:rPr>
      <w:instrText>PAGE   \* MERGEFORMAT</w:instrText>
    </w:r>
    <w:r w:rsidRPr="00BB1F5F">
      <w:rPr>
        <w:rFonts w:ascii="Calibri" w:hAnsi="Calibri"/>
        <w:sz w:val="18"/>
        <w:szCs w:val="18"/>
      </w:rPr>
      <w:fldChar w:fldCharType="separate"/>
    </w:r>
    <w:r w:rsidR="003975D2">
      <w:rPr>
        <w:rFonts w:ascii="Calibri" w:hAnsi="Calibri"/>
        <w:noProof/>
        <w:sz w:val="18"/>
        <w:szCs w:val="18"/>
      </w:rPr>
      <w:t>24</w:t>
    </w:r>
    <w:r w:rsidRPr="00BB1F5F">
      <w:rPr>
        <w:rFonts w:ascii="Calibri" w:hAnsi="Calibri"/>
        <w:sz w:val="18"/>
        <w:szCs w:val="18"/>
      </w:rPr>
      <w:fldChar w:fldCharType="end"/>
    </w:r>
  </w:p>
  <w:p w14:paraId="1850FCAD" w14:textId="77777777" w:rsidR="007B6616" w:rsidRDefault="007B6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F13C6" w14:textId="77777777" w:rsidR="007B6616" w:rsidRDefault="007B6616" w:rsidP="00BD65F3">
      <w:r>
        <w:separator/>
      </w:r>
    </w:p>
  </w:footnote>
  <w:footnote w:type="continuationSeparator" w:id="0">
    <w:p w14:paraId="52B8D276" w14:textId="77777777" w:rsidR="007B6616" w:rsidRDefault="007B6616" w:rsidP="00BD65F3">
      <w:r>
        <w:continuationSeparator/>
      </w:r>
    </w:p>
  </w:footnote>
  <w:footnote w:id="1">
    <w:p w14:paraId="156BB865" w14:textId="77777777" w:rsidR="007B6616" w:rsidRPr="00B97972" w:rsidRDefault="007B6616" w:rsidP="00724FE0">
      <w:pPr>
        <w:pStyle w:val="Default"/>
        <w:jc w:val="both"/>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w:t>
      </w:r>
      <w:r>
        <w:rPr>
          <w:rFonts w:asciiTheme="minorHAnsi" w:hAnsiTheme="minorHAnsi" w:cstheme="minorBidi"/>
          <w:color w:val="auto"/>
          <w:sz w:val="18"/>
          <w:szCs w:val="18"/>
        </w:rPr>
        <w:t>A</w:t>
      </w:r>
      <w:r w:rsidRPr="00B97972">
        <w:rPr>
          <w:rFonts w:asciiTheme="minorHAnsi" w:hAnsiTheme="minorHAnsi" w:cstheme="minorBidi"/>
          <w:color w:val="auto"/>
          <w:sz w:val="18"/>
          <w:szCs w:val="18"/>
        </w:rPr>
        <w:t xml:space="preserve"> hitelintézetek tevékenységéhez való hozzáférésről és a hitelintézetek és befektetési vállalkozások </w:t>
      </w:r>
      <w:proofErr w:type="spellStart"/>
      <w:r w:rsidRPr="00B97972">
        <w:rPr>
          <w:rFonts w:asciiTheme="minorHAnsi" w:hAnsiTheme="minorHAnsi" w:cstheme="minorBidi"/>
          <w:color w:val="auto"/>
          <w:sz w:val="18"/>
          <w:szCs w:val="18"/>
        </w:rPr>
        <w:t>prudenciális</w:t>
      </w:r>
      <w:proofErr w:type="spellEnd"/>
      <w:r w:rsidRPr="00B97972">
        <w:rPr>
          <w:rFonts w:asciiTheme="minorHAnsi" w:hAnsiTheme="minorHAnsi" w:cstheme="minorBidi"/>
          <w:color w:val="auto"/>
          <w:sz w:val="18"/>
          <w:szCs w:val="18"/>
        </w:rPr>
        <w:t xml:space="preserve"> felügyeletéről, a 2002/87/EK irányelv módosításáról, a 2006/48/EK és a 2006/49/EK irányelv hatályon kívül helyezéséről szóló 2013. június 26-i 2013/36/EU európai parlamenti és tanácsi irányelv (a továbbiakban: </w:t>
      </w:r>
      <w:proofErr w:type="spellStart"/>
      <w:r w:rsidRPr="00B97972">
        <w:rPr>
          <w:rFonts w:asciiTheme="minorHAnsi" w:hAnsiTheme="minorHAnsi" w:cstheme="minorBidi"/>
          <w:color w:val="auto"/>
          <w:sz w:val="18"/>
          <w:szCs w:val="18"/>
        </w:rPr>
        <w:t>CRDIV</w:t>
      </w:r>
      <w:proofErr w:type="spellEnd"/>
      <w:r w:rsidRPr="00B97972">
        <w:rPr>
          <w:rFonts w:asciiTheme="minorHAnsi" w:hAnsiTheme="minorHAnsi" w:cstheme="minorBidi"/>
          <w:color w:val="auto"/>
          <w:sz w:val="18"/>
          <w:szCs w:val="18"/>
        </w:rPr>
        <w:t>)</w:t>
      </w:r>
    </w:p>
  </w:footnote>
  <w:footnote w:id="2">
    <w:p w14:paraId="608DADCA" w14:textId="77777777" w:rsidR="007B6616" w:rsidRPr="00B97972" w:rsidRDefault="007B6616" w:rsidP="00724FE0">
      <w:pPr>
        <w:pStyle w:val="FootnoteText"/>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w:t>
      </w:r>
      <w:proofErr w:type="gramStart"/>
      <w:r>
        <w:rPr>
          <w:rFonts w:asciiTheme="minorHAnsi" w:hAnsiTheme="minorHAnsi"/>
          <w:sz w:val="18"/>
          <w:szCs w:val="18"/>
        </w:rPr>
        <w:t>A</w:t>
      </w:r>
      <w:r w:rsidRPr="00B97972">
        <w:rPr>
          <w:rFonts w:asciiTheme="minorHAnsi" w:hAnsiTheme="minorHAnsi"/>
          <w:sz w:val="18"/>
          <w:szCs w:val="18"/>
        </w:rPr>
        <w:t xml:space="preserve"> hitelintézetek és befektetési vállalkozások </w:t>
      </w:r>
      <w:r w:rsidRPr="00B97972">
        <w:rPr>
          <w:rFonts w:asciiTheme="minorHAnsi" w:eastAsiaTheme="minorHAnsi" w:hAnsiTheme="minorHAnsi"/>
          <w:sz w:val="18"/>
          <w:szCs w:val="18"/>
        </w:rPr>
        <w:t xml:space="preserve">helyreállítását és szanálását célzó keretrendszer létrehozásáról és a 82/891/EGK tanácsi irányelv, a 2001/24/EK, 2002/47/EK, 2004/25/EK, 2005/56/EK, 2007/36/EK, 2011/35/EU, 2012/30/EU és 2013/36/EU irányelv, valamint az 1093/2010/EU és a 648/2012/EU európai parlamenti és tanácsi rendelet módosításáról szóló 2014. május 15-i </w:t>
      </w:r>
      <w:r w:rsidRPr="00B97972">
        <w:rPr>
          <w:rFonts w:asciiTheme="minorHAnsi" w:hAnsiTheme="minorHAnsi"/>
          <w:sz w:val="18"/>
          <w:szCs w:val="18"/>
        </w:rPr>
        <w:t xml:space="preserve">2014/59/EU európai parlamenti és tanács irányelv </w:t>
      </w:r>
      <w:r w:rsidRPr="00B97972">
        <w:rPr>
          <w:rFonts w:asciiTheme="minorHAnsi" w:eastAsiaTheme="minorHAnsi" w:hAnsiTheme="minorHAnsi"/>
          <w:sz w:val="18"/>
          <w:szCs w:val="18"/>
        </w:rPr>
        <w:t xml:space="preserve">(a továbbiakban: </w:t>
      </w:r>
      <w:proofErr w:type="spellStart"/>
      <w:r w:rsidRPr="00B97972">
        <w:rPr>
          <w:rFonts w:asciiTheme="minorHAnsi" w:eastAsiaTheme="minorHAnsi" w:hAnsiTheme="minorHAnsi"/>
          <w:sz w:val="18"/>
          <w:szCs w:val="18"/>
        </w:rPr>
        <w:t>BRRD</w:t>
      </w:r>
      <w:proofErr w:type="spellEnd"/>
      <w:r w:rsidRPr="00B97972">
        <w:rPr>
          <w:rFonts w:asciiTheme="minorHAnsi" w:eastAsiaTheme="minorHAnsi" w:hAnsiTheme="minorHAnsi"/>
          <w:sz w:val="18"/>
          <w:szCs w:val="18"/>
        </w:rPr>
        <w:t>)</w:t>
      </w:r>
      <w:proofErr w:type="gramEnd"/>
    </w:p>
  </w:footnote>
  <w:footnote w:id="3">
    <w:p w14:paraId="365119F1" w14:textId="77777777" w:rsidR="007B6616" w:rsidRPr="00B97972" w:rsidRDefault="007B6616" w:rsidP="00724FE0">
      <w:pPr>
        <w:pStyle w:val="FootnoteText"/>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w:t>
      </w:r>
      <w:proofErr w:type="spellStart"/>
      <w:r w:rsidRPr="00B97972">
        <w:rPr>
          <w:rFonts w:asciiTheme="minorHAnsi" w:hAnsiTheme="minorHAnsi"/>
          <w:sz w:val="18"/>
          <w:szCs w:val="18"/>
        </w:rPr>
        <w:t>EBA</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FINAL</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Draft</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Regulatory</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Technical</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Standards</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on</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the</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content</w:t>
      </w:r>
      <w:proofErr w:type="spellEnd"/>
      <w:r w:rsidRPr="00B97972">
        <w:rPr>
          <w:rFonts w:asciiTheme="minorHAnsi" w:hAnsiTheme="minorHAnsi"/>
          <w:sz w:val="18"/>
          <w:szCs w:val="18"/>
        </w:rPr>
        <w:t xml:space="preserve"> of </w:t>
      </w:r>
      <w:proofErr w:type="spellStart"/>
      <w:r w:rsidRPr="00B97972">
        <w:rPr>
          <w:rFonts w:asciiTheme="minorHAnsi" w:hAnsiTheme="minorHAnsi"/>
          <w:sz w:val="18"/>
          <w:szCs w:val="18"/>
        </w:rPr>
        <w:t>resolution</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plans</w:t>
      </w:r>
      <w:proofErr w:type="spellEnd"/>
      <w:r w:rsidRPr="00B97972">
        <w:rPr>
          <w:rFonts w:asciiTheme="minorHAnsi" w:hAnsiTheme="minorHAnsi"/>
          <w:sz w:val="18"/>
          <w:szCs w:val="18"/>
        </w:rPr>
        <w:t xml:space="preserve"> and </w:t>
      </w:r>
      <w:proofErr w:type="spellStart"/>
      <w:r w:rsidRPr="00B97972">
        <w:rPr>
          <w:rFonts w:asciiTheme="minorHAnsi" w:hAnsiTheme="minorHAnsi"/>
          <w:sz w:val="18"/>
          <w:szCs w:val="18"/>
        </w:rPr>
        <w:t>the</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assessment</w:t>
      </w:r>
      <w:proofErr w:type="spellEnd"/>
      <w:r w:rsidRPr="00B97972">
        <w:rPr>
          <w:rFonts w:asciiTheme="minorHAnsi" w:hAnsiTheme="minorHAnsi"/>
          <w:sz w:val="18"/>
          <w:szCs w:val="18"/>
        </w:rPr>
        <w:t xml:space="preserve"> of </w:t>
      </w:r>
      <w:proofErr w:type="spellStart"/>
      <w:r w:rsidRPr="00B97972">
        <w:rPr>
          <w:rFonts w:asciiTheme="minorHAnsi" w:hAnsiTheme="minorHAnsi"/>
          <w:sz w:val="18"/>
          <w:szCs w:val="18"/>
        </w:rPr>
        <w:t>resolvability</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EBA</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FINAL</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Draft</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Regulatory</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Technical</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Standards</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on</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the</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assessment</w:t>
      </w:r>
      <w:proofErr w:type="spellEnd"/>
      <w:r w:rsidRPr="00B97972">
        <w:rPr>
          <w:rFonts w:asciiTheme="minorHAnsi" w:hAnsiTheme="minorHAnsi"/>
          <w:sz w:val="18"/>
          <w:szCs w:val="18"/>
        </w:rPr>
        <w:t xml:space="preserve"> of </w:t>
      </w:r>
      <w:proofErr w:type="spellStart"/>
      <w:r w:rsidRPr="00B97972">
        <w:rPr>
          <w:rFonts w:asciiTheme="minorHAnsi" w:hAnsiTheme="minorHAnsi"/>
          <w:sz w:val="18"/>
          <w:szCs w:val="18"/>
        </w:rPr>
        <w:t>recovery</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plans</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under</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Article</w:t>
      </w:r>
      <w:proofErr w:type="spellEnd"/>
      <w:r w:rsidRPr="00B97972">
        <w:rPr>
          <w:rFonts w:asciiTheme="minorHAnsi" w:hAnsiTheme="minorHAnsi"/>
          <w:sz w:val="18"/>
          <w:szCs w:val="18"/>
        </w:rPr>
        <w:t xml:space="preserve"> </w:t>
      </w:r>
      <w:proofErr w:type="gramStart"/>
      <w:r w:rsidRPr="00B97972">
        <w:rPr>
          <w:rFonts w:asciiTheme="minorHAnsi" w:hAnsiTheme="minorHAnsi"/>
          <w:sz w:val="18"/>
          <w:szCs w:val="18"/>
        </w:rPr>
        <w:t>6(</w:t>
      </w:r>
      <w:proofErr w:type="gramEnd"/>
      <w:r w:rsidRPr="00B97972">
        <w:rPr>
          <w:rFonts w:asciiTheme="minorHAnsi" w:hAnsiTheme="minorHAnsi"/>
          <w:sz w:val="18"/>
          <w:szCs w:val="18"/>
        </w:rPr>
        <w:t xml:space="preserve">8) of Directive2014/59/EU (Bank </w:t>
      </w:r>
      <w:proofErr w:type="spellStart"/>
      <w:r w:rsidRPr="00B97972">
        <w:rPr>
          <w:rFonts w:asciiTheme="minorHAnsi" w:hAnsiTheme="minorHAnsi"/>
          <w:sz w:val="18"/>
          <w:szCs w:val="18"/>
        </w:rPr>
        <w:t>Recovery</w:t>
      </w:r>
      <w:proofErr w:type="spellEnd"/>
      <w:r w:rsidRPr="00B97972">
        <w:rPr>
          <w:rFonts w:asciiTheme="minorHAnsi" w:hAnsiTheme="minorHAnsi"/>
          <w:sz w:val="18"/>
          <w:szCs w:val="18"/>
        </w:rPr>
        <w:t xml:space="preserve"> and </w:t>
      </w:r>
      <w:proofErr w:type="spellStart"/>
      <w:r w:rsidRPr="00B97972">
        <w:rPr>
          <w:rFonts w:asciiTheme="minorHAnsi" w:hAnsiTheme="minorHAnsi"/>
          <w:sz w:val="18"/>
          <w:szCs w:val="18"/>
        </w:rPr>
        <w:t>Resolution</w:t>
      </w:r>
      <w:proofErr w:type="spellEnd"/>
      <w:r w:rsidRPr="00B97972">
        <w:rPr>
          <w:rFonts w:asciiTheme="minorHAnsi" w:hAnsiTheme="minorHAnsi"/>
          <w:sz w:val="18"/>
          <w:szCs w:val="18"/>
        </w:rPr>
        <w:t xml:space="preserve"> </w:t>
      </w:r>
      <w:proofErr w:type="spellStart"/>
      <w:r w:rsidRPr="00B97972">
        <w:rPr>
          <w:rFonts w:asciiTheme="minorHAnsi" w:hAnsiTheme="minorHAnsi"/>
          <w:sz w:val="18"/>
          <w:szCs w:val="18"/>
        </w:rPr>
        <w:t>Directive</w:t>
      </w:r>
      <w:proofErr w:type="spellEnd"/>
      <w:r w:rsidRPr="00B97972">
        <w:rPr>
          <w:rFonts w:asciiTheme="minorHAnsi" w:hAnsiTheme="minorHAnsi"/>
          <w:sz w:val="18"/>
          <w:szCs w:val="18"/>
        </w:rPr>
        <w:t xml:space="preserve"> – </w:t>
      </w:r>
      <w:proofErr w:type="spellStart"/>
      <w:r w:rsidRPr="00B97972">
        <w:rPr>
          <w:rFonts w:asciiTheme="minorHAnsi" w:hAnsiTheme="minorHAnsi"/>
          <w:sz w:val="18"/>
          <w:szCs w:val="18"/>
        </w:rPr>
        <w:t>BRRD</w:t>
      </w:r>
      <w:proofErr w:type="spellEnd"/>
      <w:r w:rsidRPr="00B97972">
        <w:rPr>
          <w:rFonts w:asciiTheme="minorHAnsi" w:hAnsiTheme="minorHAnsi"/>
          <w:sz w:val="18"/>
          <w:szCs w:val="18"/>
        </w:rPr>
        <w:t>)</w:t>
      </w:r>
    </w:p>
  </w:footnote>
  <w:footnote w:id="4">
    <w:p w14:paraId="605CFA2E" w14:textId="77777777" w:rsidR="007B6616" w:rsidRDefault="007B6616" w:rsidP="00724FE0">
      <w:pPr>
        <w:pStyle w:val="Default"/>
        <w:jc w:val="both"/>
      </w:pPr>
      <w:r w:rsidRPr="00B97972">
        <w:rPr>
          <w:rStyle w:val="FootnoteReference"/>
          <w:rFonts w:asciiTheme="minorHAnsi" w:eastAsiaTheme="minorEastAsia" w:hAnsiTheme="minorHAnsi"/>
          <w:color w:val="auto"/>
          <w:sz w:val="18"/>
          <w:szCs w:val="18"/>
        </w:rPr>
        <w:footnoteRef/>
      </w:r>
      <w:r w:rsidRPr="00B97972">
        <w:rPr>
          <w:rFonts w:asciiTheme="minorHAnsi" w:hAnsiTheme="minorHAnsi"/>
          <w:sz w:val="18"/>
          <w:szCs w:val="18"/>
        </w:rPr>
        <w:t xml:space="preserve"> </w:t>
      </w:r>
      <w:proofErr w:type="spellStart"/>
      <w:r w:rsidRPr="00B97972">
        <w:rPr>
          <w:rFonts w:asciiTheme="minorHAnsi" w:hAnsiTheme="minorHAnsi" w:cstheme="minorBidi"/>
          <w:color w:val="auto"/>
          <w:sz w:val="18"/>
          <w:szCs w:val="18"/>
        </w:rPr>
        <w:t>EBA</w:t>
      </w:r>
      <w:proofErr w:type="spellEnd"/>
      <w:r w:rsidRPr="00B97972">
        <w:rPr>
          <w:rFonts w:asciiTheme="minorHAnsi" w:hAnsiTheme="minorHAnsi" w:cstheme="minorBidi"/>
          <w:color w:val="auto"/>
          <w:sz w:val="18"/>
          <w:szCs w:val="18"/>
        </w:rPr>
        <w:t xml:space="preserve"> </w:t>
      </w:r>
      <w:proofErr w:type="spellStart"/>
      <w:r w:rsidRPr="00B97972">
        <w:rPr>
          <w:rFonts w:asciiTheme="minorHAnsi" w:hAnsiTheme="minorHAnsi" w:cstheme="minorBidi"/>
          <w:color w:val="auto"/>
          <w:sz w:val="18"/>
          <w:szCs w:val="18"/>
        </w:rPr>
        <w:t>Guidelines</w:t>
      </w:r>
      <w:proofErr w:type="spellEnd"/>
      <w:r w:rsidRPr="00B97972">
        <w:rPr>
          <w:rFonts w:asciiTheme="minorHAnsi" w:hAnsiTheme="minorHAnsi" w:cstheme="minorBidi"/>
          <w:color w:val="auto"/>
          <w:sz w:val="18"/>
          <w:szCs w:val="18"/>
        </w:rPr>
        <w:t xml:space="preserve"> </w:t>
      </w:r>
      <w:proofErr w:type="spellStart"/>
      <w:r w:rsidRPr="00B97972">
        <w:rPr>
          <w:rFonts w:asciiTheme="minorHAnsi" w:hAnsiTheme="minorHAnsi" w:cstheme="minorBidi"/>
          <w:color w:val="auto"/>
          <w:sz w:val="18"/>
          <w:szCs w:val="18"/>
        </w:rPr>
        <w:t>on</w:t>
      </w:r>
      <w:proofErr w:type="spellEnd"/>
      <w:r w:rsidRPr="00B97972">
        <w:rPr>
          <w:rFonts w:asciiTheme="minorHAnsi" w:hAnsiTheme="minorHAnsi" w:cstheme="minorBidi"/>
          <w:color w:val="auto"/>
          <w:sz w:val="18"/>
          <w:szCs w:val="18"/>
        </w:rPr>
        <w:t xml:space="preserve"> </w:t>
      </w:r>
      <w:proofErr w:type="spellStart"/>
      <w:r w:rsidRPr="00B97972">
        <w:rPr>
          <w:rFonts w:asciiTheme="minorHAnsi" w:hAnsiTheme="minorHAnsi" w:cstheme="minorBidi"/>
          <w:color w:val="auto"/>
          <w:sz w:val="18"/>
          <w:szCs w:val="18"/>
        </w:rPr>
        <w:t>the</w:t>
      </w:r>
      <w:proofErr w:type="spellEnd"/>
      <w:r w:rsidRPr="00B97972">
        <w:rPr>
          <w:rFonts w:asciiTheme="minorHAnsi" w:hAnsiTheme="minorHAnsi" w:cstheme="minorBidi"/>
          <w:color w:val="auto"/>
          <w:sz w:val="18"/>
          <w:szCs w:val="18"/>
        </w:rPr>
        <w:t xml:space="preserve"> minimum </w:t>
      </w:r>
      <w:proofErr w:type="spellStart"/>
      <w:r w:rsidRPr="00B97972">
        <w:rPr>
          <w:rFonts w:asciiTheme="minorHAnsi" w:hAnsiTheme="minorHAnsi" w:cstheme="minorBidi"/>
          <w:color w:val="auto"/>
          <w:sz w:val="18"/>
          <w:szCs w:val="18"/>
        </w:rPr>
        <w:t>list</w:t>
      </w:r>
      <w:proofErr w:type="spellEnd"/>
      <w:r w:rsidRPr="00B97972">
        <w:rPr>
          <w:rFonts w:asciiTheme="minorHAnsi" w:hAnsiTheme="minorHAnsi" w:cstheme="minorBidi"/>
          <w:color w:val="auto"/>
          <w:sz w:val="18"/>
          <w:szCs w:val="18"/>
        </w:rPr>
        <w:t xml:space="preserve"> of </w:t>
      </w:r>
      <w:proofErr w:type="spellStart"/>
      <w:r w:rsidRPr="00B97972">
        <w:rPr>
          <w:rFonts w:asciiTheme="minorHAnsi" w:hAnsiTheme="minorHAnsi" w:cstheme="minorBidi"/>
          <w:color w:val="auto"/>
          <w:sz w:val="18"/>
          <w:szCs w:val="18"/>
        </w:rPr>
        <w:t>qualitative</w:t>
      </w:r>
      <w:proofErr w:type="spellEnd"/>
      <w:r w:rsidRPr="00B97972">
        <w:rPr>
          <w:rFonts w:asciiTheme="minorHAnsi" w:hAnsiTheme="minorHAnsi" w:cstheme="minorBidi"/>
          <w:color w:val="auto"/>
          <w:sz w:val="18"/>
          <w:szCs w:val="18"/>
        </w:rPr>
        <w:t xml:space="preserve"> and </w:t>
      </w:r>
      <w:proofErr w:type="spellStart"/>
      <w:r w:rsidRPr="00B97972">
        <w:rPr>
          <w:rFonts w:asciiTheme="minorHAnsi" w:hAnsiTheme="minorHAnsi" w:cstheme="minorBidi"/>
          <w:color w:val="auto"/>
          <w:sz w:val="18"/>
          <w:szCs w:val="18"/>
        </w:rPr>
        <w:t>quantitative</w:t>
      </w:r>
      <w:proofErr w:type="spellEnd"/>
      <w:r w:rsidRPr="00B97972">
        <w:rPr>
          <w:rFonts w:asciiTheme="minorHAnsi" w:hAnsiTheme="minorHAnsi" w:cstheme="minorBidi"/>
          <w:color w:val="auto"/>
          <w:sz w:val="18"/>
          <w:szCs w:val="18"/>
        </w:rPr>
        <w:t xml:space="preserve"> </w:t>
      </w:r>
      <w:proofErr w:type="spellStart"/>
      <w:r w:rsidRPr="00B97972">
        <w:rPr>
          <w:rFonts w:asciiTheme="minorHAnsi" w:hAnsiTheme="minorHAnsi" w:cstheme="minorBidi"/>
          <w:color w:val="auto"/>
          <w:sz w:val="18"/>
          <w:szCs w:val="18"/>
        </w:rPr>
        <w:t>recovery</w:t>
      </w:r>
      <w:proofErr w:type="spellEnd"/>
      <w:r w:rsidRPr="00B97972">
        <w:rPr>
          <w:rFonts w:asciiTheme="minorHAnsi" w:hAnsiTheme="minorHAnsi" w:cstheme="minorBidi"/>
          <w:color w:val="auto"/>
          <w:sz w:val="18"/>
          <w:szCs w:val="18"/>
        </w:rPr>
        <w:t xml:space="preserve"> </w:t>
      </w:r>
      <w:proofErr w:type="spellStart"/>
      <w:r w:rsidRPr="00B97972">
        <w:rPr>
          <w:rFonts w:asciiTheme="minorHAnsi" w:hAnsiTheme="minorHAnsi" w:cstheme="minorBidi"/>
          <w:color w:val="auto"/>
          <w:sz w:val="18"/>
          <w:szCs w:val="18"/>
        </w:rPr>
        <w:t>plan</w:t>
      </w:r>
      <w:proofErr w:type="spellEnd"/>
      <w:r w:rsidRPr="00B97972">
        <w:rPr>
          <w:rFonts w:asciiTheme="minorHAnsi" w:hAnsiTheme="minorHAnsi" w:cstheme="minorBidi"/>
          <w:color w:val="auto"/>
          <w:sz w:val="18"/>
          <w:szCs w:val="18"/>
        </w:rPr>
        <w:t xml:space="preserve"> </w:t>
      </w:r>
      <w:proofErr w:type="spellStart"/>
      <w:r w:rsidRPr="00B97972">
        <w:rPr>
          <w:rFonts w:asciiTheme="minorHAnsi" w:hAnsiTheme="minorHAnsi" w:cstheme="minorBidi"/>
          <w:color w:val="auto"/>
          <w:sz w:val="18"/>
          <w:szCs w:val="18"/>
        </w:rPr>
        <w:t>indicators</w:t>
      </w:r>
      <w:proofErr w:type="spellEnd"/>
    </w:p>
  </w:footnote>
  <w:footnote w:id="5">
    <w:p w14:paraId="69F6A96D" w14:textId="77777777" w:rsidR="007B6616" w:rsidRPr="00B97972" w:rsidRDefault="007B6616" w:rsidP="00724FE0">
      <w:pPr>
        <w:pStyle w:val="FootnoteText"/>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A</w:t>
      </w:r>
      <w:r w:rsidRPr="00B97972">
        <w:rPr>
          <w:rFonts w:asciiTheme="minorHAnsi" w:eastAsiaTheme="minorHAnsi" w:hAnsiTheme="minorHAnsi"/>
          <w:sz w:val="18"/>
          <w:szCs w:val="18"/>
        </w:rPr>
        <w:t xml:space="preserve"> hitelintézetekről és a pénzügyi vállalkozásokról szóló 2013. évi </w:t>
      </w:r>
      <w:proofErr w:type="spellStart"/>
      <w:r w:rsidRPr="00B97972">
        <w:rPr>
          <w:rFonts w:asciiTheme="minorHAnsi" w:eastAsiaTheme="minorHAnsi" w:hAnsiTheme="minorHAnsi"/>
          <w:sz w:val="18"/>
          <w:szCs w:val="18"/>
        </w:rPr>
        <w:t>CCXXXVII</w:t>
      </w:r>
      <w:proofErr w:type="spellEnd"/>
      <w:r w:rsidRPr="00B97972">
        <w:rPr>
          <w:rFonts w:asciiTheme="minorHAnsi" w:eastAsiaTheme="minorHAnsi" w:hAnsiTheme="minorHAnsi"/>
          <w:sz w:val="18"/>
          <w:szCs w:val="18"/>
        </w:rPr>
        <w:t>. törvény (a továbbiakban: Hpt.)</w:t>
      </w:r>
    </w:p>
  </w:footnote>
  <w:footnote w:id="6">
    <w:p w14:paraId="36CE97F6" w14:textId="77777777" w:rsidR="007B6616" w:rsidRPr="00B97972" w:rsidRDefault="007B6616" w:rsidP="00724FE0">
      <w:pPr>
        <w:rPr>
          <w:rFonts w:asciiTheme="minorHAnsi" w:hAnsiTheme="minorHAnsi"/>
          <w:sz w:val="18"/>
          <w:szCs w:val="18"/>
        </w:rPr>
      </w:pPr>
      <w:r w:rsidRPr="00B97972">
        <w:rPr>
          <w:rStyle w:val="FootnoteReference"/>
          <w:rFonts w:asciiTheme="minorHAnsi" w:eastAsiaTheme="minorEastAsia" w:hAnsiTheme="minorHAnsi"/>
          <w:sz w:val="18"/>
          <w:szCs w:val="18"/>
        </w:rPr>
        <w:footnoteRef/>
      </w:r>
      <w:r w:rsidRPr="00B97972">
        <w:rPr>
          <w:rFonts w:asciiTheme="minorHAnsi" w:hAnsiTheme="minorHAnsi"/>
          <w:sz w:val="18"/>
          <w:szCs w:val="18"/>
        </w:rPr>
        <w:t xml:space="preserve"> </w:t>
      </w:r>
      <w:r>
        <w:rPr>
          <w:rFonts w:asciiTheme="minorHAnsi" w:hAnsiTheme="minorHAnsi"/>
          <w:sz w:val="18"/>
          <w:szCs w:val="18"/>
        </w:rPr>
        <w:t>A</w:t>
      </w:r>
      <w:r w:rsidRPr="00B97972">
        <w:rPr>
          <w:rFonts w:asciiTheme="minorHAnsi" w:hAnsiTheme="minorHAnsi"/>
          <w:sz w:val="18"/>
          <w:szCs w:val="18"/>
        </w:rPr>
        <w:t xml:space="preserve"> befektetési vállalkozásokról és az árutőzsdei szolgáltatókról, valamint az általuk végezhető tevékenységek szabályairól szóló 2007. évi </w:t>
      </w:r>
      <w:proofErr w:type="spellStart"/>
      <w:r w:rsidRPr="00B97972">
        <w:rPr>
          <w:rFonts w:asciiTheme="minorHAnsi" w:hAnsiTheme="minorHAnsi"/>
          <w:sz w:val="18"/>
          <w:szCs w:val="18"/>
        </w:rPr>
        <w:t>CXXXVIII</w:t>
      </w:r>
      <w:proofErr w:type="spellEnd"/>
      <w:r w:rsidRPr="00B97972">
        <w:rPr>
          <w:rFonts w:asciiTheme="minorHAnsi" w:hAnsiTheme="minorHAnsi"/>
          <w:sz w:val="18"/>
          <w:szCs w:val="18"/>
        </w:rPr>
        <w:t xml:space="preserve">. törvény (a továbbiakban: </w:t>
      </w:r>
      <w:proofErr w:type="spellStart"/>
      <w:r w:rsidRPr="00B97972">
        <w:rPr>
          <w:rFonts w:asciiTheme="minorHAnsi" w:hAnsiTheme="minorHAnsi"/>
          <w:sz w:val="18"/>
          <w:szCs w:val="18"/>
        </w:rPr>
        <w:t>Bszt</w:t>
      </w:r>
      <w:proofErr w:type="spellEnd"/>
      <w:r w:rsidRPr="00B97972">
        <w:rPr>
          <w:rFonts w:asciiTheme="minorHAnsi" w:hAnsiTheme="minorHAnsi"/>
          <w:sz w:val="18"/>
          <w:szCs w:val="18"/>
        </w:rPr>
        <w:t>.)</w:t>
      </w:r>
    </w:p>
  </w:footnote>
  <w:footnote w:id="7">
    <w:p w14:paraId="2EA87848" w14:textId="77777777" w:rsidR="007B6616" w:rsidRPr="00B97972" w:rsidRDefault="007B6616" w:rsidP="00724FE0">
      <w:pPr>
        <w:pStyle w:val="FootnoteText"/>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Ideértve azt is, hogy mely szervezeti egység számítja a helyreállítási tervben használt indikátorok értékeit</w:t>
      </w:r>
      <w:r>
        <w:rPr>
          <w:rFonts w:asciiTheme="minorHAnsi" w:hAnsiTheme="minorHAnsi"/>
          <w:sz w:val="18"/>
          <w:szCs w:val="18"/>
        </w:rPr>
        <w:t>.</w:t>
      </w:r>
    </w:p>
  </w:footnote>
  <w:footnote w:id="8">
    <w:p w14:paraId="101B39AD" w14:textId="77777777" w:rsidR="007B6616" w:rsidRPr="00B97972" w:rsidRDefault="007B6616" w:rsidP="00724FE0">
      <w:pPr>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Ideértendő a Hpt. 79. § (2) bekezdés b) pontja, és a 186. §</w:t>
      </w:r>
      <w:proofErr w:type="spellStart"/>
      <w:r w:rsidRPr="00B97972">
        <w:rPr>
          <w:rFonts w:asciiTheme="minorHAnsi" w:hAnsiTheme="minorHAnsi"/>
          <w:sz w:val="18"/>
          <w:szCs w:val="18"/>
        </w:rPr>
        <w:t>-</w:t>
      </w:r>
      <w:proofErr w:type="gramStart"/>
      <w:r w:rsidRPr="00B97972">
        <w:rPr>
          <w:rFonts w:asciiTheme="minorHAnsi" w:hAnsiTheme="minorHAnsi"/>
          <w:sz w:val="18"/>
          <w:szCs w:val="18"/>
        </w:rPr>
        <w:t>a</w:t>
      </w:r>
      <w:proofErr w:type="spellEnd"/>
      <w:proofErr w:type="gramEnd"/>
      <w:r w:rsidRPr="00B97972">
        <w:rPr>
          <w:rFonts w:asciiTheme="minorHAnsi" w:hAnsiTheme="minorHAnsi"/>
          <w:sz w:val="18"/>
          <w:szCs w:val="18"/>
        </w:rPr>
        <w:t xml:space="preserve"> alapján a felügyeleti felülvizsgálat keretében előírt, illetve a </w:t>
      </w:r>
      <w:proofErr w:type="spellStart"/>
      <w:r w:rsidRPr="00B97972">
        <w:rPr>
          <w:rFonts w:asciiTheme="minorHAnsi" w:hAnsiTheme="minorHAnsi"/>
          <w:sz w:val="18"/>
          <w:szCs w:val="18"/>
        </w:rPr>
        <w:t>Bszt</w:t>
      </w:r>
      <w:proofErr w:type="spellEnd"/>
      <w:r w:rsidRPr="00B97972">
        <w:rPr>
          <w:rFonts w:asciiTheme="minorHAnsi" w:hAnsiTheme="minorHAnsi"/>
          <w:sz w:val="18"/>
          <w:szCs w:val="18"/>
        </w:rPr>
        <w:t>. 105. § (2) bekezdés b) pontja, valamint a 164. § (1) bekezdés t) pontja alapján előírt többlettőke-követelmények megsértése is.</w:t>
      </w:r>
    </w:p>
  </w:footnote>
  <w:footnote w:id="9">
    <w:p w14:paraId="7F805B50" w14:textId="77777777" w:rsidR="007B6616" w:rsidRPr="00632DF4" w:rsidRDefault="007B6616" w:rsidP="00724FE0">
      <w:pPr>
        <w:rPr>
          <w:sz w:val="16"/>
          <w:szCs w:val="16"/>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A Hpt. 97. §</w:t>
      </w:r>
      <w:proofErr w:type="spellStart"/>
      <w:r w:rsidRPr="00B97972">
        <w:rPr>
          <w:rFonts w:asciiTheme="minorHAnsi" w:hAnsiTheme="minorHAnsi"/>
          <w:sz w:val="18"/>
          <w:szCs w:val="18"/>
        </w:rPr>
        <w:t>-</w:t>
      </w:r>
      <w:proofErr w:type="gramStart"/>
      <w:r w:rsidRPr="00B97972">
        <w:rPr>
          <w:rFonts w:asciiTheme="minorHAnsi" w:hAnsiTheme="minorHAnsi"/>
          <w:sz w:val="18"/>
          <w:szCs w:val="18"/>
        </w:rPr>
        <w:t>a</w:t>
      </w:r>
      <w:proofErr w:type="spellEnd"/>
      <w:proofErr w:type="gramEnd"/>
      <w:r w:rsidRPr="00B97972">
        <w:rPr>
          <w:rFonts w:asciiTheme="minorHAnsi" w:hAnsiTheme="minorHAnsi"/>
          <w:sz w:val="18"/>
          <w:szCs w:val="18"/>
        </w:rPr>
        <w:t xml:space="preserve">, valamint a </w:t>
      </w:r>
      <w:proofErr w:type="spellStart"/>
      <w:r w:rsidRPr="00B97972">
        <w:rPr>
          <w:rFonts w:asciiTheme="minorHAnsi" w:hAnsiTheme="minorHAnsi"/>
          <w:sz w:val="18"/>
          <w:szCs w:val="18"/>
        </w:rPr>
        <w:t>Bszt</w:t>
      </w:r>
      <w:proofErr w:type="spellEnd"/>
      <w:r w:rsidRPr="00B97972">
        <w:rPr>
          <w:rFonts w:asciiTheme="minorHAnsi" w:hAnsiTheme="minorHAnsi"/>
          <w:sz w:val="18"/>
          <w:szCs w:val="18"/>
        </w:rPr>
        <w:t>. 106. §</w:t>
      </w:r>
      <w:proofErr w:type="spellStart"/>
      <w:r w:rsidRPr="00B97972">
        <w:rPr>
          <w:rFonts w:asciiTheme="minorHAnsi" w:hAnsiTheme="minorHAnsi"/>
          <w:sz w:val="18"/>
          <w:szCs w:val="18"/>
        </w:rPr>
        <w:t>-</w:t>
      </w:r>
      <w:proofErr w:type="gramStart"/>
      <w:r w:rsidRPr="00B97972">
        <w:rPr>
          <w:rFonts w:asciiTheme="minorHAnsi" w:hAnsiTheme="minorHAnsi"/>
          <w:sz w:val="18"/>
          <w:szCs w:val="18"/>
        </w:rPr>
        <w:t>a</w:t>
      </w:r>
      <w:proofErr w:type="spellEnd"/>
      <w:proofErr w:type="gramEnd"/>
      <w:r w:rsidRPr="00B97972">
        <w:rPr>
          <w:rFonts w:asciiTheme="minorHAnsi" w:hAnsiTheme="minorHAnsi"/>
          <w:sz w:val="18"/>
          <w:szCs w:val="18"/>
        </w:rPr>
        <w:t xml:space="preserve"> alapján.</w:t>
      </w:r>
    </w:p>
  </w:footnote>
  <w:footnote w:id="10">
    <w:p w14:paraId="7A3C187A" w14:textId="77777777" w:rsidR="007B6616" w:rsidRPr="00B97972" w:rsidRDefault="007B6616" w:rsidP="00724FE0">
      <w:pPr>
        <w:pStyle w:val="FootnoteText"/>
        <w:rPr>
          <w:rFonts w:asciiTheme="minorHAnsi" w:eastAsiaTheme="minorHAnsi" w:hAnsiTheme="minorHAnsi"/>
          <w:sz w:val="18"/>
          <w:szCs w:val="18"/>
        </w:rPr>
      </w:pPr>
      <w:r w:rsidRPr="00B97972">
        <w:rPr>
          <w:rStyle w:val="FootnoteReference"/>
          <w:rFonts w:asciiTheme="minorHAnsi" w:hAnsiTheme="minorHAnsi" w:cstheme="minorHAnsi"/>
          <w:sz w:val="18"/>
          <w:szCs w:val="18"/>
        </w:rPr>
        <w:footnoteRef/>
      </w:r>
      <w:r w:rsidRPr="00B97972">
        <w:rPr>
          <w:rFonts w:asciiTheme="minorHAnsi" w:hAnsiTheme="minorHAnsi"/>
          <w:sz w:val="18"/>
          <w:szCs w:val="18"/>
        </w:rPr>
        <w:t xml:space="preserve"> </w:t>
      </w:r>
      <w:r w:rsidRPr="00B97972">
        <w:rPr>
          <w:rFonts w:asciiTheme="minorHAnsi" w:eastAsiaTheme="minorHAnsi" w:hAnsiTheme="minorHAnsi"/>
          <w:sz w:val="18"/>
          <w:szCs w:val="18"/>
        </w:rPr>
        <w:t xml:space="preserve">A Hpt. 108. § (5) bekezdés f) pontja, és (6) bekezdése, valamint a </w:t>
      </w:r>
      <w:proofErr w:type="spellStart"/>
      <w:r w:rsidRPr="00B97972">
        <w:rPr>
          <w:rFonts w:asciiTheme="minorHAnsi" w:eastAsiaTheme="minorHAnsi" w:hAnsiTheme="minorHAnsi"/>
          <w:sz w:val="18"/>
          <w:szCs w:val="18"/>
        </w:rPr>
        <w:t>Bszt</w:t>
      </w:r>
      <w:proofErr w:type="spellEnd"/>
      <w:r w:rsidRPr="00B97972">
        <w:rPr>
          <w:rFonts w:asciiTheme="minorHAnsi" w:eastAsiaTheme="minorHAnsi" w:hAnsiTheme="minorHAnsi"/>
          <w:sz w:val="18"/>
          <w:szCs w:val="18"/>
        </w:rPr>
        <w:t>. 101. § (1) bekezdés f) pontja, és (2) bekezdése alapján.</w:t>
      </w:r>
    </w:p>
  </w:footnote>
  <w:footnote w:id="11">
    <w:p w14:paraId="6E83E971" w14:textId="77777777" w:rsidR="007B6616" w:rsidRPr="00632DF4" w:rsidRDefault="007B6616" w:rsidP="00724FE0">
      <w:pPr>
        <w:rPr>
          <w:sz w:val="16"/>
          <w:szCs w:val="16"/>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Hpt. 181. §</w:t>
      </w:r>
      <w:proofErr w:type="spellStart"/>
      <w:r w:rsidRPr="00B97972">
        <w:rPr>
          <w:rFonts w:asciiTheme="minorHAnsi" w:hAnsiTheme="minorHAnsi"/>
          <w:sz w:val="18"/>
          <w:szCs w:val="18"/>
        </w:rPr>
        <w:t>-</w:t>
      </w:r>
      <w:proofErr w:type="gramStart"/>
      <w:r w:rsidRPr="00B97972">
        <w:rPr>
          <w:rFonts w:asciiTheme="minorHAnsi" w:hAnsiTheme="minorHAnsi"/>
          <w:sz w:val="18"/>
          <w:szCs w:val="18"/>
        </w:rPr>
        <w:t>a</w:t>
      </w:r>
      <w:proofErr w:type="spellEnd"/>
      <w:proofErr w:type="gramEnd"/>
      <w:r w:rsidRPr="00B97972">
        <w:rPr>
          <w:rFonts w:asciiTheme="minorHAnsi" w:hAnsiTheme="minorHAnsi"/>
          <w:sz w:val="18"/>
          <w:szCs w:val="18"/>
        </w:rPr>
        <w:t xml:space="preserve">, valamint a </w:t>
      </w:r>
      <w:proofErr w:type="spellStart"/>
      <w:r w:rsidRPr="00B97972">
        <w:rPr>
          <w:rFonts w:asciiTheme="minorHAnsi" w:hAnsiTheme="minorHAnsi"/>
          <w:sz w:val="18"/>
          <w:szCs w:val="18"/>
        </w:rPr>
        <w:t>Bszt</w:t>
      </w:r>
      <w:proofErr w:type="spellEnd"/>
      <w:r w:rsidRPr="00B97972">
        <w:rPr>
          <w:rFonts w:asciiTheme="minorHAnsi" w:hAnsiTheme="minorHAnsi"/>
          <w:sz w:val="18"/>
          <w:szCs w:val="18"/>
        </w:rPr>
        <w:t>. 163/B. §</w:t>
      </w:r>
      <w:proofErr w:type="spellStart"/>
      <w:r w:rsidRPr="00B97972">
        <w:rPr>
          <w:rFonts w:asciiTheme="minorHAnsi" w:hAnsiTheme="minorHAnsi"/>
          <w:sz w:val="18"/>
          <w:szCs w:val="18"/>
        </w:rPr>
        <w:t>-</w:t>
      </w:r>
      <w:proofErr w:type="gramStart"/>
      <w:r w:rsidRPr="00B97972">
        <w:rPr>
          <w:rFonts w:asciiTheme="minorHAnsi" w:hAnsiTheme="minorHAnsi"/>
          <w:sz w:val="18"/>
          <w:szCs w:val="18"/>
        </w:rPr>
        <w:t>a</w:t>
      </w:r>
      <w:proofErr w:type="spellEnd"/>
      <w:proofErr w:type="gramEnd"/>
      <w:r w:rsidRPr="00B97972">
        <w:rPr>
          <w:rFonts w:asciiTheme="minorHAnsi" w:hAnsiTheme="minorHAnsi"/>
          <w:sz w:val="18"/>
          <w:szCs w:val="18"/>
        </w:rPr>
        <w:t xml:space="preserve"> alapján az MNB által meghatározott egyedi likviditási követelmények.</w:t>
      </w:r>
    </w:p>
  </w:footnote>
  <w:footnote w:id="12">
    <w:p w14:paraId="559F8E42" w14:textId="77777777" w:rsidR="007B6616" w:rsidRPr="00B97972" w:rsidRDefault="007B6616" w:rsidP="00724FE0">
      <w:pPr>
        <w:pStyle w:val="FootnoteText"/>
        <w:rPr>
          <w:rFonts w:asciiTheme="minorHAnsi" w:eastAsiaTheme="minorHAnsi" w:hAnsiTheme="minorHAnsi"/>
        </w:rPr>
      </w:pPr>
      <w:r w:rsidRPr="00B97972">
        <w:rPr>
          <w:rStyle w:val="FootnoteReference"/>
          <w:rFonts w:asciiTheme="minorHAnsi" w:hAnsiTheme="minorHAnsi"/>
          <w:sz w:val="18"/>
        </w:rPr>
        <w:footnoteRef/>
      </w:r>
      <w:r w:rsidRPr="00B97972">
        <w:rPr>
          <w:rFonts w:asciiTheme="minorHAnsi" w:hAnsiTheme="minorHAnsi"/>
          <w:sz w:val="18"/>
        </w:rPr>
        <w:t xml:space="preserve"> </w:t>
      </w:r>
      <w:r w:rsidRPr="00B97972">
        <w:rPr>
          <w:rFonts w:asciiTheme="minorHAnsi" w:eastAsiaTheme="minorHAnsi" w:hAnsiTheme="minorHAnsi"/>
          <w:sz w:val="18"/>
          <w:szCs w:val="16"/>
        </w:rPr>
        <w:t xml:space="preserve">A fejezet az </w:t>
      </w:r>
      <w:proofErr w:type="spellStart"/>
      <w:r w:rsidRPr="00B97972">
        <w:rPr>
          <w:rFonts w:asciiTheme="minorHAnsi" w:eastAsiaTheme="minorHAnsi" w:hAnsiTheme="minorHAnsi"/>
          <w:sz w:val="18"/>
          <w:szCs w:val="16"/>
        </w:rPr>
        <w:t>EBA</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EBA</w:t>
      </w:r>
      <w:proofErr w:type="spellEnd"/>
      <w:r w:rsidRPr="00B97972">
        <w:rPr>
          <w:rFonts w:asciiTheme="minorHAnsi" w:eastAsiaTheme="minorHAnsi" w:hAnsiTheme="minorHAnsi"/>
          <w:sz w:val="18"/>
          <w:szCs w:val="16"/>
        </w:rPr>
        <w:t>/</w:t>
      </w:r>
      <w:proofErr w:type="spellStart"/>
      <w:r w:rsidRPr="00B97972">
        <w:rPr>
          <w:rFonts w:asciiTheme="minorHAnsi" w:eastAsiaTheme="minorHAnsi" w:hAnsiTheme="minorHAnsi"/>
          <w:sz w:val="18"/>
          <w:szCs w:val="16"/>
        </w:rPr>
        <w:t>GL</w:t>
      </w:r>
      <w:proofErr w:type="spellEnd"/>
      <w:r w:rsidRPr="00B97972">
        <w:rPr>
          <w:rFonts w:asciiTheme="minorHAnsi" w:eastAsiaTheme="minorHAnsi" w:hAnsiTheme="minorHAnsi"/>
          <w:sz w:val="18"/>
          <w:szCs w:val="16"/>
        </w:rPr>
        <w:t>/2014/06 számú, „</w:t>
      </w:r>
      <w:proofErr w:type="spellStart"/>
      <w:r w:rsidRPr="00B97972">
        <w:rPr>
          <w:rFonts w:asciiTheme="minorHAnsi" w:eastAsiaTheme="minorHAnsi" w:hAnsiTheme="minorHAnsi"/>
          <w:sz w:val="18"/>
          <w:szCs w:val="16"/>
        </w:rPr>
        <w:t>Guidelines</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on</w:t>
      </w:r>
      <w:proofErr w:type="spellEnd"/>
      <w:r w:rsidRPr="00B97972">
        <w:rPr>
          <w:rFonts w:asciiTheme="minorHAnsi" w:eastAsiaTheme="minorHAnsi" w:hAnsiTheme="minorHAnsi"/>
          <w:sz w:val="18"/>
        </w:rPr>
        <w:t xml:space="preserve"> </w:t>
      </w:r>
      <w:proofErr w:type="spellStart"/>
      <w:r w:rsidRPr="00B97972">
        <w:rPr>
          <w:rFonts w:asciiTheme="minorHAnsi" w:eastAsiaTheme="minorHAnsi" w:hAnsiTheme="minorHAnsi"/>
          <w:sz w:val="18"/>
          <w:szCs w:val="16"/>
        </w:rPr>
        <w:t>the</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range</w:t>
      </w:r>
      <w:proofErr w:type="spellEnd"/>
      <w:r w:rsidRPr="00B97972">
        <w:rPr>
          <w:rFonts w:asciiTheme="minorHAnsi" w:eastAsiaTheme="minorHAnsi" w:hAnsiTheme="minorHAnsi"/>
          <w:sz w:val="18"/>
          <w:szCs w:val="16"/>
        </w:rPr>
        <w:t xml:space="preserve"> of </w:t>
      </w:r>
      <w:proofErr w:type="spellStart"/>
      <w:r w:rsidRPr="00B97972">
        <w:rPr>
          <w:rFonts w:asciiTheme="minorHAnsi" w:eastAsiaTheme="minorHAnsi" w:hAnsiTheme="minorHAnsi"/>
          <w:sz w:val="18"/>
          <w:szCs w:val="16"/>
        </w:rPr>
        <w:t>scenarios</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to</w:t>
      </w:r>
      <w:proofErr w:type="spellEnd"/>
      <w:r w:rsidRPr="00B97972">
        <w:rPr>
          <w:rFonts w:asciiTheme="minorHAnsi" w:eastAsiaTheme="minorHAnsi" w:hAnsiTheme="minorHAnsi"/>
          <w:sz w:val="18"/>
          <w:szCs w:val="16"/>
        </w:rPr>
        <w:t xml:space="preserve"> be </w:t>
      </w:r>
      <w:proofErr w:type="spellStart"/>
      <w:r w:rsidRPr="00B97972">
        <w:rPr>
          <w:rFonts w:asciiTheme="minorHAnsi" w:eastAsiaTheme="minorHAnsi" w:hAnsiTheme="minorHAnsi"/>
          <w:sz w:val="18"/>
          <w:szCs w:val="16"/>
        </w:rPr>
        <w:t>used</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in</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recovery</w:t>
      </w:r>
      <w:proofErr w:type="spellEnd"/>
      <w:r w:rsidRPr="00B97972">
        <w:rPr>
          <w:rFonts w:asciiTheme="minorHAnsi" w:eastAsiaTheme="minorHAnsi" w:hAnsiTheme="minorHAnsi"/>
          <w:sz w:val="18"/>
          <w:szCs w:val="16"/>
        </w:rPr>
        <w:t xml:space="preserve"> </w:t>
      </w:r>
      <w:proofErr w:type="spellStart"/>
      <w:r w:rsidRPr="00B97972">
        <w:rPr>
          <w:rFonts w:asciiTheme="minorHAnsi" w:eastAsiaTheme="minorHAnsi" w:hAnsiTheme="minorHAnsi"/>
          <w:sz w:val="18"/>
          <w:szCs w:val="16"/>
        </w:rPr>
        <w:t>plans</w:t>
      </w:r>
      <w:proofErr w:type="spellEnd"/>
      <w:r w:rsidRPr="00B97972">
        <w:rPr>
          <w:rFonts w:asciiTheme="minorHAnsi" w:eastAsiaTheme="minorHAnsi" w:hAnsiTheme="minorHAnsi"/>
          <w:sz w:val="18"/>
          <w:szCs w:val="16"/>
        </w:rPr>
        <w:t>” című iránymutatása figyelembe vételével készült.</w:t>
      </w:r>
    </w:p>
  </w:footnote>
  <w:footnote w:id="13">
    <w:p w14:paraId="65215DB4" w14:textId="77777777" w:rsidR="007B6616" w:rsidRPr="00B97972" w:rsidRDefault="007B6616" w:rsidP="00724FE0">
      <w:pPr>
        <w:pStyle w:val="FootnoteText"/>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Az e kategóriákba sorolható indikátorok akkor hagyhatók el, ha az intézmény kellően meg tudja indokolni az MNB felé, hogy ezek miért nem relevánsak az intézmény jogi formája, üzleti modellje, kockázati szerkezete, mérete, és az intézmény komplexitása szempontjából.</w:t>
      </w:r>
    </w:p>
  </w:footnote>
  <w:footnote w:id="14">
    <w:p w14:paraId="4C14B987" w14:textId="77777777" w:rsidR="007B6616" w:rsidRPr="00B97972" w:rsidRDefault="007B6616" w:rsidP="00724FE0">
      <w:pPr>
        <w:pStyle w:val="FootnoteText"/>
        <w:rPr>
          <w:rFonts w:asciiTheme="minorHAnsi" w:hAnsiTheme="minorHAnsi"/>
          <w:sz w:val="18"/>
          <w:szCs w:val="18"/>
        </w:rPr>
      </w:pPr>
      <w:r w:rsidRPr="00B97972">
        <w:rPr>
          <w:rStyle w:val="FootnoteReference"/>
          <w:rFonts w:asciiTheme="minorHAnsi" w:hAnsiTheme="minorHAnsi"/>
          <w:sz w:val="18"/>
          <w:szCs w:val="18"/>
        </w:rPr>
        <w:footnoteRef/>
      </w:r>
      <w:r w:rsidRPr="00B97972">
        <w:rPr>
          <w:rFonts w:asciiTheme="minorHAnsi" w:hAnsiTheme="minorHAnsi"/>
          <w:sz w:val="18"/>
          <w:szCs w:val="18"/>
        </w:rPr>
        <w:t xml:space="preserve"> Az Európai Bizottság 680/2014/EU számú végrehajtási rendelete az intézmények </w:t>
      </w:r>
      <w:proofErr w:type="spellStart"/>
      <w:r w:rsidRPr="00B97972">
        <w:rPr>
          <w:rFonts w:asciiTheme="minorHAnsi" w:hAnsiTheme="minorHAnsi"/>
          <w:sz w:val="18"/>
          <w:szCs w:val="18"/>
        </w:rPr>
        <w:t>CRR</w:t>
      </w:r>
      <w:proofErr w:type="spellEnd"/>
      <w:r w:rsidRPr="00B97972">
        <w:rPr>
          <w:rFonts w:asciiTheme="minorHAnsi" w:hAnsiTheme="minorHAnsi"/>
          <w:sz w:val="18"/>
          <w:szCs w:val="18"/>
        </w:rPr>
        <w:t xml:space="preserve"> szerinti felügyeleti adatszolgáltatásáról; 163-183. cikkely szerint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A4F"/>
    <w:multiLevelType w:val="hybridMultilevel"/>
    <w:tmpl w:val="FAD8D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D43A59"/>
    <w:multiLevelType w:val="hybridMultilevel"/>
    <w:tmpl w:val="46D0017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07E03"/>
    <w:multiLevelType w:val="hybridMultilevel"/>
    <w:tmpl w:val="710C3EA6"/>
    <w:lvl w:ilvl="0" w:tplc="040E0017">
      <w:start w:val="1"/>
      <w:numFmt w:val="lowerLetter"/>
      <w:lvlText w:val="%1)"/>
      <w:lvlJc w:val="left"/>
      <w:pPr>
        <w:ind w:left="1068" w:hanging="360"/>
      </w:pPr>
      <w:rPr>
        <w:rFont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09667F"/>
    <w:multiLevelType w:val="hybridMultilevel"/>
    <w:tmpl w:val="566A87F0"/>
    <w:lvl w:ilvl="0" w:tplc="8162F542">
      <w:start w:val="1"/>
      <w:numFmt w:val="lowerLetter"/>
      <w:lvlText w:val="%1)"/>
      <w:lvlJc w:val="left"/>
      <w:pPr>
        <w:ind w:left="644" w:hanging="360"/>
      </w:pPr>
      <w:rPr>
        <w:i/>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12404669"/>
    <w:multiLevelType w:val="hybridMultilevel"/>
    <w:tmpl w:val="EB1C236C"/>
    <w:lvl w:ilvl="0" w:tplc="DCD448EA">
      <w:start w:val="6"/>
      <w:numFmt w:val="upperRoman"/>
      <w:lvlText w:val="%1."/>
      <w:lvlJc w:val="left"/>
      <w:pPr>
        <w:ind w:left="720" w:hanging="360"/>
      </w:pPr>
      <w:rPr>
        <w:rFonts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4B34BA"/>
    <w:multiLevelType w:val="hybridMultilevel"/>
    <w:tmpl w:val="A4CEE1F8"/>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0" w15:restartNumberingAfterBreak="0">
    <w:nsid w:val="18C7350A"/>
    <w:multiLevelType w:val="hybridMultilevel"/>
    <w:tmpl w:val="6FBA8F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0F5D1D"/>
    <w:multiLevelType w:val="hybridMultilevel"/>
    <w:tmpl w:val="81A03BE2"/>
    <w:lvl w:ilvl="0" w:tplc="040E0017">
      <w:start w:val="1"/>
      <w:numFmt w:val="lowerLetter"/>
      <w:lvlText w:val="%1)"/>
      <w:lvlJc w:val="left"/>
      <w:pPr>
        <w:ind w:left="1069" w:hanging="360"/>
      </w:pPr>
      <w:rPr>
        <w:rFonts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2" w15:restartNumberingAfterBreak="0">
    <w:nsid w:val="1E253B15"/>
    <w:multiLevelType w:val="multilevel"/>
    <w:tmpl w:val="E8AEFF86"/>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3535B7E"/>
    <w:multiLevelType w:val="multilevel"/>
    <w:tmpl w:val="DD6E5EC0"/>
    <w:lvl w:ilvl="0">
      <w:start w:val="1"/>
      <w:numFmt w:val="decimal"/>
      <w:lvlText w:val="%1. "/>
      <w:lvlJc w:val="left"/>
      <w:pPr>
        <w:tabs>
          <w:tab w:val="num" w:pos="357"/>
        </w:tabs>
        <w:ind w:left="357" w:hanging="357"/>
      </w:pPr>
      <w:rPr>
        <w:rFonts w:ascii="Times New Roman" w:hAnsi="Times New Roman" w:hint="default"/>
        <w:b w:val="0"/>
        <w:i/>
        <w:color w:val="auto"/>
        <w:sz w:val="32"/>
      </w:rPr>
    </w:lvl>
    <w:lvl w:ilvl="1">
      <w:start w:val="1"/>
      <w:numFmt w:val="decimal"/>
      <w:lvlText w:val="%1.%2."/>
      <w:lvlJc w:val="left"/>
      <w:pPr>
        <w:tabs>
          <w:tab w:val="num" w:pos="1231"/>
        </w:tabs>
        <w:ind w:left="1231" w:hanging="664"/>
      </w:pPr>
      <w:rPr>
        <w:rFonts w:ascii="Times New Roman" w:hAnsi="Times New Roman" w:hint="default"/>
        <w:b/>
        <w:i/>
        <w:color w:val="auto"/>
        <w:sz w:val="26"/>
      </w:rPr>
    </w:lvl>
    <w:lvl w:ilvl="2">
      <w:start w:val="1"/>
      <w:numFmt w:val="decimal"/>
      <w:lvlText w:val="%1.%2.%3."/>
      <w:lvlJc w:val="left"/>
      <w:pPr>
        <w:tabs>
          <w:tab w:val="num" w:pos="1644"/>
        </w:tabs>
        <w:ind w:left="1644" w:hanging="930"/>
      </w:pPr>
      <w:rPr>
        <w:rFonts w:ascii="Times New Roman" w:hAnsi="Times New Roman" w:hint="default"/>
        <w:b/>
        <w:i w:val="0"/>
        <w:color w:val="auto"/>
        <w:sz w:val="24"/>
      </w:rPr>
    </w:lvl>
    <w:lvl w:ilvl="3">
      <w:start w:val="1"/>
      <w:numFmt w:val="decimal"/>
      <w:pStyle w:val="Heading4"/>
      <w:lvlText w:val="%1.%2.%3.%4."/>
      <w:lvlJc w:val="left"/>
      <w:pPr>
        <w:tabs>
          <w:tab w:val="num" w:pos="1254"/>
        </w:tabs>
        <w:ind w:left="1254" w:hanging="1254"/>
      </w:pPr>
      <w:rPr>
        <w:rFonts w:ascii="Times New Roman" w:hAnsi="Times New Roman" w:hint="default"/>
        <w:i/>
        <w:color w:val="auto"/>
        <w:sz w:val="24"/>
      </w:rPr>
    </w:lvl>
    <w:lvl w:ilvl="4">
      <w:start w:val="1"/>
      <w:numFmt w:val="decimal"/>
      <w:pStyle w:val="Heading5"/>
      <w:lvlText w:val="%1.%2.%3.%4.%5."/>
      <w:lvlJc w:val="left"/>
      <w:pPr>
        <w:tabs>
          <w:tab w:val="num" w:pos="2778"/>
        </w:tabs>
        <w:ind w:left="2778" w:hanging="1350"/>
      </w:pPr>
      <w:rPr>
        <w:rFonts w:ascii="Times New Roman" w:hAnsi="Times New Roman" w:hint="default"/>
        <w:b w:val="0"/>
        <w:i w:val="0"/>
        <w:color w:val="auto"/>
        <w:sz w:val="24"/>
      </w:rPr>
    </w:lvl>
    <w:lvl w:ilvl="5">
      <w:start w:val="1"/>
      <w:numFmt w:val="decimal"/>
      <w:pStyle w:val="Heading6"/>
      <w:lvlText w:val="%1.%2.%3.%4.%5.%6."/>
      <w:lvlJc w:val="left"/>
      <w:pPr>
        <w:tabs>
          <w:tab w:val="num" w:pos="3629"/>
        </w:tabs>
        <w:ind w:left="3629" w:hanging="1844"/>
      </w:pPr>
      <w:rPr>
        <w:rFonts w:ascii="Times New Roman" w:hAnsi="Times New Roman" w:hint="default"/>
        <w:b w:val="0"/>
        <w:i/>
        <w:sz w:val="24"/>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27EB14B2"/>
    <w:multiLevelType w:val="hybridMultilevel"/>
    <w:tmpl w:val="4F34E42C"/>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5" w15:restartNumberingAfterBreak="0">
    <w:nsid w:val="28A150BB"/>
    <w:multiLevelType w:val="hybridMultilevel"/>
    <w:tmpl w:val="D8A028D2"/>
    <w:lvl w:ilvl="0" w:tplc="040E0017">
      <w:start w:val="1"/>
      <w:numFmt w:val="lowerLetter"/>
      <w:lvlText w:val="%1)"/>
      <w:lvlJc w:val="left"/>
      <w:pPr>
        <w:ind w:left="1429" w:hanging="360"/>
      </w:pPr>
      <w:rPr>
        <w:rFonts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6" w15:restartNumberingAfterBreak="0">
    <w:nsid w:val="2B353ACA"/>
    <w:multiLevelType w:val="multilevel"/>
    <w:tmpl w:val="4B324980"/>
    <w:name w:val="SZABÁLYOZÁS"/>
    <w:lvl w:ilvl="0">
      <w:start w:val="1"/>
      <w:numFmt w:val="decimal"/>
      <w:lvlText w:val="%1."/>
      <w:lvlJc w:val="left"/>
      <w:pPr>
        <w:ind w:left="432" w:hanging="432"/>
      </w:pPr>
      <w:rPr>
        <w:rFonts w:ascii="Times New Roman" w:hAnsi="Times New Roman" w:hint="default"/>
        <w:b w:val="0"/>
        <w:i/>
        <w:sz w:val="32"/>
      </w:rPr>
    </w:lvl>
    <w:lvl w:ilvl="1">
      <w:start w:val="1"/>
      <w:numFmt w:val="decimal"/>
      <w:lvlText w:val="%1.%2."/>
      <w:lvlJc w:val="left"/>
      <w:pPr>
        <w:ind w:left="1021" w:hanging="681"/>
      </w:pPr>
      <w:rPr>
        <w:rFonts w:ascii="Times New Roman" w:hAnsi="Times New Roman" w:hint="default"/>
        <w:b/>
        <w:i/>
        <w:sz w:val="26"/>
      </w:rPr>
    </w:lvl>
    <w:lvl w:ilvl="2">
      <w:start w:val="1"/>
      <w:numFmt w:val="decimal"/>
      <w:lvlText w:val="%1.%2.%3."/>
      <w:lvlJc w:val="left"/>
      <w:pPr>
        <w:ind w:left="1644" w:hanging="1020"/>
      </w:pPr>
      <w:rPr>
        <w:rFonts w:ascii="Times New Roman" w:hAnsi="Times New Roman" w:hint="default"/>
        <w:b/>
        <w:i w:val="0"/>
        <w:sz w:val="24"/>
      </w:rPr>
    </w:lvl>
    <w:lvl w:ilvl="3">
      <w:start w:val="1"/>
      <w:numFmt w:val="decimal"/>
      <w:lvlText w:val="%1.%2.%3.%4."/>
      <w:lvlJc w:val="left"/>
      <w:pPr>
        <w:tabs>
          <w:tab w:val="num" w:pos="907"/>
        </w:tabs>
        <w:ind w:left="2268" w:hanging="1361"/>
      </w:pPr>
      <w:rPr>
        <w:rFonts w:ascii="Times New Roman" w:hAnsi="Times New Roman" w:hint="default"/>
        <w:b w:val="0"/>
        <w:i/>
        <w:sz w:val="24"/>
      </w:rPr>
    </w:lvl>
    <w:lvl w:ilvl="4">
      <w:start w:val="1"/>
      <w:numFmt w:val="decimal"/>
      <w:lvlText w:val="%1.%2.%3.%4.%5."/>
      <w:lvlJc w:val="left"/>
      <w:pPr>
        <w:tabs>
          <w:tab w:val="num" w:pos="1247"/>
        </w:tabs>
        <w:ind w:left="2722" w:hanging="1475"/>
      </w:pPr>
      <w:rPr>
        <w:rFonts w:ascii="Times New Roman" w:hAnsi="Times New Roman" w:hint="default"/>
        <w:b w:val="0"/>
        <w:i w:val="0"/>
        <w:sz w:val="24"/>
      </w:rPr>
    </w:lvl>
    <w:lvl w:ilvl="5">
      <w:start w:val="1"/>
      <w:numFmt w:val="decimal"/>
      <w:lvlText w:val="%1.%2.%3.%4.%5.%6."/>
      <w:lvlJc w:val="left"/>
      <w:pPr>
        <w:tabs>
          <w:tab w:val="num" w:pos="1474"/>
        </w:tabs>
        <w:ind w:left="3345" w:hanging="1871"/>
      </w:pPr>
      <w:rPr>
        <w:rFonts w:ascii="Times New Roman" w:hAnsi="Times New Roman" w:hint="default"/>
        <w:b w:val="0"/>
        <w:i/>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DA977C0"/>
    <w:multiLevelType w:val="hybridMultilevel"/>
    <w:tmpl w:val="AEFECA8A"/>
    <w:name w:val="DOKSABLON2"/>
    <w:lvl w:ilvl="0" w:tplc="06BCCB16">
      <w:start w:val="1"/>
      <w:numFmt w:val="bullet"/>
      <w:lvlText w:val=""/>
      <w:lvlJc w:val="left"/>
      <w:pPr>
        <w:ind w:left="720" w:hanging="360"/>
      </w:pPr>
      <w:rPr>
        <w:rFonts w:ascii="Symbol" w:hAnsi="Symbol" w:hint="default"/>
        <w:sz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EF36B22"/>
    <w:multiLevelType w:val="hybridMultilevel"/>
    <w:tmpl w:val="65CCBC64"/>
    <w:lvl w:ilvl="0" w:tplc="D7EAE00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F6F001C"/>
    <w:multiLevelType w:val="hybridMultilevel"/>
    <w:tmpl w:val="D8A028D2"/>
    <w:lvl w:ilvl="0" w:tplc="040E0017">
      <w:start w:val="1"/>
      <w:numFmt w:val="lowerLetter"/>
      <w:lvlText w:val="%1)"/>
      <w:lvlJc w:val="left"/>
      <w:pPr>
        <w:ind w:left="1429" w:hanging="360"/>
      </w:pPr>
      <w:rPr>
        <w:rFonts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15:restartNumberingAfterBreak="0">
    <w:nsid w:val="37144946"/>
    <w:multiLevelType w:val="multilevel"/>
    <w:tmpl w:val="54105D90"/>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1430"/>
        </w:tabs>
        <w:ind w:left="1142" w:hanging="432"/>
      </w:pPr>
      <w:rPr>
        <w:rFonts w:hint="default"/>
      </w:rPr>
    </w:lvl>
    <w:lvl w:ilvl="2">
      <w:start w:val="1"/>
      <w:numFmt w:val="decimal"/>
      <w:pStyle w:val="Cmsor3"/>
      <w:lvlText w:val="%1.%2.%3."/>
      <w:lvlJc w:val="left"/>
      <w:pPr>
        <w:tabs>
          <w:tab w:val="num" w:pos="1571"/>
        </w:tabs>
        <w:ind w:left="1283" w:hanging="432"/>
      </w:pPr>
      <w:rPr>
        <w:rFonts w:hint="default"/>
        <w:b/>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D5358A0"/>
    <w:multiLevelType w:val="hybridMultilevel"/>
    <w:tmpl w:val="666247DE"/>
    <w:lvl w:ilvl="0" w:tplc="68FC2234">
      <w:start w:val="1"/>
      <w:numFmt w:val="decimal"/>
      <w:lvlText w:val="%1."/>
      <w:lvlJc w:val="left"/>
      <w:pPr>
        <w:ind w:left="720" w:hanging="360"/>
      </w:pPr>
      <w:rPr>
        <w:rFonts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EA74D9D"/>
    <w:multiLevelType w:val="hybridMultilevel"/>
    <w:tmpl w:val="A4CEE1F8"/>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3" w15:restartNumberingAfterBreak="0">
    <w:nsid w:val="40D032E2"/>
    <w:multiLevelType w:val="hybridMultilevel"/>
    <w:tmpl w:val="6F36F612"/>
    <w:lvl w:ilvl="0" w:tplc="EAEAC296">
      <w:start w:val="1"/>
      <w:numFmt w:val="upperRoman"/>
      <w:lvlText w:val="%1."/>
      <w:lvlJc w:val="left"/>
      <w:pPr>
        <w:ind w:left="720" w:hanging="360"/>
      </w:pPr>
      <w:rPr>
        <w:rFonts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18C66E8"/>
    <w:multiLevelType w:val="hybridMultilevel"/>
    <w:tmpl w:val="52562992"/>
    <w:lvl w:ilvl="0" w:tplc="1B88AE36">
      <w:start w:val="1"/>
      <w:numFmt w:val="bullet"/>
      <w:lvlText w:val=""/>
      <w:lvlJc w:val="left"/>
      <w:pPr>
        <w:ind w:left="720" w:hanging="360"/>
      </w:pPr>
      <w:rPr>
        <w:rFonts w:ascii="Symbol" w:hAnsi="Symbol" w:hint="default"/>
        <w:b/>
        <w:color w:val="4BACC6" w:themeColor="accent5"/>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41B45823"/>
    <w:multiLevelType w:val="hybridMultilevel"/>
    <w:tmpl w:val="E4DC832E"/>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6" w15:restartNumberingAfterBreak="0">
    <w:nsid w:val="44343A2A"/>
    <w:multiLevelType w:val="hybridMultilevel"/>
    <w:tmpl w:val="3B9051B2"/>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7" w15:restartNumberingAfterBreak="0">
    <w:nsid w:val="453837B1"/>
    <w:multiLevelType w:val="hybridMultilevel"/>
    <w:tmpl w:val="40E63B8C"/>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15:restartNumberingAfterBreak="0">
    <w:nsid w:val="45BB5383"/>
    <w:multiLevelType w:val="hybridMultilevel"/>
    <w:tmpl w:val="46D0017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95C20FD"/>
    <w:multiLevelType w:val="hybridMultilevel"/>
    <w:tmpl w:val="81A03BE2"/>
    <w:lvl w:ilvl="0" w:tplc="040E0017">
      <w:start w:val="1"/>
      <w:numFmt w:val="lowerLetter"/>
      <w:lvlText w:val="%1)"/>
      <w:lvlJc w:val="left"/>
      <w:pPr>
        <w:ind w:left="1069" w:hanging="360"/>
      </w:pPr>
      <w:rPr>
        <w:rFonts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0" w15:restartNumberingAfterBreak="0">
    <w:nsid w:val="4E4A32DD"/>
    <w:multiLevelType w:val="hybridMultilevel"/>
    <w:tmpl w:val="0B68E7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EA0131D"/>
    <w:multiLevelType w:val="hybridMultilevel"/>
    <w:tmpl w:val="6FBA8F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FF948CB"/>
    <w:multiLevelType w:val="hybridMultilevel"/>
    <w:tmpl w:val="710C3EA6"/>
    <w:lvl w:ilvl="0" w:tplc="040E0017">
      <w:start w:val="1"/>
      <w:numFmt w:val="lowerLetter"/>
      <w:lvlText w:val="%1)"/>
      <w:lvlJc w:val="left"/>
      <w:pPr>
        <w:ind w:left="1068" w:hanging="360"/>
      </w:pPr>
      <w:rPr>
        <w:rFont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15:restartNumberingAfterBreak="0">
    <w:nsid w:val="506F746C"/>
    <w:multiLevelType w:val="hybridMultilevel"/>
    <w:tmpl w:val="2ACC34B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4201F22"/>
    <w:multiLevelType w:val="hybridMultilevel"/>
    <w:tmpl w:val="2910CCF2"/>
    <w:name w:val="DOKSABLON22"/>
    <w:lvl w:ilvl="0" w:tplc="06BCCB16">
      <w:start w:val="1"/>
      <w:numFmt w:val="bullet"/>
      <w:lvlText w:val=""/>
      <w:lvlJc w:val="left"/>
      <w:pPr>
        <w:ind w:left="720" w:hanging="360"/>
      </w:pPr>
      <w:rPr>
        <w:rFonts w:ascii="Symbol" w:hAnsi="Symbol" w:hint="default"/>
        <w:sz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9956EC4"/>
    <w:multiLevelType w:val="multilevel"/>
    <w:tmpl w:val="4B8EF574"/>
    <w:styleLink w:val="Stlus1"/>
    <w:lvl w:ilvl="0">
      <w:start w:val="1"/>
      <w:numFmt w:val="decimal"/>
      <w:lvlText w:val="%1."/>
      <w:lvlJc w:val="left"/>
      <w:pPr>
        <w:ind w:left="4137" w:hanging="368"/>
      </w:pPr>
      <w:rPr>
        <w:rFonts w:ascii="Times New Roman" w:hAnsi="Times New Roman" w:hint="default"/>
        <w:b/>
        <w:i/>
        <w:sz w:val="28"/>
      </w:rPr>
    </w:lvl>
    <w:lvl w:ilvl="1">
      <w:start w:val="1"/>
      <w:numFmt w:val="decimal"/>
      <w:lvlText w:val="%1.%2."/>
      <w:lvlJc w:val="left"/>
      <w:pPr>
        <w:ind w:left="4194" w:hanging="85"/>
      </w:pPr>
      <w:rPr>
        <w:rFonts w:ascii="Times New Roman" w:hAnsi="Times New Roman" w:hint="default"/>
        <w:b/>
        <w:i/>
        <w:sz w:val="26"/>
      </w:rPr>
    </w:lvl>
    <w:lvl w:ilvl="2">
      <w:start w:val="1"/>
      <w:numFmt w:val="decimal"/>
      <w:lvlText w:val="%1.%2.%3."/>
      <w:lvlJc w:val="left"/>
      <w:pPr>
        <w:ind w:left="4535" w:hanging="86"/>
      </w:pPr>
      <w:rPr>
        <w:rFonts w:ascii="Times New Roman" w:hAnsi="Times New Roman" w:hint="default"/>
        <w:sz w:val="24"/>
      </w:rPr>
    </w:lvl>
    <w:lvl w:ilvl="3">
      <w:start w:val="1"/>
      <w:numFmt w:val="decimal"/>
      <w:lvlText w:val="%1.%2.%3.%4."/>
      <w:lvlJc w:val="left"/>
      <w:pPr>
        <w:ind w:left="4762" w:firstLine="27"/>
      </w:pPr>
      <w:rPr>
        <w:rFonts w:ascii="Times New Roman" w:hAnsi="Times New Roman" w:hint="default"/>
        <w:i/>
        <w:sz w:val="24"/>
      </w:rPr>
    </w:lvl>
    <w:lvl w:ilvl="4">
      <w:start w:val="1"/>
      <w:numFmt w:val="decimal"/>
      <w:lvlText w:val="%1.%2.%3.%4.%5."/>
      <w:lvlJc w:val="left"/>
      <w:pPr>
        <w:ind w:left="5160" w:hanging="31"/>
      </w:pPr>
      <w:rPr>
        <w:rFonts w:ascii="Times New Roman" w:hAnsi="Times New Roman" w:hint="default"/>
        <w:i/>
        <w:sz w:val="24"/>
      </w:rPr>
    </w:lvl>
    <w:lvl w:ilvl="5">
      <w:start w:val="1"/>
      <w:numFmt w:val="decimal"/>
      <w:lvlText w:val="%1.%2.%3.%4.%5.%6"/>
      <w:lvlJc w:val="left"/>
      <w:pPr>
        <w:ind w:left="5837" w:hanging="368"/>
      </w:pPr>
      <w:rPr>
        <w:rFonts w:hint="default"/>
      </w:rPr>
    </w:lvl>
    <w:lvl w:ilvl="6">
      <w:start w:val="1"/>
      <w:numFmt w:val="decimal"/>
      <w:lvlText w:val="%1.%2.%3.%4.%5.%6.%7"/>
      <w:lvlJc w:val="left"/>
      <w:pPr>
        <w:ind w:left="6177" w:hanging="368"/>
      </w:pPr>
      <w:rPr>
        <w:rFonts w:hint="default"/>
      </w:rPr>
    </w:lvl>
    <w:lvl w:ilvl="7">
      <w:start w:val="1"/>
      <w:numFmt w:val="decimal"/>
      <w:lvlText w:val="%1.%2.%3.%4.%5.%6.%7.%8"/>
      <w:lvlJc w:val="left"/>
      <w:pPr>
        <w:ind w:left="6517" w:hanging="368"/>
      </w:pPr>
      <w:rPr>
        <w:rFonts w:hint="default"/>
      </w:rPr>
    </w:lvl>
    <w:lvl w:ilvl="8">
      <w:start w:val="1"/>
      <w:numFmt w:val="decimal"/>
      <w:lvlText w:val="%1.%2.%3.%4.%5.%6.%7.%8.%9"/>
      <w:lvlJc w:val="left"/>
      <w:pPr>
        <w:ind w:left="6857" w:hanging="368"/>
      </w:pPr>
      <w:rPr>
        <w:rFonts w:hint="default"/>
      </w:rPr>
    </w:lvl>
  </w:abstractNum>
  <w:abstractNum w:abstractNumId="36" w15:restartNumberingAfterBreak="0">
    <w:nsid w:val="5F114A9C"/>
    <w:multiLevelType w:val="hybridMultilevel"/>
    <w:tmpl w:val="F9804A0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60446437"/>
    <w:multiLevelType w:val="hybridMultilevel"/>
    <w:tmpl w:val="46D0017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0F443AF"/>
    <w:multiLevelType w:val="hybridMultilevel"/>
    <w:tmpl w:val="710C3EA6"/>
    <w:lvl w:ilvl="0" w:tplc="040E0017">
      <w:start w:val="1"/>
      <w:numFmt w:val="lowerLetter"/>
      <w:lvlText w:val="%1)"/>
      <w:lvlJc w:val="left"/>
      <w:pPr>
        <w:ind w:left="1068" w:hanging="360"/>
      </w:pPr>
      <w:rPr>
        <w:rFont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9" w15:restartNumberingAfterBreak="0">
    <w:nsid w:val="663D0D05"/>
    <w:multiLevelType w:val="hybridMultilevel"/>
    <w:tmpl w:val="6FBA8F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8E616F1"/>
    <w:multiLevelType w:val="hybridMultilevel"/>
    <w:tmpl w:val="46D0017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BA03837"/>
    <w:multiLevelType w:val="hybridMultilevel"/>
    <w:tmpl w:val="710C3EA6"/>
    <w:lvl w:ilvl="0" w:tplc="040E0017">
      <w:start w:val="1"/>
      <w:numFmt w:val="lowerLetter"/>
      <w:lvlText w:val="%1)"/>
      <w:lvlJc w:val="left"/>
      <w:pPr>
        <w:ind w:left="1068" w:hanging="360"/>
      </w:pPr>
      <w:rPr>
        <w:rFont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15:restartNumberingAfterBreak="0">
    <w:nsid w:val="6C4B4DC1"/>
    <w:multiLevelType w:val="hybridMultilevel"/>
    <w:tmpl w:val="384AD9D8"/>
    <w:lvl w:ilvl="0" w:tplc="040E0017">
      <w:start w:val="1"/>
      <w:numFmt w:val="lowerLetter"/>
      <w:lvlText w:val="%1)"/>
      <w:lvlJc w:val="left"/>
      <w:pPr>
        <w:ind w:left="1429" w:hanging="360"/>
      </w:pPr>
      <w:rPr>
        <w:rFonts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4" w15:restartNumberingAfterBreak="0">
    <w:nsid w:val="7124555D"/>
    <w:multiLevelType w:val="hybridMultilevel"/>
    <w:tmpl w:val="40E63B8C"/>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5" w15:restartNumberingAfterBreak="0">
    <w:nsid w:val="789A6C57"/>
    <w:multiLevelType w:val="hybridMultilevel"/>
    <w:tmpl w:val="2A30EBD0"/>
    <w:lvl w:ilvl="0" w:tplc="DCD448EA">
      <w:start w:val="6"/>
      <w:numFmt w:val="upperRoman"/>
      <w:lvlText w:val="%1."/>
      <w:lvlJc w:val="left"/>
      <w:pPr>
        <w:ind w:left="658" w:hanging="360"/>
      </w:pPr>
      <w:rPr>
        <w:rFonts w:hint="default"/>
      </w:rPr>
    </w:lvl>
    <w:lvl w:ilvl="1" w:tplc="040E0019" w:tentative="1">
      <w:start w:val="1"/>
      <w:numFmt w:val="lowerLetter"/>
      <w:lvlText w:val="%2."/>
      <w:lvlJc w:val="left"/>
      <w:pPr>
        <w:ind w:left="1378" w:hanging="360"/>
      </w:pPr>
    </w:lvl>
    <w:lvl w:ilvl="2" w:tplc="040E001B" w:tentative="1">
      <w:start w:val="1"/>
      <w:numFmt w:val="lowerRoman"/>
      <w:lvlText w:val="%3."/>
      <w:lvlJc w:val="right"/>
      <w:pPr>
        <w:ind w:left="2098" w:hanging="180"/>
      </w:pPr>
    </w:lvl>
    <w:lvl w:ilvl="3" w:tplc="040E000F" w:tentative="1">
      <w:start w:val="1"/>
      <w:numFmt w:val="decimal"/>
      <w:lvlText w:val="%4."/>
      <w:lvlJc w:val="left"/>
      <w:pPr>
        <w:ind w:left="2818" w:hanging="360"/>
      </w:pPr>
    </w:lvl>
    <w:lvl w:ilvl="4" w:tplc="040E0019" w:tentative="1">
      <w:start w:val="1"/>
      <w:numFmt w:val="lowerLetter"/>
      <w:lvlText w:val="%5."/>
      <w:lvlJc w:val="left"/>
      <w:pPr>
        <w:ind w:left="3538" w:hanging="360"/>
      </w:pPr>
    </w:lvl>
    <w:lvl w:ilvl="5" w:tplc="040E001B" w:tentative="1">
      <w:start w:val="1"/>
      <w:numFmt w:val="lowerRoman"/>
      <w:lvlText w:val="%6."/>
      <w:lvlJc w:val="right"/>
      <w:pPr>
        <w:ind w:left="4258" w:hanging="180"/>
      </w:pPr>
    </w:lvl>
    <w:lvl w:ilvl="6" w:tplc="040E000F" w:tentative="1">
      <w:start w:val="1"/>
      <w:numFmt w:val="decimal"/>
      <w:lvlText w:val="%7."/>
      <w:lvlJc w:val="left"/>
      <w:pPr>
        <w:ind w:left="4978" w:hanging="360"/>
      </w:pPr>
    </w:lvl>
    <w:lvl w:ilvl="7" w:tplc="040E0019" w:tentative="1">
      <w:start w:val="1"/>
      <w:numFmt w:val="lowerLetter"/>
      <w:lvlText w:val="%8."/>
      <w:lvlJc w:val="left"/>
      <w:pPr>
        <w:ind w:left="5698" w:hanging="360"/>
      </w:pPr>
    </w:lvl>
    <w:lvl w:ilvl="8" w:tplc="040E001B" w:tentative="1">
      <w:start w:val="1"/>
      <w:numFmt w:val="lowerRoman"/>
      <w:lvlText w:val="%9."/>
      <w:lvlJc w:val="right"/>
      <w:pPr>
        <w:ind w:left="6418" w:hanging="180"/>
      </w:pPr>
    </w:lvl>
  </w:abstractNum>
  <w:abstractNum w:abstractNumId="46" w15:restartNumberingAfterBreak="0">
    <w:nsid w:val="796140FB"/>
    <w:multiLevelType w:val="hybridMultilevel"/>
    <w:tmpl w:val="443875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9C70EB1"/>
    <w:multiLevelType w:val="hybridMultilevel"/>
    <w:tmpl w:val="710C3EA6"/>
    <w:lvl w:ilvl="0" w:tplc="040E0017">
      <w:start w:val="1"/>
      <w:numFmt w:val="lowerLetter"/>
      <w:lvlText w:val="%1)"/>
      <w:lvlJc w:val="left"/>
      <w:pPr>
        <w:ind w:left="1068" w:hanging="360"/>
      </w:pPr>
      <w:rPr>
        <w:rFont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35"/>
  </w:num>
  <w:num w:numId="2">
    <w:abstractNumId w:val="13"/>
  </w:num>
  <w:num w:numId="3">
    <w:abstractNumId w:val="18"/>
  </w:num>
  <w:num w:numId="4">
    <w:abstractNumId w:val="20"/>
  </w:num>
  <w:num w:numId="5">
    <w:abstractNumId w:val="46"/>
  </w:num>
  <w:num w:numId="6">
    <w:abstractNumId w:val="12"/>
  </w:num>
  <w:num w:numId="7">
    <w:abstractNumId w:val="7"/>
  </w:num>
  <w:num w:numId="8">
    <w:abstractNumId w:val="3"/>
  </w:num>
  <w:num w:numId="9">
    <w:abstractNumId w:val="4"/>
  </w:num>
  <w:num w:numId="10">
    <w:abstractNumId w:val="8"/>
  </w:num>
  <w:num w:numId="11">
    <w:abstractNumId w:val="43"/>
  </w:num>
  <w:num w:numId="12">
    <w:abstractNumId w:val="30"/>
  </w:num>
  <w:num w:numId="13">
    <w:abstractNumId w:val="2"/>
  </w:num>
  <w:num w:numId="14">
    <w:abstractNumId w:val="5"/>
  </w:num>
  <w:num w:numId="15">
    <w:abstractNumId w:val="40"/>
  </w:num>
  <w:num w:numId="16">
    <w:abstractNumId w:val="1"/>
  </w:num>
  <w:num w:numId="17">
    <w:abstractNumId w:val="10"/>
  </w:num>
  <w:num w:numId="18">
    <w:abstractNumId w:val="37"/>
  </w:num>
  <w:num w:numId="19">
    <w:abstractNumId w:val="32"/>
  </w:num>
  <w:num w:numId="20">
    <w:abstractNumId w:val="47"/>
  </w:num>
  <w:num w:numId="21">
    <w:abstractNumId w:val="41"/>
  </w:num>
  <w:num w:numId="22">
    <w:abstractNumId w:val="28"/>
  </w:num>
  <w:num w:numId="23">
    <w:abstractNumId w:val="29"/>
  </w:num>
  <w:num w:numId="24">
    <w:abstractNumId w:val="11"/>
  </w:num>
  <w:num w:numId="25">
    <w:abstractNumId w:val="19"/>
  </w:num>
  <w:num w:numId="26">
    <w:abstractNumId w:val="42"/>
  </w:num>
  <w:num w:numId="27">
    <w:abstractNumId w:val="44"/>
  </w:num>
  <w:num w:numId="28">
    <w:abstractNumId w:val="27"/>
  </w:num>
  <w:num w:numId="29">
    <w:abstractNumId w:val="36"/>
  </w:num>
  <w:num w:numId="30">
    <w:abstractNumId w:val="31"/>
  </w:num>
  <w:num w:numId="31">
    <w:abstractNumId w:val="38"/>
  </w:num>
  <w:num w:numId="32">
    <w:abstractNumId w:val="39"/>
  </w:num>
  <w:num w:numId="33">
    <w:abstractNumId w:val="33"/>
  </w:num>
  <w:num w:numId="34">
    <w:abstractNumId w:val="15"/>
  </w:num>
  <w:num w:numId="35">
    <w:abstractNumId w:val="25"/>
  </w:num>
  <w:num w:numId="36">
    <w:abstractNumId w:val="26"/>
  </w:num>
  <w:num w:numId="37">
    <w:abstractNumId w:val="14"/>
  </w:num>
  <w:num w:numId="38">
    <w:abstractNumId w:val="22"/>
  </w:num>
  <w:num w:numId="39">
    <w:abstractNumId w:val="9"/>
  </w:num>
  <w:num w:numId="40">
    <w:abstractNumId w:val="0"/>
  </w:num>
  <w:num w:numId="41">
    <w:abstractNumId w:val="24"/>
    <w:lvlOverride w:ilvl="0">
      <w:startOverride w:val="1"/>
    </w:lvlOverride>
  </w:num>
  <w:num w:numId="42">
    <w:abstractNumId w:val="45"/>
  </w:num>
  <w:num w:numId="43">
    <w:abstractNumId w:val="6"/>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F3"/>
    <w:rsid w:val="0000201C"/>
    <w:rsid w:val="0000221D"/>
    <w:rsid w:val="00004A55"/>
    <w:rsid w:val="00005681"/>
    <w:rsid w:val="00005E51"/>
    <w:rsid w:val="00010AB0"/>
    <w:rsid w:val="0001307C"/>
    <w:rsid w:val="00014381"/>
    <w:rsid w:val="00014B94"/>
    <w:rsid w:val="00014D73"/>
    <w:rsid w:val="00014EB3"/>
    <w:rsid w:val="00015103"/>
    <w:rsid w:val="00016510"/>
    <w:rsid w:val="0001660D"/>
    <w:rsid w:val="00016CED"/>
    <w:rsid w:val="00017903"/>
    <w:rsid w:val="00023AE4"/>
    <w:rsid w:val="000241E8"/>
    <w:rsid w:val="0002426E"/>
    <w:rsid w:val="00024571"/>
    <w:rsid w:val="0002536B"/>
    <w:rsid w:val="00025A0C"/>
    <w:rsid w:val="00026B26"/>
    <w:rsid w:val="00030770"/>
    <w:rsid w:val="000313C0"/>
    <w:rsid w:val="00031436"/>
    <w:rsid w:val="00031BCA"/>
    <w:rsid w:val="00032FDB"/>
    <w:rsid w:val="00033176"/>
    <w:rsid w:val="00033B18"/>
    <w:rsid w:val="00035E89"/>
    <w:rsid w:val="0004026E"/>
    <w:rsid w:val="00041BB6"/>
    <w:rsid w:val="00041D00"/>
    <w:rsid w:val="00043113"/>
    <w:rsid w:val="000469B5"/>
    <w:rsid w:val="00047ADC"/>
    <w:rsid w:val="00051D7F"/>
    <w:rsid w:val="00053979"/>
    <w:rsid w:val="000540E9"/>
    <w:rsid w:val="0005726A"/>
    <w:rsid w:val="0006142B"/>
    <w:rsid w:val="000624D4"/>
    <w:rsid w:val="00062557"/>
    <w:rsid w:val="00062CCC"/>
    <w:rsid w:val="00063D91"/>
    <w:rsid w:val="00065C54"/>
    <w:rsid w:val="00066D29"/>
    <w:rsid w:val="00070FCB"/>
    <w:rsid w:val="000719B4"/>
    <w:rsid w:val="000756AF"/>
    <w:rsid w:val="00076072"/>
    <w:rsid w:val="00077A28"/>
    <w:rsid w:val="00077C8E"/>
    <w:rsid w:val="00084924"/>
    <w:rsid w:val="00084C9D"/>
    <w:rsid w:val="00084FEA"/>
    <w:rsid w:val="00085C10"/>
    <w:rsid w:val="00085F05"/>
    <w:rsid w:val="00087CF8"/>
    <w:rsid w:val="000916F3"/>
    <w:rsid w:val="0009310D"/>
    <w:rsid w:val="0009354C"/>
    <w:rsid w:val="000940B7"/>
    <w:rsid w:val="00096CBF"/>
    <w:rsid w:val="00097420"/>
    <w:rsid w:val="000A03D6"/>
    <w:rsid w:val="000A197F"/>
    <w:rsid w:val="000A39C3"/>
    <w:rsid w:val="000A5BEE"/>
    <w:rsid w:val="000A5F6C"/>
    <w:rsid w:val="000A7547"/>
    <w:rsid w:val="000A78F6"/>
    <w:rsid w:val="000B0AC8"/>
    <w:rsid w:val="000B1552"/>
    <w:rsid w:val="000B5877"/>
    <w:rsid w:val="000B5A2E"/>
    <w:rsid w:val="000B6160"/>
    <w:rsid w:val="000B6DA4"/>
    <w:rsid w:val="000B7339"/>
    <w:rsid w:val="000B766E"/>
    <w:rsid w:val="000C058D"/>
    <w:rsid w:val="000C3714"/>
    <w:rsid w:val="000C39F3"/>
    <w:rsid w:val="000C464D"/>
    <w:rsid w:val="000C66E7"/>
    <w:rsid w:val="000C6981"/>
    <w:rsid w:val="000C73A0"/>
    <w:rsid w:val="000D0013"/>
    <w:rsid w:val="000D15A8"/>
    <w:rsid w:val="000D297F"/>
    <w:rsid w:val="000D61BF"/>
    <w:rsid w:val="000D6D0F"/>
    <w:rsid w:val="000D73B8"/>
    <w:rsid w:val="000E0706"/>
    <w:rsid w:val="000E3CE0"/>
    <w:rsid w:val="000E51BB"/>
    <w:rsid w:val="000E78DD"/>
    <w:rsid w:val="000F02FC"/>
    <w:rsid w:val="000F07FC"/>
    <w:rsid w:val="000F0898"/>
    <w:rsid w:val="000F1934"/>
    <w:rsid w:val="000F367C"/>
    <w:rsid w:val="000F3D42"/>
    <w:rsid w:val="000F440C"/>
    <w:rsid w:val="000F6B5E"/>
    <w:rsid w:val="0010079E"/>
    <w:rsid w:val="00102C1C"/>
    <w:rsid w:val="00103FE7"/>
    <w:rsid w:val="00105CBA"/>
    <w:rsid w:val="00106EEB"/>
    <w:rsid w:val="00107738"/>
    <w:rsid w:val="001104AF"/>
    <w:rsid w:val="00111833"/>
    <w:rsid w:val="0011531C"/>
    <w:rsid w:val="001209B1"/>
    <w:rsid w:val="00122027"/>
    <w:rsid w:val="00122B61"/>
    <w:rsid w:val="00124CED"/>
    <w:rsid w:val="001251A1"/>
    <w:rsid w:val="00125A3E"/>
    <w:rsid w:val="00125FE9"/>
    <w:rsid w:val="00126AB4"/>
    <w:rsid w:val="0012794E"/>
    <w:rsid w:val="00130BE1"/>
    <w:rsid w:val="001315EC"/>
    <w:rsid w:val="00133122"/>
    <w:rsid w:val="00135233"/>
    <w:rsid w:val="001368B3"/>
    <w:rsid w:val="00140FBD"/>
    <w:rsid w:val="0014155B"/>
    <w:rsid w:val="00141A8A"/>
    <w:rsid w:val="00143AAF"/>
    <w:rsid w:val="00146774"/>
    <w:rsid w:val="00150E01"/>
    <w:rsid w:val="00151523"/>
    <w:rsid w:val="00151CA4"/>
    <w:rsid w:val="00151DE2"/>
    <w:rsid w:val="001535B6"/>
    <w:rsid w:val="00153E50"/>
    <w:rsid w:val="00155D47"/>
    <w:rsid w:val="00160B31"/>
    <w:rsid w:val="00164030"/>
    <w:rsid w:val="0016706E"/>
    <w:rsid w:val="00167ADA"/>
    <w:rsid w:val="00170F2B"/>
    <w:rsid w:val="00173E69"/>
    <w:rsid w:val="00175345"/>
    <w:rsid w:val="001761FD"/>
    <w:rsid w:val="0018076A"/>
    <w:rsid w:val="001809F5"/>
    <w:rsid w:val="00180CC9"/>
    <w:rsid w:val="001810FB"/>
    <w:rsid w:val="001811F1"/>
    <w:rsid w:val="001825E0"/>
    <w:rsid w:val="00182D1D"/>
    <w:rsid w:val="00183070"/>
    <w:rsid w:val="00183D31"/>
    <w:rsid w:val="00184F78"/>
    <w:rsid w:val="001862ED"/>
    <w:rsid w:val="0019070A"/>
    <w:rsid w:val="0019162B"/>
    <w:rsid w:val="00192ACF"/>
    <w:rsid w:val="0019454F"/>
    <w:rsid w:val="0019790A"/>
    <w:rsid w:val="00197C48"/>
    <w:rsid w:val="00197EB9"/>
    <w:rsid w:val="001A007D"/>
    <w:rsid w:val="001A00DA"/>
    <w:rsid w:val="001A194D"/>
    <w:rsid w:val="001A33AD"/>
    <w:rsid w:val="001A4722"/>
    <w:rsid w:val="001A663E"/>
    <w:rsid w:val="001A67DD"/>
    <w:rsid w:val="001A7144"/>
    <w:rsid w:val="001B0A42"/>
    <w:rsid w:val="001B2256"/>
    <w:rsid w:val="001B2ACF"/>
    <w:rsid w:val="001B42F5"/>
    <w:rsid w:val="001B58AE"/>
    <w:rsid w:val="001B5952"/>
    <w:rsid w:val="001B5FC0"/>
    <w:rsid w:val="001B7B45"/>
    <w:rsid w:val="001C37DA"/>
    <w:rsid w:val="001C3806"/>
    <w:rsid w:val="001C3B16"/>
    <w:rsid w:val="001C431B"/>
    <w:rsid w:val="001C4BDF"/>
    <w:rsid w:val="001C548A"/>
    <w:rsid w:val="001C600E"/>
    <w:rsid w:val="001D11DD"/>
    <w:rsid w:val="001D21D3"/>
    <w:rsid w:val="001D2CA0"/>
    <w:rsid w:val="001D3B1B"/>
    <w:rsid w:val="001D3FDC"/>
    <w:rsid w:val="001D6346"/>
    <w:rsid w:val="001D747D"/>
    <w:rsid w:val="001D7D05"/>
    <w:rsid w:val="001D7D55"/>
    <w:rsid w:val="001E062A"/>
    <w:rsid w:val="001E0A15"/>
    <w:rsid w:val="001E1F70"/>
    <w:rsid w:val="001E29B8"/>
    <w:rsid w:val="001E2A7E"/>
    <w:rsid w:val="001E39DA"/>
    <w:rsid w:val="001E4DD5"/>
    <w:rsid w:val="001E5D15"/>
    <w:rsid w:val="001E7940"/>
    <w:rsid w:val="001F0407"/>
    <w:rsid w:val="001F040E"/>
    <w:rsid w:val="001F1017"/>
    <w:rsid w:val="001F1266"/>
    <w:rsid w:val="001F129B"/>
    <w:rsid w:val="001F344E"/>
    <w:rsid w:val="001F34EE"/>
    <w:rsid w:val="001F5464"/>
    <w:rsid w:val="001F583A"/>
    <w:rsid w:val="001F5B01"/>
    <w:rsid w:val="001F6781"/>
    <w:rsid w:val="001F6F1C"/>
    <w:rsid w:val="00200603"/>
    <w:rsid w:val="00204696"/>
    <w:rsid w:val="00204E54"/>
    <w:rsid w:val="0020506C"/>
    <w:rsid w:val="00205290"/>
    <w:rsid w:val="00205B79"/>
    <w:rsid w:val="0020666E"/>
    <w:rsid w:val="002073FB"/>
    <w:rsid w:val="002107CB"/>
    <w:rsid w:val="00210D1E"/>
    <w:rsid w:val="0021185D"/>
    <w:rsid w:val="00211C14"/>
    <w:rsid w:val="00211EDD"/>
    <w:rsid w:val="00213EB4"/>
    <w:rsid w:val="00215792"/>
    <w:rsid w:val="00215C95"/>
    <w:rsid w:val="00216395"/>
    <w:rsid w:val="002164C3"/>
    <w:rsid w:val="002166B8"/>
    <w:rsid w:val="00221929"/>
    <w:rsid w:val="00222085"/>
    <w:rsid w:val="00222A32"/>
    <w:rsid w:val="00224A21"/>
    <w:rsid w:val="002253EC"/>
    <w:rsid w:val="002273BF"/>
    <w:rsid w:val="002307AA"/>
    <w:rsid w:val="0023102D"/>
    <w:rsid w:val="00233F16"/>
    <w:rsid w:val="002431C7"/>
    <w:rsid w:val="00243580"/>
    <w:rsid w:val="00244402"/>
    <w:rsid w:val="002455AB"/>
    <w:rsid w:val="00245F1B"/>
    <w:rsid w:val="00250360"/>
    <w:rsid w:val="00252845"/>
    <w:rsid w:val="00254CCC"/>
    <w:rsid w:val="0025524E"/>
    <w:rsid w:val="0025589E"/>
    <w:rsid w:val="00256A05"/>
    <w:rsid w:val="00256F57"/>
    <w:rsid w:val="0025733D"/>
    <w:rsid w:val="002573DE"/>
    <w:rsid w:val="0026021B"/>
    <w:rsid w:val="00261B03"/>
    <w:rsid w:val="00262112"/>
    <w:rsid w:val="00262248"/>
    <w:rsid w:val="002623A6"/>
    <w:rsid w:val="002636B7"/>
    <w:rsid w:val="00264245"/>
    <w:rsid w:val="00266971"/>
    <w:rsid w:val="00267094"/>
    <w:rsid w:val="00270B16"/>
    <w:rsid w:val="00272C87"/>
    <w:rsid w:val="0027302D"/>
    <w:rsid w:val="00273290"/>
    <w:rsid w:val="00273DAD"/>
    <w:rsid w:val="00273EBE"/>
    <w:rsid w:val="00274629"/>
    <w:rsid w:val="0027644E"/>
    <w:rsid w:val="0027722D"/>
    <w:rsid w:val="0027798B"/>
    <w:rsid w:val="002805B3"/>
    <w:rsid w:val="0028086E"/>
    <w:rsid w:val="00281263"/>
    <w:rsid w:val="0028395E"/>
    <w:rsid w:val="0028514E"/>
    <w:rsid w:val="00285C2C"/>
    <w:rsid w:val="002861EE"/>
    <w:rsid w:val="0028620D"/>
    <w:rsid w:val="00286647"/>
    <w:rsid w:val="0028733C"/>
    <w:rsid w:val="002900BB"/>
    <w:rsid w:val="00290153"/>
    <w:rsid w:val="00290A57"/>
    <w:rsid w:val="00290D0F"/>
    <w:rsid w:val="002912A0"/>
    <w:rsid w:val="00291876"/>
    <w:rsid w:val="00292164"/>
    <w:rsid w:val="002933C5"/>
    <w:rsid w:val="00293EB0"/>
    <w:rsid w:val="0029490B"/>
    <w:rsid w:val="00295BDB"/>
    <w:rsid w:val="00296676"/>
    <w:rsid w:val="002A1B5C"/>
    <w:rsid w:val="002A4B90"/>
    <w:rsid w:val="002A747F"/>
    <w:rsid w:val="002A7BB1"/>
    <w:rsid w:val="002A7DA8"/>
    <w:rsid w:val="002B01CE"/>
    <w:rsid w:val="002B0246"/>
    <w:rsid w:val="002B2274"/>
    <w:rsid w:val="002B3ECD"/>
    <w:rsid w:val="002B41DE"/>
    <w:rsid w:val="002B52F6"/>
    <w:rsid w:val="002C1A87"/>
    <w:rsid w:val="002C1B20"/>
    <w:rsid w:val="002C1FC0"/>
    <w:rsid w:val="002C21C0"/>
    <w:rsid w:val="002C24DF"/>
    <w:rsid w:val="002C2767"/>
    <w:rsid w:val="002C2B79"/>
    <w:rsid w:val="002C3308"/>
    <w:rsid w:val="002C3340"/>
    <w:rsid w:val="002C3C2E"/>
    <w:rsid w:val="002C4E5D"/>
    <w:rsid w:val="002C62DE"/>
    <w:rsid w:val="002C6591"/>
    <w:rsid w:val="002C7B6C"/>
    <w:rsid w:val="002D2C4C"/>
    <w:rsid w:val="002D2DEA"/>
    <w:rsid w:val="002D2E57"/>
    <w:rsid w:val="002D5143"/>
    <w:rsid w:val="002D5ABA"/>
    <w:rsid w:val="002D5C23"/>
    <w:rsid w:val="002E1DE6"/>
    <w:rsid w:val="002E1ED2"/>
    <w:rsid w:val="002E20DD"/>
    <w:rsid w:val="002E4775"/>
    <w:rsid w:val="002E6146"/>
    <w:rsid w:val="002E67EF"/>
    <w:rsid w:val="002E6C87"/>
    <w:rsid w:val="002F086A"/>
    <w:rsid w:val="002F2058"/>
    <w:rsid w:val="002F2F18"/>
    <w:rsid w:val="002F5DDA"/>
    <w:rsid w:val="002F70EB"/>
    <w:rsid w:val="00302392"/>
    <w:rsid w:val="00303122"/>
    <w:rsid w:val="00303AD6"/>
    <w:rsid w:val="00303F2E"/>
    <w:rsid w:val="00304A7B"/>
    <w:rsid w:val="00307866"/>
    <w:rsid w:val="00311A7A"/>
    <w:rsid w:val="00312439"/>
    <w:rsid w:val="0031300A"/>
    <w:rsid w:val="00313357"/>
    <w:rsid w:val="0031618C"/>
    <w:rsid w:val="00316360"/>
    <w:rsid w:val="003203B0"/>
    <w:rsid w:val="00320797"/>
    <w:rsid w:val="00324827"/>
    <w:rsid w:val="0032490C"/>
    <w:rsid w:val="00324B66"/>
    <w:rsid w:val="00324F25"/>
    <w:rsid w:val="003308A4"/>
    <w:rsid w:val="0033128A"/>
    <w:rsid w:val="00331691"/>
    <w:rsid w:val="00331F3D"/>
    <w:rsid w:val="00333110"/>
    <w:rsid w:val="00333D82"/>
    <w:rsid w:val="00335D13"/>
    <w:rsid w:val="00336665"/>
    <w:rsid w:val="00336B74"/>
    <w:rsid w:val="00337162"/>
    <w:rsid w:val="0033720E"/>
    <w:rsid w:val="003374C5"/>
    <w:rsid w:val="0033799B"/>
    <w:rsid w:val="0034064E"/>
    <w:rsid w:val="00340D0F"/>
    <w:rsid w:val="00341463"/>
    <w:rsid w:val="0034262B"/>
    <w:rsid w:val="003458D9"/>
    <w:rsid w:val="00347007"/>
    <w:rsid w:val="00347805"/>
    <w:rsid w:val="00347CC7"/>
    <w:rsid w:val="00347D6B"/>
    <w:rsid w:val="00350389"/>
    <w:rsid w:val="003507E4"/>
    <w:rsid w:val="0035374A"/>
    <w:rsid w:val="003537E6"/>
    <w:rsid w:val="00355627"/>
    <w:rsid w:val="003579A2"/>
    <w:rsid w:val="00362392"/>
    <w:rsid w:val="003624B1"/>
    <w:rsid w:val="00364D2C"/>
    <w:rsid w:val="003678E3"/>
    <w:rsid w:val="00367939"/>
    <w:rsid w:val="00367D1B"/>
    <w:rsid w:val="0037351D"/>
    <w:rsid w:val="00373867"/>
    <w:rsid w:val="003747A0"/>
    <w:rsid w:val="0037588B"/>
    <w:rsid w:val="003760B1"/>
    <w:rsid w:val="00383AE6"/>
    <w:rsid w:val="0038509B"/>
    <w:rsid w:val="003862E5"/>
    <w:rsid w:val="0038631F"/>
    <w:rsid w:val="00387CC3"/>
    <w:rsid w:val="003904B6"/>
    <w:rsid w:val="0039098A"/>
    <w:rsid w:val="003924F7"/>
    <w:rsid w:val="0039306E"/>
    <w:rsid w:val="00393398"/>
    <w:rsid w:val="0039410E"/>
    <w:rsid w:val="00394364"/>
    <w:rsid w:val="00395079"/>
    <w:rsid w:val="003956A1"/>
    <w:rsid w:val="00397054"/>
    <w:rsid w:val="003975D2"/>
    <w:rsid w:val="003A08B9"/>
    <w:rsid w:val="003A122C"/>
    <w:rsid w:val="003A1562"/>
    <w:rsid w:val="003A1B3E"/>
    <w:rsid w:val="003A2204"/>
    <w:rsid w:val="003A28FC"/>
    <w:rsid w:val="003A2DAB"/>
    <w:rsid w:val="003A40AD"/>
    <w:rsid w:val="003A4918"/>
    <w:rsid w:val="003A4F89"/>
    <w:rsid w:val="003A5C2E"/>
    <w:rsid w:val="003A5DDC"/>
    <w:rsid w:val="003A5EE1"/>
    <w:rsid w:val="003A6BCA"/>
    <w:rsid w:val="003B137D"/>
    <w:rsid w:val="003B2547"/>
    <w:rsid w:val="003B2BA4"/>
    <w:rsid w:val="003B32F6"/>
    <w:rsid w:val="003B34DB"/>
    <w:rsid w:val="003B38CF"/>
    <w:rsid w:val="003B39CE"/>
    <w:rsid w:val="003B4A5F"/>
    <w:rsid w:val="003B6D33"/>
    <w:rsid w:val="003B7431"/>
    <w:rsid w:val="003B7D24"/>
    <w:rsid w:val="003C0D60"/>
    <w:rsid w:val="003C105E"/>
    <w:rsid w:val="003C10ED"/>
    <w:rsid w:val="003C23CB"/>
    <w:rsid w:val="003C2D87"/>
    <w:rsid w:val="003C3743"/>
    <w:rsid w:val="003C393F"/>
    <w:rsid w:val="003C3D53"/>
    <w:rsid w:val="003C5099"/>
    <w:rsid w:val="003C7325"/>
    <w:rsid w:val="003C74AD"/>
    <w:rsid w:val="003C7A77"/>
    <w:rsid w:val="003D4AAA"/>
    <w:rsid w:val="003D548C"/>
    <w:rsid w:val="003D5976"/>
    <w:rsid w:val="003D5CA1"/>
    <w:rsid w:val="003D66CA"/>
    <w:rsid w:val="003D710A"/>
    <w:rsid w:val="003D785E"/>
    <w:rsid w:val="003D7A5D"/>
    <w:rsid w:val="003D7B66"/>
    <w:rsid w:val="003D7FF0"/>
    <w:rsid w:val="003E0A02"/>
    <w:rsid w:val="003E1475"/>
    <w:rsid w:val="003E1C03"/>
    <w:rsid w:val="003E2679"/>
    <w:rsid w:val="003E40A1"/>
    <w:rsid w:val="003E4C47"/>
    <w:rsid w:val="003E5369"/>
    <w:rsid w:val="003E5C4C"/>
    <w:rsid w:val="003E5E56"/>
    <w:rsid w:val="003E75B8"/>
    <w:rsid w:val="003F0717"/>
    <w:rsid w:val="003F1202"/>
    <w:rsid w:val="003F14C7"/>
    <w:rsid w:val="003F17E8"/>
    <w:rsid w:val="003F2431"/>
    <w:rsid w:val="003F4D60"/>
    <w:rsid w:val="003F5EAF"/>
    <w:rsid w:val="003F71F5"/>
    <w:rsid w:val="003F784C"/>
    <w:rsid w:val="003F7A00"/>
    <w:rsid w:val="00401458"/>
    <w:rsid w:val="00402206"/>
    <w:rsid w:val="00402903"/>
    <w:rsid w:val="004031C2"/>
    <w:rsid w:val="004036C7"/>
    <w:rsid w:val="00404CE1"/>
    <w:rsid w:val="0040674F"/>
    <w:rsid w:val="004127FB"/>
    <w:rsid w:val="00413AD6"/>
    <w:rsid w:val="00413DDE"/>
    <w:rsid w:val="004143AE"/>
    <w:rsid w:val="00415063"/>
    <w:rsid w:val="00416496"/>
    <w:rsid w:val="004167B6"/>
    <w:rsid w:val="00420435"/>
    <w:rsid w:val="00420D3D"/>
    <w:rsid w:val="00422EDE"/>
    <w:rsid w:val="0042354C"/>
    <w:rsid w:val="0042527B"/>
    <w:rsid w:val="004276B1"/>
    <w:rsid w:val="00427B29"/>
    <w:rsid w:val="00427FB2"/>
    <w:rsid w:val="00430FCF"/>
    <w:rsid w:val="004319C6"/>
    <w:rsid w:val="0043229C"/>
    <w:rsid w:val="00432CA4"/>
    <w:rsid w:val="00433D45"/>
    <w:rsid w:val="00435DCD"/>
    <w:rsid w:val="00442542"/>
    <w:rsid w:val="004428F2"/>
    <w:rsid w:val="00446805"/>
    <w:rsid w:val="00451115"/>
    <w:rsid w:val="00453826"/>
    <w:rsid w:val="00460AD7"/>
    <w:rsid w:val="00460D91"/>
    <w:rsid w:val="0046143C"/>
    <w:rsid w:val="004623F9"/>
    <w:rsid w:val="00462725"/>
    <w:rsid w:val="00462813"/>
    <w:rsid w:val="00462C9D"/>
    <w:rsid w:val="004636AC"/>
    <w:rsid w:val="00463718"/>
    <w:rsid w:val="0046506E"/>
    <w:rsid w:val="00465E4E"/>
    <w:rsid w:val="00466569"/>
    <w:rsid w:val="00472437"/>
    <w:rsid w:val="00472684"/>
    <w:rsid w:val="00474A53"/>
    <w:rsid w:val="00474BE8"/>
    <w:rsid w:val="004755E9"/>
    <w:rsid w:val="00476402"/>
    <w:rsid w:val="004768CD"/>
    <w:rsid w:val="004842DB"/>
    <w:rsid w:val="0048470B"/>
    <w:rsid w:val="00485EC3"/>
    <w:rsid w:val="004870BA"/>
    <w:rsid w:val="004873CA"/>
    <w:rsid w:val="00491B32"/>
    <w:rsid w:val="00491F0B"/>
    <w:rsid w:val="004929E1"/>
    <w:rsid w:val="00492D81"/>
    <w:rsid w:val="00495D41"/>
    <w:rsid w:val="00496CD8"/>
    <w:rsid w:val="00496E72"/>
    <w:rsid w:val="004A1D9A"/>
    <w:rsid w:val="004A2AD7"/>
    <w:rsid w:val="004A4C5B"/>
    <w:rsid w:val="004A4F64"/>
    <w:rsid w:val="004B1268"/>
    <w:rsid w:val="004B1ADE"/>
    <w:rsid w:val="004B2733"/>
    <w:rsid w:val="004B3A9B"/>
    <w:rsid w:val="004B4C95"/>
    <w:rsid w:val="004B536E"/>
    <w:rsid w:val="004B58D6"/>
    <w:rsid w:val="004B635A"/>
    <w:rsid w:val="004B6538"/>
    <w:rsid w:val="004B7996"/>
    <w:rsid w:val="004C07B7"/>
    <w:rsid w:val="004C124D"/>
    <w:rsid w:val="004C314F"/>
    <w:rsid w:val="004C3F9A"/>
    <w:rsid w:val="004C611E"/>
    <w:rsid w:val="004C6120"/>
    <w:rsid w:val="004C70E1"/>
    <w:rsid w:val="004C7DE8"/>
    <w:rsid w:val="004D2826"/>
    <w:rsid w:val="004D432B"/>
    <w:rsid w:val="004D4E50"/>
    <w:rsid w:val="004D6FD5"/>
    <w:rsid w:val="004D708F"/>
    <w:rsid w:val="004D74B9"/>
    <w:rsid w:val="004D7E89"/>
    <w:rsid w:val="004E14D9"/>
    <w:rsid w:val="004E32E8"/>
    <w:rsid w:val="004F20D4"/>
    <w:rsid w:val="004F2521"/>
    <w:rsid w:val="004F2C05"/>
    <w:rsid w:val="004F5A3F"/>
    <w:rsid w:val="004F63DB"/>
    <w:rsid w:val="00501CD0"/>
    <w:rsid w:val="005026ED"/>
    <w:rsid w:val="00502A1F"/>
    <w:rsid w:val="00503E7C"/>
    <w:rsid w:val="00505096"/>
    <w:rsid w:val="00505574"/>
    <w:rsid w:val="005059A0"/>
    <w:rsid w:val="005062A5"/>
    <w:rsid w:val="00507FC1"/>
    <w:rsid w:val="00510943"/>
    <w:rsid w:val="00510F75"/>
    <w:rsid w:val="00511EED"/>
    <w:rsid w:val="00512737"/>
    <w:rsid w:val="00512A22"/>
    <w:rsid w:val="00513E53"/>
    <w:rsid w:val="00513FF8"/>
    <w:rsid w:val="005140B9"/>
    <w:rsid w:val="00516D16"/>
    <w:rsid w:val="0051738D"/>
    <w:rsid w:val="00517EC8"/>
    <w:rsid w:val="005203B2"/>
    <w:rsid w:val="00521787"/>
    <w:rsid w:val="00524E0E"/>
    <w:rsid w:val="005252AA"/>
    <w:rsid w:val="005252B6"/>
    <w:rsid w:val="00525DB5"/>
    <w:rsid w:val="005262C3"/>
    <w:rsid w:val="0052654C"/>
    <w:rsid w:val="00526553"/>
    <w:rsid w:val="005277AD"/>
    <w:rsid w:val="00532FDD"/>
    <w:rsid w:val="005342CB"/>
    <w:rsid w:val="00536A7C"/>
    <w:rsid w:val="00537EA7"/>
    <w:rsid w:val="0054061F"/>
    <w:rsid w:val="0054072A"/>
    <w:rsid w:val="00541C60"/>
    <w:rsid w:val="0054272D"/>
    <w:rsid w:val="00544022"/>
    <w:rsid w:val="00544D42"/>
    <w:rsid w:val="0054538E"/>
    <w:rsid w:val="0054556F"/>
    <w:rsid w:val="00546010"/>
    <w:rsid w:val="00550DA9"/>
    <w:rsid w:val="005528D8"/>
    <w:rsid w:val="00553B21"/>
    <w:rsid w:val="005608ED"/>
    <w:rsid w:val="00560E52"/>
    <w:rsid w:val="00561449"/>
    <w:rsid w:val="00561A67"/>
    <w:rsid w:val="00562402"/>
    <w:rsid w:val="005635FF"/>
    <w:rsid w:val="005637E6"/>
    <w:rsid w:val="0056424C"/>
    <w:rsid w:val="00565199"/>
    <w:rsid w:val="00565645"/>
    <w:rsid w:val="00566DB1"/>
    <w:rsid w:val="005675ED"/>
    <w:rsid w:val="00572206"/>
    <w:rsid w:val="005724F3"/>
    <w:rsid w:val="00575AC9"/>
    <w:rsid w:val="00577DC5"/>
    <w:rsid w:val="005807F5"/>
    <w:rsid w:val="00580FA7"/>
    <w:rsid w:val="00581758"/>
    <w:rsid w:val="005835B9"/>
    <w:rsid w:val="00583B6A"/>
    <w:rsid w:val="005840DD"/>
    <w:rsid w:val="0058680A"/>
    <w:rsid w:val="005914FF"/>
    <w:rsid w:val="005924B6"/>
    <w:rsid w:val="00592884"/>
    <w:rsid w:val="00592D90"/>
    <w:rsid w:val="00594035"/>
    <w:rsid w:val="005955F6"/>
    <w:rsid w:val="00595E16"/>
    <w:rsid w:val="0059632E"/>
    <w:rsid w:val="00596BEA"/>
    <w:rsid w:val="00597DE5"/>
    <w:rsid w:val="005A0147"/>
    <w:rsid w:val="005A038B"/>
    <w:rsid w:val="005A0688"/>
    <w:rsid w:val="005A09FD"/>
    <w:rsid w:val="005A0A2A"/>
    <w:rsid w:val="005A0C92"/>
    <w:rsid w:val="005A27ED"/>
    <w:rsid w:val="005A3322"/>
    <w:rsid w:val="005A369B"/>
    <w:rsid w:val="005A46B6"/>
    <w:rsid w:val="005B0199"/>
    <w:rsid w:val="005B235C"/>
    <w:rsid w:val="005B38F6"/>
    <w:rsid w:val="005B3A0B"/>
    <w:rsid w:val="005B4621"/>
    <w:rsid w:val="005B4C41"/>
    <w:rsid w:val="005B5DF9"/>
    <w:rsid w:val="005B6908"/>
    <w:rsid w:val="005B6C53"/>
    <w:rsid w:val="005B7410"/>
    <w:rsid w:val="005C01AA"/>
    <w:rsid w:val="005C086B"/>
    <w:rsid w:val="005C11F8"/>
    <w:rsid w:val="005C333F"/>
    <w:rsid w:val="005C43C1"/>
    <w:rsid w:val="005C6211"/>
    <w:rsid w:val="005C64E6"/>
    <w:rsid w:val="005C706B"/>
    <w:rsid w:val="005D0BF8"/>
    <w:rsid w:val="005D0D9A"/>
    <w:rsid w:val="005D0FD8"/>
    <w:rsid w:val="005D37B7"/>
    <w:rsid w:val="005D4DC0"/>
    <w:rsid w:val="005D5A0C"/>
    <w:rsid w:val="005D604F"/>
    <w:rsid w:val="005D749A"/>
    <w:rsid w:val="005D77A7"/>
    <w:rsid w:val="005D7A62"/>
    <w:rsid w:val="005E2569"/>
    <w:rsid w:val="005E328B"/>
    <w:rsid w:val="005E4F3B"/>
    <w:rsid w:val="005E5F4B"/>
    <w:rsid w:val="005E6EE8"/>
    <w:rsid w:val="005E72DA"/>
    <w:rsid w:val="005F0D30"/>
    <w:rsid w:val="005F2CE5"/>
    <w:rsid w:val="005F410E"/>
    <w:rsid w:val="005F6ED9"/>
    <w:rsid w:val="006011E0"/>
    <w:rsid w:val="00601E3F"/>
    <w:rsid w:val="006023A1"/>
    <w:rsid w:val="00602F1F"/>
    <w:rsid w:val="00605CF7"/>
    <w:rsid w:val="00606063"/>
    <w:rsid w:val="00607B9E"/>
    <w:rsid w:val="006104F9"/>
    <w:rsid w:val="006170B8"/>
    <w:rsid w:val="006171EF"/>
    <w:rsid w:val="006174F3"/>
    <w:rsid w:val="0062239E"/>
    <w:rsid w:val="00622A77"/>
    <w:rsid w:val="00623C34"/>
    <w:rsid w:val="00623D7C"/>
    <w:rsid w:val="00624831"/>
    <w:rsid w:val="006278A7"/>
    <w:rsid w:val="00630B49"/>
    <w:rsid w:val="00630EEF"/>
    <w:rsid w:val="00640B27"/>
    <w:rsid w:val="00641102"/>
    <w:rsid w:val="00642A47"/>
    <w:rsid w:val="00643667"/>
    <w:rsid w:val="006439F7"/>
    <w:rsid w:val="00643F26"/>
    <w:rsid w:val="006440B9"/>
    <w:rsid w:val="00644E0D"/>
    <w:rsid w:val="00646EC4"/>
    <w:rsid w:val="006474BC"/>
    <w:rsid w:val="006531F3"/>
    <w:rsid w:val="0065323F"/>
    <w:rsid w:val="0065535D"/>
    <w:rsid w:val="0065571D"/>
    <w:rsid w:val="00655D81"/>
    <w:rsid w:val="006564A8"/>
    <w:rsid w:val="0065708C"/>
    <w:rsid w:val="00657BE0"/>
    <w:rsid w:val="00662160"/>
    <w:rsid w:val="00662610"/>
    <w:rsid w:val="00663334"/>
    <w:rsid w:val="00663F4A"/>
    <w:rsid w:val="00664974"/>
    <w:rsid w:val="00664E0C"/>
    <w:rsid w:val="00665B8B"/>
    <w:rsid w:val="00667115"/>
    <w:rsid w:val="00667DE9"/>
    <w:rsid w:val="006706E8"/>
    <w:rsid w:val="00670924"/>
    <w:rsid w:val="00671628"/>
    <w:rsid w:val="00671ADA"/>
    <w:rsid w:val="006724C7"/>
    <w:rsid w:val="006728D0"/>
    <w:rsid w:val="00673791"/>
    <w:rsid w:val="00673F5D"/>
    <w:rsid w:val="0067457B"/>
    <w:rsid w:val="00674E5E"/>
    <w:rsid w:val="00676BA1"/>
    <w:rsid w:val="00677760"/>
    <w:rsid w:val="00677C11"/>
    <w:rsid w:val="006804FE"/>
    <w:rsid w:val="00680539"/>
    <w:rsid w:val="006847A7"/>
    <w:rsid w:val="00687A12"/>
    <w:rsid w:val="00687D68"/>
    <w:rsid w:val="00690568"/>
    <w:rsid w:val="006908D3"/>
    <w:rsid w:val="00692F73"/>
    <w:rsid w:val="00693803"/>
    <w:rsid w:val="00693F99"/>
    <w:rsid w:val="00694A53"/>
    <w:rsid w:val="0069551A"/>
    <w:rsid w:val="0069651D"/>
    <w:rsid w:val="0069673D"/>
    <w:rsid w:val="00697B57"/>
    <w:rsid w:val="00697C0F"/>
    <w:rsid w:val="006A16DC"/>
    <w:rsid w:val="006A188F"/>
    <w:rsid w:val="006A21D5"/>
    <w:rsid w:val="006A5925"/>
    <w:rsid w:val="006A5C5F"/>
    <w:rsid w:val="006A6D4B"/>
    <w:rsid w:val="006B083C"/>
    <w:rsid w:val="006B15C7"/>
    <w:rsid w:val="006B1E22"/>
    <w:rsid w:val="006B4642"/>
    <w:rsid w:val="006C2516"/>
    <w:rsid w:val="006C3663"/>
    <w:rsid w:val="006C4728"/>
    <w:rsid w:val="006C7D20"/>
    <w:rsid w:val="006C7EB6"/>
    <w:rsid w:val="006D1170"/>
    <w:rsid w:val="006D5213"/>
    <w:rsid w:val="006D66C9"/>
    <w:rsid w:val="006E0713"/>
    <w:rsid w:val="006E144A"/>
    <w:rsid w:val="006E1EC8"/>
    <w:rsid w:val="006E3033"/>
    <w:rsid w:val="006E3062"/>
    <w:rsid w:val="006E4075"/>
    <w:rsid w:val="006E4D5F"/>
    <w:rsid w:val="006F32D1"/>
    <w:rsid w:val="006F346E"/>
    <w:rsid w:val="006F57B4"/>
    <w:rsid w:val="006F6410"/>
    <w:rsid w:val="006F6AF8"/>
    <w:rsid w:val="006F6D25"/>
    <w:rsid w:val="006F70F8"/>
    <w:rsid w:val="00700B9F"/>
    <w:rsid w:val="00700E13"/>
    <w:rsid w:val="007023C4"/>
    <w:rsid w:val="00703196"/>
    <w:rsid w:val="0070337A"/>
    <w:rsid w:val="0070424F"/>
    <w:rsid w:val="0070592B"/>
    <w:rsid w:val="00707060"/>
    <w:rsid w:val="00710096"/>
    <w:rsid w:val="00711A76"/>
    <w:rsid w:val="00711DF8"/>
    <w:rsid w:val="00712752"/>
    <w:rsid w:val="00712FA7"/>
    <w:rsid w:val="00716AF0"/>
    <w:rsid w:val="00720FEA"/>
    <w:rsid w:val="00722EB7"/>
    <w:rsid w:val="0072446B"/>
    <w:rsid w:val="00724FE0"/>
    <w:rsid w:val="00725787"/>
    <w:rsid w:val="0072757B"/>
    <w:rsid w:val="00727AA9"/>
    <w:rsid w:val="007309DF"/>
    <w:rsid w:val="00730CBF"/>
    <w:rsid w:val="0073222D"/>
    <w:rsid w:val="0073386B"/>
    <w:rsid w:val="00735F05"/>
    <w:rsid w:val="007361B5"/>
    <w:rsid w:val="007365D4"/>
    <w:rsid w:val="00740001"/>
    <w:rsid w:val="00740411"/>
    <w:rsid w:val="00747833"/>
    <w:rsid w:val="007479CD"/>
    <w:rsid w:val="00747EF2"/>
    <w:rsid w:val="00751D07"/>
    <w:rsid w:val="00753ADF"/>
    <w:rsid w:val="00760706"/>
    <w:rsid w:val="00760AAC"/>
    <w:rsid w:val="00760F8C"/>
    <w:rsid w:val="00761C6A"/>
    <w:rsid w:val="00763B5D"/>
    <w:rsid w:val="0076467B"/>
    <w:rsid w:val="007679BC"/>
    <w:rsid w:val="00767EF2"/>
    <w:rsid w:val="0077096C"/>
    <w:rsid w:val="007711F6"/>
    <w:rsid w:val="00771B2F"/>
    <w:rsid w:val="0077471B"/>
    <w:rsid w:val="00775594"/>
    <w:rsid w:val="007768C3"/>
    <w:rsid w:val="007815FC"/>
    <w:rsid w:val="007824E5"/>
    <w:rsid w:val="00782E75"/>
    <w:rsid w:val="007830C1"/>
    <w:rsid w:val="00785BB4"/>
    <w:rsid w:val="00790212"/>
    <w:rsid w:val="00790CB0"/>
    <w:rsid w:val="007927E3"/>
    <w:rsid w:val="007927E5"/>
    <w:rsid w:val="00793CE5"/>
    <w:rsid w:val="00796742"/>
    <w:rsid w:val="007A27A5"/>
    <w:rsid w:val="007A2D64"/>
    <w:rsid w:val="007A2F9E"/>
    <w:rsid w:val="007A3D6C"/>
    <w:rsid w:val="007A4DAA"/>
    <w:rsid w:val="007A5104"/>
    <w:rsid w:val="007A5269"/>
    <w:rsid w:val="007A6BC1"/>
    <w:rsid w:val="007A78BE"/>
    <w:rsid w:val="007B05AF"/>
    <w:rsid w:val="007B08B3"/>
    <w:rsid w:val="007B0E18"/>
    <w:rsid w:val="007B3A19"/>
    <w:rsid w:val="007B3FC8"/>
    <w:rsid w:val="007B602A"/>
    <w:rsid w:val="007B6616"/>
    <w:rsid w:val="007B6F02"/>
    <w:rsid w:val="007B7A1E"/>
    <w:rsid w:val="007C15D5"/>
    <w:rsid w:val="007C1A14"/>
    <w:rsid w:val="007C6208"/>
    <w:rsid w:val="007C7A3E"/>
    <w:rsid w:val="007D0B6E"/>
    <w:rsid w:val="007D270B"/>
    <w:rsid w:val="007D477F"/>
    <w:rsid w:val="007D5AE9"/>
    <w:rsid w:val="007D69E6"/>
    <w:rsid w:val="007E1402"/>
    <w:rsid w:val="007E2671"/>
    <w:rsid w:val="007E2995"/>
    <w:rsid w:val="007E4685"/>
    <w:rsid w:val="007F0AB5"/>
    <w:rsid w:val="007F446B"/>
    <w:rsid w:val="007F6FE1"/>
    <w:rsid w:val="007F7AAF"/>
    <w:rsid w:val="007F7E5B"/>
    <w:rsid w:val="008013E8"/>
    <w:rsid w:val="00803EB3"/>
    <w:rsid w:val="00804E2A"/>
    <w:rsid w:val="00810D78"/>
    <w:rsid w:val="008121A3"/>
    <w:rsid w:val="008122C0"/>
    <w:rsid w:val="00812591"/>
    <w:rsid w:val="008128A4"/>
    <w:rsid w:val="00814ADB"/>
    <w:rsid w:val="00814CF6"/>
    <w:rsid w:val="0081652A"/>
    <w:rsid w:val="00817B4E"/>
    <w:rsid w:val="00820085"/>
    <w:rsid w:val="008215EF"/>
    <w:rsid w:val="0082375B"/>
    <w:rsid w:val="00824BDE"/>
    <w:rsid w:val="0082550E"/>
    <w:rsid w:val="0083526D"/>
    <w:rsid w:val="00837419"/>
    <w:rsid w:val="00837CEF"/>
    <w:rsid w:val="00840AE2"/>
    <w:rsid w:val="008414D9"/>
    <w:rsid w:val="008420AD"/>
    <w:rsid w:val="00842B19"/>
    <w:rsid w:val="00843506"/>
    <w:rsid w:val="00843ADE"/>
    <w:rsid w:val="008444DC"/>
    <w:rsid w:val="008448DB"/>
    <w:rsid w:val="00845666"/>
    <w:rsid w:val="00845842"/>
    <w:rsid w:val="00853D9F"/>
    <w:rsid w:val="00854282"/>
    <w:rsid w:val="0085545A"/>
    <w:rsid w:val="00856BA3"/>
    <w:rsid w:val="0085750E"/>
    <w:rsid w:val="00857CEB"/>
    <w:rsid w:val="00860E95"/>
    <w:rsid w:val="00861B4B"/>
    <w:rsid w:val="00862834"/>
    <w:rsid w:val="00863434"/>
    <w:rsid w:val="00865780"/>
    <w:rsid w:val="008674C5"/>
    <w:rsid w:val="00867889"/>
    <w:rsid w:val="0086795E"/>
    <w:rsid w:val="0087199C"/>
    <w:rsid w:val="00872565"/>
    <w:rsid w:val="00873B21"/>
    <w:rsid w:val="00876721"/>
    <w:rsid w:val="00876C17"/>
    <w:rsid w:val="00880689"/>
    <w:rsid w:val="0088194A"/>
    <w:rsid w:val="00881E3F"/>
    <w:rsid w:val="008833D5"/>
    <w:rsid w:val="0088358C"/>
    <w:rsid w:val="0088440E"/>
    <w:rsid w:val="00884916"/>
    <w:rsid w:val="008858D1"/>
    <w:rsid w:val="00886B70"/>
    <w:rsid w:val="00887E7C"/>
    <w:rsid w:val="00887EF3"/>
    <w:rsid w:val="008914F6"/>
    <w:rsid w:val="008936AA"/>
    <w:rsid w:val="00893E8D"/>
    <w:rsid w:val="00894452"/>
    <w:rsid w:val="00894F5A"/>
    <w:rsid w:val="00895ECA"/>
    <w:rsid w:val="008A00E3"/>
    <w:rsid w:val="008A403F"/>
    <w:rsid w:val="008A477F"/>
    <w:rsid w:val="008A4E0E"/>
    <w:rsid w:val="008A51B8"/>
    <w:rsid w:val="008A58FA"/>
    <w:rsid w:val="008A5B9E"/>
    <w:rsid w:val="008A7E6E"/>
    <w:rsid w:val="008B0C14"/>
    <w:rsid w:val="008B3054"/>
    <w:rsid w:val="008B3F99"/>
    <w:rsid w:val="008B551D"/>
    <w:rsid w:val="008B5C57"/>
    <w:rsid w:val="008B7276"/>
    <w:rsid w:val="008B748C"/>
    <w:rsid w:val="008C019D"/>
    <w:rsid w:val="008C0CFF"/>
    <w:rsid w:val="008C1214"/>
    <w:rsid w:val="008C15AF"/>
    <w:rsid w:val="008C1E5D"/>
    <w:rsid w:val="008C2A96"/>
    <w:rsid w:val="008C310C"/>
    <w:rsid w:val="008C4FA0"/>
    <w:rsid w:val="008C688F"/>
    <w:rsid w:val="008D0A75"/>
    <w:rsid w:val="008D1558"/>
    <w:rsid w:val="008D289B"/>
    <w:rsid w:val="008D4063"/>
    <w:rsid w:val="008D44AF"/>
    <w:rsid w:val="008D6526"/>
    <w:rsid w:val="008D73D2"/>
    <w:rsid w:val="008D7E66"/>
    <w:rsid w:val="008E2735"/>
    <w:rsid w:val="008E2EC5"/>
    <w:rsid w:val="008E30FC"/>
    <w:rsid w:val="008E3760"/>
    <w:rsid w:val="008E3AC5"/>
    <w:rsid w:val="008E68A7"/>
    <w:rsid w:val="008F3AC8"/>
    <w:rsid w:val="008F47F6"/>
    <w:rsid w:val="00901961"/>
    <w:rsid w:val="0090250A"/>
    <w:rsid w:val="0090266E"/>
    <w:rsid w:val="00902C88"/>
    <w:rsid w:val="009032C7"/>
    <w:rsid w:val="009043A3"/>
    <w:rsid w:val="009043A6"/>
    <w:rsid w:val="0090568C"/>
    <w:rsid w:val="00906036"/>
    <w:rsid w:val="009064C5"/>
    <w:rsid w:val="00906B99"/>
    <w:rsid w:val="00911E8D"/>
    <w:rsid w:val="0091446B"/>
    <w:rsid w:val="009164D3"/>
    <w:rsid w:val="00916DBA"/>
    <w:rsid w:val="00916E58"/>
    <w:rsid w:val="0091770D"/>
    <w:rsid w:val="0092146C"/>
    <w:rsid w:val="00922703"/>
    <w:rsid w:val="00924385"/>
    <w:rsid w:val="00924F59"/>
    <w:rsid w:val="009259E4"/>
    <w:rsid w:val="009270DA"/>
    <w:rsid w:val="00927423"/>
    <w:rsid w:val="00927BF3"/>
    <w:rsid w:val="00930B52"/>
    <w:rsid w:val="00930C06"/>
    <w:rsid w:val="00930DEF"/>
    <w:rsid w:val="009329EF"/>
    <w:rsid w:val="0093309A"/>
    <w:rsid w:val="0093417E"/>
    <w:rsid w:val="0093443B"/>
    <w:rsid w:val="00934F2E"/>
    <w:rsid w:val="0093675C"/>
    <w:rsid w:val="00937D40"/>
    <w:rsid w:val="00941882"/>
    <w:rsid w:val="00941D45"/>
    <w:rsid w:val="00942D24"/>
    <w:rsid w:val="00945371"/>
    <w:rsid w:val="00945472"/>
    <w:rsid w:val="00946617"/>
    <w:rsid w:val="0094726E"/>
    <w:rsid w:val="0094726F"/>
    <w:rsid w:val="00947795"/>
    <w:rsid w:val="009479A8"/>
    <w:rsid w:val="00950ADC"/>
    <w:rsid w:val="00950CC0"/>
    <w:rsid w:val="00951034"/>
    <w:rsid w:val="00952DA5"/>
    <w:rsid w:val="0095321A"/>
    <w:rsid w:val="009559ED"/>
    <w:rsid w:val="00964944"/>
    <w:rsid w:val="00964D51"/>
    <w:rsid w:val="009656FB"/>
    <w:rsid w:val="00965DAB"/>
    <w:rsid w:val="00966053"/>
    <w:rsid w:val="00970502"/>
    <w:rsid w:val="009706E4"/>
    <w:rsid w:val="0097145F"/>
    <w:rsid w:val="00972A40"/>
    <w:rsid w:val="0097344F"/>
    <w:rsid w:val="00973A81"/>
    <w:rsid w:val="00974E13"/>
    <w:rsid w:val="00974ECB"/>
    <w:rsid w:val="00975FBB"/>
    <w:rsid w:val="009760D0"/>
    <w:rsid w:val="00976365"/>
    <w:rsid w:val="009767B3"/>
    <w:rsid w:val="00980F20"/>
    <w:rsid w:val="00981405"/>
    <w:rsid w:val="00983367"/>
    <w:rsid w:val="00983A34"/>
    <w:rsid w:val="0098435A"/>
    <w:rsid w:val="009846E2"/>
    <w:rsid w:val="00984FF2"/>
    <w:rsid w:val="009852EB"/>
    <w:rsid w:val="00985822"/>
    <w:rsid w:val="00985D55"/>
    <w:rsid w:val="0098603A"/>
    <w:rsid w:val="00986973"/>
    <w:rsid w:val="00986F87"/>
    <w:rsid w:val="00987B71"/>
    <w:rsid w:val="00987B85"/>
    <w:rsid w:val="00992239"/>
    <w:rsid w:val="009929CF"/>
    <w:rsid w:val="009933F9"/>
    <w:rsid w:val="00993EA6"/>
    <w:rsid w:val="00994AD3"/>
    <w:rsid w:val="009953CD"/>
    <w:rsid w:val="00995BC0"/>
    <w:rsid w:val="009A141E"/>
    <w:rsid w:val="009A1441"/>
    <w:rsid w:val="009A1D48"/>
    <w:rsid w:val="009A1FE4"/>
    <w:rsid w:val="009A20F5"/>
    <w:rsid w:val="009A2E78"/>
    <w:rsid w:val="009A3AC0"/>
    <w:rsid w:val="009A4834"/>
    <w:rsid w:val="009A7760"/>
    <w:rsid w:val="009B0BF6"/>
    <w:rsid w:val="009B19E0"/>
    <w:rsid w:val="009B2445"/>
    <w:rsid w:val="009B2724"/>
    <w:rsid w:val="009B35DF"/>
    <w:rsid w:val="009B3830"/>
    <w:rsid w:val="009B5339"/>
    <w:rsid w:val="009B584A"/>
    <w:rsid w:val="009B6004"/>
    <w:rsid w:val="009B6FFD"/>
    <w:rsid w:val="009C2067"/>
    <w:rsid w:val="009C51DC"/>
    <w:rsid w:val="009C52D6"/>
    <w:rsid w:val="009C54F1"/>
    <w:rsid w:val="009D2012"/>
    <w:rsid w:val="009D22A2"/>
    <w:rsid w:val="009D4A47"/>
    <w:rsid w:val="009D61F9"/>
    <w:rsid w:val="009E0A6D"/>
    <w:rsid w:val="009E0D6E"/>
    <w:rsid w:val="009E11F6"/>
    <w:rsid w:val="009E2B9F"/>
    <w:rsid w:val="009E3705"/>
    <w:rsid w:val="009E378B"/>
    <w:rsid w:val="009E5411"/>
    <w:rsid w:val="009F0720"/>
    <w:rsid w:val="009F17F5"/>
    <w:rsid w:val="009F226A"/>
    <w:rsid w:val="009F306E"/>
    <w:rsid w:val="009F43A4"/>
    <w:rsid w:val="009F6789"/>
    <w:rsid w:val="009F7861"/>
    <w:rsid w:val="00A03471"/>
    <w:rsid w:val="00A1010A"/>
    <w:rsid w:val="00A10D96"/>
    <w:rsid w:val="00A11F00"/>
    <w:rsid w:val="00A1235F"/>
    <w:rsid w:val="00A12CE3"/>
    <w:rsid w:val="00A12F3D"/>
    <w:rsid w:val="00A134D4"/>
    <w:rsid w:val="00A15E8C"/>
    <w:rsid w:val="00A17EB8"/>
    <w:rsid w:val="00A2059A"/>
    <w:rsid w:val="00A23D0D"/>
    <w:rsid w:val="00A23E65"/>
    <w:rsid w:val="00A248A8"/>
    <w:rsid w:val="00A26858"/>
    <w:rsid w:val="00A2717B"/>
    <w:rsid w:val="00A30E34"/>
    <w:rsid w:val="00A375B3"/>
    <w:rsid w:val="00A4073D"/>
    <w:rsid w:val="00A42B9D"/>
    <w:rsid w:val="00A43C85"/>
    <w:rsid w:val="00A464AF"/>
    <w:rsid w:val="00A46C2A"/>
    <w:rsid w:val="00A46E86"/>
    <w:rsid w:val="00A47AD2"/>
    <w:rsid w:val="00A50495"/>
    <w:rsid w:val="00A50919"/>
    <w:rsid w:val="00A5146C"/>
    <w:rsid w:val="00A52210"/>
    <w:rsid w:val="00A533EA"/>
    <w:rsid w:val="00A5370B"/>
    <w:rsid w:val="00A53D77"/>
    <w:rsid w:val="00A56DFC"/>
    <w:rsid w:val="00A60A2B"/>
    <w:rsid w:val="00A61199"/>
    <w:rsid w:val="00A61745"/>
    <w:rsid w:val="00A62348"/>
    <w:rsid w:val="00A62C7F"/>
    <w:rsid w:val="00A64069"/>
    <w:rsid w:val="00A64DC5"/>
    <w:rsid w:val="00A65E0D"/>
    <w:rsid w:val="00A65FDB"/>
    <w:rsid w:val="00A6771C"/>
    <w:rsid w:val="00A71314"/>
    <w:rsid w:val="00A75E06"/>
    <w:rsid w:val="00A77D07"/>
    <w:rsid w:val="00A800C1"/>
    <w:rsid w:val="00A807F8"/>
    <w:rsid w:val="00A80AA3"/>
    <w:rsid w:val="00A83393"/>
    <w:rsid w:val="00A85CE0"/>
    <w:rsid w:val="00A85DC9"/>
    <w:rsid w:val="00A86793"/>
    <w:rsid w:val="00A9034F"/>
    <w:rsid w:val="00A913A9"/>
    <w:rsid w:val="00A9142D"/>
    <w:rsid w:val="00A939E6"/>
    <w:rsid w:val="00A947C4"/>
    <w:rsid w:val="00A952F4"/>
    <w:rsid w:val="00A958DE"/>
    <w:rsid w:val="00A95AD5"/>
    <w:rsid w:val="00A9624D"/>
    <w:rsid w:val="00A96350"/>
    <w:rsid w:val="00AA1474"/>
    <w:rsid w:val="00AA1FFB"/>
    <w:rsid w:val="00AA2FE7"/>
    <w:rsid w:val="00AA439F"/>
    <w:rsid w:val="00AA43F8"/>
    <w:rsid w:val="00AA5309"/>
    <w:rsid w:val="00AA672A"/>
    <w:rsid w:val="00AA69D9"/>
    <w:rsid w:val="00AB1BE5"/>
    <w:rsid w:val="00AB1C10"/>
    <w:rsid w:val="00AB3359"/>
    <w:rsid w:val="00AB4BDB"/>
    <w:rsid w:val="00AB5F84"/>
    <w:rsid w:val="00AB7D0D"/>
    <w:rsid w:val="00AC0F4A"/>
    <w:rsid w:val="00AC1251"/>
    <w:rsid w:val="00AC142C"/>
    <w:rsid w:val="00AC1DB9"/>
    <w:rsid w:val="00AC3C29"/>
    <w:rsid w:val="00AC448B"/>
    <w:rsid w:val="00AC4569"/>
    <w:rsid w:val="00AC521B"/>
    <w:rsid w:val="00AD0899"/>
    <w:rsid w:val="00AD0AD3"/>
    <w:rsid w:val="00AD0AEE"/>
    <w:rsid w:val="00AD3BCE"/>
    <w:rsid w:val="00AD3DCF"/>
    <w:rsid w:val="00AD5399"/>
    <w:rsid w:val="00AD5BFF"/>
    <w:rsid w:val="00AD5E58"/>
    <w:rsid w:val="00AD70AB"/>
    <w:rsid w:val="00AD7F14"/>
    <w:rsid w:val="00AE02CB"/>
    <w:rsid w:val="00AE3B70"/>
    <w:rsid w:val="00AE3F70"/>
    <w:rsid w:val="00AE6C0C"/>
    <w:rsid w:val="00AE7230"/>
    <w:rsid w:val="00AE7507"/>
    <w:rsid w:val="00AE7CD7"/>
    <w:rsid w:val="00AF0D52"/>
    <w:rsid w:val="00AF18E1"/>
    <w:rsid w:val="00AF1FE5"/>
    <w:rsid w:val="00AF22EE"/>
    <w:rsid w:val="00AF7C56"/>
    <w:rsid w:val="00B0184E"/>
    <w:rsid w:val="00B03C01"/>
    <w:rsid w:val="00B05FA5"/>
    <w:rsid w:val="00B073F4"/>
    <w:rsid w:val="00B10249"/>
    <w:rsid w:val="00B1240C"/>
    <w:rsid w:val="00B1527D"/>
    <w:rsid w:val="00B15848"/>
    <w:rsid w:val="00B170A8"/>
    <w:rsid w:val="00B2254E"/>
    <w:rsid w:val="00B237F6"/>
    <w:rsid w:val="00B24D04"/>
    <w:rsid w:val="00B25661"/>
    <w:rsid w:val="00B26894"/>
    <w:rsid w:val="00B30B20"/>
    <w:rsid w:val="00B30DCE"/>
    <w:rsid w:val="00B339BB"/>
    <w:rsid w:val="00B34A6B"/>
    <w:rsid w:val="00B359C5"/>
    <w:rsid w:val="00B40093"/>
    <w:rsid w:val="00B409FF"/>
    <w:rsid w:val="00B4343C"/>
    <w:rsid w:val="00B43ADD"/>
    <w:rsid w:val="00B4523D"/>
    <w:rsid w:val="00B45CCC"/>
    <w:rsid w:val="00B46220"/>
    <w:rsid w:val="00B47B64"/>
    <w:rsid w:val="00B51327"/>
    <w:rsid w:val="00B514F9"/>
    <w:rsid w:val="00B519C6"/>
    <w:rsid w:val="00B524EB"/>
    <w:rsid w:val="00B5369A"/>
    <w:rsid w:val="00B53DF8"/>
    <w:rsid w:val="00B5476E"/>
    <w:rsid w:val="00B558BD"/>
    <w:rsid w:val="00B561B2"/>
    <w:rsid w:val="00B6056C"/>
    <w:rsid w:val="00B611CC"/>
    <w:rsid w:val="00B622AA"/>
    <w:rsid w:val="00B6233D"/>
    <w:rsid w:val="00B63CCA"/>
    <w:rsid w:val="00B65AC3"/>
    <w:rsid w:val="00B66265"/>
    <w:rsid w:val="00B6684D"/>
    <w:rsid w:val="00B668A3"/>
    <w:rsid w:val="00B6783F"/>
    <w:rsid w:val="00B67F79"/>
    <w:rsid w:val="00B72687"/>
    <w:rsid w:val="00B73E37"/>
    <w:rsid w:val="00B75534"/>
    <w:rsid w:val="00B80E6E"/>
    <w:rsid w:val="00B825D2"/>
    <w:rsid w:val="00B8355C"/>
    <w:rsid w:val="00B86FB6"/>
    <w:rsid w:val="00B8770D"/>
    <w:rsid w:val="00B90020"/>
    <w:rsid w:val="00B91E6C"/>
    <w:rsid w:val="00B929E3"/>
    <w:rsid w:val="00B937B9"/>
    <w:rsid w:val="00B94CEB"/>
    <w:rsid w:val="00B9622D"/>
    <w:rsid w:val="00B970CC"/>
    <w:rsid w:val="00B97972"/>
    <w:rsid w:val="00BA0841"/>
    <w:rsid w:val="00BA204E"/>
    <w:rsid w:val="00BA3212"/>
    <w:rsid w:val="00BA4DF7"/>
    <w:rsid w:val="00BA5928"/>
    <w:rsid w:val="00BA6158"/>
    <w:rsid w:val="00BA6199"/>
    <w:rsid w:val="00BA619B"/>
    <w:rsid w:val="00BB02CF"/>
    <w:rsid w:val="00BB1F5F"/>
    <w:rsid w:val="00BB22A6"/>
    <w:rsid w:val="00BB282A"/>
    <w:rsid w:val="00BB29E0"/>
    <w:rsid w:val="00BB3696"/>
    <w:rsid w:val="00BB4269"/>
    <w:rsid w:val="00BB4CF5"/>
    <w:rsid w:val="00BB584E"/>
    <w:rsid w:val="00BB5F0A"/>
    <w:rsid w:val="00BB654A"/>
    <w:rsid w:val="00BB7285"/>
    <w:rsid w:val="00BB7A64"/>
    <w:rsid w:val="00BC1069"/>
    <w:rsid w:val="00BC12FA"/>
    <w:rsid w:val="00BC1B5D"/>
    <w:rsid w:val="00BC412A"/>
    <w:rsid w:val="00BC42BF"/>
    <w:rsid w:val="00BC49BD"/>
    <w:rsid w:val="00BD050E"/>
    <w:rsid w:val="00BD204C"/>
    <w:rsid w:val="00BD2B06"/>
    <w:rsid w:val="00BD4036"/>
    <w:rsid w:val="00BD4735"/>
    <w:rsid w:val="00BD52F7"/>
    <w:rsid w:val="00BD6429"/>
    <w:rsid w:val="00BD653D"/>
    <w:rsid w:val="00BD65F3"/>
    <w:rsid w:val="00BD66C2"/>
    <w:rsid w:val="00BE12AE"/>
    <w:rsid w:val="00BE1C82"/>
    <w:rsid w:val="00BE213C"/>
    <w:rsid w:val="00BE39DC"/>
    <w:rsid w:val="00BE43DB"/>
    <w:rsid w:val="00BE47C1"/>
    <w:rsid w:val="00BF2A0B"/>
    <w:rsid w:val="00BF2BDA"/>
    <w:rsid w:val="00BF3772"/>
    <w:rsid w:val="00BF445F"/>
    <w:rsid w:val="00BF52B3"/>
    <w:rsid w:val="00BF78C0"/>
    <w:rsid w:val="00C00D40"/>
    <w:rsid w:val="00C013DD"/>
    <w:rsid w:val="00C01490"/>
    <w:rsid w:val="00C02CBE"/>
    <w:rsid w:val="00C066CA"/>
    <w:rsid w:val="00C066EE"/>
    <w:rsid w:val="00C076AC"/>
    <w:rsid w:val="00C0772A"/>
    <w:rsid w:val="00C10334"/>
    <w:rsid w:val="00C11D69"/>
    <w:rsid w:val="00C124C5"/>
    <w:rsid w:val="00C16DF8"/>
    <w:rsid w:val="00C207F0"/>
    <w:rsid w:val="00C21402"/>
    <w:rsid w:val="00C21CC4"/>
    <w:rsid w:val="00C2309C"/>
    <w:rsid w:val="00C236EF"/>
    <w:rsid w:val="00C25579"/>
    <w:rsid w:val="00C257DB"/>
    <w:rsid w:val="00C25E6A"/>
    <w:rsid w:val="00C262E5"/>
    <w:rsid w:val="00C3186E"/>
    <w:rsid w:val="00C31E95"/>
    <w:rsid w:val="00C35624"/>
    <w:rsid w:val="00C367EB"/>
    <w:rsid w:val="00C37420"/>
    <w:rsid w:val="00C37642"/>
    <w:rsid w:val="00C42B7A"/>
    <w:rsid w:val="00C46337"/>
    <w:rsid w:val="00C50A27"/>
    <w:rsid w:val="00C50B71"/>
    <w:rsid w:val="00C510BC"/>
    <w:rsid w:val="00C51C91"/>
    <w:rsid w:val="00C52508"/>
    <w:rsid w:val="00C52CDB"/>
    <w:rsid w:val="00C52E1E"/>
    <w:rsid w:val="00C53A35"/>
    <w:rsid w:val="00C550FA"/>
    <w:rsid w:val="00C601E4"/>
    <w:rsid w:val="00C60501"/>
    <w:rsid w:val="00C60D47"/>
    <w:rsid w:val="00C612EB"/>
    <w:rsid w:val="00C617E7"/>
    <w:rsid w:val="00C6296F"/>
    <w:rsid w:val="00C62A39"/>
    <w:rsid w:val="00C634C1"/>
    <w:rsid w:val="00C6481D"/>
    <w:rsid w:val="00C660DA"/>
    <w:rsid w:val="00C66D1E"/>
    <w:rsid w:val="00C67528"/>
    <w:rsid w:val="00C676DD"/>
    <w:rsid w:val="00C67AD1"/>
    <w:rsid w:val="00C70A3A"/>
    <w:rsid w:val="00C712E7"/>
    <w:rsid w:val="00C71C81"/>
    <w:rsid w:val="00C73482"/>
    <w:rsid w:val="00C73671"/>
    <w:rsid w:val="00C77ECD"/>
    <w:rsid w:val="00C826E2"/>
    <w:rsid w:val="00C85B47"/>
    <w:rsid w:val="00C90338"/>
    <w:rsid w:val="00C91354"/>
    <w:rsid w:val="00C924FE"/>
    <w:rsid w:val="00C937AB"/>
    <w:rsid w:val="00C96233"/>
    <w:rsid w:val="00C9653F"/>
    <w:rsid w:val="00C965AE"/>
    <w:rsid w:val="00C96949"/>
    <w:rsid w:val="00C96BDF"/>
    <w:rsid w:val="00C973EE"/>
    <w:rsid w:val="00CA1C00"/>
    <w:rsid w:val="00CA2AE0"/>
    <w:rsid w:val="00CA33EC"/>
    <w:rsid w:val="00CA5A30"/>
    <w:rsid w:val="00CA5D27"/>
    <w:rsid w:val="00CA6774"/>
    <w:rsid w:val="00CA7789"/>
    <w:rsid w:val="00CA7906"/>
    <w:rsid w:val="00CA7BAC"/>
    <w:rsid w:val="00CB1738"/>
    <w:rsid w:val="00CB2E77"/>
    <w:rsid w:val="00CB42CF"/>
    <w:rsid w:val="00CB5723"/>
    <w:rsid w:val="00CC030D"/>
    <w:rsid w:val="00CC0D5D"/>
    <w:rsid w:val="00CC2645"/>
    <w:rsid w:val="00CC307E"/>
    <w:rsid w:val="00CC36D0"/>
    <w:rsid w:val="00CC3DF9"/>
    <w:rsid w:val="00CC45D2"/>
    <w:rsid w:val="00CC461D"/>
    <w:rsid w:val="00CC4BF4"/>
    <w:rsid w:val="00CC5434"/>
    <w:rsid w:val="00CC7193"/>
    <w:rsid w:val="00CD09CC"/>
    <w:rsid w:val="00CD13D6"/>
    <w:rsid w:val="00CD1C75"/>
    <w:rsid w:val="00CD3077"/>
    <w:rsid w:val="00CD3113"/>
    <w:rsid w:val="00CD4706"/>
    <w:rsid w:val="00CD48A4"/>
    <w:rsid w:val="00CD634A"/>
    <w:rsid w:val="00CD6645"/>
    <w:rsid w:val="00CD7180"/>
    <w:rsid w:val="00CE4234"/>
    <w:rsid w:val="00CE60AB"/>
    <w:rsid w:val="00CE62AE"/>
    <w:rsid w:val="00CE6695"/>
    <w:rsid w:val="00CE6936"/>
    <w:rsid w:val="00CF2DC0"/>
    <w:rsid w:val="00CF6443"/>
    <w:rsid w:val="00D00CF2"/>
    <w:rsid w:val="00D026AB"/>
    <w:rsid w:val="00D0277E"/>
    <w:rsid w:val="00D03944"/>
    <w:rsid w:val="00D03C27"/>
    <w:rsid w:val="00D03F15"/>
    <w:rsid w:val="00D11F49"/>
    <w:rsid w:val="00D1210D"/>
    <w:rsid w:val="00D122D9"/>
    <w:rsid w:val="00D12EFB"/>
    <w:rsid w:val="00D14420"/>
    <w:rsid w:val="00D14B14"/>
    <w:rsid w:val="00D1507C"/>
    <w:rsid w:val="00D15914"/>
    <w:rsid w:val="00D15AFD"/>
    <w:rsid w:val="00D15D6E"/>
    <w:rsid w:val="00D179FC"/>
    <w:rsid w:val="00D2008D"/>
    <w:rsid w:val="00D20E60"/>
    <w:rsid w:val="00D212E3"/>
    <w:rsid w:val="00D228DE"/>
    <w:rsid w:val="00D2454C"/>
    <w:rsid w:val="00D25FAF"/>
    <w:rsid w:val="00D26C9A"/>
    <w:rsid w:val="00D27170"/>
    <w:rsid w:val="00D27510"/>
    <w:rsid w:val="00D3292B"/>
    <w:rsid w:val="00D335AC"/>
    <w:rsid w:val="00D34B22"/>
    <w:rsid w:val="00D351F7"/>
    <w:rsid w:val="00D35F1F"/>
    <w:rsid w:val="00D3652C"/>
    <w:rsid w:val="00D36615"/>
    <w:rsid w:val="00D37022"/>
    <w:rsid w:val="00D37A28"/>
    <w:rsid w:val="00D37BBE"/>
    <w:rsid w:val="00D41A04"/>
    <w:rsid w:val="00D42B1A"/>
    <w:rsid w:val="00D42D44"/>
    <w:rsid w:val="00D43D4F"/>
    <w:rsid w:val="00D44484"/>
    <w:rsid w:val="00D45281"/>
    <w:rsid w:val="00D5144B"/>
    <w:rsid w:val="00D52156"/>
    <w:rsid w:val="00D53730"/>
    <w:rsid w:val="00D54953"/>
    <w:rsid w:val="00D55297"/>
    <w:rsid w:val="00D55F94"/>
    <w:rsid w:val="00D563D7"/>
    <w:rsid w:val="00D61222"/>
    <w:rsid w:val="00D61A54"/>
    <w:rsid w:val="00D61FEB"/>
    <w:rsid w:val="00D628DF"/>
    <w:rsid w:val="00D642F4"/>
    <w:rsid w:val="00D6523A"/>
    <w:rsid w:val="00D72BF2"/>
    <w:rsid w:val="00D731A4"/>
    <w:rsid w:val="00D74414"/>
    <w:rsid w:val="00D74DFE"/>
    <w:rsid w:val="00D758C7"/>
    <w:rsid w:val="00D758D1"/>
    <w:rsid w:val="00D758F7"/>
    <w:rsid w:val="00D75E2B"/>
    <w:rsid w:val="00D76488"/>
    <w:rsid w:val="00D82013"/>
    <w:rsid w:val="00D86C95"/>
    <w:rsid w:val="00D907B0"/>
    <w:rsid w:val="00D90C82"/>
    <w:rsid w:val="00D94D5B"/>
    <w:rsid w:val="00D96BA7"/>
    <w:rsid w:val="00DA3AEE"/>
    <w:rsid w:val="00DA4AA2"/>
    <w:rsid w:val="00DB1E64"/>
    <w:rsid w:val="00DB25CF"/>
    <w:rsid w:val="00DB27F9"/>
    <w:rsid w:val="00DB40D7"/>
    <w:rsid w:val="00DB5B6F"/>
    <w:rsid w:val="00DB7390"/>
    <w:rsid w:val="00DB7450"/>
    <w:rsid w:val="00DB7645"/>
    <w:rsid w:val="00DC009C"/>
    <w:rsid w:val="00DC15F5"/>
    <w:rsid w:val="00DC244F"/>
    <w:rsid w:val="00DC2A10"/>
    <w:rsid w:val="00DC2BE8"/>
    <w:rsid w:val="00DC2E8A"/>
    <w:rsid w:val="00DC3B5D"/>
    <w:rsid w:val="00DC4442"/>
    <w:rsid w:val="00DC5896"/>
    <w:rsid w:val="00DC5BA1"/>
    <w:rsid w:val="00DC70AC"/>
    <w:rsid w:val="00DC7533"/>
    <w:rsid w:val="00DD038C"/>
    <w:rsid w:val="00DD0D23"/>
    <w:rsid w:val="00DD19F3"/>
    <w:rsid w:val="00DD254E"/>
    <w:rsid w:val="00DD4B98"/>
    <w:rsid w:val="00DD564B"/>
    <w:rsid w:val="00DD60E7"/>
    <w:rsid w:val="00DD772F"/>
    <w:rsid w:val="00DE14D7"/>
    <w:rsid w:val="00DE23E2"/>
    <w:rsid w:val="00DE4D4B"/>
    <w:rsid w:val="00DE68D9"/>
    <w:rsid w:val="00DF0357"/>
    <w:rsid w:val="00DF0ECA"/>
    <w:rsid w:val="00DF1AD1"/>
    <w:rsid w:val="00DF2903"/>
    <w:rsid w:val="00DF3023"/>
    <w:rsid w:val="00DF7444"/>
    <w:rsid w:val="00E00148"/>
    <w:rsid w:val="00E002CC"/>
    <w:rsid w:val="00E0091D"/>
    <w:rsid w:val="00E02316"/>
    <w:rsid w:val="00E02D90"/>
    <w:rsid w:val="00E04180"/>
    <w:rsid w:val="00E053D5"/>
    <w:rsid w:val="00E05770"/>
    <w:rsid w:val="00E07EDD"/>
    <w:rsid w:val="00E10BAE"/>
    <w:rsid w:val="00E11C33"/>
    <w:rsid w:val="00E14897"/>
    <w:rsid w:val="00E15177"/>
    <w:rsid w:val="00E1612C"/>
    <w:rsid w:val="00E166C9"/>
    <w:rsid w:val="00E16976"/>
    <w:rsid w:val="00E17211"/>
    <w:rsid w:val="00E173BE"/>
    <w:rsid w:val="00E17FE1"/>
    <w:rsid w:val="00E2034C"/>
    <w:rsid w:val="00E2056E"/>
    <w:rsid w:val="00E2462A"/>
    <w:rsid w:val="00E26695"/>
    <w:rsid w:val="00E266B5"/>
    <w:rsid w:val="00E26946"/>
    <w:rsid w:val="00E27621"/>
    <w:rsid w:val="00E31806"/>
    <w:rsid w:val="00E318D4"/>
    <w:rsid w:val="00E31AFF"/>
    <w:rsid w:val="00E32B5B"/>
    <w:rsid w:val="00E32FBD"/>
    <w:rsid w:val="00E335AE"/>
    <w:rsid w:val="00E33782"/>
    <w:rsid w:val="00E3537A"/>
    <w:rsid w:val="00E36902"/>
    <w:rsid w:val="00E36A07"/>
    <w:rsid w:val="00E373A8"/>
    <w:rsid w:val="00E42763"/>
    <w:rsid w:val="00E42CA3"/>
    <w:rsid w:val="00E45440"/>
    <w:rsid w:val="00E46A55"/>
    <w:rsid w:val="00E46AAC"/>
    <w:rsid w:val="00E479E7"/>
    <w:rsid w:val="00E50541"/>
    <w:rsid w:val="00E515B4"/>
    <w:rsid w:val="00E535DF"/>
    <w:rsid w:val="00E541F5"/>
    <w:rsid w:val="00E55022"/>
    <w:rsid w:val="00E5679B"/>
    <w:rsid w:val="00E56BB8"/>
    <w:rsid w:val="00E640DD"/>
    <w:rsid w:val="00E6764E"/>
    <w:rsid w:val="00E6798F"/>
    <w:rsid w:val="00E7021A"/>
    <w:rsid w:val="00E7194A"/>
    <w:rsid w:val="00E71CB9"/>
    <w:rsid w:val="00E73548"/>
    <w:rsid w:val="00E74633"/>
    <w:rsid w:val="00E7540C"/>
    <w:rsid w:val="00E756B0"/>
    <w:rsid w:val="00E757CC"/>
    <w:rsid w:val="00E75B50"/>
    <w:rsid w:val="00E75B9A"/>
    <w:rsid w:val="00E765B5"/>
    <w:rsid w:val="00E765DD"/>
    <w:rsid w:val="00E77DA0"/>
    <w:rsid w:val="00E80314"/>
    <w:rsid w:val="00E8037C"/>
    <w:rsid w:val="00E805C8"/>
    <w:rsid w:val="00E81D13"/>
    <w:rsid w:val="00E81E8A"/>
    <w:rsid w:val="00E821ED"/>
    <w:rsid w:val="00E83014"/>
    <w:rsid w:val="00E8480C"/>
    <w:rsid w:val="00E84877"/>
    <w:rsid w:val="00E853DB"/>
    <w:rsid w:val="00E868F1"/>
    <w:rsid w:val="00E86E56"/>
    <w:rsid w:val="00E90351"/>
    <w:rsid w:val="00E90B26"/>
    <w:rsid w:val="00E9156F"/>
    <w:rsid w:val="00E91BFC"/>
    <w:rsid w:val="00E9286E"/>
    <w:rsid w:val="00E9327D"/>
    <w:rsid w:val="00E9480D"/>
    <w:rsid w:val="00E96620"/>
    <w:rsid w:val="00E970F9"/>
    <w:rsid w:val="00E97138"/>
    <w:rsid w:val="00EA2659"/>
    <w:rsid w:val="00EA297D"/>
    <w:rsid w:val="00EA3197"/>
    <w:rsid w:val="00EA57CE"/>
    <w:rsid w:val="00EA6971"/>
    <w:rsid w:val="00EA6DE8"/>
    <w:rsid w:val="00EA7558"/>
    <w:rsid w:val="00EA7762"/>
    <w:rsid w:val="00EB14F5"/>
    <w:rsid w:val="00EB165F"/>
    <w:rsid w:val="00EB1F2E"/>
    <w:rsid w:val="00EB2CB6"/>
    <w:rsid w:val="00EB4EEC"/>
    <w:rsid w:val="00EB56E4"/>
    <w:rsid w:val="00EB64C6"/>
    <w:rsid w:val="00EB6579"/>
    <w:rsid w:val="00EB7C60"/>
    <w:rsid w:val="00EC03F4"/>
    <w:rsid w:val="00EC4273"/>
    <w:rsid w:val="00EC5224"/>
    <w:rsid w:val="00EC5432"/>
    <w:rsid w:val="00EC57CE"/>
    <w:rsid w:val="00EC5A7E"/>
    <w:rsid w:val="00EC5D9A"/>
    <w:rsid w:val="00EC6F47"/>
    <w:rsid w:val="00EC6F62"/>
    <w:rsid w:val="00EC7E66"/>
    <w:rsid w:val="00ED0897"/>
    <w:rsid w:val="00ED1115"/>
    <w:rsid w:val="00ED29F9"/>
    <w:rsid w:val="00ED2ACF"/>
    <w:rsid w:val="00ED5AAB"/>
    <w:rsid w:val="00ED68FF"/>
    <w:rsid w:val="00EE309A"/>
    <w:rsid w:val="00EE51A8"/>
    <w:rsid w:val="00EE78EC"/>
    <w:rsid w:val="00EF2AB4"/>
    <w:rsid w:val="00EF64E8"/>
    <w:rsid w:val="00EF65E3"/>
    <w:rsid w:val="00EF691F"/>
    <w:rsid w:val="00F00652"/>
    <w:rsid w:val="00F00689"/>
    <w:rsid w:val="00F0091A"/>
    <w:rsid w:val="00F014E8"/>
    <w:rsid w:val="00F01CB5"/>
    <w:rsid w:val="00F053D6"/>
    <w:rsid w:val="00F0555F"/>
    <w:rsid w:val="00F1166A"/>
    <w:rsid w:val="00F122F2"/>
    <w:rsid w:val="00F12ACF"/>
    <w:rsid w:val="00F132E8"/>
    <w:rsid w:val="00F21893"/>
    <w:rsid w:val="00F21DB3"/>
    <w:rsid w:val="00F24ECD"/>
    <w:rsid w:val="00F279FC"/>
    <w:rsid w:val="00F30B7E"/>
    <w:rsid w:val="00F3174D"/>
    <w:rsid w:val="00F34107"/>
    <w:rsid w:val="00F34644"/>
    <w:rsid w:val="00F3531C"/>
    <w:rsid w:val="00F3759B"/>
    <w:rsid w:val="00F4038A"/>
    <w:rsid w:val="00F416AF"/>
    <w:rsid w:val="00F42899"/>
    <w:rsid w:val="00F42CE3"/>
    <w:rsid w:val="00F43157"/>
    <w:rsid w:val="00F4362A"/>
    <w:rsid w:val="00F43D54"/>
    <w:rsid w:val="00F43D6D"/>
    <w:rsid w:val="00F43E67"/>
    <w:rsid w:val="00F44BAD"/>
    <w:rsid w:val="00F44FF5"/>
    <w:rsid w:val="00F4602F"/>
    <w:rsid w:val="00F46D40"/>
    <w:rsid w:val="00F50853"/>
    <w:rsid w:val="00F51326"/>
    <w:rsid w:val="00F517F7"/>
    <w:rsid w:val="00F51E0A"/>
    <w:rsid w:val="00F54258"/>
    <w:rsid w:val="00F55F5E"/>
    <w:rsid w:val="00F565CD"/>
    <w:rsid w:val="00F57170"/>
    <w:rsid w:val="00F5782B"/>
    <w:rsid w:val="00F57C5B"/>
    <w:rsid w:val="00F60131"/>
    <w:rsid w:val="00F605D6"/>
    <w:rsid w:val="00F6096C"/>
    <w:rsid w:val="00F61104"/>
    <w:rsid w:val="00F611D6"/>
    <w:rsid w:val="00F6195C"/>
    <w:rsid w:val="00F644B0"/>
    <w:rsid w:val="00F651B9"/>
    <w:rsid w:val="00F65C1A"/>
    <w:rsid w:val="00F66524"/>
    <w:rsid w:val="00F6668C"/>
    <w:rsid w:val="00F67BF2"/>
    <w:rsid w:val="00F67FE0"/>
    <w:rsid w:val="00F70350"/>
    <w:rsid w:val="00F70664"/>
    <w:rsid w:val="00F70788"/>
    <w:rsid w:val="00F7426C"/>
    <w:rsid w:val="00F753DA"/>
    <w:rsid w:val="00F774C9"/>
    <w:rsid w:val="00F80967"/>
    <w:rsid w:val="00F8471A"/>
    <w:rsid w:val="00F86D45"/>
    <w:rsid w:val="00F915DF"/>
    <w:rsid w:val="00F91A82"/>
    <w:rsid w:val="00F91A87"/>
    <w:rsid w:val="00F91A8D"/>
    <w:rsid w:val="00F92DA1"/>
    <w:rsid w:val="00F92DFE"/>
    <w:rsid w:val="00F931E6"/>
    <w:rsid w:val="00F9348E"/>
    <w:rsid w:val="00F95271"/>
    <w:rsid w:val="00F955F1"/>
    <w:rsid w:val="00F95B8D"/>
    <w:rsid w:val="00F95CCB"/>
    <w:rsid w:val="00F95FC9"/>
    <w:rsid w:val="00FA1962"/>
    <w:rsid w:val="00FA2688"/>
    <w:rsid w:val="00FA3839"/>
    <w:rsid w:val="00FA6AB6"/>
    <w:rsid w:val="00FA6F43"/>
    <w:rsid w:val="00FA7D53"/>
    <w:rsid w:val="00FB01D1"/>
    <w:rsid w:val="00FB18CB"/>
    <w:rsid w:val="00FB30A8"/>
    <w:rsid w:val="00FB3623"/>
    <w:rsid w:val="00FB3ECD"/>
    <w:rsid w:val="00FB4E1C"/>
    <w:rsid w:val="00FB52F8"/>
    <w:rsid w:val="00FB619E"/>
    <w:rsid w:val="00FB66B4"/>
    <w:rsid w:val="00FB7786"/>
    <w:rsid w:val="00FC0074"/>
    <w:rsid w:val="00FC0517"/>
    <w:rsid w:val="00FC0D01"/>
    <w:rsid w:val="00FC3A5C"/>
    <w:rsid w:val="00FC44E8"/>
    <w:rsid w:val="00FC4BFD"/>
    <w:rsid w:val="00FC7C78"/>
    <w:rsid w:val="00FD2CAE"/>
    <w:rsid w:val="00FD308C"/>
    <w:rsid w:val="00FD3E08"/>
    <w:rsid w:val="00FD3E4D"/>
    <w:rsid w:val="00FD5696"/>
    <w:rsid w:val="00FD64F4"/>
    <w:rsid w:val="00FD7253"/>
    <w:rsid w:val="00FD78AF"/>
    <w:rsid w:val="00FE03D3"/>
    <w:rsid w:val="00FE0B97"/>
    <w:rsid w:val="00FE10D8"/>
    <w:rsid w:val="00FE25ED"/>
    <w:rsid w:val="00FE3E1B"/>
    <w:rsid w:val="00FE5154"/>
    <w:rsid w:val="00FE552D"/>
    <w:rsid w:val="00FE7B51"/>
    <w:rsid w:val="00FE7CE8"/>
    <w:rsid w:val="00FF0534"/>
    <w:rsid w:val="00FF123F"/>
    <w:rsid w:val="00FF1A5B"/>
    <w:rsid w:val="00FF1F7B"/>
    <w:rsid w:val="00FF2BD4"/>
    <w:rsid w:val="00FF36F8"/>
    <w:rsid w:val="00FF4461"/>
    <w:rsid w:val="00FF49A7"/>
    <w:rsid w:val="00FF57EC"/>
    <w:rsid w:val="00FF6F01"/>
    <w:rsid w:val="00FF7247"/>
    <w:rsid w:val="00FF7B4C"/>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ED1E008"/>
  <w15:docId w15:val="{4968600A-ACCE-4058-ADC4-8B76DEC8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9A"/>
    <w:pPr>
      <w:jc w:val="both"/>
    </w:pPr>
    <w:rPr>
      <w:sz w:val="24"/>
      <w:szCs w:val="22"/>
      <w:lang w:eastAsia="en-US"/>
    </w:rPr>
  </w:style>
  <w:style w:type="paragraph" w:styleId="Heading1">
    <w:name w:val="heading 1"/>
    <w:basedOn w:val="Normal"/>
    <w:next w:val="Normal"/>
    <w:link w:val="Heading1Char"/>
    <w:autoRedefine/>
    <w:uiPriority w:val="1"/>
    <w:qFormat/>
    <w:rsid w:val="005F6ED9"/>
    <w:pPr>
      <w:keepNext/>
      <w:spacing w:after="240"/>
      <w:jc w:val="center"/>
      <w:outlineLvl w:val="0"/>
    </w:pPr>
    <w:rPr>
      <w:rFonts w:ascii="Calibri" w:hAnsi="Calibri" w:cs="Times New Roman"/>
      <w:b/>
      <w:iCs/>
      <w:noProof/>
      <w:sz w:val="22"/>
    </w:rPr>
  </w:style>
  <w:style w:type="paragraph" w:styleId="Heading2">
    <w:name w:val="heading 2"/>
    <w:basedOn w:val="Normal"/>
    <w:next w:val="Normal"/>
    <w:link w:val="Heading2Char"/>
    <w:autoRedefine/>
    <w:uiPriority w:val="1"/>
    <w:qFormat/>
    <w:rsid w:val="003A40AD"/>
    <w:pPr>
      <w:widowControl w:val="0"/>
      <w:tabs>
        <w:tab w:val="left" w:pos="-5387"/>
        <w:tab w:val="left" w:pos="426"/>
        <w:tab w:val="left" w:pos="1985"/>
        <w:tab w:val="left" w:pos="3828"/>
      </w:tabs>
      <w:outlineLvl w:val="1"/>
    </w:pPr>
    <w:rPr>
      <w:rFonts w:ascii="Calibri" w:eastAsia="Times New Roman" w:hAnsi="Calibri" w:cs="Times New Roman"/>
      <w:b/>
      <w:bCs/>
      <w:i/>
      <w:iCs/>
      <w:noProof/>
      <w:sz w:val="22"/>
    </w:rPr>
  </w:style>
  <w:style w:type="paragraph" w:styleId="Heading3">
    <w:name w:val="heading 3"/>
    <w:basedOn w:val="Normal"/>
    <w:next w:val="Normal"/>
    <w:link w:val="Heading3Char"/>
    <w:autoRedefine/>
    <w:uiPriority w:val="1"/>
    <w:unhideWhenUsed/>
    <w:qFormat/>
    <w:rsid w:val="000D0013"/>
    <w:pPr>
      <w:keepNext/>
      <w:ind w:left="1275" w:hanging="567"/>
      <w:outlineLvl w:val="2"/>
    </w:pPr>
    <w:rPr>
      <w:rFonts w:ascii="Calibri" w:eastAsia="Times New Roman" w:hAnsi="Calibri" w:cs="Times New Roman"/>
      <w:bCs/>
      <w:i/>
      <w:sz w:val="22"/>
    </w:rPr>
  </w:style>
  <w:style w:type="paragraph" w:styleId="Heading4">
    <w:name w:val="heading 4"/>
    <w:basedOn w:val="List3"/>
    <w:next w:val="Normal"/>
    <w:link w:val="Heading4Char"/>
    <w:uiPriority w:val="1"/>
    <w:qFormat/>
    <w:rsid w:val="00FB7786"/>
    <w:pPr>
      <w:keepNext/>
      <w:numPr>
        <w:ilvl w:val="3"/>
        <w:numId w:val="2"/>
      </w:numPr>
      <w:outlineLvl w:val="3"/>
    </w:pPr>
    <w:rPr>
      <w:rFonts w:eastAsia="Times New Roman" w:cs="Times New Roman"/>
      <w:i/>
      <w:iCs/>
      <w:szCs w:val="24"/>
    </w:rPr>
  </w:style>
  <w:style w:type="paragraph" w:styleId="Heading5">
    <w:name w:val="heading 5"/>
    <w:basedOn w:val="Normal"/>
    <w:next w:val="Normal"/>
    <w:link w:val="Heading5Char"/>
    <w:uiPriority w:val="1"/>
    <w:unhideWhenUsed/>
    <w:qFormat/>
    <w:rsid w:val="00F132E8"/>
    <w:pPr>
      <w:numPr>
        <w:ilvl w:val="4"/>
        <w:numId w:val="2"/>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1"/>
    <w:unhideWhenUsed/>
    <w:qFormat/>
    <w:rsid w:val="005675ED"/>
    <w:pPr>
      <w:numPr>
        <w:ilvl w:val="5"/>
        <w:numId w:val="2"/>
      </w:numPr>
      <w:spacing w:before="240" w:after="60"/>
      <w:outlineLvl w:val="5"/>
    </w:pPr>
    <w:rPr>
      <w:rFonts w:ascii="Calibri" w:eastAsia="Times New Roman" w:hAnsi="Calibri" w:cs="Times New Roman"/>
      <w:b/>
      <w:bCs/>
      <w:sz w:val="22"/>
    </w:rPr>
  </w:style>
  <w:style w:type="paragraph" w:styleId="Heading7">
    <w:name w:val="heading 7"/>
    <w:basedOn w:val="Normal"/>
    <w:next w:val="Normal"/>
    <w:link w:val="Heading7Char"/>
    <w:uiPriority w:val="9"/>
    <w:semiHidden/>
    <w:unhideWhenUsed/>
    <w:qFormat/>
    <w:rsid w:val="00B97972"/>
    <w:pPr>
      <w:keepNext/>
      <w:keepLines/>
      <w:spacing w:before="200"/>
      <w:outlineLvl w:val="6"/>
    </w:pPr>
    <w:rPr>
      <w:rFonts w:ascii="Calibri" w:eastAsia="Times New Roman" w:hAnsi="Calibri" w:cs="Times New Roman"/>
      <w:i/>
      <w:iCs/>
      <w:color w:val="404040"/>
      <w:sz w:val="20"/>
      <w:szCs w:val="20"/>
      <w:lang w:eastAsia="hu-HU"/>
    </w:rPr>
  </w:style>
  <w:style w:type="paragraph" w:styleId="Heading8">
    <w:name w:val="heading 8"/>
    <w:basedOn w:val="Normal"/>
    <w:next w:val="Normal"/>
    <w:link w:val="Heading8Char"/>
    <w:uiPriority w:val="9"/>
    <w:unhideWhenUsed/>
    <w:qFormat/>
    <w:rsid w:val="00DA3AEE"/>
    <w:p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semiHidden/>
    <w:unhideWhenUsed/>
    <w:qFormat/>
    <w:rsid w:val="00B97972"/>
    <w:pPr>
      <w:keepNext/>
      <w:keepLines/>
      <w:spacing w:before="200"/>
      <w:outlineLvl w:val="8"/>
    </w:pPr>
    <w:rPr>
      <w:rFonts w:ascii="Calibri" w:eastAsia="Times New Roman" w:hAnsi="Calibri" w:cs="Times New Roman"/>
      <w:i/>
      <w:iCs/>
      <w:color w:val="404040"/>
      <w:sz w:val="20"/>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FB7786"/>
    <w:rPr>
      <w:rFonts w:eastAsia="Times New Roman" w:cs="Times New Roman"/>
      <w:i/>
      <w:iCs/>
      <w:sz w:val="24"/>
      <w:szCs w:val="24"/>
      <w:lang w:eastAsia="en-US"/>
    </w:rPr>
  </w:style>
  <w:style w:type="paragraph" w:styleId="List3">
    <w:name w:val="List 3"/>
    <w:basedOn w:val="Normal"/>
    <w:uiPriority w:val="99"/>
    <w:semiHidden/>
    <w:unhideWhenUsed/>
    <w:rsid w:val="009E378B"/>
    <w:pPr>
      <w:ind w:left="849" w:hanging="283"/>
      <w:contextualSpacing/>
    </w:pPr>
  </w:style>
  <w:style w:type="character" w:customStyle="1" w:styleId="Heading1Char">
    <w:name w:val="Heading 1 Char"/>
    <w:link w:val="Heading1"/>
    <w:uiPriority w:val="1"/>
    <w:rsid w:val="005F6ED9"/>
    <w:rPr>
      <w:rFonts w:ascii="Calibri" w:hAnsi="Calibri" w:cs="Times New Roman"/>
      <w:b/>
      <w:iCs/>
      <w:noProof/>
      <w:sz w:val="22"/>
      <w:szCs w:val="22"/>
      <w:lang w:eastAsia="en-US"/>
    </w:rPr>
  </w:style>
  <w:style w:type="character" w:customStyle="1" w:styleId="Heading2Char">
    <w:name w:val="Heading 2 Char"/>
    <w:link w:val="Heading2"/>
    <w:uiPriority w:val="1"/>
    <w:rsid w:val="003A40AD"/>
    <w:rPr>
      <w:rFonts w:ascii="Calibri" w:eastAsia="Times New Roman" w:hAnsi="Calibri" w:cs="Times New Roman"/>
      <w:b/>
      <w:bCs/>
      <w:i/>
      <w:iCs/>
      <w:noProof/>
      <w:sz w:val="22"/>
      <w:szCs w:val="22"/>
      <w:lang w:eastAsia="en-US"/>
    </w:rPr>
  </w:style>
  <w:style w:type="numbering" w:customStyle="1" w:styleId="Stlus1">
    <w:name w:val="Stílus1"/>
    <w:uiPriority w:val="99"/>
    <w:rsid w:val="009E2B9F"/>
    <w:pPr>
      <w:numPr>
        <w:numId w:val="1"/>
      </w:numPr>
    </w:pPr>
  </w:style>
  <w:style w:type="paragraph" w:customStyle="1" w:styleId="Stlus3">
    <w:name w:val="Stílus3"/>
    <w:basedOn w:val="Heading1"/>
    <w:next w:val="Heading2"/>
    <w:autoRedefine/>
    <w:rsid w:val="00336665"/>
  </w:style>
  <w:style w:type="paragraph" w:styleId="Header">
    <w:name w:val="header"/>
    <w:basedOn w:val="Normal"/>
    <w:link w:val="HeaderChar"/>
    <w:uiPriority w:val="99"/>
    <w:unhideWhenUsed/>
    <w:rsid w:val="00BD65F3"/>
    <w:pPr>
      <w:tabs>
        <w:tab w:val="center" w:pos="4536"/>
        <w:tab w:val="right" w:pos="9072"/>
      </w:tabs>
    </w:pPr>
  </w:style>
  <w:style w:type="character" w:customStyle="1" w:styleId="HeaderChar">
    <w:name w:val="Header Char"/>
    <w:basedOn w:val="DefaultParagraphFont"/>
    <w:link w:val="Header"/>
    <w:uiPriority w:val="99"/>
    <w:rsid w:val="00BD65F3"/>
  </w:style>
  <w:style w:type="paragraph" w:styleId="Footer">
    <w:name w:val="footer"/>
    <w:basedOn w:val="Normal"/>
    <w:link w:val="FooterChar"/>
    <w:uiPriority w:val="99"/>
    <w:unhideWhenUsed/>
    <w:rsid w:val="00BD65F3"/>
    <w:pPr>
      <w:tabs>
        <w:tab w:val="center" w:pos="4536"/>
        <w:tab w:val="right" w:pos="9072"/>
      </w:tabs>
    </w:pPr>
  </w:style>
  <w:style w:type="character" w:customStyle="1" w:styleId="FooterChar">
    <w:name w:val="Footer Char"/>
    <w:basedOn w:val="DefaultParagraphFont"/>
    <w:link w:val="Footer"/>
    <w:uiPriority w:val="99"/>
    <w:rsid w:val="00BD65F3"/>
  </w:style>
  <w:style w:type="paragraph" w:styleId="TOC3">
    <w:name w:val="toc 3"/>
    <w:basedOn w:val="Normal"/>
    <w:next w:val="Normal"/>
    <w:autoRedefine/>
    <w:uiPriority w:val="39"/>
    <w:unhideWhenUsed/>
    <w:qFormat/>
    <w:rsid w:val="00D37BBE"/>
    <w:pPr>
      <w:ind w:left="240"/>
      <w:jc w:val="left"/>
    </w:pPr>
    <w:rPr>
      <w:rFonts w:ascii="Calibri" w:hAnsi="Calibri"/>
      <w:sz w:val="20"/>
      <w:szCs w:val="20"/>
    </w:rPr>
  </w:style>
  <w:style w:type="paragraph" w:styleId="BalloonText">
    <w:name w:val="Balloon Text"/>
    <w:basedOn w:val="Normal"/>
    <w:link w:val="BalloonTextChar"/>
    <w:uiPriority w:val="99"/>
    <w:semiHidden/>
    <w:unhideWhenUsed/>
    <w:rsid w:val="00BD65F3"/>
    <w:rPr>
      <w:rFonts w:ascii="Tahoma" w:hAnsi="Tahoma" w:cs="Times New Roman"/>
      <w:sz w:val="16"/>
      <w:szCs w:val="16"/>
    </w:rPr>
  </w:style>
  <w:style w:type="character" w:customStyle="1" w:styleId="BalloonTextChar">
    <w:name w:val="Balloon Text Char"/>
    <w:link w:val="BalloonText"/>
    <w:uiPriority w:val="99"/>
    <w:semiHidden/>
    <w:rsid w:val="00BD65F3"/>
    <w:rPr>
      <w:rFonts w:ascii="Tahoma" w:hAnsi="Tahoma" w:cs="Tahoma"/>
      <w:sz w:val="16"/>
      <w:szCs w:val="16"/>
    </w:rPr>
  </w:style>
  <w:style w:type="table" w:styleId="TableGrid">
    <w:name w:val="Table Grid"/>
    <w:aliases w:val="Szegély nélküli"/>
    <w:basedOn w:val="TableNormal"/>
    <w:uiPriority w:val="59"/>
    <w:rsid w:val="00BD65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1"/>
    <w:rsid w:val="00F132E8"/>
    <w:rPr>
      <w:rFonts w:ascii="Calibri" w:eastAsia="Times New Roman" w:hAnsi="Calibri" w:cs="Times New Roman"/>
      <w:b/>
      <w:bCs/>
      <w:i/>
      <w:iCs/>
      <w:sz w:val="26"/>
      <w:szCs w:val="26"/>
      <w:lang w:eastAsia="en-US"/>
    </w:rPr>
  </w:style>
  <w:style w:type="character" w:customStyle="1" w:styleId="Heading3Char">
    <w:name w:val="Heading 3 Char"/>
    <w:link w:val="Heading3"/>
    <w:uiPriority w:val="1"/>
    <w:rsid w:val="000D0013"/>
    <w:rPr>
      <w:rFonts w:ascii="Calibri" w:eastAsia="Times New Roman" w:hAnsi="Calibri" w:cs="Times New Roman"/>
      <w:bCs/>
      <w:i/>
      <w:sz w:val="22"/>
      <w:szCs w:val="22"/>
    </w:rPr>
  </w:style>
  <w:style w:type="character" w:customStyle="1" w:styleId="Heading6Char">
    <w:name w:val="Heading 6 Char"/>
    <w:link w:val="Heading6"/>
    <w:uiPriority w:val="1"/>
    <w:rsid w:val="005675ED"/>
    <w:rPr>
      <w:rFonts w:ascii="Calibri" w:eastAsia="Times New Roman" w:hAnsi="Calibri" w:cs="Times New Roman"/>
      <w:b/>
      <w:bCs/>
      <w:sz w:val="22"/>
      <w:szCs w:val="22"/>
      <w:lang w:eastAsia="en-US"/>
    </w:rPr>
  </w:style>
  <w:style w:type="paragraph" w:styleId="TOC1">
    <w:name w:val="toc 1"/>
    <w:basedOn w:val="Normal"/>
    <w:next w:val="Normal"/>
    <w:autoRedefine/>
    <w:uiPriority w:val="39"/>
    <w:unhideWhenUsed/>
    <w:qFormat/>
    <w:rsid w:val="00C124C5"/>
    <w:pPr>
      <w:tabs>
        <w:tab w:val="left" w:pos="567"/>
      </w:tabs>
      <w:spacing w:line="276" w:lineRule="auto"/>
      <w:ind w:right="-142"/>
      <w:jc w:val="left"/>
    </w:pPr>
    <w:rPr>
      <w:rFonts w:ascii="Cambria" w:hAnsi="Cambria"/>
      <w:b/>
      <w:bCs/>
      <w:caps/>
      <w:szCs w:val="24"/>
    </w:rPr>
  </w:style>
  <w:style w:type="paragraph" w:styleId="TOC2">
    <w:name w:val="toc 2"/>
    <w:basedOn w:val="Normal"/>
    <w:next w:val="Normal"/>
    <w:autoRedefine/>
    <w:uiPriority w:val="39"/>
    <w:unhideWhenUsed/>
    <w:qFormat/>
    <w:rsid w:val="00922703"/>
    <w:pPr>
      <w:spacing w:before="240"/>
      <w:jc w:val="left"/>
    </w:pPr>
    <w:rPr>
      <w:rFonts w:ascii="Calibri" w:hAnsi="Calibri"/>
      <w:b/>
      <w:bCs/>
      <w:sz w:val="20"/>
      <w:szCs w:val="20"/>
    </w:rPr>
  </w:style>
  <w:style w:type="paragraph" w:styleId="TOC4">
    <w:name w:val="toc 4"/>
    <w:basedOn w:val="Normal"/>
    <w:next w:val="Normal"/>
    <w:autoRedefine/>
    <w:uiPriority w:val="39"/>
    <w:unhideWhenUsed/>
    <w:rsid w:val="00922703"/>
    <w:pPr>
      <w:ind w:left="480"/>
      <w:jc w:val="left"/>
    </w:pPr>
    <w:rPr>
      <w:rFonts w:ascii="Calibri" w:hAnsi="Calibri"/>
      <w:sz w:val="20"/>
      <w:szCs w:val="20"/>
    </w:rPr>
  </w:style>
  <w:style w:type="paragraph" w:styleId="TOC5">
    <w:name w:val="toc 5"/>
    <w:basedOn w:val="Normal"/>
    <w:next w:val="Normal"/>
    <w:autoRedefine/>
    <w:uiPriority w:val="39"/>
    <w:unhideWhenUsed/>
    <w:rsid w:val="00922703"/>
    <w:pPr>
      <w:ind w:left="720"/>
      <w:jc w:val="left"/>
    </w:pPr>
    <w:rPr>
      <w:rFonts w:ascii="Calibri" w:hAnsi="Calibri"/>
      <w:sz w:val="20"/>
      <w:szCs w:val="20"/>
    </w:rPr>
  </w:style>
  <w:style w:type="character" w:styleId="Hyperlink">
    <w:name w:val="Hyperlink"/>
    <w:uiPriority w:val="99"/>
    <w:unhideWhenUsed/>
    <w:rsid w:val="00922703"/>
    <w:rPr>
      <w:color w:val="0000FF"/>
      <w:u w:val="single"/>
    </w:rPr>
  </w:style>
  <w:style w:type="paragraph" w:styleId="TOC6">
    <w:name w:val="toc 6"/>
    <w:basedOn w:val="Normal"/>
    <w:next w:val="Normal"/>
    <w:autoRedefine/>
    <w:uiPriority w:val="39"/>
    <w:unhideWhenUsed/>
    <w:rsid w:val="006A21D5"/>
    <w:pPr>
      <w:ind w:left="960"/>
      <w:jc w:val="left"/>
    </w:pPr>
    <w:rPr>
      <w:rFonts w:ascii="Calibri" w:hAnsi="Calibri"/>
      <w:sz w:val="20"/>
      <w:szCs w:val="20"/>
    </w:rPr>
  </w:style>
  <w:style w:type="paragraph" w:styleId="TOC7">
    <w:name w:val="toc 7"/>
    <w:basedOn w:val="Normal"/>
    <w:next w:val="Normal"/>
    <w:autoRedefine/>
    <w:uiPriority w:val="99"/>
    <w:unhideWhenUsed/>
    <w:rsid w:val="006A21D5"/>
    <w:pPr>
      <w:ind w:left="1200"/>
      <w:jc w:val="left"/>
    </w:pPr>
    <w:rPr>
      <w:rFonts w:ascii="Calibri" w:hAnsi="Calibri"/>
      <w:sz w:val="20"/>
      <w:szCs w:val="20"/>
    </w:rPr>
  </w:style>
  <w:style w:type="paragraph" w:styleId="TOC8">
    <w:name w:val="toc 8"/>
    <w:basedOn w:val="Normal"/>
    <w:next w:val="Normal"/>
    <w:autoRedefine/>
    <w:uiPriority w:val="99"/>
    <w:unhideWhenUsed/>
    <w:rsid w:val="006A21D5"/>
    <w:pPr>
      <w:ind w:left="1440"/>
      <w:jc w:val="left"/>
    </w:pPr>
    <w:rPr>
      <w:rFonts w:ascii="Calibri" w:hAnsi="Calibri"/>
      <w:sz w:val="20"/>
      <w:szCs w:val="20"/>
    </w:rPr>
  </w:style>
  <w:style w:type="paragraph" w:styleId="TOC9">
    <w:name w:val="toc 9"/>
    <w:basedOn w:val="Normal"/>
    <w:next w:val="Normal"/>
    <w:autoRedefine/>
    <w:uiPriority w:val="99"/>
    <w:unhideWhenUsed/>
    <w:rsid w:val="006A21D5"/>
    <w:pPr>
      <w:ind w:left="1680"/>
      <w:jc w:val="left"/>
    </w:pPr>
    <w:rPr>
      <w:rFonts w:ascii="Calibri" w:hAnsi="Calibri"/>
      <w:sz w:val="20"/>
      <w:szCs w:val="20"/>
    </w:rPr>
  </w:style>
  <w:style w:type="paragraph" w:styleId="BodyText">
    <w:name w:val="Body Text"/>
    <w:basedOn w:val="Normal"/>
    <w:link w:val="BodyTextChar"/>
    <w:semiHidden/>
    <w:rsid w:val="007B0E18"/>
    <w:rPr>
      <w:rFonts w:eastAsia="Times New Roman" w:cs="Times New Roman"/>
      <w:szCs w:val="24"/>
    </w:rPr>
  </w:style>
  <w:style w:type="character" w:customStyle="1" w:styleId="BodyTextChar">
    <w:name w:val="Body Text Char"/>
    <w:link w:val="BodyText"/>
    <w:semiHidden/>
    <w:rsid w:val="007B0E18"/>
    <w:rPr>
      <w:rFonts w:eastAsia="Times New Roman" w:cs="Times New Roman"/>
      <w:sz w:val="24"/>
      <w:szCs w:val="24"/>
    </w:rPr>
  </w:style>
  <w:style w:type="paragraph" w:styleId="Title">
    <w:name w:val="Title"/>
    <w:basedOn w:val="Normal"/>
    <w:link w:val="TitleChar"/>
    <w:autoRedefine/>
    <w:uiPriority w:val="3"/>
    <w:qFormat/>
    <w:rsid w:val="00E970F9"/>
    <w:pPr>
      <w:spacing w:before="240"/>
      <w:ind w:left="720" w:right="720"/>
      <w:jc w:val="center"/>
    </w:pPr>
    <w:rPr>
      <w:rFonts w:ascii="Calibri" w:eastAsia="Times New Roman" w:hAnsi="Calibri" w:cs="Times New Roman"/>
      <w:b/>
      <w:bCs/>
      <w:noProof/>
      <w:color w:val="002060"/>
      <w:kern w:val="28"/>
      <w:sz w:val="32"/>
      <w:szCs w:val="24"/>
    </w:rPr>
  </w:style>
  <w:style w:type="character" w:customStyle="1" w:styleId="TitleChar">
    <w:name w:val="Title Char"/>
    <w:link w:val="Title"/>
    <w:uiPriority w:val="3"/>
    <w:rsid w:val="00E970F9"/>
    <w:rPr>
      <w:rFonts w:ascii="Calibri" w:eastAsia="Times New Roman" w:hAnsi="Calibri" w:cs="Times New Roman"/>
      <w:b/>
      <w:bCs/>
      <w:noProof/>
      <w:color w:val="002060"/>
      <w:kern w:val="28"/>
      <w:sz w:val="32"/>
      <w:szCs w:val="24"/>
      <w:lang w:eastAsia="en-US"/>
    </w:rPr>
  </w:style>
  <w:style w:type="paragraph" w:styleId="BodyTextIndent3">
    <w:name w:val="Body Text Indent 3"/>
    <w:basedOn w:val="Normal"/>
    <w:link w:val="BodyTextIndent3Char"/>
    <w:uiPriority w:val="99"/>
    <w:semiHidden/>
    <w:unhideWhenUsed/>
    <w:rsid w:val="00402903"/>
    <w:pPr>
      <w:spacing w:after="120"/>
      <w:ind w:left="283"/>
    </w:pPr>
    <w:rPr>
      <w:rFonts w:cs="Times New Roman"/>
      <w:sz w:val="16"/>
      <w:szCs w:val="16"/>
    </w:rPr>
  </w:style>
  <w:style w:type="character" w:customStyle="1" w:styleId="BodyTextIndent3Char">
    <w:name w:val="Body Text Indent 3 Char"/>
    <w:link w:val="BodyTextIndent3"/>
    <w:uiPriority w:val="99"/>
    <w:semiHidden/>
    <w:rsid w:val="00402903"/>
    <w:rPr>
      <w:sz w:val="16"/>
      <w:szCs w:val="16"/>
      <w:lang w:eastAsia="en-US"/>
    </w:rPr>
  </w:style>
  <w:style w:type="paragraph" w:styleId="BodyText2">
    <w:name w:val="Body Text 2"/>
    <w:basedOn w:val="Normal"/>
    <w:link w:val="BodyText2Char"/>
    <w:uiPriority w:val="99"/>
    <w:unhideWhenUsed/>
    <w:rsid w:val="0025733D"/>
    <w:pPr>
      <w:spacing w:after="120" w:line="480" w:lineRule="auto"/>
    </w:pPr>
    <w:rPr>
      <w:rFonts w:cs="Times New Roman"/>
    </w:rPr>
  </w:style>
  <w:style w:type="character" w:customStyle="1" w:styleId="BodyText2Char">
    <w:name w:val="Body Text 2 Char"/>
    <w:link w:val="BodyText2"/>
    <w:uiPriority w:val="99"/>
    <w:rsid w:val="0025733D"/>
    <w:rPr>
      <w:sz w:val="24"/>
      <w:szCs w:val="22"/>
      <w:lang w:eastAsia="en-US"/>
    </w:rPr>
  </w:style>
  <w:style w:type="character" w:styleId="CommentReference">
    <w:name w:val="annotation reference"/>
    <w:uiPriority w:val="99"/>
    <w:semiHidden/>
    <w:unhideWhenUsed/>
    <w:rsid w:val="00911E8D"/>
    <w:rPr>
      <w:sz w:val="16"/>
      <w:szCs w:val="16"/>
    </w:rPr>
  </w:style>
  <w:style w:type="paragraph" w:styleId="CommentText">
    <w:name w:val="annotation text"/>
    <w:basedOn w:val="Normal"/>
    <w:link w:val="CommentTextChar"/>
    <w:uiPriority w:val="99"/>
    <w:unhideWhenUsed/>
    <w:rsid w:val="00911E8D"/>
    <w:rPr>
      <w:rFonts w:cs="Times New Roman"/>
      <w:sz w:val="20"/>
      <w:szCs w:val="20"/>
    </w:rPr>
  </w:style>
  <w:style w:type="character" w:customStyle="1" w:styleId="CommentTextChar">
    <w:name w:val="Comment Text Char"/>
    <w:link w:val="CommentText"/>
    <w:uiPriority w:val="99"/>
    <w:rsid w:val="00911E8D"/>
    <w:rPr>
      <w:lang w:eastAsia="en-US"/>
    </w:rPr>
  </w:style>
  <w:style w:type="paragraph" w:styleId="CommentSubject">
    <w:name w:val="annotation subject"/>
    <w:basedOn w:val="CommentText"/>
    <w:next w:val="CommentText"/>
    <w:link w:val="CommentSubjectChar"/>
    <w:uiPriority w:val="99"/>
    <w:semiHidden/>
    <w:unhideWhenUsed/>
    <w:rsid w:val="00911E8D"/>
    <w:rPr>
      <w:b/>
      <w:bCs/>
    </w:rPr>
  </w:style>
  <w:style w:type="character" w:customStyle="1" w:styleId="CommentSubjectChar">
    <w:name w:val="Comment Subject Char"/>
    <w:link w:val="CommentSubject"/>
    <w:uiPriority w:val="99"/>
    <w:semiHidden/>
    <w:rsid w:val="00911E8D"/>
    <w:rPr>
      <w:b/>
      <w:bCs/>
      <w:lang w:eastAsia="en-US"/>
    </w:rPr>
  </w:style>
  <w:style w:type="paragraph" w:styleId="NormalWeb">
    <w:name w:val="Normal (Web)"/>
    <w:basedOn w:val="Normal"/>
    <w:uiPriority w:val="99"/>
    <w:semiHidden/>
    <w:unhideWhenUsed/>
    <w:rsid w:val="00BE47C1"/>
    <w:pPr>
      <w:spacing w:before="100" w:beforeAutospacing="1" w:after="100" w:afterAutospacing="1"/>
      <w:jc w:val="left"/>
    </w:pPr>
    <w:rPr>
      <w:rFonts w:eastAsia="Times New Roman" w:cs="Times New Roman"/>
      <w:szCs w:val="24"/>
      <w:lang w:eastAsia="hu-HU"/>
    </w:rPr>
  </w:style>
  <w:style w:type="paragraph" w:styleId="BodyTextIndent">
    <w:name w:val="Body Text Indent"/>
    <w:basedOn w:val="Normal"/>
    <w:link w:val="BodyTextIndentChar"/>
    <w:uiPriority w:val="99"/>
    <w:unhideWhenUsed/>
    <w:rsid w:val="0034064E"/>
    <w:pPr>
      <w:spacing w:after="120"/>
      <w:ind w:left="283"/>
    </w:pPr>
    <w:rPr>
      <w:rFonts w:cs="Times New Roman"/>
    </w:rPr>
  </w:style>
  <w:style w:type="character" w:customStyle="1" w:styleId="BodyTextIndentChar">
    <w:name w:val="Body Text Indent Char"/>
    <w:link w:val="BodyTextIndent"/>
    <w:uiPriority w:val="99"/>
    <w:rsid w:val="0034064E"/>
    <w:rPr>
      <w:sz w:val="24"/>
      <w:szCs w:val="22"/>
      <w:lang w:eastAsia="en-US"/>
    </w:rPr>
  </w:style>
  <w:style w:type="paragraph" w:styleId="ListParagraph">
    <w:name w:val="List Paragraph"/>
    <w:basedOn w:val="Normal"/>
    <w:link w:val="ListParagraphChar"/>
    <w:uiPriority w:val="4"/>
    <w:qFormat/>
    <w:rsid w:val="002C24DF"/>
    <w:pPr>
      <w:spacing w:after="200" w:line="276" w:lineRule="auto"/>
      <w:ind w:left="720"/>
      <w:contextualSpacing/>
      <w:jc w:val="left"/>
    </w:pPr>
    <w:rPr>
      <w:rFonts w:ascii="Arial" w:hAnsi="Arial" w:cs="Times New Roman"/>
      <w:szCs w:val="24"/>
    </w:rPr>
  </w:style>
  <w:style w:type="paragraph" w:customStyle="1" w:styleId="Default">
    <w:name w:val="Default"/>
    <w:rsid w:val="004623F9"/>
    <w:pPr>
      <w:autoSpaceDE w:val="0"/>
      <w:autoSpaceDN w:val="0"/>
      <w:adjustRightInd w:val="0"/>
    </w:pPr>
    <w:rPr>
      <w:rFonts w:ascii="EUAlbertina" w:hAnsi="EUAlbertina" w:cs="EUAlbertina"/>
      <w:color w:val="000000"/>
      <w:sz w:val="24"/>
      <w:szCs w:val="24"/>
    </w:rPr>
  </w:style>
  <w:style w:type="character" w:styleId="PageNumber">
    <w:name w:val="page number"/>
    <w:basedOn w:val="DefaultParagraphFont"/>
    <w:rsid w:val="00EA7558"/>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A85DC9"/>
    <w:rPr>
      <w:rFonts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sid w:val="00A85DC9"/>
    <w:rPr>
      <w:lang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unhideWhenUsed/>
    <w:qFormat/>
    <w:rsid w:val="00A85DC9"/>
    <w:rPr>
      <w:vertAlign w:val="superscript"/>
    </w:rPr>
  </w:style>
  <w:style w:type="paragraph" w:customStyle="1" w:styleId="Szvegtrzs21">
    <w:name w:val="Szövegtörzs 21"/>
    <w:basedOn w:val="Normal"/>
    <w:rsid w:val="00FF0534"/>
    <w:pPr>
      <w:keepNext/>
      <w:tabs>
        <w:tab w:val="left" w:pos="284"/>
        <w:tab w:val="left" w:pos="567"/>
        <w:tab w:val="left" w:pos="993"/>
      </w:tabs>
      <w:spacing w:before="120" w:after="120" w:line="360" w:lineRule="auto"/>
    </w:pPr>
    <w:rPr>
      <w:rFonts w:eastAsia="Times New Roman" w:cs="Times New Roman"/>
      <w:sz w:val="28"/>
      <w:szCs w:val="24"/>
      <w:lang w:eastAsia="hu-HU"/>
    </w:rPr>
  </w:style>
  <w:style w:type="character" w:customStyle="1" w:styleId="hdr1">
    <w:name w:val="hdr1"/>
    <w:rsid w:val="00B970CC"/>
    <w:rPr>
      <w:rFonts w:ascii="Tahoma" w:hAnsi="Tahoma" w:cs="Tahoma" w:hint="default"/>
      <w:b/>
      <w:bCs/>
      <w:color w:val="000060"/>
      <w:sz w:val="20"/>
      <w:szCs w:val="20"/>
    </w:rPr>
  </w:style>
  <w:style w:type="character" w:customStyle="1" w:styleId="st">
    <w:name w:val="st"/>
    <w:basedOn w:val="DefaultParagraphFont"/>
    <w:rsid w:val="00B970CC"/>
  </w:style>
  <w:style w:type="character" w:styleId="FollowedHyperlink">
    <w:name w:val="FollowedHyperlink"/>
    <w:uiPriority w:val="99"/>
    <w:semiHidden/>
    <w:unhideWhenUsed/>
    <w:rsid w:val="00B45CCC"/>
    <w:rPr>
      <w:color w:val="800080"/>
      <w:u w:val="single"/>
    </w:rPr>
  </w:style>
  <w:style w:type="paragraph" w:styleId="TOCHeading">
    <w:name w:val="TOC Heading"/>
    <w:basedOn w:val="Heading1"/>
    <w:next w:val="Normal"/>
    <w:uiPriority w:val="39"/>
    <w:unhideWhenUsed/>
    <w:qFormat/>
    <w:rsid w:val="006D66C9"/>
    <w:pPr>
      <w:keepLines/>
      <w:spacing w:before="480" w:line="276" w:lineRule="auto"/>
      <w:jc w:val="left"/>
      <w:outlineLvl w:val="9"/>
    </w:pPr>
    <w:rPr>
      <w:rFonts w:ascii="Cambria" w:eastAsia="Times New Roman" w:hAnsi="Cambria"/>
      <w:bCs/>
      <w:iCs w:val="0"/>
      <w:noProof w:val="0"/>
      <w:color w:val="365F91"/>
    </w:rPr>
  </w:style>
  <w:style w:type="paragraph" w:styleId="Revision">
    <w:name w:val="Revision"/>
    <w:hidden/>
    <w:uiPriority w:val="99"/>
    <w:semiHidden/>
    <w:rsid w:val="00C70A3A"/>
    <w:rPr>
      <w:sz w:val="24"/>
      <w:szCs w:val="22"/>
      <w:lang w:eastAsia="en-US"/>
    </w:rPr>
  </w:style>
  <w:style w:type="paragraph" w:customStyle="1" w:styleId="Cmsor3">
    <w:name w:val="Címsor3"/>
    <w:basedOn w:val="Normal"/>
    <w:rsid w:val="009B35DF"/>
    <w:pPr>
      <w:numPr>
        <w:ilvl w:val="2"/>
        <w:numId w:val="4"/>
      </w:numPr>
      <w:jc w:val="left"/>
    </w:pPr>
    <w:rPr>
      <w:rFonts w:eastAsia="Times New Roman" w:cs="Times New Roman"/>
      <w:sz w:val="20"/>
      <w:szCs w:val="20"/>
      <w:lang w:eastAsia="hu-HU"/>
    </w:rPr>
  </w:style>
  <w:style w:type="paragraph" w:customStyle="1" w:styleId="Stlus2">
    <w:name w:val="Stílus2"/>
    <w:basedOn w:val="Cmsor3"/>
    <w:link w:val="Stlus2Char"/>
    <w:qFormat/>
    <w:rsid w:val="009B35DF"/>
    <w:pPr>
      <w:jc w:val="both"/>
    </w:pPr>
    <w:rPr>
      <w:sz w:val="24"/>
      <w:szCs w:val="24"/>
    </w:rPr>
  </w:style>
  <w:style w:type="character" w:customStyle="1" w:styleId="Stlus2Char">
    <w:name w:val="Stílus2 Char"/>
    <w:link w:val="Stlus2"/>
    <w:rsid w:val="009B35DF"/>
    <w:rPr>
      <w:rFonts w:eastAsia="Times New Roman" w:cs="Times New Roman"/>
      <w:sz w:val="24"/>
      <w:szCs w:val="24"/>
    </w:rPr>
  </w:style>
  <w:style w:type="character" w:customStyle="1" w:styleId="ListParagraphChar">
    <w:name w:val="List Paragraph Char"/>
    <w:link w:val="ListParagraph"/>
    <w:uiPriority w:val="4"/>
    <w:rsid w:val="00A9624D"/>
    <w:rPr>
      <w:rFonts w:ascii="Arial" w:hAnsi="Arial" w:cs="Arial"/>
      <w:sz w:val="24"/>
      <w:szCs w:val="24"/>
      <w:lang w:eastAsia="en-US"/>
    </w:rPr>
  </w:style>
  <w:style w:type="paragraph" w:customStyle="1" w:styleId="Listaszerbekezds3szint">
    <w:name w:val="Listaszerű bekezdés 3. szint"/>
    <w:basedOn w:val="ListParagraph"/>
    <w:link w:val="Listaszerbekezds3szintChar"/>
    <w:uiPriority w:val="4"/>
    <w:qFormat/>
    <w:rsid w:val="00A9624D"/>
    <w:pPr>
      <w:ind w:left="2157" w:hanging="360"/>
    </w:pPr>
    <w:rPr>
      <w:rFonts w:ascii="Calibri" w:hAnsi="Calibri"/>
      <w:sz w:val="22"/>
      <w:szCs w:val="22"/>
    </w:rPr>
  </w:style>
  <w:style w:type="paragraph" w:customStyle="1" w:styleId="Bold">
    <w:name w:val="Bold"/>
    <w:basedOn w:val="Normal"/>
    <w:link w:val="BoldChar"/>
    <w:uiPriority w:val="6"/>
    <w:qFormat/>
    <w:rsid w:val="003E40A1"/>
    <w:pPr>
      <w:spacing w:after="150" w:line="276" w:lineRule="auto"/>
    </w:pPr>
    <w:rPr>
      <w:rFonts w:ascii="Trebuchet MS" w:eastAsia="Trebuchet MS" w:hAnsi="Trebuchet MS" w:cs="Times New Roman"/>
      <w:b/>
      <w:sz w:val="20"/>
    </w:rPr>
  </w:style>
  <w:style w:type="character" w:customStyle="1" w:styleId="BoldChar">
    <w:name w:val="Bold Char"/>
    <w:link w:val="Bold"/>
    <w:uiPriority w:val="6"/>
    <w:rsid w:val="003E40A1"/>
    <w:rPr>
      <w:rFonts w:ascii="Trebuchet MS" w:eastAsia="Trebuchet MS" w:hAnsi="Trebuchet MS" w:cs="Times New Roman"/>
      <w:b/>
      <w:szCs w:val="22"/>
    </w:rPr>
  </w:style>
  <w:style w:type="character" w:customStyle="1" w:styleId="Heading8Char">
    <w:name w:val="Heading 8 Char"/>
    <w:link w:val="Heading8"/>
    <w:uiPriority w:val="9"/>
    <w:rsid w:val="00DA3AEE"/>
    <w:rPr>
      <w:rFonts w:ascii="Calibri" w:eastAsia="Times New Roman" w:hAnsi="Calibri" w:cs="Times New Roman"/>
      <w:i/>
      <w:iCs/>
      <w:sz w:val="24"/>
      <w:szCs w:val="24"/>
      <w:lang w:eastAsia="en-US"/>
    </w:rPr>
  </w:style>
  <w:style w:type="paragraph" w:customStyle="1" w:styleId="par">
    <w:name w:val="par"/>
    <w:basedOn w:val="Normal"/>
    <w:rsid w:val="00DA3AEE"/>
    <w:pPr>
      <w:keepNext/>
      <w:tabs>
        <w:tab w:val="left" w:pos="284"/>
        <w:tab w:val="left" w:pos="851"/>
      </w:tabs>
      <w:jc w:val="center"/>
    </w:pPr>
    <w:rPr>
      <w:rFonts w:ascii="Arial" w:eastAsia="Times New Roman" w:hAnsi="Arial" w:cs="Times New Roman"/>
      <w:szCs w:val="20"/>
      <w:lang w:eastAsia="hu-HU"/>
    </w:rPr>
  </w:style>
  <w:style w:type="paragraph" w:customStyle="1" w:styleId="cim1">
    <w:name w:val="cim1"/>
    <w:basedOn w:val="Normal"/>
    <w:rsid w:val="00677760"/>
    <w:pPr>
      <w:spacing w:before="720"/>
      <w:jc w:val="center"/>
    </w:pPr>
    <w:rPr>
      <w:rFonts w:ascii="Garamond" w:eastAsia="Times New Roman" w:hAnsi="Garamond" w:cs="Times New Roman"/>
      <w:b/>
      <w:sz w:val="32"/>
      <w:szCs w:val="32"/>
      <w:lang w:eastAsia="hu-HU"/>
    </w:rPr>
  </w:style>
  <w:style w:type="paragraph" w:customStyle="1" w:styleId="cim2">
    <w:name w:val="cim2"/>
    <w:basedOn w:val="Caption"/>
    <w:rsid w:val="00677760"/>
    <w:pPr>
      <w:spacing w:after="720"/>
      <w:jc w:val="center"/>
    </w:pPr>
    <w:rPr>
      <w:rFonts w:ascii="Garamond" w:eastAsia="Times New Roman" w:hAnsi="Garamond" w:cs="Times New Roman"/>
      <w:bCs w:val="0"/>
      <w:sz w:val="28"/>
      <w:szCs w:val="28"/>
      <w:lang w:eastAsia="hu-HU"/>
    </w:rPr>
  </w:style>
  <w:style w:type="paragraph" w:styleId="Caption">
    <w:name w:val="caption"/>
    <w:basedOn w:val="Normal"/>
    <w:next w:val="Normal"/>
    <w:uiPriority w:val="35"/>
    <w:unhideWhenUsed/>
    <w:qFormat/>
    <w:rsid w:val="00677760"/>
    <w:rPr>
      <w:b/>
      <w:bCs/>
      <w:sz w:val="20"/>
      <w:szCs w:val="20"/>
    </w:rPr>
  </w:style>
  <w:style w:type="paragraph" w:customStyle="1" w:styleId="Cmsor71">
    <w:name w:val="Címsor 71"/>
    <w:basedOn w:val="Normal"/>
    <w:next w:val="Normal"/>
    <w:uiPriority w:val="9"/>
    <w:semiHidden/>
    <w:unhideWhenUsed/>
    <w:qFormat/>
    <w:rsid w:val="00B97972"/>
    <w:pPr>
      <w:keepNext/>
      <w:keepLines/>
      <w:spacing w:before="200" w:after="150" w:line="276" w:lineRule="auto"/>
      <w:ind w:left="5040" w:hanging="360"/>
      <w:outlineLvl w:val="6"/>
    </w:pPr>
    <w:rPr>
      <w:rFonts w:ascii="Calibri" w:eastAsia="Times New Roman" w:hAnsi="Calibri" w:cs="Times New Roman"/>
      <w:i/>
      <w:iCs/>
      <w:color w:val="404040"/>
      <w:sz w:val="20"/>
      <w:lang w:eastAsia="hu-HU"/>
    </w:rPr>
  </w:style>
  <w:style w:type="paragraph" w:customStyle="1" w:styleId="Cmsor91">
    <w:name w:val="Címsor 91"/>
    <w:basedOn w:val="Normal"/>
    <w:next w:val="Normal"/>
    <w:uiPriority w:val="9"/>
    <w:semiHidden/>
    <w:unhideWhenUsed/>
    <w:qFormat/>
    <w:rsid w:val="00B97972"/>
    <w:pPr>
      <w:keepNext/>
      <w:keepLines/>
      <w:spacing w:before="200" w:after="150" w:line="276" w:lineRule="auto"/>
      <w:ind w:left="6480" w:hanging="180"/>
      <w:outlineLvl w:val="8"/>
    </w:pPr>
    <w:rPr>
      <w:rFonts w:ascii="Calibri" w:eastAsia="Times New Roman" w:hAnsi="Calibri" w:cs="Times New Roman"/>
      <w:i/>
      <w:iCs/>
      <w:color w:val="404040"/>
      <w:sz w:val="20"/>
      <w:szCs w:val="20"/>
      <w:lang w:eastAsia="hu-HU"/>
    </w:rPr>
  </w:style>
  <w:style w:type="numbering" w:customStyle="1" w:styleId="Nemlista1">
    <w:name w:val="Nem lista1"/>
    <w:next w:val="NoList"/>
    <w:uiPriority w:val="99"/>
    <w:semiHidden/>
    <w:unhideWhenUsed/>
    <w:rsid w:val="00B97972"/>
  </w:style>
  <w:style w:type="character" w:customStyle="1" w:styleId="Heading7Char">
    <w:name w:val="Heading 7 Char"/>
    <w:basedOn w:val="DefaultParagraphFont"/>
    <w:link w:val="Heading7"/>
    <w:uiPriority w:val="9"/>
    <w:semiHidden/>
    <w:rsid w:val="00B97972"/>
    <w:rPr>
      <w:rFonts w:ascii="Calibri" w:eastAsia="Times New Roman" w:hAnsi="Calibri" w:cs="Times New Roman"/>
      <w:i/>
      <w:iCs/>
      <w:color w:val="404040"/>
    </w:rPr>
  </w:style>
  <w:style w:type="character" w:customStyle="1" w:styleId="Heading9Char">
    <w:name w:val="Heading 9 Char"/>
    <w:basedOn w:val="DefaultParagraphFont"/>
    <w:link w:val="Heading9"/>
    <w:uiPriority w:val="9"/>
    <w:semiHidden/>
    <w:rsid w:val="00B97972"/>
    <w:rPr>
      <w:rFonts w:ascii="Calibri" w:eastAsia="Times New Roman" w:hAnsi="Calibri" w:cs="Times New Roman"/>
      <w:i/>
      <w:iCs/>
      <w:color w:val="404040"/>
      <w:szCs w:val="20"/>
    </w:rPr>
  </w:style>
  <w:style w:type="table" w:customStyle="1" w:styleId="tblzat-mtrix">
    <w:name w:val="táblázat - mátrix"/>
    <w:basedOn w:val="TableNormal"/>
    <w:uiPriority w:val="2"/>
    <w:qFormat/>
    <w:rsid w:val="00B97972"/>
    <w:pPr>
      <w:contextualSpacing/>
    </w:pPr>
    <w:rPr>
      <w:rFonts w:ascii="Calibri" w:hAnsi="Calibri" w:cs="Times New Roman"/>
      <w:szCs w:val="22"/>
    </w:rPr>
    <w:tblPr>
      <w:tblStyleRowBandSize w:val="1"/>
      <w:tblStyleColBandSize w:val="1"/>
      <w:tblBorders>
        <w:top w:val="single" w:sz="2" w:space="0" w:color="202653"/>
        <w:left w:val="single" w:sz="2" w:space="0" w:color="202653"/>
        <w:bottom w:val="single" w:sz="2" w:space="0" w:color="202653"/>
        <w:right w:val="single" w:sz="2" w:space="0" w:color="202653"/>
        <w:insideH w:val="single" w:sz="2" w:space="0" w:color="202653"/>
        <w:insideV w:val="single" w:sz="2" w:space="0" w:color="202653"/>
      </w:tblBorders>
      <w:tblCellMar>
        <w:top w:w="85" w:type="dxa"/>
      </w:tblCellMar>
    </w:tblPr>
    <w:tcPr>
      <w:shd w:val="clear" w:color="auto" w:fill="auto"/>
      <w:vAlign w:val="center"/>
    </w:tcPr>
    <w:tblStylePr w:type="firstRow">
      <w:rPr>
        <w:rFonts w:ascii="Calibri" w:hAnsi="Calibri"/>
        <w:sz w:val="20"/>
      </w:rPr>
      <w:tblPr/>
      <w:tcPr>
        <w:shd w:val="clear" w:color="auto" w:fill="AC9F70"/>
      </w:tcPr>
    </w:tblStylePr>
    <w:tblStylePr w:type="firstCol">
      <w:pPr>
        <w:jc w:val="left"/>
      </w:pPr>
      <w:rPr>
        <w:rFonts w:ascii="Calibri" w:hAnsi="Calibri"/>
        <w:sz w:val="20"/>
      </w:rPr>
      <w:tblPr/>
      <w:tcPr>
        <w:shd w:val="clear" w:color="auto" w:fill="AC9F70"/>
      </w:tcPr>
    </w:tblStylePr>
  </w:style>
  <w:style w:type="table" w:customStyle="1" w:styleId="tblzat-fejlces">
    <w:name w:val="táblázat - fejléces"/>
    <w:basedOn w:val="TableNormal"/>
    <w:uiPriority w:val="1"/>
    <w:qFormat/>
    <w:rsid w:val="00B97972"/>
    <w:pPr>
      <w:contextualSpacing/>
    </w:pPr>
    <w:rPr>
      <w:rFonts w:ascii="Calibri" w:hAnsi="Calibri" w:cs="Times New Roman"/>
      <w:szCs w:val="22"/>
    </w:rPr>
    <w:tblPr>
      <w:tblStyleRowBandSize w:val="1"/>
      <w:tblStyleColBandSize w:val="1"/>
      <w:tblBorders>
        <w:top w:val="single" w:sz="4" w:space="0" w:color="202653"/>
        <w:left w:val="single" w:sz="4" w:space="0" w:color="202653"/>
        <w:bottom w:val="single" w:sz="4" w:space="0" w:color="202653"/>
        <w:right w:val="single" w:sz="4" w:space="0" w:color="202653"/>
        <w:insideH w:val="single" w:sz="4" w:space="0" w:color="202653"/>
        <w:insideV w:val="single" w:sz="4" w:space="0" w:color="202653"/>
      </w:tblBorders>
    </w:tblPr>
    <w:tcPr>
      <w:shd w:val="clear" w:color="auto" w:fill="auto"/>
      <w:tcMar>
        <w:top w:w="85" w:type="dxa"/>
      </w:tcMar>
      <w:vAlign w:val="center"/>
    </w:tcPr>
    <w:tblStylePr w:type="firstRow">
      <w:rPr>
        <w:rFonts w:ascii="Calibri" w:hAnsi="Calibri"/>
        <w:sz w:val="20"/>
      </w:rPr>
      <w:tblPr/>
      <w:tcPr>
        <w:shd w:val="clear" w:color="auto" w:fill="AC9F70"/>
      </w:tcPr>
    </w:tblStylePr>
    <w:tblStylePr w:type="firstCol">
      <w:rPr>
        <w:rFonts w:ascii="Calibri" w:hAnsi="Calibri"/>
        <w:sz w:val="20"/>
      </w:rPr>
    </w:tblStylePr>
  </w:style>
  <w:style w:type="table" w:customStyle="1" w:styleId="tblzat-oldallces">
    <w:name w:val="táblázat - oldalléces"/>
    <w:basedOn w:val="TableNormal"/>
    <w:uiPriority w:val="3"/>
    <w:qFormat/>
    <w:rsid w:val="00B97972"/>
    <w:pPr>
      <w:contextualSpacing/>
    </w:pPr>
    <w:rPr>
      <w:rFonts w:ascii="Calibri" w:hAnsi="Calibri" w:cs="Times New Roman"/>
      <w:szCs w:val="22"/>
    </w:rPr>
    <w:tblPr>
      <w:tblStyleRowBandSize w:val="1"/>
      <w:tblStyleColBandSize w:val="1"/>
      <w:tblBorders>
        <w:top w:val="single" w:sz="4" w:space="0" w:color="202653"/>
        <w:left w:val="single" w:sz="4" w:space="0" w:color="202653"/>
        <w:bottom w:val="single" w:sz="4" w:space="0" w:color="202653"/>
        <w:right w:val="single" w:sz="4" w:space="0" w:color="202653"/>
        <w:insideH w:val="single" w:sz="4" w:space="0" w:color="202653"/>
        <w:insideV w:val="single" w:sz="4" w:space="0" w:color="202653"/>
      </w:tblBorders>
    </w:tblPr>
    <w:tcPr>
      <w:shd w:val="clear" w:color="auto" w:fill="auto"/>
      <w:tcMar>
        <w:top w:w="85" w:type="dxa"/>
      </w:tcMar>
      <w:vAlign w:val="center"/>
    </w:tcPr>
    <w:tblStylePr w:type="firstRow">
      <w:rPr>
        <w:rFonts w:ascii="Calibri" w:hAnsi="Calibri"/>
        <w:sz w:val="20"/>
      </w:rPr>
    </w:tblStylePr>
    <w:tblStylePr w:type="firstCol">
      <w:rPr>
        <w:rFonts w:ascii="Calibri" w:hAnsi="Calibri"/>
        <w:sz w:val="20"/>
      </w:rPr>
      <w:tblPr/>
      <w:tcPr>
        <w:shd w:val="clear" w:color="auto" w:fill="AC9F70"/>
      </w:tcPr>
    </w:tblStylePr>
  </w:style>
  <w:style w:type="character" w:styleId="EndnoteReference">
    <w:name w:val="endnote reference"/>
    <w:basedOn w:val="DefaultParagraphFont"/>
    <w:semiHidden/>
    <w:rsid w:val="00B97972"/>
    <w:rPr>
      <w:vertAlign w:val="superscript"/>
    </w:rPr>
  </w:style>
  <w:style w:type="paragraph" w:customStyle="1" w:styleId="Magyarzszveg">
    <w:name w:val="Magyarázó szöveg"/>
    <w:basedOn w:val="Normal"/>
    <w:next w:val="Normal"/>
    <w:uiPriority w:val="7"/>
    <w:rsid w:val="00B97972"/>
    <w:pPr>
      <w:spacing w:after="150" w:line="276" w:lineRule="auto"/>
    </w:pPr>
    <w:rPr>
      <w:rFonts w:ascii="Calibri" w:hAnsi="Calibri" w:cs="Times New Roman"/>
      <w:color w:val="202653"/>
      <w:sz w:val="18"/>
      <w:lang w:eastAsia="hu-HU"/>
    </w:rPr>
  </w:style>
  <w:style w:type="paragraph" w:customStyle="1" w:styleId="Szmozs">
    <w:name w:val="Számozás"/>
    <w:basedOn w:val="Normal"/>
    <w:uiPriority w:val="4"/>
    <w:qFormat/>
    <w:rsid w:val="00B97972"/>
    <w:pPr>
      <w:numPr>
        <w:numId w:val="8"/>
      </w:numPr>
      <w:tabs>
        <w:tab w:val="clear" w:pos="432"/>
      </w:tabs>
      <w:spacing w:before="120" w:after="150" w:line="276" w:lineRule="auto"/>
      <w:ind w:left="720" w:hanging="360"/>
      <w:contextualSpacing/>
    </w:pPr>
    <w:rPr>
      <w:rFonts w:ascii="Calibri" w:hAnsi="Calibri" w:cs="Times New Roman"/>
      <w:sz w:val="20"/>
      <w:lang w:eastAsia="hu-HU"/>
    </w:rPr>
  </w:style>
  <w:style w:type="table" w:customStyle="1" w:styleId="Szeglynlkli1">
    <w:name w:val="Szegély nélküli1"/>
    <w:basedOn w:val="TableNormal"/>
    <w:next w:val="TableGrid"/>
    <w:uiPriority w:val="59"/>
    <w:rsid w:val="00B97972"/>
    <w:pPr>
      <w:contextualSpacing/>
    </w:pPr>
    <w:rPr>
      <w:rFonts w:ascii="Verdana" w:hAnsi="Verdana" w:cs="Times New Roman"/>
      <w:szCs w:val="22"/>
    </w:rPr>
    <w:tblPr/>
    <w:tcPr>
      <w:vAlign w:val="center"/>
    </w:tcPr>
  </w:style>
  <w:style w:type="numbering" w:customStyle="1" w:styleId="Style1">
    <w:name w:val="Style1"/>
    <w:uiPriority w:val="99"/>
    <w:rsid w:val="00B97972"/>
    <w:pPr>
      <w:numPr>
        <w:numId w:val="6"/>
      </w:numPr>
    </w:pPr>
  </w:style>
  <w:style w:type="table" w:customStyle="1" w:styleId="Calendar2">
    <w:name w:val="Calendar 2"/>
    <w:basedOn w:val="TableNormal"/>
    <w:uiPriority w:val="99"/>
    <w:qFormat/>
    <w:rsid w:val="00B97972"/>
    <w:pPr>
      <w:jc w:val="center"/>
    </w:pPr>
    <w:rPr>
      <w:rFonts w:ascii="Verdana" w:eastAsia="Times New Roman" w:hAnsi="Verdana" w:cs="Times New Roman"/>
      <w:szCs w:val="28"/>
      <w:lang w:val="en-US" w:eastAsia="en-US" w:bidi="en-US"/>
    </w:rPr>
    <w:tblPr>
      <w:tblBorders>
        <w:insideV w:val="single" w:sz="4" w:space="0" w:color="D7A851"/>
      </w:tblBorders>
    </w:tblPr>
    <w:tblStylePr w:type="firstRow">
      <w:rPr>
        <w:rFonts w:ascii="Calibri" w:eastAsia="Times New Roman" w:hAnsi="Calibri" w:cs="Times New Roman"/>
        <w:caps/>
        <w:color w:val="7E5C1D"/>
        <w:spacing w:val="20"/>
        <w:sz w:val="32"/>
        <w:szCs w:val="32"/>
      </w:rPr>
      <w:tblPr/>
      <w:tcPr>
        <w:tcBorders>
          <w:top w:val="nil"/>
          <w:left w:val="nil"/>
          <w:bottom w:val="nil"/>
          <w:right w:val="nil"/>
          <w:insideH w:val="nil"/>
          <w:insideV w:val="nil"/>
          <w:tl2br w:val="nil"/>
          <w:tr2bl w:val="nil"/>
        </w:tcBorders>
      </w:tcPr>
    </w:tblStylePr>
  </w:style>
  <w:style w:type="character" w:customStyle="1" w:styleId="Finomkiemels1">
    <w:name w:val="Finom kiemelés1"/>
    <w:basedOn w:val="DefaultParagraphFont"/>
    <w:uiPriority w:val="19"/>
    <w:qFormat/>
    <w:rsid w:val="00B97972"/>
    <w:rPr>
      <w:rFonts w:ascii="Calibri" w:eastAsia="Times New Roman" w:hAnsi="Calibri" w:cs="Times New Roman"/>
      <w:bCs w:val="0"/>
      <w:i/>
      <w:iCs/>
      <w:color w:val="808080"/>
      <w:sz w:val="20"/>
      <w:szCs w:val="22"/>
      <w:lang w:val="hu-HU"/>
    </w:rPr>
  </w:style>
  <w:style w:type="table" w:customStyle="1" w:styleId="LightShading-Accent11">
    <w:name w:val="Light Shading - Accent 11"/>
    <w:basedOn w:val="TableNormal"/>
    <w:uiPriority w:val="60"/>
    <w:rsid w:val="00B97972"/>
    <w:rPr>
      <w:rFonts w:ascii="Verdana" w:eastAsia="Times New Roman" w:hAnsi="Verdana" w:cs="Times New Roman"/>
      <w:color w:val="5E4415"/>
      <w:szCs w:val="22"/>
      <w:lang w:eastAsia="en-US"/>
    </w:rPr>
    <w:tblPr>
      <w:tblStyleRowBandSize w:val="1"/>
      <w:tblStyleColBandSize w:val="1"/>
      <w:tblBorders>
        <w:top w:val="single" w:sz="8" w:space="0" w:color="7E5C1D"/>
        <w:bottom w:val="single" w:sz="8" w:space="0" w:color="7E5C1D"/>
      </w:tblBorders>
    </w:tblPr>
    <w:tblStylePr w:type="firstRow">
      <w:pPr>
        <w:spacing w:before="0" w:after="0" w:line="240" w:lineRule="auto"/>
      </w:pPr>
      <w:rPr>
        <w:b/>
        <w:bCs/>
      </w:rPr>
      <w:tblPr/>
      <w:tcPr>
        <w:tcBorders>
          <w:top w:val="single" w:sz="8" w:space="0" w:color="7E5C1D"/>
          <w:left w:val="nil"/>
          <w:bottom w:val="single" w:sz="8" w:space="0" w:color="7E5C1D"/>
          <w:right w:val="nil"/>
          <w:insideH w:val="nil"/>
          <w:insideV w:val="nil"/>
        </w:tcBorders>
      </w:tcPr>
    </w:tblStylePr>
    <w:tblStylePr w:type="lastRow">
      <w:pPr>
        <w:spacing w:before="0" w:after="0" w:line="240" w:lineRule="auto"/>
      </w:pPr>
      <w:rPr>
        <w:b/>
        <w:bCs/>
      </w:rPr>
      <w:tblPr/>
      <w:tcPr>
        <w:tcBorders>
          <w:top w:val="single" w:sz="8" w:space="0" w:color="7E5C1D"/>
          <w:left w:val="nil"/>
          <w:bottom w:val="single" w:sz="8" w:space="0" w:color="7E5C1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cPr>
    </w:tblStylePr>
    <w:tblStylePr w:type="band1Horz">
      <w:tblPr/>
      <w:tcPr>
        <w:tcBorders>
          <w:left w:val="nil"/>
          <w:right w:val="nil"/>
          <w:insideH w:val="nil"/>
          <w:insideV w:val="nil"/>
        </w:tcBorders>
        <w:shd w:val="clear" w:color="auto" w:fill="EEDBB7"/>
      </w:tcPr>
    </w:tblStylePr>
  </w:style>
  <w:style w:type="paragraph" w:customStyle="1" w:styleId="Vgjegyzetszvege1">
    <w:name w:val="Végjegyzet szövege1"/>
    <w:basedOn w:val="Normal"/>
    <w:next w:val="EndnoteText"/>
    <w:link w:val="VgjegyzetszvegeChar"/>
    <w:uiPriority w:val="99"/>
    <w:semiHidden/>
    <w:unhideWhenUsed/>
    <w:rsid w:val="00B97972"/>
    <w:pPr>
      <w:spacing w:after="150" w:line="276" w:lineRule="auto"/>
    </w:pPr>
    <w:rPr>
      <w:rFonts w:ascii="Calibri" w:hAnsi="Calibri"/>
      <w:color w:val="295A7E"/>
      <w:sz w:val="20"/>
      <w:szCs w:val="20"/>
      <w:lang w:eastAsia="hu-HU"/>
    </w:rPr>
  </w:style>
  <w:style w:type="character" w:customStyle="1" w:styleId="VgjegyzetszvegeChar">
    <w:name w:val="Végjegyzet szövege Char"/>
    <w:basedOn w:val="DefaultParagraphFont"/>
    <w:link w:val="Vgjegyzetszvege1"/>
    <w:uiPriority w:val="99"/>
    <w:semiHidden/>
    <w:rsid w:val="00B97972"/>
    <w:rPr>
      <w:rFonts w:ascii="Calibri" w:hAnsi="Calibri"/>
      <w:color w:val="295A7E"/>
      <w:szCs w:val="20"/>
    </w:rPr>
  </w:style>
  <w:style w:type="table" w:customStyle="1" w:styleId="Vilgosrnykols1jellszn1">
    <w:name w:val="Világos árnyékolás – 1. jelölőszín1"/>
    <w:basedOn w:val="TableNormal"/>
    <w:uiPriority w:val="60"/>
    <w:rsid w:val="00B97972"/>
    <w:rPr>
      <w:rFonts w:ascii="Verdana" w:hAnsi="Verdana" w:cs="Times New Roman"/>
      <w:color w:val="5E4415"/>
      <w:szCs w:val="22"/>
    </w:rPr>
    <w:tblPr>
      <w:tblStyleRowBandSize w:val="1"/>
      <w:tblStyleColBandSize w:val="1"/>
      <w:tblBorders>
        <w:top w:val="single" w:sz="8" w:space="0" w:color="7E5C1D"/>
        <w:bottom w:val="single" w:sz="8" w:space="0" w:color="7E5C1D"/>
      </w:tblBorders>
    </w:tblPr>
    <w:tblStylePr w:type="firstRow">
      <w:pPr>
        <w:spacing w:before="0" w:after="0" w:line="240" w:lineRule="auto"/>
      </w:pPr>
      <w:rPr>
        <w:b/>
        <w:bCs/>
      </w:rPr>
      <w:tblPr/>
      <w:tcPr>
        <w:tcBorders>
          <w:top w:val="single" w:sz="8" w:space="0" w:color="7E5C1D"/>
          <w:left w:val="nil"/>
          <w:bottom w:val="single" w:sz="8" w:space="0" w:color="7E5C1D"/>
          <w:right w:val="nil"/>
          <w:insideH w:val="nil"/>
          <w:insideV w:val="nil"/>
        </w:tcBorders>
      </w:tcPr>
    </w:tblStylePr>
    <w:tblStylePr w:type="lastRow">
      <w:pPr>
        <w:spacing w:before="0" w:after="0" w:line="240" w:lineRule="auto"/>
      </w:pPr>
      <w:rPr>
        <w:b/>
        <w:bCs/>
      </w:rPr>
      <w:tblPr/>
      <w:tcPr>
        <w:tcBorders>
          <w:top w:val="single" w:sz="8" w:space="0" w:color="7E5C1D"/>
          <w:left w:val="nil"/>
          <w:bottom w:val="single" w:sz="8" w:space="0" w:color="7E5C1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cPr>
    </w:tblStylePr>
    <w:tblStylePr w:type="band1Horz">
      <w:tblPr/>
      <w:tcPr>
        <w:tcBorders>
          <w:left w:val="nil"/>
          <w:right w:val="nil"/>
          <w:insideH w:val="nil"/>
          <w:insideV w:val="nil"/>
        </w:tcBorders>
        <w:shd w:val="clear" w:color="auto" w:fill="EEDBB7"/>
      </w:tcPr>
    </w:tblStylePr>
  </w:style>
  <w:style w:type="paragraph" w:customStyle="1" w:styleId="Listaszerbekezds2">
    <w:name w:val="Listaszerű bekezdés 2"/>
    <w:basedOn w:val="ListParagraph"/>
    <w:link w:val="Listaszerbekezds2Char"/>
    <w:uiPriority w:val="4"/>
    <w:qFormat/>
    <w:rsid w:val="00B97972"/>
    <w:pPr>
      <w:numPr>
        <w:numId w:val="9"/>
      </w:numPr>
      <w:spacing w:after="150"/>
      <w:jc w:val="both"/>
    </w:pPr>
    <w:rPr>
      <w:rFonts w:ascii="Calibri" w:hAnsi="Calibri"/>
      <w:szCs w:val="22"/>
    </w:rPr>
  </w:style>
  <w:style w:type="paragraph" w:customStyle="1" w:styleId="Tblaszvegstlus">
    <w:name w:val="Tábla szöveg stílus"/>
    <w:basedOn w:val="Normal"/>
    <w:link w:val="TblaszvegstlusChar"/>
    <w:uiPriority w:val="8"/>
    <w:qFormat/>
    <w:rsid w:val="00B97972"/>
    <w:pPr>
      <w:spacing w:after="150" w:line="276" w:lineRule="auto"/>
    </w:pPr>
    <w:rPr>
      <w:rFonts w:ascii="Calibri" w:hAnsi="Calibri" w:cs="Times New Roman"/>
      <w:sz w:val="20"/>
      <w:lang w:eastAsia="hu-HU"/>
    </w:rPr>
  </w:style>
  <w:style w:type="character" w:customStyle="1" w:styleId="Listaszerbekezds2Char">
    <w:name w:val="Listaszerű bekezdés 2 Char"/>
    <w:basedOn w:val="ListParagraphChar"/>
    <w:link w:val="Listaszerbekezds2"/>
    <w:uiPriority w:val="4"/>
    <w:rsid w:val="00B97972"/>
    <w:rPr>
      <w:rFonts w:ascii="Calibri" w:hAnsi="Calibri" w:cs="Times New Roman"/>
      <w:sz w:val="24"/>
      <w:szCs w:val="22"/>
      <w:lang w:eastAsia="en-US"/>
    </w:rPr>
  </w:style>
  <w:style w:type="character" w:customStyle="1" w:styleId="TblaszvegstlusChar">
    <w:name w:val="Tábla szöveg stílus Char"/>
    <w:basedOn w:val="DefaultParagraphFont"/>
    <w:link w:val="Tblaszvegstlus"/>
    <w:uiPriority w:val="8"/>
    <w:rsid w:val="00B97972"/>
    <w:rPr>
      <w:rFonts w:ascii="Calibri" w:hAnsi="Calibri" w:cs="Times New Roman"/>
      <w:szCs w:val="22"/>
    </w:rPr>
  </w:style>
  <w:style w:type="character" w:styleId="SubtleReference">
    <w:name w:val="Subtle Reference"/>
    <w:basedOn w:val="DefaultParagraphFont"/>
    <w:uiPriority w:val="31"/>
    <w:rsid w:val="00B97972"/>
    <w:rPr>
      <w:sz w:val="24"/>
      <w:szCs w:val="24"/>
      <w:u w:val="single"/>
    </w:rPr>
  </w:style>
  <w:style w:type="character" w:styleId="IntenseReference">
    <w:name w:val="Intense Reference"/>
    <w:basedOn w:val="DefaultParagraphFont"/>
    <w:uiPriority w:val="32"/>
    <w:rsid w:val="00B97972"/>
    <w:rPr>
      <w:b/>
      <w:sz w:val="24"/>
      <w:u w:val="single"/>
    </w:rPr>
  </w:style>
  <w:style w:type="paragraph" w:customStyle="1" w:styleId="Listaszerbekezds2szint">
    <w:name w:val="Listaszerű bekezdés 2. szint"/>
    <w:basedOn w:val="ListParagraph"/>
    <w:link w:val="Listaszerbekezds2szintChar"/>
    <w:uiPriority w:val="4"/>
    <w:qFormat/>
    <w:rsid w:val="00B97972"/>
    <w:pPr>
      <w:numPr>
        <w:numId w:val="11"/>
      </w:numPr>
      <w:spacing w:after="150"/>
      <w:jc w:val="both"/>
    </w:pPr>
    <w:rPr>
      <w:rFonts w:ascii="Calibri" w:hAnsi="Calibri"/>
      <w:szCs w:val="22"/>
    </w:rPr>
  </w:style>
  <w:style w:type="character" w:customStyle="1" w:styleId="Listaszerbekezds2szintChar">
    <w:name w:val="Listaszerű bekezdés 2. szint Char"/>
    <w:basedOn w:val="ListParagraphChar"/>
    <w:link w:val="Listaszerbekezds2szint"/>
    <w:uiPriority w:val="4"/>
    <w:rsid w:val="00B97972"/>
    <w:rPr>
      <w:rFonts w:ascii="Calibri" w:hAnsi="Calibri" w:cs="Times New Roman"/>
      <w:sz w:val="24"/>
      <w:szCs w:val="22"/>
      <w:lang w:eastAsia="en-US"/>
    </w:rPr>
  </w:style>
  <w:style w:type="character" w:customStyle="1" w:styleId="Listaszerbekezds3szintChar">
    <w:name w:val="Listaszerű bekezdés 3. szint Char"/>
    <w:basedOn w:val="ListParagraphChar"/>
    <w:link w:val="Listaszerbekezds3szint"/>
    <w:uiPriority w:val="4"/>
    <w:rsid w:val="00B97972"/>
    <w:rPr>
      <w:rFonts w:ascii="Calibri" w:hAnsi="Calibri" w:cs="Times New Roman"/>
      <w:sz w:val="22"/>
      <w:szCs w:val="22"/>
      <w:lang w:eastAsia="en-US"/>
    </w:rPr>
  </w:style>
  <w:style w:type="paragraph" w:customStyle="1" w:styleId="Alcm1">
    <w:name w:val="Alcím1"/>
    <w:basedOn w:val="Normal"/>
    <w:next w:val="Normal"/>
    <w:uiPriority w:val="11"/>
    <w:rsid w:val="00B97972"/>
    <w:pPr>
      <w:spacing w:after="60" w:line="276" w:lineRule="auto"/>
      <w:jc w:val="center"/>
      <w:outlineLvl w:val="1"/>
    </w:pPr>
    <w:rPr>
      <w:rFonts w:ascii="Calibri" w:eastAsia="Times New Roman" w:hAnsi="Calibri" w:cs="Times New Roman"/>
      <w:sz w:val="20"/>
      <w:lang w:eastAsia="hu-HU"/>
    </w:rPr>
  </w:style>
  <w:style w:type="character" w:customStyle="1" w:styleId="SubtitleChar">
    <w:name w:val="Subtitle Char"/>
    <w:basedOn w:val="DefaultParagraphFont"/>
    <w:link w:val="Subtitle"/>
    <w:uiPriority w:val="11"/>
    <w:rsid w:val="00B97972"/>
    <w:rPr>
      <w:rFonts w:ascii="Calibri" w:eastAsia="Times New Roman" w:hAnsi="Calibri" w:cs="Times New Roman"/>
    </w:rPr>
  </w:style>
  <w:style w:type="paragraph" w:customStyle="1" w:styleId="Listabetvel">
    <w:name w:val="Lista betűvel"/>
    <w:basedOn w:val="ListParagraph"/>
    <w:link w:val="ListabetvelChar"/>
    <w:uiPriority w:val="4"/>
    <w:qFormat/>
    <w:rsid w:val="00B97972"/>
    <w:pPr>
      <w:numPr>
        <w:numId w:val="10"/>
      </w:numPr>
      <w:spacing w:after="150"/>
      <w:jc w:val="both"/>
    </w:pPr>
    <w:rPr>
      <w:rFonts w:ascii="Calibri" w:hAnsi="Calibri"/>
      <w:szCs w:val="22"/>
    </w:rPr>
  </w:style>
  <w:style w:type="character" w:customStyle="1" w:styleId="ListabetvelChar">
    <w:name w:val="Lista betűvel Char"/>
    <w:basedOn w:val="ListParagraphChar"/>
    <w:link w:val="Listabetvel"/>
    <w:uiPriority w:val="4"/>
    <w:rsid w:val="00B97972"/>
    <w:rPr>
      <w:rFonts w:ascii="Calibri" w:hAnsi="Calibri" w:cs="Times New Roman"/>
      <w:sz w:val="24"/>
      <w:szCs w:val="22"/>
      <w:lang w:eastAsia="en-US"/>
    </w:rPr>
  </w:style>
  <w:style w:type="paragraph" w:customStyle="1" w:styleId="Erskiemels1">
    <w:name w:val="Erős kiemelés1"/>
    <w:basedOn w:val="Normal"/>
    <w:uiPriority w:val="5"/>
    <w:qFormat/>
    <w:rsid w:val="00B97972"/>
    <w:pPr>
      <w:spacing w:after="150" w:line="276" w:lineRule="auto"/>
    </w:pPr>
    <w:rPr>
      <w:rFonts w:ascii="Calibri" w:hAnsi="Calibri" w:cs="Times New Roman"/>
      <w:b/>
      <w:i/>
      <w:sz w:val="20"/>
      <w:lang w:eastAsia="hu-HU"/>
    </w:rPr>
  </w:style>
  <w:style w:type="character" w:customStyle="1" w:styleId="ErskiemelsChar">
    <w:name w:val="Erős kiemelés Char"/>
    <w:basedOn w:val="DefaultParagraphFont"/>
    <w:link w:val="Erskiemels2"/>
    <w:uiPriority w:val="5"/>
    <w:rsid w:val="00B97972"/>
    <w:rPr>
      <w:rFonts w:ascii="Calibri" w:hAnsi="Calibri"/>
      <w:b/>
      <w:i/>
    </w:rPr>
  </w:style>
  <w:style w:type="paragraph" w:customStyle="1" w:styleId="StyleTOC2Left015">
    <w:name w:val="Style TOC 2 + Left:  0.15&quot;"/>
    <w:basedOn w:val="TOC2"/>
    <w:rsid w:val="00B97972"/>
    <w:pPr>
      <w:spacing w:before="0" w:after="100" w:line="276" w:lineRule="auto"/>
      <w:ind w:left="216"/>
    </w:pPr>
    <w:rPr>
      <w:rFonts w:eastAsia="Times New Roman" w:cs="Times New Roman"/>
      <w:b w:val="0"/>
      <w:bCs w:val="0"/>
      <w:lang w:eastAsia="hu-HU"/>
    </w:rPr>
  </w:style>
  <w:style w:type="paragraph" w:customStyle="1" w:styleId="StyleTOC3Left031">
    <w:name w:val="Style TOC 3 + Left:  0.31&quot;"/>
    <w:basedOn w:val="TOC3"/>
    <w:rsid w:val="00B97972"/>
    <w:pPr>
      <w:spacing w:after="100" w:line="276" w:lineRule="auto"/>
      <w:ind w:left="446"/>
      <w:jc w:val="both"/>
    </w:pPr>
    <w:rPr>
      <w:rFonts w:eastAsia="Times New Roman" w:cs="Times New Roman"/>
      <w:lang w:eastAsia="hu-HU"/>
    </w:rPr>
  </w:style>
  <w:style w:type="numbering" w:customStyle="1" w:styleId="Hierarchikuslista">
    <w:name w:val="Hierarchikus lista"/>
    <w:uiPriority w:val="99"/>
    <w:rsid w:val="00B97972"/>
    <w:pPr>
      <w:numPr>
        <w:numId w:val="7"/>
      </w:numPr>
    </w:pPr>
  </w:style>
  <w:style w:type="paragraph" w:customStyle="1" w:styleId="HierarchikusLista0">
    <w:name w:val="Hierarchikus Lista"/>
    <w:basedOn w:val="ListParagraph"/>
    <w:link w:val="HierarchikusListaChar"/>
    <w:qFormat/>
    <w:rsid w:val="00B97972"/>
    <w:pPr>
      <w:spacing w:after="150"/>
      <w:ind w:left="0"/>
      <w:jc w:val="both"/>
    </w:pPr>
    <w:rPr>
      <w:rFonts w:ascii="Calibri" w:hAnsi="Calibri"/>
      <w:szCs w:val="22"/>
    </w:rPr>
  </w:style>
  <w:style w:type="character" w:customStyle="1" w:styleId="HierarchikusListaChar">
    <w:name w:val="Hierarchikus Lista Char"/>
    <w:basedOn w:val="ListParagraphChar"/>
    <w:link w:val="HierarchikusLista0"/>
    <w:rsid w:val="00B97972"/>
    <w:rPr>
      <w:rFonts w:ascii="Calibri" w:hAnsi="Calibri" w:cs="Times New Roman"/>
      <w:sz w:val="24"/>
      <w:szCs w:val="22"/>
      <w:lang w:eastAsia="en-US"/>
    </w:rPr>
  </w:style>
  <w:style w:type="character" w:styleId="Strong">
    <w:name w:val="Strong"/>
    <w:basedOn w:val="DefaultParagraphFont"/>
    <w:uiPriority w:val="22"/>
    <w:rsid w:val="00B97972"/>
    <w:rPr>
      <w:b/>
      <w:bCs/>
    </w:rPr>
  </w:style>
  <w:style w:type="character" w:styleId="Emphasis">
    <w:name w:val="Emphasis"/>
    <w:basedOn w:val="DefaultParagraphFont"/>
    <w:uiPriority w:val="6"/>
    <w:qFormat/>
    <w:rsid w:val="00B97972"/>
    <w:rPr>
      <w:i/>
      <w:iCs/>
    </w:rPr>
  </w:style>
  <w:style w:type="paragraph" w:customStyle="1" w:styleId="Nincstrkz1">
    <w:name w:val="Nincs térköz1"/>
    <w:basedOn w:val="Normal"/>
    <w:next w:val="NoSpacing"/>
    <w:uiPriority w:val="1"/>
    <w:rsid w:val="00B97972"/>
    <w:pPr>
      <w:spacing w:after="150" w:line="276" w:lineRule="auto"/>
    </w:pPr>
    <w:rPr>
      <w:rFonts w:ascii="Calibri" w:hAnsi="Calibri" w:cs="Times New Roman"/>
      <w:sz w:val="20"/>
      <w:szCs w:val="32"/>
      <w:lang w:eastAsia="hu-HU"/>
    </w:rPr>
  </w:style>
  <w:style w:type="paragraph" w:customStyle="1" w:styleId="Idzet1">
    <w:name w:val="Idézet1"/>
    <w:basedOn w:val="Normal"/>
    <w:next w:val="Normal"/>
    <w:uiPriority w:val="29"/>
    <w:rsid w:val="00B97972"/>
    <w:pPr>
      <w:spacing w:after="150" w:line="276" w:lineRule="auto"/>
    </w:pPr>
    <w:rPr>
      <w:rFonts w:ascii="Calibri" w:hAnsi="Calibri" w:cs="Times New Roman"/>
      <w:i/>
      <w:sz w:val="20"/>
      <w:lang w:eastAsia="hu-HU"/>
    </w:rPr>
  </w:style>
  <w:style w:type="character" w:customStyle="1" w:styleId="QuoteChar">
    <w:name w:val="Quote Char"/>
    <w:basedOn w:val="DefaultParagraphFont"/>
    <w:link w:val="Quote"/>
    <w:uiPriority w:val="29"/>
    <w:rsid w:val="00B97972"/>
    <w:rPr>
      <w:rFonts w:ascii="Calibri" w:hAnsi="Calibri"/>
      <w:i/>
    </w:rPr>
  </w:style>
  <w:style w:type="paragraph" w:customStyle="1" w:styleId="Kiemeltidzet1">
    <w:name w:val="Kiemelt idézet1"/>
    <w:basedOn w:val="Normal"/>
    <w:next w:val="Normal"/>
    <w:uiPriority w:val="30"/>
    <w:rsid w:val="00B97972"/>
    <w:pPr>
      <w:spacing w:after="150" w:line="276" w:lineRule="auto"/>
      <w:ind w:left="720" w:right="720"/>
    </w:pPr>
    <w:rPr>
      <w:rFonts w:ascii="Calibri" w:hAnsi="Calibri" w:cs="Times New Roman"/>
      <w:b/>
      <w:i/>
      <w:sz w:val="20"/>
      <w:lang w:eastAsia="hu-HU"/>
    </w:rPr>
  </w:style>
  <w:style w:type="character" w:customStyle="1" w:styleId="IntenseQuoteChar">
    <w:name w:val="Intense Quote Char"/>
    <w:basedOn w:val="DefaultParagraphFont"/>
    <w:link w:val="IntenseQuote"/>
    <w:uiPriority w:val="30"/>
    <w:rsid w:val="00B97972"/>
    <w:rPr>
      <w:rFonts w:ascii="Calibri" w:hAnsi="Calibri"/>
      <w:b/>
      <w:i/>
    </w:rPr>
  </w:style>
  <w:style w:type="character" w:styleId="IntenseEmphasis">
    <w:name w:val="Intense Emphasis"/>
    <w:basedOn w:val="DefaultParagraphFont"/>
    <w:uiPriority w:val="21"/>
    <w:rsid w:val="00B97972"/>
    <w:rPr>
      <w:b/>
      <w:i/>
      <w:sz w:val="24"/>
      <w:szCs w:val="24"/>
      <w:u w:val="single"/>
    </w:rPr>
  </w:style>
  <w:style w:type="character" w:customStyle="1" w:styleId="Knyvcme1">
    <w:name w:val="Könyv címe1"/>
    <w:basedOn w:val="DefaultParagraphFont"/>
    <w:uiPriority w:val="33"/>
    <w:rsid w:val="00B97972"/>
    <w:rPr>
      <w:rFonts w:ascii="Calibri" w:eastAsia="Times New Roman" w:hAnsi="Calibri"/>
      <w:b/>
      <w:i/>
      <w:sz w:val="24"/>
      <w:szCs w:val="24"/>
    </w:rPr>
  </w:style>
  <w:style w:type="paragraph" w:customStyle="1" w:styleId="Szvegdobozstlus">
    <w:name w:val="Szövegdoboz stílus"/>
    <w:basedOn w:val="HierarchikusLista0"/>
    <w:qFormat/>
    <w:rsid w:val="00B97972"/>
    <w:rPr>
      <w:b/>
      <w:i/>
      <w:color w:val="7E5C1D"/>
    </w:rPr>
  </w:style>
  <w:style w:type="table" w:customStyle="1" w:styleId="Rcsos">
    <w:name w:val="Rácsos"/>
    <w:basedOn w:val="TableNormal"/>
    <w:uiPriority w:val="99"/>
    <w:rsid w:val="00B97972"/>
    <w:rPr>
      <w:rFonts w:ascii="Calibri" w:hAnsi="Calibri" w:cs="Times New Roman"/>
      <w:color w:val="202653"/>
      <w:szCs w:val="22"/>
    </w:rPr>
    <w:tblPr>
      <w:tblStyleRowBandSize w:val="1"/>
      <w:tblStyleColBandSize w:val="1"/>
      <w:tblBorders>
        <w:top w:val="single" w:sz="4" w:space="0" w:color="202653"/>
        <w:left w:val="single" w:sz="4" w:space="0" w:color="202653"/>
        <w:bottom w:val="single" w:sz="48" w:space="0" w:color="202653"/>
        <w:right w:val="single" w:sz="4" w:space="0" w:color="202653"/>
        <w:insideV w:val="single" w:sz="4" w:space="0" w:color="202653"/>
      </w:tblBorders>
    </w:tblPr>
    <w:tcPr>
      <w:shd w:val="clear" w:color="auto" w:fill="auto"/>
      <w:tcMar>
        <w:top w:w="170" w:type="dxa"/>
      </w:tcMar>
      <w:vAlign w:val="center"/>
    </w:tcPr>
    <w:tblStylePr w:type="firstRow">
      <w:rPr>
        <w:rFonts w:ascii="Calibri" w:hAnsi="Calibri"/>
        <w:b w:val="0"/>
        <w:i w:val="0"/>
        <w:color w:val="202653"/>
        <w:sz w:val="36"/>
      </w:rPr>
      <w:tblPr/>
      <w:tcPr>
        <w:tcBorders>
          <w:top w:val="single" w:sz="8" w:space="0" w:color="202653"/>
          <w:left w:val="single" w:sz="8" w:space="0" w:color="202653"/>
          <w:bottom w:val="single" w:sz="24" w:space="0" w:color="202653"/>
          <w:right w:val="single" w:sz="8" w:space="0" w:color="202653"/>
          <w:insideH w:val="nil"/>
          <w:insideV w:val="nil"/>
          <w:tl2br w:val="nil"/>
          <w:tr2bl w:val="nil"/>
        </w:tcBorders>
        <w:shd w:val="clear" w:color="auto" w:fill="AC9F70"/>
      </w:tcPr>
    </w:tblStylePr>
    <w:tblStylePr w:type="band2Horz">
      <w:tblPr/>
      <w:tcPr>
        <w:shd w:val="clear" w:color="auto" w:fill="CDC5A9"/>
      </w:tcPr>
    </w:tblStylePr>
  </w:style>
  <w:style w:type="paragraph" w:customStyle="1" w:styleId="Erskiemels2">
    <w:name w:val="Erős kiemelés2"/>
    <w:basedOn w:val="Normal"/>
    <w:link w:val="ErskiemelsChar"/>
    <w:uiPriority w:val="5"/>
    <w:qFormat/>
    <w:rsid w:val="00B97972"/>
    <w:pPr>
      <w:spacing w:after="150" w:line="276" w:lineRule="auto"/>
    </w:pPr>
    <w:rPr>
      <w:rFonts w:ascii="Calibri" w:hAnsi="Calibri"/>
      <w:b/>
      <w:i/>
      <w:sz w:val="20"/>
      <w:szCs w:val="20"/>
      <w:lang w:eastAsia="hu-HU"/>
    </w:rPr>
  </w:style>
  <w:style w:type="character" w:customStyle="1" w:styleId="Cmsor7Char1">
    <w:name w:val="Címsor 7 Char1"/>
    <w:basedOn w:val="DefaultParagraphFont"/>
    <w:uiPriority w:val="9"/>
    <w:semiHidden/>
    <w:rsid w:val="00B97972"/>
    <w:rPr>
      <w:rFonts w:asciiTheme="majorHAnsi" w:eastAsiaTheme="majorEastAsia" w:hAnsiTheme="majorHAnsi" w:cstheme="majorBidi"/>
      <w:i/>
      <w:iCs/>
      <w:color w:val="404040" w:themeColor="text1" w:themeTint="BF"/>
      <w:sz w:val="24"/>
      <w:szCs w:val="22"/>
      <w:lang w:eastAsia="en-US"/>
    </w:rPr>
  </w:style>
  <w:style w:type="character" w:customStyle="1" w:styleId="Cmsor9Char1">
    <w:name w:val="Címsor 9 Char1"/>
    <w:basedOn w:val="DefaultParagraphFont"/>
    <w:uiPriority w:val="9"/>
    <w:semiHidden/>
    <w:rsid w:val="00B97972"/>
    <w:rPr>
      <w:rFonts w:asciiTheme="majorHAnsi" w:eastAsiaTheme="majorEastAsia" w:hAnsiTheme="majorHAnsi" w:cstheme="majorBidi"/>
      <w:i/>
      <w:iCs/>
      <w:color w:val="404040" w:themeColor="text1" w:themeTint="BF"/>
      <w:lang w:eastAsia="en-US"/>
    </w:rPr>
  </w:style>
  <w:style w:type="character" w:styleId="SubtleEmphasis">
    <w:name w:val="Subtle Emphasis"/>
    <w:basedOn w:val="DefaultParagraphFont"/>
    <w:uiPriority w:val="19"/>
    <w:qFormat/>
    <w:rsid w:val="00B97972"/>
    <w:rPr>
      <w:i/>
      <w:iCs/>
      <w:color w:val="808080" w:themeColor="text1" w:themeTint="7F"/>
    </w:rPr>
  </w:style>
  <w:style w:type="paragraph" w:styleId="EndnoteText">
    <w:name w:val="endnote text"/>
    <w:basedOn w:val="Normal"/>
    <w:link w:val="EndnoteTextChar"/>
    <w:uiPriority w:val="99"/>
    <w:semiHidden/>
    <w:unhideWhenUsed/>
    <w:rsid w:val="00B97972"/>
    <w:rPr>
      <w:sz w:val="20"/>
      <w:szCs w:val="20"/>
    </w:rPr>
  </w:style>
  <w:style w:type="character" w:customStyle="1" w:styleId="EndnoteTextChar">
    <w:name w:val="Endnote Text Char"/>
    <w:basedOn w:val="DefaultParagraphFont"/>
    <w:link w:val="EndnoteText"/>
    <w:uiPriority w:val="99"/>
    <w:semiHidden/>
    <w:rsid w:val="00B97972"/>
    <w:rPr>
      <w:lang w:eastAsia="en-US"/>
    </w:rPr>
  </w:style>
  <w:style w:type="paragraph" w:styleId="Subtitle">
    <w:name w:val="Subtitle"/>
    <w:basedOn w:val="Normal"/>
    <w:next w:val="Normal"/>
    <w:link w:val="SubtitleChar"/>
    <w:uiPriority w:val="11"/>
    <w:qFormat/>
    <w:rsid w:val="00B97972"/>
    <w:pPr>
      <w:numPr>
        <w:ilvl w:val="1"/>
      </w:numPr>
    </w:pPr>
    <w:rPr>
      <w:rFonts w:ascii="Calibri" w:eastAsia="Times New Roman" w:hAnsi="Calibri" w:cs="Times New Roman"/>
      <w:sz w:val="20"/>
      <w:szCs w:val="20"/>
      <w:lang w:eastAsia="hu-HU"/>
    </w:rPr>
  </w:style>
  <w:style w:type="character" w:customStyle="1" w:styleId="AlcmChar1">
    <w:name w:val="Alcím Char1"/>
    <w:basedOn w:val="DefaultParagraphFont"/>
    <w:uiPriority w:val="11"/>
    <w:rsid w:val="00B9797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rsid w:val="00B97972"/>
    <w:pPr>
      <w:jc w:val="both"/>
    </w:pPr>
    <w:rPr>
      <w:sz w:val="24"/>
      <w:szCs w:val="22"/>
      <w:lang w:eastAsia="en-US"/>
    </w:rPr>
  </w:style>
  <w:style w:type="paragraph" w:styleId="Quote">
    <w:name w:val="Quote"/>
    <w:basedOn w:val="Normal"/>
    <w:next w:val="Normal"/>
    <w:link w:val="QuoteChar"/>
    <w:uiPriority w:val="29"/>
    <w:qFormat/>
    <w:rsid w:val="00B97972"/>
    <w:rPr>
      <w:rFonts w:ascii="Calibri" w:hAnsi="Calibri"/>
      <w:i/>
      <w:sz w:val="20"/>
      <w:szCs w:val="20"/>
      <w:lang w:eastAsia="hu-HU"/>
    </w:rPr>
  </w:style>
  <w:style w:type="character" w:customStyle="1" w:styleId="IdzetChar1">
    <w:name w:val="Idézet Char1"/>
    <w:basedOn w:val="DefaultParagraphFont"/>
    <w:uiPriority w:val="29"/>
    <w:rsid w:val="00B97972"/>
    <w:rPr>
      <w:i/>
      <w:iCs/>
      <w:color w:val="000000" w:themeColor="text1"/>
      <w:sz w:val="24"/>
      <w:szCs w:val="22"/>
      <w:lang w:eastAsia="en-US"/>
    </w:rPr>
  </w:style>
  <w:style w:type="paragraph" w:styleId="IntenseQuote">
    <w:name w:val="Intense Quote"/>
    <w:basedOn w:val="Normal"/>
    <w:next w:val="Normal"/>
    <w:link w:val="IntenseQuoteChar"/>
    <w:uiPriority w:val="30"/>
    <w:qFormat/>
    <w:rsid w:val="00B97972"/>
    <w:pPr>
      <w:pBdr>
        <w:bottom w:val="single" w:sz="4" w:space="4" w:color="4F81BD" w:themeColor="accent1"/>
      </w:pBdr>
      <w:spacing w:before="200" w:after="280"/>
      <w:ind w:left="936" w:right="936"/>
    </w:pPr>
    <w:rPr>
      <w:rFonts w:ascii="Calibri" w:hAnsi="Calibri"/>
      <w:b/>
      <w:i/>
      <w:sz w:val="20"/>
      <w:szCs w:val="20"/>
      <w:lang w:eastAsia="hu-HU"/>
    </w:rPr>
  </w:style>
  <w:style w:type="character" w:customStyle="1" w:styleId="KiemeltidzetChar1">
    <w:name w:val="Kiemelt idézet Char1"/>
    <w:basedOn w:val="DefaultParagraphFont"/>
    <w:uiPriority w:val="30"/>
    <w:rsid w:val="00B97972"/>
    <w:rPr>
      <w:b/>
      <w:bCs/>
      <w:i/>
      <w:iCs/>
      <w:color w:val="4F81BD" w:themeColor="accent1"/>
      <w:sz w:val="24"/>
      <w:szCs w:val="22"/>
      <w:lang w:eastAsia="en-US"/>
    </w:rPr>
  </w:style>
  <w:style w:type="character" w:styleId="BookTitle">
    <w:name w:val="Book Title"/>
    <w:basedOn w:val="DefaultParagraphFont"/>
    <w:uiPriority w:val="33"/>
    <w:qFormat/>
    <w:rsid w:val="00B9797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148">
      <w:bodyDiv w:val="1"/>
      <w:marLeft w:val="0"/>
      <w:marRight w:val="0"/>
      <w:marTop w:val="0"/>
      <w:marBottom w:val="0"/>
      <w:divBdr>
        <w:top w:val="none" w:sz="0" w:space="0" w:color="auto"/>
        <w:left w:val="none" w:sz="0" w:space="0" w:color="auto"/>
        <w:bottom w:val="none" w:sz="0" w:space="0" w:color="auto"/>
        <w:right w:val="none" w:sz="0" w:space="0" w:color="auto"/>
      </w:divBdr>
    </w:div>
    <w:div w:id="125319353">
      <w:bodyDiv w:val="1"/>
      <w:marLeft w:val="0"/>
      <w:marRight w:val="0"/>
      <w:marTop w:val="0"/>
      <w:marBottom w:val="0"/>
      <w:divBdr>
        <w:top w:val="none" w:sz="0" w:space="0" w:color="auto"/>
        <w:left w:val="none" w:sz="0" w:space="0" w:color="auto"/>
        <w:bottom w:val="none" w:sz="0" w:space="0" w:color="auto"/>
        <w:right w:val="none" w:sz="0" w:space="0" w:color="auto"/>
      </w:divBdr>
    </w:div>
    <w:div w:id="159127335">
      <w:bodyDiv w:val="1"/>
      <w:marLeft w:val="0"/>
      <w:marRight w:val="0"/>
      <w:marTop w:val="0"/>
      <w:marBottom w:val="0"/>
      <w:divBdr>
        <w:top w:val="none" w:sz="0" w:space="0" w:color="auto"/>
        <w:left w:val="none" w:sz="0" w:space="0" w:color="auto"/>
        <w:bottom w:val="none" w:sz="0" w:space="0" w:color="auto"/>
        <w:right w:val="none" w:sz="0" w:space="0" w:color="auto"/>
      </w:divBdr>
    </w:div>
    <w:div w:id="164982316">
      <w:bodyDiv w:val="1"/>
      <w:marLeft w:val="0"/>
      <w:marRight w:val="0"/>
      <w:marTop w:val="0"/>
      <w:marBottom w:val="0"/>
      <w:divBdr>
        <w:top w:val="none" w:sz="0" w:space="0" w:color="auto"/>
        <w:left w:val="none" w:sz="0" w:space="0" w:color="auto"/>
        <w:bottom w:val="none" w:sz="0" w:space="0" w:color="auto"/>
        <w:right w:val="none" w:sz="0" w:space="0" w:color="auto"/>
      </w:divBdr>
      <w:divsChild>
        <w:div w:id="431824104">
          <w:marLeft w:val="0"/>
          <w:marRight w:val="0"/>
          <w:marTop w:val="0"/>
          <w:marBottom w:val="0"/>
          <w:divBdr>
            <w:top w:val="none" w:sz="0" w:space="0" w:color="auto"/>
            <w:left w:val="none" w:sz="0" w:space="0" w:color="auto"/>
            <w:bottom w:val="none" w:sz="0" w:space="0" w:color="auto"/>
            <w:right w:val="none" w:sz="0" w:space="0" w:color="auto"/>
          </w:divBdr>
        </w:div>
      </w:divsChild>
    </w:div>
    <w:div w:id="172037486">
      <w:bodyDiv w:val="1"/>
      <w:marLeft w:val="0"/>
      <w:marRight w:val="0"/>
      <w:marTop w:val="0"/>
      <w:marBottom w:val="0"/>
      <w:divBdr>
        <w:top w:val="none" w:sz="0" w:space="0" w:color="auto"/>
        <w:left w:val="none" w:sz="0" w:space="0" w:color="auto"/>
        <w:bottom w:val="none" w:sz="0" w:space="0" w:color="auto"/>
        <w:right w:val="none" w:sz="0" w:space="0" w:color="auto"/>
      </w:divBdr>
    </w:div>
    <w:div w:id="325329808">
      <w:bodyDiv w:val="1"/>
      <w:marLeft w:val="0"/>
      <w:marRight w:val="0"/>
      <w:marTop w:val="0"/>
      <w:marBottom w:val="0"/>
      <w:divBdr>
        <w:top w:val="none" w:sz="0" w:space="0" w:color="auto"/>
        <w:left w:val="none" w:sz="0" w:space="0" w:color="auto"/>
        <w:bottom w:val="none" w:sz="0" w:space="0" w:color="auto"/>
        <w:right w:val="none" w:sz="0" w:space="0" w:color="auto"/>
      </w:divBdr>
    </w:div>
    <w:div w:id="364525959">
      <w:bodyDiv w:val="1"/>
      <w:marLeft w:val="0"/>
      <w:marRight w:val="0"/>
      <w:marTop w:val="0"/>
      <w:marBottom w:val="0"/>
      <w:divBdr>
        <w:top w:val="none" w:sz="0" w:space="0" w:color="auto"/>
        <w:left w:val="none" w:sz="0" w:space="0" w:color="auto"/>
        <w:bottom w:val="none" w:sz="0" w:space="0" w:color="auto"/>
        <w:right w:val="none" w:sz="0" w:space="0" w:color="auto"/>
      </w:divBdr>
    </w:div>
    <w:div w:id="455683439">
      <w:bodyDiv w:val="1"/>
      <w:marLeft w:val="0"/>
      <w:marRight w:val="0"/>
      <w:marTop w:val="0"/>
      <w:marBottom w:val="0"/>
      <w:divBdr>
        <w:top w:val="none" w:sz="0" w:space="0" w:color="auto"/>
        <w:left w:val="none" w:sz="0" w:space="0" w:color="auto"/>
        <w:bottom w:val="none" w:sz="0" w:space="0" w:color="auto"/>
        <w:right w:val="none" w:sz="0" w:space="0" w:color="auto"/>
      </w:divBdr>
    </w:div>
    <w:div w:id="592587815">
      <w:bodyDiv w:val="1"/>
      <w:marLeft w:val="0"/>
      <w:marRight w:val="0"/>
      <w:marTop w:val="0"/>
      <w:marBottom w:val="0"/>
      <w:divBdr>
        <w:top w:val="none" w:sz="0" w:space="0" w:color="auto"/>
        <w:left w:val="none" w:sz="0" w:space="0" w:color="auto"/>
        <w:bottom w:val="none" w:sz="0" w:space="0" w:color="auto"/>
        <w:right w:val="none" w:sz="0" w:space="0" w:color="auto"/>
      </w:divBdr>
    </w:div>
    <w:div w:id="672412021">
      <w:bodyDiv w:val="1"/>
      <w:marLeft w:val="0"/>
      <w:marRight w:val="0"/>
      <w:marTop w:val="0"/>
      <w:marBottom w:val="0"/>
      <w:divBdr>
        <w:top w:val="none" w:sz="0" w:space="0" w:color="auto"/>
        <w:left w:val="none" w:sz="0" w:space="0" w:color="auto"/>
        <w:bottom w:val="none" w:sz="0" w:space="0" w:color="auto"/>
        <w:right w:val="none" w:sz="0" w:space="0" w:color="auto"/>
      </w:divBdr>
    </w:div>
    <w:div w:id="723526772">
      <w:bodyDiv w:val="1"/>
      <w:marLeft w:val="0"/>
      <w:marRight w:val="0"/>
      <w:marTop w:val="0"/>
      <w:marBottom w:val="0"/>
      <w:divBdr>
        <w:top w:val="none" w:sz="0" w:space="0" w:color="auto"/>
        <w:left w:val="none" w:sz="0" w:space="0" w:color="auto"/>
        <w:bottom w:val="none" w:sz="0" w:space="0" w:color="auto"/>
        <w:right w:val="none" w:sz="0" w:space="0" w:color="auto"/>
      </w:divBdr>
    </w:div>
    <w:div w:id="808549844">
      <w:bodyDiv w:val="1"/>
      <w:marLeft w:val="0"/>
      <w:marRight w:val="0"/>
      <w:marTop w:val="0"/>
      <w:marBottom w:val="0"/>
      <w:divBdr>
        <w:top w:val="none" w:sz="0" w:space="0" w:color="auto"/>
        <w:left w:val="none" w:sz="0" w:space="0" w:color="auto"/>
        <w:bottom w:val="none" w:sz="0" w:space="0" w:color="auto"/>
        <w:right w:val="none" w:sz="0" w:space="0" w:color="auto"/>
      </w:divBdr>
    </w:div>
    <w:div w:id="854998455">
      <w:bodyDiv w:val="1"/>
      <w:marLeft w:val="0"/>
      <w:marRight w:val="0"/>
      <w:marTop w:val="0"/>
      <w:marBottom w:val="0"/>
      <w:divBdr>
        <w:top w:val="none" w:sz="0" w:space="0" w:color="auto"/>
        <w:left w:val="none" w:sz="0" w:space="0" w:color="auto"/>
        <w:bottom w:val="none" w:sz="0" w:space="0" w:color="auto"/>
        <w:right w:val="none" w:sz="0" w:space="0" w:color="auto"/>
      </w:divBdr>
    </w:div>
    <w:div w:id="865481875">
      <w:bodyDiv w:val="1"/>
      <w:marLeft w:val="0"/>
      <w:marRight w:val="0"/>
      <w:marTop w:val="0"/>
      <w:marBottom w:val="0"/>
      <w:divBdr>
        <w:top w:val="none" w:sz="0" w:space="0" w:color="auto"/>
        <w:left w:val="none" w:sz="0" w:space="0" w:color="auto"/>
        <w:bottom w:val="none" w:sz="0" w:space="0" w:color="auto"/>
        <w:right w:val="none" w:sz="0" w:space="0" w:color="auto"/>
      </w:divBdr>
    </w:div>
    <w:div w:id="907812857">
      <w:bodyDiv w:val="1"/>
      <w:marLeft w:val="0"/>
      <w:marRight w:val="0"/>
      <w:marTop w:val="0"/>
      <w:marBottom w:val="0"/>
      <w:divBdr>
        <w:top w:val="none" w:sz="0" w:space="0" w:color="auto"/>
        <w:left w:val="none" w:sz="0" w:space="0" w:color="auto"/>
        <w:bottom w:val="none" w:sz="0" w:space="0" w:color="auto"/>
        <w:right w:val="none" w:sz="0" w:space="0" w:color="auto"/>
      </w:divBdr>
    </w:div>
    <w:div w:id="908538950">
      <w:bodyDiv w:val="1"/>
      <w:marLeft w:val="0"/>
      <w:marRight w:val="0"/>
      <w:marTop w:val="0"/>
      <w:marBottom w:val="0"/>
      <w:divBdr>
        <w:top w:val="none" w:sz="0" w:space="0" w:color="auto"/>
        <w:left w:val="none" w:sz="0" w:space="0" w:color="auto"/>
        <w:bottom w:val="none" w:sz="0" w:space="0" w:color="auto"/>
        <w:right w:val="none" w:sz="0" w:space="0" w:color="auto"/>
      </w:divBdr>
    </w:div>
    <w:div w:id="913783812">
      <w:bodyDiv w:val="1"/>
      <w:marLeft w:val="0"/>
      <w:marRight w:val="0"/>
      <w:marTop w:val="0"/>
      <w:marBottom w:val="0"/>
      <w:divBdr>
        <w:top w:val="none" w:sz="0" w:space="0" w:color="auto"/>
        <w:left w:val="none" w:sz="0" w:space="0" w:color="auto"/>
        <w:bottom w:val="none" w:sz="0" w:space="0" w:color="auto"/>
        <w:right w:val="none" w:sz="0" w:space="0" w:color="auto"/>
      </w:divBdr>
    </w:div>
    <w:div w:id="1311403890">
      <w:bodyDiv w:val="1"/>
      <w:marLeft w:val="0"/>
      <w:marRight w:val="0"/>
      <w:marTop w:val="0"/>
      <w:marBottom w:val="0"/>
      <w:divBdr>
        <w:top w:val="none" w:sz="0" w:space="0" w:color="auto"/>
        <w:left w:val="none" w:sz="0" w:space="0" w:color="auto"/>
        <w:bottom w:val="none" w:sz="0" w:space="0" w:color="auto"/>
        <w:right w:val="none" w:sz="0" w:space="0" w:color="auto"/>
      </w:divBdr>
    </w:div>
    <w:div w:id="1613704234">
      <w:bodyDiv w:val="1"/>
      <w:marLeft w:val="0"/>
      <w:marRight w:val="0"/>
      <w:marTop w:val="0"/>
      <w:marBottom w:val="0"/>
      <w:divBdr>
        <w:top w:val="none" w:sz="0" w:space="0" w:color="auto"/>
        <w:left w:val="none" w:sz="0" w:space="0" w:color="auto"/>
        <w:bottom w:val="none" w:sz="0" w:space="0" w:color="auto"/>
        <w:right w:val="none" w:sz="0" w:space="0" w:color="auto"/>
      </w:divBdr>
      <w:divsChild>
        <w:div w:id="1289240743">
          <w:marLeft w:val="2492"/>
          <w:marRight w:val="2492"/>
          <w:marTop w:val="0"/>
          <w:marBottom w:val="0"/>
          <w:divBdr>
            <w:top w:val="none" w:sz="0" w:space="0" w:color="auto"/>
            <w:left w:val="none" w:sz="0" w:space="0" w:color="auto"/>
            <w:bottom w:val="none" w:sz="0" w:space="0" w:color="auto"/>
            <w:right w:val="none" w:sz="0" w:space="0" w:color="auto"/>
          </w:divBdr>
          <w:divsChild>
            <w:div w:id="757140920">
              <w:marLeft w:val="-9"/>
              <w:marRight w:val="-9"/>
              <w:marTop w:val="46"/>
              <w:marBottom w:val="0"/>
              <w:divBdr>
                <w:top w:val="none" w:sz="0" w:space="0" w:color="auto"/>
                <w:left w:val="none" w:sz="0" w:space="0" w:color="auto"/>
                <w:bottom w:val="none" w:sz="0" w:space="0" w:color="auto"/>
                <w:right w:val="none" w:sz="0" w:space="0" w:color="auto"/>
              </w:divBdr>
            </w:div>
          </w:divsChild>
        </w:div>
      </w:divsChild>
    </w:div>
    <w:div w:id="1636568072">
      <w:bodyDiv w:val="1"/>
      <w:marLeft w:val="0"/>
      <w:marRight w:val="0"/>
      <w:marTop w:val="0"/>
      <w:marBottom w:val="0"/>
      <w:divBdr>
        <w:top w:val="none" w:sz="0" w:space="0" w:color="auto"/>
        <w:left w:val="none" w:sz="0" w:space="0" w:color="auto"/>
        <w:bottom w:val="none" w:sz="0" w:space="0" w:color="auto"/>
        <w:right w:val="none" w:sz="0" w:space="0" w:color="auto"/>
      </w:divBdr>
    </w:div>
    <w:div w:id="1681547161">
      <w:bodyDiv w:val="1"/>
      <w:marLeft w:val="0"/>
      <w:marRight w:val="0"/>
      <w:marTop w:val="0"/>
      <w:marBottom w:val="0"/>
      <w:divBdr>
        <w:top w:val="none" w:sz="0" w:space="0" w:color="auto"/>
        <w:left w:val="none" w:sz="0" w:space="0" w:color="auto"/>
        <w:bottom w:val="none" w:sz="0" w:space="0" w:color="auto"/>
        <w:right w:val="none" w:sz="0" w:space="0" w:color="auto"/>
      </w:divBdr>
    </w:div>
    <w:div w:id="1752970030">
      <w:bodyDiv w:val="1"/>
      <w:marLeft w:val="0"/>
      <w:marRight w:val="0"/>
      <w:marTop w:val="0"/>
      <w:marBottom w:val="0"/>
      <w:divBdr>
        <w:top w:val="none" w:sz="0" w:space="0" w:color="auto"/>
        <w:left w:val="none" w:sz="0" w:space="0" w:color="auto"/>
        <w:bottom w:val="none" w:sz="0" w:space="0" w:color="auto"/>
        <w:right w:val="none" w:sz="0" w:space="0" w:color="auto"/>
      </w:divBdr>
    </w:div>
    <w:div w:id="1946227678">
      <w:bodyDiv w:val="1"/>
      <w:marLeft w:val="0"/>
      <w:marRight w:val="0"/>
      <w:marTop w:val="0"/>
      <w:marBottom w:val="0"/>
      <w:divBdr>
        <w:top w:val="none" w:sz="0" w:space="0" w:color="auto"/>
        <w:left w:val="none" w:sz="0" w:space="0" w:color="auto"/>
        <w:bottom w:val="none" w:sz="0" w:space="0" w:color="auto"/>
        <w:right w:val="none" w:sz="0" w:space="0" w:color="auto"/>
      </w:divBdr>
    </w:div>
    <w:div w:id="1998722658">
      <w:bodyDiv w:val="1"/>
      <w:marLeft w:val="0"/>
      <w:marRight w:val="0"/>
      <w:marTop w:val="0"/>
      <w:marBottom w:val="0"/>
      <w:divBdr>
        <w:top w:val="none" w:sz="0" w:space="0" w:color="auto"/>
        <w:left w:val="none" w:sz="0" w:space="0" w:color="auto"/>
        <w:bottom w:val="none" w:sz="0" w:space="0" w:color="auto"/>
        <w:right w:val="none" w:sz="0" w:space="0" w:color="auto"/>
      </w:divBdr>
    </w:div>
    <w:div w:id="20758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9E58-45A6-4C5B-8DD3-860E73E4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7598</Words>
  <Characters>52427</Characters>
  <Application>Microsoft Office Word</Application>
  <DocSecurity>0</DocSecurity>
  <Lines>436</Lines>
  <Paragraphs>119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 PSZÁF képviseletének eljárásrendje az EU munkabizottságaiban és egyéb szervezeteiben folyó szakmai munka, illetőleg az EU joganyagok kialakítása során</vt:lpstr>
      <vt:lpstr>A PSZÁF képviseletének eljárásrendje az EU munkabizottságaiban és egyéb szervezeteiben folyó szakmai munka, illetőleg az EU joganyagok kialakítása során</vt:lpstr>
    </vt:vector>
  </TitlesOfParts>
  <Company>Magyar Nemzeti Bank</Company>
  <LinksUpToDate>false</LinksUpToDate>
  <CharactersWithSpaces>59906</CharactersWithSpaces>
  <SharedDoc>false</SharedDoc>
  <HLinks>
    <vt:vector size="108" baseType="variant">
      <vt:variant>
        <vt:i4>3735600</vt:i4>
      </vt:variant>
      <vt:variant>
        <vt:i4>99</vt:i4>
      </vt:variant>
      <vt:variant>
        <vt:i4>0</vt:i4>
      </vt:variant>
      <vt:variant>
        <vt:i4>5</vt:i4>
      </vt:variant>
      <vt:variant>
        <vt:lpwstr>http://www.mnb.hu/felugyelet/szabalyozas/felugyeleti-szabalyozo-eszkozok/modszertani-kezikonyvek/icaap-ilaap-felugyeleti-felulvizsgalat</vt:lpwstr>
      </vt:variant>
      <vt:variant>
        <vt:lpwstr/>
      </vt:variant>
      <vt:variant>
        <vt:i4>1703991</vt:i4>
      </vt:variant>
      <vt:variant>
        <vt:i4>92</vt:i4>
      </vt:variant>
      <vt:variant>
        <vt:i4>0</vt:i4>
      </vt:variant>
      <vt:variant>
        <vt:i4>5</vt:i4>
      </vt:variant>
      <vt:variant>
        <vt:lpwstr/>
      </vt:variant>
      <vt:variant>
        <vt:lpwstr>_Toc436906514</vt:lpwstr>
      </vt:variant>
      <vt:variant>
        <vt:i4>1703991</vt:i4>
      </vt:variant>
      <vt:variant>
        <vt:i4>86</vt:i4>
      </vt:variant>
      <vt:variant>
        <vt:i4>0</vt:i4>
      </vt:variant>
      <vt:variant>
        <vt:i4>5</vt:i4>
      </vt:variant>
      <vt:variant>
        <vt:lpwstr/>
      </vt:variant>
      <vt:variant>
        <vt:lpwstr>_Toc436906513</vt:lpwstr>
      </vt:variant>
      <vt:variant>
        <vt:i4>1703991</vt:i4>
      </vt:variant>
      <vt:variant>
        <vt:i4>80</vt:i4>
      </vt:variant>
      <vt:variant>
        <vt:i4>0</vt:i4>
      </vt:variant>
      <vt:variant>
        <vt:i4>5</vt:i4>
      </vt:variant>
      <vt:variant>
        <vt:lpwstr/>
      </vt:variant>
      <vt:variant>
        <vt:lpwstr>_Toc436906512</vt:lpwstr>
      </vt:variant>
      <vt:variant>
        <vt:i4>1703991</vt:i4>
      </vt:variant>
      <vt:variant>
        <vt:i4>74</vt:i4>
      </vt:variant>
      <vt:variant>
        <vt:i4>0</vt:i4>
      </vt:variant>
      <vt:variant>
        <vt:i4>5</vt:i4>
      </vt:variant>
      <vt:variant>
        <vt:lpwstr/>
      </vt:variant>
      <vt:variant>
        <vt:lpwstr>_Toc436906511</vt:lpwstr>
      </vt:variant>
      <vt:variant>
        <vt:i4>1703991</vt:i4>
      </vt:variant>
      <vt:variant>
        <vt:i4>68</vt:i4>
      </vt:variant>
      <vt:variant>
        <vt:i4>0</vt:i4>
      </vt:variant>
      <vt:variant>
        <vt:i4>5</vt:i4>
      </vt:variant>
      <vt:variant>
        <vt:lpwstr/>
      </vt:variant>
      <vt:variant>
        <vt:lpwstr>_Toc436906510</vt:lpwstr>
      </vt:variant>
      <vt:variant>
        <vt:i4>1769527</vt:i4>
      </vt:variant>
      <vt:variant>
        <vt:i4>62</vt:i4>
      </vt:variant>
      <vt:variant>
        <vt:i4>0</vt:i4>
      </vt:variant>
      <vt:variant>
        <vt:i4>5</vt:i4>
      </vt:variant>
      <vt:variant>
        <vt:lpwstr/>
      </vt:variant>
      <vt:variant>
        <vt:lpwstr>_Toc436906509</vt:lpwstr>
      </vt:variant>
      <vt:variant>
        <vt:i4>1769527</vt:i4>
      </vt:variant>
      <vt:variant>
        <vt:i4>56</vt:i4>
      </vt:variant>
      <vt:variant>
        <vt:i4>0</vt:i4>
      </vt:variant>
      <vt:variant>
        <vt:i4>5</vt:i4>
      </vt:variant>
      <vt:variant>
        <vt:lpwstr/>
      </vt:variant>
      <vt:variant>
        <vt:lpwstr>_Toc436906508</vt:lpwstr>
      </vt:variant>
      <vt:variant>
        <vt:i4>1769527</vt:i4>
      </vt:variant>
      <vt:variant>
        <vt:i4>50</vt:i4>
      </vt:variant>
      <vt:variant>
        <vt:i4>0</vt:i4>
      </vt:variant>
      <vt:variant>
        <vt:i4>5</vt:i4>
      </vt:variant>
      <vt:variant>
        <vt:lpwstr/>
      </vt:variant>
      <vt:variant>
        <vt:lpwstr>_Toc436906507</vt:lpwstr>
      </vt:variant>
      <vt:variant>
        <vt:i4>1769527</vt:i4>
      </vt:variant>
      <vt:variant>
        <vt:i4>44</vt:i4>
      </vt:variant>
      <vt:variant>
        <vt:i4>0</vt:i4>
      </vt:variant>
      <vt:variant>
        <vt:i4>5</vt:i4>
      </vt:variant>
      <vt:variant>
        <vt:lpwstr/>
      </vt:variant>
      <vt:variant>
        <vt:lpwstr>_Toc436906506</vt:lpwstr>
      </vt:variant>
      <vt:variant>
        <vt:i4>1769527</vt:i4>
      </vt:variant>
      <vt:variant>
        <vt:i4>38</vt:i4>
      </vt:variant>
      <vt:variant>
        <vt:i4>0</vt:i4>
      </vt:variant>
      <vt:variant>
        <vt:i4>5</vt:i4>
      </vt:variant>
      <vt:variant>
        <vt:lpwstr/>
      </vt:variant>
      <vt:variant>
        <vt:lpwstr>_Toc436906505</vt:lpwstr>
      </vt:variant>
      <vt:variant>
        <vt:i4>1769527</vt:i4>
      </vt:variant>
      <vt:variant>
        <vt:i4>32</vt:i4>
      </vt:variant>
      <vt:variant>
        <vt:i4>0</vt:i4>
      </vt:variant>
      <vt:variant>
        <vt:i4>5</vt:i4>
      </vt:variant>
      <vt:variant>
        <vt:lpwstr/>
      </vt:variant>
      <vt:variant>
        <vt:lpwstr>_Toc436906504</vt:lpwstr>
      </vt:variant>
      <vt:variant>
        <vt:i4>1769527</vt:i4>
      </vt:variant>
      <vt:variant>
        <vt:i4>26</vt:i4>
      </vt:variant>
      <vt:variant>
        <vt:i4>0</vt:i4>
      </vt:variant>
      <vt:variant>
        <vt:i4>5</vt:i4>
      </vt:variant>
      <vt:variant>
        <vt:lpwstr/>
      </vt:variant>
      <vt:variant>
        <vt:lpwstr>_Toc436906503</vt:lpwstr>
      </vt:variant>
      <vt:variant>
        <vt:i4>1769527</vt:i4>
      </vt:variant>
      <vt:variant>
        <vt:i4>20</vt:i4>
      </vt:variant>
      <vt:variant>
        <vt:i4>0</vt:i4>
      </vt:variant>
      <vt:variant>
        <vt:i4>5</vt:i4>
      </vt:variant>
      <vt:variant>
        <vt:lpwstr/>
      </vt:variant>
      <vt:variant>
        <vt:lpwstr>_Toc436906502</vt:lpwstr>
      </vt:variant>
      <vt:variant>
        <vt:i4>1769527</vt:i4>
      </vt:variant>
      <vt:variant>
        <vt:i4>14</vt:i4>
      </vt:variant>
      <vt:variant>
        <vt:i4>0</vt:i4>
      </vt:variant>
      <vt:variant>
        <vt:i4>5</vt:i4>
      </vt:variant>
      <vt:variant>
        <vt:lpwstr/>
      </vt:variant>
      <vt:variant>
        <vt:lpwstr>_Toc436906501</vt:lpwstr>
      </vt:variant>
      <vt:variant>
        <vt:i4>1769527</vt:i4>
      </vt:variant>
      <vt:variant>
        <vt:i4>8</vt:i4>
      </vt:variant>
      <vt:variant>
        <vt:i4>0</vt:i4>
      </vt:variant>
      <vt:variant>
        <vt:i4>5</vt:i4>
      </vt:variant>
      <vt:variant>
        <vt:lpwstr/>
      </vt:variant>
      <vt:variant>
        <vt:lpwstr>_Toc436906500</vt:lpwstr>
      </vt:variant>
      <vt:variant>
        <vt:i4>1179702</vt:i4>
      </vt:variant>
      <vt:variant>
        <vt:i4>2</vt:i4>
      </vt:variant>
      <vt:variant>
        <vt:i4>0</vt:i4>
      </vt:variant>
      <vt:variant>
        <vt:i4>5</vt:i4>
      </vt:variant>
      <vt:variant>
        <vt:lpwstr/>
      </vt:variant>
      <vt:variant>
        <vt:lpwstr>_Toc436906499</vt:lpwstr>
      </vt:variant>
      <vt:variant>
        <vt:i4>7274591</vt:i4>
      </vt:variant>
      <vt:variant>
        <vt:i4>0</vt:i4>
      </vt:variant>
      <vt:variant>
        <vt:i4>0</vt:i4>
      </vt:variant>
      <vt:variant>
        <vt:i4>5</vt:i4>
      </vt:variant>
      <vt:variant>
        <vt:lpwstr>http://mnbintra/szabalyzatok/szmsz_listak/legfrissebb_anyagok/PST %c3%bcgyrend_20151020.docx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PSZÁF képviseletének eljárásrendje az EU munkabizottságaiban és egyéb szervezeteiben folyó szakmai munka, illetőleg az EU joganyagok kialakítása során</dc:title>
  <dc:subject>Európai és nemzetközi ügyek főosztálya</dc:subject>
  <dc:creator>Kómár András</dc:creator>
  <cp:lastModifiedBy>Kóródi Anna</cp:lastModifiedBy>
  <cp:revision>9</cp:revision>
  <cp:lastPrinted>2015-12-22T09:29:00Z</cp:lastPrinted>
  <dcterms:created xsi:type="dcterms:W3CDTF">2016-04-06T13:02:00Z</dcterms:created>
  <dcterms:modified xsi:type="dcterms:W3CDTF">2016-04-25T11:23:00Z</dcterms:modified>
</cp:coreProperties>
</file>