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5AE1" w14:textId="77777777" w:rsidR="00460C0D" w:rsidRPr="004101DA" w:rsidRDefault="003C2D42" w:rsidP="00030E37">
      <w:pPr>
        <w:pStyle w:val="Default"/>
        <w:rPr>
          <w:b/>
          <w:bCs/>
          <w:color w:val="auto"/>
        </w:rPr>
      </w:pPr>
      <w:bookmarkStart w:id="0" w:name="_GoBack"/>
      <w:bookmarkEnd w:id="0"/>
      <w:r w:rsidRPr="004101DA">
        <w:rPr>
          <w:b/>
          <w:bCs/>
          <w:color w:val="auto"/>
        </w:rPr>
        <w:t>4</w:t>
      </w:r>
      <w:r w:rsidR="00460C0D" w:rsidRPr="004101DA">
        <w:rPr>
          <w:b/>
          <w:bCs/>
          <w:color w:val="auto"/>
        </w:rPr>
        <w:t>. melléklet</w:t>
      </w:r>
      <w:bookmarkStart w:id="1" w:name="HUMANSOFTdatumHUN"/>
      <w:bookmarkEnd w:id="1"/>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77777777" w:rsidR="00460C0D" w:rsidRPr="004101DA" w:rsidRDefault="00460C0D" w:rsidP="00460C0D">
      <w:pPr>
        <w:pStyle w:val="Default"/>
        <w:spacing w:after="120"/>
        <w:jc w:val="both"/>
        <w:rPr>
          <w:color w:val="auto"/>
        </w:rPr>
      </w:pPr>
      <w:r w:rsidRPr="004101DA">
        <w:rPr>
          <w:color w:val="auto"/>
        </w:rPr>
        <w:t>„A tőkemegfelelés belső értékelési folyamata (ICAAP), a likviditás megfelelőségének belső értékelési folyamata (</w:t>
      </w:r>
      <w:proofErr w:type="spellStart"/>
      <w:r w:rsidRPr="004101DA">
        <w:rPr>
          <w:color w:val="auto"/>
        </w:rPr>
        <w:t>ILAAP</w:t>
      </w:r>
      <w:proofErr w:type="spellEnd"/>
      <w:r w:rsidRPr="004101DA">
        <w:rPr>
          <w:color w:val="auto"/>
        </w:rPr>
        <w:t>) és felügyeleti felülvizsgálatuk</w:t>
      </w:r>
      <w:r w:rsidR="00BC2804" w:rsidRPr="004101DA">
        <w:rPr>
          <w:color w:val="auto"/>
        </w:rPr>
        <w:t>, valamint az üzleti modell elemzés (</w:t>
      </w:r>
      <w:proofErr w:type="spellStart"/>
      <w:r w:rsidR="00BC2804" w:rsidRPr="004101DA">
        <w:rPr>
          <w:color w:val="auto"/>
        </w:rPr>
        <w:t>BMA</w:t>
      </w:r>
      <w:proofErr w:type="spellEnd"/>
      <w:r w:rsidR="00BC2804" w:rsidRPr="004101DA">
        <w:rPr>
          <w:color w:val="auto"/>
        </w:rPr>
        <w:t>)</w:t>
      </w:r>
      <w:r w:rsidRPr="004101DA">
        <w:rPr>
          <w:color w:val="auto"/>
        </w:rPr>
        <w:t xml:space="preserve">” című </w:t>
      </w:r>
      <w:r w:rsidR="005607F8" w:rsidRPr="004101DA">
        <w:rPr>
          <w:color w:val="auto"/>
        </w:rPr>
        <w:t>módszertani kézikönyv</w:t>
      </w:r>
      <w:r w:rsidRPr="004101DA">
        <w:rPr>
          <w:color w:val="auto"/>
        </w:rPr>
        <w:t xml:space="preserve"> </w:t>
      </w:r>
      <w:r w:rsidR="004B2A0C" w:rsidRPr="004101DA">
        <w:rPr>
          <w:color w:val="auto"/>
        </w:rPr>
        <w:t xml:space="preserve">(a továbbiakban: </w:t>
      </w:r>
      <w:proofErr w:type="spellStart"/>
      <w:r w:rsidR="004B2A0C" w:rsidRPr="004101DA">
        <w:rPr>
          <w:color w:val="auto"/>
        </w:rPr>
        <w:t>ICAAP</w:t>
      </w:r>
      <w:proofErr w:type="spellEnd"/>
      <w:r w:rsidR="004B2A0C" w:rsidRPr="004101DA">
        <w:rPr>
          <w:color w:val="auto"/>
        </w:rPr>
        <w:t xml:space="preserve">, </w:t>
      </w:r>
      <w:proofErr w:type="spellStart"/>
      <w:r w:rsidR="004B2A0C" w:rsidRPr="004101DA">
        <w:rPr>
          <w:color w:val="auto"/>
        </w:rPr>
        <w:t>ILAAP</w:t>
      </w:r>
      <w:proofErr w:type="spellEnd"/>
      <w:r w:rsidR="004B2A0C" w:rsidRPr="004101DA">
        <w:rPr>
          <w:color w:val="auto"/>
        </w:rPr>
        <w:t xml:space="preserve"> és </w:t>
      </w:r>
      <w:proofErr w:type="spellStart"/>
      <w:r w:rsidR="004B2A0C" w:rsidRPr="004101DA">
        <w:rPr>
          <w:color w:val="auto"/>
        </w:rPr>
        <w:t>BMA</w:t>
      </w:r>
      <w:proofErr w:type="spellEnd"/>
      <w:r w:rsidR="004B2A0C" w:rsidRPr="004101DA">
        <w:rPr>
          <w:color w:val="auto"/>
        </w:rPr>
        <w:t xml:space="preserve"> vizsgálatról szóló </w:t>
      </w:r>
      <w:r w:rsidR="005607F8" w:rsidRPr="004101DA">
        <w:rPr>
          <w:color w:val="auto"/>
        </w:rPr>
        <w:t>kézikönyv</w:t>
      </w:r>
      <w:r w:rsidR="004B2A0C" w:rsidRPr="004101DA">
        <w:rPr>
          <w:color w:val="auto"/>
        </w:rPr>
        <w:t xml:space="preserve">) </w:t>
      </w:r>
      <w:r w:rsidRPr="004101DA">
        <w:rPr>
          <w:color w:val="auto"/>
        </w:rPr>
        <w:t xml:space="preserve">részét képezi a </w:t>
      </w:r>
      <w:r w:rsidR="00100954" w:rsidRPr="004101DA">
        <w:rPr>
          <w:color w:val="auto"/>
        </w:rPr>
        <w:t>4</w:t>
      </w:r>
      <w:r w:rsidRPr="004101DA">
        <w:rPr>
          <w:color w:val="auto"/>
        </w:rPr>
        <w:t>. számú melléklet, amely áttekinti azokat a kockázatvállalásokat, kockázatos portf</w:t>
      </w:r>
      <w:r w:rsidR="00832E6A" w:rsidRPr="004101DA">
        <w:rPr>
          <w:color w:val="auto"/>
        </w:rPr>
        <w:t>ó</w:t>
      </w:r>
      <w:r w:rsidRPr="004101DA">
        <w:rPr>
          <w:color w:val="auto"/>
        </w:rPr>
        <w:t>liókat, amelyek tekintetében az MNB az intézmények belső tőkeszükségletének számításakor többlettőkét vár el, illetve amelyeket fokozott figyelemmel ellenőriz. Az itt közzétett kockázatos portf</w:t>
      </w:r>
      <w:r w:rsidR="00832E6A" w:rsidRPr="004101DA">
        <w:rPr>
          <w:color w:val="auto"/>
        </w:rPr>
        <w:t>ó</w:t>
      </w:r>
      <w:r w:rsidRPr="004101DA">
        <w:rPr>
          <w:color w:val="auto"/>
        </w:rPr>
        <w:t>liókat az MNB évente felülvizsgálja.</w:t>
      </w:r>
    </w:p>
    <w:p w14:paraId="520228B3" w14:textId="77777777" w:rsidR="00460C0D" w:rsidRPr="004101DA" w:rsidRDefault="00460C0D" w:rsidP="00460C0D">
      <w:pPr>
        <w:pStyle w:val="Default"/>
        <w:spacing w:after="120"/>
        <w:jc w:val="both"/>
        <w:rPr>
          <w:color w:val="auto"/>
        </w:rPr>
      </w:pPr>
      <w:r w:rsidRPr="004101DA">
        <w:rPr>
          <w:color w:val="auto"/>
        </w:rPr>
        <w:t xml:space="preserve">A </w:t>
      </w:r>
      <w:proofErr w:type="spellStart"/>
      <w:r w:rsidRPr="004101DA">
        <w:rPr>
          <w:color w:val="auto"/>
        </w:rPr>
        <w:t>CRD</w:t>
      </w:r>
      <w:proofErr w:type="spellEnd"/>
      <w:r w:rsidRPr="004101DA">
        <w:rPr>
          <w:color w:val="auto"/>
        </w:rPr>
        <w:t xml:space="preserve"> IV</w:t>
      </w:r>
      <w:r w:rsidRPr="004101DA">
        <w:rPr>
          <w:rStyle w:val="Lbjegyzet-hivatkozs"/>
          <w:i/>
          <w:color w:val="auto"/>
        </w:rPr>
        <w:footnoteReference w:id="2"/>
      </w:r>
      <w:r w:rsidRPr="004101DA">
        <w:rPr>
          <w:color w:val="auto"/>
        </w:rPr>
        <w:t xml:space="preserve"> 103. cikke</w:t>
      </w:r>
      <w:r w:rsidRPr="004101DA">
        <w:rPr>
          <w:color w:val="auto"/>
          <w:vertAlign w:val="superscript"/>
        </w:rPr>
        <w:footnoteReference w:id="3"/>
      </w:r>
      <w:r w:rsidRPr="004101DA">
        <w:rPr>
          <w:color w:val="auto"/>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4101DA">
        <w:rPr>
          <w:color w:val="auto"/>
        </w:rPr>
        <w:t>ó</w:t>
      </w:r>
      <w:r w:rsidRPr="004101DA">
        <w:rPr>
          <w:color w:val="auto"/>
        </w:rPr>
        <w:t>liók meghatározása.</w:t>
      </w:r>
    </w:p>
    <w:p w14:paraId="37E04248" w14:textId="567B1AAF" w:rsidR="00460C0D" w:rsidRPr="004101DA" w:rsidRDefault="00460C0D" w:rsidP="00460C0D">
      <w:pPr>
        <w:pStyle w:val="Default"/>
        <w:jc w:val="both"/>
        <w:rPr>
          <w:color w:val="auto"/>
        </w:rPr>
      </w:pPr>
      <w:r w:rsidRPr="004101DA">
        <w:rPr>
          <w:color w:val="auto"/>
        </w:rPr>
        <w:t>A Tájékoztató azokat a portf</w:t>
      </w:r>
      <w:r w:rsidR="00832E6A" w:rsidRPr="004101DA">
        <w:rPr>
          <w:color w:val="auto"/>
        </w:rPr>
        <w:t>ó</w:t>
      </w:r>
      <w:r w:rsidRPr="004101DA">
        <w:rPr>
          <w:color w:val="auto"/>
        </w:rPr>
        <w:t>liókat tartalmazza, amelyek az elemzési</w:t>
      </w:r>
      <w:r w:rsidR="00B33E4C" w:rsidRPr="004101DA">
        <w:rPr>
          <w:color w:val="auto"/>
        </w:rPr>
        <w:t>, illetve</w:t>
      </w:r>
      <w:r w:rsidRPr="004101DA">
        <w:rPr>
          <w:color w:val="auto"/>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4101DA">
        <w:rPr>
          <w:color w:val="auto"/>
        </w:rPr>
        <w:t xml:space="preserve">a többlet-tőkekövetelményt </w:t>
      </w:r>
      <w:r w:rsidRPr="004101DA">
        <w:rPr>
          <w:color w:val="auto"/>
        </w:rPr>
        <w:t>a kockázatos portf</w:t>
      </w:r>
      <w:r w:rsidR="00832E6A" w:rsidRPr="004101DA">
        <w:rPr>
          <w:color w:val="auto"/>
        </w:rPr>
        <w:t>ó</w:t>
      </w:r>
      <w:r w:rsidRPr="004101DA">
        <w:rPr>
          <w:color w:val="auto"/>
        </w:rPr>
        <w:t>liókban megjelölt kockázatok, tevékenységek vonatkozásában a fennálló portf</w:t>
      </w:r>
      <w:r w:rsidR="00832E6A" w:rsidRPr="004101DA">
        <w:rPr>
          <w:color w:val="auto"/>
        </w:rPr>
        <w:t>ó</w:t>
      </w:r>
      <w:r w:rsidRPr="004101DA">
        <w:rPr>
          <w:color w:val="auto"/>
        </w:rPr>
        <w:t>lió</w:t>
      </w:r>
      <w:r w:rsidR="008B1619">
        <w:rPr>
          <w:color w:val="auto"/>
        </w:rPr>
        <w:t xml:space="preserve"> 1. pilléres tőkekövetelményére</w:t>
      </w:r>
      <w:r w:rsidRPr="004101DA">
        <w:rPr>
          <w:color w:val="auto"/>
        </w:rPr>
        <w:t xml:space="preserve"> írja elő</w:t>
      </w:r>
      <w:r w:rsidR="00B33E4C" w:rsidRPr="004101DA">
        <w:rPr>
          <w:color w:val="auto"/>
        </w:rPr>
        <w:t xml:space="preserve"> (</w:t>
      </w:r>
      <w:r w:rsidRPr="004101DA">
        <w:rPr>
          <w:color w:val="auto"/>
        </w:rPr>
        <w:t>ettől való eltérés az adott portf</w:t>
      </w:r>
      <w:r w:rsidR="00832E6A" w:rsidRPr="004101DA">
        <w:rPr>
          <w:color w:val="auto"/>
        </w:rPr>
        <w:t>ó</w:t>
      </w:r>
      <w:r w:rsidRPr="004101DA">
        <w:rPr>
          <w:color w:val="auto"/>
        </w:rPr>
        <w:t xml:space="preserve">liónál külön </w:t>
      </w:r>
      <w:r w:rsidR="00B33E4C" w:rsidRPr="004101DA">
        <w:rPr>
          <w:color w:val="auto"/>
        </w:rPr>
        <w:t>meg</w:t>
      </w:r>
      <w:r w:rsidRPr="004101DA">
        <w:rPr>
          <w:color w:val="auto"/>
        </w:rPr>
        <w:t>jel</w:t>
      </w:r>
      <w:r w:rsidR="00B33E4C" w:rsidRPr="004101DA">
        <w:rPr>
          <w:color w:val="auto"/>
        </w:rPr>
        <w:t>ölésre kerül)</w:t>
      </w:r>
      <w:r w:rsidRPr="004101DA">
        <w:rPr>
          <w:color w:val="auto"/>
        </w:rPr>
        <w:t>. Az MNB valamennyi portf</w:t>
      </w:r>
      <w:r w:rsidR="00832E6A" w:rsidRPr="004101DA">
        <w:rPr>
          <w:color w:val="auto"/>
        </w:rPr>
        <w:t>ó</w:t>
      </w:r>
      <w:r w:rsidRPr="004101DA">
        <w:rPr>
          <w:color w:val="auto"/>
        </w:rPr>
        <w:t>lió esetén elvárja, hogy az intézmények mutassák be számára, hogyan kezelik kockázatos portf</w:t>
      </w:r>
      <w:r w:rsidR="00832E6A" w:rsidRPr="004101DA">
        <w:rPr>
          <w:color w:val="auto"/>
        </w:rPr>
        <w:t>ó</w:t>
      </w:r>
      <w:r w:rsidRPr="004101DA">
        <w:rPr>
          <w:color w:val="auto"/>
        </w:rPr>
        <w:t>lióikat az 1., illetve a 2. pillér keretében.</w:t>
      </w:r>
    </w:p>
    <w:p w14:paraId="315B832C" w14:textId="77777777" w:rsidR="00460C0D" w:rsidRPr="004101DA" w:rsidRDefault="00460C0D" w:rsidP="00003494">
      <w:pPr>
        <w:pStyle w:val="Default"/>
        <w:spacing w:before="120"/>
        <w:jc w:val="both"/>
        <w:rPr>
          <w:color w:val="auto"/>
        </w:rPr>
      </w:pPr>
      <w:r w:rsidRPr="004101DA">
        <w:rPr>
          <w:color w:val="auto"/>
        </w:rPr>
        <w:t>A követelmény előírásával az MNB az alábbi fő célokat kívánja elérni:</w:t>
      </w:r>
    </w:p>
    <w:p w14:paraId="1EC3FF9C" w14:textId="77777777" w:rsidR="00460C0D" w:rsidRPr="004101DA" w:rsidRDefault="00460C0D" w:rsidP="00460C0D">
      <w:pPr>
        <w:pStyle w:val="Default"/>
        <w:numPr>
          <w:ilvl w:val="0"/>
          <w:numId w:val="11"/>
        </w:numPr>
        <w:spacing w:before="120" w:after="47"/>
        <w:jc w:val="both"/>
        <w:rPr>
          <w:color w:val="auto"/>
        </w:rPr>
      </w:pPr>
      <w:r w:rsidRPr="004101DA">
        <w:rPr>
          <w:color w:val="auto"/>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4101DA">
        <w:rPr>
          <w:color w:val="auto"/>
        </w:rPr>
        <w:t>.</w:t>
      </w:r>
    </w:p>
    <w:p w14:paraId="6031C83B" w14:textId="77777777" w:rsidR="00BC2804" w:rsidRPr="004101DA" w:rsidRDefault="00460C0D" w:rsidP="00B33E4C">
      <w:pPr>
        <w:pStyle w:val="Default"/>
        <w:numPr>
          <w:ilvl w:val="0"/>
          <w:numId w:val="11"/>
        </w:numPr>
        <w:spacing w:after="120"/>
        <w:ind w:left="714" w:hanging="357"/>
        <w:jc w:val="both"/>
        <w:rPr>
          <w:color w:val="auto"/>
        </w:rPr>
      </w:pPr>
      <w:r w:rsidRPr="004101DA">
        <w:rPr>
          <w:color w:val="auto"/>
        </w:rPr>
        <w:t xml:space="preserve">Más kockázatok (termék, tevékenység, gyakorlat) esetében felügyeleti cél a piac védelme a kockázat </w:t>
      </w:r>
      <w:proofErr w:type="spellStart"/>
      <w:r w:rsidRPr="004101DA">
        <w:rPr>
          <w:color w:val="auto"/>
        </w:rPr>
        <w:t>kontrollálatlan</w:t>
      </w:r>
      <w:proofErr w:type="spellEnd"/>
      <w:r w:rsidRPr="004101DA">
        <w:rPr>
          <w:color w:val="auto"/>
        </w:rPr>
        <w:t xml:space="preserve"> terjedésétől. Ebben az esetben az MNB a kockázatot olyan jelentős mértékűnek találja, amely komoly veszélyeket hordoz az adott intézmény, az intézmény ügyfelei, és több intézmény egyidejű kockázatvállalása esetén </w:t>
      </w:r>
      <w:r w:rsidR="003A6C6C" w:rsidRPr="004101DA">
        <w:rPr>
          <w:color w:val="auto"/>
        </w:rPr>
        <w:t>az egész piac tekintetében.</w:t>
      </w:r>
    </w:p>
    <w:p w14:paraId="70DB60FD" w14:textId="44B70EBC" w:rsidR="00BC2804" w:rsidRPr="004101DA" w:rsidRDefault="00BC2804" w:rsidP="00680903">
      <w:pPr>
        <w:pStyle w:val="Default"/>
        <w:spacing w:after="120"/>
        <w:jc w:val="both"/>
        <w:rPr>
          <w:color w:val="auto"/>
        </w:rPr>
      </w:pPr>
      <w:r w:rsidRPr="004101DA">
        <w:rPr>
          <w:color w:val="auto"/>
        </w:rPr>
        <w:t>A</w:t>
      </w:r>
      <w:r w:rsidR="00054C45" w:rsidRPr="004101DA">
        <w:rPr>
          <w:color w:val="auto"/>
        </w:rPr>
        <w:t xml:space="preserve"> </w:t>
      </w:r>
      <w:r w:rsidRPr="004101DA">
        <w:rPr>
          <w:color w:val="auto"/>
        </w:rPr>
        <w:t>tőkekövetelmény mértéke függ az intézmény kockázatkezelésén</w:t>
      </w:r>
      <w:r w:rsidR="005A2DE1" w:rsidRPr="004101DA">
        <w:rPr>
          <w:color w:val="auto"/>
        </w:rPr>
        <w:t>ek színvonalától és az alkalmaz</w:t>
      </w:r>
      <w:r w:rsidRPr="004101DA">
        <w:rPr>
          <w:color w:val="auto"/>
        </w:rPr>
        <w:t xml:space="preserve">ott </w:t>
      </w:r>
      <w:r w:rsidR="005A2DE1" w:rsidRPr="004101DA">
        <w:rPr>
          <w:color w:val="auto"/>
        </w:rPr>
        <w:t>módszertan</w:t>
      </w:r>
      <w:r w:rsidR="00097A5B" w:rsidRPr="004101DA">
        <w:rPr>
          <w:color w:val="auto"/>
        </w:rPr>
        <w:t>ának</w:t>
      </w:r>
      <w:r w:rsidR="005A2DE1" w:rsidRPr="004101DA">
        <w:rPr>
          <w:color w:val="auto"/>
        </w:rPr>
        <w:t xml:space="preserve"> fejlettségétől. Ennek megfelelően </w:t>
      </w:r>
      <w:r w:rsidR="00054C45" w:rsidRPr="004101DA">
        <w:rPr>
          <w:color w:val="auto"/>
        </w:rPr>
        <w:t xml:space="preserve">az MNB </w:t>
      </w:r>
      <w:proofErr w:type="spellStart"/>
      <w:r w:rsidR="00054C45" w:rsidRPr="004101DA">
        <w:rPr>
          <w:color w:val="auto"/>
        </w:rPr>
        <w:t>esetenként</w:t>
      </w:r>
      <w:proofErr w:type="spellEnd"/>
      <w:r w:rsidR="00054C45" w:rsidRPr="004101DA">
        <w:rPr>
          <w:color w:val="auto"/>
        </w:rPr>
        <w:t xml:space="preserve"> eltérő tőkeszámítási m</w:t>
      </w:r>
      <w:r w:rsidR="00BD22A4" w:rsidRPr="004101DA">
        <w:rPr>
          <w:color w:val="auto"/>
        </w:rPr>
        <w:t xml:space="preserve">ódszertan alkalmazását írja elő </w:t>
      </w:r>
      <w:proofErr w:type="spellStart"/>
      <w:r w:rsidR="00BD22A4" w:rsidRPr="004101DA">
        <w:rPr>
          <w:color w:val="auto"/>
        </w:rPr>
        <w:t>akomplex</w:t>
      </w:r>
      <w:proofErr w:type="spellEnd"/>
      <w:r w:rsidR="00BD22A4" w:rsidRPr="004101DA">
        <w:rPr>
          <w:color w:val="auto"/>
        </w:rPr>
        <w:t xml:space="preserve"> </w:t>
      </w:r>
      <w:proofErr w:type="spellStart"/>
      <w:r w:rsidR="00BD22A4" w:rsidRPr="004101DA">
        <w:rPr>
          <w:color w:val="auto"/>
        </w:rPr>
        <w:t>SREP</w:t>
      </w:r>
      <w:proofErr w:type="spellEnd"/>
      <w:r w:rsidR="00BD22A4" w:rsidRPr="004101DA">
        <w:rPr>
          <w:color w:val="auto"/>
        </w:rPr>
        <w:t xml:space="preserve"> alá tartozó</w:t>
      </w:r>
      <w:r w:rsidR="00E92C19" w:rsidRPr="004101DA">
        <w:rPr>
          <w:color w:val="auto"/>
        </w:rPr>
        <w:t xml:space="preserve"> és/vagy fejlett </w:t>
      </w:r>
      <w:r w:rsidR="00E92C19" w:rsidRPr="004101DA">
        <w:rPr>
          <w:color w:val="auto"/>
        </w:rPr>
        <w:lastRenderedPageBreak/>
        <w:t>mérési módszert alkalmazó</w:t>
      </w:r>
      <w:r w:rsidR="00BD22A4" w:rsidRPr="004101DA">
        <w:rPr>
          <w:color w:val="auto"/>
        </w:rPr>
        <w:t xml:space="preserve"> intézményekre</w:t>
      </w:r>
      <w:r w:rsidR="00C56A59" w:rsidRPr="004101DA">
        <w:rPr>
          <w:color w:val="auto"/>
        </w:rPr>
        <w:t>, valamint</w:t>
      </w:r>
      <w:r w:rsidR="00BD22A4" w:rsidRPr="004101DA">
        <w:rPr>
          <w:color w:val="auto"/>
        </w:rPr>
        <w:t xml:space="preserve"> a sztenderd és egyszerűsített </w:t>
      </w:r>
      <w:r w:rsidR="00BD22A4" w:rsidRPr="004101DA">
        <w:rPr>
          <w:bCs/>
          <w:color w:val="auto"/>
        </w:rPr>
        <w:t xml:space="preserve">felügyeleti felülvizsgálat </w:t>
      </w:r>
      <w:r w:rsidR="00BD22A4" w:rsidRPr="004101DA">
        <w:rPr>
          <w:color w:val="auto"/>
        </w:rPr>
        <w:t xml:space="preserve">alá tartozó </w:t>
      </w:r>
      <w:r w:rsidR="00E92C19" w:rsidRPr="004101DA">
        <w:rPr>
          <w:color w:val="auto"/>
        </w:rPr>
        <w:t xml:space="preserve">és sztenderd módszertant alkalmazó </w:t>
      </w:r>
      <w:r w:rsidR="00BD22A4" w:rsidRPr="004101DA">
        <w:rPr>
          <w:color w:val="auto"/>
        </w:rPr>
        <w:t xml:space="preserve">intézményekre vonatkozóan. </w:t>
      </w:r>
    </w:p>
    <w:p w14:paraId="2B24B6C8" w14:textId="77777777" w:rsidR="00460C0D" w:rsidRPr="004101DA" w:rsidRDefault="00460C0D" w:rsidP="00460C0D">
      <w:pPr>
        <w:pStyle w:val="Default"/>
        <w:jc w:val="both"/>
        <w:rPr>
          <w:color w:val="auto"/>
        </w:rPr>
      </w:pPr>
      <w:r w:rsidRPr="004101DA">
        <w:rPr>
          <w:bCs/>
          <w:color w:val="auto"/>
        </w:rPr>
        <w:t>Amennyiben a vizsgált intézmény kellően alátámasztja az általa használt modell vagy a kialakított gyakorlat megfelelőségét, az MNB eltérhet a</w:t>
      </w:r>
      <w:r w:rsidR="005607F8" w:rsidRPr="004101DA">
        <w:rPr>
          <w:bCs/>
          <w:color w:val="auto"/>
        </w:rPr>
        <w:t xml:space="preserve"> T</w:t>
      </w:r>
      <w:r w:rsidR="00054C45" w:rsidRPr="004101DA">
        <w:rPr>
          <w:bCs/>
          <w:color w:val="auto"/>
        </w:rPr>
        <w:t>ájékoztatóban</w:t>
      </w:r>
      <w:r w:rsidRPr="004101DA">
        <w:rPr>
          <w:bCs/>
          <w:color w:val="auto"/>
        </w:rPr>
        <w:t xml:space="preserve"> foglaltaktól a kockázatos portf</w:t>
      </w:r>
      <w:r w:rsidR="00832E6A" w:rsidRPr="004101DA">
        <w:rPr>
          <w:bCs/>
          <w:color w:val="auto"/>
        </w:rPr>
        <w:t>ó</w:t>
      </w:r>
      <w:r w:rsidRPr="004101DA">
        <w:rPr>
          <w:bCs/>
          <w:color w:val="auto"/>
        </w:rPr>
        <w:t>liók vonatkozásában.</w:t>
      </w:r>
    </w:p>
    <w:p w14:paraId="3A84EDA6" w14:textId="77777777" w:rsidR="00460C0D" w:rsidRPr="004101DA" w:rsidRDefault="00460C0D" w:rsidP="00003494">
      <w:pPr>
        <w:pStyle w:val="Default"/>
        <w:spacing w:before="120"/>
        <w:jc w:val="both"/>
        <w:rPr>
          <w:color w:val="auto"/>
        </w:rPr>
      </w:pPr>
      <w:r w:rsidRPr="004101DA">
        <w:rPr>
          <w:color w:val="auto"/>
        </w:rPr>
        <w:t>Az MNB a versenysemlegesség és az egyenlő elbírálás elvét alkalmazva, az elvárásokat továbbra is a közérdek (</w:t>
      </w:r>
      <w:proofErr w:type="spellStart"/>
      <w:r w:rsidRPr="004101DA">
        <w:rPr>
          <w:color w:val="auto"/>
        </w:rPr>
        <w:t>general</w:t>
      </w:r>
      <w:proofErr w:type="spellEnd"/>
      <w:r w:rsidRPr="004101DA">
        <w:rPr>
          <w:color w:val="auto"/>
        </w:rPr>
        <w:t xml:space="preserve"> </w:t>
      </w:r>
      <w:proofErr w:type="spellStart"/>
      <w:r w:rsidRPr="004101DA">
        <w:rPr>
          <w:color w:val="auto"/>
        </w:rPr>
        <w:t>good</w:t>
      </w:r>
      <w:proofErr w:type="spellEnd"/>
      <w:r w:rsidRPr="004101DA">
        <w:rPr>
          <w:color w:val="auto"/>
        </w:rPr>
        <w:t>)</w:t>
      </w:r>
      <w:r w:rsidRPr="004101DA">
        <w:rPr>
          <w:rStyle w:val="Lbjegyzet-hivatkozs"/>
          <w:color w:val="auto"/>
        </w:rPr>
        <w:footnoteReference w:id="4"/>
      </w:r>
      <w:r w:rsidRPr="004101DA">
        <w:rPr>
          <w:color w:val="auto"/>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189DCEBA" w14:textId="18D0D4B4" w:rsidR="002541B4" w:rsidRPr="004101DA" w:rsidRDefault="002541B4" w:rsidP="00003494">
      <w:pPr>
        <w:pStyle w:val="Default"/>
        <w:spacing w:before="120"/>
        <w:jc w:val="both"/>
        <w:rPr>
          <w:color w:val="auto"/>
        </w:rPr>
      </w:pPr>
      <w:r w:rsidRPr="004101DA">
        <w:rPr>
          <w:color w:val="auto"/>
        </w:rPr>
        <w:t>A kockázatos portf</w:t>
      </w:r>
      <w:r w:rsidR="00832E6A" w:rsidRPr="004101DA">
        <w:rPr>
          <w:color w:val="auto"/>
        </w:rPr>
        <w:t>ó</w:t>
      </w:r>
      <w:r w:rsidRPr="004101DA">
        <w:rPr>
          <w:color w:val="auto"/>
        </w:rPr>
        <w:t xml:space="preserve">liókra képzett többlettőkét az MNB az éves </w:t>
      </w:r>
      <w:r w:rsidR="00054C45" w:rsidRPr="004101DA">
        <w:rPr>
          <w:color w:val="auto"/>
        </w:rPr>
        <w:t xml:space="preserve">ICAAP </w:t>
      </w:r>
      <w:r w:rsidRPr="004101DA">
        <w:rPr>
          <w:color w:val="auto"/>
        </w:rPr>
        <w:t>felülvizsgálat során ellenőrzi a honlapon található „Adatbekérés a kockázatos portf</w:t>
      </w:r>
      <w:r w:rsidR="00832E6A" w:rsidRPr="004101DA">
        <w:rPr>
          <w:color w:val="auto"/>
        </w:rPr>
        <w:t>ó</w:t>
      </w:r>
      <w:r w:rsidRPr="004101DA">
        <w:rPr>
          <w:color w:val="auto"/>
        </w:rPr>
        <w:t xml:space="preserve">liók ellenőrzéséhez” </w:t>
      </w:r>
      <w:r w:rsidR="003E06E0" w:rsidRPr="004101DA">
        <w:rPr>
          <w:color w:val="auto"/>
        </w:rPr>
        <w:t xml:space="preserve">elnevezésű </w:t>
      </w:r>
      <w:r w:rsidRPr="004101DA">
        <w:rPr>
          <w:color w:val="auto"/>
        </w:rPr>
        <w:t xml:space="preserve">adatbekérő segítségével. Az adatbekérőt a vizsgálat által megadott vizsgált időpontra a vizsgálat </w:t>
      </w:r>
      <w:r w:rsidR="006101E4" w:rsidRPr="004101DA">
        <w:rPr>
          <w:color w:val="auto"/>
        </w:rPr>
        <w:t xml:space="preserve">szintjének </w:t>
      </w:r>
      <w:r w:rsidRPr="004101DA">
        <w:rPr>
          <w:color w:val="auto"/>
        </w:rPr>
        <w:t>(egyedi/konszolidált)</w:t>
      </w:r>
      <w:r w:rsidR="006101E4" w:rsidRPr="004101DA">
        <w:rPr>
          <w:color w:val="auto"/>
        </w:rPr>
        <w:t>,</w:t>
      </w:r>
      <w:r w:rsidRPr="004101DA">
        <w:rPr>
          <w:color w:val="auto"/>
        </w:rPr>
        <w:t xml:space="preserve"> illetve az alkalmazott számviteli sztenderdnek (IFRS) megfelelően kell kitölteni.</w:t>
      </w:r>
      <w:r w:rsidR="006101E4" w:rsidRPr="004101DA">
        <w:rPr>
          <w:color w:val="auto"/>
        </w:rPr>
        <w:t xml:space="preserve"> Konszolidált szintű ICAAP felülvizsgálat esetén a külföldi leányvállalatok portfóliói esetén – amennyiben ezt a helyi sajátosságok indokolják – el lehet térni a Tájékoztatóban leírtaktól.</w:t>
      </w:r>
      <w:r w:rsidRPr="004101DA">
        <w:rPr>
          <w:color w:val="auto"/>
        </w:rPr>
        <w:t xml:space="preserve"> Azokat a kitettségeket, amelyek több szempontból is kockázatosnak minősülnek, valamennyi érintett portf</w:t>
      </w:r>
      <w:r w:rsidR="00832E6A" w:rsidRPr="004101DA">
        <w:rPr>
          <w:color w:val="auto"/>
        </w:rPr>
        <w:t>ó</w:t>
      </w:r>
      <w:r w:rsidRPr="004101DA">
        <w:rPr>
          <w:color w:val="auto"/>
        </w:rPr>
        <w:t>lióban szerepeltetni kell</w:t>
      </w:r>
      <w:r w:rsidR="0064222C" w:rsidRPr="004101DA">
        <w:rPr>
          <w:color w:val="auto"/>
        </w:rPr>
        <w:t xml:space="preserve"> és az adott portf</w:t>
      </w:r>
      <w:r w:rsidR="00832E6A" w:rsidRPr="004101DA">
        <w:rPr>
          <w:color w:val="auto"/>
        </w:rPr>
        <w:t>ó</w:t>
      </w:r>
      <w:r w:rsidR="0064222C" w:rsidRPr="004101DA">
        <w:rPr>
          <w:color w:val="auto"/>
        </w:rPr>
        <w:t xml:space="preserve">lióra vonatkozó előírások szerint, </w:t>
      </w:r>
      <w:proofErr w:type="spellStart"/>
      <w:r w:rsidR="0064222C" w:rsidRPr="004101DA">
        <w:rPr>
          <w:color w:val="auto"/>
        </w:rPr>
        <w:t>kockázatonként</w:t>
      </w:r>
      <w:proofErr w:type="spellEnd"/>
      <w:r w:rsidR="0064222C" w:rsidRPr="004101DA">
        <w:rPr>
          <w:color w:val="auto"/>
        </w:rPr>
        <w:t xml:space="preserve"> külön meg kell képezni rá a többlettőkét</w:t>
      </w:r>
      <w:r w:rsidRPr="004101DA">
        <w:rPr>
          <w:color w:val="auto"/>
        </w:rPr>
        <w:t xml:space="preserve">. </w:t>
      </w:r>
      <w:r w:rsidR="005607F8" w:rsidRPr="004101DA">
        <w:rPr>
          <w:color w:val="auto"/>
        </w:rPr>
        <w:t xml:space="preserve">Ezen Tájékoztató </w:t>
      </w:r>
      <w:r w:rsidR="00363DB3" w:rsidRPr="004101DA">
        <w:rPr>
          <w:color w:val="auto"/>
        </w:rPr>
        <w:t>által használt</w:t>
      </w:r>
      <w:r w:rsidRPr="004101DA">
        <w:rPr>
          <w:color w:val="auto"/>
        </w:rPr>
        <w:t xml:space="preserve"> fogalmakat (pl.</w:t>
      </w:r>
      <w:r w:rsidR="005607F8" w:rsidRPr="004101DA">
        <w:rPr>
          <w:color w:val="auto"/>
        </w:rPr>
        <w:t>:</w:t>
      </w:r>
      <w:r w:rsidRPr="004101DA">
        <w:rPr>
          <w:color w:val="auto"/>
        </w:rPr>
        <w:t xml:space="preserve"> </w:t>
      </w:r>
      <w:r w:rsidR="003F7924" w:rsidRPr="004101DA">
        <w:rPr>
          <w:color w:val="auto"/>
        </w:rPr>
        <w:t>nemteljesítés</w:t>
      </w:r>
      <w:r w:rsidR="006101E4" w:rsidRPr="004101DA">
        <w:rPr>
          <w:color w:val="auto"/>
        </w:rPr>
        <w:t xml:space="preserve">, </w:t>
      </w:r>
      <w:r w:rsidRPr="004101DA">
        <w:rPr>
          <w:color w:val="auto"/>
        </w:rPr>
        <w:t>lakossági kitettség) az 575/2013/EU rendeletben (CRR) meghatározottak szerint kell alkalmazni.</w:t>
      </w:r>
    </w:p>
    <w:p w14:paraId="79106BBE" w14:textId="77777777" w:rsidR="00460C0D" w:rsidRPr="004101DA" w:rsidRDefault="00460C0D" w:rsidP="00003494">
      <w:pPr>
        <w:pStyle w:val="Default"/>
        <w:spacing w:before="120"/>
        <w:jc w:val="both"/>
        <w:rPr>
          <w:b/>
          <w:bCs/>
          <w:i/>
          <w:iCs/>
          <w:color w:val="auto"/>
        </w:rPr>
      </w:pPr>
      <w:r w:rsidRPr="004101DA">
        <w:rPr>
          <w:b/>
          <w:bCs/>
          <w:i/>
          <w:iCs/>
          <w:color w:val="auto"/>
        </w:rPr>
        <w:t xml:space="preserve">Az MNB által kiemelten kezelt kockázatok, amelyek a </w:t>
      </w:r>
      <w:proofErr w:type="spellStart"/>
      <w:r w:rsidRPr="004101DA">
        <w:rPr>
          <w:b/>
          <w:bCs/>
          <w:i/>
          <w:iCs/>
          <w:color w:val="auto"/>
        </w:rPr>
        <w:t>CRD</w:t>
      </w:r>
      <w:proofErr w:type="spellEnd"/>
      <w:r w:rsidRPr="004101DA">
        <w:rPr>
          <w:b/>
          <w:bCs/>
          <w:i/>
          <w:iCs/>
          <w:color w:val="auto"/>
        </w:rPr>
        <w:t>/</w:t>
      </w:r>
      <w:proofErr w:type="spellStart"/>
      <w:r w:rsidRPr="004101DA">
        <w:rPr>
          <w:b/>
          <w:bCs/>
          <w:i/>
          <w:iCs/>
          <w:color w:val="auto"/>
        </w:rPr>
        <w:t>CRR</w:t>
      </w:r>
      <w:proofErr w:type="spellEnd"/>
      <w:r w:rsidRPr="004101DA">
        <w:rPr>
          <w:b/>
          <w:bCs/>
          <w:i/>
          <w:iCs/>
          <w:color w:val="auto"/>
        </w:rPr>
        <w:t xml:space="preserve"> hatálya alá tartozó intézményeknél felmerülhetnek</w:t>
      </w:r>
      <w:r w:rsidR="003E06E0" w:rsidRPr="004101DA">
        <w:rPr>
          <w:b/>
          <w:bCs/>
          <w:i/>
          <w:iCs/>
          <w:color w:val="auto"/>
        </w:rPr>
        <w:t>:</w:t>
      </w:r>
    </w:p>
    <w:p w14:paraId="06023E61" w14:textId="66ADD39A" w:rsidR="00460C0D" w:rsidRPr="004101DA" w:rsidRDefault="00460C0D" w:rsidP="00003494">
      <w:pPr>
        <w:pStyle w:val="Default"/>
        <w:spacing w:before="120" w:after="47"/>
        <w:jc w:val="both"/>
        <w:rPr>
          <w:color w:val="auto"/>
        </w:rPr>
      </w:pPr>
    </w:p>
    <w:p w14:paraId="1F1FC75D" w14:textId="77777777" w:rsidR="00460C0D" w:rsidRPr="004101DA" w:rsidRDefault="00460C0D" w:rsidP="00003494">
      <w:pPr>
        <w:pStyle w:val="Default"/>
        <w:spacing w:before="120"/>
        <w:jc w:val="both"/>
        <w:rPr>
          <w:b/>
          <w:bCs/>
          <w:color w:val="auto"/>
        </w:rPr>
      </w:pPr>
      <w:r w:rsidRPr="004101DA">
        <w:rPr>
          <w:b/>
          <w:bCs/>
          <w:color w:val="auto"/>
        </w:rPr>
        <w:t xml:space="preserve">1. A </w:t>
      </w:r>
      <w:r w:rsidR="00331938" w:rsidRPr="004101DA">
        <w:rPr>
          <w:b/>
          <w:bCs/>
          <w:color w:val="auto"/>
        </w:rPr>
        <w:t>nemteljesítő</w:t>
      </w:r>
      <w:r w:rsidRPr="004101DA">
        <w:rPr>
          <w:b/>
          <w:bCs/>
          <w:color w:val="auto"/>
        </w:rPr>
        <w:t xml:space="preserve"> </w:t>
      </w:r>
      <w:r w:rsidR="002541B4" w:rsidRPr="004101DA">
        <w:rPr>
          <w:b/>
          <w:bCs/>
          <w:color w:val="auto"/>
        </w:rPr>
        <w:t>kitettségek</w:t>
      </w:r>
      <w:r w:rsidRPr="004101DA">
        <w:rPr>
          <w:b/>
          <w:bCs/>
          <w:color w:val="auto"/>
        </w:rPr>
        <w:t xml:space="preserve"> várható veszteség</w:t>
      </w:r>
      <w:r w:rsidR="009A58A6">
        <w:rPr>
          <w:b/>
          <w:bCs/>
          <w:color w:val="auto"/>
        </w:rPr>
        <w:t>ének</w:t>
      </w:r>
      <w:r w:rsidRPr="004101DA">
        <w:rPr>
          <w:b/>
          <w:bCs/>
          <w:color w:val="auto"/>
        </w:rPr>
        <w:t xml:space="preserve"> fedezettsége</w:t>
      </w:r>
    </w:p>
    <w:p w14:paraId="212FF023" w14:textId="77777777" w:rsidR="006918DC" w:rsidRPr="004101DA" w:rsidRDefault="00B82E31" w:rsidP="00003494">
      <w:pPr>
        <w:pStyle w:val="Default"/>
        <w:spacing w:before="120"/>
        <w:jc w:val="both"/>
        <w:rPr>
          <w:color w:val="auto"/>
        </w:rPr>
      </w:pPr>
      <w:r w:rsidRPr="004101DA">
        <w:rPr>
          <w:color w:val="auto"/>
        </w:rPr>
        <w:t>A</w:t>
      </w:r>
      <w:r w:rsidR="00460C0D" w:rsidRPr="004101DA">
        <w:rPr>
          <w:color w:val="auto"/>
        </w:rPr>
        <w:t xml:space="preserve">z MNB fontosnak tartja, hogy a </w:t>
      </w:r>
      <w:r w:rsidR="00331938" w:rsidRPr="004101DA">
        <w:rPr>
          <w:bCs/>
          <w:color w:val="auto"/>
        </w:rPr>
        <w:t>nemteljesítő</w:t>
      </w:r>
      <w:r w:rsidR="00460C0D" w:rsidRPr="004101DA">
        <w:rPr>
          <w:color w:val="auto"/>
        </w:rPr>
        <w:t xml:space="preserve"> </w:t>
      </w:r>
      <w:r w:rsidR="002541B4" w:rsidRPr="004101DA">
        <w:rPr>
          <w:color w:val="auto"/>
        </w:rPr>
        <w:t>kitettségek</w:t>
      </w:r>
      <w:r w:rsidR="00460C0D" w:rsidRPr="004101DA">
        <w:rPr>
          <w:color w:val="auto"/>
        </w:rPr>
        <w:t xml:space="preserve">ből várható veszteségek fedezettségét az intézmények a </w:t>
      </w:r>
      <w:proofErr w:type="spellStart"/>
      <w:r w:rsidR="00460C0D" w:rsidRPr="004101DA">
        <w:rPr>
          <w:color w:val="auto"/>
        </w:rPr>
        <w:t>fedezetek</w:t>
      </w:r>
      <w:proofErr w:type="spellEnd"/>
      <w:r w:rsidR="00460C0D" w:rsidRPr="004101DA">
        <w:rPr>
          <w:color w:val="auto"/>
        </w:rPr>
        <w:t xml:space="preserve"> </w:t>
      </w:r>
      <w:proofErr w:type="spellStart"/>
      <w:r w:rsidR="00460C0D" w:rsidRPr="004101DA">
        <w:rPr>
          <w:color w:val="auto"/>
        </w:rPr>
        <w:t>prudens</w:t>
      </w:r>
      <w:proofErr w:type="spellEnd"/>
      <w:r w:rsidR="00460C0D" w:rsidRPr="004101DA">
        <w:rPr>
          <w:color w:val="auto"/>
        </w:rPr>
        <w:t xml:space="preserve"> értékelésével és a szükséges értékvesztés megképzésével biztosítsák.</w:t>
      </w:r>
    </w:p>
    <w:p w14:paraId="471C2EC7" w14:textId="77777777" w:rsidR="00460C0D" w:rsidRPr="004101DA" w:rsidRDefault="00460C0D" w:rsidP="00003494">
      <w:pPr>
        <w:pStyle w:val="Default"/>
        <w:spacing w:before="120" w:after="120"/>
        <w:jc w:val="both"/>
        <w:rPr>
          <w:color w:val="auto"/>
        </w:rPr>
      </w:pPr>
      <w:r w:rsidRPr="004101DA">
        <w:rPr>
          <w:color w:val="auto"/>
        </w:rPr>
        <w:t>Az MNB a kockázatos portf</w:t>
      </w:r>
      <w:r w:rsidR="00832E6A" w:rsidRPr="004101DA">
        <w:rPr>
          <w:color w:val="auto"/>
        </w:rPr>
        <w:t>ó</w:t>
      </w:r>
      <w:r w:rsidRPr="004101DA">
        <w:rPr>
          <w:color w:val="auto"/>
        </w:rPr>
        <w:t>liókra vonatkozó elvárásainak megfogalmazásában a megfelelő mértékű értékvesztés megképzésére helyezi a hangsúlyt, mivel:</w:t>
      </w:r>
    </w:p>
    <w:p w14:paraId="1F3B6DC0" w14:textId="77777777" w:rsidR="00460C0D" w:rsidRPr="004101DA" w:rsidRDefault="00460C0D" w:rsidP="00003494">
      <w:pPr>
        <w:pStyle w:val="Default"/>
        <w:numPr>
          <w:ilvl w:val="0"/>
          <w:numId w:val="12"/>
        </w:numPr>
        <w:spacing w:before="120" w:after="44"/>
        <w:jc w:val="both"/>
        <w:rPr>
          <w:color w:val="auto"/>
        </w:rPr>
      </w:pPr>
      <w:r w:rsidRPr="004101DA">
        <w:rPr>
          <w:color w:val="auto"/>
        </w:rPr>
        <w:t>az intézmények által alkalmazott fedezetértéke</w:t>
      </w:r>
      <w:r w:rsidR="003A6C6C" w:rsidRPr="004101DA">
        <w:rPr>
          <w:color w:val="auto"/>
        </w:rPr>
        <w:t>lés gyakorlata eltérő,</w:t>
      </w:r>
    </w:p>
    <w:p w14:paraId="45EE0FFA" w14:textId="77777777" w:rsidR="00460C0D" w:rsidRPr="004101DA" w:rsidRDefault="00460C0D" w:rsidP="00003494">
      <w:pPr>
        <w:pStyle w:val="Default"/>
        <w:numPr>
          <w:ilvl w:val="0"/>
          <w:numId w:val="12"/>
        </w:numPr>
        <w:spacing w:before="120"/>
        <w:jc w:val="both"/>
        <w:rPr>
          <w:color w:val="auto"/>
        </w:rPr>
      </w:pPr>
      <w:r w:rsidRPr="004101DA">
        <w:rPr>
          <w:color w:val="auto"/>
        </w:rPr>
        <w:t xml:space="preserve">a piacok alacsony likviditása </w:t>
      </w:r>
      <w:proofErr w:type="spellStart"/>
      <w:r w:rsidR="006918DC" w:rsidRPr="004101DA">
        <w:rPr>
          <w:color w:val="auto"/>
        </w:rPr>
        <w:t>esetenként</w:t>
      </w:r>
      <w:proofErr w:type="spellEnd"/>
      <w:r w:rsidR="006918DC" w:rsidRPr="004101DA">
        <w:rPr>
          <w:color w:val="auto"/>
        </w:rPr>
        <w:t xml:space="preserve"> </w:t>
      </w:r>
      <w:r w:rsidRPr="004101DA">
        <w:rPr>
          <w:color w:val="auto"/>
        </w:rPr>
        <w:t xml:space="preserve">korlátja az alkalmazott </w:t>
      </w:r>
      <w:proofErr w:type="spellStart"/>
      <w:r w:rsidRPr="004101DA">
        <w:rPr>
          <w:color w:val="auto"/>
        </w:rPr>
        <w:t>fedezetekből</w:t>
      </w:r>
      <w:proofErr w:type="spellEnd"/>
      <w:r w:rsidRPr="004101DA">
        <w:rPr>
          <w:color w:val="auto"/>
        </w:rPr>
        <w:t xml:space="preserve"> való megtérülésnek.</w:t>
      </w:r>
    </w:p>
    <w:p w14:paraId="58E7D09F" w14:textId="77777777" w:rsidR="00460C0D" w:rsidRPr="004101DA" w:rsidRDefault="00460C0D" w:rsidP="00003494">
      <w:pPr>
        <w:pStyle w:val="Default"/>
        <w:spacing w:before="120"/>
        <w:jc w:val="both"/>
        <w:rPr>
          <w:bCs/>
          <w:color w:val="auto"/>
        </w:rPr>
      </w:pPr>
      <w:r w:rsidRPr="004101DA">
        <w:rPr>
          <w:bCs/>
          <w:color w:val="auto"/>
        </w:rPr>
        <w:t xml:space="preserve">Az MNB a megtérülési tapasztalatok alapján egy átlagos 40%-os veszteség rátát állapít meg a </w:t>
      </w:r>
      <w:r w:rsidR="00D74B36" w:rsidRPr="004101DA">
        <w:rPr>
          <w:bCs/>
          <w:color w:val="auto"/>
        </w:rPr>
        <w:t>lakossági</w:t>
      </w:r>
      <w:r w:rsidR="0064222C" w:rsidRPr="004101DA">
        <w:rPr>
          <w:bCs/>
          <w:color w:val="auto"/>
        </w:rPr>
        <w:t xml:space="preserve"> </w:t>
      </w:r>
      <w:r w:rsidRPr="004101DA">
        <w:rPr>
          <w:bCs/>
          <w:color w:val="auto"/>
        </w:rPr>
        <w:t>fedezett</w:t>
      </w:r>
      <w:r w:rsidR="0064222C" w:rsidRPr="004101DA">
        <w:rPr>
          <w:bCs/>
          <w:color w:val="auto"/>
        </w:rPr>
        <w:t>, valamint a vállalati</w:t>
      </w:r>
      <w:r w:rsidRPr="004101DA">
        <w:rPr>
          <w:bCs/>
          <w:color w:val="auto"/>
        </w:rPr>
        <w:t xml:space="preserve"> </w:t>
      </w:r>
      <w:r w:rsidR="003E06E0" w:rsidRPr="004101DA">
        <w:rPr>
          <w:bCs/>
          <w:color w:val="auto"/>
        </w:rPr>
        <w:t xml:space="preserve">és egyéb </w:t>
      </w:r>
      <w:r w:rsidRPr="004101DA">
        <w:rPr>
          <w:bCs/>
          <w:color w:val="auto"/>
        </w:rPr>
        <w:t>hitelportf</w:t>
      </w:r>
      <w:r w:rsidR="00832E6A" w:rsidRPr="004101DA">
        <w:rPr>
          <w:bCs/>
          <w:color w:val="auto"/>
        </w:rPr>
        <w:t>ó</w:t>
      </w:r>
      <w:r w:rsidRPr="004101DA">
        <w:rPr>
          <w:bCs/>
          <w:color w:val="auto"/>
        </w:rPr>
        <w:t xml:space="preserve">liókra, és elvárja, hogy a hitelintézetek a </w:t>
      </w:r>
      <w:r w:rsidR="00214A11" w:rsidRPr="004101DA">
        <w:rPr>
          <w:bCs/>
          <w:color w:val="auto"/>
        </w:rPr>
        <w:t>nemteljesítő kitettségekből</w:t>
      </w:r>
      <w:r w:rsidRPr="004101DA">
        <w:rPr>
          <w:bCs/>
          <w:color w:val="auto"/>
        </w:rPr>
        <w:t xml:space="preserve"> várható vesztségeket legalább 40%-ban értékvesztés megképzésével fedezzék. A megtérülési tapasztalatok a </w:t>
      </w:r>
      <w:r w:rsidR="00D74B36" w:rsidRPr="004101DA">
        <w:rPr>
          <w:bCs/>
          <w:color w:val="auto"/>
        </w:rPr>
        <w:t>lakossági</w:t>
      </w:r>
      <w:r w:rsidR="0064222C" w:rsidRPr="004101DA">
        <w:rPr>
          <w:bCs/>
          <w:color w:val="auto"/>
        </w:rPr>
        <w:t xml:space="preserve"> </w:t>
      </w:r>
      <w:r w:rsidRPr="004101DA">
        <w:rPr>
          <w:bCs/>
          <w:color w:val="auto"/>
        </w:rPr>
        <w:t xml:space="preserve">fedezetlen </w:t>
      </w:r>
      <w:r w:rsidR="002541B4" w:rsidRPr="004101DA">
        <w:rPr>
          <w:bCs/>
          <w:color w:val="auto"/>
        </w:rPr>
        <w:lastRenderedPageBreak/>
        <w:t>kitettségek</w:t>
      </w:r>
      <w:r w:rsidRPr="004101DA">
        <w:rPr>
          <w:bCs/>
          <w:color w:val="auto"/>
        </w:rPr>
        <w:t>nél magasabb, 80% körüli veszteségrátát mutatnak, ezért a fedezetlen állományokra átlagosan minimum 80%-os értékvesztés az elvárt.</w:t>
      </w:r>
    </w:p>
    <w:p w14:paraId="503B45B1" w14:textId="2ED55B9B" w:rsidR="00460C0D" w:rsidRPr="004101DA" w:rsidRDefault="00460C0D" w:rsidP="00003494">
      <w:pPr>
        <w:pStyle w:val="Default"/>
        <w:spacing w:before="120"/>
        <w:jc w:val="both"/>
        <w:rPr>
          <w:color w:val="auto"/>
        </w:rPr>
      </w:pPr>
      <w:r w:rsidRPr="004101DA">
        <w:rPr>
          <w:b/>
          <w:bCs/>
          <w:color w:val="auto"/>
        </w:rPr>
        <w:t xml:space="preserve">Előírt többlettőke nagysága: </w:t>
      </w:r>
      <w:r w:rsidRPr="004101DA">
        <w:rPr>
          <w:color w:val="auto"/>
        </w:rPr>
        <w:t xml:space="preserve">a </w:t>
      </w:r>
      <w:r w:rsidR="00331938" w:rsidRPr="004101DA">
        <w:rPr>
          <w:color w:val="auto"/>
        </w:rPr>
        <w:t>nemteljesítő</w:t>
      </w:r>
      <w:r w:rsidRPr="004101DA">
        <w:rPr>
          <w:color w:val="auto"/>
        </w:rPr>
        <w:t xml:space="preserve"> kitettségek esetén az MNB által elvárt minimális átlagos portf</w:t>
      </w:r>
      <w:r w:rsidR="00832E6A" w:rsidRPr="004101DA">
        <w:rPr>
          <w:color w:val="auto"/>
        </w:rPr>
        <w:t>ó</w:t>
      </w:r>
      <w:r w:rsidRPr="004101DA">
        <w:rPr>
          <w:color w:val="auto"/>
        </w:rPr>
        <w:t>liószintű értékvesztés és az erre a portf</w:t>
      </w:r>
      <w:r w:rsidR="00832E6A" w:rsidRPr="004101DA">
        <w:rPr>
          <w:color w:val="auto"/>
        </w:rPr>
        <w:t>ó</w:t>
      </w:r>
      <w:r w:rsidRPr="004101DA">
        <w:rPr>
          <w:color w:val="auto"/>
        </w:rPr>
        <w:t>lióra az intézmény által megképzett értékvesztés mértéke közti különbség.</w:t>
      </w:r>
    </w:p>
    <w:p w14:paraId="673D1846" w14:textId="77777777" w:rsidR="001A49DE" w:rsidRDefault="001A49DE" w:rsidP="00003494">
      <w:pPr>
        <w:pStyle w:val="Default"/>
        <w:spacing w:before="120"/>
        <w:jc w:val="both"/>
        <w:rPr>
          <w:b/>
          <w:bCs/>
          <w:color w:val="auto"/>
        </w:rPr>
      </w:pPr>
    </w:p>
    <w:p w14:paraId="0CED80A7" w14:textId="2B89F9B3" w:rsidR="00460C0D" w:rsidRPr="004101DA" w:rsidRDefault="009A58A6" w:rsidP="00003494">
      <w:pPr>
        <w:pStyle w:val="Default"/>
        <w:spacing w:before="120"/>
        <w:jc w:val="both"/>
        <w:rPr>
          <w:b/>
          <w:bCs/>
          <w:color w:val="auto"/>
        </w:rPr>
      </w:pPr>
      <w:r>
        <w:rPr>
          <w:b/>
          <w:bCs/>
          <w:color w:val="auto"/>
        </w:rPr>
        <w:t>2</w:t>
      </w:r>
      <w:r w:rsidR="00460C0D" w:rsidRPr="004101DA">
        <w:rPr>
          <w:b/>
          <w:bCs/>
          <w:color w:val="auto"/>
        </w:rPr>
        <w:t>. Balloon/bullet ügyletek</w:t>
      </w:r>
    </w:p>
    <w:p w14:paraId="0E6D48FC" w14:textId="77777777" w:rsidR="008649C1" w:rsidRDefault="00460C0D" w:rsidP="00003494">
      <w:pPr>
        <w:pStyle w:val="Default"/>
        <w:spacing w:before="120"/>
        <w:jc w:val="both"/>
        <w:rPr>
          <w:color w:val="auto"/>
        </w:rPr>
      </w:pPr>
      <w:r w:rsidRPr="004101DA">
        <w:rPr>
          <w:color w:val="auto"/>
        </w:rPr>
        <w:t>Az elmúlt időszak tapasztalatai alapján az MNB továbbra is kockázatosnak ítéli azokat az éven túli lejáratú ügyleteket, amelyeknél a futamidő alatt a kamatok és díjak megfizetése történik meg, míg a tőketörlesztés egésze, vagy döntő –</w:t>
      </w:r>
      <w:r w:rsidRPr="004101DA">
        <w:rPr>
          <w:b/>
          <w:bCs/>
          <w:color w:val="auto"/>
        </w:rPr>
        <w:t xml:space="preserve"> </w:t>
      </w:r>
      <w:r w:rsidRPr="004101DA">
        <w:rPr>
          <w:color w:val="auto"/>
        </w:rPr>
        <w:t>60% vagy annál nagyobb arányú – része a futamidő lejáratakor esedékes.</w:t>
      </w:r>
    </w:p>
    <w:p w14:paraId="11959583" w14:textId="77777777" w:rsidR="009E6C9B" w:rsidRPr="008649C1" w:rsidRDefault="008649C1" w:rsidP="00003494">
      <w:pPr>
        <w:pStyle w:val="Default"/>
        <w:spacing w:before="120"/>
        <w:jc w:val="both"/>
      </w:pPr>
      <w:r>
        <w:rPr>
          <w:color w:val="auto"/>
        </w:rPr>
        <w:t xml:space="preserve">Az MNB az </w:t>
      </w:r>
      <w:proofErr w:type="spellStart"/>
      <w:r w:rsidR="009E6C9B" w:rsidRPr="009E6C9B">
        <w:t>NHP</w:t>
      </w:r>
      <w:proofErr w:type="spellEnd"/>
      <w:r w:rsidR="009E6C9B" w:rsidRPr="009E6C9B">
        <w:t xml:space="preserve">/PHP konstrukció </w:t>
      </w:r>
      <w:r>
        <w:t>keretében nyújtott balloon/bullet j</w:t>
      </w:r>
      <w:r w:rsidR="009E6C9B">
        <w:t xml:space="preserve">ellegű ügyletek esetében sem biztosít felmentést a tőkekövetelmény-többlet képzése alól, ugyanis meglátása </w:t>
      </w:r>
      <w:r>
        <w:t>szerint</w:t>
      </w:r>
      <w:r w:rsidR="009E6C9B">
        <w:t xml:space="preserve"> a konstrukció </w:t>
      </w:r>
      <w:r w:rsidR="009E6C9B" w:rsidRPr="009E6C9B">
        <w:t>önmagában nem biztosít</w:t>
      </w:r>
      <w:r w:rsidR="009E6C9B">
        <w:t>ja a</w:t>
      </w:r>
      <w:r>
        <w:t xml:space="preserve"> balloon/bullet jellegből fakadó kockázat</w:t>
      </w:r>
      <w:r w:rsidR="009E6C9B">
        <w:t xml:space="preserve"> csökken</w:t>
      </w:r>
      <w:r>
        <w:t>t</w:t>
      </w:r>
      <w:r w:rsidR="009E6C9B">
        <w:t>ését</w:t>
      </w:r>
      <w:r w:rsidR="009E6C9B" w:rsidRPr="009E6C9B">
        <w:t>.</w:t>
      </w:r>
    </w:p>
    <w:p w14:paraId="32956B47" w14:textId="1E7CB7E9" w:rsidR="008649C1" w:rsidRDefault="00460C0D" w:rsidP="00003494">
      <w:pPr>
        <w:pStyle w:val="Default"/>
        <w:spacing w:before="120"/>
        <w:jc w:val="both"/>
        <w:rPr>
          <w:color w:val="auto"/>
        </w:rPr>
      </w:pPr>
      <w:r w:rsidRPr="004101DA">
        <w:rPr>
          <w:b/>
          <w:bCs/>
          <w:color w:val="auto"/>
        </w:rPr>
        <w:t xml:space="preserve">Előírt többlettőke </w:t>
      </w:r>
      <w:proofErr w:type="gramStart"/>
      <w:r w:rsidRPr="004101DA">
        <w:rPr>
          <w:b/>
          <w:bCs/>
          <w:color w:val="auto"/>
        </w:rPr>
        <w:t>nagysága:</w:t>
      </w:r>
      <w:r w:rsidRPr="004101DA">
        <w:rPr>
          <w:color w:val="auto"/>
        </w:rPr>
        <w:t>.</w:t>
      </w:r>
      <w:proofErr w:type="gramEnd"/>
      <w:r w:rsidRPr="004101DA">
        <w:rPr>
          <w:color w:val="auto"/>
        </w:rPr>
        <w:t xml:space="preserve"> </w:t>
      </w:r>
      <w:r w:rsidR="00BB04A2" w:rsidRPr="004101DA">
        <w:rPr>
          <w:color w:val="auto"/>
        </w:rPr>
        <w:t>A</w:t>
      </w:r>
      <w:r w:rsidRPr="004101DA">
        <w:rPr>
          <w:color w:val="auto"/>
        </w:rPr>
        <w:t>z érintett</w:t>
      </w:r>
      <w:r w:rsidR="00351C3E" w:rsidRPr="004101DA">
        <w:rPr>
          <w:color w:val="auto"/>
        </w:rPr>
        <w:t xml:space="preserve"> teljesítő</w:t>
      </w:r>
      <w:r w:rsidRPr="004101DA">
        <w:rPr>
          <w:color w:val="auto"/>
        </w:rPr>
        <w:t xml:space="preserve"> portf</w:t>
      </w:r>
      <w:r w:rsidR="00832E6A" w:rsidRPr="004101DA">
        <w:rPr>
          <w:color w:val="auto"/>
        </w:rPr>
        <w:t>ó</w:t>
      </w:r>
      <w:r w:rsidRPr="004101DA">
        <w:rPr>
          <w:color w:val="auto"/>
        </w:rPr>
        <w:t xml:space="preserve">lió 1. pillér alatti tőkeszükségletének </w:t>
      </w:r>
      <w:r w:rsidR="00351C3E" w:rsidRPr="004101DA">
        <w:rPr>
          <w:color w:val="auto"/>
        </w:rPr>
        <w:t>50</w:t>
      </w:r>
      <w:r w:rsidRPr="004101DA">
        <w:rPr>
          <w:color w:val="auto"/>
        </w:rPr>
        <w:t>%-a az előír</w:t>
      </w:r>
      <w:r w:rsidR="00840D68">
        <w:rPr>
          <w:color w:val="auto"/>
        </w:rPr>
        <w:t>andó</w:t>
      </w:r>
      <w:r w:rsidRPr="004101DA">
        <w:rPr>
          <w:color w:val="auto"/>
        </w:rPr>
        <w:t xml:space="preserve"> többlettőke a </w:t>
      </w:r>
      <w:r w:rsidRPr="004101DA">
        <w:rPr>
          <w:bCs/>
          <w:color w:val="auto"/>
        </w:rPr>
        <w:t xml:space="preserve">komplex felügyeleti felülvizsgálat </w:t>
      </w:r>
      <w:r w:rsidRPr="004101DA">
        <w:rPr>
          <w:color w:val="auto"/>
        </w:rPr>
        <w:t xml:space="preserve">alá tartozó, </w:t>
      </w:r>
      <w:r w:rsidR="00283A15" w:rsidRPr="004101DA">
        <w:rPr>
          <w:color w:val="auto"/>
        </w:rPr>
        <w:t>és/vagy</w:t>
      </w:r>
      <w:r w:rsidR="0066726C" w:rsidRPr="004101DA">
        <w:rPr>
          <w:color w:val="auto"/>
        </w:rPr>
        <w:t xml:space="preserve"> </w:t>
      </w:r>
      <w:r w:rsidRPr="004101DA">
        <w:rPr>
          <w:color w:val="auto"/>
        </w:rPr>
        <w:t xml:space="preserve">fejlett mérési módszert alkalmazó hitelintézetek esetében. </w:t>
      </w:r>
      <w:r w:rsidR="000D37CD">
        <w:rPr>
          <w:color w:val="auto"/>
        </w:rPr>
        <w:t xml:space="preserve">Az </w:t>
      </w:r>
      <w:r w:rsidR="000D37CD" w:rsidRPr="008649C1">
        <w:t xml:space="preserve">50%-os </w:t>
      </w:r>
      <w:proofErr w:type="spellStart"/>
      <w:r w:rsidR="000D37CD" w:rsidRPr="008649C1">
        <w:t>főszabálytól</w:t>
      </w:r>
      <w:proofErr w:type="spellEnd"/>
      <w:r w:rsidR="000D37CD" w:rsidRPr="008649C1">
        <w:t xml:space="preserve"> eltérni </w:t>
      </w:r>
      <w:r w:rsidR="000D37CD">
        <w:t xml:space="preserve">azon ügyletek esetében </w:t>
      </w:r>
      <w:r w:rsidR="000D37CD" w:rsidRPr="008649C1">
        <w:t>lehet</w:t>
      </w:r>
      <w:r w:rsidR="000D37CD">
        <w:t>séges</w:t>
      </w:r>
      <w:r w:rsidR="000D37CD" w:rsidRPr="008649C1">
        <w:t xml:space="preserve">, </w:t>
      </w:r>
      <w:r w:rsidR="000D37CD">
        <w:t>amelyeknél</w:t>
      </w:r>
      <w:r w:rsidR="000D37CD" w:rsidRPr="008649C1">
        <w:t xml:space="preserve"> </w:t>
      </w:r>
      <w:r w:rsidR="002D1144">
        <w:t>a 2. pilléres</w:t>
      </w:r>
      <w:r w:rsidR="000D37CD">
        <w:t xml:space="preserve"> kockázati súly</w:t>
      </w:r>
      <w:r w:rsidR="000D37CD" w:rsidRPr="008649C1">
        <w:t xml:space="preserve"> 250%-</w:t>
      </w:r>
      <w:proofErr w:type="spellStart"/>
      <w:r w:rsidR="000D37CD" w:rsidRPr="008649C1">
        <w:t>nál</w:t>
      </w:r>
      <w:proofErr w:type="spellEnd"/>
      <w:r w:rsidR="000D37CD" w:rsidRPr="008649C1">
        <w:t xml:space="preserve"> </w:t>
      </w:r>
      <w:r w:rsidR="000D37CD">
        <w:t>magasabb</w:t>
      </w:r>
      <w:r w:rsidR="000D37CD" w:rsidRPr="008649C1">
        <w:t>. 250%</w:t>
      </w:r>
      <w:r w:rsidR="002D1144">
        <w:t>-os kockázati súly</w:t>
      </w:r>
      <w:r w:rsidR="000D37CD" w:rsidRPr="008649C1">
        <w:t xml:space="preserve"> felett</w:t>
      </w:r>
      <w:r w:rsidR="000D37CD">
        <w:t xml:space="preserve"> </w:t>
      </w:r>
      <w:r w:rsidR="000D37CD" w:rsidRPr="008649C1">
        <w:t xml:space="preserve">további tőkekövetelmény megképzése </w:t>
      </w:r>
      <w:r w:rsidR="000D37CD">
        <w:t xml:space="preserve">már </w:t>
      </w:r>
      <w:r w:rsidR="000D37CD" w:rsidRPr="008649C1">
        <w:t xml:space="preserve">nem indokolt. </w:t>
      </w:r>
      <w:r w:rsidRPr="004101DA">
        <w:rPr>
          <w:color w:val="auto"/>
        </w:rPr>
        <w:t xml:space="preserve">A sztenderd és egyszerűsített </w:t>
      </w:r>
      <w:r w:rsidRPr="004101DA">
        <w:rPr>
          <w:bCs/>
          <w:color w:val="auto"/>
        </w:rPr>
        <w:t xml:space="preserve">felügyeleti felülvizsgálat </w:t>
      </w:r>
      <w:r w:rsidRPr="004101DA">
        <w:rPr>
          <w:color w:val="auto"/>
        </w:rPr>
        <w:t xml:space="preserve">alá tartozó, </w:t>
      </w:r>
      <w:r w:rsidR="00283A15" w:rsidRPr="004101DA">
        <w:rPr>
          <w:color w:val="auto"/>
        </w:rPr>
        <w:t>és</w:t>
      </w:r>
      <w:r w:rsidR="0066726C" w:rsidRPr="004101DA">
        <w:rPr>
          <w:color w:val="auto"/>
        </w:rPr>
        <w:t xml:space="preserve"> </w:t>
      </w:r>
      <w:r w:rsidRPr="004101DA">
        <w:rPr>
          <w:color w:val="auto"/>
        </w:rPr>
        <w:t>a hitelkockázat tőkeszükségletének számítására sztenderd módszert alkalmazó hitelintézetek esetében az érintett portf</w:t>
      </w:r>
      <w:r w:rsidR="00832E6A" w:rsidRPr="004101DA">
        <w:rPr>
          <w:color w:val="auto"/>
        </w:rPr>
        <w:t>ó</w:t>
      </w:r>
      <w:r w:rsidRPr="004101DA">
        <w:rPr>
          <w:color w:val="auto"/>
        </w:rPr>
        <w:t xml:space="preserve">lió 1. pillér alatti tőkeszükségletének 50-100%-a </w:t>
      </w:r>
      <w:proofErr w:type="spellStart"/>
      <w:r w:rsidRPr="004101DA">
        <w:rPr>
          <w:color w:val="auto"/>
        </w:rPr>
        <w:t>a</w:t>
      </w:r>
      <w:proofErr w:type="spellEnd"/>
      <w:r w:rsidRPr="004101DA">
        <w:rPr>
          <w:color w:val="auto"/>
        </w:rPr>
        <w:t xml:space="preserve"> többlettőke-követelmény előírás mértéke. Az MNB elvárja továbbá, hogy az intézmények alap esetben a balloon/bullet ügyletekre magasabb kockázati súlyt alkalmazzanak, mint az azonos portf</w:t>
      </w:r>
      <w:r w:rsidR="00832E6A" w:rsidRPr="004101DA">
        <w:rPr>
          <w:color w:val="auto"/>
        </w:rPr>
        <w:t>ó</w:t>
      </w:r>
      <w:r w:rsidRPr="004101DA">
        <w:rPr>
          <w:color w:val="auto"/>
        </w:rPr>
        <w:t>lióba tartozó, nem ballo</w:t>
      </w:r>
      <w:r w:rsidR="008C7974">
        <w:rPr>
          <w:color w:val="auto"/>
        </w:rPr>
        <w:t>o</w:t>
      </w:r>
      <w:r w:rsidRPr="004101DA">
        <w:rPr>
          <w:color w:val="auto"/>
        </w:rPr>
        <w:t>n/bullet ügyletek esetén.</w:t>
      </w:r>
    </w:p>
    <w:p w14:paraId="29414E79" w14:textId="238CF8B3" w:rsidR="008649C1" w:rsidRDefault="008649C1" w:rsidP="008649C1">
      <w:pPr>
        <w:pStyle w:val="Default"/>
        <w:spacing w:before="120"/>
        <w:jc w:val="both"/>
        <w:rPr>
          <w:color w:val="auto"/>
        </w:rPr>
      </w:pPr>
      <w:r w:rsidRPr="008649C1">
        <w:t>Ha az intézmény be tudja mutatni, hogy a balloon/bullet ügyletek kockázatát modellek szintjén megfelelően kezeli, és erre külön elemzéseket végez (pl.: a</w:t>
      </w:r>
      <w:r w:rsidR="00992A48">
        <w:t>z intézmény</w:t>
      </w:r>
      <w:r w:rsidRPr="008649C1">
        <w:t xml:space="preserve"> a default ráta kapcsán visszamérte, hogy a balloon</w:t>
      </w:r>
      <w:r w:rsidR="00E82B54">
        <w:t>/bullet</w:t>
      </w:r>
      <w:r w:rsidRPr="008649C1">
        <w:t xml:space="preserve"> konstrukció miatt dőltek be az ügyfelek</w:t>
      </w:r>
      <w:r w:rsidR="00992A48">
        <w:t>, és ezáltal a PD-ben közvetve figyelembe vételre kerül a balloon/bullet miatti extra kockázat</w:t>
      </w:r>
      <w:r w:rsidRPr="008649C1">
        <w:t>), akkor az előírt 50%-os add-on esetlegesen csökkenthető.</w:t>
      </w:r>
    </w:p>
    <w:p w14:paraId="496C3CF7" w14:textId="77777777" w:rsidR="008649C1" w:rsidRPr="004101DA" w:rsidRDefault="008649C1" w:rsidP="00003494">
      <w:pPr>
        <w:pStyle w:val="Default"/>
        <w:spacing w:before="120"/>
        <w:jc w:val="both"/>
        <w:rPr>
          <w:color w:val="auto"/>
        </w:rPr>
      </w:pPr>
    </w:p>
    <w:p w14:paraId="586BB4BC" w14:textId="77777777" w:rsidR="00460C0D" w:rsidRPr="004101DA" w:rsidRDefault="008649C1" w:rsidP="00003494">
      <w:pPr>
        <w:pStyle w:val="Default"/>
        <w:spacing w:before="120"/>
        <w:jc w:val="both"/>
        <w:rPr>
          <w:b/>
          <w:bCs/>
          <w:color w:val="auto"/>
        </w:rPr>
      </w:pPr>
      <w:r>
        <w:rPr>
          <w:b/>
          <w:bCs/>
          <w:color w:val="auto"/>
        </w:rPr>
        <w:t>3</w:t>
      </w:r>
      <w:r w:rsidR="00460C0D" w:rsidRPr="004101DA">
        <w:rPr>
          <w:b/>
          <w:bCs/>
          <w:color w:val="auto"/>
        </w:rPr>
        <w:t>. Devizában denominált hitelek</w:t>
      </w:r>
    </w:p>
    <w:p w14:paraId="37016471" w14:textId="722DAF6F" w:rsidR="008B2C00" w:rsidRPr="004101DA" w:rsidRDefault="00460C0D" w:rsidP="00003494">
      <w:pPr>
        <w:pStyle w:val="Default"/>
        <w:spacing w:before="120"/>
        <w:jc w:val="both"/>
        <w:rPr>
          <w:color w:val="auto"/>
        </w:rPr>
      </w:pPr>
      <w:r w:rsidRPr="004101DA">
        <w:rPr>
          <w:color w:val="auto"/>
        </w:rPr>
        <w:t xml:space="preserve">A válság következményeként megnövekedett devizaárfolyam kockázat jelentős nehézségeket eredményezett elsősorban a háztartási és kkv szektor devizahitel-állományának törlesztésében a hitelek devizaneme és az adósok jövedelme közötti eltérő </w:t>
      </w:r>
      <w:proofErr w:type="spellStart"/>
      <w:r w:rsidRPr="004101DA">
        <w:rPr>
          <w:color w:val="auto"/>
        </w:rPr>
        <w:t>denomináció</w:t>
      </w:r>
      <w:proofErr w:type="spellEnd"/>
      <w:r w:rsidRPr="004101DA">
        <w:rPr>
          <w:color w:val="auto"/>
        </w:rPr>
        <w:t xml:space="preserve"> miatt, amely a jövedelmekkel vagy a </w:t>
      </w:r>
      <w:proofErr w:type="spellStart"/>
      <w:r w:rsidRPr="004101DA">
        <w:rPr>
          <w:color w:val="auto"/>
        </w:rPr>
        <w:t>fedezetekkel</w:t>
      </w:r>
      <w:proofErr w:type="spellEnd"/>
      <w:r w:rsidRPr="004101DA">
        <w:rPr>
          <w:color w:val="auto"/>
        </w:rPr>
        <w:t xml:space="preserve"> azonos </w:t>
      </w:r>
      <w:proofErr w:type="spellStart"/>
      <w:r w:rsidRPr="004101DA">
        <w:rPr>
          <w:color w:val="auto"/>
        </w:rPr>
        <w:t>denominációjú</w:t>
      </w:r>
      <w:proofErr w:type="spellEnd"/>
      <w:r w:rsidRPr="004101DA">
        <w:rPr>
          <w:color w:val="auto"/>
        </w:rPr>
        <w:t xml:space="preserve"> kitettségekhez képest további emelkedést eredményezett az intézmények hitelkockázatában.</w:t>
      </w:r>
      <w:r w:rsidR="008B2C00" w:rsidRPr="004101DA">
        <w:rPr>
          <w:color w:val="auto"/>
        </w:rPr>
        <w:t xml:space="preserve"> A háztartások vonatkozásában a hitelek devizaneme és az adósok </w:t>
      </w:r>
      <w:proofErr w:type="spellStart"/>
      <w:r w:rsidR="008B2C00" w:rsidRPr="004101DA">
        <w:rPr>
          <w:color w:val="auto"/>
        </w:rPr>
        <w:t>jövedeleme</w:t>
      </w:r>
      <w:proofErr w:type="spellEnd"/>
      <w:r w:rsidR="008B2C00" w:rsidRPr="004101DA">
        <w:rPr>
          <w:color w:val="auto"/>
        </w:rPr>
        <w:t xml:space="preserve"> közötti el</w:t>
      </w:r>
      <w:r w:rsidR="00FB3E8E" w:rsidRPr="004101DA">
        <w:rPr>
          <w:color w:val="auto"/>
        </w:rPr>
        <w:t>t</w:t>
      </w:r>
      <w:r w:rsidR="008B2C00" w:rsidRPr="004101DA">
        <w:rPr>
          <w:color w:val="auto"/>
        </w:rPr>
        <w:t xml:space="preserve">érő </w:t>
      </w:r>
      <w:proofErr w:type="spellStart"/>
      <w:r w:rsidR="008B2C00" w:rsidRPr="004101DA">
        <w:rPr>
          <w:color w:val="auto"/>
        </w:rPr>
        <w:t>denominációt</w:t>
      </w:r>
      <w:proofErr w:type="spellEnd"/>
      <w:r w:rsidR="008B2C00" w:rsidRPr="004101DA">
        <w:rPr>
          <w:color w:val="auto"/>
        </w:rPr>
        <w:t xml:space="preserve"> már kezelte a jogalkotó, ugyanakkor a </w:t>
      </w:r>
      <w:r w:rsidR="00E82B54">
        <w:rPr>
          <w:color w:val="auto"/>
        </w:rPr>
        <w:t>non-retail</w:t>
      </w:r>
      <w:r w:rsidR="008B2C00" w:rsidRPr="004101DA">
        <w:rPr>
          <w:color w:val="auto"/>
        </w:rPr>
        <w:t xml:space="preserve"> szektorban még fennállhat az ebből eredő kockázat.</w:t>
      </w:r>
    </w:p>
    <w:p w14:paraId="4B771C37" w14:textId="77777777" w:rsidR="00460C0D" w:rsidRPr="004101DA" w:rsidRDefault="00460C0D" w:rsidP="00003494">
      <w:pPr>
        <w:pStyle w:val="Default"/>
        <w:spacing w:before="120"/>
        <w:jc w:val="both"/>
        <w:rPr>
          <w:color w:val="auto"/>
        </w:rPr>
      </w:pPr>
      <w:r w:rsidRPr="004101DA">
        <w:rPr>
          <w:color w:val="auto"/>
        </w:rPr>
        <w:t xml:space="preserve">A devizában történő hitelezés magasabb </w:t>
      </w:r>
      <w:proofErr w:type="spellStart"/>
      <w:r w:rsidRPr="004101DA">
        <w:rPr>
          <w:color w:val="auto"/>
        </w:rPr>
        <w:t>reziduális</w:t>
      </w:r>
      <w:proofErr w:type="spellEnd"/>
      <w:r w:rsidRPr="004101DA">
        <w:rPr>
          <w:color w:val="auto"/>
        </w:rPr>
        <w:t xml:space="preserve"> kockázatot is okozhat abban az esetben, ha a hitel fedezetének értéke nem követi az árfolyam emelkedésből származó kitettség-érték </w:t>
      </w:r>
      <w:r w:rsidRPr="004101DA">
        <w:rPr>
          <w:color w:val="auto"/>
        </w:rPr>
        <w:lastRenderedPageBreak/>
        <w:t>növekedést, emellett egy intézmény a hitelkockázat koncentrációjával szembesülhet, ha hitelportf</w:t>
      </w:r>
      <w:r w:rsidR="00832E6A" w:rsidRPr="004101DA">
        <w:rPr>
          <w:color w:val="auto"/>
        </w:rPr>
        <w:t>ó</w:t>
      </w:r>
      <w:r w:rsidRPr="004101DA">
        <w:rPr>
          <w:color w:val="auto"/>
        </w:rPr>
        <w:t>liójának nagy része ugyanabban a devizában, vagy erősen korreláló devizanemekben denominált.</w:t>
      </w:r>
    </w:p>
    <w:p w14:paraId="338249AA" w14:textId="77777777" w:rsidR="00460C0D" w:rsidRPr="004101DA" w:rsidRDefault="00460C0D" w:rsidP="00003494">
      <w:pPr>
        <w:pStyle w:val="Default"/>
        <w:spacing w:before="120"/>
        <w:jc w:val="both"/>
        <w:rPr>
          <w:color w:val="auto"/>
        </w:rPr>
      </w:pPr>
      <w:r w:rsidRPr="004101DA">
        <w:rPr>
          <w:color w:val="auto"/>
        </w:rPr>
        <w:t xml:space="preserve">Az MNB – figyelemmel az Európai Rendszerkockázati Testület devizahitelezésre vonatkozó ajánlására, illetve az </w:t>
      </w:r>
      <w:proofErr w:type="spellStart"/>
      <w:r w:rsidRPr="004101DA">
        <w:rPr>
          <w:color w:val="auto"/>
        </w:rPr>
        <w:t>EBA</w:t>
      </w:r>
      <w:proofErr w:type="spellEnd"/>
      <w:r w:rsidRPr="004101DA">
        <w:rPr>
          <w:color w:val="auto"/>
        </w:rPr>
        <w:t xml:space="preserve"> iránymutatására</w:t>
      </w:r>
      <w:r w:rsidRPr="004101DA">
        <w:rPr>
          <w:rStyle w:val="Lbjegyzet-hivatkozs"/>
          <w:color w:val="auto"/>
        </w:rPr>
        <w:footnoteReference w:id="5"/>
      </w:r>
      <w:r w:rsidRPr="004101DA">
        <w:rPr>
          <w:color w:val="auto"/>
        </w:rPr>
        <w:t xml:space="preserve"> – továbbra is fontosnak tartja, hogy az intézmények a devizahitelezéssel kapcsolatos kockázatok</w:t>
      </w:r>
      <w:r w:rsidR="00333EA8" w:rsidRPr="004101DA">
        <w:rPr>
          <w:color w:val="auto"/>
        </w:rPr>
        <w:t>at</w:t>
      </w:r>
      <w:r w:rsidRPr="004101DA">
        <w:rPr>
          <w:color w:val="auto"/>
        </w:rPr>
        <w:t xml:space="preserve"> </w:t>
      </w:r>
      <w:r w:rsidR="00FB3E8E" w:rsidRPr="004101DA">
        <w:rPr>
          <w:color w:val="auto"/>
        </w:rPr>
        <w:t>megfelelően kezel</w:t>
      </w:r>
      <w:r w:rsidR="00333EA8" w:rsidRPr="004101DA">
        <w:rPr>
          <w:color w:val="auto"/>
        </w:rPr>
        <w:t>jék</w:t>
      </w:r>
      <w:r w:rsidR="00FB3E8E" w:rsidRPr="004101DA">
        <w:rPr>
          <w:color w:val="auto"/>
        </w:rPr>
        <w:t>, és szükség esetén tőkekövetelménnyel fedez</w:t>
      </w:r>
      <w:r w:rsidR="00333EA8" w:rsidRPr="004101DA">
        <w:rPr>
          <w:color w:val="auto"/>
        </w:rPr>
        <w:t>zék</w:t>
      </w:r>
      <w:r w:rsidR="00FB3E8E" w:rsidRPr="004101DA">
        <w:rPr>
          <w:color w:val="auto"/>
        </w:rPr>
        <w:t xml:space="preserve">. A devizahitelezéssel kapcsolatos </w:t>
      </w:r>
      <w:r w:rsidR="004B2A0C" w:rsidRPr="004101DA">
        <w:rPr>
          <w:color w:val="auto"/>
        </w:rPr>
        <w:t xml:space="preserve">konkrét </w:t>
      </w:r>
      <w:r w:rsidR="00FB3E8E" w:rsidRPr="004101DA">
        <w:rPr>
          <w:color w:val="auto"/>
        </w:rPr>
        <w:t xml:space="preserve">MNB elvárásokat az </w:t>
      </w:r>
      <w:proofErr w:type="spellStart"/>
      <w:r w:rsidR="00FB3E8E" w:rsidRPr="004101DA">
        <w:rPr>
          <w:color w:val="auto"/>
        </w:rPr>
        <w:t>ICAAP</w:t>
      </w:r>
      <w:proofErr w:type="spellEnd"/>
      <w:r w:rsidR="00FB3E8E" w:rsidRPr="004101DA">
        <w:rPr>
          <w:color w:val="auto"/>
        </w:rPr>
        <w:t xml:space="preserve">, </w:t>
      </w:r>
      <w:proofErr w:type="spellStart"/>
      <w:r w:rsidR="00FB3E8E" w:rsidRPr="004101DA">
        <w:rPr>
          <w:color w:val="auto"/>
        </w:rPr>
        <w:t>ILAAP</w:t>
      </w:r>
      <w:proofErr w:type="spellEnd"/>
      <w:r w:rsidR="00FB3E8E" w:rsidRPr="004101DA">
        <w:rPr>
          <w:color w:val="auto"/>
        </w:rPr>
        <w:t xml:space="preserve"> és </w:t>
      </w:r>
      <w:proofErr w:type="spellStart"/>
      <w:r w:rsidR="00FB3E8E" w:rsidRPr="004101DA">
        <w:rPr>
          <w:color w:val="auto"/>
        </w:rPr>
        <w:t>BMA</w:t>
      </w:r>
      <w:proofErr w:type="spellEnd"/>
      <w:r w:rsidR="00FB3E8E" w:rsidRPr="004101DA">
        <w:rPr>
          <w:color w:val="auto"/>
        </w:rPr>
        <w:t xml:space="preserve"> vizsgálatról szóló </w:t>
      </w:r>
      <w:r w:rsidR="005607F8" w:rsidRPr="004101DA">
        <w:rPr>
          <w:color w:val="auto"/>
        </w:rPr>
        <w:t>kézikönyv</w:t>
      </w:r>
      <w:r w:rsidR="00333EA8" w:rsidRPr="004101DA">
        <w:rPr>
          <w:color w:val="auto"/>
        </w:rPr>
        <w:t xml:space="preserve"> </w:t>
      </w:r>
      <w:r w:rsidR="00897669">
        <w:rPr>
          <w:color w:val="auto"/>
        </w:rPr>
        <w:t xml:space="preserve">részletesen </w:t>
      </w:r>
      <w:r w:rsidR="00333EA8" w:rsidRPr="004101DA">
        <w:rPr>
          <w:color w:val="auto"/>
        </w:rPr>
        <w:t>tartalmazza</w:t>
      </w:r>
      <w:r w:rsidR="006E27B2" w:rsidRPr="004101DA">
        <w:rPr>
          <w:color w:val="auto"/>
        </w:rPr>
        <w:t xml:space="preserve">. A tőkekövetelmény mértéke az </w:t>
      </w:r>
      <w:r w:rsidR="004B2A0C" w:rsidRPr="004101DA">
        <w:rPr>
          <w:color w:val="auto"/>
        </w:rPr>
        <w:t>előírások</w:t>
      </w:r>
      <w:r w:rsidR="006E27B2" w:rsidRPr="004101DA">
        <w:rPr>
          <w:color w:val="auto"/>
        </w:rPr>
        <w:t xml:space="preserve"> </w:t>
      </w:r>
      <w:r w:rsidR="00FB3E8E" w:rsidRPr="004101DA">
        <w:rPr>
          <w:color w:val="auto"/>
        </w:rPr>
        <w:t>teljes</w:t>
      </w:r>
      <w:r w:rsidR="006E27B2" w:rsidRPr="004101DA">
        <w:rPr>
          <w:color w:val="auto"/>
        </w:rPr>
        <w:t xml:space="preserve">ítésének </w:t>
      </w:r>
      <w:r w:rsidR="00333EA8" w:rsidRPr="004101DA">
        <w:rPr>
          <w:color w:val="auto"/>
        </w:rPr>
        <w:t xml:space="preserve">függvényében </w:t>
      </w:r>
      <w:r w:rsidR="006E27B2" w:rsidRPr="004101DA">
        <w:rPr>
          <w:color w:val="auto"/>
        </w:rPr>
        <w:t xml:space="preserve">határozandó meg. </w:t>
      </w:r>
    </w:p>
    <w:p w14:paraId="2850D6E0" w14:textId="212E8729" w:rsidR="00460C0D" w:rsidRDefault="00460C0D" w:rsidP="00680903">
      <w:pPr>
        <w:pStyle w:val="Default"/>
        <w:spacing w:before="120"/>
        <w:jc w:val="both"/>
        <w:rPr>
          <w:color w:val="auto"/>
        </w:rPr>
      </w:pPr>
      <w:r w:rsidRPr="004101DA">
        <w:rPr>
          <w:b/>
          <w:bCs/>
          <w:color w:val="auto"/>
        </w:rPr>
        <w:t>Előírt többlettőke nagysága</w:t>
      </w:r>
      <w:r w:rsidRPr="004101DA">
        <w:rPr>
          <w:bCs/>
          <w:color w:val="auto"/>
        </w:rPr>
        <w:t xml:space="preserve">: </w:t>
      </w:r>
      <w:r w:rsidR="008B2C00" w:rsidRPr="004101DA">
        <w:rPr>
          <w:color w:val="auto"/>
        </w:rPr>
        <w:t>az összes, fedezettel nem rendelkező kölcsönfelvevő</w:t>
      </w:r>
      <w:r w:rsidR="008B2C00" w:rsidRPr="004101DA">
        <w:rPr>
          <w:rStyle w:val="Lbjegyzet-hivatkozs"/>
          <w:color w:val="auto"/>
        </w:rPr>
        <w:footnoteReference w:id="6"/>
      </w:r>
      <w:r w:rsidR="008B2C00" w:rsidRPr="004101DA">
        <w:rPr>
          <w:color w:val="auto"/>
        </w:rPr>
        <w:t xml:space="preserve"> (így pl. a vállalati ügyfelek is, amelyek a definícióból fakadó kritériumnak megfelelnek) felé fennálló devizában denominált portf</w:t>
      </w:r>
      <w:r w:rsidR="00832E6A" w:rsidRPr="004101DA">
        <w:rPr>
          <w:color w:val="auto"/>
        </w:rPr>
        <w:t>ó</w:t>
      </w:r>
      <w:r w:rsidR="008B2C00" w:rsidRPr="004101DA">
        <w:rPr>
          <w:color w:val="auto"/>
        </w:rPr>
        <w:t xml:space="preserve">lió </w:t>
      </w:r>
      <w:r w:rsidRPr="004101DA">
        <w:rPr>
          <w:bCs/>
          <w:color w:val="auto"/>
        </w:rPr>
        <w:t xml:space="preserve">komplex felügyeleti felülvizsgálat alá tartozó </w:t>
      </w:r>
      <w:r w:rsidR="00283A15" w:rsidRPr="004101DA">
        <w:rPr>
          <w:bCs/>
          <w:color w:val="auto"/>
        </w:rPr>
        <w:t xml:space="preserve">és/vagy fejlett mérési módszert alkalmazó </w:t>
      </w:r>
      <w:r w:rsidRPr="004101DA">
        <w:rPr>
          <w:bCs/>
          <w:color w:val="auto"/>
        </w:rPr>
        <w:t xml:space="preserve">hitelintézetek esetében </w:t>
      </w:r>
      <w:r w:rsidRPr="004101DA">
        <w:rPr>
          <w:color w:val="auto"/>
        </w:rPr>
        <w:t xml:space="preserve">1. pillér alatti tőkeszükségletének 0-100%-a, </w:t>
      </w:r>
      <w:r w:rsidR="004B2A0C" w:rsidRPr="004101DA">
        <w:rPr>
          <w:color w:val="auto"/>
        </w:rPr>
        <w:t xml:space="preserve">míg </w:t>
      </w:r>
      <w:r w:rsidRPr="004101DA">
        <w:rPr>
          <w:color w:val="auto"/>
        </w:rPr>
        <w:t xml:space="preserve">sztenderd és egyszerűsített felügyeleti felülvizsgálat alá tartozó, </w:t>
      </w:r>
      <w:r w:rsidR="00283A15" w:rsidRPr="004101DA">
        <w:rPr>
          <w:color w:val="auto"/>
        </w:rPr>
        <w:t>és</w:t>
      </w:r>
      <w:r w:rsidR="0066726C" w:rsidRPr="004101DA">
        <w:rPr>
          <w:color w:val="auto"/>
        </w:rPr>
        <w:t xml:space="preserve"> </w:t>
      </w:r>
      <w:r w:rsidRPr="004101DA">
        <w:rPr>
          <w:color w:val="auto"/>
        </w:rPr>
        <w:t>a hitelkockázat tőkeszükségletének számítására sztenderd módszert alkalmazó hitelintézetek esetében az érintett portf</w:t>
      </w:r>
      <w:r w:rsidR="00832E6A" w:rsidRPr="004101DA">
        <w:rPr>
          <w:color w:val="auto"/>
        </w:rPr>
        <w:t>ó</w:t>
      </w:r>
      <w:r w:rsidRPr="004101DA">
        <w:rPr>
          <w:color w:val="auto"/>
        </w:rPr>
        <w:t xml:space="preserve">lió 1. pillér alatti tőkeszükségletének 10-100%-a. </w:t>
      </w:r>
    </w:p>
    <w:p w14:paraId="25E5B9D6" w14:textId="77777777" w:rsidR="001A49DE" w:rsidRPr="004101DA" w:rsidRDefault="001A49DE" w:rsidP="00680903">
      <w:pPr>
        <w:pStyle w:val="Default"/>
        <w:spacing w:before="120"/>
        <w:jc w:val="both"/>
        <w:rPr>
          <w:color w:val="auto"/>
        </w:rPr>
      </w:pPr>
    </w:p>
    <w:p w14:paraId="40501A3B" w14:textId="5DB02F4E" w:rsidR="00460C0D" w:rsidRPr="004101DA" w:rsidRDefault="00992A48" w:rsidP="00003494">
      <w:pPr>
        <w:pStyle w:val="Default"/>
        <w:spacing w:before="120"/>
        <w:jc w:val="both"/>
        <w:rPr>
          <w:b/>
          <w:bCs/>
          <w:color w:val="auto"/>
        </w:rPr>
      </w:pPr>
      <w:r>
        <w:rPr>
          <w:b/>
          <w:bCs/>
          <w:color w:val="auto"/>
        </w:rPr>
        <w:t>4</w:t>
      </w:r>
      <w:r w:rsidR="00460C0D" w:rsidRPr="004101DA">
        <w:rPr>
          <w:b/>
          <w:bCs/>
          <w:color w:val="auto"/>
        </w:rPr>
        <w:t>. Többszöri átstrukturálás</w:t>
      </w:r>
    </w:p>
    <w:p w14:paraId="5C0B0E84" w14:textId="50007B21" w:rsidR="004B2A0C" w:rsidRPr="004101DA" w:rsidRDefault="00460C0D" w:rsidP="00680903">
      <w:pPr>
        <w:spacing w:before="120" w:after="0" w:line="240" w:lineRule="auto"/>
        <w:rPr>
          <w:rFonts w:ascii="Times" w:eastAsia="Times New Roman" w:hAnsi="Times" w:cs="Times"/>
          <w:b/>
          <w:bCs/>
          <w:sz w:val="24"/>
          <w:szCs w:val="24"/>
        </w:rPr>
      </w:pPr>
      <w:r w:rsidRPr="004101DA">
        <w:rPr>
          <w:sz w:val="24"/>
          <w:szCs w:val="24"/>
        </w:rPr>
        <w:t>A felügyeleti vizsgálati tapasztalatok alapján egyre gyakrabban fordul elő, hogy egyes ügyletek ismétlődően átstrukturálásra kerülnek, és ezekre az átstrukturált ügyletekre nem történik meg a portf</w:t>
      </w:r>
      <w:r w:rsidR="00832E6A" w:rsidRPr="004101DA">
        <w:rPr>
          <w:sz w:val="24"/>
          <w:szCs w:val="24"/>
        </w:rPr>
        <w:t>ó</w:t>
      </w:r>
      <w:r w:rsidRPr="004101DA">
        <w:rPr>
          <w:sz w:val="24"/>
          <w:szCs w:val="24"/>
        </w:rPr>
        <w:t>lió minőségének megfelelő értékvesztés megképzése.</w:t>
      </w:r>
      <w:r w:rsidRPr="004101DA">
        <w:rPr>
          <w:rFonts w:cs="Calibri"/>
          <w:vertAlign w:val="superscript"/>
        </w:rPr>
        <w:footnoteReference w:id="7"/>
      </w:r>
      <w:r w:rsidRPr="004101DA">
        <w:rPr>
          <w:sz w:val="24"/>
          <w:szCs w:val="24"/>
        </w:rPr>
        <w:t xml:space="preserve"> Az ilyen gyakorlat jelentős kockázatot jelent az egyes intézményekre. Ezért azokra az ügyletekre, amelyek vonatkozásában 2011. január 1-je óta már legalább kétszer </w:t>
      </w:r>
      <w:r w:rsidR="00180B29" w:rsidRPr="004101DA">
        <w:rPr>
          <w:sz w:val="24"/>
          <w:szCs w:val="24"/>
        </w:rPr>
        <w:t xml:space="preserve">a </w:t>
      </w:r>
      <w:r w:rsidR="003C2D42" w:rsidRPr="004101DA">
        <w:rPr>
          <w:sz w:val="24"/>
          <w:szCs w:val="24"/>
        </w:rPr>
        <w:t>hatályos szabályozásnak</w:t>
      </w:r>
      <w:r w:rsidR="00180B29" w:rsidRPr="004101DA">
        <w:rPr>
          <w:rStyle w:val="Lbjegyzet-hivatkozs"/>
          <w:sz w:val="24"/>
          <w:szCs w:val="24"/>
        </w:rPr>
        <w:footnoteReference w:id="8"/>
      </w:r>
      <w:r w:rsidR="00180B29" w:rsidRPr="004101DA">
        <w:rPr>
          <w:sz w:val="24"/>
          <w:szCs w:val="24"/>
        </w:rPr>
        <w:t xml:space="preserve"> megfelelően átstrukturálásra került</w:t>
      </w:r>
      <w:r w:rsidR="006E27B2" w:rsidRPr="004101DA">
        <w:rPr>
          <w:sz w:val="24"/>
          <w:szCs w:val="24"/>
        </w:rPr>
        <w:t xml:space="preserve"> sor</w:t>
      </w:r>
      <w:r w:rsidRPr="004101DA">
        <w:rPr>
          <w:sz w:val="24"/>
          <w:szCs w:val="24"/>
        </w:rPr>
        <w:t xml:space="preserve"> (az állami adósságmentő programban történő részvételen túl), és amelynek során a hitelintézet további türelmi időt adott az adósnak a kamat és/vagy a tőketörlesztésre, és az ezzel járó kockázatnövekedést az értékvesztés növekedése nem követte, az MNB többlettőkét ír elő. </w:t>
      </w:r>
    </w:p>
    <w:p w14:paraId="2F38C9ED" w14:textId="77777777" w:rsidR="004B2A0C" w:rsidRPr="004101DA" w:rsidRDefault="004B2A0C" w:rsidP="00003494">
      <w:pPr>
        <w:spacing w:before="120" w:after="0" w:line="240" w:lineRule="auto"/>
        <w:rPr>
          <w:sz w:val="24"/>
          <w:szCs w:val="24"/>
        </w:rPr>
      </w:pPr>
    </w:p>
    <w:p w14:paraId="30A7591F" w14:textId="1103F0A3" w:rsidR="00460C0D" w:rsidRPr="004101DA" w:rsidRDefault="00460C0D" w:rsidP="00003494">
      <w:pPr>
        <w:spacing w:before="120" w:after="0" w:line="240" w:lineRule="auto"/>
        <w:rPr>
          <w:sz w:val="24"/>
          <w:szCs w:val="24"/>
        </w:rPr>
      </w:pPr>
      <w:r w:rsidRPr="004101DA">
        <w:rPr>
          <w:b/>
          <w:sz w:val="24"/>
          <w:szCs w:val="24"/>
        </w:rPr>
        <w:t>Előírt többlettőke nagysága</w:t>
      </w:r>
      <w:r w:rsidRPr="004101DA">
        <w:rPr>
          <w:sz w:val="24"/>
          <w:szCs w:val="24"/>
        </w:rPr>
        <w:t xml:space="preserve">: </w:t>
      </w:r>
      <w:r w:rsidR="00180B29" w:rsidRPr="004101DA">
        <w:rPr>
          <w:sz w:val="24"/>
          <w:szCs w:val="24"/>
        </w:rPr>
        <w:t xml:space="preserve">Az érintett teljesítő </w:t>
      </w:r>
      <w:r w:rsidR="00832E6A" w:rsidRPr="004101DA">
        <w:rPr>
          <w:sz w:val="24"/>
          <w:szCs w:val="24"/>
        </w:rPr>
        <w:t>portfó</w:t>
      </w:r>
      <w:r w:rsidR="00180B29" w:rsidRPr="004101DA">
        <w:rPr>
          <w:sz w:val="24"/>
          <w:szCs w:val="24"/>
        </w:rPr>
        <w:t xml:space="preserve">lió 1. pillér alatti tőkeszükségletének 50%-a az előírható többlettőke a </w:t>
      </w:r>
      <w:r w:rsidR="00180B29" w:rsidRPr="004101DA">
        <w:rPr>
          <w:bCs/>
          <w:sz w:val="24"/>
          <w:szCs w:val="24"/>
        </w:rPr>
        <w:t xml:space="preserve">komplex felügyeleti felülvizsgálat </w:t>
      </w:r>
      <w:r w:rsidR="00180B29" w:rsidRPr="004101DA">
        <w:rPr>
          <w:sz w:val="24"/>
          <w:szCs w:val="24"/>
        </w:rPr>
        <w:t xml:space="preserve">alá tartozó </w:t>
      </w:r>
      <w:r w:rsidR="00283A15" w:rsidRPr="004101DA">
        <w:rPr>
          <w:sz w:val="24"/>
          <w:szCs w:val="24"/>
        </w:rPr>
        <w:t>és/vagy</w:t>
      </w:r>
      <w:r w:rsidR="0066726C" w:rsidRPr="004101DA">
        <w:rPr>
          <w:sz w:val="24"/>
          <w:szCs w:val="24"/>
        </w:rPr>
        <w:t xml:space="preserve"> </w:t>
      </w:r>
      <w:r w:rsidR="00180B29" w:rsidRPr="004101DA">
        <w:rPr>
          <w:sz w:val="24"/>
          <w:szCs w:val="24"/>
        </w:rPr>
        <w:t xml:space="preserve">fejlett mérési módszert alkalmazó hitelintézetek esetében. A sztenderd és egyszerűsített </w:t>
      </w:r>
      <w:r w:rsidR="00180B29" w:rsidRPr="004101DA">
        <w:rPr>
          <w:bCs/>
          <w:sz w:val="24"/>
          <w:szCs w:val="24"/>
        </w:rPr>
        <w:t xml:space="preserve">felügyeleti felülvizsgálat </w:t>
      </w:r>
      <w:r w:rsidR="00180B29" w:rsidRPr="004101DA">
        <w:rPr>
          <w:sz w:val="24"/>
          <w:szCs w:val="24"/>
        </w:rPr>
        <w:t xml:space="preserve">alá tartozó, </w:t>
      </w:r>
      <w:r w:rsidR="00283A15" w:rsidRPr="004101DA">
        <w:rPr>
          <w:sz w:val="24"/>
          <w:szCs w:val="24"/>
        </w:rPr>
        <w:t>és</w:t>
      </w:r>
      <w:r w:rsidR="0066726C" w:rsidRPr="004101DA">
        <w:rPr>
          <w:sz w:val="24"/>
          <w:szCs w:val="24"/>
        </w:rPr>
        <w:t xml:space="preserve"> </w:t>
      </w:r>
      <w:r w:rsidR="00180B29" w:rsidRPr="004101DA">
        <w:rPr>
          <w:sz w:val="24"/>
          <w:szCs w:val="24"/>
        </w:rPr>
        <w:t xml:space="preserve">a hitelkockázat tőkeszükségletének számítására sztenderd </w:t>
      </w:r>
      <w:r w:rsidR="00180B29" w:rsidRPr="004101DA">
        <w:rPr>
          <w:sz w:val="24"/>
          <w:szCs w:val="24"/>
        </w:rPr>
        <w:lastRenderedPageBreak/>
        <w:t>módszert alkalmazó hitelintézetek esetében az érintett portf</w:t>
      </w:r>
      <w:r w:rsidR="00832E6A" w:rsidRPr="004101DA">
        <w:rPr>
          <w:sz w:val="24"/>
          <w:szCs w:val="24"/>
        </w:rPr>
        <w:t>ó</w:t>
      </w:r>
      <w:r w:rsidR="00180B29" w:rsidRPr="004101DA">
        <w:rPr>
          <w:sz w:val="24"/>
          <w:szCs w:val="24"/>
        </w:rPr>
        <w:t xml:space="preserve">lió 1. pillér alatti tőkeszükségletének 50-100%-a </w:t>
      </w:r>
      <w:proofErr w:type="spellStart"/>
      <w:r w:rsidR="00180B29" w:rsidRPr="004101DA">
        <w:rPr>
          <w:sz w:val="24"/>
          <w:szCs w:val="24"/>
        </w:rPr>
        <w:t>a</w:t>
      </w:r>
      <w:proofErr w:type="spellEnd"/>
      <w:r w:rsidR="00180B29" w:rsidRPr="004101DA">
        <w:rPr>
          <w:sz w:val="24"/>
          <w:szCs w:val="24"/>
        </w:rPr>
        <w:t xml:space="preserve"> többlet</w:t>
      </w:r>
      <w:r w:rsidR="008879CC" w:rsidRPr="004101DA">
        <w:rPr>
          <w:sz w:val="24"/>
          <w:szCs w:val="24"/>
        </w:rPr>
        <w:t>-tőke</w:t>
      </w:r>
      <w:r w:rsidR="00180B29" w:rsidRPr="004101DA">
        <w:rPr>
          <w:sz w:val="24"/>
          <w:szCs w:val="24"/>
        </w:rPr>
        <w:t xml:space="preserve">követelmény előírás mértéke. </w:t>
      </w:r>
    </w:p>
    <w:p w14:paraId="1F12D3CE" w14:textId="0C37FACF" w:rsidR="00460C0D" w:rsidRPr="004101DA" w:rsidRDefault="00460C0D" w:rsidP="00003494">
      <w:pPr>
        <w:pStyle w:val="Default"/>
        <w:spacing w:before="120"/>
        <w:jc w:val="both"/>
        <w:rPr>
          <w:color w:val="auto"/>
        </w:rPr>
      </w:pPr>
    </w:p>
    <w:p w14:paraId="30543BA3" w14:textId="57F35858" w:rsidR="00985A12" w:rsidRPr="004101DA" w:rsidRDefault="00992A48" w:rsidP="00003494">
      <w:pPr>
        <w:pStyle w:val="Default"/>
        <w:spacing w:before="120"/>
        <w:jc w:val="both"/>
        <w:rPr>
          <w:b/>
          <w:color w:val="auto"/>
          <w:szCs w:val="20"/>
        </w:rPr>
      </w:pPr>
      <w:bookmarkStart w:id="2" w:name="_Hlk532836641"/>
      <w:r>
        <w:rPr>
          <w:b/>
          <w:color w:val="auto"/>
        </w:rPr>
        <w:t>5</w:t>
      </w:r>
      <w:r w:rsidR="00985A12" w:rsidRPr="004101DA">
        <w:rPr>
          <w:b/>
          <w:color w:val="auto"/>
        </w:rPr>
        <w:t xml:space="preserve">. </w:t>
      </w:r>
      <w:r w:rsidR="00DE20BD" w:rsidRPr="004101DA">
        <w:rPr>
          <w:b/>
          <w:color w:val="auto"/>
          <w:szCs w:val="20"/>
        </w:rPr>
        <w:t>JTM</w:t>
      </w:r>
      <w:r w:rsidR="00C86E6C">
        <w:rPr>
          <w:b/>
          <w:color w:val="auto"/>
          <w:szCs w:val="20"/>
        </w:rPr>
        <w:t>-re vonatkozó szabályokat</w:t>
      </w:r>
      <w:r w:rsidR="00DE20BD" w:rsidRPr="004101DA">
        <w:rPr>
          <w:b/>
          <w:color w:val="auto"/>
          <w:szCs w:val="20"/>
        </w:rPr>
        <w:t xml:space="preserve"> sértő szerződéseken alapuló</w:t>
      </w:r>
      <w:r w:rsidR="00C86E6C">
        <w:rPr>
          <w:b/>
          <w:color w:val="auto"/>
          <w:szCs w:val="20"/>
        </w:rPr>
        <w:t>, vagy nem kellően prudens banki gyakorlattal kezelt</w:t>
      </w:r>
      <w:r w:rsidR="00DE20BD" w:rsidRPr="004101DA">
        <w:rPr>
          <w:b/>
          <w:color w:val="auto"/>
          <w:szCs w:val="20"/>
        </w:rPr>
        <w:t xml:space="preserve"> lakossági </w:t>
      </w:r>
      <w:r w:rsidR="00001E22" w:rsidRPr="004101DA">
        <w:rPr>
          <w:b/>
          <w:color w:val="auto"/>
          <w:szCs w:val="20"/>
        </w:rPr>
        <w:t>ügyletek</w:t>
      </w:r>
    </w:p>
    <w:p w14:paraId="2A809FBA" w14:textId="3EC2B497" w:rsidR="00DE20BD" w:rsidRPr="004101DA" w:rsidRDefault="00DE20BD" w:rsidP="00003494">
      <w:pPr>
        <w:pStyle w:val="Default"/>
        <w:spacing w:before="120"/>
        <w:jc w:val="both"/>
        <w:rPr>
          <w:color w:val="auto"/>
          <w:szCs w:val="20"/>
        </w:rPr>
      </w:pPr>
      <w:r w:rsidRPr="004101DA">
        <w:rPr>
          <w:color w:val="auto"/>
          <w:szCs w:val="20"/>
        </w:rPr>
        <w:t xml:space="preserve">A JTM </w:t>
      </w:r>
      <w:r w:rsidR="00EF1675">
        <w:rPr>
          <w:color w:val="auto"/>
          <w:szCs w:val="20"/>
        </w:rPr>
        <w:t>r</w:t>
      </w:r>
      <w:r w:rsidRPr="004101DA">
        <w:rPr>
          <w:color w:val="auto"/>
          <w:szCs w:val="20"/>
        </w:rPr>
        <w:t>endelet</w:t>
      </w:r>
      <w:r w:rsidRPr="007C6750">
        <w:rPr>
          <w:rStyle w:val="Lbjegyzet-hivatkozs"/>
          <w:color w:val="auto"/>
          <w:szCs w:val="20"/>
        </w:rPr>
        <w:footnoteReference w:id="9"/>
      </w:r>
      <w:r w:rsidRPr="004101DA">
        <w:rPr>
          <w:color w:val="auto"/>
          <w:szCs w:val="20"/>
        </w:rPr>
        <w:t xml:space="preserve"> célja a fogyasztók túlzott eladósodottságának megelőzése</w:t>
      </w:r>
      <w:r w:rsidR="007B773A" w:rsidRPr="004101DA">
        <w:rPr>
          <w:color w:val="auto"/>
          <w:szCs w:val="20"/>
        </w:rPr>
        <w:t xml:space="preserve"> és az ebből fakadó rendszerszintű hitelezési kockázatok mérséklése. A</w:t>
      </w:r>
      <w:r w:rsidRPr="004101DA">
        <w:rPr>
          <w:color w:val="auto"/>
          <w:szCs w:val="20"/>
        </w:rPr>
        <w:t xml:space="preserve">z </w:t>
      </w:r>
      <w:r w:rsidR="006D729F" w:rsidRPr="004101DA">
        <w:rPr>
          <w:color w:val="auto"/>
          <w:szCs w:val="20"/>
        </w:rPr>
        <w:t xml:space="preserve">MNB kiemelt figyelmet fordít e </w:t>
      </w:r>
      <w:r w:rsidRPr="004101DA">
        <w:rPr>
          <w:color w:val="auto"/>
          <w:szCs w:val="20"/>
        </w:rPr>
        <w:t>cél</w:t>
      </w:r>
      <w:r w:rsidR="00A44A5C" w:rsidRPr="004101DA">
        <w:rPr>
          <w:color w:val="auto"/>
          <w:szCs w:val="20"/>
        </w:rPr>
        <w:t>ok</w:t>
      </w:r>
      <w:r w:rsidRPr="004101DA">
        <w:rPr>
          <w:color w:val="auto"/>
          <w:szCs w:val="20"/>
        </w:rPr>
        <w:t xml:space="preserve"> megvalósulására, továbbá </w:t>
      </w:r>
      <w:r w:rsidR="00681177" w:rsidRPr="004101DA">
        <w:rPr>
          <w:color w:val="auto"/>
          <w:szCs w:val="20"/>
        </w:rPr>
        <w:t xml:space="preserve">a szükséges intézkedések megtételével, szankciók alkalmazásával </w:t>
      </w:r>
      <w:r w:rsidR="00AA5738" w:rsidRPr="004101DA">
        <w:rPr>
          <w:color w:val="auto"/>
          <w:szCs w:val="20"/>
        </w:rPr>
        <w:t>határozo</w:t>
      </w:r>
      <w:r w:rsidRPr="004101DA">
        <w:rPr>
          <w:color w:val="auto"/>
          <w:szCs w:val="20"/>
        </w:rPr>
        <w:t>ttan fel kíván lépni</w:t>
      </w:r>
      <w:r w:rsidR="006D729F" w:rsidRPr="004101DA">
        <w:rPr>
          <w:color w:val="auto"/>
          <w:szCs w:val="20"/>
        </w:rPr>
        <w:t xml:space="preserve"> </w:t>
      </w:r>
      <w:r w:rsidRPr="004101DA">
        <w:rPr>
          <w:color w:val="auto"/>
          <w:szCs w:val="20"/>
        </w:rPr>
        <w:t xml:space="preserve">a JTM </w:t>
      </w:r>
      <w:r w:rsidR="007C6750">
        <w:rPr>
          <w:color w:val="auto"/>
          <w:szCs w:val="20"/>
        </w:rPr>
        <w:t>szabályokat</w:t>
      </w:r>
      <w:r w:rsidRPr="004101DA">
        <w:rPr>
          <w:color w:val="auto"/>
          <w:szCs w:val="20"/>
        </w:rPr>
        <w:t xml:space="preserve"> sértő</w:t>
      </w:r>
      <w:r w:rsidR="0009256E" w:rsidRPr="004101DA">
        <w:rPr>
          <w:color w:val="auto"/>
          <w:szCs w:val="20"/>
        </w:rPr>
        <w:t>, illetve kockázatos</w:t>
      </w:r>
      <w:r w:rsidRPr="004101DA">
        <w:rPr>
          <w:color w:val="auto"/>
          <w:szCs w:val="20"/>
        </w:rPr>
        <w:t xml:space="preserve"> intézményi gyakorlattal szemben.</w:t>
      </w:r>
      <w:r w:rsidR="008E2E3F" w:rsidRPr="004101DA">
        <w:rPr>
          <w:color w:val="auto"/>
          <w:szCs w:val="20"/>
        </w:rPr>
        <w:t xml:space="preserve"> A Bank jogsértő</w:t>
      </w:r>
      <w:r w:rsidR="00EC02BA" w:rsidRPr="004101DA">
        <w:rPr>
          <w:color w:val="auto"/>
          <w:szCs w:val="20"/>
        </w:rPr>
        <w:t>, illetve kockázatos</w:t>
      </w:r>
      <w:r w:rsidR="008E2E3F" w:rsidRPr="004101DA">
        <w:rPr>
          <w:color w:val="auto"/>
          <w:szCs w:val="20"/>
        </w:rPr>
        <w:t xml:space="preserve"> magatartást követ többek között akkor, amikor a </w:t>
      </w:r>
      <w:proofErr w:type="spellStart"/>
      <w:r w:rsidR="008E2E3F" w:rsidRPr="004101DA">
        <w:rPr>
          <w:color w:val="auto"/>
          <w:szCs w:val="20"/>
        </w:rPr>
        <w:t>hitelezhetőségi</w:t>
      </w:r>
      <w:proofErr w:type="spellEnd"/>
      <w:r w:rsidR="008E2E3F" w:rsidRPr="004101DA">
        <w:rPr>
          <w:color w:val="auto"/>
          <w:szCs w:val="20"/>
        </w:rPr>
        <w:t xml:space="preserve"> korlátot megsérti, vagy az ügyfél havi nettó jövedelmének ellenőrzése és teljes adósságszolgálatának meghatározása során nem </w:t>
      </w:r>
      <w:r w:rsidR="00EB3CCD">
        <w:rPr>
          <w:color w:val="auto"/>
          <w:szCs w:val="20"/>
        </w:rPr>
        <w:t xml:space="preserve">kellően </w:t>
      </w:r>
      <w:proofErr w:type="spellStart"/>
      <w:r w:rsidR="008E2E3F" w:rsidRPr="004101DA">
        <w:rPr>
          <w:color w:val="auto"/>
          <w:szCs w:val="20"/>
        </w:rPr>
        <w:t>prudensen</w:t>
      </w:r>
      <w:proofErr w:type="spellEnd"/>
      <w:r w:rsidR="008E2E3F" w:rsidRPr="004101DA">
        <w:rPr>
          <w:color w:val="auto"/>
          <w:szCs w:val="20"/>
        </w:rPr>
        <w:t xml:space="preserve"> (</w:t>
      </w:r>
      <w:r w:rsidR="00C7712B">
        <w:rPr>
          <w:color w:val="auto"/>
          <w:szCs w:val="20"/>
        </w:rPr>
        <w:t xml:space="preserve">bár </w:t>
      </w:r>
      <w:r w:rsidR="00EB3CCD">
        <w:rPr>
          <w:color w:val="auto"/>
          <w:szCs w:val="20"/>
        </w:rPr>
        <w:t xml:space="preserve">adott esetben </w:t>
      </w:r>
      <w:r w:rsidR="00C7712B">
        <w:rPr>
          <w:color w:val="auto"/>
          <w:szCs w:val="20"/>
        </w:rPr>
        <w:t xml:space="preserve">a </w:t>
      </w:r>
      <w:r w:rsidR="008E2E3F" w:rsidRPr="004101DA">
        <w:rPr>
          <w:color w:val="auto"/>
          <w:szCs w:val="20"/>
        </w:rPr>
        <w:t xml:space="preserve">JTM </w:t>
      </w:r>
      <w:r w:rsidR="00EF1675">
        <w:rPr>
          <w:color w:val="auto"/>
          <w:szCs w:val="20"/>
        </w:rPr>
        <w:t>r</w:t>
      </w:r>
      <w:r w:rsidR="008E2E3F" w:rsidRPr="004101DA">
        <w:rPr>
          <w:color w:val="auto"/>
          <w:szCs w:val="20"/>
        </w:rPr>
        <w:t xml:space="preserve">endeletben rögzítetteknek megfelelően) jár el. </w:t>
      </w:r>
      <w:r w:rsidR="007C6750" w:rsidRPr="004831E1">
        <w:rPr>
          <w:color w:val="auto"/>
          <w:szCs w:val="20"/>
        </w:rPr>
        <w:t xml:space="preserve">A JTM szabályokat sértő ügyleteknek azok az esetek számítanak, amikor a Bank a JTM rendeletben meghatározott jövedelemarányos törlesztőrészlet mutató (JTM) számítási módját, alkalmazását, a kivételszabályokat és a </w:t>
      </w:r>
      <w:proofErr w:type="spellStart"/>
      <w:r w:rsidR="007C6750" w:rsidRPr="004831E1">
        <w:rPr>
          <w:color w:val="auto"/>
          <w:szCs w:val="20"/>
        </w:rPr>
        <w:t>JTM-hez</w:t>
      </w:r>
      <w:proofErr w:type="spellEnd"/>
      <w:r w:rsidR="007C6750" w:rsidRPr="004831E1">
        <w:rPr>
          <w:color w:val="auto"/>
          <w:szCs w:val="20"/>
        </w:rPr>
        <w:t xml:space="preserve"> kapcsolódó bármely egyéb előírást nem, vagy nem </w:t>
      </w:r>
      <w:proofErr w:type="spellStart"/>
      <w:r w:rsidR="007C6750" w:rsidRPr="004831E1">
        <w:rPr>
          <w:color w:val="auto"/>
          <w:szCs w:val="20"/>
        </w:rPr>
        <w:t>teljeskörűen</w:t>
      </w:r>
      <w:proofErr w:type="spellEnd"/>
      <w:r w:rsidR="007C6750" w:rsidRPr="004831E1">
        <w:rPr>
          <w:color w:val="auto"/>
          <w:szCs w:val="20"/>
        </w:rPr>
        <w:t xml:space="preserve"> teljesíti a hitelezési folyamata során.</w:t>
      </w:r>
    </w:p>
    <w:p w14:paraId="237C6F4D" w14:textId="7A3DADC7" w:rsidR="00DE20BD" w:rsidRPr="004101DA" w:rsidRDefault="00AA5738" w:rsidP="00DE20BD">
      <w:pPr>
        <w:pStyle w:val="Default"/>
        <w:spacing w:before="120"/>
        <w:jc w:val="both"/>
        <w:rPr>
          <w:color w:val="auto"/>
          <w:szCs w:val="20"/>
        </w:rPr>
      </w:pPr>
      <w:r w:rsidRPr="004101DA">
        <w:rPr>
          <w:color w:val="auto"/>
          <w:szCs w:val="20"/>
        </w:rPr>
        <w:t>Az MNB a</w:t>
      </w:r>
      <w:r w:rsidR="00165EEA" w:rsidRPr="004101DA">
        <w:rPr>
          <w:color w:val="auto"/>
          <w:szCs w:val="20"/>
        </w:rPr>
        <w:t xml:space="preserve"> jogszabálysértés és a</w:t>
      </w:r>
      <w:r w:rsidRPr="004101DA">
        <w:rPr>
          <w:color w:val="auto"/>
          <w:szCs w:val="20"/>
        </w:rPr>
        <w:t xml:space="preserve">z érintett ügyletek nem megfelelő kezelése esetén </w:t>
      </w:r>
      <w:r w:rsidR="00165EEA" w:rsidRPr="004101DA">
        <w:rPr>
          <w:color w:val="auto"/>
          <w:szCs w:val="20"/>
        </w:rPr>
        <w:t>többlet-</w:t>
      </w:r>
      <w:r w:rsidRPr="004101DA">
        <w:rPr>
          <w:color w:val="auto"/>
          <w:szCs w:val="20"/>
        </w:rPr>
        <w:t xml:space="preserve">tőkekövetelmény meghatározását tartja indokoltnak. </w:t>
      </w:r>
    </w:p>
    <w:p w14:paraId="44BE32EB" w14:textId="6B95E1B2" w:rsidR="00EF1675" w:rsidRPr="007C6750" w:rsidRDefault="000407B1" w:rsidP="000407B1">
      <w:pPr>
        <w:pStyle w:val="Default"/>
        <w:spacing w:before="120"/>
        <w:jc w:val="both"/>
        <w:rPr>
          <w:color w:val="auto"/>
          <w:szCs w:val="20"/>
        </w:rPr>
      </w:pPr>
      <w:r w:rsidRPr="007C6750">
        <w:rPr>
          <w:color w:val="auto"/>
          <w:szCs w:val="20"/>
        </w:rPr>
        <w:t xml:space="preserve">Az MNB a JTM </w:t>
      </w:r>
      <w:r w:rsidR="00F33F9D">
        <w:rPr>
          <w:color w:val="auto"/>
          <w:szCs w:val="20"/>
        </w:rPr>
        <w:t>szabályokat</w:t>
      </w:r>
      <w:r w:rsidRPr="007C6750">
        <w:rPr>
          <w:color w:val="auto"/>
          <w:szCs w:val="20"/>
        </w:rPr>
        <w:t xml:space="preserve"> nem sértő, de nem konzervatív módon eljáró intézmények esetén is tőkekövetelmény-többletet határoz meg, amennyiben a Bank nem kellően alaposan </w:t>
      </w:r>
      <w:r w:rsidR="003C5A1D">
        <w:rPr>
          <w:color w:val="auto"/>
          <w:szCs w:val="20"/>
        </w:rPr>
        <w:t>fel kell tárnia</w:t>
      </w:r>
      <w:r w:rsidRPr="007C6750">
        <w:rPr>
          <w:color w:val="auto"/>
          <w:szCs w:val="20"/>
        </w:rPr>
        <w:t xml:space="preserve"> az ügyfél jövedelmi helyzetét és teljes havi adósságszolgálatát</w:t>
      </w:r>
      <w:r w:rsidR="007C6750">
        <w:rPr>
          <w:color w:val="auto"/>
          <w:szCs w:val="20"/>
        </w:rPr>
        <w:t xml:space="preserve">. </w:t>
      </w:r>
      <w:r w:rsidR="007C6750" w:rsidRPr="004831E1">
        <w:rPr>
          <w:color w:val="auto"/>
          <w:szCs w:val="20"/>
        </w:rPr>
        <w:t xml:space="preserve">Az MNB álláspontja szerint az ügyfél jövedelmi helyzetének kellően alapos </w:t>
      </w:r>
      <w:proofErr w:type="spellStart"/>
      <w:r w:rsidR="007C6750" w:rsidRPr="004831E1">
        <w:rPr>
          <w:color w:val="auto"/>
          <w:szCs w:val="20"/>
        </w:rPr>
        <w:t>körüljárása</w:t>
      </w:r>
      <w:proofErr w:type="spellEnd"/>
      <w:r w:rsidR="007C6750" w:rsidRPr="004831E1">
        <w:rPr>
          <w:color w:val="auto"/>
          <w:szCs w:val="20"/>
        </w:rPr>
        <w:t>, és az egyéb hiteltartozásainak feltérképezése érdekében elvárt a Központi Hitelinformációs Rendszerből (</w:t>
      </w:r>
      <w:proofErr w:type="spellStart"/>
      <w:r w:rsidR="007C6750" w:rsidRPr="004831E1">
        <w:rPr>
          <w:color w:val="auto"/>
          <w:szCs w:val="20"/>
        </w:rPr>
        <w:t>KHR</w:t>
      </w:r>
      <w:proofErr w:type="spellEnd"/>
      <w:r w:rsidR="007C6750" w:rsidRPr="004831E1">
        <w:rPr>
          <w:color w:val="auto"/>
          <w:szCs w:val="20"/>
        </w:rPr>
        <w:t>) az ügyfélről rendelkezésre álló információk (negatív események és pozitív hiteltörténet) teljeskörű lekérdezése.</w:t>
      </w:r>
      <w:r w:rsidR="007C6750" w:rsidRPr="004D4EE7">
        <w:rPr>
          <w:sz w:val="22"/>
          <w:szCs w:val="22"/>
        </w:rPr>
        <w:t xml:space="preserve"> </w:t>
      </w:r>
      <w:r w:rsidRPr="007C6750">
        <w:rPr>
          <w:color w:val="auto"/>
          <w:szCs w:val="20"/>
        </w:rPr>
        <w:t xml:space="preserve"> </w:t>
      </w:r>
    </w:p>
    <w:p w14:paraId="581F661A" w14:textId="75DB92F6" w:rsidR="00EF1675" w:rsidRDefault="00DE20BD" w:rsidP="00EF1675">
      <w:pPr>
        <w:pStyle w:val="Default"/>
        <w:spacing w:before="120"/>
        <w:jc w:val="both"/>
        <w:rPr>
          <w:color w:val="auto"/>
          <w:szCs w:val="20"/>
        </w:rPr>
      </w:pPr>
      <w:r w:rsidRPr="00F33F9D">
        <w:rPr>
          <w:b/>
          <w:color w:val="auto"/>
          <w:szCs w:val="20"/>
        </w:rPr>
        <w:t>Előírt többlettőke nagysága:</w:t>
      </w:r>
      <w:r w:rsidRPr="004831E1">
        <w:rPr>
          <w:color w:val="auto"/>
          <w:szCs w:val="20"/>
        </w:rPr>
        <w:t xml:space="preserve"> </w:t>
      </w:r>
      <w:r w:rsidR="00335340">
        <w:rPr>
          <w:color w:val="auto"/>
          <w:szCs w:val="20"/>
        </w:rPr>
        <w:t>Az</w:t>
      </w:r>
      <w:r w:rsidRPr="004101DA">
        <w:rPr>
          <w:color w:val="auto"/>
          <w:szCs w:val="20"/>
        </w:rPr>
        <w:t xml:space="preserve"> intézmények</w:t>
      </w:r>
      <w:r w:rsidR="00335340">
        <w:rPr>
          <w:color w:val="auto"/>
          <w:szCs w:val="20"/>
        </w:rPr>
        <w:t>nél</w:t>
      </w:r>
      <w:r w:rsidRPr="004101DA">
        <w:rPr>
          <w:color w:val="auto"/>
          <w:szCs w:val="20"/>
        </w:rPr>
        <w:t xml:space="preserve"> </w:t>
      </w:r>
      <w:r w:rsidR="00335340">
        <w:rPr>
          <w:color w:val="auto"/>
          <w:szCs w:val="20"/>
        </w:rPr>
        <w:t>(a felügyeleti felülvizsgálat típusától függetlenül)</w:t>
      </w:r>
      <w:r w:rsidRPr="004101DA">
        <w:rPr>
          <w:color w:val="auto"/>
          <w:szCs w:val="20"/>
        </w:rPr>
        <w:t xml:space="preserve"> a JTM </w:t>
      </w:r>
      <w:r w:rsidR="001D7F18">
        <w:rPr>
          <w:color w:val="auto"/>
          <w:szCs w:val="20"/>
        </w:rPr>
        <w:t>r</w:t>
      </w:r>
      <w:r w:rsidRPr="004101DA">
        <w:rPr>
          <w:color w:val="auto"/>
          <w:szCs w:val="20"/>
        </w:rPr>
        <w:t>endelet</w:t>
      </w:r>
      <w:r w:rsidR="00001E22" w:rsidRPr="004101DA">
        <w:rPr>
          <w:color w:val="auto"/>
          <w:szCs w:val="20"/>
        </w:rPr>
        <w:t xml:space="preserve"> hatálya alá tartozó, de az</w:t>
      </w:r>
      <w:r w:rsidRPr="004101DA">
        <w:rPr>
          <w:color w:val="auto"/>
          <w:szCs w:val="20"/>
        </w:rPr>
        <w:t xml:space="preserve"> előírt </w:t>
      </w:r>
      <w:r w:rsidR="00BD6D0B">
        <w:rPr>
          <w:color w:val="auto"/>
          <w:szCs w:val="20"/>
        </w:rPr>
        <w:t xml:space="preserve">JTM-re vonatkozó </w:t>
      </w:r>
      <w:r w:rsidRPr="004101DA">
        <w:rPr>
          <w:color w:val="auto"/>
          <w:szCs w:val="20"/>
        </w:rPr>
        <w:t>szabályoktól eltérő</w:t>
      </w:r>
      <w:r w:rsidR="00001E22" w:rsidRPr="004101DA">
        <w:rPr>
          <w:color w:val="auto"/>
          <w:szCs w:val="20"/>
        </w:rPr>
        <w:t>en szerződött</w:t>
      </w:r>
      <w:r w:rsidRPr="004101DA">
        <w:rPr>
          <w:color w:val="auto"/>
          <w:szCs w:val="20"/>
        </w:rPr>
        <w:t xml:space="preserve"> </w:t>
      </w:r>
      <w:r w:rsidR="00001E22" w:rsidRPr="004101DA">
        <w:rPr>
          <w:color w:val="auto"/>
          <w:szCs w:val="20"/>
        </w:rPr>
        <w:t xml:space="preserve">lakossági </w:t>
      </w:r>
      <w:r w:rsidRPr="004101DA">
        <w:rPr>
          <w:color w:val="auto"/>
          <w:szCs w:val="20"/>
        </w:rPr>
        <w:t xml:space="preserve">ügyletek </w:t>
      </w:r>
      <w:r w:rsidR="00165EEA" w:rsidRPr="004101DA">
        <w:rPr>
          <w:color w:val="auto"/>
          <w:szCs w:val="20"/>
        </w:rPr>
        <w:t>eseté</w:t>
      </w:r>
      <w:r w:rsidR="006807D0" w:rsidRPr="004101DA">
        <w:rPr>
          <w:color w:val="auto"/>
          <w:szCs w:val="20"/>
        </w:rPr>
        <w:t xml:space="preserve">n </w:t>
      </w:r>
      <w:r w:rsidR="00165EEA" w:rsidRPr="004101DA">
        <w:rPr>
          <w:color w:val="auto"/>
          <w:szCs w:val="20"/>
        </w:rPr>
        <w:t xml:space="preserve">a </w:t>
      </w:r>
      <w:r w:rsidR="00BD6D0B" w:rsidRPr="004831E1">
        <w:rPr>
          <w:color w:val="auto"/>
          <w:szCs w:val="20"/>
        </w:rPr>
        <w:t>teljes kitettség tőkével fedezendő (a többlet-tőkekövetelmény mértéke az 1250%-os kockázati súllyal meghatározott érték)</w:t>
      </w:r>
      <w:r w:rsidR="006D729F" w:rsidRPr="004101DA">
        <w:rPr>
          <w:color w:val="auto"/>
          <w:szCs w:val="20"/>
        </w:rPr>
        <w:t>.</w:t>
      </w:r>
      <w:r w:rsidR="00677E4A" w:rsidRPr="004101DA">
        <w:rPr>
          <w:color w:val="auto"/>
          <w:szCs w:val="20"/>
        </w:rPr>
        <w:t xml:space="preserve"> </w:t>
      </w:r>
      <w:r w:rsidR="00BF28E8">
        <w:rPr>
          <w:color w:val="auto"/>
          <w:szCs w:val="20"/>
        </w:rPr>
        <w:t xml:space="preserve">Amennyiben fogyasztói hozzájárulás hiányában a Banknak nem áll módjában a pozitív hiteltörténeti adatok </w:t>
      </w:r>
      <w:proofErr w:type="spellStart"/>
      <w:r w:rsidR="00BF28E8">
        <w:rPr>
          <w:color w:val="auto"/>
          <w:szCs w:val="20"/>
        </w:rPr>
        <w:t>KHR-ből</w:t>
      </w:r>
      <w:proofErr w:type="spellEnd"/>
      <w:r w:rsidR="00BF28E8">
        <w:rPr>
          <w:color w:val="auto"/>
          <w:szCs w:val="20"/>
        </w:rPr>
        <w:t xml:space="preserve"> való lekérdezése és </w:t>
      </w:r>
      <w:r w:rsidR="00BF28E8" w:rsidRPr="004831E1">
        <w:rPr>
          <w:color w:val="auto"/>
          <w:szCs w:val="20"/>
        </w:rPr>
        <w:t xml:space="preserve">vonatkozó belső szabályzatában nem rögzítette az ilyen hitelkérelmek negatív elbírálását (kizárását), de a hitelképesség vizsgálata más forrásból származó adatok alapján is elvégezhető, a Bank </w:t>
      </w:r>
      <w:r w:rsidR="00B11125">
        <w:rPr>
          <w:color w:val="auto"/>
          <w:szCs w:val="20"/>
        </w:rPr>
        <w:t xml:space="preserve">az ilyen ügyleteket </w:t>
      </w:r>
      <w:r w:rsidR="00BF28E8" w:rsidRPr="004831E1">
        <w:rPr>
          <w:color w:val="auto"/>
          <w:szCs w:val="20"/>
        </w:rPr>
        <w:t>köteles</w:t>
      </w:r>
      <w:r w:rsidR="00EF1675">
        <w:rPr>
          <w:color w:val="auto"/>
          <w:szCs w:val="20"/>
        </w:rPr>
        <w:t xml:space="preserve"> – az alkalmazási határidőt követően </w:t>
      </w:r>
      <w:r w:rsidR="00EF1675" w:rsidRPr="00630087">
        <w:rPr>
          <w:color w:val="auto"/>
          <w:szCs w:val="20"/>
        </w:rPr>
        <w:t>(</w:t>
      </w:r>
      <w:r w:rsidR="00EF1675" w:rsidRPr="004831E1">
        <w:rPr>
          <w:color w:val="auto"/>
          <w:szCs w:val="20"/>
        </w:rPr>
        <w:t>2019. október 1.</w:t>
      </w:r>
      <w:r w:rsidR="00EF1675" w:rsidRPr="00630087">
        <w:rPr>
          <w:color w:val="auto"/>
          <w:szCs w:val="20"/>
        </w:rPr>
        <w:t xml:space="preserve">) </w:t>
      </w:r>
      <w:r w:rsidR="00EF1675">
        <w:rPr>
          <w:color w:val="auto"/>
          <w:szCs w:val="20"/>
        </w:rPr>
        <w:t>–</w:t>
      </w:r>
      <w:r w:rsidR="00BF28E8" w:rsidRPr="004831E1">
        <w:rPr>
          <w:color w:val="auto"/>
          <w:szCs w:val="20"/>
        </w:rPr>
        <w:t xml:space="preserve"> egyértelműen </w:t>
      </w:r>
      <w:proofErr w:type="spellStart"/>
      <w:r w:rsidR="00BF28E8" w:rsidRPr="004831E1">
        <w:rPr>
          <w:color w:val="auto"/>
          <w:szCs w:val="20"/>
        </w:rPr>
        <w:t>számontartani</w:t>
      </w:r>
      <w:proofErr w:type="spellEnd"/>
      <w:r w:rsidR="00BF28E8" w:rsidRPr="004831E1">
        <w:rPr>
          <w:color w:val="auto"/>
          <w:szCs w:val="20"/>
        </w:rPr>
        <w:t xml:space="preserve"> (rendszereiben/analitikájában megjelölni) és teljes bruttó kitettség</w:t>
      </w:r>
      <w:r w:rsidR="00B11125">
        <w:rPr>
          <w:color w:val="auto"/>
          <w:szCs w:val="20"/>
        </w:rPr>
        <w:t>üke</w:t>
      </w:r>
      <w:r w:rsidR="00BF28E8" w:rsidRPr="004831E1">
        <w:rPr>
          <w:color w:val="auto"/>
          <w:szCs w:val="20"/>
        </w:rPr>
        <w:t xml:space="preserve">t tőkével fedezni. Abban az esetben, ha a Bank nem jelöli azon ügyleteket, ahol a hitelbírálat előtt a pozitív hiteltörténeti adatok </w:t>
      </w:r>
      <w:proofErr w:type="spellStart"/>
      <w:r w:rsidR="00BF28E8" w:rsidRPr="004831E1">
        <w:rPr>
          <w:color w:val="auto"/>
          <w:szCs w:val="20"/>
        </w:rPr>
        <w:t>KHR-ből</w:t>
      </w:r>
      <w:proofErr w:type="spellEnd"/>
      <w:r w:rsidR="00BF28E8" w:rsidRPr="004831E1">
        <w:rPr>
          <w:color w:val="auto"/>
          <w:szCs w:val="20"/>
        </w:rPr>
        <w:t xml:space="preserve"> történő lekérdezése elmaradt, az alkalmazási határidő után folyósított teljes, JTM rendelet alá tartozó releváns állományra köteles 1250%-os kockázati súllyal meghatározott többlettőkét megképezni.</w:t>
      </w:r>
    </w:p>
    <w:p w14:paraId="60646544" w14:textId="44C7DAE3" w:rsidR="001A49DE" w:rsidRPr="004101DA" w:rsidRDefault="00EF1675" w:rsidP="00003494">
      <w:pPr>
        <w:pStyle w:val="Default"/>
        <w:spacing w:before="120"/>
        <w:jc w:val="both"/>
        <w:rPr>
          <w:color w:val="auto"/>
          <w:szCs w:val="20"/>
        </w:rPr>
      </w:pPr>
      <w:r w:rsidRPr="004831E1">
        <w:rPr>
          <w:color w:val="auto"/>
          <w:szCs w:val="20"/>
        </w:rPr>
        <w:t xml:space="preserve">Elkerülendő, hogy a pénzügyi vállalkozások banki forrásból, közvetve finanszírozzanak pozitív </w:t>
      </w:r>
      <w:proofErr w:type="spellStart"/>
      <w:r w:rsidRPr="004831E1">
        <w:rPr>
          <w:color w:val="auto"/>
          <w:szCs w:val="20"/>
        </w:rPr>
        <w:t>KHR</w:t>
      </w:r>
      <w:proofErr w:type="spellEnd"/>
      <w:r w:rsidRPr="004831E1">
        <w:rPr>
          <w:color w:val="auto"/>
          <w:szCs w:val="20"/>
        </w:rPr>
        <w:t xml:space="preserve"> lekérdezéshez nem hozzájáruló ügyfeleket, ezért a Bankok kötelesek a lakossági hitelezési </w:t>
      </w:r>
      <w:r w:rsidRPr="004831E1">
        <w:rPr>
          <w:color w:val="auto"/>
          <w:szCs w:val="20"/>
        </w:rPr>
        <w:lastRenderedPageBreak/>
        <w:t xml:space="preserve">tevékenységet folytató pénzügyi vállalkozások refinanszírozása előtt meggyőződni arról, hogy a pénzügyi vállalkozás belső szabályozásában </w:t>
      </w:r>
      <w:r w:rsidR="00EE11B9">
        <w:rPr>
          <w:color w:val="auto"/>
          <w:szCs w:val="20"/>
        </w:rPr>
        <w:t>és</w:t>
      </w:r>
      <w:r w:rsidRPr="004831E1">
        <w:rPr>
          <w:color w:val="auto"/>
          <w:szCs w:val="20"/>
        </w:rPr>
        <w:t xml:space="preserve"> a termékek általános szerződési feltételeiben rögzítette-e, hogy a pozitív hitelinformációs adatok lekérdezéséhez való hozzájárul</w:t>
      </w:r>
      <w:r w:rsidR="00F33F9D">
        <w:rPr>
          <w:color w:val="auto"/>
          <w:szCs w:val="20"/>
        </w:rPr>
        <w:t>ás</w:t>
      </w:r>
      <w:r w:rsidRPr="004831E1">
        <w:rPr>
          <w:color w:val="auto"/>
          <w:szCs w:val="20"/>
        </w:rPr>
        <w:t xml:space="preserve"> feltétele a hitelbírálatnak. Amennyiben erre nem kerül sor, akkor a Bank köteles a pénzügyi vállalkozás felé fennálló teljes új kitettségére </w:t>
      </w:r>
      <w:r w:rsidR="00D27BA2">
        <w:rPr>
          <w:color w:val="auto"/>
          <w:szCs w:val="20"/>
        </w:rPr>
        <w:t>1250</w:t>
      </w:r>
      <w:r w:rsidRPr="004831E1">
        <w:rPr>
          <w:color w:val="auto"/>
          <w:szCs w:val="20"/>
        </w:rPr>
        <w:t>%-os kockázati súllyal meghatározott többlettőkét megképezni, függetlenül a hitel céljától.</w:t>
      </w:r>
      <w:r w:rsidR="003C5A1D">
        <w:rPr>
          <w:color w:val="auto"/>
          <w:szCs w:val="20"/>
        </w:rPr>
        <w:t xml:space="preserve"> Az ezen kockázatos portfólióra (5.) vonatkozó módosított előírásokat 2019. október 1-jét követően </w:t>
      </w:r>
      <w:r w:rsidR="003C5A1D" w:rsidRPr="003C5A1D">
        <w:t>kötött ügyletek esetén</w:t>
      </w:r>
      <w:r w:rsidR="003C5A1D">
        <w:t xml:space="preserve"> kell alkalmazni. </w:t>
      </w:r>
      <w:bookmarkEnd w:id="2"/>
    </w:p>
    <w:p w14:paraId="7E2DDE2A" w14:textId="1B97F0AD" w:rsidR="00460C0D" w:rsidRPr="004101DA" w:rsidRDefault="00992A48" w:rsidP="00003494">
      <w:pPr>
        <w:pStyle w:val="Default"/>
        <w:spacing w:before="120"/>
        <w:jc w:val="both"/>
        <w:rPr>
          <w:b/>
          <w:color w:val="auto"/>
        </w:rPr>
      </w:pPr>
      <w:r>
        <w:rPr>
          <w:b/>
          <w:color w:val="auto"/>
        </w:rPr>
        <w:t>6</w:t>
      </w:r>
      <w:r w:rsidR="00460C0D" w:rsidRPr="004101DA">
        <w:rPr>
          <w:b/>
          <w:color w:val="auto"/>
        </w:rPr>
        <w:t>. Követelés fejében átvett ingatlan-portf</w:t>
      </w:r>
      <w:r w:rsidR="00832E6A" w:rsidRPr="004101DA">
        <w:rPr>
          <w:b/>
          <w:color w:val="auto"/>
        </w:rPr>
        <w:t>ó</w:t>
      </w:r>
      <w:r w:rsidR="00460C0D" w:rsidRPr="004101DA">
        <w:rPr>
          <w:b/>
          <w:color w:val="auto"/>
        </w:rPr>
        <w:t>lió</w:t>
      </w:r>
    </w:p>
    <w:p w14:paraId="40B0E5D9" w14:textId="1CF7B3D3" w:rsidR="00460C0D" w:rsidRPr="004101DA" w:rsidRDefault="00460C0D" w:rsidP="00003494">
      <w:pPr>
        <w:pStyle w:val="Default"/>
        <w:spacing w:before="120"/>
        <w:jc w:val="both"/>
        <w:rPr>
          <w:color w:val="auto"/>
        </w:rPr>
      </w:pPr>
      <w:r w:rsidRPr="004101DA">
        <w:rPr>
          <w:color w:val="auto"/>
        </w:rPr>
        <w:t>Az MNB eddigi vizsgálati tapasztalatai alapján a követelés fejében átvett ingatlanok a</w:t>
      </w:r>
      <w:r w:rsidR="002C0C31" w:rsidRPr="004101DA">
        <w:rPr>
          <w:color w:val="auto"/>
        </w:rPr>
        <w:t xml:space="preserve"> válság alatti</w:t>
      </w:r>
      <w:r w:rsidR="00283B68" w:rsidRPr="004101DA">
        <w:rPr>
          <w:color w:val="auto"/>
        </w:rPr>
        <w:t xml:space="preserve"> </w:t>
      </w:r>
      <w:r w:rsidRPr="004101DA">
        <w:rPr>
          <w:color w:val="auto"/>
        </w:rPr>
        <w:t xml:space="preserve">évek ingatlanpiaci folyamatai következtében jelentős értékvesztést szenvedtek el. Az átvett ingatlanok sokszor eleve rosszul teljesítenek, és az átvevő </w:t>
      </w:r>
      <w:r w:rsidR="007F15DB">
        <w:rPr>
          <w:color w:val="auto"/>
        </w:rPr>
        <w:t>intézmény</w:t>
      </w:r>
      <w:r w:rsidRPr="004101DA">
        <w:rPr>
          <w:color w:val="auto"/>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w:t>
      </w:r>
      <w:proofErr w:type="spellStart"/>
      <w:r w:rsidRPr="004101DA">
        <w:rPr>
          <w:color w:val="auto"/>
        </w:rPr>
        <w:t>volatilitást</w:t>
      </w:r>
      <w:proofErr w:type="spellEnd"/>
      <w:r w:rsidRPr="004101DA">
        <w:rPr>
          <w:color w:val="auto"/>
        </w:rPr>
        <w:t xml:space="preserve"> eredményeznek a könyv szerinti értékben. </w:t>
      </w:r>
    </w:p>
    <w:p w14:paraId="5D6E8195" w14:textId="77777777" w:rsidR="00125A39" w:rsidRPr="004101DA" w:rsidRDefault="00460C0D" w:rsidP="00003494">
      <w:pPr>
        <w:pStyle w:val="Default"/>
        <w:spacing w:before="120"/>
        <w:jc w:val="both"/>
        <w:rPr>
          <w:rFonts w:ascii="Times New Roman" w:hAnsi="Times New Roman"/>
          <w:color w:val="auto"/>
        </w:rPr>
      </w:pPr>
      <w:r w:rsidRPr="004101DA">
        <w:rPr>
          <w:color w:val="auto"/>
        </w:rPr>
        <w:t xml:space="preserve">A vizsgálati tapasztalatok alapján az is elmondható, hogy a követelés fejében átvett ingatlanok tőkekövetelményének számítása az egyes intézményeknél jelentős eltérést mutat. Az MNB véleménye szerint a sztenderd módszert alkalmazó hitelintézeteknél a 100%-os kockázati súly (azaz a 8%-os tőkekövetelmény) a jelenlegi ingatlanpiaci helyzetben nem fedezi a visszavett ingatlanok kockázatát, ezért </w:t>
      </w:r>
      <w:r w:rsidR="00C7712B">
        <w:rPr>
          <w:color w:val="auto"/>
        </w:rPr>
        <w:t xml:space="preserve">az MNB </w:t>
      </w:r>
      <w:r w:rsidRPr="004101DA">
        <w:rPr>
          <w:color w:val="auto"/>
        </w:rPr>
        <w:t>egységes többlet</w:t>
      </w:r>
      <w:r w:rsidR="008879CC" w:rsidRPr="004101DA">
        <w:rPr>
          <w:color w:val="auto"/>
        </w:rPr>
        <w:t>-</w:t>
      </w:r>
      <w:r w:rsidRPr="004101DA">
        <w:rPr>
          <w:color w:val="auto"/>
        </w:rPr>
        <w:t>tőkekövetelményt ír elő ezen hitelintézetek számára, és az olyan modellt használó hitelintézetek számára, amelyek esetében az MNB a belső modell alapú tőkekövetelmény számítást a 2. pillér alatt nem fogadta el.</w:t>
      </w:r>
      <w:r w:rsidR="00125A39" w:rsidRPr="004101DA">
        <w:rPr>
          <w:rFonts w:ascii="Times New Roman" w:hAnsi="Times New Roman"/>
          <w:color w:val="auto"/>
        </w:rPr>
        <w:t xml:space="preserve"> </w:t>
      </w:r>
    </w:p>
    <w:p w14:paraId="736E2377" w14:textId="77777777" w:rsidR="00125A39" w:rsidRPr="004101DA" w:rsidRDefault="00125A39" w:rsidP="00003494">
      <w:pPr>
        <w:pStyle w:val="Default"/>
        <w:spacing w:before="120"/>
        <w:jc w:val="both"/>
        <w:rPr>
          <w:color w:val="auto"/>
        </w:rPr>
      </w:pPr>
      <w:r w:rsidRPr="004101DA">
        <w:rPr>
          <w:color w:val="auto"/>
        </w:rPr>
        <w:t xml:space="preserve">Amennyiben továbbá az intézmény az összevont felügyeleti körön kívüli </w:t>
      </w:r>
      <w:r w:rsidR="00BC646F" w:rsidRPr="004101DA">
        <w:rPr>
          <w:color w:val="auto"/>
        </w:rPr>
        <w:t>cég (harmadik</w:t>
      </w:r>
      <w:r w:rsidRPr="004101DA">
        <w:rPr>
          <w:color w:val="auto"/>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4101DA">
        <w:rPr>
          <w:color w:val="auto"/>
        </w:rPr>
        <w:t>képeznie</w:t>
      </w:r>
      <w:r w:rsidRPr="004101DA">
        <w:rPr>
          <w:color w:val="auto"/>
        </w:rPr>
        <w:t>.</w:t>
      </w:r>
    </w:p>
    <w:p w14:paraId="63539379" w14:textId="77777777" w:rsidR="00460C0D" w:rsidRPr="004101DA" w:rsidRDefault="00460C0D" w:rsidP="00003494">
      <w:pPr>
        <w:pStyle w:val="Default"/>
        <w:spacing w:before="120"/>
        <w:jc w:val="both"/>
        <w:rPr>
          <w:color w:val="auto"/>
        </w:rPr>
      </w:pPr>
      <w:r w:rsidRPr="004101DA">
        <w:rPr>
          <w:b/>
          <w:bCs/>
          <w:color w:val="auto"/>
        </w:rPr>
        <w:t xml:space="preserve">Előírt többlettőke nagysága: </w:t>
      </w:r>
      <w:r w:rsidRPr="004101DA">
        <w:rPr>
          <w:color w:val="auto"/>
        </w:rPr>
        <w:t>A követelés fejében átvett ingatlan portf</w:t>
      </w:r>
      <w:r w:rsidR="00832E6A" w:rsidRPr="004101DA">
        <w:rPr>
          <w:color w:val="auto"/>
        </w:rPr>
        <w:t>ó</w:t>
      </w:r>
      <w:r w:rsidRPr="004101DA">
        <w:rPr>
          <w:color w:val="auto"/>
        </w:rPr>
        <w:t xml:space="preserve">lió </w:t>
      </w:r>
      <w:r w:rsidR="00283B68" w:rsidRPr="004101DA">
        <w:rPr>
          <w:color w:val="auto"/>
        </w:rPr>
        <w:t xml:space="preserve">esetén az </w:t>
      </w:r>
      <w:r w:rsidRPr="004101DA">
        <w:rPr>
          <w:color w:val="auto"/>
        </w:rPr>
        <w:t>1. pillér alatti tőkeszükséglet 100%-a.</w:t>
      </w:r>
    </w:p>
    <w:p w14:paraId="184D83EB" w14:textId="77777777" w:rsidR="002C0C31" w:rsidRPr="004101DA" w:rsidRDefault="002C0C31" w:rsidP="002C0C31">
      <w:pPr>
        <w:pStyle w:val="Listaszerbekezds"/>
        <w:numPr>
          <w:ilvl w:val="0"/>
          <w:numId w:val="0"/>
        </w:numPr>
        <w:rPr>
          <w:sz w:val="24"/>
          <w:szCs w:val="24"/>
        </w:rPr>
      </w:pPr>
      <w:r w:rsidRPr="004101DA">
        <w:rPr>
          <w:sz w:val="24"/>
          <w:szCs w:val="24"/>
        </w:rPr>
        <w:t>A</w:t>
      </w:r>
      <w:r w:rsidR="00125A39" w:rsidRPr="004101DA">
        <w:rPr>
          <w:sz w:val="24"/>
          <w:szCs w:val="24"/>
        </w:rPr>
        <w:t xml:space="preserve">z összevont felügyeleti körön kívüli </w:t>
      </w:r>
      <w:r w:rsidR="00BC646F" w:rsidRPr="004101DA">
        <w:rPr>
          <w:sz w:val="24"/>
          <w:szCs w:val="24"/>
        </w:rPr>
        <w:t xml:space="preserve">cég </w:t>
      </w:r>
      <w:r w:rsidR="00125A39" w:rsidRPr="004101DA">
        <w:rPr>
          <w:sz w:val="24"/>
          <w:szCs w:val="24"/>
        </w:rPr>
        <w:t>számára követelés fejében átvett ingatlanok finanszírozására nyújtott hitel esetén a</w:t>
      </w:r>
      <w:r w:rsidRPr="004101DA">
        <w:rPr>
          <w:sz w:val="24"/>
          <w:szCs w:val="24"/>
        </w:rPr>
        <w:t xml:space="preserve"> tőkekövetelmény add-on mértéke</w:t>
      </w:r>
      <w:r w:rsidR="00BC646F" w:rsidRPr="004101DA">
        <w:rPr>
          <w:sz w:val="24"/>
          <w:szCs w:val="24"/>
        </w:rPr>
        <w:t xml:space="preserve"> szi</w:t>
      </w:r>
      <w:r w:rsidR="00125A39" w:rsidRPr="004101DA">
        <w:rPr>
          <w:sz w:val="24"/>
          <w:szCs w:val="24"/>
        </w:rPr>
        <w:t>n</w:t>
      </w:r>
      <w:r w:rsidR="00BC646F" w:rsidRPr="004101DA">
        <w:rPr>
          <w:sz w:val="24"/>
          <w:szCs w:val="24"/>
        </w:rPr>
        <w:t>t</w:t>
      </w:r>
      <w:r w:rsidR="00125A39" w:rsidRPr="004101DA">
        <w:rPr>
          <w:sz w:val="24"/>
          <w:szCs w:val="24"/>
        </w:rPr>
        <w:t>én</w:t>
      </w:r>
      <w:r w:rsidRPr="004101DA">
        <w:rPr>
          <w:sz w:val="24"/>
          <w:szCs w:val="24"/>
        </w:rPr>
        <w:t xml:space="preserve"> </w:t>
      </w:r>
      <w:r w:rsidR="00BC646F" w:rsidRPr="004101DA">
        <w:rPr>
          <w:sz w:val="24"/>
          <w:szCs w:val="24"/>
        </w:rPr>
        <w:t xml:space="preserve">az </w:t>
      </w:r>
      <w:r w:rsidRPr="004101DA">
        <w:rPr>
          <w:sz w:val="24"/>
          <w:szCs w:val="24"/>
        </w:rPr>
        <w:t>1. pilléres tőkekövetelmény 100%-a.</w:t>
      </w:r>
    </w:p>
    <w:p w14:paraId="70CA849E" w14:textId="77777777" w:rsidR="002C0C31" w:rsidRPr="00CB63C4" w:rsidRDefault="002C0C31" w:rsidP="00003494">
      <w:pPr>
        <w:pStyle w:val="Default"/>
        <w:spacing w:before="120"/>
        <w:jc w:val="both"/>
        <w:rPr>
          <w:b/>
          <w:color w:val="auto"/>
        </w:rPr>
      </w:pPr>
    </w:p>
    <w:sectPr w:rsidR="002C0C31" w:rsidRPr="00CB63C4" w:rsidSect="00F8511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9E97" w14:textId="77777777" w:rsidR="00CB034F" w:rsidRDefault="00CB034F">
      <w:r>
        <w:separator/>
      </w:r>
    </w:p>
  </w:endnote>
  <w:endnote w:type="continuationSeparator" w:id="0">
    <w:p w14:paraId="6075C266" w14:textId="77777777" w:rsidR="00CB034F" w:rsidRDefault="00CB034F">
      <w:r>
        <w:continuationSeparator/>
      </w:r>
    </w:p>
  </w:endnote>
  <w:endnote w:type="continuationNotice" w:id="1">
    <w:p w14:paraId="7013A12E" w14:textId="77777777" w:rsidR="00CB034F" w:rsidRDefault="00CB0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1DDA" w14:textId="77777777" w:rsidR="008C7974" w:rsidRDefault="008C79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CDF4" w14:textId="628EF874" w:rsidR="00017832" w:rsidRDefault="00017832">
    <w:pPr>
      <w:pStyle w:val="llb"/>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3580" w14:textId="77777777" w:rsidR="008C7974" w:rsidRDefault="008C7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9925" w14:textId="77777777" w:rsidR="00CB034F" w:rsidRDefault="00CB034F">
      <w:r>
        <w:separator/>
      </w:r>
    </w:p>
  </w:footnote>
  <w:footnote w:type="continuationSeparator" w:id="0">
    <w:p w14:paraId="34C515D9" w14:textId="77777777" w:rsidR="00CB034F" w:rsidRDefault="00CB034F">
      <w:r>
        <w:continuationSeparator/>
      </w:r>
    </w:p>
  </w:footnote>
  <w:footnote w:type="continuationNotice" w:id="1">
    <w:p w14:paraId="4C40DF65" w14:textId="77777777" w:rsidR="00CB034F" w:rsidRDefault="00CB034F">
      <w:pPr>
        <w:spacing w:after="0" w:line="240" w:lineRule="auto"/>
      </w:pPr>
    </w:p>
  </w:footnote>
  <w:footnote w:id="2">
    <w:p w14:paraId="244E8EB9" w14:textId="77777777" w:rsidR="00460C0D" w:rsidRPr="00547283" w:rsidRDefault="00460C0D" w:rsidP="00460C0D">
      <w:pPr>
        <w:pStyle w:val="doc-ti"/>
        <w:spacing w:before="0" w:after="0"/>
        <w:jc w:val="both"/>
        <w:rPr>
          <w:rFonts w:ascii="Calibri" w:hAnsi="Calibri"/>
          <w:b w:val="0"/>
          <w:sz w:val="16"/>
          <w:szCs w:val="16"/>
        </w:rPr>
      </w:pPr>
      <w:r w:rsidRPr="00880ED2">
        <w:rPr>
          <w:rStyle w:val="Lbjegyzet-hivatkozs"/>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footnote>
  <w:footnote w:id="3">
    <w:p w14:paraId="74C6034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rFonts w:ascii="Times New Roman" w:hAnsi="Times New Roman"/>
          <w:color w:val="auto"/>
          <w:szCs w:val="16"/>
        </w:rPr>
        <w:t xml:space="preserve"> </w:t>
      </w:r>
      <w:r w:rsidRPr="00C42361">
        <w:rPr>
          <w:color w:val="auto"/>
          <w:szCs w:val="16"/>
        </w:rPr>
        <w:t>103. cikk: Felügyeleti intézkedések alkalmazása a hasonló kockázati profillal rendelkező intézményekre</w:t>
      </w:r>
    </w:p>
    <w:p w14:paraId="6B78C436" w14:textId="77777777" w:rsidR="00460C0D" w:rsidRPr="00C42361" w:rsidRDefault="00460C0D" w:rsidP="00460C0D">
      <w:pPr>
        <w:pStyle w:val="Lbjegyzetszveg"/>
        <w:spacing w:after="0" w:line="240" w:lineRule="auto"/>
        <w:rPr>
          <w:rFonts w:ascii="Times New Roman" w:hAnsi="Times New Roman"/>
          <w:color w:val="auto"/>
          <w:szCs w:val="16"/>
        </w:rPr>
      </w:pPr>
      <w:r w:rsidRPr="00C42361">
        <w:rPr>
          <w:color w:val="auto"/>
          <w:szCs w:val="16"/>
        </w:rPr>
        <w:t>(1) Amennyiben az illetékes hatóságok a 97. cikk alapján megállapítják, hogy a hasonló kockázati profillal rendelkező intézmények – például a hasonló üzleti modellek vagy a kitettségek hasonló földrajzi helye alapján – hasonló kockázatoknak vannak vagy lehetnek kitéve vagy hasonló kockázatokat jelentenek a pénzügyi rendszer számára, a 97. cikkben említett felügyeleti felülvizsgálati és értékelési eljárást hasonló vagy azonos módon alkalmazhatják ezekre az intézményekre.</w:t>
      </w:r>
    </w:p>
  </w:footnote>
  <w:footnote w:id="4">
    <w:p w14:paraId="130C2A6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4C382B7" w14:textId="77777777" w:rsidR="00E258F2" w:rsidRPr="00F02B14" w:rsidRDefault="00460C0D" w:rsidP="00E258F2">
      <w:pPr>
        <w:pStyle w:val="Lbjegyzetszveg"/>
        <w:spacing w:after="0" w:line="240" w:lineRule="auto"/>
        <w:rPr>
          <w:color w:val="000000"/>
          <w:szCs w:val="16"/>
        </w:rPr>
      </w:pPr>
      <w:r w:rsidRPr="00F02B14">
        <w:rPr>
          <w:rStyle w:val="Lbjegyzet-hivatkozs"/>
          <w:color w:val="000000"/>
        </w:rPr>
        <w:footnoteRef/>
      </w:r>
      <w:r w:rsidRPr="00F02B14">
        <w:rPr>
          <w:color w:val="000000"/>
        </w:rPr>
        <w:t xml:space="preserve"> </w:t>
      </w:r>
      <w:hyperlink r:id="rId1" w:history="1">
        <w:r w:rsidRPr="00F02B14">
          <w:rPr>
            <w:rStyle w:val="Hiperhivatkozs"/>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iperhivatkozs"/>
            <w:color w:val="000000"/>
            <w:u w:val="none"/>
          </w:rPr>
          <w:t>http://www.eba.europa.eu/documents/10180/655339/EBA_2014_00040000_HU.pdf/16205104-550a-4183-9155-c803a86bbce9</w:t>
        </w:r>
      </w:hyperlink>
      <w:r w:rsidRPr="00F02B14">
        <w:rPr>
          <w:color w:val="000000"/>
        </w:rPr>
        <w:t xml:space="preserve">. </w:t>
      </w:r>
    </w:p>
  </w:footnote>
  <w:footnote w:id="6">
    <w:p w14:paraId="6B7A8364" w14:textId="77777777" w:rsidR="008B2C00" w:rsidRDefault="008B2C00" w:rsidP="008B2C00">
      <w:pPr>
        <w:autoSpaceDE w:val="0"/>
        <w:autoSpaceDN w:val="0"/>
        <w:adjustRightInd w:val="0"/>
        <w:spacing w:after="0" w:line="240" w:lineRule="auto"/>
      </w:pPr>
      <w:r w:rsidRPr="003C2D42">
        <w:rPr>
          <w:rStyle w:val="Lbjegyzet-hivatkozs"/>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 xml:space="preserve">eltérésnek kitett, természetes vagy pénzügyi fedezettel nem rendelkező kölcsönfelvevő; a természetes </w:t>
      </w:r>
      <w:proofErr w:type="spellStart"/>
      <w:r w:rsidRPr="00E258F2">
        <w:rPr>
          <w:rFonts w:cs="ArialMT"/>
          <w:sz w:val="16"/>
          <w:szCs w:val="16"/>
        </w:rPr>
        <w:t>fedezetek</w:t>
      </w:r>
      <w:proofErr w:type="spellEnd"/>
      <w:r w:rsidRPr="00E258F2">
        <w:rPr>
          <w:rFonts w:cs="ArialMT"/>
          <w:sz w:val="16"/>
          <w:szCs w:val="16"/>
        </w:rPr>
        <w:t xml:space="preserve">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7">
    <w:p w14:paraId="560F7628" w14:textId="77777777" w:rsidR="00460C0D" w:rsidRPr="008D3DDB" w:rsidRDefault="00460C0D" w:rsidP="00460C0D">
      <w:pPr>
        <w:pStyle w:val="Lbjegyzetszveg"/>
        <w:spacing w:after="0" w:line="240" w:lineRule="auto"/>
        <w:rPr>
          <w:color w:val="auto"/>
        </w:rPr>
      </w:pPr>
      <w:r w:rsidRPr="008D3DDB">
        <w:rPr>
          <w:rStyle w:val="Lbjegyzet-hivatkozs"/>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8">
    <w:p w14:paraId="2A34CCDA" w14:textId="77777777" w:rsidR="00180B29" w:rsidRDefault="00180B29" w:rsidP="003C2D42">
      <w:pPr>
        <w:pStyle w:val="Lbjegyzetszveg"/>
      </w:pPr>
      <w:r>
        <w:rPr>
          <w:rStyle w:val="Lbjegyzet-hivatkozs"/>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9">
    <w:p w14:paraId="46A38563" w14:textId="77777777" w:rsidR="00DE20BD" w:rsidRPr="006D729F" w:rsidRDefault="00DE20BD">
      <w:pPr>
        <w:pStyle w:val="Lbjegyzetszveg"/>
        <w:rPr>
          <w:color w:val="000000"/>
        </w:rPr>
      </w:pPr>
      <w:r w:rsidRPr="006D729F">
        <w:rPr>
          <w:rStyle w:val="Lbjegyzet-hivatkozs"/>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291" w14:textId="77777777" w:rsidR="008C7974" w:rsidRDefault="008C79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CDE1" w14:textId="77777777" w:rsidR="008C7974" w:rsidRDefault="008C79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11"/>
  </w:num>
  <w:num w:numId="8">
    <w:abstractNumId w:val="9"/>
  </w:num>
  <w:num w:numId="9">
    <w:abstractNumId w:val="8"/>
  </w:num>
  <w:num w:numId="10">
    <w:abstractNumId w:val="15"/>
  </w:num>
  <w:num w:numId="11">
    <w:abstractNumId w:val="16"/>
  </w:num>
  <w:num w:numId="12">
    <w:abstractNumId w:val="17"/>
  </w:num>
  <w:num w:numId="13">
    <w:abstractNumId w:val="14"/>
  </w:num>
  <w:num w:numId="14">
    <w:abstractNumId w:val="12"/>
  </w:num>
  <w:num w:numId="15">
    <w:abstractNumId w:val="9"/>
    <w:lvlOverride w:ilvl="0">
      <w:startOverride w:val="1"/>
    </w:lvlOverride>
  </w:num>
  <w:num w:numId="16">
    <w:abstractNumId w:val="2"/>
  </w:num>
  <w:num w:numId="17">
    <w:abstractNumId w:val="13"/>
  </w:num>
  <w:num w:numId="18">
    <w:abstractNumId w:val="10"/>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7695"/>
    <w:rsid w:val="00027B62"/>
    <w:rsid w:val="00030E37"/>
    <w:rsid w:val="00033357"/>
    <w:rsid w:val="00033786"/>
    <w:rsid w:val="00035697"/>
    <w:rsid w:val="000407B1"/>
    <w:rsid w:val="000448EA"/>
    <w:rsid w:val="00050837"/>
    <w:rsid w:val="00054C45"/>
    <w:rsid w:val="0005577F"/>
    <w:rsid w:val="00057740"/>
    <w:rsid w:val="00060148"/>
    <w:rsid w:val="00062DCC"/>
    <w:rsid w:val="00063216"/>
    <w:rsid w:val="0006374F"/>
    <w:rsid w:val="00064175"/>
    <w:rsid w:val="00064546"/>
    <w:rsid w:val="00067BE2"/>
    <w:rsid w:val="00067C0C"/>
    <w:rsid w:val="0008131E"/>
    <w:rsid w:val="00081934"/>
    <w:rsid w:val="0008300E"/>
    <w:rsid w:val="000830D3"/>
    <w:rsid w:val="000831EC"/>
    <w:rsid w:val="0008439F"/>
    <w:rsid w:val="00087E97"/>
    <w:rsid w:val="000912D6"/>
    <w:rsid w:val="0009256E"/>
    <w:rsid w:val="00096924"/>
    <w:rsid w:val="00097A5B"/>
    <w:rsid w:val="000A3686"/>
    <w:rsid w:val="000A3A63"/>
    <w:rsid w:val="000A5BCE"/>
    <w:rsid w:val="000A71F3"/>
    <w:rsid w:val="000B189C"/>
    <w:rsid w:val="000B6E22"/>
    <w:rsid w:val="000B7710"/>
    <w:rsid w:val="000C0D71"/>
    <w:rsid w:val="000C2918"/>
    <w:rsid w:val="000C6BF5"/>
    <w:rsid w:val="000C701E"/>
    <w:rsid w:val="000C701F"/>
    <w:rsid w:val="000C779E"/>
    <w:rsid w:val="000D1C8B"/>
    <w:rsid w:val="000D1E44"/>
    <w:rsid w:val="000D37CD"/>
    <w:rsid w:val="000D40AE"/>
    <w:rsid w:val="000D4F61"/>
    <w:rsid w:val="000D5F26"/>
    <w:rsid w:val="000E2CBD"/>
    <w:rsid w:val="000E4EE3"/>
    <w:rsid w:val="000E5533"/>
    <w:rsid w:val="000F2858"/>
    <w:rsid w:val="000F2AE0"/>
    <w:rsid w:val="000F30B8"/>
    <w:rsid w:val="000F68FE"/>
    <w:rsid w:val="00100954"/>
    <w:rsid w:val="00101654"/>
    <w:rsid w:val="00101B39"/>
    <w:rsid w:val="0010447E"/>
    <w:rsid w:val="0010496C"/>
    <w:rsid w:val="00110868"/>
    <w:rsid w:val="00113C88"/>
    <w:rsid w:val="00114BBD"/>
    <w:rsid w:val="0011737D"/>
    <w:rsid w:val="0011749D"/>
    <w:rsid w:val="001179FB"/>
    <w:rsid w:val="001226ED"/>
    <w:rsid w:val="001255A4"/>
    <w:rsid w:val="00125A39"/>
    <w:rsid w:val="00130405"/>
    <w:rsid w:val="00132260"/>
    <w:rsid w:val="00133A51"/>
    <w:rsid w:val="00134588"/>
    <w:rsid w:val="001356A6"/>
    <w:rsid w:val="001357D0"/>
    <w:rsid w:val="0013591D"/>
    <w:rsid w:val="00136260"/>
    <w:rsid w:val="00140100"/>
    <w:rsid w:val="001421CC"/>
    <w:rsid w:val="00143691"/>
    <w:rsid w:val="00143DC3"/>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78E0"/>
    <w:rsid w:val="00180B29"/>
    <w:rsid w:val="0018359E"/>
    <w:rsid w:val="0018619A"/>
    <w:rsid w:val="001870A7"/>
    <w:rsid w:val="001879A2"/>
    <w:rsid w:val="00197350"/>
    <w:rsid w:val="001A2BAA"/>
    <w:rsid w:val="001A3AA1"/>
    <w:rsid w:val="001A49DE"/>
    <w:rsid w:val="001A507C"/>
    <w:rsid w:val="001B0E45"/>
    <w:rsid w:val="001B16F8"/>
    <w:rsid w:val="001B3486"/>
    <w:rsid w:val="001B7F76"/>
    <w:rsid w:val="001C0FAA"/>
    <w:rsid w:val="001C2379"/>
    <w:rsid w:val="001C24F1"/>
    <w:rsid w:val="001C3754"/>
    <w:rsid w:val="001C466F"/>
    <w:rsid w:val="001C5C33"/>
    <w:rsid w:val="001D013C"/>
    <w:rsid w:val="001D4211"/>
    <w:rsid w:val="001D5999"/>
    <w:rsid w:val="001D59FD"/>
    <w:rsid w:val="001D60A8"/>
    <w:rsid w:val="001D7401"/>
    <w:rsid w:val="001D7B96"/>
    <w:rsid w:val="001D7F18"/>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E8B"/>
    <w:rsid w:val="002429D8"/>
    <w:rsid w:val="0024525F"/>
    <w:rsid w:val="002513FB"/>
    <w:rsid w:val="002522F1"/>
    <w:rsid w:val="002541B4"/>
    <w:rsid w:val="0025651D"/>
    <w:rsid w:val="002602F5"/>
    <w:rsid w:val="002611AE"/>
    <w:rsid w:val="0026180A"/>
    <w:rsid w:val="00263A1E"/>
    <w:rsid w:val="00270724"/>
    <w:rsid w:val="00271371"/>
    <w:rsid w:val="0027256E"/>
    <w:rsid w:val="00273052"/>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728F"/>
    <w:rsid w:val="002C7AB8"/>
    <w:rsid w:val="002C7D4D"/>
    <w:rsid w:val="002C7DD0"/>
    <w:rsid w:val="002D0D01"/>
    <w:rsid w:val="002D1144"/>
    <w:rsid w:val="002D19AB"/>
    <w:rsid w:val="002D2EAC"/>
    <w:rsid w:val="002D5E55"/>
    <w:rsid w:val="002E2337"/>
    <w:rsid w:val="002E3341"/>
    <w:rsid w:val="002F0892"/>
    <w:rsid w:val="002F34B5"/>
    <w:rsid w:val="002F34ED"/>
    <w:rsid w:val="002F602F"/>
    <w:rsid w:val="002F77B3"/>
    <w:rsid w:val="00300EE3"/>
    <w:rsid w:val="00301272"/>
    <w:rsid w:val="00302136"/>
    <w:rsid w:val="003049CE"/>
    <w:rsid w:val="00311871"/>
    <w:rsid w:val="003125FF"/>
    <w:rsid w:val="00313246"/>
    <w:rsid w:val="00314C74"/>
    <w:rsid w:val="00316E5F"/>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DB3"/>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3350"/>
    <w:rsid w:val="003A35C9"/>
    <w:rsid w:val="003A6C6C"/>
    <w:rsid w:val="003B12B2"/>
    <w:rsid w:val="003B2664"/>
    <w:rsid w:val="003B46BE"/>
    <w:rsid w:val="003B4CC7"/>
    <w:rsid w:val="003C15D7"/>
    <w:rsid w:val="003C2D42"/>
    <w:rsid w:val="003C40CA"/>
    <w:rsid w:val="003C5699"/>
    <w:rsid w:val="003C5A1D"/>
    <w:rsid w:val="003C5A7D"/>
    <w:rsid w:val="003D04D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47DF"/>
    <w:rsid w:val="00557A68"/>
    <w:rsid w:val="005607F8"/>
    <w:rsid w:val="00561175"/>
    <w:rsid w:val="005648EE"/>
    <w:rsid w:val="00571C3C"/>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7BFA"/>
    <w:rsid w:val="00631618"/>
    <w:rsid w:val="00636F81"/>
    <w:rsid w:val="00640DFB"/>
    <w:rsid w:val="0064222C"/>
    <w:rsid w:val="00642A07"/>
    <w:rsid w:val="00643529"/>
    <w:rsid w:val="00643CB4"/>
    <w:rsid w:val="00644BE4"/>
    <w:rsid w:val="00647845"/>
    <w:rsid w:val="006553F6"/>
    <w:rsid w:val="006563BE"/>
    <w:rsid w:val="00656E06"/>
    <w:rsid w:val="0066726C"/>
    <w:rsid w:val="00670455"/>
    <w:rsid w:val="00670593"/>
    <w:rsid w:val="00672BB6"/>
    <w:rsid w:val="00673051"/>
    <w:rsid w:val="0067570F"/>
    <w:rsid w:val="00677E4A"/>
    <w:rsid w:val="006807D0"/>
    <w:rsid w:val="00680903"/>
    <w:rsid w:val="00681108"/>
    <w:rsid w:val="00681177"/>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D02"/>
    <w:rsid w:val="006F6144"/>
    <w:rsid w:val="006F69EE"/>
    <w:rsid w:val="007010C0"/>
    <w:rsid w:val="0070255A"/>
    <w:rsid w:val="00702E90"/>
    <w:rsid w:val="00703864"/>
    <w:rsid w:val="00703E97"/>
    <w:rsid w:val="00707C38"/>
    <w:rsid w:val="00712461"/>
    <w:rsid w:val="007125EF"/>
    <w:rsid w:val="007135AF"/>
    <w:rsid w:val="007143D3"/>
    <w:rsid w:val="00714401"/>
    <w:rsid w:val="00715F68"/>
    <w:rsid w:val="00721C1E"/>
    <w:rsid w:val="007236B8"/>
    <w:rsid w:val="0072398E"/>
    <w:rsid w:val="00732D87"/>
    <w:rsid w:val="00736BD7"/>
    <w:rsid w:val="00737660"/>
    <w:rsid w:val="007376E0"/>
    <w:rsid w:val="007405F2"/>
    <w:rsid w:val="00741CE1"/>
    <w:rsid w:val="00742133"/>
    <w:rsid w:val="00742522"/>
    <w:rsid w:val="00744A1F"/>
    <w:rsid w:val="00746083"/>
    <w:rsid w:val="00746D82"/>
    <w:rsid w:val="007474DD"/>
    <w:rsid w:val="00754A11"/>
    <w:rsid w:val="00760CC8"/>
    <w:rsid w:val="007616BA"/>
    <w:rsid w:val="00762F98"/>
    <w:rsid w:val="00767D3F"/>
    <w:rsid w:val="00774306"/>
    <w:rsid w:val="00777F47"/>
    <w:rsid w:val="00782B80"/>
    <w:rsid w:val="00786EF4"/>
    <w:rsid w:val="0078766D"/>
    <w:rsid w:val="00791092"/>
    <w:rsid w:val="007913EE"/>
    <w:rsid w:val="00792C7B"/>
    <w:rsid w:val="007A2BE7"/>
    <w:rsid w:val="007A51ED"/>
    <w:rsid w:val="007B0D1E"/>
    <w:rsid w:val="007B1174"/>
    <w:rsid w:val="007B39B9"/>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7754"/>
    <w:rsid w:val="007F7E59"/>
    <w:rsid w:val="00803718"/>
    <w:rsid w:val="00813B54"/>
    <w:rsid w:val="00814A3D"/>
    <w:rsid w:val="00820368"/>
    <w:rsid w:val="00823B7E"/>
    <w:rsid w:val="00826C93"/>
    <w:rsid w:val="0083252A"/>
    <w:rsid w:val="00832E6A"/>
    <w:rsid w:val="008349B3"/>
    <w:rsid w:val="00836BAC"/>
    <w:rsid w:val="008370C0"/>
    <w:rsid w:val="00840065"/>
    <w:rsid w:val="00840D68"/>
    <w:rsid w:val="00842A79"/>
    <w:rsid w:val="008430AF"/>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474C"/>
    <w:rsid w:val="008C56D8"/>
    <w:rsid w:val="008C7974"/>
    <w:rsid w:val="008D173F"/>
    <w:rsid w:val="008D39B8"/>
    <w:rsid w:val="008D3DDB"/>
    <w:rsid w:val="008D583F"/>
    <w:rsid w:val="008D6221"/>
    <w:rsid w:val="008D7460"/>
    <w:rsid w:val="008E26F2"/>
    <w:rsid w:val="008E2E3F"/>
    <w:rsid w:val="008E32E6"/>
    <w:rsid w:val="008E3579"/>
    <w:rsid w:val="008F0310"/>
    <w:rsid w:val="008F1147"/>
    <w:rsid w:val="008F125A"/>
    <w:rsid w:val="008F7351"/>
    <w:rsid w:val="008F7C9A"/>
    <w:rsid w:val="0090185D"/>
    <w:rsid w:val="0090378A"/>
    <w:rsid w:val="00903AC3"/>
    <w:rsid w:val="00906726"/>
    <w:rsid w:val="00907C6D"/>
    <w:rsid w:val="009120FE"/>
    <w:rsid w:val="00921403"/>
    <w:rsid w:val="009228DF"/>
    <w:rsid w:val="00925712"/>
    <w:rsid w:val="00926B9C"/>
    <w:rsid w:val="00926EA9"/>
    <w:rsid w:val="00930F98"/>
    <w:rsid w:val="00932135"/>
    <w:rsid w:val="00933E50"/>
    <w:rsid w:val="00934193"/>
    <w:rsid w:val="00934F6E"/>
    <w:rsid w:val="00935041"/>
    <w:rsid w:val="009357A3"/>
    <w:rsid w:val="00937A0B"/>
    <w:rsid w:val="0094233D"/>
    <w:rsid w:val="00943288"/>
    <w:rsid w:val="0094340D"/>
    <w:rsid w:val="00943AFE"/>
    <w:rsid w:val="0094749A"/>
    <w:rsid w:val="00947618"/>
    <w:rsid w:val="00950ACA"/>
    <w:rsid w:val="00955727"/>
    <w:rsid w:val="00957F22"/>
    <w:rsid w:val="009612C1"/>
    <w:rsid w:val="00961F15"/>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AC9"/>
    <w:rsid w:val="009F153D"/>
    <w:rsid w:val="009F1CB4"/>
    <w:rsid w:val="009F2026"/>
    <w:rsid w:val="009F3EA1"/>
    <w:rsid w:val="009F413A"/>
    <w:rsid w:val="009F4292"/>
    <w:rsid w:val="00A00F2A"/>
    <w:rsid w:val="00A03212"/>
    <w:rsid w:val="00A038BD"/>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4661"/>
    <w:rsid w:val="00A44A5C"/>
    <w:rsid w:val="00A44C60"/>
    <w:rsid w:val="00A5096A"/>
    <w:rsid w:val="00A52A97"/>
    <w:rsid w:val="00A56AA1"/>
    <w:rsid w:val="00A56BCD"/>
    <w:rsid w:val="00A57D44"/>
    <w:rsid w:val="00A60012"/>
    <w:rsid w:val="00A611FE"/>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A5738"/>
    <w:rsid w:val="00AA7D28"/>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2845"/>
    <w:rsid w:val="00B63850"/>
    <w:rsid w:val="00B64835"/>
    <w:rsid w:val="00B64E8F"/>
    <w:rsid w:val="00B6635A"/>
    <w:rsid w:val="00B66A7E"/>
    <w:rsid w:val="00B702D5"/>
    <w:rsid w:val="00B723C6"/>
    <w:rsid w:val="00B72DFF"/>
    <w:rsid w:val="00B800CB"/>
    <w:rsid w:val="00B8074B"/>
    <w:rsid w:val="00B80953"/>
    <w:rsid w:val="00B8101A"/>
    <w:rsid w:val="00B8118A"/>
    <w:rsid w:val="00B82E31"/>
    <w:rsid w:val="00B861AB"/>
    <w:rsid w:val="00B95786"/>
    <w:rsid w:val="00B95B7E"/>
    <w:rsid w:val="00BA2A45"/>
    <w:rsid w:val="00BA3FEE"/>
    <w:rsid w:val="00BB04A2"/>
    <w:rsid w:val="00BB0CFE"/>
    <w:rsid w:val="00BB27C2"/>
    <w:rsid w:val="00BB7D50"/>
    <w:rsid w:val="00BC2804"/>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4C2"/>
    <w:rsid w:val="00C522BD"/>
    <w:rsid w:val="00C54557"/>
    <w:rsid w:val="00C56A59"/>
    <w:rsid w:val="00C63F2A"/>
    <w:rsid w:val="00C64F11"/>
    <w:rsid w:val="00C65057"/>
    <w:rsid w:val="00C662A1"/>
    <w:rsid w:val="00C7098F"/>
    <w:rsid w:val="00C7712B"/>
    <w:rsid w:val="00C824EE"/>
    <w:rsid w:val="00C836F2"/>
    <w:rsid w:val="00C863E5"/>
    <w:rsid w:val="00C86E6C"/>
    <w:rsid w:val="00C87990"/>
    <w:rsid w:val="00C907C0"/>
    <w:rsid w:val="00C93837"/>
    <w:rsid w:val="00C93D04"/>
    <w:rsid w:val="00C94331"/>
    <w:rsid w:val="00C96F68"/>
    <w:rsid w:val="00CA2250"/>
    <w:rsid w:val="00CA398B"/>
    <w:rsid w:val="00CB034F"/>
    <w:rsid w:val="00CB15EC"/>
    <w:rsid w:val="00CB63C4"/>
    <w:rsid w:val="00CC4CB1"/>
    <w:rsid w:val="00CD36BC"/>
    <w:rsid w:val="00CD6E8D"/>
    <w:rsid w:val="00CD724F"/>
    <w:rsid w:val="00CE188C"/>
    <w:rsid w:val="00CE36B8"/>
    <w:rsid w:val="00CE5DB4"/>
    <w:rsid w:val="00CF148C"/>
    <w:rsid w:val="00CF19FC"/>
    <w:rsid w:val="00CF2743"/>
    <w:rsid w:val="00D00C60"/>
    <w:rsid w:val="00D00D53"/>
    <w:rsid w:val="00D0156F"/>
    <w:rsid w:val="00D02170"/>
    <w:rsid w:val="00D03058"/>
    <w:rsid w:val="00D03F6C"/>
    <w:rsid w:val="00D05B73"/>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7CCE"/>
    <w:rsid w:val="00D62AE2"/>
    <w:rsid w:val="00D65091"/>
    <w:rsid w:val="00D65E8E"/>
    <w:rsid w:val="00D6703D"/>
    <w:rsid w:val="00D70268"/>
    <w:rsid w:val="00D717DA"/>
    <w:rsid w:val="00D74B36"/>
    <w:rsid w:val="00D754CB"/>
    <w:rsid w:val="00D7659E"/>
    <w:rsid w:val="00D77C30"/>
    <w:rsid w:val="00D80590"/>
    <w:rsid w:val="00D806E1"/>
    <w:rsid w:val="00D815CF"/>
    <w:rsid w:val="00D843B0"/>
    <w:rsid w:val="00D84BA5"/>
    <w:rsid w:val="00D84BC8"/>
    <w:rsid w:val="00D92C90"/>
    <w:rsid w:val="00D935BB"/>
    <w:rsid w:val="00D946B0"/>
    <w:rsid w:val="00DA2679"/>
    <w:rsid w:val="00DA3039"/>
    <w:rsid w:val="00DA5068"/>
    <w:rsid w:val="00DA581F"/>
    <w:rsid w:val="00DA5B26"/>
    <w:rsid w:val="00DA6B88"/>
    <w:rsid w:val="00DA73B6"/>
    <w:rsid w:val="00DB127D"/>
    <w:rsid w:val="00DB6CFF"/>
    <w:rsid w:val="00DC5A5B"/>
    <w:rsid w:val="00DC6C7E"/>
    <w:rsid w:val="00DC737A"/>
    <w:rsid w:val="00DC7B4A"/>
    <w:rsid w:val="00DD1972"/>
    <w:rsid w:val="00DD1A5C"/>
    <w:rsid w:val="00DD1DE8"/>
    <w:rsid w:val="00DD3D27"/>
    <w:rsid w:val="00DD62AD"/>
    <w:rsid w:val="00DD7153"/>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3610"/>
    <w:rsid w:val="00E35139"/>
    <w:rsid w:val="00E35190"/>
    <w:rsid w:val="00E44555"/>
    <w:rsid w:val="00E4526A"/>
    <w:rsid w:val="00E50101"/>
    <w:rsid w:val="00E50608"/>
    <w:rsid w:val="00E514CA"/>
    <w:rsid w:val="00E5165B"/>
    <w:rsid w:val="00E52ABA"/>
    <w:rsid w:val="00E5314F"/>
    <w:rsid w:val="00E56793"/>
    <w:rsid w:val="00E56D73"/>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7C26"/>
    <w:rsid w:val="00E92C19"/>
    <w:rsid w:val="00E93484"/>
    <w:rsid w:val="00E96058"/>
    <w:rsid w:val="00E97DA0"/>
    <w:rsid w:val="00EA2361"/>
    <w:rsid w:val="00EA5541"/>
    <w:rsid w:val="00EA59AD"/>
    <w:rsid w:val="00EA65F4"/>
    <w:rsid w:val="00EB11D4"/>
    <w:rsid w:val="00EB2886"/>
    <w:rsid w:val="00EB398E"/>
    <w:rsid w:val="00EB3CCD"/>
    <w:rsid w:val="00EB6D16"/>
    <w:rsid w:val="00EB73FE"/>
    <w:rsid w:val="00EC02BA"/>
    <w:rsid w:val="00EC2556"/>
    <w:rsid w:val="00EC4096"/>
    <w:rsid w:val="00EC429C"/>
    <w:rsid w:val="00EC6A51"/>
    <w:rsid w:val="00EC6F65"/>
    <w:rsid w:val="00EC73B5"/>
    <w:rsid w:val="00EC7FD6"/>
    <w:rsid w:val="00ED05AC"/>
    <w:rsid w:val="00ED10E2"/>
    <w:rsid w:val="00ED5748"/>
    <w:rsid w:val="00ED709F"/>
    <w:rsid w:val="00EE045C"/>
    <w:rsid w:val="00EE11B9"/>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37B4"/>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E737B4"/>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E737B4"/>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E737B4"/>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E737B4"/>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E737B4"/>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E737B4"/>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E737B4"/>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E737B4"/>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E737B4"/>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E737B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E737B4"/>
  </w:style>
  <w:style w:type="table" w:customStyle="1" w:styleId="tblzat-mtrix">
    <w:name w:val="táblázat - mátrix"/>
    <w:basedOn w:val="Normltblzat"/>
    <w:uiPriority w:val="2"/>
    <w:qFormat/>
    <w:rsid w:val="00E737B4"/>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E737B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E737B4"/>
    <w:pPr>
      <w:numPr>
        <w:numId w:val="15"/>
      </w:numPr>
      <w:contextualSpacing/>
    </w:pPr>
  </w:style>
  <w:style w:type="character" w:styleId="Hiperhivatkozs">
    <w:name w:val="Hyperlink"/>
    <w:basedOn w:val="Vgjegyzet-hivatkozs"/>
    <w:uiPriority w:val="99"/>
    <w:rsid w:val="00E737B4"/>
    <w:rPr>
      <w:rFonts w:ascii="Calibri" w:hAnsi="Calibri"/>
      <w:color w:val="0000FF"/>
      <w:sz w:val="20"/>
      <w:u w:val="single"/>
      <w:vertAlign w:val="superscript"/>
    </w:rPr>
  </w:style>
  <w:style w:type="table" w:customStyle="1" w:styleId="tblzat-oldallces">
    <w:name w:val="táblázat - oldalléces"/>
    <w:basedOn w:val="Normltblzat"/>
    <w:uiPriority w:val="3"/>
    <w:qFormat/>
    <w:rsid w:val="00E737B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E737B4"/>
    <w:rPr>
      <w:vertAlign w:val="superscript"/>
    </w:rPr>
  </w:style>
  <w:style w:type="paragraph" w:styleId="Buborkszveg">
    <w:name w:val="Balloon Text"/>
    <w:basedOn w:val="Norml"/>
    <w:link w:val="BuborkszvegChar"/>
    <w:uiPriority w:val="99"/>
    <w:semiHidden/>
    <w:unhideWhenUsed/>
    <w:rsid w:val="00E737B4"/>
    <w:rPr>
      <w:rFonts w:ascii="Tahoma" w:hAnsi="Tahoma" w:cs="Tahoma"/>
      <w:sz w:val="16"/>
      <w:szCs w:val="16"/>
    </w:rPr>
  </w:style>
  <w:style w:type="paragraph" w:customStyle="1" w:styleId="Magyarzszveg">
    <w:name w:val="Magyarázó szöveg"/>
    <w:basedOn w:val="Norml"/>
    <w:next w:val="Norml"/>
    <w:uiPriority w:val="7"/>
    <w:rsid w:val="00E737B4"/>
    <w:rPr>
      <w:color w:val="4BACC6" w:themeColor="accent5"/>
      <w:sz w:val="18"/>
    </w:rPr>
  </w:style>
  <w:style w:type="character" w:customStyle="1" w:styleId="BuborkszvegChar">
    <w:name w:val="Buborékszöveg Char"/>
    <w:basedOn w:val="Bekezdsalapbettpusa"/>
    <w:link w:val="Buborkszveg"/>
    <w:uiPriority w:val="99"/>
    <w:semiHidden/>
    <w:rsid w:val="00E737B4"/>
    <w:rPr>
      <w:rFonts w:ascii="Tahoma" w:eastAsiaTheme="minorHAnsi" w:hAnsi="Tahoma" w:cs="Tahoma"/>
      <w:sz w:val="16"/>
      <w:szCs w:val="16"/>
    </w:rPr>
  </w:style>
  <w:style w:type="paragraph" w:styleId="lfej">
    <w:name w:val="header"/>
    <w:basedOn w:val="Norml"/>
    <w:link w:val="lfejChar"/>
    <w:uiPriority w:val="99"/>
    <w:unhideWhenUsed/>
    <w:rsid w:val="00E737B4"/>
    <w:pPr>
      <w:tabs>
        <w:tab w:val="center" w:pos="4536"/>
        <w:tab w:val="right" w:pos="9072"/>
      </w:tabs>
    </w:pPr>
  </w:style>
  <w:style w:type="character" w:customStyle="1" w:styleId="lfejChar">
    <w:name w:val="Élőfej Char"/>
    <w:basedOn w:val="Bekezdsalapbettpusa"/>
    <w:link w:val="lfej"/>
    <w:uiPriority w:val="99"/>
    <w:rsid w:val="00E737B4"/>
    <w:rPr>
      <w:rFonts w:ascii="Calibri" w:eastAsiaTheme="minorHAnsi" w:hAnsi="Calibri" w:cstheme="minorBidi"/>
    </w:rPr>
  </w:style>
  <w:style w:type="paragraph" w:styleId="llb">
    <w:name w:val="footer"/>
    <w:basedOn w:val="Norml"/>
    <w:link w:val="llbChar"/>
    <w:uiPriority w:val="99"/>
    <w:unhideWhenUsed/>
    <w:rsid w:val="00E737B4"/>
    <w:pPr>
      <w:tabs>
        <w:tab w:val="center" w:pos="4536"/>
        <w:tab w:val="right" w:pos="9072"/>
      </w:tabs>
    </w:pPr>
  </w:style>
  <w:style w:type="character" w:customStyle="1" w:styleId="llbChar">
    <w:name w:val="Élőláb Char"/>
    <w:basedOn w:val="Bekezdsalapbettpusa"/>
    <w:link w:val="llb"/>
    <w:uiPriority w:val="99"/>
    <w:rsid w:val="00E737B4"/>
    <w:rPr>
      <w:rFonts w:ascii="Calibri" w:eastAsiaTheme="minorHAnsi" w:hAnsi="Calibri" w:cstheme="minorBidi"/>
    </w:rPr>
  </w:style>
  <w:style w:type="paragraph" w:customStyle="1" w:styleId="Szmozs">
    <w:name w:val="Számozás"/>
    <w:basedOn w:val="Norml"/>
    <w:uiPriority w:val="4"/>
    <w:qFormat/>
    <w:rsid w:val="00E737B4"/>
    <w:pPr>
      <w:numPr>
        <w:numId w:val="4"/>
      </w:numPr>
      <w:spacing w:before="120"/>
      <w:contextualSpacing/>
    </w:pPr>
  </w:style>
  <w:style w:type="table" w:styleId="Rcsostblzat">
    <w:name w:val="Table Grid"/>
    <w:aliases w:val="Szegély nélküli"/>
    <w:basedOn w:val="Normltblzat"/>
    <w:uiPriority w:val="59"/>
    <w:rsid w:val="00E737B4"/>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E737B4"/>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E737B4"/>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E737B4"/>
    <w:rPr>
      <w:rFonts w:ascii="Calibri" w:eastAsiaTheme="minorHAnsi" w:hAnsi="Calibri" w:cstheme="minorBidi"/>
      <w:color w:val="1F497D" w:themeColor="text2"/>
    </w:rPr>
  </w:style>
  <w:style w:type="character" w:customStyle="1" w:styleId="Cmsor1Char">
    <w:name w:val="Címsor 1 Char"/>
    <w:basedOn w:val="Bekezdsalapbettpusa"/>
    <w:link w:val="Cmsor1"/>
    <w:rsid w:val="00E737B4"/>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E737B4"/>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E737B4"/>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E737B4"/>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E737B4"/>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E737B4"/>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E737B4"/>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E737B4"/>
    <w:rPr>
      <w:rFonts w:ascii="Calibri" w:eastAsiaTheme="majorEastAsia" w:hAnsi="Calibri" w:cstheme="majorBidi"/>
      <w:i/>
      <w:iCs/>
      <w:color w:val="404040" w:themeColor="text1" w:themeTint="BF"/>
    </w:rPr>
  </w:style>
  <w:style w:type="numbering" w:customStyle="1" w:styleId="Style1">
    <w:name w:val="Style1"/>
    <w:uiPriority w:val="99"/>
    <w:rsid w:val="00E737B4"/>
    <w:pPr>
      <w:numPr>
        <w:numId w:val="1"/>
      </w:numPr>
    </w:pPr>
  </w:style>
  <w:style w:type="paragraph" w:styleId="TJ7">
    <w:name w:val="toc 7"/>
    <w:basedOn w:val="Norml"/>
    <w:next w:val="Norml"/>
    <w:autoRedefine/>
    <w:uiPriority w:val="99"/>
    <w:semiHidden/>
    <w:locked/>
    <w:rsid w:val="00E737B4"/>
    <w:pPr>
      <w:spacing w:after="100"/>
      <w:ind w:left="1200"/>
    </w:pPr>
    <w:rPr>
      <w:color w:val="984806" w:themeColor="accent6" w:themeShade="80"/>
    </w:rPr>
  </w:style>
  <w:style w:type="paragraph" w:styleId="TJ8">
    <w:name w:val="toc 8"/>
    <w:basedOn w:val="Norml"/>
    <w:next w:val="Norml"/>
    <w:autoRedefine/>
    <w:uiPriority w:val="99"/>
    <w:semiHidden/>
    <w:locked/>
    <w:rsid w:val="00E737B4"/>
    <w:pPr>
      <w:spacing w:after="100"/>
      <w:ind w:left="1400"/>
    </w:pPr>
    <w:rPr>
      <w:color w:val="984806" w:themeColor="accent6" w:themeShade="80"/>
    </w:rPr>
  </w:style>
  <w:style w:type="paragraph" w:styleId="TJ9">
    <w:name w:val="toc 9"/>
    <w:basedOn w:val="Norml"/>
    <w:next w:val="Norml"/>
    <w:autoRedefine/>
    <w:uiPriority w:val="99"/>
    <w:semiHidden/>
    <w:locked/>
    <w:rsid w:val="00E737B4"/>
    <w:pPr>
      <w:spacing w:after="100"/>
      <w:ind w:left="1600"/>
    </w:pPr>
    <w:rPr>
      <w:color w:val="984806" w:themeColor="accent6" w:themeShade="80"/>
    </w:rPr>
  </w:style>
  <w:style w:type="table" w:customStyle="1" w:styleId="Calendar2">
    <w:name w:val="Calendar 2"/>
    <w:basedOn w:val="Normltblzat"/>
    <w:uiPriority w:val="99"/>
    <w:qFormat/>
    <w:rsid w:val="00E737B4"/>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E737B4"/>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E737B4"/>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E737B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E737B4"/>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E737B4"/>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E737B4"/>
    <w:rPr>
      <w:color w:val="984806" w:themeColor="accent6" w:themeShade="80"/>
    </w:rPr>
  </w:style>
  <w:style w:type="character" w:customStyle="1" w:styleId="VgjegyzetszvegeChar">
    <w:name w:val="Végjegyzet szövege Char"/>
    <w:basedOn w:val="Bekezdsalapbettpusa"/>
    <w:link w:val="Vgjegyzetszvege"/>
    <w:uiPriority w:val="99"/>
    <w:semiHidden/>
    <w:rsid w:val="00E737B4"/>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E737B4"/>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E737B4"/>
    <w:pPr>
      <w:numPr>
        <w:numId w:val="5"/>
      </w:numPr>
    </w:pPr>
  </w:style>
  <w:style w:type="paragraph" w:customStyle="1" w:styleId="Tblaszvegstlus">
    <w:name w:val="Tábla szöveg stílus"/>
    <w:basedOn w:val="Norml"/>
    <w:link w:val="TblaszvegstlusChar"/>
    <w:uiPriority w:val="8"/>
    <w:qFormat/>
    <w:rsid w:val="00E737B4"/>
  </w:style>
  <w:style w:type="character" w:customStyle="1" w:styleId="ListaszerbekezdsChar">
    <w:name w:val="Listaszerű bekezdés Char"/>
    <w:basedOn w:val="Bekezdsalapbettpusa"/>
    <w:link w:val="Listaszerbekezds"/>
    <w:uiPriority w:val="4"/>
    <w:rsid w:val="00E737B4"/>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E737B4"/>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E737B4"/>
    <w:rPr>
      <w:rFonts w:ascii="Calibri" w:eastAsiaTheme="minorHAnsi" w:hAnsi="Calibri" w:cstheme="minorBidi"/>
    </w:rPr>
  </w:style>
  <w:style w:type="character" w:styleId="Finomhivatkozs">
    <w:name w:val="Subtle Reference"/>
    <w:basedOn w:val="Bekezdsalapbettpusa"/>
    <w:uiPriority w:val="31"/>
    <w:rsid w:val="00E737B4"/>
    <w:rPr>
      <w:sz w:val="24"/>
      <w:szCs w:val="24"/>
      <w:u w:val="single"/>
    </w:rPr>
  </w:style>
  <w:style w:type="character" w:styleId="Ershivatkozs">
    <w:name w:val="Intense Reference"/>
    <w:basedOn w:val="Bekezdsalapbettpusa"/>
    <w:uiPriority w:val="32"/>
    <w:rsid w:val="00E737B4"/>
    <w:rPr>
      <w:b/>
      <w:sz w:val="24"/>
      <w:u w:val="single"/>
    </w:rPr>
  </w:style>
  <w:style w:type="paragraph" w:customStyle="1" w:styleId="Listaszerbekezds2szint">
    <w:name w:val="Listaszerű bekezdés 2. szint"/>
    <w:basedOn w:val="Listaszerbekezds"/>
    <w:link w:val="Listaszerbekezds2szintChar"/>
    <w:uiPriority w:val="4"/>
    <w:qFormat/>
    <w:rsid w:val="00E737B4"/>
    <w:pPr>
      <w:numPr>
        <w:numId w:val="7"/>
      </w:numPr>
    </w:pPr>
  </w:style>
  <w:style w:type="paragraph" w:customStyle="1" w:styleId="Listaszerbekezds3szint">
    <w:name w:val="Listaszerű bekezdés 3. szint"/>
    <w:basedOn w:val="Listaszerbekezds"/>
    <w:link w:val="Listaszerbekezds3szintChar"/>
    <w:uiPriority w:val="4"/>
    <w:qFormat/>
    <w:rsid w:val="00E737B4"/>
    <w:pPr>
      <w:numPr>
        <w:ilvl w:val="2"/>
        <w:numId w:val="17"/>
      </w:numPr>
    </w:pPr>
  </w:style>
  <w:style w:type="character" w:customStyle="1" w:styleId="Listaszerbekezds2szintChar">
    <w:name w:val="Listaszerű bekezdés 2. szint Char"/>
    <w:basedOn w:val="ListaszerbekezdsChar"/>
    <w:link w:val="Listaszerbekezds2szint"/>
    <w:uiPriority w:val="4"/>
    <w:rsid w:val="00E737B4"/>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E737B4"/>
    <w:rPr>
      <w:rFonts w:ascii="Calibri" w:eastAsiaTheme="minorHAnsi" w:hAnsi="Calibri" w:cstheme="minorBidi"/>
    </w:rPr>
  </w:style>
  <w:style w:type="paragraph" w:styleId="Alcm">
    <w:name w:val="Subtitle"/>
    <w:basedOn w:val="Norml"/>
    <w:next w:val="Norml"/>
    <w:link w:val="AlcmChar"/>
    <w:uiPriority w:val="11"/>
    <w:rsid w:val="00E737B4"/>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E737B4"/>
    <w:rPr>
      <w:rFonts w:ascii="Calibri" w:eastAsiaTheme="majorEastAsia" w:hAnsi="Calibri" w:cstheme="majorBidi"/>
    </w:rPr>
  </w:style>
  <w:style w:type="paragraph" w:customStyle="1" w:styleId="Listabetvel">
    <w:name w:val="Lista betűvel"/>
    <w:basedOn w:val="Listaszerbekezds"/>
    <w:link w:val="ListabetvelChar"/>
    <w:uiPriority w:val="4"/>
    <w:qFormat/>
    <w:rsid w:val="00E737B4"/>
    <w:pPr>
      <w:numPr>
        <w:numId w:val="6"/>
      </w:numPr>
    </w:pPr>
  </w:style>
  <w:style w:type="character" w:customStyle="1" w:styleId="ListabetvelChar">
    <w:name w:val="Lista betűvel Char"/>
    <w:basedOn w:val="ListaszerbekezdsChar"/>
    <w:link w:val="Listabetvel"/>
    <w:uiPriority w:val="4"/>
    <w:rsid w:val="00E737B4"/>
    <w:rPr>
      <w:rFonts w:ascii="Calibri" w:eastAsiaTheme="minorHAnsi" w:hAnsi="Calibri" w:cstheme="minorBidi"/>
    </w:rPr>
  </w:style>
  <w:style w:type="paragraph" w:customStyle="1" w:styleId="Erskiemels1">
    <w:name w:val="Erős kiemelés1"/>
    <w:basedOn w:val="Norml"/>
    <w:link w:val="ErskiemelsChar"/>
    <w:uiPriority w:val="5"/>
    <w:qFormat/>
    <w:rsid w:val="00E737B4"/>
    <w:rPr>
      <w:b/>
      <w:i/>
    </w:rPr>
  </w:style>
  <w:style w:type="character" w:customStyle="1" w:styleId="ErskiemelsChar">
    <w:name w:val="Erős kiemelés Char"/>
    <w:basedOn w:val="Bekezdsalapbettpusa"/>
    <w:link w:val="Erskiemels1"/>
    <w:uiPriority w:val="5"/>
    <w:rsid w:val="00E737B4"/>
    <w:rPr>
      <w:rFonts w:ascii="Calibri" w:eastAsiaTheme="minorHAnsi" w:hAnsi="Calibri" w:cstheme="minorBidi"/>
      <w:b/>
      <w:i/>
    </w:rPr>
  </w:style>
  <w:style w:type="paragraph" w:customStyle="1" w:styleId="Bold">
    <w:name w:val="Bold"/>
    <w:basedOn w:val="Norml"/>
    <w:link w:val="BoldChar"/>
    <w:uiPriority w:val="6"/>
    <w:qFormat/>
    <w:rsid w:val="00E737B4"/>
    <w:rPr>
      <w:b/>
    </w:rPr>
  </w:style>
  <w:style w:type="character" w:customStyle="1" w:styleId="BoldChar">
    <w:name w:val="Bold Char"/>
    <w:basedOn w:val="Bekezdsalapbettpusa"/>
    <w:link w:val="Bold"/>
    <w:uiPriority w:val="6"/>
    <w:rsid w:val="00E737B4"/>
    <w:rPr>
      <w:rFonts w:ascii="Calibri" w:eastAsiaTheme="minorHAnsi" w:hAnsi="Calibri" w:cstheme="minorBidi"/>
      <w:b/>
    </w:rPr>
  </w:style>
  <w:style w:type="character" w:styleId="Mrltotthiperhivatkozs">
    <w:name w:val="FollowedHyperlink"/>
    <w:basedOn w:val="Bekezdsalapbettpusa"/>
    <w:uiPriority w:val="99"/>
    <w:semiHidden/>
    <w:unhideWhenUsed/>
    <w:rsid w:val="00E737B4"/>
    <w:rPr>
      <w:color w:val="800080" w:themeColor="followedHyperlink"/>
      <w:u w:val="single"/>
    </w:rPr>
  </w:style>
  <w:style w:type="paragraph" w:styleId="Tartalomjegyzkcmsora">
    <w:name w:val="TOC Heading"/>
    <w:basedOn w:val="Cmsor1"/>
    <w:next w:val="Norml"/>
    <w:uiPriority w:val="39"/>
    <w:unhideWhenUsed/>
    <w:qFormat/>
    <w:rsid w:val="00E737B4"/>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E737B4"/>
    <w:pPr>
      <w:spacing w:after="100"/>
      <w:ind w:left="220"/>
      <w:jc w:val="left"/>
    </w:pPr>
    <w:rPr>
      <w:rFonts w:eastAsiaTheme="minorEastAsia"/>
    </w:rPr>
  </w:style>
  <w:style w:type="paragraph" w:styleId="TJ1">
    <w:name w:val="toc 1"/>
    <w:basedOn w:val="Norml"/>
    <w:next w:val="Norml"/>
    <w:autoRedefine/>
    <w:uiPriority w:val="39"/>
    <w:unhideWhenUsed/>
    <w:qFormat/>
    <w:locked/>
    <w:rsid w:val="00E737B4"/>
    <w:pPr>
      <w:spacing w:after="100"/>
      <w:jc w:val="left"/>
    </w:pPr>
    <w:rPr>
      <w:rFonts w:eastAsiaTheme="minorEastAsia"/>
    </w:rPr>
  </w:style>
  <w:style w:type="paragraph" w:styleId="TJ3">
    <w:name w:val="toc 3"/>
    <w:basedOn w:val="Norml"/>
    <w:next w:val="Norml"/>
    <w:uiPriority w:val="39"/>
    <w:unhideWhenUsed/>
    <w:qFormat/>
    <w:locked/>
    <w:rsid w:val="00E737B4"/>
    <w:pPr>
      <w:spacing w:after="100"/>
      <w:ind w:left="400"/>
    </w:pPr>
  </w:style>
  <w:style w:type="paragraph" w:customStyle="1" w:styleId="StyleTOC2Left015">
    <w:name w:val="Style TOC 2 + Left:  0.15&quot;"/>
    <w:basedOn w:val="TJ2"/>
    <w:rsid w:val="00E737B4"/>
    <w:pPr>
      <w:ind w:left="216"/>
    </w:pPr>
    <w:rPr>
      <w:rFonts w:eastAsia="Times New Roman" w:cs="Times New Roman"/>
    </w:rPr>
  </w:style>
  <w:style w:type="paragraph" w:customStyle="1" w:styleId="StyleTOC3Left031">
    <w:name w:val="Style TOC 3 + Left:  0.31&quot;"/>
    <w:basedOn w:val="TJ3"/>
    <w:rsid w:val="00E737B4"/>
    <w:pPr>
      <w:ind w:left="446"/>
    </w:pPr>
    <w:rPr>
      <w:rFonts w:eastAsia="Times New Roman" w:cs="Times New Roman"/>
    </w:rPr>
  </w:style>
  <w:style w:type="numbering" w:customStyle="1" w:styleId="Hierarchikuslista">
    <w:name w:val="Hierarchikus lista"/>
    <w:uiPriority w:val="99"/>
    <w:rsid w:val="00E737B4"/>
    <w:pPr>
      <w:numPr>
        <w:numId w:val="2"/>
      </w:numPr>
    </w:pPr>
  </w:style>
  <w:style w:type="paragraph" w:customStyle="1" w:styleId="HierarchikusLista0">
    <w:name w:val="Hierarchikus Lista"/>
    <w:basedOn w:val="Listaszerbekezds"/>
    <w:link w:val="HierarchikusListaChar"/>
    <w:qFormat/>
    <w:rsid w:val="00E737B4"/>
    <w:pPr>
      <w:numPr>
        <w:numId w:val="0"/>
      </w:numPr>
    </w:pPr>
  </w:style>
  <w:style w:type="character" w:customStyle="1" w:styleId="HierarchikusListaChar">
    <w:name w:val="Hierarchikus Lista Char"/>
    <w:basedOn w:val="ListaszerbekezdsChar"/>
    <w:link w:val="HierarchikusLista0"/>
    <w:rsid w:val="00E737B4"/>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E737B4"/>
    <w:rPr>
      <w:i/>
      <w:iCs/>
    </w:rPr>
  </w:style>
  <w:style w:type="paragraph" w:styleId="Nincstrkz">
    <w:name w:val="No Spacing"/>
    <w:basedOn w:val="Norml"/>
    <w:uiPriority w:val="1"/>
    <w:rsid w:val="00E737B4"/>
    <w:rPr>
      <w:szCs w:val="32"/>
    </w:rPr>
  </w:style>
  <w:style w:type="paragraph" w:styleId="Idzet">
    <w:name w:val="Quote"/>
    <w:basedOn w:val="Norml"/>
    <w:next w:val="Norml"/>
    <w:link w:val="IdzetChar"/>
    <w:uiPriority w:val="29"/>
    <w:rsid w:val="00E737B4"/>
    <w:rPr>
      <w:i/>
    </w:rPr>
  </w:style>
  <w:style w:type="character" w:customStyle="1" w:styleId="IdzetChar">
    <w:name w:val="Idézet Char"/>
    <w:basedOn w:val="Bekezdsalapbettpusa"/>
    <w:link w:val="Idzet"/>
    <w:uiPriority w:val="29"/>
    <w:rsid w:val="00E737B4"/>
    <w:rPr>
      <w:rFonts w:ascii="Calibri" w:eastAsiaTheme="minorHAnsi" w:hAnsi="Calibri" w:cstheme="minorBidi"/>
      <w:i/>
    </w:rPr>
  </w:style>
  <w:style w:type="paragraph" w:styleId="Kiemeltidzet">
    <w:name w:val="Intense Quote"/>
    <w:basedOn w:val="Norml"/>
    <w:next w:val="Norml"/>
    <w:link w:val="KiemeltidzetChar"/>
    <w:uiPriority w:val="30"/>
    <w:rsid w:val="00E737B4"/>
    <w:pPr>
      <w:ind w:left="720" w:right="720"/>
    </w:pPr>
    <w:rPr>
      <w:b/>
      <w:i/>
    </w:rPr>
  </w:style>
  <w:style w:type="character" w:customStyle="1" w:styleId="KiemeltidzetChar">
    <w:name w:val="Kiemelt idézet Char"/>
    <w:basedOn w:val="Bekezdsalapbettpusa"/>
    <w:link w:val="Kiemeltidzet"/>
    <w:uiPriority w:val="30"/>
    <w:rsid w:val="00E737B4"/>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E737B4"/>
    <w:rPr>
      <w:rFonts w:ascii="Calibri" w:eastAsiaTheme="majorEastAsia" w:hAnsi="Calibri"/>
      <w:b/>
      <w:i/>
      <w:sz w:val="24"/>
      <w:szCs w:val="24"/>
    </w:rPr>
  </w:style>
  <w:style w:type="paragraph" w:customStyle="1" w:styleId="Szvegdobozstlus">
    <w:name w:val="Szövegdoboz stílus"/>
    <w:basedOn w:val="HierarchikusLista0"/>
    <w:qFormat/>
    <w:rsid w:val="00E737B4"/>
    <w:rPr>
      <w:b/>
      <w:i/>
      <w:color w:val="009EE0"/>
    </w:rPr>
  </w:style>
  <w:style w:type="table" w:customStyle="1" w:styleId="Rcsos">
    <w:name w:val="Rácsos"/>
    <w:basedOn w:val="Normltblzat"/>
    <w:uiPriority w:val="99"/>
    <w:rsid w:val="00E737B4"/>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E737B4"/>
    <w:rPr>
      <w:b/>
      <w:bCs/>
    </w:rPr>
  </w:style>
  <w:style w:type="character" w:styleId="Erskiemels">
    <w:name w:val="Intense Emphasis"/>
    <w:basedOn w:val="Bekezdsalapbettpusa"/>
    <w:uiPriority w:val="21"/>
    <w:rsid w:val="00E737B4"/>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E737B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E737B4"/>
    <w:pPr>
      <w:keepNext/>
      <w:spacing w:after="40"/>
      <w:jc w:val="center"/>
    </w:pPr>
    <w:rPr>
      <w:b/>
      <w:bCs/>
      <w:color w:val="808080"/>
      <w:szCs w:val="18"/>
    </w:rPr>
  </w:style>
  <w:style w:type="paragraph" w:customStyle="1" w:styleId="ENCaption2Col">
    <w:name w:val="EN_Caption_2Col"/>
    <w:basedOn w:val="Norml"/>
    <w:next w:val="Norml"/>
    <w:uiPriority w:val="1"/>
    <w:qFormat/>
    <w:rsid w:val="00E737B4"/>
    <w:pPr>
      <w:keepNext/>
      <w:spacing w:after="40"/>
      <w:jc w:val="left"/>
    </w:pPr>
    <w:rPr>
      <w:b/>
      <w:bCs/>
      <w:color w:val="808080"/>
      <w:szCs w:val="18"/>
    </w:rPr>
  </w:style>
  <w:style w:type="paragraph" w:customStyle="1" w:styleId="ENCaptionBox">
    <w:name w:val="EN_Caption_Box"/>
    <w:basedOn w:val="Norml"/>
    <w:next w:val="Norml"/>
    <w:uiPriority w:val="1"/>
    <w:qFormat/>
    <w:rsid w:val="00E737B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E737B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E737B4"/>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E737B4"/>
    <w:rPr>
      <w:rFonts w:eastAsiaTheme="minorEastAsia"/>
      <w:color w:val="808080"/>
      <w:sz w:val="18"/>
    </w:rPr>
  </w:style>
  <w:style w:type="paragraph" w:customStyle="1" w:styleId="ENNormal">
    <w:name w:val="EN_Normal"/>
    <w:basedOn w:val="Norml"/>
    <w:uiPriority w:val="1"/>
    <w:qFormat/>
    <w:rsid w:val="00E737B4"/>
  </w:style>
  <w:style w:type="paragraph" w:customStyle="1" w:styleId="ENNormalBox">
    <w:name w:val="EN_Normal_Box"/>
    <w:basedOn w:val="Norml"/>
    <w:uiPriority w:val="1"/>
    <w:qFormat/>
    <w:rsid w:val="00E737B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E737B4"/>
    <w:pPr>
      <w:keepLines/>
      <w:jc w:val="center"/>
    </w:pPr>
    <w:rPr>
      <w:color w:val="808080"/>
      <w:sz w:val="18"/>
    </w:rPr>
  </w:style>
  <w:style w:type="paragraph" w:customStyle="1" w:styleId="ENNote2Col">
    <w:name w:val="EN_Note_2Col"/>
    <w:basedOn w:val="Norml"/>
    <w:next w:val="ENNormal"/>
    <w:uiPriority w:val="1"/>
    <w:qFormat/>
    <w:rsid w:val="00E737B4"/>
    <w:pPr>
      <w:keepLines/>
    </w:pPr>
    <w:rPr>
      <w:color w:val="808080"/>
      <w:sz w:val="18"/>
    </w:rPr>
  </w:style>
  <w:style w:type="paragraph" w:customStyle="1" w:styleId="ENNoteBox">
    <w:name w:val="EN_Note_Box"/>
    <w:basedOn w:val="Norml"/>
    <w:next w:val="ENNormalBox"/>
    <w:uiPriority w:val="1"/>
    <w:qFormat/>
    <w:rsid w:val="00E737B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E737B4"/>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E737B4"/>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E737B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E737B4"/>
    <w:pPr>
      <w:keepNext/>
      <w:spacing w:after="40"/>
      <w:jc w:val="center"/>
    </w:pPr>
    <w:rPr>
      <w:sz w:val="20"/>
    </w:rPr>
  </w:style>
  <w:style w:type="paragraph" w:customStyle="1" w:styleId="HUCaption2Col">
    <w:name w:val="HU_Caption_2Col"/>
    <w:basedOn w:val="Kpalrs"/>
    <w:next w:val="Norml"/>
    <w:uiPriority w:val="1"/>
    <w:qFormat/>
    <w:rsid w:val="00E737B4"/>
    <w:pPr>
      <w:keepNext/>
      <w:spacing w:after="40"/>
    </w:pPr>
    <w:rPr>
      <w:sz w:val="20"/>
    </w:rPr>
  </w:style>
  <w:style w:type="paragraph" w:customStyle="1" w:styleId="HUCaptionBox">
    <w:name w:val="HU_Caption_Box"/>
    <w:basedOn w:val="Kpalrs"/>
    <w:next w:val="Norml"/>
    <w:uiPriority w:val="1"/>
    <w:qFormat/>
    <w:rsid w:val="00E737B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E737B4"/>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E737B4"/>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E737B4"/>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E737B4"/>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E737B4"/>
    <w:rPr>
      <w:color w:val="808080"/>
      <w:sz w:val="18"/>
    </w:rPr>
  </w:style>
  <w:style w:type="paragraph" w:customStyle="1" w:styleId="HUNormalBox">
    <w:name w:val="HU_Normal_Box"/>
    <w:basedOn w:val="Norml"/>
    <w:uiPriority w:val="1"/>
    <w:qFormat/>
    <w:rsid w:val="00E737B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E737B4"/>
    <w:pPr>
      <w:keepLines/>
      <w:jc w:val="center"/>
    </w:pPr>
    <w:rPr>
      <w:color w:val="808080"/>
      <w:sz w:val="18"/>
    </w:rPr>
  </w:style>
  <w:style w:type="paragraph" w:customStyle="1" w:styleId="HUNote2Col">
    <w:name w:val="HU_Note_2Col"/>
    <w:basedOn w:val="Norml"/>
    <w:next w:val="Norml"/>
    <w:uiPriority w:val="1"/>
    <w:qFormat/>
    <w:rsid w:val="00E737B4"/>
    <w:pPr>
      <w:keepLines/>
    </w:pPr>
    <w:rPr>
      <w:color w:val="808080"/>
      <w:sz w:val="18"/>
    </w:rPr>
  </w:style>
  <w:style w:type="paragraph" w:customStyle="1" w:styleId="HUNoteBox">
    <w:name w:val="HU_Note_Box"/>
    <w:basedOn w:val="Norml"/>
    <w:next w:val="HUNormalBox"/>
    <w:link w:val="HUNoteBoxChar"/>
    <w:uiPriority w:val="1"/>
    <w:qFormat/>
    <w:rsid w:val="00E737B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E737B4"/>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E737B4"/>
    <w:pPr>
      <w:keepNext/>
    </w:pPr>
  </w:style>
  <w:style w:type="character" w:customStyle="1" w:styleId="HUSectionTitleChar">
    <w:name w:val="HU_Section_Title Char"/>
    <w:basedOn w:val="Cmsor2Char"/>
    <w:link w:val="HUSectionTitle"/>
    <w:uiPriority w:val="1"/>
    <w:rsid w:val="00E737B4"/>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E737B4"/>
    <w:pPr>
      <w:keepNext/>
      <w:ind w:left="595" w:hanging="595"/>
    </w:pPr>
  </w:style>
  <w:style w:type="character" w:customStyle="1" w:styleId="HUSubsectionTitleChar">
    <w:name w:val="HU_Subsection_Title Char"/>
    <w:basedOn w:val="Cmsor3Char"/>
    <w:link w:val="HUSubsectionTitle"/>
    <w:uiPriority w:val="1"/>
    <w:rsid w:val="00E737B4"/>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E737B4"/>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D27BA2"/>
    <w:rPr>
      <w:b/>
      <w:i/>
    </w:rPr>
  </w:style>
  <w:style w:type="paragraph" w:customStyle="1" w:styleId="Erskiemels6">
    <w:name w:val="Erős kiemelés6"/>
    <w:basedOn w:val="Norml"/>
    <w:uiPriority w:val="5"/>
    <w:qFormat/>
    <w:rsid w:val="00EE11B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2FE3DD8B-6150-4A04-8AEA-D83110D1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3.xml><?xml version="1.0" encoding="utf-8"?>
<ds:datastoreItem xmlns:ds="http://schemas.openxmlformats.org/officeDocument/2006/customXml" ds:itemID="{7838ADBC-E015-46FF-BBA5-FB769F9D605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924E1D2-4F6A-4F93-8484-CB44338E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2108</Words>
  <Characters>15455</Characters>
  <Application>Microsoft Office Word</Application>
  <DocSecurity>0</DocSecurity>
  <Lines>128</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17528</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SchH</cp:lastModifiedBy>
  <cp:revision>5</cp:revision>
  <cp:lastPrinted>2017-05-25T10:22:00Z</cp:lastPrinted>
  <dcterms:created xsi:type="dcterms:W3CDTF">2019-02-20T15:51:00Z</dcterms:created>
  <dcterms:modified xsi:type="dcterms:W3CDTF">2019-02-27T13:51:00Z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ies>
</file>