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4A2A" w14:textId="77777777" w:rsidR="00F92258" w:rsidRPr="00072F00" w:rsidRDefault="00F92258" w:rsidP="00F92258">
      <w:pPr>
        <w:pStyle w:val="Listaszerbekezds"/>
        <w:numPr>
          <w:ilvl w:val="0"/>
          <w:numId w:val="19"/>
        </w:numPr>
        <w:ind w:left="426" w:hanging="426"/>
        <w:rPr>
          <w:rFonts w:asciiTheme="majorHAnsi" w:hAnsiTheme="majorHAnsi" w:cstheme="majorHAnsi"/>
          <w:i/>
          <w:iCs/>
        </w:rPr>
      </w:pPr>
      <w:r w:rsidRPr="00072F00">
        <w:rPr>
          <w:rFonts w:asciiTheme="majorHAnsi" w:hAnsiTheme="majorHAnsi" w:cstheme="majorHAnsi"/>
          <w:i/>
          <w:iCs/>
          <w:lang w:val="en-GB"/>
        </w:rPr>
        <w:t>Method of defining the Green Ratio</w:t>
      </w:r>
    </w:p>
    <w:p w14:paraId="2DA2F09F" w14:textId="77777777" w:rsidR="00F92258" w:rsidRPr="00072F00" w:rsidRDefault="00F92258" w:rsidP="00F92258">
      <w:pPr>
        <w:rPr>
          <w:rFonts w:asciiTheme="majorHAnsi" w:hAnsiTheme="majorHAnsi" w:cstheme="majorHAnsi"/>
        </w:rPr>
      </w:pPr>
      <w:r w:rsidRPr="00072F00">
        <w:rPr>
          <w:lang w:val="en-GB"/>
        </w:rPr>
        <w:t xml:space="preserve">The Green Ratio shall be calculated projected on gross exposure, as the quotient of the green exposure and the gross exposure, unless the Annex provides otherwise. Thus, </w:t>
      </w:r>
      <w:proofErr w:type="gramStart"/>
      <w:r w:rsidRPr="00072F00">
        <w:rPr>
          <w:lang w:val="en-GB"/>
        </w:rPr>
        <w:t>e.g.</w:t>
      </w:r>
      <w:proofErr w:type="gramEnd"/>
      <w:r w:rsidRPr="00072F00">
        <w:rPr>
          <w:lang w:val="en-GB"/>
        </w:rPr>
        <w:t xml:space="preserve"> in the case of point 1) of the Annex </w:t>
      </w:r>
      <w:r w:rsidRPr="00072F00">
        <w:rPr>
          <w:rFonts w:asciiTheme="majorHAnsi" w:hAnsiTheme="majorHAnsi"/>
          <w:lang w:val="en-GB"/>
        </w:rPr>
        <w:t>if the investment is implemented through the “</w:t>
      </w:r>
      <w:proofErr w:type="spellStart"/>
      <w:r w:rsidRPr="00072F00">
        <w:rPr>
          <w:rFonts w:asciiTheme="majorHAnsi" w:hAnsiTheme="majorHAnsi"/>
          <w:lang w:val="en-GB"/>
        </w:rPr>
        <w:t>KÁT</w:t>
      </w:r>
      <w:proofErr w:type="spellEnd"/>
      <w:r w:rsidRPr="00072F00">
        <w:rPr>
          <w:rFonts w:asciiTheme="majorHAnsi" w:hAnsiTheme="majorHAnsi"/>
          <w:lang w:val="en-GB"/>
        </w:rPr>
        <w:t>/</w:t>
      </w:r>
      <w:proofErr w:type="spellStart"/>
      <w:r w:rsidRPr="00072F00">
        <w:rPr>
          <w:rFonts w:asciiTheme="majorHAnsi" w:hAnsiTheme="majorHAnsi"/>
          <w:lang w:val="en-GB"/>
        </w:rPr>
        <w:t>METÁR</w:t>
      </w:r>
      <w:proofErr w:type="spellEnd"/>
      <w:r w:rsidRPr="00072F00">
        <w:rPr>
          <w:rFonts w:asciiTheme="majorHAnsi" w:hAnsiTheme="majorHAnsi"/>
          <w:lang w:val="en-GB"/>
        </w:rPr>
        <w:t>” scheme (mandatory feed-in tariffs and subsidy scheme for renewables), the Green Ratio in respect of the investment loan amount shall be 100%.</w:t>
      </w:r>
    </w:p>
    <w:p w14:paraId="5EF5C28D" w14:textId="77777777" w:rsidR="00F92258" w:rsidRPr="00072F00" w:rsidRDefault="00F92258" w:rsidP="00F92258">
      <w:r w:rsidRPr="00072F00">
        <w:rPr>
          <w:rFonts w:asciiTheme="majorHAnsi" w:hAnsiTheme="majorHAnsi" w:cstheme="majorHAnsi"/>
          <w:lang w:val="en-GB"/>
        </w:rPr>
        <w:t>Unless the Annex contains special provisions with regard to the definition of the Green Ratio, it shall be calculated as follows:</w:t>
      </w:r>
    </w:p>
    <w:p w14:paraId="15357D4F" w14:textId="77777777" w:rsidR="00F92258" w:rsidRPr="00072F00" w:rsidRDefault="00F92258" w:rsidP="00F92258">
      <w:r w:rsidRPr="00072F00">
        <w:rPr>
          <w:b/>
          <w:bCs/>
          <w:lang w:val="en-GB"/>
        </w:rPr>
        <w:t>Green Ratio = green exposure /gross exposure</w:t>
      </w:r>
      <w:r w:rsidRPr="00072F00">
        <w:rPr>
          <w:lang w:val="en-GB"/>
        </w:rPr>
        <w:t>, where</w:t>
      </w:r>
    </w:p>
    <w:p w14:paraId="4014EA42" w14:textId="77777777" w:rsidR="00F92258" w:rsidRPr="00072F00" w:rsidRDefault="00F92258" w:rsidP="00F92258">
      <w:pPr>
        <w:pStyle w:val="Listaszerbekezds"/>
        <w:numPr>
          <w:ilvl w:val="0"/>
          <w:numId w:val="0"/>
        </w:numPr>
        <w:ind w:left="644"/>
      </w:pPr>
      <w:r w:rsidRPr="00072F00">
        <w:rPr>
          <w:b/>
          <w:bCs/>
          <w:lang w:val="en-GB"/>
        </w:rPr>
        <w:t>green exposure</w:t>
      </w:r>
      <w:r w:rsidRPr="00072F00">
        <w:rPr>
          <w:lang w:val="en-GB"/>
        </w:rPr>
        <w:t xml:space="preserve"> is the “green” part of the gross exposure. The “green” part shall be that part of the gross exposure which</w:t>
      </w:r>
    </w:p>
    <w:p w14:paraId="7D6BC668" w14:textId="77777777" w:rsidR="00F92258" w:rsidRPr="00072F00" w:rsidRDefault="00F92258" w:rsidP="00F92258">
      <w:pPr>
        <w:pStyle w:val="Listaszerbekezds"/>
        <w:numPr>
          <w:ilvl w:val="0"/>
          <w:numId w:val="21"/>
        </w:numPr>
        <w:rPr>
          <w:rFonts w:asciiTheme="majorHAnsi" w:hAnsiTheme="majorHAnsi" w:cstheme="majorHAnsi"/>
        </w:rPr>
      </w:pPr>
      <w:r w:rsidRPr="00072F00">
        <w:rPr>
          <w:lang w:val="en-GB"/>
        </w:rPr>
        <w:t>complies with the conditions specified in the Annex to this Notice</w:t>
      </w:r>
      <w:r w:rsidRPr="00072F00">
        <w:rPr>
          <w:rStyle w:val="Lbjegyzet-hivatkozs"/>
          <w:lang w:val="en-GB"/>
        </w:rPr>
        <w:footnoteReference w:id="2"/>
      </w:r>
      <w:r w:rsidRPr="00072F00">
        <w:rPr>
          <w:lang w:val="en-GB"/>
        </w:rPr>
        <w:t xml:space="preserve"> (except for point 9), </w:t>
      </w:r>
      <w:proofErr w:type="gramStart"/>
      <w:r w:rsidRPr="00072F00">
        <w:rPr>
          <w:lang w:val="en-GB"/>
        </w:rPr>
        <w:t>i.e.</w:t>
      </w:r>
      <w:proofErr w:type="gramEnd"/>
      <w:r w:rsidRPr="00072F00">
        <w:rPr>
          <w:lang w:val="en-GB"/>
        </w:rPr>
        <w:t xml:space="preserve"> with the </w:t>
      </w:r>
      <w:r w:rsidRPr="00072F00">
        <w:rPr>
          <w:rFonts w:asciiTheme="majorHAnsi" w:hAnsiTheme="majorHAnsi"/>
          <w:lang w:val="en-GB"/>
        </w:rPr>
        <w:t xml:space="preserve">definition of environmentally sustainable loans, and </w:t>
      </w:r>
    </w:p>
    <w:p w14:paraId="2AA77B38" w14:textId="77777777" w:rsidR="00F92258" w:rsidRPr="00072F00" w:rsidRDefault="00F92258" w:rsidP="00F92258">
      <w:pPr>
        <w:pStyle w:val="Listaszerbekezds"/>
        <w:numPr>
          <w:ilvl w:val="0"/>
          <w:numId w:val="21"/>
        </w:numPr>
        <w:rPr>
          <w:rFonts w:asciiTheme="majorHAnsi" w:hAnsiTheme="majorHAnsi" w:cstheme="majorHAnsi"/>
        </w:rPr>
      </w:pPr>
      <w:r w:rsidRPr="00072F00">
        <w:rPr>
          <w:lang w:val="en-GB"/>
        </w:rPr>
        <w:t>it is confirmed by the credit institution in the manner prescribed in subpoint 4.2 of the Notice.</w:t>
      </w:r>
    </w:p>
    <w:p w14:paraId="762EDB7F" w14:textId="77777777" w:rsidR="00F92258" w:rsidRPr="00072F00" w:rsidRDefault="00F92258" w:rsidP="00F92258">
      <w:pPr>
        <w:ind w:left="567"/>
        <w:rPr>
          <w:rFonts w:asciiTheme="majorHAnsi" w:hAnsiTheme="majorHAnsi" w:cstheme="majorHAnsi"/>
        </w:rPr>
      </w:pPr>
      <w:r w:rsidRPr="00072F00">
        <w:rPr>
          <w:rFonts w:asciiTheme="majorHAnsi" w:hAnsiTheme="majorHAnsi"/>
          <w:lang w:val="en-GB"/>
        </w:rPr>
        <w:t xml:space="preserve">Thus e.g.: the sum of the investment loan drawn down </w:t>
      </w:r>
      <w:r w:rsidRPr="00072F00">
        <w:rPr>
          <w:lang w:val="en-GB"/>
        </w:rPr>
        <w:t>financing</w:t>
      </w:r>
      <w:r w:rsidRPr="00072F00">
        <w:rPr>
          <w:rFonts w:asciiTheme="majorHAnsi" w:hAnsiTheme="majorHAnsi"/>
          <w:lang w:val="en-GB"/>
        </w:rPr>
        <w:t xml:space="preserve"> the production of renewable energy (where the investment is implemented outside </w:t>
      </w:r>
      <w:proofErr w:type="spellStart"/>
      <w:r w:rsidRPr="00072F00">
        <w:rPr>
          <w:rFonts w:asciiTheme="majorHAnsi" w:hAnsiTheme="majorHAnsi"/>
          <w:lang w:val="en-GB"/>
        </w:rPr>
        <w:t>KÁT</w:t>
      </w:r>
      <w:proofErr w:type="spellEnd"/>
      <w:r w:rsidRPr="00072F00">
        <w:rPr>
          <w:rFonts w:asciiTheme="majorHAnsi" w:hAnsiTheme="majorHAnsi"/>
          <w:lang w:val="en-GB"/>
        </w:rPr>
        <w:t>/</w:t>
      </w:r>
      <w:proofErr w:type="spellStart"/>
      <w:r w:rsidRPr="00072F00">
        <w:rPr>
          <w:rFonts w:asciiTheme="majorHAnsi" w:hAnsiTheme="majorHAnsi"/>
          <w:lang w:val="en-GB"/>
        </w:rPr>
        <w:t>METÁR</w:t>
      </w:r>
      <w:proofErr w:type="spellEnd"/>
      <w:r w:rsidRPr="00072F00">
        <w:rPr>
          <w:rFonts w:asciiTheme="majorHAnsi" w:hAnsiTheme="majorHAnsi"/>
          <w:lang w:val="en-GB"/>
        </w:rPr>
        <w:t xml:space="preserve">), confirmed by invoices, and the undrawn amount of the credit line. That part of the undrawn credit line may be taken into consideration </w:t>
      </w:r>
      <w:r w:rsidRPr="00072F00">
        <w:rPr>
          <w:lang w:val="en-GB"/>
        </w:rPr>
        <w:t>which has been confirmed in the manner specified in subpoint 4.2 of the Notice and is likely to comply with the conditions specified in point 1) of the Annex.</w:t>
      </w:r>
    </w:p>
    <w:p w14:paraId="7EA79443" w14:textId="77777777" w:rsidR="00F92258" w:rsidRPr="00072F00" w:rsidRDefault="00F92258" w:rsidP="00F92258">
      <w:pPr>
        <w:pStyle w:val="Listaszerbekezds"/>
        <w:numPr>
          <w:ilvl w:val="0"/>
          <w:numId w:val="0"/>
        </w:numPr>
        <w:spacing w:after="240"/>
        <w:ind w:left="567"/>
        <w:contextualSpacing w:val="0"/>
        <w:rPr>
          <w:rFonts w:asciiTheme="majorHAnsi" w:hAnsiTheme="majorHAnsi" w:cstheme="majorHAnsi"/>
          <w:i/>
          <w:iCs/>
        </w:rPr>
      </w:pPr>
      <w:r w:rsidRPr="00072F00">
        <w:rPr>
          <w:rFonts w:asciiTheme="majorHAnsi" w:hAnsiTheme="majorHAnsi"/>
          <w:b/>
          <w:bCs/>
          <w:lang w:val="en-GB"/>
        </w:rPr>
        <w:t>gross exposure</w:t>
      </w:r>
      <w:r w:rsidRPr="00072F00">
        <w:rPr>
          <w:rFonts w:asciiTheme="majorHAnsi" w:hAnsiTheme="majorHAnsi"/>
          <w:lang w:val="en-GB"/>
        </w:rPr>
        <w:t xml:space="preserve"> sum of the gross carrying amount of the respective loan </w:t>
      </w:r>
      <w:r w:rsidRPr="00072F00">
        <w:rPr>
          <w:lang w:val="en-GB"/>
        </w:rPr>
        <w:t>and the undrawn amount of the credit line / fair market value in the case of bonds.</w:t>
      </w:r>
    </w:p>
    <w:p w14:paraId="5AA7D67D" w14:textId="15A84208" w:rsidR="00B1014D" w:rsidRPr="00072F00" w:rsidRDefault="00B1014D" w:rsidP="00F92258">
      <w:pPr>
        <w:pStyle w:val="Listaszerbekezds"/>
        <w:numPr>
          <w:ilvl w:val="0"/>
          <w:numId w:val="19"/>
        </w:numPr>
        <w:ind w:left="426"/>
        <w:rPr>
          <w:rFonts w:asciiTheme="majorHAnsi" w:hAnsiTheme="majorHAnsi" w:cstheme="majorHAnsi"/>
          <w:i/>
          <w:iCs/>
        </w:rPr>
      </w:pPr>
      <w:r w:rsidRPr="00072F00">
        <w:rPr>
          <w:rFonts w:asciiTheme="majorHAnsi" w:hAnsiTheme="majorHAnsi" w:cstheme="majorHAnsi"/>
          <w:i/>
          <w:iCs/>
          <w:lang w:val="en-GB"/>
        </w:rPr>
        <w:t>Method of calculating the discount (in the case of 5% discount) and its impact on the TSCR ratio</w:t>
      </w:r>
    </w:p>
    <w:tbl>
      <w:tblPr>
        <w:tblW w:w="8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B1014D" w:rsidRPr="00072F00" w14:paraId="7166EDA7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4E00" w14:textId="0F16AACA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072F00">
              <w:rPr>
                <w:rFonts w:eastAsia="Times New Roman" w:cs="Calibri"/>
                <w:b/>
                <w:bCs/>
                <w:color w:val="000000"/>
                <w:lang w:val="en-GB"/>
              </w:rPr>
              <w:t>Calculations related to preferential capital requirement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8F9" w14:textId="5EAB1A82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HUF (million)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5C7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20B0E2EE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21F" w14:textId="3FA2F9CA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Outstanding corporate loan exposure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BE0" w14:textId="41EA2F70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200 000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E8F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4C4B9F8C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A08" w14:textId="4F0CA7D0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of which green (e.g. 10%)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905" w14:textId="502AA172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20 000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C90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=200 000 * 10%</w:t>
            </w:r>
          </w:p>
        </w:tc>
      </w:tr>
      <w:tr w:rsidR="00B1014D" w:rsidRPr="00072F00" w14:paraId="32AF6C1B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9288" w14:textId="338EB559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Discount 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89F" w14:textId="0E807061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1 000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4F6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=20 000 * 5%</w:t>
            </w:r>
          </w:p>
        </w:tc>
      </w:tr>
      <w:tr w:rsidR="00B1014D" w:rsidRPr="00072F00" w14:paraId="5E574065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061" w14:textId="37196588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Total Risk Exposure Amount (TREA)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12D" w14:textId="7063E42B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600 000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E11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2599AE55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3F3" w14:textId="3EA34A24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Change in SREP Capital Requirement (TSCR)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246" w14:textId="19602830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0.17%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ED5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=1 000 / 600 000</w:t>
            </w:r>
          </w:p>
        </w:tc>
      </w:tr>
      <w:tr w:rsidR="00B1014D" w:rsidRPr="00072F00" w14:paraId="7C18FBF2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B43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EA7" w14:textId="77777777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0D1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264B3159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3F0" w14:textId="18F27C80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SREP capital requirement BEFORE discount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64B" w14:textId="433548E5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80 000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61F9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45957E11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D66" w14:textId="5460DBDB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SREP Capital Requirement ratio (TSCR) BEFORE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244" w14:textId="22DF5659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13.33%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E17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=80 000 / 600 000</w:t>
            </w:r>
          </w:p>
        </w:tc>
      </w:tr>
      <w:tr w:rsidR="00B1014D" w:rsidRPr="00072F00" w14:paraId="3E10DCFD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9CE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F54" w14:textId="77777777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BE5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1F474F96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5DC" w14:textId="6D005C7C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SREP capital requirement AFTER discount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B7E" w14:textId="6E3A5C05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79 000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B10E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=80 000 - 1 000</w:t>
            </w:r>
          </w:p>
        </w:tc>
      </w:tr>
      <w:tr w:rsidR="00B1014D" w:rsidRPr="00072F00" w14:paraId="69A7AE4E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DBE" w14:textId="226BEB60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SREP Capital Requirement (TSCR) ratio AFTER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A1A" w14:textId="2131925A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13.17%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D9C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=79 000 / 600 000</w:t>
            </w:r>
          </w:p>
        </w:tc>
      </w:tr>
      <w:tr w:rsidR="00B1014D" w:rsidRPr="00072F00" w14:paraId="08068C3A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DC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6AC" w14:textId="77777777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BBC7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5461F8C4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32C1" w14:textId="05C83D52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Decline in TSCR due to preferential capital requirement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454" w14:textId="6DE53639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0.17%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B11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=13.33% - 13.17%</w:t>
            </w:r>
          </w:p>
        </w:tc>
      </w:tr>
      <w:tr w:rsidR="00B1014D" w:rsidRPr="00072F00" w14:paraId="3A7EE8DA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5CE1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103C" w14:textId="77777777" w:rsidR="00B1014D" w:rsidRPr="00072F00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A83C" w14:textId="77777777" w:rsidR="00B1014D" w:rsidRPr="00072F00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14D" w:rsidRPr="00072F00" w14:paraId="2B0AF23C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7D1FB" w14:textId="0D5E14D5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072F00">
              <w:rPr>
                <w:rFonts w:eastAsia="Times New Roman" w:cs="Calibri"/>
                <w:b/>
                <w:bCs/>
                <w:color w:val="000000"/>
                <w:lang w:val="en-GB"/>
              </w:rPr>
              <w:t>Maximum discount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5B67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ABA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4DB03885" w14:textId="77777777" w:rsidTr="000B15F4">
        <w:trPr>
          <w:gridAfter w:val="1"/>
          <w:wAfter w:w="36" w:type="dxa"/>
          <w:trHeight w:val="269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B845" w14:textId="6D51E70C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Capital requirement recognised in respect of green portfolio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0C0E" w14:textId="476783DA" w:rsidR="00B1014D" w:rsidRPr="00072F00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Capital recognised for HUF 20 billion with 0% risk weight</w:t>
            </w:r>
          </w:p>
        </w:tc>
      </w:tr>
      <w:tr w:rsidR="00B1014D" w:rsidRPr="00072F00" w14:paraId="4B504D99" w14:textId="77777777" w:rsidTr="000B15F4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75326F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1CD0A6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41C0" w14:textId="77777777" w:rsidR="00B1014D" w:rsidRPr="00072F00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B1014D" w:rsidRPr="00072F00" w14:paraId="3B7244B6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C12B" w14:textId="693A0D0C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1.5% of TREA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7F9D" w14:textId="4FE91C0F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9 000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093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=600 000 * 1.5%</w:t>
            </w:r>
          </w:p>
        </w:tc>
        <w:tc>
          <w:tcPr>
            <w:tcW w:w="36" w:type="dxa"/>
            <w:vAlign w:val="center"/>
            <w:hideMark/>
          </w:tcPr>
          <w:p w14:paraId="4C357FBD" w14:textId="77777777" w:rsidR="00B1014D" w:rsidRPr="00072F00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C2C5CC" w14:textId="77777777" w:rsidR="00B1014D" w:rsidRPr="00072F00" w:rsidRDefault="00B1014D" w:rsidP="00B1014D">
      <w:pPr>
        <w:pStyle w:val="Listaszerbekezds"/>
        <w:numPr>
          <w:ilvl w:val="0"/>
          <w:numId w:val="0"/>
        </w:numPr>
        <w:ind w:left="720"/>
        <w:rPr>
          <w:rFonts w:asciiTheme="majorHAnsi" w:hAnsiTheme="majorHAnsi" w:cstheme="majorHAnsi"/>
          <w:i/>
          <w:iCs/>
        </w:rPr>
      </w:pPr>
    </w:p>
    <w:p w14:paraId="302AE81F" w14:textId="77777777" w:rsidR="00B1014D" w:rsidRPr="00072F00" w:rsidRDefault="00B1014D" w:rsidP="00B1014D">
      <w:pPr>
        <w:pStyle w:val="Listaszerbekezds"/>
        <w:numPr>
          <w:ilvl w:val="0"/>
          <w:numId w:val="19"/>
        </w:numPr>
        <w:rPr>
          <w:rFonts w:asciiTheme="majorHAnsi" w:hAnsiTheme="majorHAnsi" w:cstheme="majorHAnsi"/>
          <w:i/>
          <w:iCs/>
        </w:rPr>
      </w:pPr>
      <w:r w:rsidRPr="00072F00">
        <w:rPr>
          <w:rFonts w:asciiTheme="majorHAnsi" w:hAnsiTheme="majorHAnsi" w:cstheme="majorHAnsi"/>
          <w:i/>
          <w:iCs/>
          <w:lang w:val="en-GB"/>
        </w:rPr>
        <w:t>Calculations related to the enforcement of the preferential treatment</w:t>
      </w:r>
    </w:p>
    <w:p w14:paraId="7917ABE6" w14:textId="5128BC09" w:rsidR="00B1014D" w:rsidRPr="00072F00" w:rsidRDefault="00B1014D" w:rsidP="00B1014D">
      <w:pPr>
        <w:rPr>
          <w:rFonts w:asciiTheme="majorHAnsi" w:hAnsiTheme="majorHAnsi" w:cstheme="majorHAnsi"/>
          <w:i/>
          <w:iCs/>
        </w:rPr>
      </w:pPr>
      <w:r w:rsidRPr="00072F00">
        <w:rPr>
          <w:rFonts w:asciiTheme="majorHAnsi" w:hAnsiTheme="majorHAnsi" w:cstheme="majorHAnsi"/>
          <w:i/>
          <w:iCs/>
          <w:lang w:val="en-GB"/>
        </w:rPr>
        <w:t>The example below illustrates the degree of preferential treatment that an investment can benefit from having 60% green investment.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</w:tblGrid>
      <w:tr w:rsidR="00B1014D" w:rsidRPr="00072F00" w14:paraId="764E57DE" w14:textId="77777777" w:rsidTr="000B15F4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111" w14:textId="1A076F1F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072F00">
              <w:rPr>
                <w:rFonts w:eastAsia="Times New Roman" w:cs="Calibri"/>
                <w:b/>
                <w:bCs/>
                <w:color w:val="000000"/>
                <w:lang w:val="en-GB"/>
              </w:rPr>
              <w:t>Lending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EC0E" w14:textId="2A3EA9F1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HUF (million)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55F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64F48D69" w14:textId="77777777" w:rsidTr="000B15F4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D151" w14:textId="410A4670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Loan amount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D907" w14:textId="3CE6492F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500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21F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0BDB855D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04C" w14:textId="423CFFE5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Of which: green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D58" w14:textId="699272D4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300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97A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547DD52F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4AB" w14:textId="43A35E25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Capital requirement (with 100% risk weight)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3B1" w14:textId="2C4CB097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24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29D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=300 * 8%</w:t>
            </w:r>
          </w:p>
        </w:tc>
      </w:tr>
      <w:tr w:rsidR="00B1014D" w:rsidRPr="00072F00" w14:paraId="111CD4B6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618" w14:textId="6D5F7938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Capital requirement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7C0" w14:textId="151F654D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15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C22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=300 * 5%</w:t>
            </w:r>
          </w:p>
        </w:tc>
      </w:tr>
      <w:tr w:rsidR="00B1014D" w:rsidRPr="00072F00" w14:paraId="67178CCD" w14:textId="77777777" w:rsidTr="000B15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1439" w14:textId="02BA5A00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Capital requirement after discount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AD5" w14:textId="707E09A5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C34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=24 - 15</w:t>
            </w:r>
          </w:p>
        </w:tc>
      </w:tr>
    </w:tbl>
    <w:p w14:paraId="0D81913B" w14:textId="77777777" w:rsidR="00B1014D" w:rsidRPr="00072F00" w:rsidRDefault="00B1014D" w:rsidP="00B1014D">
      <w:pPr>
        <w:rPr>
          <w:rFonts w:asciiTheme="majorHAnsi" w:hAnsiTheme="majorHAnsi" w:cstheme="majorHAnsi"/>
        </w:rPr>
      </w:pPr>
    </w:p>
    <w:p w14:paraId="3EAD4878" w14:textId="0A9F6787" w:rsidR="00B1014D" w:rsidRPr="00072F00" w:rsidRDefault="00B1014D" w:rsidP="00B1014D">
      <w:pPr>
        <w:rPr>
          <w:rFonts w:asciiTheme="majorHAnsi" w:hAnsiTheme="majorHAnsi" w:cstheme="majorHAnsi"/>
          <w:i/>
          <w:iCs/>
        </w:rPr>
      </w:pPr>
      <w:r w:rsidRPr="00072F00">
        <w:rPr>
          <w:rFonts w:asciiTheme="majorHAnsi" w:hAnsiTheme="majorHAnsi" w:cstheme="majorHAnsi"/>
          <w:i/>
          <w:iCs/>
          <w:lang w:val="en-GB"/>
        </w:rPr>
        <w:t>If the financial organisation has the aforementioned single green loan (i.e. only 0.3% of the loan portfolio is green), the preferential capital requirement will be calculated as follows during the ICAAP review.</w:t>
      </w:r>
    </w:p>
    <w:tbl>
      <w:tblPr>
        <w:tblW w:w="861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B1014D" w:rsidRPr="00072F00" w14:paraId="7FB79F77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FABD" w14:textId="5A3ABD72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072F00">
              <w:rPr>
                <w:rFonts w:eastAsia="Times New Roman" w:cs="Calibri"/>
                <w:b/>
                <w:bCs/>
                <w:color w:val="000000"/>
                <w:lang w:val="en-GB"/>
              </w:rPr>
              <w:t>ICAAP review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E1A6" w14:textId="1A8292B6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HUF (million)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7F6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1DA1512D" w14:textId="77777777" w:rsidTr="000B15F4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609" w14:textId="1E4310DC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Outstanding loans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B037" w14:textId="2E44F481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100 000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266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 </w:t>
            </w:r>
          </w:p>
        </w:tc>
      </w:tr>
      <w:tr w:rsidR="00B1014D" w:rsidRPr="00072F00" w14:paraId="73F8A051" w14:textId="77777777" w:rsidTr="000B15F4">
        <w:trPr>
          <w:gridAfter w:val="1"/>
          <w:wAfter w:w="36" w:type="dxa"/>
          <w:trHeight w:val="269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DA36" w14:textId="7730CDDD" w:rsidR="00B1014D" w:rsidRPr="00072F00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Pillar 2 capital requirement recognised for credit risk BEFORE discount (e.g. 10%)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046" w14:textId="2664D28E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10 000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E6B5" w14:textId="77777777" w:rsidR="00B1014D" w:rsidRPr="00072F00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=100 000 * 10%</w:t>
            </w:r>
          </w:p>
        </w:tc>
      </w:tr>
      <w:tr w:rsidR="00B1014D" w:rsidRPr="00072F00" w14:paraId="53275BD9" w14:textId="77777777" w:rsidTr="000B15F4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3937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B23" w14:textId="77777777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9E047B" w14:textId="77777777" w:rsidR="00B1014D" w:rsidRPr="00072F00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98F" w14:textId="77777777" w:rsidR="00B1014D" w:rsidRPr="00072F00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  <w:tr w:rsidR="00B1014D" w:rsidRPr="00034FCD" w14:paraId="08BBCC15" w14:textId="77777777" w:rsidTr="000B15F4">
        <w:trPr>
          <w:trHeight w:val="25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7910" w14:textId="26568176" w:rsidR="00B1014D" w:rsidRPr="00072F00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>Pillar 2 capital requirement recognised for credit risk AFTER discount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1D7F" w14:textId="04EE5553" w:rsidR="00B1014D" w:rsidRPr="00072F00" w:rsidRDefault="00B1014D" w:rsidP="00106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72F00">
              <w:rPr>
                <w:rFonts w:eastAsia="Times New Roman" w:cs="Calibri"/>
                <w:color w:val="000000"/>
                <w:lang w:val="en-GB"/>
              </w:rPr>
              <w:t xml:space="preserve">9 985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44E" w14:textId="77777777" w:rsidR="00B1014D" w:rsidRPr="00034FCD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072F00">
              <w:rPr>
                <w:rFonts w:eastAsia="Times New Roman" w:cs="Calibri"/>
                <w:i/>
                <w:iCs/>
                <w:color w:val="000000"/>
                <w:lang w:val="en-GB"/>
              </w:rPr>
              <w:t>=10 000 - 15</w:t>
            </w:r>
          </w:p>
        </w:tc>
        <w:tc>
          <w:tcPr>
            <w:tcW w:w="36" w:type="dxa"/>
            <w:vAlign w:val="center"/>
            <w:hideMark/>
          </w:tcPr>
          <w:p w14:paraId="75D85EDA" w14:textId="77777777" w:rsidR="00B1014D" w:rsidRPr="00034FCD" w:rsidRDefault="00B1014D" w:rsidP="000B1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14D" w:rsidRPr="00034FCD" w14:paraId="05FE09F4" w14:textId="77777777" w:rsidTr="000B15F4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F0E9" w14:textId="77777777" w:rsidR="00B1014D" w:rsidRPr="00034FCD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E5B8" w14:textId="77777777" w:rsidR="00B1014D" w:rsidRPr="00034FCD" w:rsidRDefault="00B1014D" w:rsidP="000B15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C432" w14:textId="77777777" w:rsidR="00B1014D" w:rsidRPr="00034FCD" w:rsidRDefault="00B1014D" w:rsidP="000B15F4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1D8" w14:textId="77777777" w:rsidR="00B1014D" w:rsidRPr="00034FCD" w:rsidRDefault="00B1014D" w:rsidP="000B15F4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</w:tr>
    </w:tbl>
    <w:p w14:paraId="1547E622" w14:textId="3F4F77EE" w:rsidR="00B944EB" w:rsidRPr="002E0EF1" w:rsidRDefault="00B944EB" w:rsidP="002E0EF1">
      <w:pPr>
        <w:pageBreakBefore/>
        <w:rPr>
          <w:sz w:val="24"/>
          <w:szCs w:val="24"/>
        </w:rPr>
      </w:pPr>
    </w:p>
    <w:sectPr w:rsidR="00B944EB" w:rsidRPr="002E0EF1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5AFB" w14:textId="77777777" w:rsidR="009D7394" w:rsidRDefault="009D7394">
      <w:r>
        <w:separator/>
      </w:r>
    </w:p>
  </w:endnote>
  <w:endnote w:type="continuationSeparator" w:id="0">
    <w:p w14:paraId="766C523E" w14:textId="77777777" w:rsidR="009D7394" w:rsidRDefault="009D7394">
      <w:r>
        <w:continuationSeparator/>
      </w:r>
    </w:p>
  </w:endnote>
  <w:endnote w:type="continuationNotice" w:id="1">
    <w:p w14:paraId="63DC696B" w14:textId="77777777" w:rsidR="009D7394" w:rsidRDefault="009D7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CF24" w14:textId="789E578E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3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3</w:t>
    </w:r>
    <w:r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9BFE" w14:textId="77777777" w:rsidR="009D7394" w:rsidRDefault="009D7394">
      <w:r>
        <w:separator/>
      </w:r>
    </w:p>
  </w:footnote>
  <w:footnote w:type="continuationSeparator" w:id="0">
    <w:p w14:paraId="1AA35CA0" w14:textId="77777777" w:rsidR="009D7394" w:rsidRDefault="009D7394">
      <w:r>
        <w:continuationSeparator/>
      </w:r>
    </w:p>
  </w:footnote>
  <w:footnote w:type="continuationNotice" w:id="1">
    <w:p w14:paraId="1168453A" w14:textId="77777777" w:rsidR="009D7394" w:rsidRDefault="009D7394">
      <w:pPr>
        <w:spacing w:after="0" w:line="240" w:lineRule="auto"/>
      </w:pPr>
    </w:p>
  </w:footnote>
  <w:footnote w:id="2">
    <w:p w14:paraId="7DEFDBBA" w14:textId="77777777" w:rsidR="00F92258" w:rsidRDefault="00F92258" w:rsidP="00F92258">
      <w:pPr>
        <w:pStyle w:val="Lbjegyzetszveg"/>
      </w:pPr>
      <w:r>
        <w:rPr>
          <w:rStyle w:val="Lbjegyzet-hivatkozs"/>
          <w:lang w:val="en-GB"/>
        </w:rPr>
        <w:footnoteRef/>
      </w:r>
      <w:r>
        <w:rPr>
          <w:lang w:val="en-GB"/>
        </w:rPr>
        <w:t xml:space="preserve"> https://mnb.hu/letoltes/zold-vallalati-es-onkormanyzati-tokekovetelmeny-kedvezmeny.pdf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1E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2C"/>
    <w:multiLevelType w:val="hybridMultilevel"/>
    <w:tmpl w:val="6CE03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38F"/>
    <w:multiLevelType w:val="hybridMultilevel"/>
    <w:tmpl w:val="B34CDB88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9172385"/>
    <w:multiLevelType w:val="hybridMultilevel"/>
    <w:tmpl w:val="DEE0D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0605E"/>
    <w:multiLevelType w:val="hybridMultilevel"/>
    <w:tmpl w:val="967455A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8869514">
    <w:abstractNumId w:val="6"/>
  </w:num>
  <w:num w:numId="2" w16cid:durableId="1075400091">
    <w:abstractNumId w:val="3"/>
  </w:num>
  <w:num w:numId="3" w16cid:durableId="440801286">
    <w:abstractNumId w:val="8"/>
  </w:num>
  <w:num w:numId="4" w16cid:durableId="1387991420">
    <w:abstractNumId w:val="1"/>
  </w:num>
  <w:num w:numId="5" w16cid:durableId="1853451161">
    <w:abstractNumId w:val="2"/>
  </w:num>
  <w:num w:numId="6" w16cid:durableId="1037656523">
    <w:abstractNumId w:val="10"/>
  </w:num>
  <w:num w:numId="7" w16cid:durableId="1452168887">
    <w:abstractNumId w:val="4"/>
  </w:num>
  <w:num w:numId="8" w16cid:durableId="1753353866">
    <w:abstractNumId w:val="12"/>
  </w:num>
  <w:num w:numId="9" w16cid:durableId="1058018380">
    <w:abstractNumId w:val="10"/>
    <w:lvlOverride w:ilvl="0">
      <w:startOverride w:val="1"/>
    </w:lvlOverride>
  </w:num>
  <w:num w:numId="10" w16cid:durableId="318921526">
    <w:abstractNumId w:val="13"/>
  </w:num>
  <w:num w:numId="11" w16cid:durableId="795373622">
    <w:abstractNumId w:val="11"/>
  </w:num>
  <w:num w:numId="12" w16cid:durableId="341444464">
    <w:abstractNumId w:val="9"/>
  </w:num>
  <w:num w:numId="13" w16cid:durableId="225378813">
    <w:abstractNumId w:val="8"/>
  </w:num>
  <w:num w:numId="14" w16cid:durableId="890846521">
    <w:abstractNumId w:val="8"/>
  </w:num>
  <w:num w:numId="15" w16cid:durableId="916404084">
    <w:abstractNumId w:val="8"/>
  </w:num>
  <w:num w:numId="16" w16cid:durableId="597443574">
    <w:abstractNumId w:val="8"/>
  </w:num>
  <w:num w:numId="17" w16cid:durableId="102001967">
    <w:abstractNumId w:val="8"/>
  </w:num>
  <w:num w:numId="18" w16cid:durableId="1397432029">
    <w:abstractNumId w:val="8"/>
  </w:num>
  <w:num w:numId="19" w16cid:durableId="948272398">
    <w:abstractNumId w:val="0"/>
  </w:num>
  <w:num w:numId="20" w16cid:durableId="1436366785">
    <w:abstractNumId w:val="5"/>
  </w:num>
  <w:num w:numId="21" w16cid:durableId="1283850891">
    <w:abstractNumId w:val="14"/>
  </w:num>
  <w:num w:numId="22" w16cid:durableId="26013907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03"/>
    <w:rsid w:val="0000273C"/>
    <w:rsid w:val="00005135"/>
    <w:rsid w:val="00017B1B"/>
    <w:rsid w:val="00023229"/>
    <w:rsid w:val="0002498B"/>
    <w:rsid w:val="000250E6"/>
    <w:rsid w:val="00027695"/>
    <w:rsid w:val="00027B62"/>
    <w:rsid w:val="00033357"/>
    <w:rsid w:val="00035697"/>
    <w:rsid w:val="0004482A"/>
    <w:rsid w:val="0005577F"/>
    <w:rsid w:val="00060148"/>
    <w:rsid w:val="00063216"/>
    <w:rsid w:val="0006374F"/>
    <w:rsid w:val="00064546"/>
    <w:rsid w:val="000674BE"/>
    <w:rsid w:val="00067BE2"/>
    <w:rsid w:val="00067C0C"/>
    <w:rsid w:val="00072F00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5A37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6EC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3B50"/>
    <w:rsid w:val="00214230"/>
    <w:rsid w:val="0021484C"/>
    <w:rsid w:val="0022056B"/>
    <w:rsid w:val="00221C4D"/>
    <w:rsid w:val="0022764E"/>
    <w:rsid w:val="00240C97"/>
    <w:rsid w:val="0024525F"/>
    <w:rsid w:val="002522F1"/>
    <w:rsid w:val="002602F5"/>
    <w:rsid w:val="002611AE"/>
    <w:rsid w:val="0026180A"/>
    <w:rsid w:val="00270724"/>
    <w:rsid w:val="00270D3C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0EF1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2361"/>
    <w:rsid w:val="003B12B2"/>
    <w:rsid w:val="003B46BE"/>
    <w:rsid w:val="003B5AD6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095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73DF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15DF"/>
    <w:rsid w:val="007D67A3"/>
    <w:rsid w:val="007D7E92"/>
    <w:rsid w:val="007E0286"/>
    <w:rsid w:val="007F197C"/>
    <w:rsid w:val="007F1D57"/>
    <w:rsid w:val="007F7E59"/>
    <w:rsid w:val="008004E7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7B03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95641"/>
    <w:rsid w:val="009A233F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7394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E7098"/>
    <w:rsid w:val="00AF1C92"/>
    <w:rsid w:val="00AF7B9B"/>
    <w:rsid w:val="00B06F8B"/>
    <w:rsid w:val="00B1014D"/>
    <w:rsid w:val="00B12B11"/>
    <w:rsid w:val="00B15880"/>
    <w:rsid w:val="00B1673D"/>
    <w:rsid w:val="00B23D09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44791"/>
    <w:rsid w:val="00C522BD"/>
    <w:rsid w:val="00C63F2A"/>
    <w:rsid w:val="00C64F11"/>
    <w:rsid w:val="00C72FB8"/>
    <w:rsid w:val="00C8787E"/>
    <w:rsid w:val="00C907C0"/>
    <w:rsid w:val="00C93837"/>
    <w:rsid w:val="00C978E8"/>
    <w:rsid w:val="00CA398B"/>
    <w:rsid w:val="00CC13E4"/>
    <w:rsid w:val="00CC4CB1"/>
    <w:rsid w:val="00CD36BC"/>
    <w:rsid w:val="00CD6E8D"/>
    <w:rsid w:val="00CD724F"/>
    <w:rsid w:val="00CE188C"/>
    <w:rsid w:val="00CF148C"/>
    <w:rsid w:val="00D00D53"/>
    <w:rsid w:val="00D02170"/>
    <w:rsid w:val="00D03015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51AA"/>
    <w:rsid w:val="00DD62AD"/>
    <w:rsid w:val="00DD7153"/>
    <w:rsid w:val="00DF4F58"/>
    <w:rsid w:val="00E11F2F"/>
    <w:rsid w:val="00E13A3A"/>
    <w:rsid w:val="00E14CD2"/>
    <w:rsid w:val="00E17079"/>
    <w:rsid w:val="00E301AE"/>
    <w:rsid w:val="00E315BC"/>
    <w:rsid w:val="00E31980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5F6F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3101"/>
    <w:rsid w:val="00EE4050"/>
    <w:rsid w:val="00EE4149"/>
    <w:rsid w:val="00F04867"/>
    <w:rsid w:val="00F04E3E"/>
    <w:rsid w:val="00F10771"/>
    <w:rsid w:val="00F205E5"/>
    <w:rsid w:val="00F512A3"/>
    <w:rsid w:val="00F5190E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2258"/>
    <w:rsid w:val="00F949B1"/>
    <w:rsid w:val="00F958EE"/>
    <w:rsid w:val="00F96EEB"/>
    <w:rsid w:val="00F96F8A"/>
    <w:rsid w:val="00F9761F"/>
    <w:rsid w:val="00FA102C"/>
    <w:rsid w:val="00FA467E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939C8"/>
  <w15:chartTrackingRefBased/>
  <w15:docId w15:val="{9E4D2F11-E1C4-4660-A8F3-F0BAA72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EF1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2E0EF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E0EF1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E0EF1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E0EF1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E0EF1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E0EF1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0EF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0EF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0EF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2E0EF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E0EF1"/>
  </w:style>
  <w:style w:type="table" w:customStyle="1" w:styleId="tblzat-mtrix">
    <w:name w:val="táblázat - mátrix"/>
    <w:basedOn w:val="Normltblzat"/>
    <w:uiPriority w:val="2"/>
    <w:qFormat/>
    <w:rsid w:val="002E0EF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E0EF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E0EF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E0EF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E0EF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2E0EF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EF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E0EF1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E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E0E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0EF1"/>
  </w:style>
  <w:style w:type="paragraph" w:styleId="llb">
    <w:name w:val="footer"/>
    <w:basedOn w:val="Norml"/>
    <w:link w:val="llbChar"/>
    <w:uiPriority w:val="99"/>
    <w:unhideWhenUsed/>
    <w:rsid w:val="002E0E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0EF1"/>
  </w:style>
  <w:style w:type="paragraph" w:customStyle="1" w:styleId="Szmozs">
    <w:name w:val="Számozás"/>
    <w:basedOn w:val="Norml"/>
    <w:uiPriority w:val="4"/>
    <w:qFormat/>
    <w:rsid w:val="002E0EF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E0EF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E0EF1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E0EF1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E0EF1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2E0EF1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E0EF1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E0EF1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E0EF1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E0EF1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0EF1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0EF1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0EF1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E0EF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E0EF1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E0EF1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E0EF1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2E0EF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,Lábjegyzet szöveg"/>
    <w:basedOn w:val="Norml"/>
    <w:link w:val="LbjegyzetszvegChar"/>
    <w:uiPriority w:val="99"/>
    <w:unhideWhenUsed/>
    <w:qFormat/>
    <w:rsid w:val="002E0EF1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basedOn w:val="Bekezdsalapbettpusa"/>
    <w:link w:val="Lbjegyzetszveg"/>
    <w:uiPriority w:val="99"/>
    <w:rsid w:val="002E0EF1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2E0EF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E0EF1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E0EF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E0EF1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E0EF1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2E0EF1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E0EF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E0EF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E0EF1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E0EF1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2E0EF1"/>
  </w:style>
  <w:style w:type="character" w:styleId="Finomhivatkozs">
    <w:name w:val="Subtle Reference"/>
    <w:basedOn w:val="Bekezdsalapbettpusa"/>
    <w:uiPriority w:val="31"/>
    <w:rsid w:val="002E0EF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E0EF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E0EF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E0EF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E0EF1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E0EF1"/>
  </w:style>
  <w:style w:type="paragraph" w:styleId="Alcm">
    <w:name w:val="Subtitle"/>
    <w:basedOn w:val="Norml"/>
    <w:next w:val="Norml"/>
    <w:link w:val="AlcmChar"/>
    <w:uiPriority w:val="11"/>
    <w:rsid w:val="002E0EF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E0EF1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E0EF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E0EF1"/>
  </w:style>
  <w:style w:type="paragraph" w:customStyle="1" w:styleId="Erskiemels1">
    <w:name w:val="Erős kiemelés1"/>
    <w:basedOn w:val="Norml"/>
    <w:link w:val="ErskiemelsChar"/>
    <w:uiPriority w:val="5"/>
    <w:qFormat/>
    <w:rsid w:val="002E0EF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E0EF1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2E0EF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E0EF1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2E0EF1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E0EF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E0EF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E0EF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E0EF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E0EF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E0EF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E0EF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E0EF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E0EF1"/>
  </w:style>
  <w:style w:type="character" w:styleId="Kiemels2">
    <w:name w:val="Strong"/>
    <w:basedOn w:val="Bekezdsalapbettpusa"/>
    <w:uiPriority w:val="22"/>
    <w:rsid w:val="002E0EF1"/>
    <w:rPr>
      <w:b/>
      <w:bCs/>
    </w:rPr>
  </w:style>
  <w:style w:type="character" w:styleId="Kiemels">
    <w:name w:val="Emphasis"/>
    <w:basedOn w:val="Bekezdsalapbettpusa"/>
    <w:uiPriority w:val="6"/>
    <w:qFormat/>
    <w:rsid w:val="002E0EF1"/>
    <w:rPr>
      <w:i/>
      <w:iCs/>
    </w:rPr>
  </w:style>
  <w:style w:type="paragraph" w:styleId="Nincstrkz">
    <w:name w:val="No Spacing"/>
    <w:basedOn w:val="Norml"/>
    <w:uiPriority w:val="1"/>
    <w:rsid w:val="002E0EF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E0EF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E0EF1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2E0EF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0EF1"/>
    <w:rPr>
      <w:b/>
      <w:i/>
    </w:rPr>
  </w:style>
  <w:style w:type="character" w:styleId="Erskiemels">
    <w:name w:val="Intense Emphasis"/>
    <w:basedOn w:val="Bekezdsalapbettpusa"/>
    <w:uiPriority w:val="21"/>
    <w:rsid w:val="002E0EF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E0EF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E0EF1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E0EF1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2E0EF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E0EF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E0EF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E0EF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E0EF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E0EF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2E0EF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E0EF1"/>
  </w:style>
  <w:style w:type="paragraph" w:customStyle="1" w:styleId="ENNormalBox">
    <w:name w:val="EN_Normal_Box"/>
    <w:basedOn w:val="Norml"/>
    <w:uiPriority w:val="1"/>
    <w:qFormat/>
    <w:rsid w:val="002E0EF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E0EF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E0EF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E0EF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E0EF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E0EF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E0EF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E0EF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E0EF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E0EF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E0EF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E0EF1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E0EF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E0EF1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2E0EF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E0EF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E0EF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E0EF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E0EF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E0EF1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E0EF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E0EF1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E0EF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E0EF1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2E0EF1"/>
    <w:rPr>
      <w:b w:val="0"/>
      <w:caps w:val="0"/>
      <w:sz w:val="52"/>
    </w:rPr>
  </w:style>
  <w:style w:type="character" w:styleId="Lbjegyzet-hivatkozs">
    <w:name w:val="footnote reference"/>
    <w:aliases w:val="Footnote Reference Number,Footnote Reference_LVL6,Footnote Reference_LVL61,Footnote Reference_LVL62,Footnote Reference_LVL63,Footnote Reference_LVL64, Char1,Char1,Lábjegyzet hivatkozás,Footnote reference number,Footnote symbol"/>
    <w:uiPriority w:val="99"/>
    <w:qFormat/>
    <w:rsid w:val="00877B03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270D3C"/>
    <w:rPr>
      <w:b/>
      <w:i/>
    </w:rPr>
  </w:style>
  <w:style w:type="paragraph" w:customStyle="1" w:styleId="Erskiemels3">
    <w:name w:val="Erős kiemelés3"/>
    <w:basedOn w:val="Norml"/>
    <w:uiPriority w:val="5"/>
    <w:qFormat/>
    <w:rsid w:val="00213B50"/>
    <w:rPr>
      <w:b/>
      <w:i/>
    </w:rPr>
  </w:style>
  <w:style w:type="paragraph" w:styleId="Vltozat">
    <w:name w:val="Revision"/>
    <w:hidden/>
    <w:uiPriority w:val="99"/>
    <w:semiHidden/>
    <w:rsid w:val="002E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8D9FEA05B336439FC9076AA25330AB" ma:contentTypeVersion="0" ma:contentTypeDescription="Új dokumentum létrehozása." ma:contentTypeScope="" ma:versionID="1fd2b37576c37ebc5264d7bf4053cd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48e1fdd3f5553ee3705308f4e11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FB8-BB17-4106-9132-408CD7D09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675B5-3834-452B-BCF5-5AB2E65CC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B398F-CBBF-48ED-BE1C-A293418E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C4FA-B505-4F3A-B3D0-80F408383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2933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Beáta</dc:creator>
  <cp:keywords/>
  <dc:description/>
  <cp:lastModifiedBy>Czigány Ádám</cp:lastModifiedBy>
  <cp:revision>2</cp:revision>
  <cp:lastPrinted>1900-12-31T23:00:00Z</cp:lastPrinted>
  <dcterms:created xsi:type="dcterms:W3CDTF">2023-01-20T10:22:00Z</dcterms:created>
  <dcterms:modified xsi:type="dcterms:W3CDTF">2023-01-20T10:22:00Z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2025-11-09T12:31:03Z</vt:filetime>
  </property>
  <property fmtid="{D5CDD505-2E9C-101B-9397-08002B2CF9AE}" pid="3" name="Érvényességet beállító">
    <vt:lpwstr>vidab</vt:lpwstr>
  </property>
  <property fmtid="{D5CDD505-2E9C-101B-9397-08002B2CF9AE}" pid="4" name="Érvényességi idő első beállítása">
    <vt:filetime>2020-11-09T12:31:03Z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vidab@mnb.hu</vt:lpwstr>
  </property>
  <property fmtid="{D5CDD505-2E9C-101B-9397-08002B2CF9AE}" pid="8" name="MSIP_Label_b0d11092-50c9-4e74-84b5-b1af078dc3d0_SetDate">
    <vt:lpwstr>2020-11-09T12:31:44.6148228Z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785caf57-1806-4e94-82ba-19372d4913cd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0x0101006B8D9FEA05B336439FC9076AA25330AB</vt:lpwstr>
  </property>
</Properties>
</file>