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48E96" w14:textId="77777777" w:rsidR="00A60EDC" w:rsidRDefault="00E51C4D" w:rsidP="00E51C4D">
      <w:pPr>
        <w:pStyle w:val="Cmsor1"/>
        <w:numPr>
          <w:ilvl w:val="0"/>
          <w:numId w:val="0"/>
        </w:numPr>
        <w:spacing w:before="0" w:after="120"/>
        <w:ind w:left="431"/>
        <w:jc w:val="center"/>
        <w:rPr>
          <w:sz w:val="22"/>
          <w:szCs w:val="22"/>
        </w:rPr>
      </w:pPr>
      <w:bookmarkStart w:id="0" w:name="_Toc199830351"/>
      <w:bookmarkStart w:id="1" w:name="_Hlk42781095"/>
      <w:r>
        <w:rPr>
          <w:sz w:val="22"/>
          <w:szCs w:val="22"/>
          <w:lang w:val="en-GB"/>
        </w:rPr>
        <w:t>SREP questionnaire for investment firms</w:t>
      </w:r>
      <w:bookmarkEnd w:id="0"/>
    </w:p>
    <w:p w14:paraId="333854D1" w14:textId="18F0DB94" w:rsidR="00E51C4D" w:rsidRPr="00A55E1A" w:rsidRDefault="00A60EDC" w:rsidP="00E51C4D">
      <w:pPr>
        <w:pStyle w:val="Cmsor1"/>
        <w:numPr>
          <w:ilvl w:val="0"/>
          <w:numId w:val="0"/>
        </w:numPr>
        <w:spacing w:before="0" w:after="120"/>
        <w:ind w:left="431"/>
        <w:jc w:val="center"/>
        <w:rPr>
          <w:sz w:val="22"/>
          <w:szCs w:val="22"/>
        </w:rPr>
      </w:pPr>
      <w:r>
        <w:rPr>
          <w:sz w:val="22"/>
          <w:szCs w:val="22"/>
          <w:lang w:val="en-GB"/>
        </w:rPr>
        <w:t xml:space="preserve"> Block II</w:t>
      </w:r>
    </w:p>
    <w:p w14:paraId="131AA102" w14:textId="77777777" w:rsidR="00E51C4D" w:rsidRPr="00A55E1A" w:rsidRDefault="00E51C4D" w:rsidP="00E51C4D">
      <w:pPr>
        <w:spacing w:after="0"/>
        <w:rPr>
          <w:b/>
        </w:rPr>
      </w:pPr>
    </w:p>
    <w:p w14:paraId="7F9F7D59" w14:textId="77777777" w:rsidR="00E51C4D" w:rsidRPr="00A55E1A" w:rsidRDefault="00E51C4D" w:rsidP="00E51C4D">
      <w:pPr>
        <w:spacing w:after="0"/>
        <w:rPr>
          <w:b/>
        </w:rPr>
      </w:pPr>
    </w:p>
    <w:p w14:paraId="0947697A" w14:textId="2583E5CC" w:rsidR="00644E16" w:rsidRDefault="00644E16" w:rsidP="00E51C4D">
      <w:pPr>
        <w:spacing w:after="0"/>
        <w:rPr>
          <w:b/>
        </w:rPr>
      </w:pPr>
      <w:r>
        <w:rPr>
          <w:b/>
          <w:bCs/>
          <w:lang w:val="en-GB"/>
        </w:rPr>
        <w:t>File No:</w:t>
      </w:r>
      <w:bookmarkStart w:id="2" w:name="HUMANSOFTiktatoszam"/>
      <w:bookmarkEnd w:id="2"/>
    </w:p>
    <w:p w14:paraId="50139096" w14:textId="35685C88" w:rsidR="00644E16" w:rsidRDefault="00644E16" w:rsidP="00E51C4D">
      <w:pPr>
        <w:spacing w:after="0"/>
        <w:rPr>
          <w:b/>
        </w:rPr>
      </w:pPr>
      <w:r>
        <w:rPr>
          <w:b/>
          <w:bCs/>
          <w:lang w:val="en-GB"/>
        </w:rPr>
        <w:t>Date:</w:t>
      </w:r>
      <w:bookmarkStart w:id="3" w:name="HUMANSOFTdatumHUN"/>
      <w:bookmarkEnd w:id="3"/>
    </w:p>
    <w:p w14:paraId="2498C54E" w14:textId="75639B3D" w:rsidR="00E51C4D" w:rsidRPr="00A55E1A" w:rsidRDefault="00E51C4D" w:rsidP="00E51C4D">
      <w:pPr>
        <w:spacing w:after="0"/>
        <w:rPr>
          <w:b/>
        </w:rPr>
      </w:pPr>
      <w:r>
        <w:rPr>
          <w:b/>
          <w:bCs/>
          <w:lang w:val="en-GB"/>
        </w:rPr>
        <w:t>Institution name:</w:t>
      </w:r>
    </w:p>
    <w:p w14:paraId="13D6127C" w14:textId="7DADD1FE" w:rsidR="00E51C4D" w:rsidRPr="00A55E1A" w:rsidRDefault="00144958" w:rsidP="00E51C4D">
      <w:pPr>
        <w:spacing w:after="0"/>
        <w:rPr>
          <w:b/>
        </w:rPr>
      </w:pPr>
      <w:r>
        <w:rPr>
          <w:b/>
          <w:bCs/>
          <w:lang w:val="en-GB"/>
        </w:rPr>
        <w:t>Reference date:</w:t>
      </w:r>
    </w:p>
    <w:bookmarkEnd w:id="1"/>
    <w:p w14:paraId="168FEE06" w14:textId="77777777" w:rsidR="00B944EB" w:rsidRPr="00A55E1A" w:rsidRDefault="00B944EB" w:rsidP="00B944EB"/>
    <w:p w14:paraId="74F1CC33" w14:textId="77777777" w:rsidR="007120EE" w:rsidRPr="007120EE" w:rsidRDefault="007120EE" w:rsidP="007120EE">
      <w:pPr>
        <w:pStyle w:val="Heading1Kiadvny"/>
        <w:rPr>
          <w:sz w:val="24"/>
          <w:szCs w:val="24"/>
        </w:rPr>
      </w:pPr>
      <w:r>
        <w:rPr>
          <w:bCs w:val="0"/>
          <w:sz w:val="24"/>
          <w:szCs w:val="24"/>
          <w:lang w:val="en-GB"/>
        </w:rPr>
        <w:t>Internal capital calculation and liquidity</w:t>
      </w:r>
    </w:p>
    <w:p w14:paraId="7B33C020" w14:textId="77777777" w:rsidR="007120EE" w:rsidRPr="007120EE" w:rsidRDefault="007120EE" w:rsidP="007120EE">
      <w:pPr>
        <w:pStyle w:val="Cmsor2"/>
      </w:pPr>
      <w:r>
        <w:rPr>
          <w:bCs/>
          <w:lang w:val="en-GB"/>
        </w:rPr>
        <w:t>General overview</w:t>
      </w:r>
    </w:p>
    <w:p w14:paraId="0B5E98B8" w14:textId="77777777" w:rsidR="007120EE" w:rsidRPr="007120EE" w:rsidRDefault="007120EE" w:rsidP="009433A1">
      <w:pPr>
        <w:numPr>
          <w:ilvl w:val="0"/>
          <w:numId w:val="19"/>
        </w:numPr>
        <w:spacing w:after="0"/>
        <w:ind w:left="426"/>
        <w:rPr>
          <w:b/>
        </w:rPr>
      </w:pPr>
      <w:r>
        <w:rPr>
          <w:b/>
          <w:bCs/>
          <w:lang w:val="en-GB"/>
        </w:rPr>
        <w:t>Which risks does the management deem to be material in its operation, and why?</w:t>
      </w:r>
    </w:p>
    <w:p w14:paraId="47157F85" w14:textId="243EC80C" w:rsidR="007120EE" w:rsidRPr="009433A1" w:rsidRDefault="007120EE" w:rsidP="009433A1">
      <w:pPr>
        <w:ind w:left="426"/>
        <w:rPr>
          <w:i/>
        </w:rPr>
      </w:pPr>
      <w:r>
        <w:rPr>
          <w:i/>
          <w:iCs/>
          <w:lang w:val="en-GB"/>
        </w:rPr>
        <w:t>Name not only the key risk categories (lending, operational, etc.), but rather detail which one, within those categories, you regard problematic for the operation of the institution. (When reckoning the potential risks you should take into  consideration the provisions of Chapter V.2 Material Risks in the ICAAP-ILAAP-BMA  manual published on the MNB’s website. The presentation should describe the content of identified risks and the justification for the classification of risks treated is irrelevant.</w:t>
      </w:r>
    </w:p>
    <w:p w14:paraId="1EC9DF65" w14:textId="77777777" w:rsidR="007120EE" w:rsidRPr="007120EE" w:rsidRDefault="007120EE" w:rsidP="009433A1">
      <w:pPr>
        <w:numPr>
          <w:ilvl w:val="0"/>
          <w:numId w:val="19"/>
        </w:numPr>
        <w:spacing w:after="0"/>
        <w:ind w:left="426"/>
        <w:rPr>
          <w:b/>
        </w:rPr>
      </w:pPr>
      <w:r>
        <w:rPr>
          <w:b/>
          <w:bCs/>
          <w:lang w:val="en-GB"/>
        </w:rPr>
        <w:t>Present your risk management framework!</w:t>
      </w:r>
    </w:p>
    <w:p w14:paraId="418BE382" w14:textId="325FE772" w:rsidR="007120EE" w:rsidRPr="009433A1" w:rsidRDefault="007120EE" w:rsidP="009433A1">
      <w:pPr>
        <w:ind w:left="426"/>
        <w:rPr>
          <w:i/>
        </w:rPr>
      </w:pPr>
      <w:r>
        <w:rPr>
          <w:i/>
          <w:iCs/>
          <w:lang w:val="en-GB"/>
        </w:rPr>
        <w:t>(Principles and areas – products, business lines, markets – of risk assumption; degree,, measurement, management, limitation of risk assumption; position of the risk management area within the organisation, its duties, relation with the management; regulations, reports, etc.)</w:t>
      </w:r>
    </w:p>
    <w:p w14:paraId="2EA3C673" w14:textId="6E1174A8" w:rsidR="007120EE" w:rsidRPr="007120EE" w:rsidRDefault="007120EE" w:rsidP="009433A1">
      <w:pPr>
        <w:numPr>
          <w:ilvl w:val="0"/>
          <w:numId w:val="19"/>
        </w:numPr>
        <w:ind w:left="426"/>
        <w:rPr>
          <w:b/>
        </w:rPr>
      </w:pPr>
      <w:r>
        <w:rPr>
          <w:b/>
          <w:bCs/>
          <w:lang w:val="en-GB"/>
        </w:rPr>
        <w:t xml:space="preserve">Please detail the elements of the regulatory capital! Please prove the availability of the regulatory capital by account statements for 30 June 2020! </w:t>
      </w:r>
    </w:p>
    <w:p w14:paraId="5C00E38C" w14:textId="13452DCE" w:rsidR="007120EE" w:rsidRPr="007120EE" w:rsidRDefault="007120EE" w:rsidP="009433A1">
      <w:pPr>
        <w:numPr>
          <w:ilvl w:val="0"/>
          <w:numId w:val="19"/>
        </w:numPr>
        <w:ind w:left="426"/>
        <w:rPr>
          <w:b/>
        </w:rPr>
      </w:pPr>
      <w:r>
        <w:rPr>
          <w:b/>
          <w:bCs/>
          <w:lang w:val="en-GB"/>
        </w:rPr>
        <w:t>Which method do you use for the calculation of the internal capital requirement (Pillar 1, building block approach, other)? Has there been any change in the capital calculation methodology related to risk exposures in the past one year? If yes, please detail the reason for it.</w:t>
      </w:r>
    </w:p>
    <w:p w14:paraId="29264D6C" w14:textId="58AC9C52" w:rsidR="007120EE" w:rsidRPr="007120EE" w:rsidRDefault="007120EE" w:rsidP="003C6030">
      <w:pPr>
        <w:numPr>
          <w:ilvl w:val="0"/>
          <w:numId w:val="19"/>
        </w:numPr>
        <w:ind w:left="426"/>
        <w:rPr>
          <w:b/>
        </w:rPr>
      </w:pPr>
      <w:r>
        <w:rPr>
          <w:b/>
          <w:bCs/>
          <w:lang w:val="en-GB"/>
        </w:rPr>
        <w:t>For the purposes of verifying the calculation of the Company’s regulatory capital, please submit the following supplementary information – with reference to the general ledger data and the steps of the calculation – in relation to the COREP data supplies for the date of 30 June 2020:</w:t>
      </w:r>
    </w:p>
    <w:p w14:paraId="3D7500BA" w14:textId="4D04F63E" w:rsidR="007120EE" w:rsidRPr="007120EE" w:rsidRDefault="007120EE" w:rsidP="007120EE">
      <w:pPr>
        <w:numPr>
          <w:ilvl w:val="2"/>
          <w:numId w:val="20"/>
        </w:numPr>
        <w:rPr>
          <w:b/>
        </w:rPr>
      </w:pPr>
      <w:r>
        <w:rPr>
          <w:b/>
          <w:bCs/>
          <w:lang w:val="en-GB"/>
        </w:rPr>
        <w:t>Please present – based on the individual lines of table 31A –  which capital table the individual asset lines have been allocated to (deduction from regulatory capital, tables C_07.00, C_08.00) and the basis of the assets’ weighting.</w:t>
      </w:r>
    </w:p>
    <w:p w14:paraId="4CA9A6E7" w14:textId="52677938" w:rsidR="007120EE" w:rsidRPr="007120EE" w:rsidRDefault="007120EE" w:rsidP="007120EE">
      <w:pPr>
        <w:numPr>
          <w:ilvl w:val="2"/>
          <w:numId w:val="20"/>
        </w:numPr>
        <w:rPr>
          <w:b/>
        </w:rPr>
      </w:pPr>
      <w:r>
        <w:rPr>
          <w:b/>
          <w:bCs/>
          <w:lang w:val="en-GB"/>
        </w:rPr>
        <w:t>Please explain why the items on the assets side not taken into consideration in full during the calculation of the capital requirement, if any, have not been taken into account.</w:t>
      </w:r>
    </w:p>
    <w:p w14:paraId="2374C2C3" w14:textId="66A24B3C" w:rsidR="007120EE" w:rsidRPr="007120EE" w:rsidRDefault="007120EE" w:rsidP="007120EE">
      <w:pPr>
        <w:numPr>
          <w:ilvl w:val="2"/>
          <w:numId w:val="20"/>
        </w:numPr>
        <w:rPr>
          <w:b/>
        </w:rPr>
      </w:pPr>
      <w:r>
        <w:rPr>
          <w:b/>
          <w:bCs/>
          <w:lang w:val="en-GB"/>
        </w:rPr>
        <w:t>Please detail the analytical deduction of the credit and counterparty risk exposure value (by indicating the basic data, calculation steps and partial results).</w:t>
      </w:r>
    </w:p>
    <w:p w14:paraId="51607A52" w14:textId="7B2D1A3B" w:rsidR="007120EE" w:rsidRDefault="007120EE" w:rsidP="007120EE">
      <w:pPr>
        <w:numPr>
          <w:ilvl w:val="2"/>
          <w:numId w:val="20"/>
        </w:numPr>
        <w:rPr>
          <w:b/>
        </w:rPr>
      </w:pPr>
      <w:r>
        <w:rPr>
          <w:b/>
          <w:bCs/>
          <w:lang w:val="en-GB"/>
        </w:rPr>
        <w:t>Please support, based on the individual lines of table 32B, the “previous year” field of line C_16.00.A010 governing the calculation of the operational risk.</w:t>
      </w:r>
    </w:p>
    <w:p w14:paraId="23458480" w14:textId="0C5436AF" w:rsidR="008405B3" w:rsidRDefault="008405B3" w:rsidP="007120EE">
      <w:pPr>
        <w:numPr>
          <w:ilvl w:val="2"/>
          <w:numId w:val="20"/>
        </w:numPr>
        <w:rPr>
          <w:b/>
        </w:rPr>
      </w:pPr>
      <w:r>
        <w:rPr>
          <w:b/>
          <w:bCs/>
          <w:lang w:val="en-GB"/>
        </w:rPr>
        <w:lastRenderedPageBreak/>
        <w:t>Please present the costs related to the authorised persons involved in the performance of investment services and supplementary investment services</w:t>
      </w:r>
      <w:r>
        <w:rPr>
          <w:rStyle w:val="Lbjegyzet-hivatkozs"/>
          <w:b/>
          <w:bCs/>
          <w:lang w:val="en-GB"/>
        </w:rPr>
        <w:footnoteReference w:id="2"/>
      </w:r>
      <w:r>
        <w:rPr>
          <w:b/>
          <w:bCs/>
          <w:lang w:val="en-GB"/>
        </w:rPr>
        <w:t xml:space="preserve"> (including also the intermediaries and counterparties performing outsourced functions) for 2018, broken down by authorised persons. </w:t>
      </w:r>
    </w:p>
    <w:p w14:paraId="7D418090" w14:textId="15C284C2" w:rsidR="007120EE" w:rsidRPr="003C6030" w:rsidRDefault="007120EE" w:rsidP="003C6030">
      <w:pPr>
        <w:numPr>
          <w:ilvl w:val="2"/>
          <w:numId w:val="20"/>
        </w:numPr>
        <w:rPr>
          <w:b/>
        </w:rPr>
      </w:pPr>
      <w:r>
        <w:rPr>
          <w:b/>
          <w:bCs/>
          <w:lang w:val="en-GB"/>
        </w:rPr>
        <w:t>Please detail the analytical deduction of the market risk exposure value (by indicating the basic data, calculation steps and partial results).</w:t>
      </w:r>
    </w:p>
    <w:p w14:paraId="6129867A" w14:textId="6EDC47E5" w:rsidR="00FE7D2C" w:rsidRPr="008822E6" w:rsidRDefault="00FE7D2C" w:rsidP="00335213">
      <w:pPr>
        <w:numPr>
          <w:ilvl w:val="0"/>
          <w:numId w:val="19"/>
        </w:numPr>
        <w:spacing w:after="0"/>
        <w:ind w:left="426"/>
        <w:rPr>
          <w:b/>
        </w:rPr>
      </w:pPr>
      <w:r>
        <w:rPr>
          <w:b/>
          <w:bCs/>
          <w:lang w:val="en-GB"/>
        </w:rPr>
        <w:t xml:space="preserve">If you provide investment loans, present the source of it. If the Company provides investment loans from its own liquid assets, please present the respective positions in detail. Furthermore, please present how this is taken into consideration when calculating the capital requirement. </w:t>
      </w:r>
    </w:p>
    <w:p w14:paraId="49698B37" w14:textId="77777777" w:rsidR="008822E6" w:rsidRPr="008822E6" w:rsidRDefault="008822E6" w:rsidP="00BE2629">
      <w:pPr>
        <w:spacing w:after="0"/>
        <w:ind w:left="426"/>
        <w:rPr>
          <w:b/>
        </w:rPr>
      </w:pPr>
    </w:p>
    <w:p w14:paraId="54EE2047" w14:textId="76EC5BE8" w:rsidR="007120EE" w:rsidRPr="007120EE" w:rsidRDefault="007120EE" w:rsidP="003C6030">
      <w:pPr>
        <w:numPr>
          <w:ilvl w:val="0"/>
          <w:numId w:val="19"/>
        </w:numPr>
        <w:spacing w:after="0"/>
        <w:ind w:left="426"/>
        <w:rPr>
          <w:b/>
        </w:rPr>
      </w:pPr>
      <w:r>
        <w:rPr>
          <w:b/>
          <w:bCs/>
          <w:lang w:val="en-GB"/>
        </w:rPr>
        <w:t>Are there any factors (e.g. low risk environment, collateral quality) that the institution considered as elements reducing the capital requirement when calculating the amount of the internal capital requirement?</w:t>
      </w:r>
    </w:p>
    <w:p w14:paraId="4E592952" w14:textId="77777777" w:rsidR="007120EE" w:rsidRPr="003C6030" w:rsidRDefault="007120EE" w:rsidP="003C6030">
      <w:pPr>
        <w:ind w:left="66" w:firstLine="360"/>
        <w:rPr>
          <w:i/>
        </w:rPr>
      </w:pPr>
      <w:r>
        <w:rPr>
          <w:i/>
          <w:iCs/>
          <w:lang w:val="en-GB"/>
        </w:rPr>
        <w:t>If yes, present those and justify the risk mitigating effect!</w:t>
      </w:r>
    </w:p>
    <w:p w14:paraId="4D930D59" w14:textId="0E691659" w:rsidR="007120EE" w:rsidRPr="007120EE" w:rsidRDefault="007120EE" w:rsidP="003C6030">
      <w:pPr>
        <w:numPr>
          <w:ilvl w:val="0"/>
          <w:numId w:val="19"/>
        </w:numPr>
        <w:ind w:left="426"/>
        <w:rPr>
          <w:b/>
        </w:rPr>
      </w:pPr>
      <w:r>
        <w:rPr>
          <w:b/>
          <w:bCs/>
          <w:lang w:val="en-GB"/>
        </w:rPr>
        <w:t>Please attach the list of the companies belonging to the Company’s direct and indirect interests, indicating the rate of the controlling/participating interest both as a percentage and an amount, the date of acquiring the controlling/participating interest, and the latest available audited annual accounts of the respective companies. Please also attach the documentation supporting the current book value of the holdings.</w:t>
      </w:r>
    </w:p>
    <w:p w14:paraId="1D73F204" w14:textId="77777777" w:rsidR="007120EE" w:rsidRPr="007120EE" w:rsidRDefault="007120EE" w:rsidP="003C6030">
      <w:pPr>
        <w:numPr>
          <w:ilvl w:val="0"/>
          <w:numId w:val="19"/>
        </w:numPr>
        <w:ind w:left="426"/>
        <w:rPr>
          <w:b/>
        </w:rPr>
      </w:pPr>
      <w:r>
        <w:rPr>
          <w:b/>
          <w:bCs/>
          <w:lang w:val="en-GB"/>
        </w:rPr>
        <w:t>Please submit the methodology applied for the calculation of the participations’ capital requirement and the applied risk weights item by item, together with the regulation pertaining to the calculation and rating of the participations’ value.</w:t>
      </w:r>
    </w:p>
    <w:p w14:paraId="04183F66" w14:textId="77777777" w:rsidR="007120EE" w:rsidRPr="007120EE" w:rsidRDefault="007120EE" w:rsidP="003C6030">
      <w:pPr>
        <w:numPr>
          <w:ilvl w:val="0"/>
          <w:numId w:val="19"/>
        </w:numPr>
        <w:spacing w:after="0"/>
        <w:ind w:left="426"/>
        <w:rPr>
          <w:b/>
        </w:rPr>
      </w:pPr>
      <w:r>
        <w:rPr>
          <w:b/>
          <w:bCs/>
          <w:lang w:val="en-GB"/>
        </w:rPr>
        <w:t>Does the institution apply stress tests during the calculation of the internal capital requirement?</w:t>
      </w:r>
    </w:p>
    <w:p w14:paraId="3144EB85" w14:textId="77777777" w:rsidR="007120EE" w:rsidRPr="003C6030" w:rsidRDefault="007120EE" w:rsidP="003C6030">
      <w:pPr>
        <w:ind w:left="66" w:firstLine="360"/>
        <w:rPr>
          <w:i/>
        </w:rPr>
      </w:pPr>
      <w:r>
        <w:rPr>
          <w:i/>
          <w:iCs/>
          <w:lang w:val="en-GB"/>
        </w:rPr>
        <w:t>If yes, present them and the results of those!</w:t>
      </w:r>
    </w:p>
    <w:p w14:paraId="3869A529" w14:textId="6CE35860" w:rsidR="007120EE" w:rsidRPr="003C6030" w:rsidRDefault="007120EE" w:rsidP="003C6030">
      <w:pPr>
        <w:numPr>
          <w:ilvl w:val="0"/>
          <w:numId w:val="19"/>
        </w:numPr>
        <w:ind w:left="426"/>
        <w:rPr>
          <w:i/>
        </w:rPr>
      </w:pPr>
      <w:r>
        <w:rPr>
          <w:b/>
          <w:bCs/>
          <w:lang w:val="en-GB"/>
        </w:rPr>
        <w:t xml:space="preserve">Does the institution apply the results of the internal capital requirement calculation in other areas? </w:t>
      </w:r>
      <w:r>
        <w:rPr>
          <w:lang w:val="en-GB"/>
        </w:rPr>
        <w:br/>
      </w:r>
      <w:r>
        <w:rPr>
          <w:i/>
          <w:iCs/>
          <w:lang w:val="en-GB"/>
        </w:rPr>
        <w:t>(e.g. risk management, pricing, impairment recognition). If yes, present the application of those!</w:t>
      </w:r>
    </w:p>
    <w:p w14:paraId="47F1F9B3" w14:textId="77777777" w:rsidR="007120EE" w:rsidRPr="007120EE" w:rsidRDefault="007120EE" w:rsidP="003C6030">
      <w:pPr>
        <w:numPr>
          <w:ilvl w:val="0"/>
          <w:numId w:val="19"/>
        </w:numPr>
        <w:spacing w:after="0"/>
        <w:ind w:left="426"/>
        <w:rPr>
          <w:b/>
        </w:rPr>
      </w:pPr>
      <w:r>
        <w:rPr>
          <w:b/>
          <w:bCs/>
          <w:lang w:val="en-GB"/>
        </w:rPr>
        <w:t>Does the institution calculate CVA capital requirement?</w:t>
      </w:r>
    </w:p>
    <w:p w14:paraId="29051FC5" w14:textId="77777777" w:rsidR="007120EE" w:rsidRPr="003C6030" w:rsidRDefault="007120EE" w:rsidP="003C6030">
      <w:pPr>
        <w:spacing w:after="0"/>
        <w:ind w:left="426"/>
        <w:rPr>
          <w:i/>
        </w:rPr>
      </w:pPr>
      <w:r>
        <w:rPr>
          <w:i/>
          <w:iCs/>
          <w:lang w:val="en-GB"/>
        </w:rPr>
        <w:t>If yes, please deduce the CVA calculation, and if the institution failed to calculate CVA capital requirement , the justification of that.</w:t>
      </w:r>
    </w:p>
    <w:p w14:paraId="44A096F1" w14:textId="77777777" w:rsidR="007120EE" w:rsidRPr="003C6030" w:rsidRDefault="007120EE" w:rsidP="003C6030">
      <w:pPr>
        <w:ind w:left="66" w:firstLine="360"/>
        <w:rPr>
          <w:i/>
        </w:rPr>
      </w:pPr>
    </w:p>
    <w:p w14:paraId="563EF6D1" w14:textId="77777777" w:rsidR="00593519" w:rsidRPr="00593519" w:rsidRDefault="00593519" w:rsidP="00593519">
      <w:pPr>
        <w:pStyle w:val="Cmsor2"/>
      </w:pPr>
      <w:r>
        <w:rPr>
          <w:bCs/>
          <w:lang w:val="en-GB"/>
        </w:rPr>
        <w:t>Business processes and capital</w:t>
      </w:r>
    </w:p>
    <w:p w14:paraId="7020FE5C" w14:textId="77777777" w:rsidR="00593519" w:rsidRPr="00593519" w:rsidRDefault="00593519" w:rsidP="00A039C8">
      <w:pPr>
        <w:numPr>
          <w:ilvl w:val="0"/>
          <w:numId w:val="19"/>
        </w:numPr>
        <w:spacing w:before="240"/>
        <w:ind w:left="426"/>
        <w:rPr>
          <w:b/>
          <w:i/>
        </w:rPr>
      </w:pPr>
      <w:r>
        <w:rPr>
          <w:b/>
          <w:bCs/>
          <w:lang w:val="en-GB"/>
        </w:rPr>
        <w:t>How do you perform the rating of business partners? Based on what data and information do you determine their risk rating? How often is it revised?</w:t>
      </w:r>
    </w:p>
    <w:p w14:paraId="3CCAFDDE" w14:textId="3F3CFB38" w:rsidR="00593519" w:rsidRPr="00593519" w:rsidRDefault="00593519" w:rsidP="00A039C8">
      <w:pPr>
        <w:numPr>
          <w:ilvl w:val="0"/>
          <w:numId w:val="19"/>
        </w:numPr>
        <w:spacing w:after="0"/>
        <w:ind w:left="426"/>
        <w:rPr>
          <w:b/>
        </w:rPr>
      </w:pPr>
      <w:r>
        <w:rPr>
          <w:b/>
          <w:bCs/>
          <w:lang w:val="en-GB"/>
        </w:rPr>
        <w:t>What was the internal capital requirement calculated by the institution in total and by risks on 30 June 2020?</w:t>
      </w:r>
    </w:p>
    <w:p w14:paraId="5279FD99" w14:textId="77777777" w:rsidR="00593519" w:rsidRPr="00A039C8" w:rsidRDefault="00593519" w:rsidP="00A039C8">
      <w:pPr>
        <w:spacing w:after="0"/>
        <w:ind w:left="426"/>
        <w:rPr>
          <w:i/>
        </w:rPr>
      </w:pPr>
      <w:r>
        <w:rPr>
          <w:i/>
          <w:iCs/>
          <w:lang w:val="en-GB"/>
        </w:rPr>
        <w:t>Please quantify and justify the potential discrepancies compared to the regulatory capital requirement. If you allocate no capital requirement to any of the risks (e.g. strategic risk, reputation risk), justify the exemption of the risks from the capital requirement. (Answer the question in the Excel Annex 2 / deduction of the internal capital calculation/)</w:t>
      </w:r>
    </w:p>
    <w:p w14:paraId="2D02A928" w14:textId="77777777" w:rsidR="00593519" w:rsidRPr="00593519" w:rsidRDefault="00593519" w:rsidP="00A039C8">
      <w:pPr>
        <w:numPr>
          <w:ilvl w:val="0"/>
          <w:numId w:val="19"/>
        </w:numPr>
        <w:spacing w:before="240"/>
        <w:ind w:left="426"/>
        <w:rPr>
          <w:b/>
        </w:rPr>
      </w:pPr>
      <w:r>
        <w:rPr>
          <w:b/>
          <w:bCs/>
          <w:lang w:val="en-GB"/>
        </w:rPr>
        <w:lastRenderedPageBreak/>
        <w:t>Based on the institution’s current business and capital plans in what way will its capital requirement and the amount of available capital change in the next 2.5 years? In what way does the institution wish to increase the amount of available capital, if necessary?</w:t>
      </w:r>
    </w:p>
    <w:tbl>
      <w:tblPr>
        <w:tblW w:w="9072" w:type="dxa"/>
        <w:tblInd w:w="403" w:type="dxa"/>
        <w:tblCellMar>
          <w:left w:w="70" w:type="dxa"/>
          <w:right w:w="70" w:type="dxa"/>
        </w:tblCellMar>
        <w:tblLook w:val="04A0" w:firstRow="1" w:lastRow="0" w:firstColumn="1" w:lastColumn="0" w:noHBand="0" w:noVBand="1"/>
      </w:tblPr>
      <w:tblGrid>
        <w:gridCol w:w="2044"/>
        <w:gridCol w:w="1763"/>
        <w:gridCol w:w="1814"/>
        <w:gridCol w:w="1843"/>
        <w:gridCol w:w="1608"/>
      </w:tblGrid>
      <w:tr w:rsidR="00593519" w:rsidRPr="00593519" w14:paraId="55AD33CF" w14:textId="77777777" w:rsidTr="00A039C8">
        <w:trPr>
          <w:trHeight w:val="315"/>
        </w:trPr>
        <w:tc>
          <w:tcPr>
            <w:tcW w:w="2044"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5A201D73" w14:textId="77777777" w:rsidR="00593519" w:rsidRPr="00593519" w:rsidRDefault="00593519" w:rsidP="00593519">
            <w:pPr>
              <w:ind w:left="66"/>
              <w:rPr>
                <w:b/>
              </w:rPr>
            </w:pPr>
            <w:r>
              <w:rPr>
                <w:b/>
                <w:bCs/>
                <w:lang w:val="en-GB"/>
              </w:rPr>
              <w:t> </w:t>
            </w:r>
          </w:p>
        </w:tc>
        <w:tc>
          <w:tcPr>
            <w:tcW w:w="1763" w:type="dxa"/>
            <w:tcBorders>
              <w:top w:val="double" w:sz="6" w:space="0" w:color="auto"/>
              <w:left w:val="nil"/>
              <w:bottom w:val="single" w:sz="4" w:space="0" w:color="auto"/>
              <w:right w:val="single" w:sz="4" w:space="0" w:color="auto"/>
            </w:tcBorders>
            <w:shd w:val="clear" w:color="auto" w:fill="auto"/>
            <w:noWrap/>
            <w:vAlign w:val="bottom"/>
            <w:hideMark/>
          </w:tcPr>
          <w:p w14:paraId="1D16AE47" w14:textId="4682B2AE" w:rsidR="00593519" w:rsidRPr="00593519" w:rsidRDefault="00593519" w:rsidP="00A039C8">
            <w:pPr>
              <w:ind w:left="66"/>
              <w:jc w:val="center"/>
              <w:rPr>
                <w:b/>
                <w:bCs/>
              </w:rPr>
            </w:pPr>
            <w:r>
              <w:rPr>
                <w:b/>
                <w:bCs/>
                <w:lang w:val="en-GB"/>
              </w:rPr>
              <w:t>30.06.2020*</w:t>
            </w:r>
          </w:p>
        </w:tc>
        <w:tc>
          <w:tcPr>
            <w:tcW w:w="1814" w:type="dxa"/>
            <w:tcBorders>
              <w:top w:val="double" w:sz="6" w:space="0" w:color="auto"/>
              <w:left w:val="nil"/>
              <w:bottom w:val="single" w:sz="4" w:space="0" w:color="auto"/>
              <w:right w:val="single" w:sz="4" w:space="0" w:color="auto"/>
            </w:tcBorders>
            <w:shd w:val="clear" w:color="auto" w:fill="auto"/>
            <w:noWrap/>
            <w:vAlign w:val="bottom"/>
            <w:hideMark/>
          </w:tcPr>
          <w:p w14:paraId="0A28AA0B" w14:textId="20A52E57" w:rsidR="00593519" w:rsidRPr="00593519" w:rsidRDefault="00593519" w:rsidP="00A039C8">
            <w:pPr>
              <w:ind w:left="66"/>
              <w:jc w:val="center"/>
              <w:rPr>
                <w:b/>
                <w:bCs/>
              </w:rPr>
            </w:pPr>
            <w:r>
              <w:rPr>
                <w:b/>
                <w:bCs/>
                <w:lang w:val="en-GB"/>
              </w:rPr>
              <w:t>31.12.2020</w:t>
            </w:r>
          </w:p>
        </w:tc>
        <w:tc>
          <w:tcPr>
            <w:tcW w:w="1843" w:type="dxa"/>
            <w:tcBorders>
              <w:top w:val="double" w:sz="6" w:space="0" w:color="auto"/>
              <w:left w:val="nil"/>
              <w:bottom w:val="single" w:sz="4" w:space="0" w:color="auto"/>
              <w:right w:val="single" w:sz="4" w:space="0" w:color="auto"/>
            </w:tcBorders>
            <w:shd w:val="clear" w:color="auto" w:fill="auto"/>
            <w:noWrap/>
            <w:vAlign w:val="bottom"/>
            <w:hideMark/>
          </w:tcPr>
          <w:p w14:paraId="55103013" w14:textId="2EED5DF8" w:rsidR="00593519" w:rsidRPr="00593519" w:rsidRDefault="00593519" w:rsidP="00A039C8">
            <w:pPr>
              <w:ind w:left="66"/>
              <w:jc w:val="center"/>
              <w:rPr>
                <w:b/>
                <w:bCs/>
              </w:rPr>
            </w:pPr>
            <w:r>
              <w:rPr>
                <w:b/>
                <w:bCs/>
                <w:lang w:val="en-GB"/>
              </w:rPr>
              <w:t>31.12.2021</w:t>
            </w:r>
          </w:p>
        </w:tc>
        <w:tc>
          <w:tcPr>
            <w:tcW w:w="1608" w:type="dxa"/>
            <w:tcBorders>
              <w:top w:val="double" w:sz="6" w:space="0" w:color="auto"/>
              <w:left w:val="nil"/>
              <w:bottom w:val="single" w:sz="4" w:space="0" w:color="auto"/>
              <w:right w:val="double" w:sz="6" w:space="0" w:color="auto"/>
            </w:tcBorders>
            <w:shd w:val="clear" w:color="auto" w:fill="auto"/>
            <w:noWrap/>
            <w:vAlign w:val="bottom"/>
            <w:hideMark/>
          </w:tcPr>
          <w:p w14:paraId="69113F10" w14:textId="33B0420F" w:rsidR="00593519" w:rsidRPr="00593519" w:rsidRDefault="00593519" w:rsidP="00A039C8">
            <w:pPr>
              <w:ind w:left="66"/>
              <w:jc w:val="center"/>
              <w:rPr>
                <w:b/>
                <w:bCs/>
              </w:rPr>
            </w:pPr>
            <w:r>
              <w:rPr>
                <w:b/>
                <w:bCs/>
                <w:lang w:val="en-GB"/>
              </w:rPr>
              <w:t>31.12.2022</w:t>
            </w:r>
          </w:p>
        </w:tc>
      </w:tr>
      <w:tr w:rsidR="00593519" w:rsidRPr="00593519" w14:paraId="6ACE9E67" w14:textId="77777777" w:rsidTr="00A039C8">
        <w:trPr>
          <w:trHeight w:val="20"/>
        </w:trPr>
        <w:tc>
          <w:tcPr>
            <w:tcW w:w="2044" w:type="dxa"/>
            <w:tcBorders>
              <w:top w:val="nil"/>
              <w:left w:val="double" w:sz="6" w:space="0" w:color="auto"/>
              <w:bottom w:val="single" w:sz="4" w:space="0" w:color="auto"/>
              <w:right w:val="single" w:sz="4" w:space="0" w:color="auto"/>
            </w:tcBorders>
            <w:shd w:val="clear" w:color="auto" w:fill="auto"/>
            <w:vAlign w:val="center"/>
            <w:hideMark/>
          </w:tcPr>
          <w:p w14:paraId="70A974B9" w14:textId="77777777" w:rsidR="00593519" w:rsidRPr="00593519" w:rsidRDefault="00593519" w:rsidP="00593519">
            <w:pPr>
              <w:ind w:left="66"/>
              <w:rPr>
                <w:b/>
                <w:bCs/>
              </w:rPr>
            </w:pPr>
            <w:r>
              <w:rPr>
                <w:b/>
                <w:bCs/>
                <w:lang w:val="en-GB"/>
              </w:rPr>
              <w:t>Available own funds</w:t>
            </w:r>
          </w:p>
        </w:tc>
        <w:tc>
          <w:tcPr>
            <w:tcW w:w="1763" w:type="dxa"/>
            <w:tcBorders>
              <w:top w:val="nil"/>
              <w:left w:val="nil"/>
              <w:bottom w:val="single" w:sz="4" w:space="0" w:color="auto"/>
              <w:right w:val="single" w:sz="4" w:space="0" w:color="auto"/>
            </w:tcBorders>
            <w:shd w:val="clear" w:color="auto" w:fill="auto"/>
            <w:noWrap/>
            <w:vAlign w:val="bottom"/>
            <w:hideMark/>
          </w:tcPr>
          <w:p w14:paraId="2FEFC5F5" w14:textId="77777777" w:rsidR="00593519" w:rsidRPr="00593519" w:rsidRDefault="00593519" w:rsidP="00593519">
            <w:pPr>
              <w:ind w:left="66"/>
              <w:rPr>
                <w:b/>
              </w:rPr>
            </w:pPr>
            <w:r>
              <w:rPr>
                <w:b/>
                <w:bCs/>
                <w:lang w:val="en-GB"/>
              </w:rPr>
              <w:t> </w:t>
            </w:r>
          </w:p>
        </w:tc>
        <w:tc>
          <w:tcPr>
            <w:tcW w:w="1814" w:type="dxa"/>
            <w:tcBorders>
              <w:top w:val="nil"/>
              <w:left w:val="nil"/>
              <w:bottom w:val="single" w:sz="4" w:space="0" w:color="auto"/>
              <w:right w:val="single" w:sz="4" w:space="0" w:color="auto"/>
            </w:tcBorders>
            <w:shd w:val="clear" w:color="auto" w:fill="auto"/>
            <w:noWrap/>
            <w:vAlign w:val="bottom"/>
            <w:hideMark/>
          </w:tcPr>
          <w:p w14:paraId="1C8A1F73" w14:textId="77777777" w:rsidR="00593519" w:rsidRPr="00593519" w:rsidRDefault="00593519" w:rsidP="00593519">
            <w:pPr>
              <w:ind w:left="66"/>
              <w:rPr>
                <w:b/>
              </w:rPr>
            </w:pPr>
            <w:r>
              <w:rPr>
                <w:b/>
                <w:bCs/>
                <w:lang w:val="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79E53147" w14:textId="77777777" w:rsidR="00593519" w:rsidRPr="00593519" w:rsidRDefault="00593519" w:rsidP="00593519">
            <w:pPr>
              <w:ind w:left="66"/>
              <w:rPr>
                <w:b/>
              </w:rPr>
            </w:pPr>
            <w:r>
              <w:rPr>
                <w:b/>
                <w:bCs/>
                <w:lang w:val="en-GB"/>
              </w:rPr>
              <w:t> </w:t>
            </w:r>
          </w:p>
        </w:tc>
        <w:tc>
          <w:tcPr>
            <w:tcW w:w="1608" w:type="dxa"/>
            <w:tcBorders>
              <w:top w:val="nil"/>
              <w:left w:val="nil"/>
              <w:bottom w:val="single" w:sz="4" w:space="0" w:color="auto"/>
              <w:right w:val="double" w:sz="6" w:space="0" w:color="auto"/>
            </w:tcBorders>
            <w:shd w:val="clear" w:color="auto" w:fill="auto"/>
            <w:noWrap/>
            <w:vAlign w:val="bottom"/>
            <w:hideMark/>
          </w:tcPr>
          <w:p w14:paraId="68A05AF7" w14:textId="77777777" w:rsidR="00593519" w:rsidRPr="00593519" w:rsidRDefault="00593519" w:rsidP="00593519">
            <w:pPr>
              <w:ind w:left="66"/>
              <w:rPr>
                <w:b/>
              </w:rPr>
            </w:pPr>
            <w:r>
              <w:rPr>
                <w:b/>
                <w:bCs/>
                <w:lang w:val="en-GB"/>
              </w:rPr>
              <w:t> </w:t>
            </w:r>
          </w:p>
        </w:tc>
      </w:tr>
      <w:tr w:rsidR="00593519" w:rsidRPr="00593519" w14:paraId="6C192004" w14:textId="77777777" w:rsidTr="00A039C8">
        <w:trPr>
          <w:trHeight w:val="20"/>
        </w:trPr>
        <w:tc>
          <w:tcPr>
            <w:tcW w:w="2044" w:type="dxa"/>
            <w:tcBorders>
              <w:top w:val="nil"/>
              <w:left w:val="double" w:sz="6" w:space="0" w:color="auto"/>
              <w:bottom w:val="single" w:sz="4" w:space="0" w:color="auto"/>
              <w:right w:val="single" w:sz="4" w:space="0" w:color="auto"/>
            </w:tcBorders>
            <w:shd w:val="clear" w:color="auto" w:fill="auto"/>
            <w:vAlign w:val="center"/>
            <w:hideMark/>
          </w:tcPr>
          <w:p w14:paraId="139FCC1B" w14:textId="77777777" w:rsidR="00593519" w:rsidRPr="00593519" w:rsidRDefault="00593519" w:rsidP="00593519">
            <w:pPr>
              <w:ind w:left="66"/>
              <w:rPr>
                <w:b/>
                <w:bCs/>
              </w:rPr>
            </w:pPr>
            <w:r>
              <w:rPr>
                <w:b/>
                <w:bCs/>
                <w:lang w:val="en-GB"/>
              </w:rPr>
              <w:t>Regulatory minimum capital requirement</w:t>
            </w:r>
          </w:p>
        </w:tc>
        <w:tc>
          <w:tcPr>
            <w:tcW w:w="1763" w:type="dxa"/>
            <w:tcBorders>
              <w:top w:val="nil"/>
              <w:left w:val="nil"/>
              <w:bottom w:val="single" w:sz="4" w:space="0" w:color="auto"/>
              <w:right w:val="single" w:sz="4" w:space="0" w:color="auto"/>
            </w:tcBorders>
            <w:shd w:val="clear" w:color="auto" w:fill="auto"/>
            <w:noWrap/>
            <w:vAlign w:val="bottom"/>
            <w:hideMark/>
          </w:tcPr>
          <w:p w14:paraId="7465F6DB" w14:textId="77777777" w:rsidR="00593519" w:rsidRPr="00593519" w:rsidRDefault="00593519" w:rsidP="00593519">
            <w:pPr>
              <w:ind w:left="66"/>
              <w:rPr>
                <w:b/>
              </w:rPr>
            </w:pPr>
            <w:r>
              <w:rPr>
                <w:b/>
                <w:bCs/>
                <w:lang w:val="en-GB"/>
              </w:rPr>
              <w:t> </w:t>
            </w:r>
          </w:p>
        </w:tc>
        <w:tc>
          <w:tcPr>
            <w:tcW w:w="1814" w:type="dxa"/>
            <w:tcBorders>
              <w:top w:val="nil"/>
              <w:left w:val="nil"/>
              <w:bottom w:val="single" w:sz="4" w:space="0" w:color="auto"/>
              <w:right w:val="single" w:sz="4" w:space="0" w:color="auto"/>
            </w:tcBorders>
            <w:shd w:val="clear" w:color="auto" w:fill="auto"/>
            <w:noWrap/>
            <w:vAlign w:val="bottom"/>
            <w:hideMark/>
          </w:tcPr>
          <w:p w14:paraId="06BC219A" w14:textId="77777777" w:rsidR="00593519" w:rsidRPr="00593519" w:rsidRDefault="00593519" w:rsidP="00593519">
            <w:pPr>
              <w:ind w:left="66"/>
              <w:rPr>
                <w:b/>
              </w:rPr>
            </w:pPr>
            <w:r>
              <w:rPr>
                <w:b/>
                <w:bCs/>
                <w:lang w:val="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61D61A" w14:textId="77777777" w:rsidR="00593519" w:rsidRPr="00593519" w:rsidRDefault="00593519" w:rsidP="00593519">
            <w:pPr>
              <w:ind w:left="66"/>
              <w:rPr>
                <w:b/>
              </w:rPr>
            </w:pPr>
            <w:r>
              <w:rPr>
                <w:b/>
                <w:bCs/>
                <w:lang w:val="en-GB"/>
              </w:rPr>
              <w:t> </w:t>
            </w:r>
          </w:p>
        </w:tc>
        <w:tc>
          <w:tcPr>
            <w:tcW w:w="1608" w:type="dxa"/>
            <w:tcBorders>
              <w:top w:val="nil"/>
              <w:left w:val="nil"/>
              <w:bottom w:val="single" w:sz="4" w:space="0" w:color="auto"/>
              <w:right w:val="double" w:sz="6" w:space="0" w:color="auto"/>
            </w:tcBorders>
            <w:shd w:val="clear" w:color="auto" w:fill="auto"/>
            <w:noWrap/>
            <w:vAlign w:val="bottom"/>
            <w:hideMark/>
          </w:tcPr>
          <w:p w14:paraId="165F9663" w14:textId="77777777" w:rsidR="00593519" w:rsidRPr="00593519" w:rsidRDefault="00593519" w:rsidP="00593519">
            <w:pPr>
              <w:ind w:left="66"/>
              <w:rPr>
                <w:b/>
              </w:rPr>
            </w:pPr>
            <w:r>
              <w:rPr>
                <w:b/>
                <w:bCs/>
                <w:lang w:val="en-GB"/>
              </w:rPr>
              <w:t> </w:t>
            </w:r>
          </w:p>
        </w:tc>
      </w:tr>
      <w:tr w:rsidR="00593519" w:rsidRPr="00593519" w14:paraId="39DD73AE" w14:textId="77777777" w:rsidTr="00A039C8">
        <w:trPr>
          <w:trHeight w:val="20"/>
        </w:trPr>
        <w:tc>
          <w:tcPr>
            <w:tcW w:w="2044" w:type="dxa"/>
            <w:tcBorders>
              <w:top w:val="nil"/>
              <w:left w:val="double" w:sz="6" w:space="0" w:color="auto"/>
              <w:bottom w:val="single" w:sz="4" w:space="0" w:color="auto"/>
              <w:right w:val="single" w:sz="4" w:space="0" w:color="auto"/>
            </w:tcBorders>
            <w:shd w:val="clear" w:color="auto" w:fill="auto"/>
            <w:vAlign w:val="center"/>
            <w:hideMark/>
          </w:tcPr>
          <w:p w14:paraId="1AEE214E" w14:textId="77777777" w:rsidR="00593519" w:rsidRPr="00593519" w:rsidRDefault="00593519" w:rsidP="00593519">
            <w:pPr>
              <w:ind w:left="66"/>
              <w:rPr>
                <w:b/>
                <w:bCs/>
              </w:rPr>
            </w:pPr>
            <w:r>
              <w:rPr>
                <w:b/>
                <w:bCs/>
                <w:lang w:val="en-GB"/>
              </w:rPr>
              <w:t>Internal capital requirement (ICAAP)</w:t>
            </w:r>
          </w:p>
        </w:tc>
        <w:tc>
          <w:tcPr>
            <w:tcW w:w="1763" w:type="dxa"/>
            <w:tcBorders>
              <w:top w:val="nil"/>
              <w:left w:val="nil"/>
              <w:bottom w:val="single" w:sz="4" w:space="0" w:color="auto"/>
              <w:right w:val="single" w:sz="4" w:space="0" w:color="auto"/>
            </w:tcBorders>
            <w:shd w:val="clear" w:color="auto" w:fill="auto"/>
            <w:noWrap/>
            <w:vAlign w:val="bottom"/>
            <w:hideMark/>
          </w:tcPr>
          <w:p w14:paraId="3C807DE2" w14:textId="77777777" w:rsidR="00593519" w:rsidRPr="00593519" w:rsidRDefault="00593519" w:rsidP="00593519">
            <w:pPr>
              <w:ind w:left="66"/>
              <w:rPr>
                <w:b/>
              </w:rPr>
            </w:pPr>
            <w:r>
              <w:rPr>
                <w:b/>
                <w:bCs/>
                <w:lang w:val="en-GB"/>
              </w:rPr>
              <w:t> </w:t>
            </w:r>
          </w:p>
        </w:tc>
        <w:tc>
          <w:tcPr>
            <w:tcW w:w="1814" w:type="dxa"/>
            <w:tcBorders>
              <w:top w:val="nil"/>
              <w:left w:val="nil"/>
              <w:bottom w:val="single" w:sz="4" w:space="0" w:color="auto"/>
              <w:right w:val="single" w:sz="4" w:space="0" w:color="auto"/>
            </w:tcBorders>
            <w:shd w:val="clear" w:color="auto" w:fill="auto"/>
            <w:noWrap/>
            <w:vAlign w:val="bottom"/>
            <w:hideMark/>
          </w:tcPr>
          <w:p w14:paraId="286A2B0F" w14:textId="77777777" w:rsidR="00593519" w:rsidRPr="00593519" w:rsidRDefault="00593519" w:rsidP="00593519">
            <w:pPr>
              <w:ind w:left="66"/>
              <w:rPr>
                <w:b/>
              </w:rPr>
            </w:pPr>
            <w:r>
              <w:rPr>
                <w:b/>
                <w:bCs/>
                <w:lang w:val="en-GB"/>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029DC4" w14:textId="77777777" w:rsidR="00593519" w:rsidRPr="00593519" w:rsidRDefault="00593519" w:rsidP="00593519">
            <w:pPr>
              <w:ind w:left="66"/>
              <w:rPr>
                <w:b/>
              </w:rPr>
            </w:pPr>
            <w:r>
              <w:rPr>
                <w:b/>
                <w:bCs/>
                <w:lang w:val="en-GB"/>
              </w:rPr>
              <w:t> </w:t>
            </w:r>
          </w:p>
        </w:tc>
        <w:tc>
          <w:tcPr>
            <w:tcW w:w="1608" w:type="dxa"/>
            <w:tcBorders>
              <w:top w:val="nil"/>
              <w:left w:val="nil"/>
              <w:bottom w:val="single" w:sz="4" w:space="0" w:color="auto"/>
              <w:right w:val="double" w:sz="6" w:space="0" w:color="auto"/>
            </w:tcBorders>
            <w:shd w:val="clear" w:color="auto" w:fill="auto"/>
            <w:noWrap/>
            <w:vAlign w:val="bottom"/>
            <w:hideMark/>
          </w:tcPr>
          <w:p w14:paraId="5B6B2E56" w14:textId="77777777" w:rsidR="00593519" w:rsidRPr="00593519" w:rsidRDefault="00593519" w:rsidP="00593519">
            <w:pPr>
              <w:ind w:left="66"/>
              <w:rPr>
                <w:b/>
              </w:rPr>
            </w:pPr>
            <w:r>
              <w:rPr>
                <w:b/>
                <w:bCs/>
                <w:lang w:val="en-GB"/>
              </w:rPr>
              <w:t> </w:t>
            </w:r>
          </w:p>
        </w:tc>
      </w:tr>
      <w:tr w:rsidR="00593519" w:rsidRPr="00593519" w14:paraId="101610A1" w14:textId="77777777" w:rsidTr="00A039C8">
        <w:trPr>
          <w:trHeight w:val="20"/>
        </w:trPr>
        <w:tc>
          <w:tcPr>
            <w:tcW w:w="2044" w:type="dxa"/>
            <w:tcBorders>
              <w:top w:val="nil"/>
              <w:left w:val="double" w:sz="6" w:space="0" w:color="auto"/>
              <w:bottom w:val="double" w:sz="6" w:space="0" w:color="auto"/>
              <w:right w:val="single" w:sz="4" w:space="0" w:color="auto"/>
            </w:tcBorders>
            <w:shd w:val="clear" w:color="auto" w:fill="auto"/>
            <w:vAlign w:val="center"/>
            <w:hideMark/>
          </w:tcPr>
          <w:p w14:paraId="7FABBD43" w14:textId="77777777" w:rsidR="00593519" w:rsidRPr="00593519" w:rsidRDefault="00593519" w:rsidP="00593519">
            <w:pPr>
              <w:ind w:left="66"/>
              <w:rPr>
                <w:b/>
                <w:bCs/>
              </w:rPr>
            </w:pPr>
            <w:r>
              <w:rPr>
                <w:b/>
                <w:bCs/>
                <w:lang w:val="en-GB"/>
              </w:rPr>
              <w:t>Capital surplus/shortfall**</w:t>
            </w:r>
          </w:p>
        </w:tc>
        <w:tc>
          <w:tcPr>
            <w:tcW w:w="1763" w:type="dxa"/>
            <w:tcBorders>
              <w:top w:val="nil"/>
              <w:left w:val="nil"/>
              <w:bottom w:val="double" w:sz="6" w:space="0" w:color="auto"/>
              <w:right w:val="single" w:sz="4" w:space="0" w:color="auto"/>
            </w:tcBorders>
            <w:shd w:val="clear" w:color="auto" w:fill="auto"/>
            <w:noWrap/>
            <w:vAlign w:val="bottom"/>
            <w:hideMark/>
          </w:tcPr>
          <w:p w14:paraId="7A88B87C" w14:textId="77777777" w:rsidR="00593519" w:rsidRPr="00593519" w:rsidRDefault="00593519" w:rsidP="00593519">
            <w:pPr>
              <w:ind w:left="66"/>
              <w:rPr>
                <w:b/>
              </w:rPr>
            </w:pPr>
            <w:r>
              <w:rPr>
                <w:b/>
                <w:bCs/>
                <w:lang w:val="en-GB"/>
              </w:rPr>
              <w:t> </w:t>
            </w:r>
          </w:p>
        </w:tc>
        <w:tc>
          <w:tcPr>
            <w:tcW w:w="1814" w:type="dxa"/>
            <w:tcBorders>
              <w:top w:val="nil"/>
              <w:left w:val="nil"/>
              <w:bottom w:val="double" w:sz="6" w:space="0" w:color="auto"/>
              <w:right w:val="single" w:sz="4" w:space="0" w:color="auto"/>
            </w:tcBorders>
            <w:shd w:val="clear" w:color="auto" w:fill="auto"/>
            <w:noWrap/>
            <w:vAlign w:val="bottom"/>
            <w:hideMark/>
          </w:tcPr>
          <w:p w14:paraId="6A1A64B5" w14:textId="77777777" w:rsidR="00593519" w:rsidRPr="00593519" w:rsidRDefault="00593519" w:rsidP="00593519">
            <w:pPr>
              <w:ind w:left="66"/>
              <w:rPr>
                <w:b/>
              </w:rPr>
            </w:pPr>
            <w:r>
              <w:rPr>
                <w:b/>
                <w:bCs/>
                <w:lang w:val="en-GB"/>
              </w:rPr>
              <w:t> </w:t>
            </w:r>
          </w:p>
        </w:tc>
        <w:tc>
          <w:tcPr>
            <w:tcW w:w="1843" w:type="dxa"/>
            <w:tcBorders>
              <w:top w:val="nil"/>
              <w:left w:val="nil"/>
              <w:bottom w:val="double" w:sz="6" w:space="0" w:color="auto"/>
              <w:right w:val="single" w:sz="4" w:space="0" w:color="auto"/>
            </w:tcBorders>
            <w:shd w:val="clear" w:color="auto" w:fill="auto"/>
            <w:noWrap/>
            <w:vAlign w:val="bottom"/>
            <w:hideMark/>
          </w:tcPr>
          <w:p w14:paraId="119650BE" w14:textId="77777777" w:rsidR="00593519" w:rsidRPr="00593519" w:rsidRDefault="00593519" w:rsidP="00593519">
            <w:pPr>
              <w:ind w:left="66"/>
              <w:rPr>
                <w:b/>
              </w:rPr>
            </w:pPr>
            <w:r>
              <w:rPr>
                <w:b/>
                <w:bCs/>
                <w:lang w:val="en-GB"/>
              </w:rPr>
              <w:t> </w:t>
            </w:r>
          </w:p>
        </w:tc>
        <w:tc>
          <w:tcPr>
            <w:tcW w:w="1608" w:type="dxa"/>
            <w:tcBorders>
              <w:top w:val="nil"/>
              <w:left w:val="nil"/>
              <w:bottom w:val="double" w:sz="6" w:space="0" w:color="auto"/>
              <w:right w:val="double" w:sz="6" w:space="0" w:color="auto"/>
            </w:tcBorders>
            <w:shd w:val="clear" w:color="auto" w:fill="auto"/>
            <w:noWrap/>
            <w:vAlign w:val="bottom"/>
            <w:hideMark/>
          </w:tcPr>
          <w:p w14:paraId="4EA44C75" w14:textId="77777777" w:rsidR="00593519" w:rsidRPr="00593519" w:rsidRDefault="00593519" w:rsidP="00593519">
            <w:pPr>
              <w:ind w:left="66"/>
              <w:rPr>
                <w:b/>
              </w:rPr>
            </w:pPr>
            <w:r>
              <w:rPr>
                <w:b/>
                <w:bCs/>
                <w:lang w:val="en-GB"/>
              </w:rPr>
              <w:t> </w:t>
            </w:r>
          </w:p>
        </w:tc>
      </w:tr>
      <w:tr w:rsidR="00593519" w:rsidRPr="00593519" w14:paraId="4AA5254A" w14:textId="77777777" w:rsidTr="00A039C8">
        <w:trPr>
          <w:trHeight w:val="315"/>
        </w:trPr>
        <w:tc>
          <w:tcPr>
            <w:tcW w:w="9072" w:type="dxa"/>
            <w:gridSpan w:val="5"/>
            <w:tcBorders>
              <w:top w:val="nil"/>
              <w:left w:val="nil"/>
              <w:bottom w:val="nil"/>
              <w:right w:val="nil"/>
            </w:tcBorders>
            <w:shd w:val="clear" w:color="auto" w:fill="auto"/>
            <w:noWrap/>
            <w:vAlign w:val="bottom"/>
            <w:hideMark/>
          </w:tcPr>
          <w:p w14:paraId="3988A816" w14:textId="77777777" w:rsidR="00593519" w:rsidRPr="00A039C8" w:rsidRDefault="00593519" w:rsidP="00593519">
            <w:pPr>
              <w:ind w:left="66"/>
              <w:rPr>
                <w:sz w:val="16"/>
                <w:szCs w:val="16"/>
              </w:rPr>
            </w:pPr>
            <w:r>
              <w:rPr>
                <w:sz w:val="16"/>
                <w:szCs w:val="16"/>
                <w:lang w:val="en-GB"/>
              </w:rPr>
              <w:t>* In the first column indicate the actual data, while in the last 3 columns indicate the plan figures</w:t>
            </w:r>
          </w:p>
        </w:tc>
      </w:tr>
      <w:tr w:rsidR="00593519" w:rsidRPr="00593519" w14:paraId="23EBA294" w14:textId="77777777" w:rsidTr="00A039C8">
        <w:trPr>
          <w:trHeight w:val="300"/>
        </w:trPr>
        <w:tc>
          <w:tcPr>
            <w:tcW w:w="9072" w:type="dxa"/>
            <w:gridSpan w:val="5"/>
            <w:tcBorders>
              <w:top w:val="nil"/>
              <w:left w:val="nil"/>
              <w:bottom w:val="nil"/>
              <w:right w:val="nil"/>
            </w:tcBorders>
            <w:shd w:val="clear" w:color="auto" w:fill="auto"/>
            <w:noWrap/>
            <w:vAlign w:val="bottom"/>
            <w:hideMark/>
          </w:tcPr>
          <w:p w14:paraId="3C9464CB" w14:textId="77777777" w:rsidR="00593519" w:rsidRPr="00A039C8" w:rsidRDefault="00593519" w:rsidP="00593519">
            <w:pPr>
              <w:ind w:left="66"/>
              <w:rPr>
                <w:sz w:val="16"/>
                <w:szCs w:val="16"/>
              </w:rPr>
            </w:pPr>
            <w:r>
              <w:rPr>
                <w:sz w:val="16"/>
                <w:szCs w:val="16"/>
                <w:lang w:val="en-GB"/>
              </w:rPr>
              <w:t>** The higher of the regulatory minimum capital and the internal capital requirement, reduced by the available own funds</w:t>
            </w:r>
          </w:p>
        </w:tc>
      </w:tr>
    </w:tbl>
    <w:p w14:paraId="21C8D1A6" w14:textId="77777777" w:rsidR="00593519" w:rsidRPr="00593519" w:rsidRDefault="00593519" w:rsidP="00A039C8">
      <w:pPr>
        <w:numPr>
          <w:ilvl w:val="0"/>
          <w:numId w:val="19"/>
        </w:numPr>
        <w:ind w:left="426"/>
        <w:rPr>
          <w:b/>
          <w:i/>
        </w:rPr>
      </w:pPr>
      <w:r>
        <w:rPr>
          <w:b/>
          <w:bCs/>
          <w:lang w:val="en-GB"/>
        </w:rPr>
        <w:t>Submit your current business plan, updated with the impacts of known trends and circumstances (primarily the IPF and QKKA contributions, tightening legislative requirements, e.g.:  stricter IT rules, audit procedures).</w:t>
      </w:r>
    </w:p>
    <w:p w14:paraId="442C03DD" w14:textId="77777777" w:rsidR="00593519" w:rsidRPr="00A039C8" w:rsidRDefault="00593519" w:rsidP="00A039C8">
      <w:pPr>
        <w:pStyle w:val="Cmsor2"/>
      </w:pPr>
      <w:r>
        <w:rPr>
          <w:bCs/>
          <w:lang w:val="en-GB"/>
        </w:rPr>
        <w:t>Liquidity</w:t>
      </w:r>
    </w:p>
    <w:p w14:paraId="679D0070" w14:textId="5ABA2D03" w:rsidR="00593519" w:rsidRPr="00593519" w:rsidRDefault="00593519" w:rsidP="00A039C8">
      <w:pPr>
        <w:numPr>
          <w:ilvl w:val="0"/>
          <w:numId w:val="19"/>
        </w:numPr>
        <w:spacing w:after="0"/>
        <w:ind w:left="426"/>
        <w:rPr>
          <w:b/>
        </w:rPr>
      </w:pPr>
      <w:r>
        <w:rPr>
          <w:b/>
          <w:bCs/>
          <w:lang w:val="en-GB"/>
        </w:rPr>
        <w:t>Present your liquidity management methodology.</w:t>
      </w:r>
    </w:p>
    <w:p w14:paraId="0D26A9A6" w14:textId="77777777" w:rsidR="00593519" w:rsidRPr="00A039C8" w:rsidRDefault="00593519" w:rsidP="00A039C8">
      <w:pPr>
        <w:ind w:left="426"/>
        <w:rPr>
          <w:i/>
        </w:rPr>
      </w:pPr>
      <w:r>
        <w:rPr>
          <w:i/>
          <w:iCs/>
          <w:lang w:val="en-GB"/>
        </w:rPr>
        <w:t>(Identification, measurement and monitoring of liquidity risks, cash flow monitoring, funding of investment loans, deferred financial and securities settlements and providing liquidity for them, presentation of credit lines and loan portfolios, etc.)</w:t>
      </w:r>
    </w:p>
    <w:p w14:paraId="1F46FA6E" w14:textId="5AD92BCB" w:rsidR="00593519" w:rsidRPr="00A039C8" w:rsidRDefault="00593519" w:rsidP="00A039C8">
      <w:pPr>
        <w:numPr>
          <w:ilvl w:val="0"/>
          <w:numId w:val="19"/>
        </w:numPr>
        <w:ind w:left="426"/>
        <w:rPr>
          <w:b/>
        </w:rPr>
      </w:pPr>
      <w:r>
        <w:rPr>
          <w:b/>
          <w:bCs/>
          <w:lang w:val="en-GB"/>
        </w:rPr>
        <w:t>To what degree you draw on investment loans for the settlement of transactions? Specify the size of credit facility at each account-keeping institution as well as the average and maximum utilisation thereof in the past one year.</w:t>
      </w:r>
    </w:p>
    <w:p w14:paraId="01021F7D" w14:textId="77777777" w:rsidR="00593519" w:rsidRPr="00593519" w:rsidRDefault="00593519" w:rsidP="00A039C8">
      <w:pPr>
        <w:numPr>
          <w:ilvl w:val="0"/>
          <w:numId w:val="19"/>
        </w:numPr>
        <w:ind w:left="426"/>
        <w:rPr>
          <w:b/>
          <w:i/>
        </w:rPr>
      </w:pPr>
      <w:r>
        <w:rPr>
          <w:b/>
          <w:bCs/>
          <w:lang w:val="en-GB"/>
        </w:rPr>
        <w:t xml:space="preserve">Did the institution have liquidity difficulties in the past 12 months, if yes, due to what reasons, and in what way and at what cost did it manage to address the problem? </w:t>
      </w:r>
    </w:p>
    <w:p w14:paraId="0B34B252" w14:textId="77777777" w:rsidR="00593519" w:rsidRPr="00A039C8" w:rsidRDefault="00593519" w:rsidP="00A039C8">
      <w:pPr>
        <w:pStyle w:val="Heading1Kiadvny"/>
        <w:rPr>
          <w:sz w:val="24"/>
          <w:szCs w:val="24"/>
        </w:rPr>
      </w:pPr>
      <w:r>
        <w:rPr>
          <w:bCs w:val="0"/>
          <w:sz w:val="24"/>
          <w:szCs w:val="24"/>
          <w:lang w:val="en-GB"/>
        </w:rPr>
        <w:t>New capital requirement calculation – preliminary estimation</w:t>
      </w:r>
      <w:r>
        <w:rPr>
          <w:bCs w:val="0"/>
          <w:sz w:val="24"/>
          <w:szCs w:val="24"/>
          <w:lang w:val="en-GB"/>
        </w:rPr>
        <w:tab/>
      </w:r>
    </w:p>
    <w:p w14:paraId="71DD7E0C" w14:textId="783EEA44" w:rsidR="00666620" w:rsidRPr="00A55E1A" w:rsidRDefault="00593519" w:rsidP="00684886">
      <w:pPr>
        <w:numPr>
          <w:ilvl w:val="0"/>
          <w:numId w:val="19"/>
        </w:numPr>
        <w:ind w:left="426"/>
      </w:pPr>
      <w:r w:rsidRPr="00684886">
        <w:rPr>
          <w:b/>
          <w:bCs/>
          <w:lang w:val="en-GB"/>
        </w:rPr>
        <w:t>The Eu</w:t>
      </w:r>
      <w:bookmarkStart w:id="4" w:name="_GoBack"/>
      <w:bookmarkEnd w:id="4"/>
      <w:r w:rsidRPr="00684886">
        <w:rPr>
          <w:b/>
          <w:bCs/>
          <w:lang w:val="en-GB"/>
        </w:rPr>
        <w:t>ropean Commission published its comprehensive package of proposals related to the review of the prudential framework for investment firms on 20 December 2017. This would place the regulation and capital requirement calculation of investment firms on completely new fundaments</w:t>
      </w:r>
      <w:r>
        <w:rPr>
          <w:b/>
          <w:bCs/>
          <w:vertAlign w:val="superscript"/>
          <w:lang w:val="en-GB"/>
        </w:rPr>
        <w:footnoteReference w:id="3"/>
      </w:r>
      <w:r w:rsidRPr="00684886">
        <w:rPr>
          <w:b/>
          <w:bCs/>
          <w:lang w:val="en-GB"/>
        </w:rPr>
        <w:t>. Please fill in Annex 2 to the questionnaire, which contains the data considered in the logic of the planned capital requirement calculation.</w:t>
      </w:r>
    </w:p>
    <w:sectPr w:rsidR="00666620" w:rsidRPr="00A55E1A" w:rsidSect="00CD6E8D">
      <w:headerReference w:type="default" r:id="rId8"/>
      <w:footerReference w:type="default" r:id="rId9"/>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308C7" w14:textId="77777777" w:rsidR="00CD34C5" w:rsidRDefault="00CD34C5">
      <w:r>
        <w:separator/>
      </w:r>
    </w:p>
  </w:endnote>
  <w:endnote w:type="continuationSeparator" w:id="0">
    <w:p w14:paraId="665E19CA" w14:textId="77777777" w:rsidR="00CD34C5" w:rsidRDefault="00CD34C5">
      <w:r>
        <w:continuationSeparator/>
      </w:r>
    </w:p>
  </w:endnote>
  <w:endnote w:type="continuationNotice" w:id="1">
    <w:p w14:paraId="64142DD0" w14:textId="77777777" w:rsidR="00CD34C5" w:rsidRDefault="00CD34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8DBE1" w14:textId="77777777" w:rsidR="009E3A57" w:rsidRPr="00AC6950" w:rsidRDefault="009E3A57" w:rsidP="00AC6950">
    <w:pPr>
      <w:tabs>
        <w:tab w:val="left" w:pos="8460"/>
      </w:tabs>
      <w:rPr>
        <w:sz w:val="18"/>
        <w:szCs w:val="18"/>
      </w:rPr>
    </w:pPr>
    <w:r>
      <w:rPr>
        <w:sz w:val="18"/>
        <w:szCs w:val="18"/>
        <w:lang w:val="en-GB"/>
      </w:rPr>
      <w:tab/>
    </w:r>
    <w:r>
      <w:rPr>
        <w:sz w:val="18"/>
        <w:szCs w:val="18"/>
        <w:lang w:val="en-GB"/>
      </w:rPr>
      <w:fldChar w:fldCharType="begin"/>
    </w:r>
    <w:r>
      <w:rPr>
        <w:sz w:val="18"/>
        <w:szCs w:val="18"/>
        <w:lang w:val="en-GB"/>
      </w:rPr>
      <w:instrText xml:space="preserve"> PAGE </w:instrText>
    </w:r>
    <w:r>
      <w:rPr>
        <w:sz w:val="18"/>
        <w:szCs w:val="18"/>
        <w:lang w:val="en-GB"/>
      </w:rPr>
      <w:fldChar w:fldCharType="separate"/>
    </w:r>
    <w:r w:rsidR="00684886">
      <w:rPr>
        <w:noProof/>
        <w:sz w:val="18"/>
        <w:szCs w:val="18"/>
        <w:lang w:val="en-GB"/>
      </w:rPr>
      <w:t>3</w:t>
    </w:r>
    <w:r>
      <w:rPr>
        <w:sz w:val="18"/>
        <w:szCs w:val="18"/>
        <w:lang w:val="en-GB"/>
      </w:rPr>
      <w:fldChar w:fldCharType="end"/>
    </w:r>
    <w:r>
      <w:rPr>
        <w:sz w:val="18"/>
        <w:szCs w:val="18"/>
        <w:lang w:val="en-GB"/>
      </w:rPr>
      <w:t>/</w:t>
    </w:r>
    <w:r>
      <w:rPr>
        <w:sz w:val="18"/>
        <w:szCs w:val="18"/>
        <w:lang w:val="en-GB"/>
      </w:rPr>
      <w:fldChar w:fldCharType="begin"/>
    </w:r>
    <w:r>
      <w:rPr>
        <w:sz w:val="18"/>
        <w:szCs w:val="18"/>
        <w:lang w:val="en-GB"/>
      </w:rPr>
      <w:instrText xml:space="preserve"> NUMPAGES </w:instrText>
    </w:r>
    <w:r>
      <w:rPr>
        <w:sz w:val="18"/>
        <w:szCs w:val="18"/>
        <w:lang w:val="en-GB"/>
      </w:rPr>
      <w:fldChar w:fldCharType="separate"/>
    </w:r>
    <w:r w:rsidR="00684886">
      <w:rPr>
        <w:noProof/>
        <w:sz w:val="18"/>
        <w:szCs w:val="18"/>
        <w:lang w:val="en-GB"/>
      </w:rPr>
      <w:t>3</w:t>
    </w:r>
    <w:r>
      <w:rPr>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65DCE" w14:textId="77777777" w:rsidR="00CD34C5" w:rsidRDefault="00CD34C5">
      <w:r>
        <w:separator/>
      </w:r>
    </w:p>
  </w:footnote>
  <w:footnote w:type="continuationSeparator" w:id="0">
    <w:p w14:paraId="3DCF6CDA" w14:textId="77777777" w:rsidR="00CD34C5" w:rsidRDefault="00CD34C5">
      <w:r>
        <w:continuationSeparator/>
      </w:r>
    </w:p>
  </w:footnote>
  <w:footnote w:type="continuationNotice" w:id="1">
    <w:p w14:paraId="7760F0CE" w14:textId="77777777" w:rsidR="00CD34C5" w:rsidRDefault="00CD34C5">
      <w:pPr>
        <w:spacing w:after="0" w:line="240" w:lineRule="auto"/>
      </w:pPr>
    </w:p>
  </w:footnote>
  <w:footnote w:id="2">
    <w:p w14:paraId="55E54253" w14:textId="03C265F6" w:rsidR="001D5C8C" w:rsidRDefault="001D5C8C" w:rsidP="00684886">
      <w:pPr>
        <w:pStyle w:val="Lbjegyzetszveg"/>
      </w:pPr>
      <w:r>
        <w:rPr>
          <w:rStyle w:val="Lbjegyzet-hivatkozs"/>
          <w:lang w:val="en-GB"/>
        </w:rPr>
        <w:footnoteRef/>
      </w:r>
      <w:r>
        <w:rPr>
          <w:lang w:val="en-GB"/>
        </w:rPr>
        <w:t xml:space="preserve"> </w:t>
      </w:r>
      <w:r w:rsidR="00684886">
        <w:rPr>
          <w:lang w:val="en-GB"/>
        </w:rPr>
        <w:t>B</w:t>
      </w:r>
      <w:r>
        <w:rPr>
          <w:lang w:val="en-GB"/>
        </w:rPr>
        <w:t>ased on Article 34b(4) of Commission Regulation 2015/488/EU</w:t>
      </w:r>
    </w:p>
  </w:footnote>
  <w:footnote w:id="3">
    <w:p w14:paraId="297D1925" w14:textId="77777777" w:rsidR="00593519" w:rsidRDefault="00593519" w:rsidP="00593519">
      <w:pPr>
        <w:pStyle w:val="Lbjegyzetszveg"/>
      </w:pPr>
      <w:r>
        <w:rPr>
          <w:rStyle w:val="Lbjegyzet-hivatkozs"/>
          <w:lang w:val="en-GB"/>
        </w:rPr>
        <w:footnoteRef/>
      </w:r>
      <w:r w:rsidRPr="00144958">
        <w:t xml:space="preserve"> https://ec.europa.eu/info/publications/171220-investment-firms-review_en.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C8EE1"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2417618"/>
    <w:multiLevelType w:val="hybridMultilevel"/>
    <w:tmpl w:val="523ADC80"/>
    <w:lvl w:ilvl="0" w:tplc="DA7094EC">
      <w:start w:val="1"/>
      <w:numFmt w:val="decimal"/>
      <w:lvlText w:val="%1."/>
      <w:lvlJc w:val="left"/>
      <w:pPr>
        <w:ind w:left="502"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35D5764B"/>
    <w:multiLevelType w:val="hybridMultilevel"/>
    <w:tmpl w:val="E20A3F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3A4110C1"/>
    <w:multiLevelType w:val="hybridMultilevel"/>
    <w:tmpl w:val="AA225B8A"/>
    <w:lvl w:ilvl="0" w:tplc="040E0015">
      <w:start w:val="1"/>
      <w:numFmt w:val="upperLetter"/>
      <w:lvlText w:val="%1."/>
      <w:lvlJc w:val="left"/>
      <w:pPr>
        <w:ind w:left="720" w:hanging="360"/>
      </w:pPr>
    </w:lvl>
    <w:lvl w:ilvl="1" w:tplc="040E0019">
      <w:start w:val="1"/>
      <w:numFmt w:val="lowerLetter"/>
      <w:lvlText w:val="%2."/>
      <w:lvlJc w:val="left"/>
      <w:pPr>
        <w:ind w:left="1440" w:hanging="360"/>
      </w:pPr>
    </w:lvl>
    <w:lvl w:ilvl="2" w:tplc="11568AFA">
      <w:start w:val="1"/>
      <w:numFmt w:val="decimal"/>
      <w:lvlText w:val="%3."/>
      <w:lvlJc w:val="left"/>
      <w:pPr>
        <w:ind w:left="928"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3"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1"/>
  </w:num>
  <w:num w:numId="6">
    <w:abstractNumId w:val="10"/>
  </w:num>
  <w:num w:numId="7">
    <w:abstractNumId w:val="4"/>
  </w:num>
  <w:num w:numId="8">
    <w:abstractNumId w:val="12"/>
  </w:num>
  <w:num w:numId="9">
    <w:abstractNumId w:val="10"/>
    <w:lvlOverride w:ilvl="0">
      <w:startOverride w:val="1"/>
    </w:lvlOverride>
  </w:num>
  <w:num w:numId="10">
    <w:abstractNumId w:val="13"/>
  </w:num>
  <w:num w:numId="11">
    <w:abstractNumId w:val="11"/>
  </w:num>
  <w:num w:numId="12">
    <w:abstractNumId w:val="7"/>
  </w:num>
  <w:num w:numId="13">
    <w:abstractNumId w:val="6"/>
  </w:num>
  <w:num w:numId="14">
    <w:abstractNumId w:val="6"/>
  </w:num>
  <w:num w:numId="15">
    <w:abstractNumId w:val="6"/>
  </w:num>
  <w:num w:numId="16">
    <w:abstractNumId w:val="6"/>
  </w:num>
  <w:num w:numId="17">
    <w:abstractNumId w:val="6"/>
  </w:num>
  <w:num w:numId="18">
    <w:abstractNumId w:val="6"/>
  </w:num>
  <w:num w:numId="19">
    <w:abstractNumId w:val="2"/>
  </w:num>
  <w:num w:numId="20">
    <w:abstractNumId w:val="9"/>
  </w:num>
  <w:num w:numId="21">
    <w:abstractNumId w:val="6"/>
  </w:num>
  <w:num w:numId="22">
    <w:abstractNumId w:val="10"/>
  </w:num>
  <w:num w:numId="23">
    <w:abstractNumId w:val="10"/>
  </w:num>
  <w:num w:numId="24">
    <w:abstractNumId w:val="6"/>
  </w:num>
  <w:num w:numId="25">
    <w:abstractNumId w:val="10"/>
  </w:num>
  <w:num w:numId="26">
    <w:abstractNumId w:val="6"/>
  </w:num>
  <w:num w:numId="27">
    <w:abstractNumId w:val="6"/>
  </w:num>
  <w:num w:numId="28">
    <w:abstractNumId w:val="6"/>
  </w:num>
  <w:num w:numId="29">
    <w:abstractNumId w:val="6"/>
  </w:num>
  <w:num w:numId="30">
    <w:abstractNumId w:val="6"/>
  </w:num>
  <w:num w:numId="31">
    <w:abstractNumId w:val="6"/>
  </w:num>
  <w:num w:numId="3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4D"/>
    <w:rsid w:val="0000273C"/>
    <w:rsid w:val="000176B1"/>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A3A63"/>
    <w:rsid w:val="000A71F3"/>
    <w:rsid w:val="000C2918"/>
    <w:rsid w:val="000C3019"/>
    <w:rsid w:val="000C701E"/>
    <w:rsid w:val="000C701F"/>
    <w:rsid w:val="000D1C8B"/>
    <w:rsid w:val="000D1E44"/>
    <w:rsid w:val="000D40AE"/>
    <w:rsid w:val="000D4F61"/>
    <w:rsid w:val="000D5F26"/>
    <w:rsid w:val="000E2CBD"/>
    <w:rsid w:val="000E4EE3"/>
    <w:rsid w:val="000F033F"/>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44958"/>
    <w:rsid w:val="00150045"/>
    <w:rsid w:val="00150A97"/>
    <w:rsid w:val="00152DBF"/>
    <w:rsid w:val="00156323"/>
    <w:rsid w:val="00166F6C"/>
    <w:rsid w:val="001747F6"/>
    <w:rsid w:val="0018359E"/>
    <w:rsid w:val="0018619A"/>
    <w:rsid w:val="001870A7"/>
    <w:rsid w:val="00197350"/>
    <w:rsid w:val="001A2BAA"/>
    <w:rsid w:val="001A2F34"/>
    <w:rsid w:val="001B3486"/>
    <w:rsid w:val="001C0FAA"/>
    <w:rsid w:val="001C24F1"/>
    <w:rsid w:val="001C466F"/>
    <w:rsid w:val="001C5C33"/>
    <w:rsid w:val="001D4211"/>
    <w:rsid w:val="001D43CF"/>
    <w:rsid w:val="001D5999"/>
    <w:rsid w:val="001D59FD"/>
    <w:rsid w:val="001D5C8C"/>
    <w:rsid w:val="001D60A8"/>
    <w:rsid w:val="001D7401"/>
    <w:rsid w:val="001E34FF"/>
    <w:rsid w:val="001E4231"/>
    <w:rsid w:val="001E621D"/>
    <w:rsid w:val="001E7792"/>
    <w:rsid w:val="001F0E5D"/>
    <w:rsid w:val="001F1610"/>
    <w:rsid w:val="002012AD"/>
    <w:rsid w:val="00206642"/>
    <w:rsid w:val="00214230"/>
    <w:rsid w:val="0021484C"/>
    <w:rsid w:val="0022056B"/>
    <w:rsid w:val="0022764E"/>
    <w:rsid w:val="00240C97"/>
    <w:rsid w:val="0024525F"/>
    <w:rsid w:val="002522F1"/>
    <w:rsid w:val="002602F5"/>
    <w:rsid w:val="002611AE"/>
    <w:rsid w:val="0026180A"/>
    <w:rsid w:val="00263788"/>
    <w:rsid w:val="00270724"/>
    <w:rsid w:val="00271371"/>
    <w:rsid w:val="00273052"/>
    <w:rsid w:val="0027402D"/>
    <w:rsid w:val="002751D4"/>
    <w:rsid w:val="002866DE"/>
    <w:rsid w:val="00287D15"/>
    <w:rsid w:val="00290D47"/>
    <w:rsid w:val="00292177"/>
    <w:rsid w:val="002A3B0E"/>
    <w:rsid w:val="002B3674"/>
    <w:rsid w:val="002B4D45"/>
    <w:rsid w:val="002B6B78"/>
    <w:rsid w:val="002B6D25"/>
    <w:rsid w:val="002B78E0"/>
    <w:rsid w:val="002C728F"/>
    <w:rsid w:val="002C7AB8"/>
    <w:rsid w:val="002C7D4D"/>
    <w:rsid w:val="002C7DD0"/>
    <w:rsid w:val="002D5E55"/>
    <w:rsid w:val="002F2D59"/>
    <w:rsid w:val="002F34ED"/>
    <w:rsid w:val="002F602F"/>
    <w:rsid w:val="00300EE3"/>
    <w:rsid w:val="00302136"/>
    <w:rsid w:val="00313246"/>
    <w:rsid w:val="003231ED"/>
    <w:rsid w:val="00327A74"/>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2DB5"/>
    <w:rsid w:val="00395B14"/>
    <w:rsid w:val="00395D13"/>
    <w:rsid w:val="00397F34"/>
    <w:rsid w:val="003A0867"/>
    <w:rsid w:val="003B12B2"/>
    <w:rsid w:val="003B46BE"/>
    <w:rsid w:val="003C5699"/>
    <w:rsid w:val="003C6030"/>
    <w:rsid w:val="003D04DD"/>
    <w:rsid w:val="003D1E7C"/>
    <w:rsid w:val="003D4B8B"/>
    <w:rsid w:val="003D52BC"/>
    <w:rsid w:val="003F128A"/>
    <w:rsid w:val="0041484F"/>
    <w:rsid w:val="00423D50"/>
    <w:rsid w:val="0043276D"/>
    <w:rsid w:val="004330EA"/>
    <w:rsid w:val="00434DC6"/>
    <w:rsid w:val="00435EA5"/>
    <w:rsid w:val="004413FF"/>
    <w:rsid w:val="00442ABF"/>
    <w:rsid w:val="004451FE"/>
    <w:rsid w:val="00453087"/>
    <w:rsid w:val="00455A38"/>
    <w:rsid w:val="00465939"/>
    <w:rsid w:val="0047029F"/>
    <w:rsid w:val="004729CE"/>
    <w:rsid w:val="00474131"/>
    <w:rsid w:val="0048183A"/>
    <w:rsid w:val="00491483"/>
    <w:rsid w:val="004919C2"/>
    <w:rsid w:val="0049215B"/>
    <w:rsid w:val="004924CA"/>
    <w:rsid w:val="004937F3"/>
    <w:rsid w:val="00494C89"/>
    <w:rsid w:val="004A58E3"/>
    <w:rsid w:val="004A5F09"/>
    <w:rsid w:val="004B1A68"/>
    <w:rsid w:val="004D270F"/>
    <w:rsid w:val="004D455D"/>
    <w:rsid w:val="004D7635"/>
    <w:rsid w:val="004E2BA2"/>
    <w:rsid w:val="004E2DD5"/>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26BB8"/>
    <w:rsid w:val="005312FD"/>
    <w:rsid w:val="00544934"/>
    <w:rsid w:val="00557A68"/>
    <w:rsid w:val="00561175"/>
    <w:rsid w:val="005648EE"/>
    <w:rsid w:val="00571C3C"/>
    <w:rsid w:val="00575630"/>
    <w:rsid w:val="005763C5"/>
    <w:rsid w:val="00581D24"/>
    <w:rsid w:val="0058459E"/>
    <w:rsid w:val="00586D4D"/>
    <w:rsid w:val="00593519"/>
    <w:rsid w:val="005A011E"/>
    <w:rsid w:val="005A3531"/>
    <w:rsid w:val="005A3DDE"/>
    <w:rsid w:val="005A6434"/>
    <w:rsid w:val="005A788E"/>
    <w:rsid w:val="005B0A26"/>
    <w:rsid w:val="005C3F73"/>
    <w:rsid w:val="005C498A"/>
    <w:rsid w:val="005C5BB7"/>
    <w:rsid w:val="005D1A2C"/>
    <w:rsid w:val="005D66CB"/>
    <w:rsid w:val="005F3818"/>
    <w:rsid w:val="005F3E3D"/>
    <w:rsid w:val="00602F0C"/>
    <w:rsid w:val="00603723"/>
    <w:rsid w:val="00610E45"/>
    <w:rsid w:val="00617948"/>
    <w:rsid w:val="00627BFA"/>
    <w:rsid w:val="00642A07"/>
    <w:rsid w:val="00643529"/>
    <w:rsid w:val="00643CB4"/>
    <w:rsid w:val="00644BE4"/>
    <w:rsid w:val="00644E16"/>
    <w:rsid w:val="00666620"/>
    <w:rsid w:val="00666783"/>
    <w:rsid w:val="00672003"/>
    <w:rsid w:val="00672B2B"/>
    <w:rsid w:val="0067570F"/>
    <w:rsid w:val="00681108"/>
    <w:rsid w:val="00684886"/>
    <w:rsid w:val="00690C97"/>
    <w:rsid w:val="0069441B"/>
    <w:rsid w:val="006A54BA"/>
    <w:rsid w:val="006A66EB"/>
    <w:rsid w:val="006B0392"/>
    <w:rsid w:val="006B2726"/>
    <w:rsid w:val="006B4271"/>
    <w:rsid w:val="006C2C3D"/>
    <w:rsid w:val="006C4871"/>
    <w:rsid w:val="006C700F"/>
    <w:rsid w:val="006D0881"/>
    <w:rsid w:val="006D3867"/>
    <w:rsid w:val="006E45F8"/>
    <w:rsid w:val="006E5F78"/>
    <w:rsid w:val="006F0376"/>
    <w:rsid w:val="006F39C8"/>
    <w:rsid w:val="006F5D02"/>
    <w:rsid w:val="006F6144"/>
    <w:rsid w:val="00702E90"/>
    <w:rsid w:val="00703E97"/>
    <w:rsid w:val="0070653D"/>
    <w:rsid w:val="00707C38"/>
    <w:rsid w:val="007120EE"/>
    <w:rsid w:val="007236B8"/>
    <w:rsid w:val="0072398E"/>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A2BE7"/>
    <w:rsid w:val="007B1174"/>
    <w:rsid w:val="007B39B9"/>
    <w:rsid w:val="007B7FC8"/>
    <w:rsid w:val="007D67A3"/>
    <w:rsid w:val="007D7E92"/>
    <w:rsid w:val="007E0286"/>
    <w:rsid w:val="007F197C"/>
    <w:rsid w:val="007F1D57"/>
    <w:rsid w:val="007F7E59"/>
    <w:rsid w:val="00823B7E"/>
    <w:rsid w:val="0083252A"/>
    <w:rsid w:val="008349B3"/>
    <w:rsid w:val="0083670C"/>
    <w:rsid w:val="008370C0"/>
    <w:rsid w:val="00840065"/>
    <w:rsid w:val="008405B3"/>
    <w:rsid w:val="00844283"/>
    <w:rsid w:val="0084582F"/>
    <w:rsid w:val="00847C0A"/>
    <w:rsid w:val="008512C4"/>
    <w:rsid w:val="008528A0"/>
    <w:rsid w:val="00860131"/>
    <w:rsid w:val="00860860"/>
    <w:rsid w:val="00864147"/>
    <w:rsid w:val="00864468"/>
    <w:rsid w:val="00866547"/>
    <w:rsid w:val="00866E71"/>
    <w:rsid w:val="00880B05"/>
    <w:rsid w:val="008822E6"/>
    <w:rsid w:val="008840A5"/>
    <w:rsid w:val="008935BD"/>
    <w:rsid w:val="008936DF"/>
    <w:rsid w:val="008A1C40"/>
    <w:rsid w:val="008B61E3"/>
    <w:rsid w:val="008B6713"/>
    <w:rsid w:val="008C474C"/>
    <w:rsid w:val="008C56D8"/>
    <w:rsid w:val="008D6221"/>
    <w:rsid w:val="008E26F2"/>
    <w:rsid w:val="008E34D5"/>
    <w:rsid w:val="008E3579"/>
    <w:rsid w:val="00903AC3"/>
    <w:rsid w:val="009063C9"/>
    <w:rsid w:val="0091523E"/>
    <w:rsid w:val="009228DF"/>
    <w:rsid w:val="00925712"/>
    <w:rsid w:val="00926EA9"/>
    <w:rsid w:val="00930F98"/>
    <w:rsid w:val="00933E50"/>
    <w:rsid w:val="00934193"/>
    <w:rsid w:val="00934F6E"/>
    <w:rsid w:val="00937A0B"/>
    <w:rsid w:val="0094233D"/>
    <w:rsid w:val="009433A1"/>
    <w:rsid w:val="00950ACA"/>
    <w:rsid w:val="00957CFF"/>
    <w:rsid w:val="00957F22"/>
    <w:rsid w:val="00961F15"/>
    <w:rsid w:val="00962FE4"/>
    <w:rsid w:val="009665AC"/>
    <w:rsid w:val="00990B18"/>
    <w:rsid w:val="009A4F0C"/>
    <w:rsid w:val="009B2208"/>
    <w:rsid w:val="009B7F1B"/>
    <w:rsid w:val="009C09A6"/>
    <w:rsid w:val="009C6632"/>
    <w:rsid w:val="009D0800"/>
    <w:rsid w:val="009D1272"/>
    <w:rsid w:val="009D2629"/>
    <w:rsid w:val="009D3B3D"/>
    <w:rsid w:val="009D4156"/>
    <w:rsid w:val="009E3A57"/>
    <w:rsid w:val="009E53C8"/>
    <w:rsid w:val="009E7AC9"/>
    <w:rsid w:val="009F413A"/>
    <w:rsid w:val="00A00F2A"/>
    <w:rsid w:val="00A03212"/>
    <w:rsid w:val="00A039C8"/>
    <w:rsid w:val="00A13382"/>
    <w:rsid w:val="00A16867"/>
    <w:rsid w:val="00A17909"/>
    <w:rsid w:val="00A2173F"/>
    <w:rsid w:val="00A244C7"/>
    <w:rsid w:val="00A26654"/>
    <w:rsid w:val="00A26ED3"/>
    <w:rsid w:val="00A2701C"/>
    <w:rsid w:val="00A3105B"/>
    <w:rsid w:val="00A34807"/>
    <w:rsid w:val="00A34F95"/>
    <w:rsid w:val="00A40830"/>
    <w:rsid w:val="00A44C60"/>
    <w:rsid w:val="00A5096A"/>
    <w:rsid w:val="00A55E1A"/>
    <w:rsid w:val="00A56BCD"/>
    <w:rsid w:val="00A57D44"/>
    <w:rsid w:val="00A60012"/>
    <w:rsid w:val="00A60EDC"/>
    <w:rsid w:val="00A77604"/>
    <w:rsid w:val="00A800A3"/>
    <w:rsid w:val="00A80538"/>
    <w:rsid w:val="00A8495F"/>
    <w:rsid w:val="00A917E0"/>
    <w:rsid w:val="00A94C01"/>
    <w:rsid w:val="00AA311C"/>
    <w:rsid w:val="00AA3BF8"/>
    <w:rsid w:val="00AA7D28"/>
    <w:rsid w:val="00AB3E83"/>
    <w:rsid w:val="00AB5B26"/>
    <w:rsid w:val="00AB7DBF"/>
    <w:rsid w:val="00AC41FC"/>
    <w:rsid w:val="00AC6950"/>
    <w:rsid w:val="00AD3D1A"/>
    <w:rsid w:val="00AE3CD1"/>
    <w:rsid w:val="00AE41D5"/>
    <w:rsid w:val="00AE4D73"/>
    <w:rsid w:val="00AF151F"/>
    <w:rsid w:val="00AF1C92"/>
    <w:rsid w:val="00AF7B9B"/>
    <w:rsid w:val="00B06F8B"/>
    <w:rsid w:val="00B15880"/>
    <w:rsid w:val="00B1673D"/>
    <w:rsid w:val="00B250ED"/>
    <w:rsid w:val="00B25C26"/>
    <w:rsid w:val="00B261BA"/>
    <w:rsid w:val="00B27CBC"/>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56B5E"/>
    <w:rsid w:val="00B602C9"/>
    <w:rsid w:val="00B62845"/>
    <w:rsid w:val="00B64835"/>
    <w:rsid w:val="00B66A7E"/>
    <w:rsid w:val="00B702D5"/>
    <w:rsid w:val="00B723C6"/>
    <w:rsid w:val="00B800CB"/>
    <w:rsid w:val="00B8074B"/>
    <w:rsid w:val="00B8101A"/>
    <w:rsid w:val="00B861AB"/>
    <w:rsid w:val="00B944EB"/>
    <w:rsid w:val="00BA2A45"/>
    <w:rsid w:val="00BB27C2"/>
    <w:rsid w:val="00BB7D50"/>
    <w:rsid w:val="00BD0575"/>
    <w:rsid w:val="00BD12AC"/>
    <w:rsid w:val="00BD29BB"/>
    <w:rsid w:val="00BD75B8"/>
    <w:rsid w:val="00BE125E"/>
    <w:rsid w:val="00BE2629"/>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506EE"/>
    <w:rsid w:val="00C522BD"/>
    <w:rsid w:val="00C63F2A"/>
    <w:rsid w:val="00C64F11"/>
    <w:rsid w:val="00C72FB8"/>
    <w:rsid w:val="00C75E6A"/>
    <w:rsid w:val="00C907C0"/>
    <w:rsid w:val="00C93837"/>
    <w:rsid w:val="00CA398B"/>
    <w:rsid w:val="00CB34F6"/>
    <w:rsid w:val="00CC4CB1"/>
    <w:rsid w:val="00CD34C5"/>
    <w:rsid w:val="00CD36BC"/>
    <w:rsid w:val="00CD6E8D"/>
    <w:rsid w:val="00CD724F"/>
    <w:rsid w:val="00CE188C"/>
    <w:rsid w:val="00CF148C"/>
    <w:rsid w:val="00CF6111"/>
    <w:rsid w:val="00D00D53"/>
    <w:rsid w:val="00D014C1"/>
    <w:rsid w:val="00D02170"/>
    <w:rsid w:val="00D0234E"/>
    <w:rsid w:val="00D03058"/>
    <w:rsid w:val="00D0775C"/>
    <w:rsid w:val="00D11D8B"/>
    <w:rsid w:val="00D144FA"/>
    <w:rsid w:val="00D21043"/>
    <w:rsid w:val="00D265EF"/>
    <w:rsid w:val="00D2761D"/>
    <w:rsid w:val="00D415BC"/>
    <w:rsid w:val="00D41A3C"/>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52B3"/>
    <w:rsid w:val="00DA6B88"/>
    <w:rsid w:val="00DA73B6"/>
    <w:rsid w:val="00DB127D"/>
    <w:rsid w:val="00DB2AFA"/>
    <w:rsid w:val="00DD62AD"/>
    <w:rsid w:val="00DD7153"/>
    <w:rsid w:val="00DF4F58"/>
    <w:rsid w:val="00DF7BB3"/>
    <w:rsid w:val="00E07B6C"/>
    <w:rsid w:val="00E11F2F"/>
    <w:rsid w:val="00E13A3A"/>
    <w:rsid w:val="00E14CD2"/>
    <w:rsid w:val="00E15287"/>
    <w:rsid w:val="00E301AE"/>
    <w:rsid w:val="00E315BC"/>
    <w:rsid w:val="00E33610"/>
    <w:rsid w:val="00E341AC"/>
    <w:rsid w:val="00E35139"/>
    <w:rsid w:val="00E404BC"/>
    <w:rsid w:val="00E44555"/>
    <w:rsid w:val="00E4526A"/>
    <w:rsid w:val="00E50608"/>
    <w:rsid w:val="00E5165B"/>
    <w:rsid w:val="00E51C4D"/>
    <w:rsid w:val="00E52ABA"/>
    <w:rsid w:val="00E52F5B"/>
    <w:rsid w:val="00E5314F"/>
    <w:rsid w:val="00E653E3"/>
    <w:rsid w:val="00E66AEE"/>
    <w:rsid w:val="00E70FF5"/>
    <w:rsid w:val="00E736A7"/>
    <w:rsid w:val="00E87C26"/>
    <w:rsid w:val="00EA2361"/>
    <w:rsid w:val="00EB11D4"/>
    <w:rsid w:val="00EB2886"/>
    <w:rsid w:val="00EB398E"/>
    <w:rsid w:val="00EC4096"/>
    <w:rsid w:val="00EC429C"/>
    <w:rsid w:val="00EC6A51"/>
    <w:rsid w:val="00ED0199"/>
    <w:rsid w:val="00ED05AC"/>
    <w:rsid w:val="00ED10E2"/>
    <w:rsid w:val="00EE4050"/>
    <w:rsid w:val="00EE4149"/>
    <w:rsid w:val="00F020FC"/>
    <w:rsid w:val="00F04867"/>
    <w:rsid w:val="00F04E3E"/>
    <w:rsid w:val="00F051F3"/>
    <w:rsid w:val="00F10771"/>
    <w:rsid w:val="00F11304"/>
    <w:rsid w:val="00F1519E"/>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122"/>
    <w:rsid w:val="00F91C17"/>
    <w:rsid w:val="00F949B1"/>
    <w:rsid w:val="00F958EE"/>
    <w:rsid w:val="00F96EEB"/>
    <w:rsid w:val="00F96F8A"/>
    <w:rsid w:val="00F9761F"/>
    <w:rsid w:val="00FA102C"/>
    <w:rsid w:val="00FB3124"/>
    <w:rsid w:val="00FB32EE"/>
    <w:rsid w:val="00FC5616"/>
    <w:rsid w:val="00FD2872"/>
    <w:rsid w:val="00FD328C"/>
    <w:rsid w:val="00FD7299"/>
    <w:rsid w:val="00FE2094"/>
    <w:rsid w:val="00FE764B"/>
    <w:rsid w:val="00FE7D2C"/>
    <w:rsid w:val="00FF0A29"/>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7ED855"/>
  <w15:chartTrackingRefBased/>
  <w15:docId w15:val="{C2951068-8503-4037-A5F3-C78F33F2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44958"/>
    <w:pPr>
      <w:spacing w:after="160" w:line="259" w:lineRule="auto"/>
    </w:pPr>
    <w:rPr>
      <w:rFonts w:asciiTheme="minorHAnsi" w:eastAsiaTheme="minorEastAsia" w:hAnsiTheme="minorHAnsi"/>
      <w:sz w:val="22"/>
      <w:szCs w:val="22"/>
      <w:lang w:eastAsia="zh-CN"/>
    </w:rPr>
  </w:style>
  <w:style w:type="paragraph" w:styleId="Cmsor1">
    <w:name w:val="heading 1"/>
    <w:basedOn w:val="Norml"/>
    <w:next w:val="Norml"/>
    <w:link w:val="Cmsor1Char"/>
    <w:qFormat/>
    <w:rsid w:val="00617948"/>
    <w:pPr>
      <w:keepNext/>
      <w:keepLines/>
      <w:numPr>
        <w:numId w:val="3"/>
      </w:numPr>
      <w:spacing w:before="480" w:after="210"/>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617948"/>
    <w:pPr>
      <w:numPr>
        <w:ilvl w:val="1"/>
        <w:numId w:val="3"/>
      </w:numPr>
      <w:spacing w:before="210" w:after="75"/>
      <w:outlineLvl w:val="1"/>
    </w:pPr>
    <w:rPr>
      <w:b/>
      <w:color w:val="0C2148" w:themeColor="text2"/>
      <w:sz w:val="24"/>
      <w:szCs w:val="38"/>
    </w:rPr>
  </w:style>
  <w:style w:type="paragraph" w:styleId="Cmsor3">
    <w:name w:val="heading 3"/>
    <w:basedOn w:val="Norml"/>
    <w:next w:val="Norml"/>
    <w:link w:val="Cmsor3Char"/>
    <w:unhideWhenUsed/>
    <w:qFormat/>
    <w:rsid w:val="00617948"/>
    <w:pPr>
      <w:numPr>
        <w:ilvl w:val="2"/>
        <w:numId w:val="3"/>
      </w:numPr>
      <w:spacing w:before="75" w:after="75"/>
      <w:outlineLvl w:val="2"/>
    </w:pPr>
    <w:rPr>
      <w:bCs/>
      <w:color w:val="0C2148" w:themeColor="text2"/>
      <w:szCs w:val="34"/>
    </w:rPr>
  </w:style>
  <w:style w:type="paragraph" w:styleId="Cmsor4">
    <w:name w:val="heading 4"/>
    <w:basedOn w:val="Norml"/>
    <w:next w:val="Norml"/>
    <w:link w:val="Cmsor4Char"/>
    <w:unhideWhenUsed/>
    <w:qFormat/>
    <w:rsid w:val="00617948"/>
    <w:pPr>
      <w:numPr>
        <w:ilvl w:val="3"/>
        <w:numId w:val="3"/>
      </w:numPr>
      <w:spacing w:before="75" w:after="75"/>
      <w:outlineLvl w:val="3"/>
    </w:pPr>
    <w:rPr>
      <w:iCs/>
      <w:color w:val="0C2148" w:themeColor="text2"/>
      <w:szCs w:val="30"/>
    </w:rPr>
  </w:style>
  <w:style w:type="paragraph" w:styleId="Cmsor5">
    <w:name w:val="heading 5"/>
    <w:basedOn w:val="Norml"/>
    <w:next w:val="Norml"/>
    <w:link w:val="Cmsor5Char"/>
    <w:unhideWhenUsed/>
    <w:qFormat/>
    <w:rsid w:val="00617948"/>
    <w:pPr>
      <w:numPr>
        <w:ilvl w:val="4"/>
        <w:numId w:val="3"/>
      </w:numPr>
      <w:spacing w:before="75" w:after="75"/>
      <w:outlineLvl w:val="4"/>
    </w:pPr>
    <w:rPr>
      <w:color w:val="0C2148" w:themeColor="text2"/>
      <w:szCs w:val="26"/>
    </w:rPr>
  </w:style>
  <w:style w:type="paragraph" w:styleId="Cmsor6">
    <w:name w:val="heading 6"/>
    <w:basedOn w:val="Norml"/>
    <w:next w:val="Norml"/>
    <w:link w:val="Cmsor6Char"/>
    <w:unhideWhenUsed/>
    <w:qFormat/>
    <w:rsid w:val="00617948"/>
    <w:pPr>
      <w:numPr>
        <w:ilvl w:val="5"/>
        <w:numId w:val="3"/>
      </w:numPr>
      <w:spacing w:before="75" w:after="75"/>
      <w:outlineLvl w:val="5"/>
    </w:pPr>
    <w:rPr>
      <w:color w:val="0C2148" w:themeColor="text2"/>
    </w:rPr>
  </w:style>
  <w:style w:type="paragraph" w:styleId="Cmsor7">
    <w:name w:val="heading 7"/>
    <w:basedOn w:val="Norml"/>
    <w:next w:val="Norml"/>
    <w:link w:val="Cmsor7Char"/>
    <w:uiPriority w:val="9"/>
    <w:semiHidden/>
    <w:unhideWhenUsed/>
    <w:qFormat/>
    <w:rsid w:val="00617948"/>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617948"/>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617948"/>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144958"/>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144958"/>
  </w:style>
  <w:style w:type="table" w:customStyle="1" w:styleId="tblzat-mtrix">
    <w:name w:val="táblázat - mátrix"/>
    <w:basedOn w:val="Normltblzat"/>
    <w:uiPriority w:val="2"/>
    <w:qFormat/>
    <w:rsid w:val="00617948"/>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617948"/>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617948"/>
    <w:pPr>
      <w:numPr>
        <w:numId w:val="9"/>
      </w:numPr>
      <w:contextualSpacing/>
    </w:pPr>
  </w:style>
  <w:style w:type="character" w:styleId="Hiperhivatkozs">
    <w:name w:val="Hyperlink"/>
    <w:basedOn w:val="Vgjegyzet-hivatkozs"/>
    <w:uiPriority w:val="99"/>
    <w:rsid w:val="00617948"/>
    <w:rPr>
      <w:rFonts w:ascii="Calibri" w:hAnsi="Calibri"/>
      <w:color w:val="0000FF"/>
      <w:sz w:val="20"/>
      <w:u w:val="single"/>
      <w:vertAlign w:val="superscript"/>
    </w:rPr>
  </w:style>
  <w:style w:type="table" w:customStyle="1" w:styleId="tblzat-oldallces">
    <w:name w:val="táblázat - oldalléces"/>
    <w:basedOn w:val="Normltblzat"/>
    <w:uiPriority w:val="3"/>
    <w:qFormat/>
    <w:rsid w:val="00617948"/>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617948"/>
    <w:rPr>
      <w:vertAlign w:val="superscript"/>
    </w:rPr>
  </w:style>
  <w:style w:type="paragraph" w:styleId="Buborkszveg">
    <w:name w:val="Balloon Text"/>
    <w:basedOn w:val="Norml"/>
    <w:link w:val="BuborkszvegChar"/>
    <w:uiPriority w:val="99"/>
    <w:semiHidden/>
    <w:unhideWhenUsed/>
    <w:rsid w:val="00617948"/>
    <w:rPr>
      <w:rFonts w:ascii="Tahoma" w:hAnsi="Tahoma" w:cs="Tahoma"/>
      <w:sz w:val="16"/>
      <w:szCs w:val="16"/>
    </w:rPr>
  </w:style>
  <w:style w:type="paragraph" w:customStyle="1" w:styleId="Magyarzszveg">
    <w:name w:val="Magyarázó szöveg"/>
    <w:basedOn w:val="Norml"/>
    <w:next w:val="Norml"/>
    <w:uiPriority w:val="7"/>
    <w:rsid w:val="00617948"/>
    <w:rPr>
      <w:color w:val="F6A800" w:themeColor="accent5"/>
      <w:sz w:val="18"/>
    </w:rPr>
  </w:style>
  <w:style w:type="character" w:customStyle="1" w:styleId="BuborkszvegChar">
    <w:name w:val="Buborékszöveg Char"/>
    <w:basedOn w:val="Bekezdsalapbettpusa"/>
    <w:link w:val="Buborkszveg"/>
    <w:uiPriority w:val="99"/>
    <w:semiHidden/>
    <w:rsid w:val="00617948"/>
    <w:rPr>
      <w:rFonts w:ascii="Tahoma" w:hAnsi="Tahoma" w:cs="Tahoma"/>
      <w:sz w:val="16"/>
      <w:szCs w:val="16"/>
    </w:rPr>
  </w:style>
  <w:style w:type="paragraph" w:styleId="lfej">
    <w:name w:val="header"/>
    <w:basedOn w:val="Norml"/>
    <w:link w:val="lfejChar"/>
    <w:uiPriority w:val="99"/>
    <w:semiHidden/>
    <w:unhideWhenUsed/>
    <w:rsid w:val="00617948"/>
    <w:pPr>
      <w:tabs>
        <w:tab w:val="center" w:pos="4536"/>
        <w:tab w:val="right" w:pos="9072"/>
      </w:tabs>
    </w:pPr>
  </w:style>
  <w:style w:type="character" w:customStyle="1" w:styleId="lfejChar">
    <w:name w:val="Élőfej Char"/>
    <w:basedOn w:val="Bekezdsalapbettpusa"/>
    <w:link w:val="lfej"/>
    <w:uiPriority w:val="99"/>
    <w:semiHidden/>
    <w:rsid w:val="00617948"/>
  </w:style>
  <w:style w:type="paragraph" w:styleId="llb">
    <w:name w:val="footer"/>
    <w:basedOn w:val="Norml"/>
    <w:link w:val="llbChar"/>
    <w:uiPriority w:val="99"/>
    <w:semiHidden/>
    <w:unhideWhenUsed/>
    <w:rsid w:val="00617948"/>
    <w:pPr>
      <w:tabs>
        <w:tab w:val="center" w:pos="4536"/>
        <w:tab w:val="right" w:pos="9072"/>
      </w:tabs>
    </w:pPr>
  </w:style>
  <w:style w:type="character" w:customStyle="1" w:styleId="llbChar">
    <w:name w:val="Élőláb Char"/>
    <w:basedOn w:val="Bekezdsalapbettpusa"/>
    <w:link w:val="llb"/>
    <w:uiPriority w:val="99"/>
    <w:semiHidden/>
    <w:rsid w:val="00617948"/>
  </w:style>
  <w:style w:type="paragraph" w:customStyle="1" w:styleId="Szmozs">
    <w:name w:val="Számozás"/>
    <w:basedOn w:val="Norml"/>
    <w:uiPriority w:val="4"/>
    <w:qFormat/>
    <w:rsid w:val="00617948"/>
    <w:pPr>
      <w:numPr>
        <w:numId w:val="4"/>
      </w:numPr>
      <w:spacing w:before="120"/>
      <w:contextualSpacing/>
    </w:pPr>
  </w:style>
  <w:style w:type="table" w:styleId="Rcsostblzat">
    <w:name w:val="Table Grid"/>
    <w:aliases w:val="Szegély nélküli"/>
    <w:basedOn w:val="Normltblzat"/>
    <w:uiPriority w:val="59"/>
    <w:rsid w:val="00617948"/>
    <w:pPr>
      <w:contextualSpacing/>
    </w:pPr>
    <w:tblPr/>
    <w:tcPr>
      <w:vAlign w:val="center"/>
    </w:tcPr>
  </w:style>
  <w:style w:type="character" w:customStyle="1" w:styleId="Cmsor4Char">
    <w:name w:val="Címsor 4 Char"/>
    <w:basedOn w:val="Bekezdsalapbettpusa"/>
    <w:link w:val="Cmsor4"/>
    <w:rsid w:val="00617948"/>
    <w:rPr>
      <w:iCs/>
      <w:color w:val="0C2148" w:themeColor="text2"/>
      <w:szCs w:val="30"/>
    </w:rPr>
  </w:style>
  <w:style w:type="character" w:customStyle="1" w:styleId="Cmsor5Char">
    <w:name w:val="Címsor 5 Char"/>
    <w:basedOn w:val="Bekezdsalapbettpusa"/>
    <w:link w:val="Cmsor5"/>
    <w:rsid w:val="00617948"/>
    <w:rPr>
      <w:color w:val="0C2148" w:themeColor="text2"/>
      <w:szCs w:val="26"/>
    </w:rPr>
  </w:style>
  <w:style w:type="character" w:customStyle="1" w:styleId="Cmsor6Char">
    <w:name w:val="Címsor 6 Char"/>
    <w:basedOn w:val="Bekezdsalapbettpusa"/>
    <w:link w:val="Cmsor6"/>
    <w:rsid w:val="00617948"/>
    <w:rPr>
      <w:color w:val="0C2148" w:themeColor="text2"/>
    </w:rPr>
  </w:style>
  <w:style w:type="character" w:customStyle="1" w:styleId="Cmsor1Char">
    <w:name w:val="Címsor 1 Char"/>
    <w:basedOn w:val="Bekezdsalapbettpusa"/>
    <w:link w:val="Cmsor1"/>
    <w:rsid w:val="00617948"/>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617948"/>
    <w:rPr>
      <w:b/>
      <w:color w:val="0C2148" w:themeColor="text2"/>
      <w:sz w:val="24"/>
      <w:szCs w:val="38"/>
    </w:rPr>
  </w:style>
  <w:style w:type="character" w:customStyle="1" w:styleId="Cmsor3Char">
    <w:name w:val="Címsor 3 Char"/>
    <w:basedOn w:val="Bekezdsalapbettpusa"/>
    <w:link w:val="Cmsor3"/>
    <w:rsid w:val="00617948"/>
    <w:rPr>
      <w:bCs/>
      <w:color w:val="0C2148" w:themeColor="text2"/>
      <w:szCs w:val="34"/>
    </w:rPr>
  </w:style>
  <w:style w:type="paragraph" w:styleId="Cm">
    <w:name w:val="Title"/>
    <w:basedOn w:val="Norml"/>
    <w:next w:val="Norml"/>
    <w:link w:val="CmChar"/>
    <w:uiPriority w:val="3"/>
    <w:qFormat/>
    <w:rsid w:val="00617948"/>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617948"/>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617948"/>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617948"/>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617948"/>
    <w:rPr>
      <w:rFonts w:eastAsiaTheme="majorEastAsia" w:cstheme="majorBidi"/>
      <w:i/>
      <w:iCs/>
      <w:color w:val="404040" w:themeColor="text1" w:themeTint="BF"/>
    </w:rPr>
  </w:style>
  <w:style w:type="numbering" w:customStyle="1" w:styleId="Style1">
    <w:name w:val="Style1"/>
    <w:uiPriority w:val="99"/>
    <w:rsid w:val="00617948"/>
    <w:pPr>
      <w:numPr>
        <w:numId w:val="1"/>
      </w:numPr>
    </w:pPr>
  </w:style>
  <w:style w:type="paragraph" w:styleId="TJ7">
    <w:name w:val="toc 7"/>
    <w:basedOn w:val="Norml"/>
    <w:next w:val="Norml"/>
    <w:autoRedefine/>
    <w:uiPriority w:val="99"/>
    <w:semiHidden/>
    <w:locked/>
    <w:rsid w:val="00617948"/>
    <w:pPr>
      <w:spacing w:after="100"/>
      <w:ind w:left="1200"/>
    </w:pPr>
    <w:rPr>
      <w:color w:val="385623" w:themeColor="accent6" w:themeShade="80"/>
    </w:rPr>
  </w:style>
  <w:style w:type="paragraph" w:styleId="TJ8">
    <w:name w:val="toc 8"/>
    <w:basedOn w:val="Norml"/>
    <w:next w:val="Norml"/>
    <w:autoRedefine/>
    <w:uiPriority w:val="99"/>
    <w:semiHidden/>
    <w:locked/>
    <w:rsid w:val="00617948"/>
    <w:pPr>
      <w:spacing w:after="100"/>
      <w:ind w:left="1400"/>
    </w:pPr>
    <w:rPr>
      <w:color w:val="385623" w:themeColor="accent6" w:themeShade="80"/>
    </w:rPr>
  </w:style>
  <w:style w:type="paragraph" w:styleId="TJ9">
    <w:name w:val="toc 9"/>
    <w:basedOn w:val="Norml"/>
    <w:next w:val="Norml"/>
    <w:autoRedefine/>
    <w:uiPriority w:val="99"/>
    <w:semiHidden/>
    <w:locked/>
    <w:rsid w:val="00617948"/>
    <w:pPr>
      <w:spacing w:after="100"/>
      <w:ind w:left="1600"/>
    </w:pPr>
    <w:rPr>
      <w:color w:val="385623" w:themeColor="accent6" w:themeShade="80"/>
    </w:rPr>
  </w:style>
  <w:style w:type="table" w:customStyle="1" w:styleId="Calendar2">
    <w:name w:val="Calendar 2"/>
    <w:basedOn w:val="Normltblzat"/>
    <w:uiPriority w:val="99"/>
    <w:qFormat/>
    <w:rsid w:val="00617948"/>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617948"/>
    <w:rPr>
      <w:color w:val="0C2148" w:themeColor="text2"/>
      <w:sz w:val="16"/>
    </w:rPr>
  </w:style>
  <w:style w:type="character" w:customStyle="1" w:styleId="LbjegyzetszvegChar">
    <w:name w:val="Lábjegyzetszöveg Char"/>
    <w:basedOn w:val="Bekezdsalapbettpusa"/>
    <w:link w:val="Lbjegyzetszveg"/>
    <w:uiPriority w:val="99"/>
    <w:rsid w:val="00617948"/>
    <w:rPr>
      <w:rFonts w:eastAsiaTheme="minorEastAsia"/>
      <w:color w:val="0C2148" w:themeColor="text2"/>
      <w:sz w:val="16"/>
    </w:rPr>
  </w:style>
  <w:style w:type="character" w:styleId="Finomkiemels">
    <w:name w:val="Subtle Emphasis"/>
    <w:basedOn w:val="Bekezdsalapbettpusa"/>
    <w:uiPriority w:val="19"/>
    <w:qFormat/>
    <w:rsid w:val="00617948"/>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617948"/>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617948"/>
    <w:pPr>
      <w:spacing w:after="200"/>
    </w:pPr>
    <w:rPr>
      <w:b/>
      <w:bCs/>
      <w:color w:val="808080"/>
      <w:sz w:val="18"/>
      <w:szCs w:val="18"/>
    </w:rPr>
  </w:style>
  <w:style w:type="paragraph" w:styleId="Vgjegyzetszvege">
    <w:name w:val="endnote text"/>
    <w:basedOn w:val="Norml"/>
    <w:link w:val="VgjegyzetszvegeChar"/>
    <w:uiPriority w:val="99"/>
    <w:semiHidden/>
    <w:unhideWhenUsed/>
    <w:rsid w:val="00617948"/>
    <w:rPr>
      <w:color w:val="385623" w:themeColor="accent6" w:themeShade="80"/>
    </w:rPr>
  </w:style>
  <w:style w:type="character" w:customStyle="1" w:styleId="VgjegyzetszvegeChar">
    <w:name w:val="Végjegyzet szövege Char"/>
    <w:basedOn w:val="Bekezdsalapbettpusa"/>
    <w:link w:val="Vgjegyzetszvege"/>
    <w:uiPriority w:val="99"/>
    <w:semiHidden/>
    <w:rsid w:val="00617948"/>
    <w:rPr>
      <w:color w:val="385623" w:themeColor="accent6" w:themeShade="80"/>
    </w:rPr>
  </w:style>
  <w:style w:type="table" w:customStyle="1" w:styleId="Vilgosrnykols1jellszn1">
    <w:name w:val="Világos árnyékolás – 1. jelölőszín1"/>
    <w:basedOn w:val="Normltblzat"/>
    <w:uiPriority w:val="60"/>
    <w:rsid w:val="00617948"/>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617948"/>
    <w:pPr>
      <w:numPr>
        <w:numId w:val="5"/>
      </w:numPr>
    </w:pPr>
  </w:style>
  <w:style w:type="paragraph" w:customStyle="1" w:styleId="Tblaszvegstlus">
    <w:name w:val="Tábla szöveg stílus"/>
    <w:basedOn w:val="Norml"/>
    <w:link w:val="TblaszvegstlusChar"/>
    <w:uiPriority w:val="8"/>
    <w:qFormat/>
    <w:rsid w:val="00617948"/>
  </w:style>
  <w:style w:type="character" w:customStyle="1" w:styleId="ListaszerbekezdsChar">
    <w:name w:val="Listaszerű bekezdés Char"/>
    <w:basedOn w:val="Bekezdsalapbettpusa"/>
    <w:link w:val="Listaszerbekezds"/>
    <w:uiPriority w:val="4"/>
    <w:rsid w:val="00617948"/>
  </w:style>
  <w:style w:type="character" w:customStyle="1" w:styleId="Listaszerbekezds2Char">
    <w:name w:val="Listaszerű bekezdés 2 Char"/>
    <w:basedOn w:val="ListaszerbekezdsChar"/>
    <w:link w:val="Listaszerbekezds2"/>
    <w:uiPriority w:val="4"/>
    <w:rsid w:val="00617948"/>
  </w:style>
  <w:style w:type="character" w:customStyle="1" w:styleId="TblaszvegstlusChar">
    <w:name w:val="Tábla szöveg stílus Char"/>
    <w:basedOn w:val="Bekezdsalapbettpusa"/>
    <w:link w:val="Tblaszvegstlus"/>
    <w:uiPriority w:val="8"/>
    <w:rsid w:val="00617948"/>
  </w:style>
  <w:style w:type="character" w:styleId="Finomhivatkozs">
    <w:name w:val="Subtle Reference"/>
    <w:basedOn w:val="Bekezdsalapbettpusa"/>
    <w:uiPriority w:val="31"/>
    <w:rsid w:val="00617948"/>
    <w:rPr>
      <w:sz w:val="24"/>
      <w:szCs w:val="24"/>
      <w:u w:val="single"/>
    </w:rPr>
  </w:style>
  <w:style w:type="character" w:styleId="Ershivatkozs">
    <w:name w:val="Intense Reference"/>
    <w:basedOn w:val="Bekezdsalapbettpusa"/>
    <w:uiPriority w:val="32"/>
    <w:rsid w:val="00617948"/>
    <w:rPr>
      <w:b/>
      <w:sz w:val="24"/>
      <w:u w:val="single"/>
    </w:rPr>
  </w:style>
  <w:style w:type="paragraph" w:customStyle="1" w:styleId="Listaszerbekezds2szint">
    <w:name w:val="Listaszerű bekezdés 2. szint"/>
    <w:basedOn w:val="Listaszerbekezds"/>
    <w:link w:val="Listaszerbekezds2szintChar"/>
    <w:uiPriority w:val="4"/>
    <w:qFormat/>
    <w:rsid w:val="00617948"/>
    <w:pPr>
      <w:numPr>
        <w:numId w:val="8"/>
      </w:numPr>
    </w:pPr>
  </w:style>
  <w:style w:type="paragraph" w:customStyle="1" w:styleId="Listaszerbekezds3szint">
    <w:name w:val="Listaszerű bekezdés 3. szint"/>
    <w:basedOn w:val="Listaszerbekezds"/>
    <w:link w:val="Listaszerbekezds3szintChar"/>
    <w:uiPriority w:val="4"/>
    <w:qFormat/>
    <w:rsid w:val="00617948"/>
    <w:pPr>
      <w:numPr>
        <w:ilvl w:val="2"/>
        <w:numId w:val="10"/>
      </w:numPr>
    </w:pPr>
  </w:style>
  <w:style w:type="character" w:customStyle="1" w:styleId="Listaszerbekezds2szintChar">
    <w:name w:val="Listaszerű bekezdés 2. szint Char"/>
    <w:basedOn w:val="ListaszerbekezdsChar"/>
    <w:link w:val="Listaszerbekezds2szint"/>
    <w:uiPriority w:val="4"/>
    <w:rsid w:val="00617948"/>
  </w:style>
  <w:style w:type="character" w:customStyle="1" w:styleId="Listaszerbekezds3szintChar">
    <w:name w:val="Listaszerű bekezdés 3. szint Char"/>
    <w:basedOn w:val="ListaszerbekezdsChar"/>
    <w:link w:val="Listaszerbekezds3szint"/>
    <w:uiPriority w:val="4"/>
    <w:rsid w:val="00617948"/>
  </w:style>
  <w:style w:type="paragraph" w:styleId="Alcm">
    <w:name w:val="Subtitle"/>
    <w:basedOn w:val="Norml"/>
    <w:next w:val="Norml"/>
    <w:link w:val="AlcmChar"/>
    <w:uiPriority w:val="11"/>
    <w:rsid w:val="00617948"/>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617948"/>
    <w:rPr>
      <w:rFonts w:eastAsiaTheme="majorEastAsia" w:cstheme="majorBidi"/>
    </w:rPr>
  </w:style>
  <w:style w:type="paragraph" w:customStyle="1" w:styleId="Listabetvel">
    <w:name w:val="Lista betűvel"/>
    <w:basedOn w:val="Listaszerbekezds"/>
    <w:link w:val="ListabetvelChar"/>
    <w:uiPriority w:val="4"/>
    <w:qFormat/>
    <w:rsid w:val="00617948"/>
    <w:pPr>
      <w:numPr>
        <w:numId w:val="7"/>
      </w:numPr>
    </w:pPr>
  </w:style>
  <w:style w:type="character" w:customStyle="1" w:styleId="ListabetvelChar">
    <w:name w:val="Lista betűvel Char"/>
    <w:basedOn w:val="ListaszerbekezdsChar"/>
    <w:link w:val="Listabetvel"/>
    <w:uiPriority w:val="4"/>
    <w:rsid w:val="00617948"/>
  </w:style>
  <w:style w:type="paragraph" w:customStyle="1" w:styleId="Erskiemels1">
    <w:name w:val="Erős kiemelés1"/>
    <w:basedOn w:val="Norml"/>
    <w:link w:val="ErskiemelsChar"/>
    <w:uiPriority w:val="5"/>
    <w:qFormat/>
    <w:rsid w:val="00617948"/>
    <w:rPr>
      <w:b/>
      <w:i/>
    </w:rPr>
  </w:style>
  <w:style w:type="character" w:customStyle="1" w:styleId="ErskiemelsChar">
    <w:name w:val="Erős kiemelés Char"/>
    <w:basedOn w:val="Bekezdsalapbettpusa"/>
    <w:link w:val="Erskiemels1"/>
    <w:uiPriority w:val="5"/>
    <w:rsid w:val="00617948"/>
    <w:rPr>
      <w:b/>
      <w:i/>
    </w:rPr>
  </w:style>
  <w:style w:type="paragraph" w:customStyle="1" w:styleId="Bold">
    <w:name w:val="Bold"/>
    <w:basedOn w:val="Norml"/>
    <w:link w:val="BoldChar"/>
    <w:uiPriority w:val="6"/>
    <w:qFormat/>
    <w:rsid w:val="00617948"/>
    <w:rPr>
      <w:b/>
    </w:rPr>
  </w:style>
  <w:style w:type="character" w:customStyle="1" w:styleId="BoldChar">
    <w:name w:val="Bold Char"/>
    <w:basedOn w:val="Bekezdsalapbettpusa"/>
    <w:link w:val="Bold"/>
    <w:uiPriority w:val="6"/>
    <w:rsid w:val="00617948"/>
    <w:rPr>
      <w:b/>
    </w:rPr>
  </w:style>
  <w:style w:type="character" w:styleId="Mrltotthiperhivatkozs">
    <w:name w:val="FollowedHyperlink"/>
    <w:basedOn w:val="Bekezdsalapbettpusa"/>
    <w:uiPriority w:val="99"/>
    <w:semiHidden/>
    <w:unhideWhenUsed/>
    <w:rsid w:val="00617948"/>
    <w:rPr>
      <w:color w:val="954F72" w:themeColor="followedHyperlink"/>
      <w:u w:val="single"/>
    </w:rPr>
  </w:style>
  <w:style w:type="paragraph" w:styleId="Tartalomjegyzkcmsora">
    <w:name w:val="TOC Heading"/>
    <w:basedOn w:val="Cmsor1"/>
    <w:next w:val="Norml"/>
    <w:uiPriority w:val="39"/>
    <w:unhideWhenUsed/>
    <w:qFormat/>
    <w:rsid w:val="00617948"/>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617948"/>
    <w:pPr>
      <w:spacing w:after="100"/>
      <w:ind w:left="220"/>
    </w:pPr>
  </w:style>
  <w:style w:type="paragraph" w:styleId="TJ1">
    <w:name w:val="toc 1"/>
    <w:basedOn w:val="Norml"/>
    <w:next w:val="Norml"/>
    <w:autoRedefine/>
    <w:uiPriority w:val="39"/>
    <w:unhideWhenUsed/>
    <w:qFormat/>
    <w:locked/>
    <w:rsid w:val="00617948"/>
    <w:pPr>
      <w:spacing w:after="100"/>
    </w:pPr>
  </w:style>
  <w:style w:type="paragraph" w:styleId="TJ3">
    <w:name w:val="toc 3"/>
    <w:basedOn w:val="Norml"/>
    <w:next w:val="Norml"/>
    <w:uiPriority w:val="39"/>
    <w:unhideWhenUsed/>
    <w:qFormat/>
    <w:locked/>
    <w:rsid w:val="00617948"/>
    <w:pPr>
      <w:spacing w:after="100"/>
      <w:ind w:left="400"/>
    </w:pPr>
  </w:style>
  <w:style w:type="paragraph" w:customStyle="1" w:styleId="StyleTOC2Left015">
    <w:name w:val="Style TOC 2 + Left:  0.15&quot;"/>
    <w:basedOn w:val="TJ2"/>
    <w:rsid w:val="00617948"/>
    <w:pPr>
      <w:ind w:left="216"/>
    </w:pPr>
    <w:rPr>
      <w:rFonts w:eastAsia="Times New Roman" w:cs="Times New Roman"/>
    </w:rPr>
  </w:style>
  <w:style w:type="paragraph" w:customStyle="1" w:styleId="StyleTOC3Left031">
    <w:name w:val="Style TOC 3 + Left:  0.31&quot;"/>
    <w:basedOn w:val="TJ3"/>
    <w:rsid w:val="00617948"/>
    <w:pPr>
      <w:ind w:left="446"/>
    </w:pPr>
    <w:rPr>
      <w:rFonts w:eastAsia="Times New Roman" w:cs="Times New Roman"/>
    </w:rPr>
  </w:style>
  <w:style w:type="numbering" w:customStyle="1" w:styleId="Hierarchikuslista">
    <w:name w:val="Hierarchikus lista"/>
    <w:uiPriority w:val="99"/>
    <w:rsid w:val="00617948"/>
    <w:pPr>
      <w:numPr>
        <w:numId w:val="2"/>
      </w:numPr>
    </w:pPr>
  </w:style>
  <w:style w:type="paragraph" w:customStyle="1" w:styleId="HierarchikusLista0">
    <w:name w:val="Hierarchikus Lista"/>
    <w:basedOn w:val="Listaszerbekezds"/>
    <w:link w:val="HierarchikusListaChar"/>
    <w:qFormat/>
    <w:rsid w:val="00617948"/>
    <w:pPr>
      <w:numPr>
        <w:numId w:val="0"/>
      </w:numPr>
    </w:pPr>
  </w:style>
  <w:style w:type="character" w:customStyle="1" w:styleId="HierarchikusListaChar">
    <w:name w:val="Hierarchikus Lista Char"/>
    <w:basedOn w:val="ListaszerbekezdsChar"/>
    <w:link w:val="HierarchikusLista0"/>
    <w:rsid w:val="00617948"/>
  </w:style>
  <w:style w:type="character" w:styleId="Kiemels2">
    <w:name w:val="Strong"/>
    <w:basedOn w:val="Bekezdsalapbettpusa"/>
    <w:uiPriority w:val="22"/>
    <w:rsid w:val="00617948"/>
    <w:rPr>
      <w:b/>
      <w:bCs/>
    </w:rPr>
  </w:style>
  <w:style w:type="character" w:styleId="Kiemels">
    <w:name w:val="Emphasis"/>
    <w:basedOn w:val="Bekezdsalapbettpusa"/>
    <w:uiPriority w:val="6"/>
    <w:qFormat/>
    <w:rsid w:val="00617948"/>
    <w:rPr>
      <w:i/>
      <w:iCs/>
    </w:rPr>
  </w:style>
  <w:style w:type="paragraph" w:styleId="Nincstrkz">
    <w:name w:val="No Spacing"/>
    <w:basedOn w:val="Norml"/>
    <w:uiPriority w:val="1"/>
    <w:rsid w:val="00617948"/>
    <w:rPr>
      <w:szCs w:val="32"/>
    </w:rPr>
  </w:style>
  <w:style w:type="paragraph" w:styleId="Idzet">
    <w:name w:val="Quote"/>
    <w:basedOn w:val="Norml"/>
    <w:next w:val="Norml"/>
    <w:link w:val="IdzetChar"/>
    <w:uiPriority w:val="29"/>
    <w:rsid w:val="00617948"/>
    <w:rPr>
      <w:i/>
    </w:rPr>
  </w:style>
  <w:style w:type="character" w:customStyle="1" w:styleId="IdzetChar">
    <w:name w:val="Idézet Char"/>
    <w:basedOn w:val="Bekezdsalapbettpusa"/>
    <w:link w:val="Idzet"/>
    <w:uiPriority w:val="29"/>
    <w:rsid w:val="00617948"/>
    <w:rPr>
      <w:i/>
    </w:rPr>
  </w:style>
  <w:style w:type="paragraph" w:styleId="Kiemeltidzet">
    <w:name w:val="Intense Quote"/>
    <w:basedOn w:val="Norml"/>
    <w:next w:val="Norml"/>
    <w:link w:val="KiemeltidzetChar"/>
    <w:uiPriority w:val="30"/>
    <w:rsid w:val="00617948"/>
    <w:pPr>
      <w:ind w:left="720" w:right="720"/>
    </w:pPr>
    <w:rPr>
      <w:b/>
      <w:i/>
    </w:rPr>
  </w:style>
  <w:style w:type="character" w:customStyle="1" w:styleId="KiemeltidzetChar">
    <w:name w:val="Kiemelt idézet Char"/>
    <w:basedOn w:val="Bekezdsalapbettpusa"/>
    <w:link w:val="Kiemeltidzet"/>
    <w:uiPriority w:val="30"/>
    <w:rsid w:val="00617948"/>
    <w:rPr>
      <w:b/>
      <w:i/>
    </w:rPr>
  </w:style>
  <w:style w:type="character" w:styleId="Erskiemels">
    <w:name w:val="Intense Emphasis"/>
    <w:basedOn w:val="Bekezdsalapbettpusa"/>
    <w:uiPriority w:val="21"/>
    <w:rsid w:val="00617948"/>
    <w:rPr>
      <w:b/>
      <w:i/>
      <w:sz w:val="24"/>
      <w:szCs w:val="24"/>
      <w:u w:val="single"/>
    </w:rPr>
  </w:style>
  <w:style w:type="character" w:styleId="Knyvcme">
    <w:name w:val="Book Title"/>
    <w:basedOn w:val="Bekezdsalapbettpusa"/>
    <w:uiPriority w:val="33"/>
    <w:rsid w:val="00617948"/>
    <w:rPr>
      <w:rFonts w:ascii="Calibri" w:eastAsiaTheme="majorEastAsia" w:hAnsi="Calibri"/>
      <w:b/>
      <w:i/>
      <w:sz w:val="24"/>
      <w:szCs w:val="24"/>
    </w:rPr>
  </w:style>
  <w:style w:type="paragraph" w:customStyle="1" w:styleId="Szvegdobozstlus">
    <w:name w:val="Szövegdoboz stílus"/>
    <w:basedOn w:val="HierarchikusLista0"/>
    <w:qFormat/>
    <w:rsid w:val="00617948"/>
    <w:rPr>
      <w:b/>
      <w:i/>
      <w:color w:val="009EE0"/>
    </w:rPr>
  </w:style>
  <w:style w:type="table" w:customStyle="1" w:styleId="Rcsos">
    <w:name w:val="Rácsos"/>
    <w:basedOn w:val="Normltblzat"/>
    <w:uiPriority w:val="99"/>
    <w:rsid w:val="00617948"/>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61794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617948"/>
    <w:pPr>
      <w:keepNext/>
      <w:spacing w:after="40"/>
      <w:jc w:val="center"/>
    </w:pPr>
    <w:rPr>
      <w:b/>
      <w:bCs/>
      <w:color w:val="808080"/>
      <w:szCs w:val="18"/>
    </w:rPr>
  </w:style>
  <w:style w:type="paragraph" w:customStyle="1" w:styleId="ENCaption2Col">
    <w:name w:val="EN_Caption_2Col"/>
    <w:basedOn w:val="Norml"/>
    <w:next w:val="Norml"/>
    <w:uiPriority w:val="1"/>
    <w:qFormat/>
    <w:rsid w:val="00617948"/>
    <w:pPr>
      <w:keepNext/>
      <w:spacing w:after="40"/>
    </w:pPr>
    <w:rPr>
      <w:b/>
      <w:bCs/>
      <w:color w:val="808080"/>
      <w:szCs w:val="18"/>
    </w:rPr>
  </w:style>
  <w:style w:type="paragraph" w:customStyle="1" w:styleId="ENCaptionBox">
    <w:name w:val="EN_Caption_Box"/>
    <w:basedOn w:val="Norml"/>
    <w:next w:val="Norml"/>
    <w:uiPriority w:val="1"/>
    <w:qFormat/>
    <w:rsid w:val="0061794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617948"/>
    <w:pPr>
      <w:keepNext/>
      <w:pageBreakBefore/>
      <w:numPr>
        <w:numId w:val="1"/>
      </w:numPr>
      <w:spacing w:before="480" w:after="210"/>
      <w:ind w:left="227" w:hanging="227"/>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617948"/>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617948"/>
    <w:rPr>
      <w:color w:val="808080"/>
      <w:sz w:val="18"/>
    </w:rPr>
  </w:style>
  <w:style w:type="paragraph" w:customStyle="1" w:styleId="ENNormal">
    <w:name w:val="EN_Normal"/>
    <w:basedOn w:val="Norml"/>
    <w:uiPriority w:val="1"/>
    <w:qFormat/>
    <w:rsid w:val="00617948"/>
  </w:style>
  <w:style w:type="paragraph" w:customStyle="1" w:styleId="ENNormalBox">
    <w:name w:val="EN_Normal_Box"/>
    <w:basedOn w:val="Norml"/>
    <w:uiPriority w:val="1"/>
    <w:qFormat/>
    <w:rsid w:val="00617948"/>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617948"/>
    <w:pPr>
      <w:keepLines/>
      <w:jc w:val="center"/>
    </w:pPr>
    <w:rPr>
      <w:color w:val="808080"/>
      <w:sz w:val="18"/>
    </w:rPr>
  </w:style>
  <w:style w:type="paragraph" w:customStyle="1" w:styleId="ENNote2Col">
    <w:name w:val="EN_Note_2Col"/>
    <w:basedOn w:val="Norml"/>
    <w:next w:val="ENNormal"/>
    <w:uiPriority w:val="1"/>
    <w:qFormat/>
    <w:rsid w:val="00617948"/>
    <w:pPr>
      <w:keepLines/>
    </w:pPr>
    <w:rPr>
      <w:color w:val="808080"/>
      <w:sz w:val="18"/>
    </w:rPr>
  </w:style>
  <w:style w:type="paragraph" w:customStyle="1" w:styleId="ENNoteBox">
    <w:name w:val="EN_Note_Box"/>
    <w:basedOn w:val="Norml"/>
    <w:next w:val="ENNormalBox"/>
    <w:uiPriority w:val="1"/>
    <w:qFormat/>
    <w:rsid w:val="00617948"/>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617948"/>
    <w:pPr>
      <w:keepNext/>
      <w:numPr>
        <w:ilvl w:val="1"/>
        <w:numId w:val="1"/>
      </w:numPr>
      <w:spacing w:before="210" w:after="75"/>
      <w:outlineLvl w:val="1"/>
    </w:pPr>
    <w:rPr>
      <w:b/>
      <w:color w:val="0C2148" w:themeColor="text2"/>
      <w:szCs w:val="38"/>
    </w:rPr>
  </w:style>
  <w:style w:type="paragraph" w:customStyle="1" w:styleId="ENSubsectionTitle">
    <w:name w:val="EN_Subsection_Title"/>
    <w:basedOn w:val="Norml"/>
    <w:next w:val="ENNormal"/>
    <w:uiPriority w:val="1"/>
    <w:rsid w:val="00617948"/>
    <w:pPr>
      <w:keepNext/>
      <w:numPr>
        <w:ilvl w:val="2"/>
        <w:numId w:val="1"/>
      </w:numPr>
      <w:spacing w:before="75" w:after="75"/>
      <w:ind w:left="595" w:hanging="595"/>
      <w:outlineLvl w:val="2"/>
    </w:pPr>
    <w:rPr>
      <w:bCs/>
      <w:color w:val="0C2148" w:themeColor="text2"/>
      <w:szCs w:val="34"/>
    </w:rPr>
  </w:style>
  <w:style w:type="paragraph" w:customStyle="1" w:styleId="HUBoxTitle">
    <w:name w:val="HU_Box_Title"/>
    <w:basedOn w:val="Kpalrs"/>
    <w:next w:val="Norml"/>
    <w:uiPriority w:val="1"/>
    <w:qFormat/>
    <w:rsid w:val="0061794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617948"/>
    <w:pPr>
      <w:keepNext/>
      <w:spacing w:after="40"/>
      <w:jc w:val="center"/>
    </w:pPr>
    <w:rPr>
      <w:sz w:val="20"/>
    </w:rPr>
  </w:style>
  <w:style w:type="paragraph" w:customStyle="1" w:styleId="HUCaption2Col">
    <w:name w:val="HU_Caption_2Col"/>
    <w:basedOn w:val="Kpalrs"/>
    <w:next w:val="Norml"/>
    <w:uiPriority w:val="1"/>
    <w:qFormat/>
    <w:rsid w:val="00617948"/>
    <w:pPr>
      <w:keepNext/>
      <w:spacing w:after="40"/>
    </w:pPr>
    <w:rPr>
      <w:sz w:val="20"/>
    </w:rPr>
  </w:style>
  <w:style w:type="paragraph" w:customStyle="1" w:styleId="HUCaptionBox">
    <w:name w:val="HU_Caption_Box"/>
    <w:basedOn w:val="Kpalrs"/>
    <w:next w:val="Norml"/>
    <w:uiPriority w:val="1"/>
    <w:qFormat/>
    <w:rsid w:val="0061794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617948"/>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617948"/>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617948"/>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617948"/>
    <w:rPr>
      <w:caps/>
      <w:color w:val="0C2148" w:themeColor="text2"/>
    </w:rPr>
  </w:style>
  <w:style w:type="paragraph" w:customStyle="1" w:styleId="HUFootnote">
    <w:name w:val="HU_Footnote"/>
    <w:basedOn w:val="Lbjegyzetszveg"/>
    <w:uiPriority w:val="1"/>
    <w:qFormat/>
    <w:rsid w:val="00617948"/>
    <w:rPr>
      <w:color w:val="808080"/>
      <w:sz w:val="18"/>
    </w:rPr>
  </w:style>
  <w:style w:type="paragraph" w:customStyle="1" w:styleId="HUNormalBox">
    <w:name w:val="HU_Normal_Box"/>
    <w:basedOn w:val="Norml"/>
    <w:uiPriority w:val="1"/>
    <w:qFormat/>
    <w:rsid w:val="00617948"/>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617948"/>
    <w:pPr>
      <w:keepLines/>
      <w:jc w:val="center"/>
    </w:pPr>
    <w:rPr>
      <w:color w:val="808080"/>
      <w:sz w:val="18"/>
    </w:rPr>
  </w:style>
  <w:style w:type="paragraph" w:customStyle="1" w:styleId="HUNote2Col">
    <w:name w:val="HU_Note_2Col"/>
    <w:basedOn w:val="Norml"/>
    <w:next w:val="Norml"/>
    <w:uiPriority w:val="1"/>
    <w:qFormat/>
    <w:rsid w:val="00617948"/>
    <w:pPr>
      <w:keepLines/>
    </w:pPr>
    <w:rPr>
      <w:color w:val="808080"/>
      <w:sz w:val="18"/>
    </w:rPr>
  </w:style>
  <w:style w:type="paragraph" w:customStyle="1" w:styleId="HUNoteBox">
    <w:name w:val="HU_Note_Box"/>
    <w:basedOn w:val="Norml"/>
    <w:next w:val="HUNormalBox"/>
    <w:link w:val="HUNoteBoxChar"/>
    <w:uiPriority w:val="1"/>
    <w:qFormat/>
    <w:rsid w:val="00617948"/>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617948"/>
    <w:rPr>
      <w:color w:val="808080"/>
      <w:sz w:val="18"/>
      <w:shd w:val="clear" w:color="auto" w:fill="C6EEFF"/>
    </w:rPr>
  </w:style>
  <w:style w:type="paragraph" w:customStyle="1" w:styleId="HUSectionTitle">
    <w:name w:val="HU_Section_Title"/>
    <w:basedOn w:val="Cmsor2"/>
    <w:next w:val="Norml"/>
    <w:link w:val="HUSectionTitleChar"/>
    <w:uiPriority w:val="1"/>
    <w:rsid w:val="00617948"/>
    <w:pPr>
      <w:keepNext/>
    </w:pPr>
  </w:style>
  <w:style w:type="character" w:customStyle="1" w:styleId="HUSectionTitleChar">
    <w:name w:val="HU_Section_Title Char"/>
    <w:basedOn w:val="Cmsor2Char"/>
    <w:link w:val="HUSectionTitle"/>
    <w:uiPriority w:val="1"/>
    <w:rsid w:val="00617948"/>
    <w:rPr>
      <w:b/>
      <w:color w:val="0C2148" w:themeColor="text2"/>
      <w:sz w:val="24"/>
      <w:szCs w:val="38"/>
    </w:rPr>
  </w:style>
  <w:style w:type="paragraph" w:customStyle="1" w:styleId="HUSubsectionTitle">
    <w:name w:val="HU_Subsection_Title"/>
    <w:basedOn w:val="Cmsor3"/>
    <w:next w:val="Norml"/>
    <w:link w:val="HUSubsectionTitleChar"/>
    <w:uiPriority w:val="1"/>
    <w:rsid w:val="00617948"/>
    <w:pPr>
      <w:keepNext/>
      <w:ind w:left="595" w:hanging="595"/>
    </w:pPr>
  </w:style>
  <w:style w:type="character" w:customStyle="1" w:styleId="HUSubsectionTitleChar">
    <w:name w:val="HU_Subsection_Title Char"/>
    <w:basedOn w:val="Cmsor3Char"/>
    <w:link w:val="HUSubsectionTitle"/>
    <w:uiPriority w:val="1"/>
    <w:rsid w:val="00617948"/>
    <w:rPr>
      <w:bCs/>
      <w:color w:val="0C2148" w:themeColor="text2"/>
      <w:szCs w:val="34"/>
    </w:rPr>
  </w:style>
  <w:style w:type="paragraph" w:customStyle="1" w:styleId="Heading1Kiadvny">
    <w:name w:val="Heading 1 Kiadvány"/>
    <w:basedOn w:val="Cmsor1"/>
    <w:qFormat/>
    <w:rsid w:val="00617948"/>
    <w:rPr>
      <w:b w:val="0"/>
      <w:caps w:val="0"/>
      <w:sz w:val="52"/>
    </w:rPr>
  </w:style>
  <w:style w:type="character" w:styleId="Jegyzethivatkozs">
    <w:name w:val="annotation reference"/>
    <w:uiPriority w:val="99"/>
    <w:semiHidden/>
    <w:unhideWhenUsed/>
    <w:rsid w:val="00A55E1A"/>
    <w:rPr>
      <w:sz w:val="16"/>
      <w:szCs w:val="16"/>
    </w:rPr>
  </w:style>
  <w:style w:type="paragraph" w:styleId="Jegyzetszveg">
    <w:name w:val="annotation text"/>
    <w:basedOn w:val="Norml"/>
    <w:link w:val="JegyzetszvegChar"/>
    <w:uiPriority w:val="99"/>
    <w:semiHidden/>
    <w:unhideWhenUsed/>
    <w:rsid w:val="00A55E1A"/>
  </w:style>
  <w:style w:type="character" w:customStyle="1" w:styleId="JegyzetszvegChar">
    <w:name w:val="Jegyzetszöveg Char"/>
    <w:basedOn w:val="Bekezdsalapbettpusa"/>
    <w:link w:val="Jegyzetszveg"/>
    <w:uiPriority w:val="99"/>
    <w:semiHidden/>
    <w:rsid w:val="00A55E1A"/>
    <w:rPr>
      <w:rFonts w:eastAsia="Calibri" w:cs="Times New Roman"/>
      <w:lang w:eastAsia="en-US"/>
    </w:rPr>
  </w:style>
  <w:style w:type="character" w:styleId="Lbjegyzet-hivatkozs">
    <w:name w:val="footnote reference"/>
    <w:uiPriority w:val="99"/>
    <w:semiHidden/>
    <w:unhideWhenUsed/>
    <w:rsid w:val="00A55E1A"/>
    <w:rPr>
      <w:vertAlign w:val="superscript"/>
    </w:rPr>
  </w:style>
  <w:style w:type="paragraph" w:customStyle="1" w:styleId="Erskiemels2">
    <w:name w:val="Erős kiemelés2"/>
    <w:basedOn w:val="Norml"/>
    <w:uiPriority w:val="5"/>
    <w:qFormat/>
    <w:rsid w:val="00E341AC"/>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37048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B1BE5803-EC38-4EDD-9801-B35311CA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946</Words>
  <Characters>6528</Characters>
  <Application>Microsoft Office Word</Application>
  <DocSecurity>0</DocSecurity>
  <Lines>54</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Czene Anna</dc:creator>
  <cp:keywords/>
  <dc:description/>
  <cp:lastModifiedBy>Promaxx Iroda Kft.</cp:lastModifiedBy>
  <cp:revision>7</cp:revision>
  <cp:lastPrinted>2018-08-17T15:37:00Z</cp:lastPrinted>
  <dcterms:created xsi:type="dcterms:W3CDTF">2020-06-23T07:55:00Z</dcterms:created>
  <dcterms:modified xsi:type="dcterms:W3CDTF">2021-01-08T20:17:00Z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czenea@mnb.hu</vt:lpwstr>
  </property>
  <property fmtid="{D5CDD505-2E9C-101B-9397-08002B2CF9AE}" pid="6" name="MSIP_Label_b0d11092-50c9-4e74-84b5-b1af078dc3d0_SetDate">
    <vt:lpwstr>2019-07-30T13:39:28.8040362+02:00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2025-11-02T13:44:53Z</vt:filetime>
  </property>
  <property fmtid="{D5CDD505-2E9C-101B-9397-08002B2CF9AE}" pid="12" name="Érvényességet beállító">
    <vt:lpwstr>vidab</vt:lpwstr>
  </property>
  <property fmtid="{D5CDD505-2E9C-101B-9397-08002B2CF9AE}" pid="13" name="Érvényességi idő első beállítása">
    <vt:filetime>2020-11-02T13:44:53Z</vt:filetime>
  </property>
</Properties>
</file>